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152E" w14:textId="50349740" w:rsidR="00040C3A" w:rsidRPr="00512999" w:rsidRDefault="00D306D1" w:rsidP="00512999">
      <w:pPr>
        <w:jc w:val="both"/>
        <w:rPr>
          <w:rFonts w:asciiTheme="majorHAnsi" w:hAnsiTheme="majorHAnsi" w:cs="Univers"/>
          <w:b/>
          <w:bCs/>
          <w:sz w:val="20"/>
          <w:szCs w:val="20"/>
        </w:rPr>
      </w:pPr>
      <w:r>
        <w:rPr>
          <w:rFonts w:asciiTheme="majorHAnsi" w:hAnsiTheme="majorHAnsi"/>
          <w:noProof/>
          <w:sz w:val="20"/>
        </w:rPr>
        <mc:AlternateContent>
          <mc:Choice Requires="wps">
            <w:drawing>
              <wp:anchor distT="0" distB="0" distL="114300" distR="114300" simplePos="0" relativeHeight="251661311" behindDoc="0" locked="0" layoutInCell="1" allowOverlap="1" wp14:anchorId="5A9849B0" wp14:editId="013EEC7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73BF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4AD4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" fillcolor="#73bf43" stroked="f" strokeweight="2pt"/>
            </w:pict>
          </mc:Fallback>
        </mc:AlternateContent>
      </w:r>
      <w:r>
        <w:rPr>
          <w:rFonts w:asciiTheme="majorHAnsi" w:hAnsiTheme="majorHAnsi"/>
          <w:noProof/>
          <w:sz w:val="20"/>
        </w:rPr>
        <mc:AlternateContent>
          <mc:Choice Requires="wps">
            <w:drawing>
              <wp:anchor distT="0" distB="0" distL="114300" distR="114300" simplePos="0" relativeHeight="251673600" behindDoc="0" locked="0" layoutInCell="1" allowOverlap="1" wp14:anchorId="5544BCB3" wp14:editId="33F9D3A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1EB494" w14:textId="6A7138CA" w:rsidR="00CB2660" w:rsidRDefault="003F33F4" w:rsidP="00AE5488">
                            <w:r>
                              <w:rPr>
                                <w:noProof/>
                              </w:rPr>
                              <w:drawing>
                                <wp:inline distT="0" distB="0" distL="0" distR="0" wp14:anchorId="149C981E" wp14:editId="48F21553">
                                  <wp:extent cx="3409315" cy="804545"/>
                                  <wp:effectExtent l="0" t="0" r="63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8"/>
                                          <a:stretch>
                                            <a:fillRect/>
                                          </a:stretch>
                                        </pic:blipFill>
                                        <pic:spPr>
                                          <a:xfrm>
                                            <a:off x="0" y="0"/>
                                            <a:ext cx="3409315" cy="804545"/>
                                          </a:xfrm>
                                          <a:prstGeom prst="rect">
                                            <a:avLst/>
                                          </a:prstGeom>
                                        </pic:spPr>
                                      </pic:pic>
                                    </a:graphicData>
                                  </a:graphic>
                                </wp:inline>
                              </w:drawing>
                            </w:r>
                            <w:r w:rsidR="00AE5488">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4BCB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" filled="f" stroked="f" strokeweight=".5pt">
                <v:textbox>
                  <w:txbxContent>
                    <w:p w14:paraId="751EB494" w14:textId="6A7138CA" w:rsidR="00CB2660" w:rsidRDefault="003F33F4" w:rsidP="00AE5488">
                      <w:r>
                        <w:rPr>
                          <w:noProof/>
                        </w:rPr>
                        <w:drawing>
                          <wp:inline distT="0" distB="0" distL="0" distR="0" wp14:anchorId="149C981E" wp14:editId="48F21553">
                            <wp:extent cx="3409315" cy="804545"/>
                            <wp:effectExtent l="0" t="0" r="63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2"/>
                                    <a:stretch>
                                      <a:fillRect/>
                                    </a:stretch>
                                  </pic:blipFill>
                                  <pic:spPr>
                                    <a:xfrm>
                                      <a:off x="0" y="0"/>
                                      <a:ext cx="3409315" cy="804545"/>
                                    </a:xfrm>
                                    <a:prstGeom prst="rect">
                                      <a:avLst/>
                                    </a:prstGeom>
                                  </pic:spPr>
                                </pic:pic>
                              </a:graphicData>
                            </a:graphic>
                          </wp:inline>
                        </w:drawing>
                      </w:r>
                      <w:r w:rsidR="00AE5488">
                        <w:tab/>
                        <w:t xml:space="preserve">                              </w:t>
                      </w:r>
                    </w:p>
                  </w:txbxContent>
                </v:textbox>
              </v:shape>
            </w:pict>
          </mc:Fallback>
        </mc:AlternateContent>
      </w:r>
      <w:r>
        <w:rPr>
          <w:rFonts w:asciiTheme="majorHAnsi" w:hAnsiTheme="majorHAnsi"/>
          <w:b/>
          <w:sz w:val="20"/>
        </w:rPr>
        <w:tab/>
      </w:r>
      <w:r>
        <w:rPr>
          <w:rFonts w:asciiTheme="majorHAnsi" w:hAnsiTheme="majorHAnsi"/>
          <w:b/>
          <w:sz w:val="20"/>
        </w:rPr>
        <w:tab/>
        <w:t xml:space="preserve"> </w:t>
      </w:r>
    </w:p>
    <w:p w14:paraId="1731749C" w14:textId="77777777" w:rsidR="00040C3A" w:rsidRPr="00512999" w:rsidRDefault="00040C3A" w:rsidP="00512999">
      <w:pPr>
        <w:tabs>
          <w:tab w:val="center" w:pos="5400"/>
        </w:tabs>
        <w:suppressAutoHyphens/>
        <w:jc w:val="both"/>
        <w:rPr>
          <w:rFonts w:asciiTheme="majorHAnsi" w:hAnsiTheme="majorHAnsi"/>
          <w:sz w:val="20"/>
          <w:szCs w:val="20"/>
        </w:rPr>
      </w:pPr>
    </w:p>
    <w:p w14:paraId="5F53318D" w14:textId="77777777" w:rsidR="00040C3A" w:rsidRPr="00512999" w:rsidRDefault="00040C3A" w:rsidP="00512999">
      <w:pPr>
        <w:tabs>
          <w:tab w:val="center" w:pos="5400"/>
        </w:tabs>
        <w:suppressAutoHyphens/>
        <w:jc w:val="both"/>
        <w:rPr>
          <w:rFonts w:asciiTheme="majorHAnsi" w:hAnsiTheme="majorHAnsi"/>
          <w:sz w:val="20"/>
          <w:szCs w:val="20"/>
        </w:rPr>
      </w:pPr>
    </w:p>
    <w:p w14:paraId="15A0E6DC" w14:textId="77777777" w:rsidR="005128E4" w:rsidRPr="00512999" w:rsidRDefault="005128E4" w:rsidP="00512999">
      <w:pPr>
        <w:tabs>
          <w:tab w:val="center" w:pos="5400"/>
        </w:tabs>
        <w:suppressAutoHyphens/>
        <w:rPr>
          <w:rFonts w:asciiTheme="majorHAnsi" w:hAnsiTheme="majorHAnsi"/>
          <w:sz w:val="20"/>
          <w:szCs w:val="20"/>
          <w:lang w:val="es-ES_tradnl"/>
        </w:rPr>
      </w:pPr>
    </w:p>
    <w:p w14:paraId="58C54A55" w14:textId="77777777" w:rsidR="005128E4" w:rsidRPr="00512999" w:rsidRDefault="005128E4" w:rsidP="00512999">
      <w:pPr>
        <w:tabs>
          <w:tab w:val="center" w:pos="5400"/>
        </w:tabs>
        <w:suppressAutoHyphens/>
        <w:rPr>
          <w:rFonts w:asciiTheme="majorHAnsi" w:hAnsiTheme="majorHAnsi"/>
          <w:sz w:val="20"/>
          <w:szCs w:val="20"/>
          <w:lang w:val="es-ES_tradnl"/>
        </w:rPr>
      </w:pPr>
    </w:p>
    <w:p w14:paraId="23C17280" w14:textId="77777777" w:rsidR="005128E4" w:rsidRPr="00512999" w:rsidRDefault="005128E4" w:rsidP="00512999">
      <w:pPr>
        <w:tabs>
          <w:tab w:val="center" w:pos="5400"/>
        </w:tabs>
        <w:suppressAutoHyphens/>
        <w:rPr>
          <w:rFonts w:asciiTheme="majorHAnsi" w:hAnsiTheme="majorHAnsi"/>
          <w:sz w:val="20"/>
          <w:szCs w:val="20"/>
          <w:lang w:val="es-ES_tradnl"/>
        </w:rPr>
      </w:pPr>
    </w:p>
    <w:p w14:paraId="4F526740"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274FD86B"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3D2E565D" w14:textId="77777777" w:rsidR="005B52B0" w:rsidRPr="00512999" w:rsidRDefault="005B52B0" w:rsidP="00512999">
      <w:pPr>
        <w:tabs>
          <w:tab w:val="center" w:pos="5400"/>
        </w:tabs>
        <w:suppressAutoHyphens/>
        <w:jc w:val="center"/>
        <w:rPr>
          <w:rFonts w:asciiTheme="majorHAnsi" w:hAnsiTheme="majorHAnsi"/>
          <w:sz w:val="20"/>
          <w:szCs w:val="20"/>
          <w:lang w:val="es-ES_tradnl"/>
        </w:rPr>
      </w:pPr>
    </w:p>
    <w:p w14:paraId="35B4114A" w14:textId="77777777" w:rsidR="005B52B0" w:rsidRPr="00512999" w:rsidRDefault="005B52B0" w:rsidP="00512999">
      <w:pPr>
        <w:tabs>
          <w:tab w:val="center" w:pos="5400"/>
        </w:tabs>
        <w:suppressAutoHyphens/>
        <w:jc w:val="center"/>
        <w:rPr>
          <w:rFonts w:asciiTheme="majorHAnsi" w:hAnsiTheme="majorHAnsi"/>
          <w:sz w:val="20"/>
          <w:szCs w:val="20"/>
          <w:lang w:val="es-ES_tradnl"/>
        </w:rPr>
      </w:pPr>
    </w:p>
    <w:p w14:paraId="5808261D" w14:textId="77777777" w:rsidR="005B52B0" w:rsidRPr="00512999" w:rsidRDefault="005B52B0" w:rsidP="00512999">
      <w:pPr>
        <w:tabs>
          <w:tab w:val="center" w:pos="5400"/>
        </w:tabs>
        <w:suppressAutoHyphens/>
        <w:jc w:val="center"/>
        <w:rPr>
          <w:rFonts w:asciiTheme="majorHAnsi" w:hAnsiTheme="majorHAnsi"/>
          <w:sz w:val="20"/>
          <w:szCs w:val="20"/>
          <w:lang w:val="es-ES_tradnl"/>
        </w:rPr>
      </w:pPr>
    </w:p>
    <w:p w14:paraId="4BAB0565"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7AFACBE1"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026C6EED" w14:textId="77777777" w:rsidR="00040C3A" w:rsidRPr="00512999" w:rsidRDefault="003D3BC2" w:rsidP="00512999">
      <w:pPr>
        <w:tabs>
          <w:tab w:val="center" w:pos="5400"/>
        </w:tabs>
        <w:suppressAutoHyphens/>
        <w:jc w:val="center"/>
        <w:rPr>
          <w:rFonts w:asciiTheme="majorHAnsi" w:hAnsiTheme="majorHAnsi"/>
          <w:sz w:val="20"/>
          <w:szCs w:val="20"/>
        </w:rPr>
      </w:pPr>
      <w:r>
        <w:rPr>
          <w:rFonts w:asciiTheme="majorHAnsi" w:hAnsiTheme="majorHAnsi"/>
          <w:noProof/>
          <w:sz w:val="20"/>
        </w:rPr>
        <mc:AlternateContent>
          <mc:Choice Requires="wps">
            <w:drawing>
              <wp:anchor distT="0" distB="0" distL="114300" distR="114300" simplePos="0" relativeHeight="251669504" behindDoc="0" locked="0" layoutInCell="1" allowOverlap="1" wp14:anchorId="54221474" wp14:editId="3A77935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750CF" w14:textId="2E5F0EF6"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862A6C">
                              <w:rPr>
                                <w:rFonts w:asciiTheme="majorHAnsi" w:hAnsiTheme="majorHAnsi"/>
                                <w:b/>
                                <w:color w:val="0D0D0D" w:themeColor="text1" w:themeTint="F2"/>
                                <w:sz w:val="36"/>
                              </w:rPr>
                              <w:t>53</w:t>
                            </w:r>
                            <w:r>
                              <w:rPr>
                                <w:rFonts w:asciiTheme="majorHAnsi" w:hAnsiTheme="majorHAnsi"/>
                                <w:b/>
                                <w:color w:val="0D0D0D" w:themeColor="text1" w:themeTint="F2"/>
                                <w:sz w:val="36"/>
                              </w:rPr>
                              <w:t>/22</w:t>
                            </w:r>
                          </w:p>
                          <w:p w14:paraId="1CE3C502" w14:textId="5EBCE35B"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846-10 </w:t>
                            </w:r>
                          </w:p>
                          <w:p w14:paraId="69098CDB" w14:textId="77777777"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ADMISSIBILITY </w:t>
                            </w:r>
                          </w:p>
                          <w:p w14:paraId="2E6D9111"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p w14:paraId="3C62F50B" w14:textId="2E002C65" w:rsidR="005B52B0" w:rsidRPr="003F33F4" w:rsidRDefault="002807C5" w:rsidP="00997BC5">
                            <w:pPr>
                              <w:spacing w:line="276" w:lineRule="auto"/>
                              <w:rPr>
                                <w:rFonts w:asciiTheme="majorHAnsi" w:hAnsiTheme="majorHAnsi" w:cs="Arial"/>
                                <w:color w:val="0D0D0D" w:themeColor="text1" w:themeTint="F2"/>
                                <w:szCs w:val="22"/>
                                <w:lang w:val="es-US"/>
                              </w:rPr>
                            </w:pPr>
                            <w:r w:rsidRPr="003F33F4">
                              <w:rPr>
                                <w:rFonts w:asciiTheme="majorHAnsi" w:hAnsiTheme="majorHAnsi"/>
                                <w:color w:val="0D0D0D" w:themeColor="text1" w:themeTint="F2"/>
                                <w:lang w:val="es-US"/>
                              </w:rPr>
                              <w:t>MELIT</w:t>
                            </w:r>
                            <w:r w:rsidR="00066E4D">
                              <w:rPr>
                                <w:rFonts w:asciiTheme="majorHAnsi" w:hAnsiTheme="majorHAnsi"/>
                                <w:color w:val="0D0D0D" w:themeColor="text1" w:themeTint="F2"/>
                                <w:lang w:val="es-US"/>
                              </w:rPr>
                              <w:t>O</w:t>
                            </w:r>
                            <w:r w:rsidRPr="003F33F4">
                              <w:rPr>
                                <w:rFonts w:asciiTheme="majorHAnsi" w:hAnsiTheme="majorHAnsi"/>
                                <w:color w:val="0D0D0D" w:themeColor="text1" w:themeTint="F2"/>
                                <w:lang w:val="es-US"/>
                              </w:rPr>
                              <w:t>N MAQUERA RAM</w:t>
                            </w:r>
                            <w:r w:rsidR="00E56E3D">
                              <w:rPr>
                                <w:rFonts w:asciiTheme="majorHAnsi" w:hAnsiTheme="majorHAnsi"/>
                                <w:color w:val="0D0D0D" w:themeColor="text1" w:themeTint="F2"/>
                                <w:lang w:val="es-US"/>
                              </w:rPr>
                              <w:t>I</w:t>
                            </w:r>
                            <w:r w:rsidRPr="003F33F4">
                              <w:rPr>
                                <w:rFonts w:asciiTheme="majorHAnsi" w:hAnsiTheme="majorHAnsi"/>
                                <w:color w:val="0D0D0D" w:themeColor="text1" w:themeTint="F2"/>
                                <w:lang w:val="es-US"/>
                              </w:rPr>
                              <w:t>REZ ET AL</w:t>
                            </w:r>
                          </w:p>
                          <w:bookmarkEnd w:id="0"/>
                          <w:p w14:paraId="3B5F85DB" w14:textId="77777777" w:rsidR="005B52B0" w:rsidRPr="003F33F4" w:rsidRDefault="00BE5A63" w:rsidP="00997BC5">
                            <w:pPr>
                              <w:spacing w:line="276" w:lineRule="auto"/>
                              <w:rPr>
                                <w:rFonts w:asciiTheme="majorHAnsi" w:hAnsiTheme="majorHAnsi" w:cs="Arial"/>
                                <w:color w:val="0D0D0D" w:themeColor="text1" w:themeTint="F2"/>
                                <w:szCs w:val="22"/>
                                <w:lang w:val="es-US"/>
                              </w:rPr>
                            </w:pPr>
                            <w:r w:rsidRPr="003F33F4">
                              <w:rPr>
                                <w:rFonts w:asciiTheme="majorHAnsi" w:hAnsiTheme="majorHAnsi"/>
                                <w:color w:val="0D0D0D" w:themeColor="text1" w:themeTint="F2"/>
                                <w:lang w:val="es-US"/>
                              </w:rPr>
                              <w:t>PERU</w:t>
                            </w:r>
                          </w:p>
                          <w:p w14:paraId="5A9EFABF"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2147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AF750CF" w14:textId="2E5F0EF6"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862A6C">
                        <w:rPr>
                          <w:rFonts w:asciiTheme="majorHAnsi" w:hAnsiTheme="majorHAnsi"/>
                          <w:b/>
                          <w:color w:val="0D0D0D" w:themeColor="text1" w:themeTint="F2"/>
                          <w:sz w:val="36"/>
                        </w:rPr>
                        <w:t>53</w:t>
                      </w:r>
                      <w:r>
                        <w:rPr>
                          <w:rFonts w:asciiTheme="majorHAnsi" w:hAnsiTheme="majorHAnsi"/>
                          <w:b/>
                          <w:color w:val="0D0D0D" w:themeColor="text1" w:themeTint="F2"/>
                          <w:sz w:val="36"/>
                        </w:rPr>
                        <w:t>/22</w:t>
                      </w:r>
                    </w:p>
                    <w:p w14:paraId="1CE3C502" w14:textId="5EBCE35B"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846-10 </w:t>
                      </w:r>
                    </w:p>
                    <w:p w14:paraId="69098CDB" w14:textId="77777777"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ADMISSIBILITY </w:t>
                      </w:r>
                    </w:p>
                    <w:p w14:paraId="2E6D9111"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p w14:paraId="3C62F50B" w14:textId="2E002C65" w:rsidR="005B52B0" w:rsidRPr="003F33F4" w:rsidRDefault="002807C5" w:rsidP="00997BC5">
                      <w:pPr>
                        <w:spacing w:line="276" w:lineRule="auto"/>
                        <w:rPr>
                          <w:rFonts w:asciiTheme="majorHAnsi" w:hAnsiTheme="majorHAnsi" w:cs="Arial"/>
                          <w:color w:val="0D0D0D" w:themeColor="text1" w:themeTint="F2"/>
                          <w:szCs w:val="22"/>
                          <w:lang w:val="es-US"/>
                        </w:rPr>
                      </w:pPr>
                      <w:r w:rsidRPr="003F33F4">
                        <w:rPr>
                          <w:rFonts w:asciiTheme="majorHAnsi" w:hAnsiTheme="majorHAnsi"/>
                          <w:color w:val="0D0D0D" w:themeColor="text1" w:themeTint="F2"/>
                          <w:lang w:val="es-US"/>
                        </w:rPr>
                        <w:t>MELIT</w:t>
                      </w:r>
                      <w:r w:rsidR="00066E4D">
                        <w:rPr>
                          <w:rFonts w:asciiTheme="majorHAnsi" w:hAnsiTheme="majorHAnsi"/>
                          <w:color w:val="0D0D0D" w:themeColor="text1" w:themeTint="F2"/>
                          <w:lang w:val="es-US"/>
                        </w:rPr>
                        <w:t>O</w:t>
                      </w:r>
                      <w:r w:rsidRPr="003F33F4">
                        <w:rPr>
                          <w:rFonts w:asciiTheme="majorHAnsi" w:hAnsiTheme="majorHAnsi"/>
                          <w:color w:val="0D0D0D" w:themeColor="text1" w:themeTint="F2"/>
                          <w:lang w:val="es-US"/>
                        </w:rPr>
                        <w:t>N MAQUERA RAM</w:t>
                      </w:r>
                      <w:r w:rsidR="00E56E3D">
                        <w:rPr>
                          <w:rFonts w:asciiTheme="majorHAnsi" w:hAnsiTheme="majorHAnsi"/>
                          <w:color w:val="0D0D0D" w:themeColor="text1" w:themeTint="F2"/>
                          <w:lang w:val="es-US"/>
                        </w:rPr>
                        <w:t>I</w:t>
                      </w:r>
                      <w:r w:rsidRPr="003F33F4">
                        <w:rPr>
                          <w:rFonts w:asciiTheme="majorHAnsi" w:hAnsiTheme="majorHAnsi"/>
                          <w:color w:val="0D0D0D" w:themeColor="text1" w:themeTint="F2"/>
                          <w:lang w:val="es-US"/>
                        </w:rPr>
                        <w:t>REZ ET AL</w:t>
                      </w:r>
                    </w:p>
                    <w:bookmarkEnd w:id="1"/>
                    <w:p w14:paraId="3B5F85DB" w14:textId="77777777" w:rsidR="005B52B0" w:rsidRPr="003F33F4" w:rsidRDefault="00BE5A63" w:rsidP="00997BC5">
                      <w:pPr>
                        <w:spacing w:line="276" w:lineRule="auto"/>
                        <w:rPr>
                          <w:rFonts w:asciiTheme="majorHAnsi" w:hAnsiTheme="majorHAnsi" w:cs="Arial"/>
                          <w:color w:val="0D0D0D" w:themeColor="text1" w:themeTint="F2"/>
                          <w:szCs w:val="22"/>
                          <w:lang w:val="es-US"/>
                        </w:rPr>
                      </w:pPr>
                      <w:r w:rsidRPr="003F33F4">
                        <w:rPr>
                          <w:rFonts w:asciiTheme="majorHAnsi" w:hAnsiTheme="majorHAnsi"/>
                          <w:color w:val="0D0D0D" w:themeColor="text1" w:themeTint="F2"/>
                          <w:lang w:val="es-US"/>
                        </w:rPr>
                        <w:t>PERU</w:t>
                      </w:r>
                    </w:p>
                    <w:p w14:paraId="5A9EFABF" w14:textId="77777777" w:rsidR="005B52B0" w:rsidRPr="00AE5488" w:rsidRDefault="005B52B0" w:rsidP="007A5817">
                      <w:pPr>
                        <w:rPr>
                          <w:color w:val="0D0D0D" w:themeColor="text1" w:themeTint="F2"/>
                          <w:lang w:val="es-ES_tradnl"/>
                        </w:rPr>
                      </w:pPr>
                    </w:p>
                  </w:txbxContent>
                </v:textbox>
              </v:shape>
            </w:pict>
          </mc:Fallback>
        </mc:AlternateContent>
      </w:r>
      <w:r>
        <w:rPr>
          <w:rFonts w:asciiTheme="majorHAnsi" w:hAnsiTheme="majorHAnsi"/>
          <w:noProof/>
          <w:sz w:val="20"/>
        </w:rPr>
        <mc:AlternateContent>
          <mc:Choice Requires="wps">
            <w:drawing>
              <wp:anchor distT="0" distB="0" distL="114300" distR="114300" simplePos="0" relativeHeight="251671552" behindDoc="0" locked="0" layoutInCell="1" allowOverlap="1" wp14:anchorId="185B307E" wp14:editId="7D600FB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CED5E" w14:textId="7430DFDB" w:rsidR="00627C9F" w:rsidRPr="00323287" w:rsidRDefault="00834D49" w:rsidP="007A5817">
                            <w:pPr>
                              <w:spacing w:line="276" w:lineRule="auto"/>
                              <w:jc w:val="right"/>
                              <w:rPr>
                                <w:rFonts w:asciiTheme="minorHAnsi" w:hAnsiTheme="minorHAnsi"/>
                                <w:color w:val="FFFFFF" w:themeColor="background1"/>
                                <w:sz w:val="22"/>
                                <w:lang w:val="es-US"/>
                              </w:rPr>
                            </w:pPr>
                            <w:r w:rsidRPr="00323287">
                              <w:rPr>
                                <w:rFonts w:asciiTheme="minorHAnsi" w:hAnsiTheme="minorHAnsi"/>
                                <w:color w:val="FFFFFF" w:themeColor="background1"/>
                                <w:sz w:val="22"/>
                                <w:lang w:val="es-US"/>
                              </w:rPr>
                              <w:t>OEA/</w:t>
                            </w:r>
                            <w:proofErr w:type="spellStart"/>
                            <w:r w:rsidRPr="00323287">
                              <w:rPr>
                                <w:rFonts w:asciiTheme="minorHAnsi" w:hAnsiTheme="minorHAnsi"/>
                                <w:color w:val="FFFFFF" w:themeColor="background1"/>
                                <w:sz w:val="22"/>
                                <w:lang w:val="es-US"/>
                              </w:rPr>
                              <w:t>Ser.L</w:t>
                            </w:r>
                            <w:proofErr w:type="spellEnd"/>
                            <w:r w:rsidRPr="00323287">
                              <w:rPr>
                                <w:rFonts w:asciiTheme="minorHAnsi" w:hAnsiTheme="minorHAnsi"/>
                                <w:color w:val="FFFFFF" w:themeColor="background1"/>
                                <w:sz w:val="22"/>
                                <w:lang w:val="es-US"/>
                              </w:rPr>
                              <w:t>/V/II</w:t>
                            </w:r>
                          </w:p>
                          <w:p w14:paraId="57FAF521" w14:textId="6CE872F6" w:rsidR="00627C9F" w:rsidRPr="00323287" w:rsidRDefault="00627C9F" w:rsidP="007A5817">
                            <w:pPr>
                              <w:spacing w:line="276" w:lineRule="auto"/>
                              <w:jc w:val="right"/>
                              <w:rPr>
                                <w:rFonts w:asciiTheme="minorHAnsi" w:hAnsiTheme="minorHAnsi"/>
                                <w:color w:val="FFFFFF" w:themeColor="background1"/>
                                <w:sz w:val="22"/>
                                <w:lang w:val="es-US"/>
                              </w:rPr>
                            </w:pPr>
                            <w:r w:rsidRPr="00323287">
                              <w:rPr>
                                <w:rFonts w:asciiTheme="minorHAnsi" w:hAnsiTheme="minorHAnsi"/>
                                <w:color w:val="FFFFFF" w:themeColor="background1"/>
                                <w:sz w:val="22"/>
                                <w:lang w:val="es-US"/>
                              </w:rPr>
                              <w:t xml:space="preserve">Doc. </w:t>
                            </w:r>
                            <w:r w:rsidR="00141868" w:rsidRPr="00323287">
                              <w:rPr>
                                <w:rFonts w:asciiTheme="minorHAnsi" w:hAnsiTheme="minorHAnsi"/>
                                <w:color w:val="FFFFFF" w:themeColor="background1"/>
                                <w:sz w:val="22"/>
                                <w:lang w:val="es-US"/>
                              </w:rPr>
                              <w:t>55</w:t>
                            </w:r>
                          </w:p>
                          <w:p w14:paraId="519AE5DA" w14:textId="5ACBC411" w:rsidR="00627C9F" w:rsidRPr="00C25ADB" w:rsidRDefault="0014186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 March</w:t>
                            </w:r>
                            <w:r w:rsidR="00000F83">
                              <w:rPr>
                                <w:rFonts w:asciiTheme="minorHAnsi" w:hAnsiTheme="minorHAnsi"/>
                                <w:color w:val="FFFFFF" w:themeColor="background1"/>
                                <w:sz w:val="22"/>
                              </w:rPr>
                              <w:t xml:space="preserve"> 2022</w:t>
                            </w:r>
                          </w:p>
                          <w:p w14:paraId="3E70C77E"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B307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10CED5E" w14:textId="7430DFDB" w:rsidR="00627C9F" w:rsidRPr="00323287" w:rsidRDefault="00834D49" w:rsidP="007A5817">
                      <w:pPr>
                        <w:spacing w:line="276" w:lineRule="auto"/>
                        <w:jc w:val="right"/>
                        <w:rPr>
                          <w:rFonts w:asciiTheme="minorHAnsi" w:hAnsiTheme="minorHAnsi"/>
                          <w:color w:val="FFFFFF" w:themeColor="background1"/>
                          <w:sz w:val="22"/>
                          <w:lang w:val="es-US"/>
                        </w:rPr>
                      </w:pPr>
                      <w:r w:rsidRPr="00323287">
                        <w:rPr>
                          <w:rFonts w:asciiTheme="minorHAnsi" w:hAnsiTheme="minorHAnsi"/>
                          <w:color w:val="FFFFFF" w:themeColor="background1"/>
                          <w:sz w:val="22"/>
                          <w:lang w:val="es-US"/>
                        </w:rPr>
                        <w:t>OEA/</w:t>
                      </w:r>
                      <w:proofErr w:type="spellStart"/>
                      <w:r w:rsidRPr="00323287">
                        <w:rPr>
                          <w:rFonts w:asciiTheme="minorHAnsi" w:hAnsiTheme="minorHAnsi"/>
                          <w:color w:val="FFFFFF" w:themeColor="background1"/>
                          <w:sz w:val="22"/>
                          <w:lang w:val="es-US"/>
                        </w:rPr>
                        <w:t>Ser.L</w:t>
                      </w:r>
                      <w:proofErr w:type="spellEnd"/>
                      <w:r w:rsidRPr="00323287">
                        <w:rPr>
                          <w:rFonts w:asciiTheme="minorHAnsi" w:hAnsiTheme="minorHAnsi"/>
                          <w:color w:val="FFFFFF" w:themeColor="background1"/>
                          <w:sz w:val="22"/>
                          <w:lang w:val="es-US"/>
                        </w:rPr>
                        <w:t>/V/II</w:t>
                      </w:r>
                    </w:p>
                    <w:p w14:paraId="57FAF521" w14:textId="6CE872F6" w:rsidR="00627C9F" w:rsidRPr="00323287" w:rsidRDefault="00627C9F" w:rsidP="007A5817">
                      <w:pPr>
                        <w:spacing w:line="276" w:lineRule="auto"/>
                        <w:jc w:val="right"/>
                        <w:rPr>
                          <w:rFonts w:asciiTheme="minorHAnsi" w:hAnsiTheme="minorHAnsi"/>
                          <w:color w:val="FFFFFF" w:themeColor="background1"/>
                          <w:sz w:val="22"/>
                          <w:lang w:val="es-US"/>
                        </w:rPr>
                      </w:pPr>
                      <w:r w:rsidRPr="00323287">
                        <w:rPr>
                          <w:rFonts w:asciiTheme="minorHAnsi" w:hAnsiTheme="minorHAnsi"/>
                          <w:color w:val="FFFFFF" w:themeColor="background1"/>
                          <w:sz w:val="22"/>
                          <w:lang w:val="es-US"/>
                        </w:rPr>
                        <w:t xml:space="preserve">Doc. </w:t>
                      </w:r>
                      <w:r w:rsidR="00141868" w:rsidRPr="00323287">
                        <w:rPr>
                          <w:rFonts w:asciiTheme="minorHAnsi" w:hAnsiTheme="minorHAnsi"/>
                          <w:color w:val="FFFFFF" w:themeColor="background1"/>
                          <w:sz w:val="22"/>
                          <w:lang w:val="es-US"/>
                        </w:rPr>
                        <w:t>55</w:t>
                      </w:r>
                    </w:p>
                    <w:p w14:paraId="519AE5DA" w14:textId="5ACBC411" w:rsidR="00627C9F" w:rsidRPr="00C25ADB" w:rsidRDefault="0014186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 March</w:t>
                      </w:r>
                      <w:r w:rsidR="00000F83">
                        <w:rPr>
                          <w:rFonts w:asciiTheme="minorHAnsi" w:hAnsiTheme="minorHAnsi"/>
                          <w:color w:val="FFFFFF" w:themeColor="background1"/>
                          <w:sz w:val="22"/>
                        </w:rPr>
                        <w:t xml:space="preserve"> 2022</w:t>
                      </w:r>
                    </w:p>
                    <w:p w14:paraId="3E70C77E"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14:paraId="14E83B10"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2C2E9ACD"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12F5679E" w14:textId="77777777" w:rsidR="00040C3A" w:rsidRPr="00512999" w:rsidRDefault="00040C3A" w:rsidP="00512999">
      <w:pPr>
        <w:tabs>
          <w:tab w:val="center" w:pos="5400"/>
        </w:tabs>
        <w:suppressAutoHyphens/>
        <w:jc w:val="center"/>
        <w:rPr>
          <w:rFonts w:asciiTheme="majorHAnsi" w:hAnsiTheme="majorHAnsi" w:cs="Arial"/>
          <w:sz w:val="20"/>
          <w:szCs w:val="20"/>
          <w:lang w:val="es-ES_tradnl"/>
        </w:rPr>
      </w:pPr>
    </w:p>
    <w:p w14:paraId="6B94D444"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47A01390"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631B53A7"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2A650D6E"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01C0EDB0" w14:textId="77777777" w:rsidR="005128E4" w:rsidRPr="00512999" w:rsidRDefault="005128E4" w:rsidP="00512999">
      <w:pPr>
        <w:tabs>
          <w:tab w:val="center" w:pos="5400"/>
        </w:tabs>
        <w:suppressAutoHyphens/>
        <w:jc w:val="center"/>
        <w:rPr>
          <w:rFonts w:asciiTheme="majorHAnsi" w:hAnsiTheme="majorHAnsi"/>
          <w:sz w:val="20"/>
          <w:szCs w:val="20"/>
          <w:lang w:val="es-ES_tradnl"/>
        </w:rPr>
      </w:pPr>
    </w:p>
    <w:p w14:paraId="616B194E"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64B6B128" w14:textId="77777777" w:rsidR="005128E4" w:rsidRPr="00512999" w:rsidRDefault="005128E4" w:rsidP="00512999">
      <w:pPr>
        <w:tabs>
          <w:tab w:val="center" w:pos="5400"/>
        </w:tabs>
        <w:suppressAutoHyphens/>
        <w:jc w:val="center"/>
        <w:rPr>
          <w:rFonts w:asciiTheme="majorHAnsi" w:hAnsiTheme="majorHAnsi"/>
          <w:sz w:val="20"/>
          <w:szCs w:val="20"/>
          <w:lang w:val="es-ES_tradnl"/>
        </w:rPr>
      </w:pPr>
    </w:p>
    <w:p w14:paraId="4FB74AFC" w14:textId="77777777" w:rsidR="005128E4" w:rsidRPr="00512999" w:rsidRDefault="005128E4" w:rsidP="00512999">
      <w:pPr>
        <w:tabs>
          <w:tab w:val="center" w:pos="5400"/>
        </w:tabs>
        <w:suppressAutoHyphens/>
        <w:jc w:val="center"/>
        <w:rPr>
          <w:rFonts w:asciiTheme="majorHAnsi" w:hAnsiTheme="majorHAnsi"/>
          <w:sz w:val="20"/>
          <w:szCs w:val="20"/>
          <w:lang w:val="es-ES_tradnl"/>
        </w:rPr>
      </w:pPr>
    </w:p>
    <w:p w14:paraId="45C47E43" w14:textId="77777777" w:rsidR="005128E4" w:rsidRPr="00512999" w:rsidRDefault="005128E4" w:rsidP="00512999">
      <w:pPr>
        <w:tabs>
          <w:tab w:val="center" w:pos="5400"/>
        </w:tabs>
        <w:suppressAutoHyphens/>
        <w:jc w:val="center"/>
        <w:rPr>
          <w:rFonts w:asciiTheme="majorHAnsi" w:hAnsiTheme="majorHAnsi"/>
          <w:sz w:val="20"/>
          <w:szCs w:val="20"/>
          <w:lang w:val="es-ES_tradnl"/>
        </w:rPr>
      </w:pPr>
    </w:p>
    <w:p w14:paraId="1E2CAC94"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32E5743F"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27A95D7E"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277484FD"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3C1EAC10"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7FBBA698"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5CF30BAE"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7313F2CA"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5F5634C1"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0932B63F"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7986321A"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2C3CF786"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39F08EB2"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5C9F1349"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5DB3C271"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54374A9B"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6836092D" w14:textId="77777777" w:rsidR="00A50FCF" w:rsidRPr="00512999" w:rsidRDefault="0090270B" w:rsidP="00512999">
      <w:pPr>
        <w:tabs>
          <w:tab w:val="center" w:pos="5400"/>
        </w:tabs>
        <w:suppressAutoHyphens/>
        <w:jc w:val="center"/>
        <w:rPr>
          <w:rFonts w:asciiTheme="majorHAnsi" w:hAnsiTheme="majorHAnsi"/>
          <w:sz w:val="20"/>
          <w:szCs w:val="20"/>
        </w:rPr>
      </w:pPr>
      <w:r>
        <w:rPr>
          <w:rFonts w:asciiTheme="majorHAnsi" w:hAnsiTheme="majorHAnsi"/>
          <w:noProof/>
          <w:sz w:val="20"/>
        </w:rPr>
        <mc:AlternateContent>
          <mc:Choice Requires="wps">
            <w:drawing>
              <wp:anchor distT="0" distB="0" distL="114300" distR="114300" simplePos="0" relativeHeight="251670528" behindDoc="0" locked="0" layoutInCell="1" allowOverlap="1" wp14:anchorId="6948A7D0" wp14:editId="235AD4F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7D106" w14:textId="449C02B7" w:rsidR="00DD3D86" w:rsidRPr="00000F83" w:rsidRDefault="00DD3D86"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Adopted electronically by the Commission on </w:t>
                            </w:r>
                            <w:r w:rsidR="00141868">
                              <w:rPr>
                                <w:rFonts w:asciiTheme="majorHAnsi" w:hAnsiTheme="majorHAnsi"/>
                                <w:color w:val="0D0D0D" w:themeColor="text1" w:themeTint="F2"/>
                                <w:sz w:val="18"/>
                              </w:rPr>
                              <w:t>March 7</w:t>
                            </w:r>
                            <w:r>
                              <w:rPr>
                                <w:rFonts w:asciiTheme="majorHAnsi" w:hAnsiTheme="majorHAnsi"/>
                                <w:color w:val="0D0D0D" w:themeColor="text1" w:themeTint="F2"/>
                                <w:sz w:val="18"/>
                              </w:rPr>
                              <w:t>, 2022.</w:t>
                            </w:r>
                          </w:p>
                          <w:p w14:paraId="199A9019" w14:textId="77777777" w:rsidR="00DD3D86" w:rsidRPr="00000F83"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5996DC6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8A7D0"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277D106" w14:textId="449C02B7" w:rsidR="00DD3D86" w:rsidRPr="00000F83" w:rsidRDefault="00DD3D86"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Adopted electronically by the Commission on </w:t>
                      </w:r>
                      <w:r w:rsidR="00141868">
                        <w:rPr>
                          <w:rFonts w:asciiTheme="majorHAnsi" w:hAnsiTheme="majorHAnsi"/>
                          <w:color w:val="0D0D0D" w:themeColor="text1" w:themeTint="F2"/>
                          <w:sz w:val="18"/>
                        </w:rPr>
                        <w:t>March 7</w:t>
                      </w:r>
                      <w:r>
                        <w:rPr>
                          <w:rFonts w:asciiTheme="majorHAnsi" w:hAnsiTheme="majorHAnsi"/>
                          <w:color w:val="0D0D0D" w:themeColor="text1" w:themeTint="F2"/>
                          <w:sz w:val="18"/>
                        </w:rPr>
                        <w:t>, 2022.</w:t>
                      </w:r>
                    </w:p>
                    <w:p w14:paraId="199A9019" w14:textId="77777777" w:rsidR="00DD3D86" w:rsidRPr="00000F83"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5996DC6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C0B00A0"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4D23EEF0"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76924DEB"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65C41D51"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2FA58A76" w14:textId="77777777" w:rsidR="00A50FCF" w:rsidRPr="00512999" w:rsidRDefault="0090270B" w:rsidP="00512999">
      <w:pPr>
        <w:tabs>
          <w:tab w:val="center" w:pos="5400"/>
        </w:tabs>
        <w:suppressAutoHyphens/>
        <w:jc w:val="center"/>
        <w:rPr>
          <w:rFonts w:asciiTheme="majorHAnsi" w:hAnsiTheme="majorHAnsi"/>
          <w:sz w:val="20"/>
          <w:szCs w:val="20"/>
        </w:rPr>
      </w:pPr>
      <w:r>
        <w:rPr>
          <w:rFonts w:asciiTheme="majorHAnsi" w:hAnsiTheme="majorHAnsi"/>
          <w:noProof/>
          <w:sz w:val="20"/>
        </w:rPr>
        <mc:AlternateContent>
          <mc:Choice Requires="wps">
            <w:drawing>
              <wp:anchor distT="0" distB="0" distL="114300" distR="114300" simplePos="0" relativeHeight="251678720" behindDoc="0" locked="0" layoutInCell="1" allowOverlap="1" wp14:anchorId="6EA8F1FA" wp14:editId="7CC71DE6">
                <wp:simplePos x="0" y="0"/>
                <wp:positionH relativeFrom="column">
                  <wp:posOffset>1333500</wp:posOffset>
                </wp:positionH>
                <wp:positionV relativeFrom="paragraph">
                  <wp:posOffset>7257</wp:posOffset>
                </wp:positionV>
                <wp:extent cx="4996543"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96543"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C966F" w14:textId="34548891" w:rsidR="00113F73" w:rsidRPr="00E14A5F" w:rsidRDefault="00113F73"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141868">
                              <w:rPr>
                                <w:rFonts w:asciiTheme="majorHAnsi" w:hAnsiTheme="majorHAnsi"/>
                                <w:color w:val="595959" w:themeColor="text1" w:themeTint="A6"/>
                                <w:sz w:val="18"/>
                              </w:rPr>
                              <w:t>53</w:t>
                            </w:r>
                            <w:r>
                              <w:rPr>
                                <w:rFonts w:asciiTheme="majorHAnsi" w:hAnsiTheme="majorHAnsi"/>
                                <w:color w:val="595959" w:themeColor="text1" w:themeTint="A6"/>
                                <w:sz w:val="18"/>
                              </w:rPr>
                              <w:t xml:space="preserve">/22. Petition 846-10. Admissibility. </w:t>
                            </w:r>
                            <w:proofErr w:type="spellStart"/>
                            <w:r w:rsidRPr="00141868">
                              <w:rPr>
                                <w:rFonts w:asciiTheme="majorHAnsi" w:hAnsiTheme="majorHAnsi"/>
                                <w:color w:val="595959" w:themeColor="text1" w:themeTint="A6"/>
                                <w:sz w:val="18"/>
                                <w:lang w:val="es-419"/>
                              </w:rPr>
                              <w:t>Meliton</w:t>
                            </w:r>
                            <w:proofErr w:type="spellEnd"/>
                            <w:r w:rsidRPr="00141868">
                              <w:rPr>
                                <w:rFonts w:asciiTheme="majorHAnsi" w:hAnsiTheme="majorHAnsi"/>
                                <w:color w:val="595959" w:themeColor="text1" w:themeTint="A6"/>
                                <w:sz w:val="18"/>
                                <w:lang w:val="es-419"/>
                              </w:rPr>
                              <w:t xml:space="preserve"> </w:t>
                            </w:r>
                            <w:proofErr w:type="spellStart"/>
                            <w:r w:rsidRPr="00141868">
                              <w:rPr>
                                <w:rFonts w:asciiTheme="majorHAnsi" w:hAnsiTheme="majorHAnsi"/>
                                <w:color w:val="595959" w:themeColor="text1" w:themeTint="A6"/>
                                <w:sz w:val="18"/>
                                <w:lang w:val="es-419"/>
                              </w:rPr>
                              <w:t>Maquera</w:t>
                            </w:r>
                            <w:proofErr w:type="spellEnd"/>
                            <w:r w:rsidRPr="00141868">
                              <w:rPr>
                                <w:rFonts w:asciiTheme="majorHAnsi" w:hAnsiTheme="majorHAnsi"/>
                                <w:color w:val="595959" w:themeColor="text1" w:themeTint="A6"/>
                                <w:sz w:val="18"/>
                                <w:lang w:val="es-419"/>
                              </w:rPr>
                              <w:t xml:space="preserve"> Ram</w:t>
                            </w:r>
                            <w:r w:rsidR="00E56E3D" w:rsidRPr="00141868">
                              <w:rPr>
                                <w:rFonts w:asciiTheme="majorHAnsi" w:hAnsiTheme="majorHAnsi"/>
                                <w:color w:val="595959" w:themeColor="text1" w:themeTint="A6"/>
                                <w:sz w:val="18"/>
                                <w:lang w:val="es-419"/>
                              </w:rPr>
                              <w:t>i</w:t>
                            </w:r>
                            <w:r w:rsidRPr="00141868">
                              <w:rPr>
                                <w:rFonts w:asciiTheme="majorHAnsi" w:hAnsiTheme="majorHAnsi"/>
                                <w:color w:val="595959" w:themeColor="text1" w:themeTint="A6"/>
                                <w:sz w:val="18"/>
                                <w:lang w:val="es-419"/>
                              </w:rPr>
                              <w:t xml:space="preserve">rez et al. </w:t>
                            </w:r>
                            <w:r>
                              <w:rPr>
                                <w:rFonts w:asciiTheme="majorHAnsi" w:hAnsiTheme="majorHAnsi"/>
                                <w:color w:val="595959" w:themeColor="text1" w:themeTint="A6"/>
                                <w:sz w:val="18"/>
                              </w:rPr>
                              <w:t xml:space="preserve">Peru. </w:t>
                            </w:r>
                            <w:r w:rsidR="00141868">
                              <w:rPr>
                                <w:rFonts w:asciiTheme="majorHAnsi" w:hAnsiTheme="majorHAnsi"/>
                                <w:color w:val="595959" w:themeColor="text1" w:themeTint="A6"/>
                                <w:sz w:val="18"/>
                              </w:rPr>
                              <w:t>March 7, 2022</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8F1FA" id="Text Box 10" o:spid="_x0000_s1030" type="#_x0000_t202" style="position:absolute;left:0;text-align:left;margin-left:105pt;margin-top:.55pt;width:393.4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" filled="f" stroked="f" strokeweight=".5pt">
                <v:textbox>
                  <w:txbxContent>
                    <w:p w14:paraId="0B6C966F" w14:textId="34548891" w:rsidR="00113F73" w:rsidRPr="00E14A5F" w:rsidRDefault="00113F73"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141868">
                        <w:rPr>
                          <w:rFonts w:asciiTheme="majorHAnsi" w:hAnsiTheme="majorHAnsi"/>
                          <w:color w:val="595959" w:themeColor="text1" w:themeTint="A6"/>
                          <w:sz w:val="18"/>
                        </w:rPr>
                        <w:t>53</w:t>
                      </w:r>
                      <w:r>
                        <w:rPr>
                          <w:rFonts w:asciiTheme="majorHAnsi" w:hAnsiTheme="majorHAnsi"/>
                          <w:color w:val="595959" w:themeColor="text1" w:themeTint="A6"/>
                          <w:sz w:val="18"/>
                        </w:rPr>
                        <w:t xml:space="preserve">/22. Petition 846-10. Admissibility. </w:t>
                      </w:r>
                      <w:proofErr w:type="spellStart"/>
                      <w:r w:rsidRPr="00141868">
                        <w:rPr>
                          <w:rFonts w:asciiTheme="majorHAnsi" w:hAnsiTheme="majorHAnsi"/>
                          <w:color w:val="595959" w:themeColor="text1" w:themeTint="A6"/>
                          <w:sz w:val="18"/>
                          <w:lang w:val="es-419"/>
                        </w:rPr>
                        <w:t>Meliton</w:t>
                      </w:r>
                      <w:proofErr w:type="spellEnd"/>
                      <w:r w:rsidRPr="00141868">
                        <w:rPr>
                          <w:rFonts w:asciiTheme="majorHAnsi" w:hAnsiTheme="majorHAnsi"/>
                          <w:color w:val="595959" w:themeColor="text1" w:themeTint="A6"/>
                          <w:sz w:val="18"/>
                          <w:lang w:val="es-419"/>
                        </w:rPr>
                        <w:t xml:space="preserve"> </w:t>
                      </w:r>
                      <w:proofErr w:type="spellStart"/>
                      <w:r w:rsidRPr="00141868">
                        <w:rPr>
                          <w:rFonts w:asciiTheme="majorHAnsi" w:hAnsiTheme="majorHAnsi"/>
                          <w:color w:val="595959" w:themeColor="text1" w:themeTint="A6"/>
                          <w:sz w:val="18"/>
                          <w:lang w:val="es-419"/>
                        </w:rPr>
                        <w:t>Maquera</w:t>
                      </w:r>
                      <w:proofErr w:type="spellEnd"/>
                      <w:r w:rsidRPr="00141868">
                        <w:rPr>
                          <w:rFonts w:asciiTheme="majorHAnsi" w:hAnsiTheme="majorHAnsi"/>
                          <w:color w:val="595959" w:themeColor="text1" w:themeTint="A6"/>
                          <w:sz w:val="18"/>
                          <w:lang w:val="es-419"/>
                        </w:rPr>
                        <w:t xml:space="preserve"> Ram</w:t>
                      </w:r>
                      <w:r w:rsidR="00E56E3D" w:rsidRPr="00141868">
                        <w:rPr>
                          <w:rFonts w:asciiTheme="majorHAnsi" w:hAnsiTheme="majorHAnsi"/>
                          <w:color w:val="595959" w:themeColor="text1" w:themeTint="A6"/>
                          <w:sz w:val="18"/>
                          <w:lang w:val="es-419"/>
                        </w:rPr>
                        <w:t>i</w:t>
                      </w:r>
                      <w:r w:rsidRPr="00141868">
                        <w:rPr>
                          <w:rFonts w:asciiTheme="majorHAnsi" w:hAnsiTheme="majorHAnsi"/>
                          <w:color w:val="595959" w:themeColor="text1" w:themeTint="A6"/>
                          <w:sz w:val="18"/>
                          <w:lang w:val="es-419"/>
                        </w:rPr>
                        <w:t xml:space="preserve">rez et al. </w:t>
                      </w:r>
                      <w:r>
                        <w:rPr>
                          <w:rFonts w:asciiTheme="majorHAnsi" w:hAnsiTheme="majorHAnsi"/>
                          <w:color w:val="595959" w:themeColor="text1" w:themeTint="A6"/>
                          <w:sz w:val="18"/>
                        </w:rPr>
                        <w:t xml:space="preserve">Peru. </w:t>
                      </w:r>
                      <w:r w:rsidR="00141868">
                        <w:rPr>
                          <w:rFonts w:asciiTheme="majorHAnsi" w:hAnsiTheme="majorHAnsi"/>
                          <w:color w:val="595959" w:themeColor="text1" w:themeTint="A6"/>
                          <w:sz w:val="18"/>
                        </w:rPr>
                        <w:t>March 7, 2022</w:t>
                      </w:r>
                      <w:r>
                        <w:rPr>
                          <w:rFonts w:asciiTheme="majorHAnsi" w:hAnsiTheme="majorHAnsi"/>
                          <w:color w:val="595959" w:themeColor="text1" w:themeTint="A6"/>
                          <w:sz w:val="18"/>
                        </w:rPr>
                        <w:t>.</w:t>
                      </w:r>
                    </w:p>
                  </w:txbxContent>
                </v:textbox>
              </v:shape>
            </w:pict>
          </mc:Fallback>
        </mc:AlternateContent>
      </w:r>
    </w:p>
    <w:p w14:paraId="7CBDA921"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130E5625" w14:textId="4713FD8F" w:rsidR="0090270B" w:rsidRPr="00512999" w:rsidRDefault="0090270B" w:rsidP="00512999">
      <w:pPr>
        <w:tabs>
          <w:tab w:val="center" w:pos="5400"/>
        </w:tabs>
        <w:suppressAutoHyphens/>
        <w:jc w:val="center"/>
        <w:rPr>
          <w:rFonts w:asciiTheme="majorHAnsi" w:hAnsiTheme="majorHAnsi"/>
          <w:b/>
          <w:sz w:val="20"/>
          <w:szCs w:val="20"/>
        </w:rPr>
      </w:pPr>
    </w:p>
    <w:p w14:paraId="280B865C" w14:textId="0451E2A1" w:rsidR="0070697F" w:rsidRPr="00512999" w:rsidRDefault="00D5406D" w:rsidP="00512999">
      <w:pPr>
        <w:tabs>
          <w:tab w:val="center" w:pos="5400"/>
        </w:tabs>
        <w:suppressAutoHyphens/>
        <w:jc w:val="center"/>
        <w:rPr>
          <w:rFonts w:asciiTheme="majorHAnsi" w:hAnsiTheme="majorHAnsi"/>
          <w:b/>
          <w:sz w:val="20"/>
          <w:szCs w:val="20"/>
        </w:rPr>
        <w:sectPr w:rsidR="0070697F" w:rsidRPr="00512999"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20"/>
        </w:rPr>
        <mc:AlternateContent>
          <mc:Choice Requires="wps">
            <w:drawing>
              <wp:anchor distT="0" distB="0" distL="114300" distR="114300" simplePos="0" relativeHeight="251680768" behindDoc="0" locked="0" layoutInCell="1" allowOverlap="1" wp14:anchorId="632108A3" wp14:editId="77989C73">
                <wp:simplePos x="0" y="0"/>
                <wp:positionH relativeFrom="column">
                  <wp:posOffset>1301387</wp:posOffset>
                </wp:positionH>
                <wp:positionV relativeFrom="paragraph">
                  <wp:posOffset>636905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2ECBF" w14:textId="6C400AB2" w:rsidR="00D72DC6" w:rsidRPr="00D72DC6" w:rsidRDefault="003F33F4" w:rsidP="00F02AD1">
                            <w:pPr>
                              <w:rPr>
                                <w:color w:val="FFFFFF" w:themeColor="background1"/>
                                <w14:textFill>
                                  <w14:noFill/>
                                </w14:textFill>
                              </w:rPr>
                            </w:pPr>
                            <w:r>
                              <w:rPr>
                                <w:noProof/>
                                <w:color w:val="FFFFFF" w:themeColor="background1"/>
                              </w:rPr>
                              <w:drawing>
                                <wp:inline distT="0" distB="0" distL="0" distR="0" wp14:anchorId="6FE74CFE" wp14:editId="504807C1">
                                  <wp:extent cx="1837690" cy="469265"/>
                                  <wp:effectExtent l="0" t="0" r="0" b="6985"/>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17"/>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108A3" id="Text Box 9" o:spid="_x0000_s1031" type="#_x0000_t202" style="position:absolute;left:0;text-align:left;margin-left:102.45pt;margin-top:50.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" fillcolor="white [3201]" stroked="f" strokeweight=".5pt">
                <v:textbox>
                  <w:txbxContent>
                    <w:p w14:paraId="5CD2ECBF" w14:textId="6C400AB2" w:rsidR="00D72DC6" w:rsidRPr="00D72DC6" w:rsidRDefault="003F33F4" w:rsidP="00F02AD1">
                      <w:pPr>
                        <w:rPr>
                          <w:color w:val="FFFFFF" w:themeColor="background1"/>
                          <w14:textFill>
                            <w14:noFill/>
                          </w14:textFill>
                        </w:rPr>
                      </w:pPr>
                      <w:r>
                        <w:rPr>
                          <w:noProof/>
                          <w:color w:val="FFFFFF" w:themeColor="background1"/>
                        </w:rPr>
                        <w:drawing>
                          <wp:inline distT="0" distB="0" distL="0" distR="0" wp14:anchorId="6FE74CFE" wp14:editId="504807C1">
                            <wp:extent cx="1837690" cy="469265"/>
                            <wp:effectExtent l="0" t="0" r="0" b="6985"/>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18"/>
                                    <a:stretch>
                                      <a:fillRect/>
                                    </a:stretch>
                                  </pic:blipFill>
                                  <pic:spPr>
                                    <a:xfrm>
                                      <a:off x="0" y="0"/>
                                      <a:ext cx="1837690" cy="469265"/>
                                    </a:xfrm>
                                    <a:prstGeom prst="rect">
                                      <a:avLst/>
                                    </a:prstGeom>
                                  </pic:spPr>
                                </pic:pic>
                              </a:graphicData>
                            </a:graphic>
                          </wp:inline>
                        </w:drawing>
                      </w:r>
                    </w:p>
                  </w:txbxContent>
                </v:textbox>
              </v:shape>
            </w:pict>
          </mc:Fallback>
        </mc:AlternateContent>
      </w:r>
      <w:r w:rsidR="00141868">
        <w:rPr>
          <w:rFonts w:asciiTheme="majorHAnsi" w:hAnsiTheme="majorHAnsi"/>
          <w:noProof/>
          <w:sz w:val="20"/>
        </w:rPr>
        <mc:AlternateContent>
          <mc:Choice Requires="wps">
            <w:drawing>
              <wp:anchor distT="0" distB="0" distL="114300" distR="114300" simplePos="0" relativeHeight="251682816" behindDoc="0" locked="0" layoutInCell="1" allowOverlap="1" wp14:anchorId="3014DC98" wp14:editId="546FF1C9">
                <wp:simplePos x="0" y="0"/>
                <wp:positionH relativeFrom="column">
                  <wp:posOffset>-271780</wp:posOffset>
                </wp:positionH>
                <wp:positionV relativeFrom="paragraph">
                  <wp:posOffset>853803</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E22D7F"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4DC98" id="Text Box 4" o:spid="_x0000_s1032" type="#_x0000_t202" style="position:absolute;left:0;text-align:left;margin-left:-21.4pt;margin-top:67.2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" filled="f" stroked="f" strokeweight=".5pt">
                <v:textbox>
                  <w:txbxContent>
                    <w:p w14:paraId="50E22D7F"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r w:rsidR="00843BB5">
        <w:rPr>
          <w:rFonts w:asciiTheme="majorHAnsi" w:hAnsiTheme="majorHAnsi"/>
          <w:b/>
          <w:sz w:val="20"/>
        </w:rPr>
        <w:tab/>
      </w:r>
    </w:p>
    <w:p w14:paraId="5D2E44BF" w14:textId="487B8C69" w:rsidR="003239B8" w:rsidRPr="00AD206C" w:rsidRDefault="003239B8" w:rsidP="00AD206C">
      <w:pPr>
        <w:pStyle w:val="ListParagraph"/>
        <w:numPr>
          <w:ilvl w:val="0"/>
          <w:numId w:val="60"/>
        </w:numPr>
        <w:jc w:val="both"/>
        <w:rPr>
          <w:rFonts w:asciiTheme="majorHAnsi" w:hAnsiTheme="majorHAnsi"/>
          <w:b/>
          <w:bCs/>
          <w:sz w:val="20"/>
          <w:szCs w:val="20"/>
        </w:rPr>
      </w:pPr>
      <w:r>
        <w:rPr>
          <w:rFonts w:asciiTheme="majorHAnsi" w:hAnsiTheme="majorHAnsi"/>
          <w:b/>
          <w:sz w:val="20"/>
        </w:rPr>
        <w:lastRenderedPageBreak/>
        <w:t xml:space="preserve">I. INFORMATION ABOUT THE PETITION </w:t>
      </w:r>
    </w:p>
    <w:p w14:paraId="32DFA2F6" w14:textId="77777777" w:rsidR="00AD206C" w:rsidRPr="00AD206C" w:rsidRDefault="00AD206C" w:rsidP="00AD206C">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23287" w14:paraId="4F01D80C" w14:textId="77777777" w:rsidTr="003F33F4">
        <w:tc>
          <w:tcPr>
            <w:tcW w:w="3600" w:type="dxa"/>
            <w:shd w:val="clear" w:color="auto" w:fill="73BF43"/>
            <w:vAlign w:val="center"/>
          </w:tcPr>
          <w:p w14:paraId="53103E9C" w14:textId="77777777" w:rsidR="003239B8" w:rsidRPr="00512999" w:rsidRDefault="003239B8" w:rsidP="00512999">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Petitioning party:</w:t>
            </w:r>
          </w:p>
        </w:tc>
        <w:tc>
          <w:tcPr>
            <w:tcW w:w="5760" w:type="dxa"/>
            <w:vAlign w:val="center"/>
          </w:tcPr>
          <w:p w14:paraId="313EBDBD" w14:textId="78582BCA" w:rsidR="003239B8" w:rsidRPr="00862A6C" w:rsidRDefault="00A72560" w:rsidP="00512999">
            <w:pPr>
              <w:jc w:val="both"/>
              <w:rPr>
                <w:rFonts w:asciiTheme="majorHAnsi" w:hAnsiTheme="majorHAnsi"/>
                <w:bCs/>
                <w:sz w:val="20"/>
                <w:szCs w:val="20"/>
                <w:lang w:val="es-419"/>
              </w:rPr>
            </w:pPr>
            <w:proofErr w:type="spellStart"/>
            <w:r w:rsidRPr="00862A6C">
              <w:rPr>
                <w:rFonts w:asciiTheme="majorHAnsi" w:hAnsiTheme="majorHAnsi"/>
                <w:sz w:val="20"/>
                <w:lang w:val="es-419"/>
              </w:rPr>
              <w:t>Meliton</w:t>
            </w:r>
            <w:proofErr w:type="spellEnd"/>
            <w:r w:rsidRPr="00862A6C">
              <w:rPr>
                <w:rFonts w:asciiTheme="majorHAnsi" w:hAnsiTheme="majorHAnsi"/>
                <w:sz w:val="20"/>
                <w:lang w:val="es-419"/>
              </w:rPr>
              <w:t xml:space="preserve"> </w:t>
            </w:r>
            <w:proofErr w:type="spellStart"/>
            <w:r w:rsidRPr="00862A6C">
              <w:rPr>
                <w:rFonts w:asciiTheme="majorHAnsi" w:hAnsiTheme="majorHAnsi"/>
                <w:sz w:val="20"/>
                <w:lang w:val="es-419"/>
              </w:rPr>
              <w:t>Maquera</w:t>
            </w:r>
            <w:proofErr w:type="spellEnd"/>
            <w:r w:rsidRPr="00862A6C">
              <w:rPr>
                <w:rFonts w:asciiTheme="majorHAnsi" w:hAnsiTheme="majorHAnsi"/>
                <w:sz w:val="20"/>
                <w:lang w:val="es-419"/>
              </w:rPr>
              <w:t xml:space="preserve"> Ram</w:t>
            </w:r>
            <w:r w:rsidR="00E56E3D" w:rsidRPr="00862A6C">
              <w:rPr>
                <w:rFonts w:asciiTheme="majorHAnsi" w:hAnsiTheme="majorHAnsi"/>
                <w:sz w:val="20"/>
                <w:lang w:val="es-419"/>
              </w:rPr>
              <w:t>i</w:t>
            </w:r>
            <w:r w:rsidRPr="00862A6C">
              <w:rPr>
                <w:rFonts w:asciiTheme="majorHAnsi" w:hAnsiTheme="majorHAnsi"/>
                <w:sz w:val="20"/>
                <w:lang w:val="es-419"/>
              </w:rPr>
              <w:t>rez</w:t>
            </w:r>
            <w:r w:rsidR="00A969DF" w:rsidRPr="00066E4D">
              <w:rPr>
                <w:rStyle w:val="FootnoteReference"/>
                <w:rFonts w:asciiTheme="majorHAnsi" w:hAnsiTheme="majorHAnsi"/>
                <w:bCs/>
                <w:sz w:val="20"/>
                <w:szCs w:val="20"/>
              </w:rPr>
              <w:footnoteReference w:id="2"/>
            </w:r>
            <w:r w:rsidRPr="00862A6C">
              <w:rPr>
                <w:rFonts w:asciiTheme="majorHAnsi" w:hAnsiTheme="majorHAnsi"/>
                <w:sz w:val="20"/>
                <w:lang w:val="es-419"/>
              </w:rPr>
              <w:t xml:space="preserve"> and Luis Alberto Vargas </w:t>
            </w:r>
            <w:proofErr w:type="spellStart"/>
            <w:r w:rsidRPr="00862A6C">
              <w:rPr>
                <w:rFonts w:asciiTheme="majorHAnsi" w:hAnsiTheme="majorHAnsi"/>
                <w:sz w:val="20"/>
                <w:lang w:val="es-419"/>
              </w:rPr>
              <w:t>Ju</w:t>
            </w:r>
            <w:r w:rsidR="00673F3F" w:rsidRPr="00862A6C">
              <w:rPr>
                <w:rFonts w:asciiTheme="majorHAnsi" w:hAnsiTheme="majorHAnsi"/>
                <w:sz w:val="20"/>
                <w:lang w:val="es-419"/>
              </w:rPr>
              <w:t>a</w:t>
            </w:r>
            <w:r w:rsidRPr="00862A6C">
              <w:rPr>
                <w:rFonts w:asciiTheme="majorHAnsi" w:hAnsiTheme="majorHAnsi"/>
                <w:sz w:val="20"/>
                <w:lang w:val="es-419"/>
              </w:rPr>
              <w:t>rez</w:t>
            </w:r>
            <w:proofErr w:type="spellEnd"/>
          </w:p>
        </w:tc>
      </w:tr>
      <w:tr w:rsidR="003239B8" w:rsidRPr="00323287" w14:paraId="38A50DFF" w14:textId="77777777" w:rsidTr="003F33F4">
        <w:tc>
          <w:tcPr>
            <w:tcW w:w="3600" w:type="dxa"/>
            <w:shd w:val="clear" w:color="auto" w:fill="73BF43"/>
            <w:vAlign w:val="center"/>
          </w:tcPr>
          <w:p w14:paraId="14CA1CC7" w14:textId="77777777" w:rsidR="003239B8" w:rsidRPr="00512999" w:rsidRDefault="00B01310" w:rsidP="00512999">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Choose an option"/>
                <w:tag w:val="Elegir una opción"/>
                <w:id w:val="931095713"/>
                <w:placeholder>
                  <w:docPart w:val="EF85E8F873F2494CB1B0EF413DA4B061"/>
                </w:placeholder>
                <w:dropDownList>
                  <w:listItem w:value="Choose an item."/>
                  <w:listItem w:displayText="Alleged victim:" w:value="Presunta víctima"/>
                  <w:listItem w:displayText="Alleged victims:" w:value="Presuntas víctimas"/>
                </w:dropDownList>
              </w:sdtPr>
              <w:sdtEndPr/>
              <w:sdtContent>
                <w:r w:rsidR="00C5791E">
                  <w:rPr>
                    <w:rFonts w:asciiTheme="majorHAnsi" w:hAnsiTheme="majorHAnsi"/>
                    <w:b/>
                    <w:color w:val="FFFFFF" w:themeColor="background1"/>
                    <w:sz w:val="20"/>
                  </w:rPr>
                  <w:t>Alleged victim:</w:t>
                </w:r>
              </w:sdtContent>
            </w:sdt>
            <w:r w:rsidR="00C5791E">
              <w:rPr>
                <w:rFonts w:asciiTheme="majorHAnsi" w:hAnsiTheme="majorHAnsi"/>
                <w:b/>
                <w:color w:val="FFFFFF" w:themeColor="background1"/>
                <w:sz w:val="20"/>
              </w:rPr>
              <w:t>:</w:t>
            </w:r>
          </w:p>
        </w:tc>
        <w:tc>
          <w:tcPr>
            <w:tcW w:w="5760" w:type="dxa"/>
            <w:vAlign w:val="center"/>
          </w:tcPr>
          <w:p w14:paraId="28BEBEA8" w14:textId="505DE357" w:rsidR="003239B8" w:rsidRPr="00862A6C" w:rsidRDefault="002807C5" w:rsidP="00512999">
            <w:pPr>
              <w:jc w:val="both"/>
              <w:rPr>
                <w:rFonts w:asciiTheme="majorHAnsi" w:hAnsiTheme="majorHAnsi"/>
                <w:bCs/>
                <w:sz w:val="20"/>
                <w:szCs w:val="20"/>
                <w:lang w:val="es-419"/>
              </w:rPr>
            </w:pPr>
            <w:proofErr w:type="spellStart"/>
            <w:r w:rsidRPr="00862A6C">
              <w:rPr>
                <w:rFonts w:asciiTheme="majorHAnsi" w:hAnsiTheme="majorHAnsi"/>
                <w:sz w:val="20"/>
                <w:lang w:val="es-419"/>
              </w:rPr>
              <w:t>Meliton</w:t>
            </w:r>
            <w:proofErr w:type="spellEnd"/>
            <w:r w:rsidRPr="00862A6C">
              <w:rPr>
                <w:rFonts w:asciiTheme="majorHAnsi" w:hAnsiTheme="majorHAnsi"/>
                <w:sz w:val="20"/>
                <w:lang w:val="es-419"/>
              </w:rPr>
              <w:t xml:space="preserve"> </w:t>
            </w:r>
            <w:proofErr w:type="spellStart"/>
            <w:r w:rsidRPr="00862A6C">
              <w:rPr>
                <w:rFonts w:asciiTheme="majorHAnsi" w:hAnsiTheme="majorHAnsi"/>
                <w:sz w:val="20"/>
                <w:lang w:val="es-419"/>
              </w:rPr>
              <w:t>Maquera</w:t>
            </w:r>
            <w:proofErr w:type="spellEnd"/>
            <w:r w:rsidRPr="00862A6C">
              <w:rPr>
                <w:rFonts w:asciiTheme="majorHAnsi" w:hAnsiTheme="majorHAnsi"/>
                <w:sz w:val="20"/>
                <w:lang w:val="es-419"/>
              </w:rPr>
              <w:t xml:space="preserve"> Ram</w:t>
            </w:r>
            <w:r w:rsidR="00E56E3D" w:rsidRPr="00862A6C">
              <w:rPr>
                <w:rFonts w:asciiTheme="majorHAnsi" w:hAnsiTheme="majorHAnsi"/>
                <w:sz w:val="20"/>
                <w:lang w:val="es-419"/>
              </w:rPr>
              <w:t>i</w:t>
            </w:r>
            <w:r w:rsidRPr="00862A6C">
              <w:rPr>
                <w:rFonts w:asciiTheme="majorHAnsi" w:hAnsiTheme="majorHAnsi"/>
                <w:sz w:val="20"/>
                <w:lang w:val="es-419"/>
              </w:rPr>
              <w:t>rez et al</w:t>
            </w:r>
            <w:r w:rsidRPr="00066E4D">
              <w:rPr>
                <w:rStyle w:val="FootnoteReference"/>
                <w:rFonts w:asciiTheme="majorHAnsi" w:hAnsiTheme="majorHAnsi"/>
                <w:bCs/>
                <w:sz w:val="20"/>
                <w:szCs w:val="20"/>
              </w:rPr>
              <w:footnoteReference w:id="3"/>
            </w:r>
          </w:p>
        </w:tc>
      </w:tr>
      <w:tr w:rsidR="003239B8" w:rsidRPr="00512999" w14:paraId="24BA6700" w14:textId="77777777" w:rsidTr="003F33F4">
        <w:tc>
          <w:tcPr>
            <w:tcW w:w="3600" w:type="dxa"/>
            <w:shd w:val="clear" w:color="auto" w:fill="73BF43"/>
            <w:vAlign w:val="center"/>
          </w:tcPr>
          <w:p w14:paraId="2F16B6BF" w14:textId="77777777" w:rsidR="003239B8" w:rsidRPr="00512999" w:rsidRDefault="003239B8" w:rsidP="00512999">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Respondent State:</w:t>
            </w:r>
          </w:p>
        </w:tc>
        <w:tc>
          <w:tcPr>
            <w:tcW w:w="5760" w:type="dxa"/>
            <w:vAlign w:val="center"/>
          </w:tcPr>
          <w:p w14:paraId="156D7F54" w14:textId="5EAB226B" w:rsidR="003239B8" w:rsidRPr="00512999" w:rsidRDefault="00BE5A63" w:rsidP="00512999">
            <w:pPr>
              <w:jc w:val="both"/>
              <w:rPr>
                <w:rFonts w:asciiTheme="majorHAnsi" w:hAnsiTheme="majorHAnsi"/>
                <w:bCs/>
                <w:sz w:val="20"/>
                <w:szCs w:val="20"/>
              </w:rPr>
            </w:pPr>
            <w:r>
              <w:rPr>
                <w:rFonts w:asciiTheme="majorHAnsi" w:hAnsiTheme="majorHAnsi"/>
                <w:sz w:val="20"/>
              </w:rPr>
              <w:t>Peru</w:t>
            </w:r>
            <w:r w:rsidR="004A6A54" w:rsidRPr="00512999">
              <w:rPr>
                <w:rStyle w:val="FootnoteReference"/>
                <w:rFonts w:asciiTheme="majorHAnsi" w:hAnsiTheme="majorHAnsi"/>
                <w:bCs/>
                <w:sz w:val="20"/>
                <w:szCs w:val="20"/>
              </w:rPr>
              <w:footnoteReference w:id="4"/>
            </w:r>
          </w:p>
        </w:tc>
      </w:tr>
      <w:tr w:rsidR="00223A29" w:rsidRPr="00200671" w14:paraId="6878BC56" w14:textId="77777777" w:rsidTr="003F33F4">
        <w:tc>
          <w:tcPr>
            <w:tcW w:w="3600" w:type="dxa"/>
            <w:shd w:val="clear" w:color="auto" w:fill="73BF43"/>
            <w:vAlign w:val="center"/>
          </w:tcPr>
          <w:p w14:paraId="1E0E284B" w14:textId="77777777" w:rsidR="00223A29" w:rsidRPr="00512999" w:rsidRDefault="001B3A00" w:rsidP="00512999">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Rights invoked:</w:t>
            </w:r>
          </w:p>
        </w:tc>
        <w:tc>
          <w:tcPr>
            <w:tcW w:w="5760" w:type="dxa"/>
            <w:vAlign w:val="center"/>
          </w:tcPr>
          <w:p w14:paraId="202C8F0D" w14:textId="49F8F3DB" w:rsidR="00223A29" w:rsidRPr="00EE0069" w:rsidRDefault="0085765C" w:rsidP="00EE0069">
            <w:pPr>
              <w:jc w:val="both"/>
              <w:rPr>
                <w:rFonts w:asciiTheme="majorHAnsi" w:hAnsiTheme="majorHAnsi"/>
                <w:bCs/>
                <w:sz w:val="20"/>
                <w:szCs w:val="20"/>
              </w:rPr>
            </w:pPr>
            <w:r>
              <w:rPr>
                <w:rFonts w:asciiTheme="majorHAnsi" w:hAnsiTheme="majorHAnsi"/>
                <w:sz w:val="20"/>
              </w:rPr>
              <w:t>Articles 8 (judicial guarantees), 21 (private property), and 26 (economic, social and cultural rights) of the American Convention on Human Rights</w:t>
            </w:r>
            <w:r w:rsidRPr="00EE0069">
              <w:rPr>
                <w:rStyle w:val="FootnoteReference"/>
                <w:rFonts w:asciiTheme="majorHAnsi" w:hAnsiTheme="majorHAnsi"/>
                <w:bCs/>
                <w:sz w:val="20"/>
                <w:szCs w:val="20"/>
              </w:rPr>
              <w:footnoteReference w:id="5"/>
            </w:r>
            <w:r>
              <w:rPr>
                <w:rFonts w:asciiTheme="majorHAnsi" w:hAnsiTheme="majorHAnsi"/>
                <w:sz w:val="20"/>
              </w:rPr>
              <w:t>; Article 3 (non-discrimination) of the Additional Protocol to the American Convention on Human Rights in the Area of Economic, Social and Cultural Rights</w:t>
            </w:r>
            <w:r w:rsidR="00EE0069">
              <w:rPr>
                <w:rStyle w:val="FootnoteReference"/>
                <w:rFonts w:asciiTheme="majorHAnsi" w:hAnsiTheme="majorHAnsi"/>
                <w:bCs/>
                <w:sz w:val="20"/>
                <w:szCs w:val="20"/>
              </w:rPr>
              <w:footnoteReference w:id="6"/>
            </w:r>
          </w:p>
        </w:tc>
      </w:tr>
    </w:tbl>
    <w:p w14:paraId="35AA0333" w14:textId="77777777" w:rsidR="00AD206C" w:rsidRDefault="00AD206C" w:rsidP="00512999">
      <w:pPr>
        <w:pBdr>
          <w:bottom w:val="nil"/>
        </w:pBdr>
        <w:ind w:firstLine="720"/>
        <w:jc w:val="both"/>
        <w:rPr>
          <w:rFonts w:asciiTheme="majorHAnsi" w:hAnsiTheme="majorHAnsi"/>
          <w:b/>
          <w:bCs/>
          <w:sz w:val="20"/>
          <w:szCs w:val="20"/>
        </w:rPr>
      </w:pPr>
    </w:p>
    <w:p w14:paraId="7ADE2E8B" w14:textId="467B75BC" w:rsidR="003239B8" w:rsidRPr="00AD206C" w:rsidRDefault="003239B8" w:rsidP="00AD206C">
      <w:pPr>
        <w:pStyle w:val="ListParagraph"/>
        <w:numPr>
          <w:ilvl w:val="0"/>
          <w:numId w:val="60"/>
        </w:numPr>
        <w:jc w:val="both"/>
        <w:rPr>
          <w:rFonts w:asciiTheme="majorHAnsi" w:hAnsiTheme="majorHAnsi"/>
          <w:b/>
          <w:bCs/>
          <w:sz w:val="20"/>
          <w:szCs w:val="20"/>
        </w:rPr>
      </w:pPr>
      <w:r>
        <w:rPr>
          <w:rFonts w:asciiTheme="majorHAnsi" w:hAnsiTheme="majorHAnsi"/>
          <w:b/>
          <w:sz w:val="20"/>
        </w:rPr>
        <w:t>PROCESSING BY THE IACHR</w:t>
      </w:r>
      <w:r w:rsidR="008E3BFE" w:rsidRPr="00512999">
        <w:rPr>
          <w:rStyle w:val="FootnoteReference"/>
          <w:rFonts w:asciiTheme="majorHAnsi" w:hAnsiTheme="majorHAnsi"/>
          <w:b/>
          <w:sz w:val="20"/>
          <w:szCs w:val="20"/>
        </w:rPr>
        <w:footnoteReference w:id="7"/>
      </w:r>
    </w:p>
    <w:p w14:paraId="5D1709CC" w14:textId="77777777" w:rsidR="00AD206C" w:rsidRPr="00AD206C" w:rsidRDefault="00AD206C" w:rsidP="00AD206C">
      <w:pPr>
        <w:pStyle w:val="ListParagraph"/>
        <w:ind w:left="1440"/>
        <w:jc w:val="both"/>
        <w:rPr>
          <w:rFonts w:asciiTheme="majorHAnsi" w:hAnsiTheme="majorHAnsi"/>
          <w:b/>
          <w:bCs/>
          <w:sz w:val="20"/>
          <w:szCs w:val="20"/>
          <w:lang w:val="es-419"/>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DC03BF" w:rsidRPr="00CD608B" w14:paraId="088657D1" w14:textId="77777777" w:rsidTr="003F33F4">
        <w:tc>
          <w:tcPr>
            <w:tcW w:w="3600" w:type="dxa"/>
            <w:tcBorders>
              <w:top w:val="single" w:sz="6" w:space="0" w:color="auto"/>
              <w:bottom w:val="single" w:sz="6" w:space="0" w:color="auto"/>
            </w:tcBorders>
            <w:shd w:val="clear" w:color="auto" w:fill="73BF43"/>
            <w:vAlign w:val="center"/>
          </w:tcPr>
          <w:p w14:paraId="0A7DCBA2" w14:textId="77777777" w:rsidR="00DC03BF" w:rsidRPr="00DC03BF" w:rsidRDefault="00DC03BF" w:rsidP="00B70A8C">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Filing of the petition:</w:t>
            </w:r>
          </w:p>
        </w:tc>
        <w:tc>
          <w:tcPr>
            <w:tcW w:w="5760" w:type="dxa"/>
            <w:vAlign w:val="center"/>
          </w:tcPr>
          <w:p w14:paraId="16F9CEFC" w14:textId="67207584" w:rsidR="00DC03BF" w:rsidRPr="00DC03BF" w:rsidRDefault="00DC03BF" w:rsidP="00B70A8C">
            <w:pPr>
              <w:jc w:val="both"/>
              <w:rPr>
                <w:rFonts w:asciiTheme="majorHAnsi" w:hAnsiTheme="majorHAnsi"/>
                <w:bCs/>
                <w:sz w:val="20"/>
                <w:szCs w:val="20"/>
              </w:rPr>
            </w:pPr>
            <w:r>
              <w:rPr>
                <w:rFonts w:asciiTheme="majorHAnsi" w:hAnsiTheme="majorHAnsi"/>
                <w:sz w:val="20"/>
              </w:rPr>
              <w:t>June 7, 2010</w:t>
            </w:r>
          </w:p>
        </w:tc>
      </w:tr>
      <w:tr w:rsidR="00DC03BF" w:rsidRPr="00392112" w14:paraId="0BD889EB" w14:textId="77777777" w:rsidTr="003F33F4">
        <w:tc>
          <w:tcPr>
            <w:tcW w:w="3600" w:type="dxa"/>
            <w:tcBorders>
              <w:top w:val="single" w:sz="6" w:space="0" w:color="auto"/>
              <w:bottom w:val="single" w:sz="6" w:space="0" w:color="auto"/>
            </w:tcBorders>
            <w:shd w:val="clear" w:color="auto" w:fill="73BF43"/>
            <w:vAlign w:val="center"/>
          </w:tcPr>
          <w:p w14:paraId="24E39E3B" w14:textId="77777777" w:rsidR="00DC03BF" w:rsidRPr="00DC03BF" w:rsidRDefault="00DC03BF" w:rsidP="00B70A8C">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Additional information received at the review stage</w:t>
            </w:r>
          </w:p>
        </w:tc>
        <w:tc>
          <w:tcPr>
            <w:tcW w:w="5760" w:type="dxa"/>
            <w:vAlign w:val="center"/>
          </w:tcPr>
          <w:p w14:paraId="4B3A04D7" w14:textId="2A609AAF" w:rsidR="00DC03BF" w:rsidRPr="00DC03BF" w:rsidRDefault="00DC03BF" w:rsidP="00B70A8C">
            <w:pPr>
              <w:jc w:val="both"/>
              <w:rPr>
                <w:rFonts w:asciiTheme="majorHAnsi" w:hAnsiTheme="majorHAnsi"/>
                <w:bCs/>
                <w:sz w:val="20"/>
                <w:szCs w:val="20"/>
              </w:rPr>
            </w:pPr>
            <w:r>
              <w:rPr>
                <w:rFonts w:asciiTheme="majorHAnsi" w:hAnsiTheme="majorHAnsi"/>
                <w:sz w:val="20"/>
              </w:rPr>
              <w:t>November 22, 2011; April 20 and July 31, 2017</w:t>
            </w:r>
          </w:p>
        </w:tc>
      </w:tr>
      <w:tr w:rsidR="00DC03BF" w:rsidRPr="00392112" w14:paraId="274F8413" w14:textId="77777777" w:rsidTr="003F33F4">
        <w:tc>
          <w:tcPr>
            <w:tcW w:w="3600" w:type="dxa"/>
            <w:tcBorders>
              <w:top w:val="single" w:sz="6" w:space="0" w:color="auto"/>
              <w:bottom w:val="single" w:sz="6" w:space="0" w:color="auto"/>
            </w:tcBorders>
            <w:shd w:val="clear" w:color="auto" w:fill="73BF43"/>
            <w:vAlign w:val="center"/>
          </w:tcPr>
          <w:p w14:paraId="0D2FBFBC" w14:textId="77777777" w:rsidR="00DC03BF" w:rsidRPr="00DC03BF" w:rsidRDefault="00DC03BF" w:rsidP="00B70A8C">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Notification of the petition to the State:</w:t>
            </w:r>
          </w:p>
        </w:tc>
        <w:tc>
          <w:tcPr>
            <w:tcW w:w="5760" w:type="dxa"/>
            <w:vAlign w:val="center"/>
          </w:tcPr>
          <w:p w14:paraId="7BDB4E15" w14:textId="5DC67A1B" w:rsidR="00DC03BF" w:rsidRPr="00DC03BF" w:rsidRDefault="00DC03BF" w:rsidP="00B70A8C">
            <w:pPr>
              <w:jc w:val="both"/>
              <w:rPr>
                <w:rFonts w:asciiTheme="majorHAnsi" w:hAnsiTheme="majorHAnsi"/>
                <w:bCs/>
                <w:sz w:val="20"/>
                <w:szCs w:val="20"/>
              </w:rPr>
            </w:pPr>
            <w:r>
              <w:rPr>
                <w:rFonts w:asciiTheme="majorHAnsi" w:hAnsiTheme="majorHAnsi"/>
                <w:sz w:val="20"/>
              </w:rPr>
              <w:t>August 28, 2017</w:t>
            </w:r>
          </w:p>
        </w:tc>
      </w:tr>
      <w:tr w:rsidR="00DC03BF" w:rsidRPr="00CD608B" w14:paraId="1918EEF5" w14:textId="77777777" w:rsidTr="003F33F4">
        <w:tc>
          <w:tcPr>
            <w:tcW w:w="3600" w:type="dxa"/>
            <w:tcBorders>
              <w:top w:val="single" w:sz="6" w:space="0" w:color="auto"/>
              <w:bottom w:val="single" w:sz="6" w:space="0" w:color="auto"/>
            </w:tcBorders>
            <w:shd w:val="clear" w:color="auto" w:fill="73BF43"/>
            <w:vAlign w:val="center"/>
          </w:tcPr>
          <w:p w14:paraId="308A9DE7" w14:textId="77777777" w:rsidR="00DC03BF" w:rsidRPr="00DC03BF" w:rsidRDefault="00DC03BF" w:rsidP="00B70A8C">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State's first response:</w:t>
            </w:r>
          </w:p>
        </w:tc>
        <w:tc>
          <w:tcPr>
            <w:tcW w:w="5760" w:type="dxa"/>
            <w:vAlign w:val="center"/>
          </w:tcPr>
          <w:p w14:paraId="50D867F4" w14:textId="0102BEF8" w:rsidR="00DC03BF" w:rsidRPr="00DC03BF" w:rsidRDefault="00DC03BF" w:rsidP="00B70A8C">
            <w:pPr>
              <w:jc w:val="both"/>
              <w:rPr>
                <w:rFonts w:asciiTheme="majorHAnsi" w:hAnsiTheme="majorHAnsi"/>
                <w:bCs/>
                <w:sz w:val="20"/>
                <w:szCs w:val="20"/>
              </w:rPr>
            </w:pPr>
            <w:r>
              <w:rPr>
                <w:rFonts w:asciiTheme="majorHAnsi" w:hAnsiTheme="majorHAnsi"/>
                <w:sz w:val="20"/>
              </w:rPr>
              <w:t>November 29, 2017</w:t>
            </w:r>
          </w:p>
        </w:tc>
      </w:tr>
      <w:tr w:rsidR="00DC03BF" w:rsidRPr="00392112" w14:paraId="542D0404" w14:textId="77777777" w:rsidTr="003F33F4">
        <w:trPr>
          <w:trHeight w:val="43"/>
        </w:trPr>
        <w:tc>
          <w:tcPr>
            <w:tcW w:w="3600" w:type="dxa"/>
            <w:tcBorders>
              <w:top w:val="single" w:sz="6" w:space="0" w:color="auto"/>
              <w:bottom w:val="single" w:sz="6" w:space="0" w:color="auto"/>
            </w:tcBorders>
            <w:shd w:val="clear" w:color="auto" w:fill="73BF43"/>
            <w:vAlign w:val="center"/>
          </w:tcPr>
          <w:p w14:paraId="6C93F562" w14:textId="77777777" w:rsidR="00DC03BF" w:rsidRPr="00DC03BF" w:rsidRDefault="00DC03BF" w:rsidP="00B70A8C">
            <w:pPr>
              <w:jc w:val="center"/>
              <w:rPr>
                <w:rFonts w:asciiTheme="majorHAnsi" w:hAnsiTheme="majorHAnsi"/>
                <w:b/>
                <w:color w:val="FFFFFF" w:themeColor="background1"/>
                <w:sz w:val="20"/>
                <w:szCs w:val="20"/>
              </w:rPr>
            </w:pPr>
            <w:r>
              <w:rPr>
                <w:rFonts w:asciiTheme="majorHAnsi" w:hAnsiTheme="majorHAnsi"/>
                <w:b/>
                <w:color w:val="FFFFFF" w:themeColor="background1"/>
                <w:sz w:val="20"/>
              </w:rPr>
              <w:t>Additional observations from the petitioner:</w:t>
            </w:r>
          </w:p>
        </w:tc>
        <w:tc>
          <w:tcPr>
            <w:tcW w:w="5760" w:type="dxa"/>
            <w:vAlign w:val="center"/>
          </w:tcPr>
          <w:p w14:paraId="03399C47" w14:textId="36EAF9D3" w:rsidR="00DC03BF" w:rsidRPr="00DC03BF" w:rsidRDefault="00DC03BF" w:rsidP="00B70A8C">
            <w:pPr>
              <w:jc w:val="both"/>
              <w:rPr>
                <w:rFonts w:asciiTheme="majorHAnsi" w:hAnsiTheme="majorHAnsi"/>
                <w:bCs/>
                <w:sz w:val="20"/>
                <w:szCs w:val="20"/>
              </w:rPr>
            </w:pPr>
            <w:r>
              <w:rPr>
                <w:rFonts w:asciiTheme="majorHAnsi" w:hAnsiTheme="majorHAnsi"/>
                <w:sz w:val="20"/>
              </w:rPr>
              <w:t>October 24, 2017; February 14 and April 9, 2018; August 15, 2019; and July 12, 2021.</w:t>
            </w:r>
          </w:p>
        </w:tc>
      </w:tr>
      <w:tr w:rsidR="00DC03BF" w:rsidRPr="00392112" w14:paraId="37E8CE46" w14:textId="77777777" w:rsidTr="003F33F4">
        <w:tc>
          <w:tcPr>
            <w:tcW w:w="3600" w:type="dxa"/>
            <w:tcBorders>
              <w:top w:val="single" w:sz="6" w:space="0" w:color="auto"/>
              <w:bottom w:val="single" w:sz="6" w:space="0" w:color="auto"/>
            </w:tcBorders>
            <w:shd w:val="clear" w:color="auto" w:fill="73BF43"/>
            <w:vAlign w:val="center"/>
          </w:tcPr>
          <w:p w14:paraId="5DFFFE72" w14:textId="6BC5893E" w:rsidR="00DC03BF" w:rsidRPr="00DC03BF" w:rsidRDefault="00DC03BF" w:rsidP="00B70A8C">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Additional observations from the State:</w:t>
            </w:r>
          </w:p>
        </w:tc>
        <w:tc>
          <w:tcPr>
            <w:tcW w:w="5760" w:type="dxa"/>
            <w:vAlign w:val="center"/>
          </w:tcPr>
          <w:p w14:paraId="40D148F6" w14:textId="5E7038A0" w:rsidR="00DC03BF" w:rsidRPr="00242806" w:rsidRDefault="00242806" w:rsidP="00B70A8C">
            <w:pPr>
              <w:jc w:val="both"/>
              <w:rPr>
                <w:rFonts w:asciiTheme="majorHAnsi" w:hAnsiTheme="majorHAnsi"/>
                <w:bCs/>
                <w:sz w:val="20"/>
                <w:szCs w:val="20"/>
              </w:rPr>
            </w:pPr>
            <w:r>
              <w:rPr>
                <w:rFonts w:asciiTheme="majorHAnsi" w:hAnsiTheme="majorHAnsi"/>
                <w:sz w:val="20"/>
              </w:rPr>
              <w:t>July 14, 2020</w:t>
            </w:r>
          </w:p>
        </w:tc>
      </w:tr>
      <w:tr w:rsidR="00502CA7" w:rsidRPr="00392112" w14:paraId="4A76942E" w14:textId="77777777" w:rsidTr="003F33F4">
        <w:tc>
          <w:tcPr>
            <w:tcW w:w="3600" w:type="dxa"/>
            <w:tcBorders>
              <w:top w:val="single" w:sz="6" w:space="0" w:color="auto"/>
              <w:bottom w:val="single" w:sz="6" w:space="0" w:color="auto"/>
            </w:tcBorders>
            <w:shd w:val="clear" w:color="auto" w:fill="73BF43"/>
            <w:vAlign w:val="center"/>
          </w:tcPr>
          <w:p w14:paraId="1F4A6B75" w14:textId="142EFD99" w:rsidR="00502CA7" w:rsidRPr="00DC03BF" w:rsidRDefault="00502CA7" w:rsidP="00B70A8C">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Associated Precautionary Measure:</w:t>
            </w:r>
          </w:p>
        </w:tc>
        <w:tc>
          <w:tcPr>
            <w:tcW w:w="5760" w:type="dxa"/>
            <w:vAlign w:val="center"/>
          </w:tcPr>
          <w:p w14:paraId="05092254" w14:textId="1E8678F8" w:rsidR="00502CA7" w:rsidRDefault="00502CA7" w:rsidP="00B70A8C">
            <w:pPr>
              <w:jc w:val="both"/>
              <w:rPr>
                <w:rFonts w:asciiTheme="majorHAnsi" w:hAnsiTheme="majorHAnsi"/>
                <w:bCs/>
                <w:sz w:val="20"/>
                <w:szCs w:val="20"/>
              </w:rPr>
            </w:pPr>
            <w:r>
              <w:rPr>
                <w:rFonts w:asciiTheme="majorHAnsi" w:hAnsiTheme="majorHAnsi"/>
                <w:sz w:val="20"/>
              </w:rPr>
              <w:t>370-13 (not granted)</w:t>
            </w:r>
          </w:p>
        </w:tc>
      </w:tr>
    </w:tbl>
    <w:p w14:paraId="293F33EF" w14:textId="77777777" w:rsidR="00AD206C" w:rsidRPr="00DC03BF" w:rsidRDefault="00AD206C" w:rsidP="00512999">
      <w:pPr>
        <w:ind w:firstLine="720"/>
        <w:jc w:val="both"/>
        <w:rPr>
          <w:rFonts w:asciiTheme="majorHAnsi" w:hAnsiTheme="majorHAnsi"/>
          <w:b/>
          <w:bCs/>
          <w:sz w:val="20"/>
          <w:szCs w:val="20"/>
        </w:rPr>
      </w:pPr>
    </w:p>
    <w:p w14:paraId="095C69E7" w14:textId="75DAF2C4" w:rsidR="003239B8" w:rsidRPr="00AD206C" w:rsidRDefault="003239B8" w:rsidP="00AD206C">
      <w:pPr>
        <w:pStyle w:val="ListParagraph"/>
        <w:numPr>
          <w:ilvl w:val="0"/>
          <w:numId w:val="60"/>
        </w:numPr>
        <w:jc w:val="both"/>
        <w:rPr>
          <w:rFonts w:asciiTheme="majorHAnsi" w:hAnsiTheme="majorHAnsi"/>
          <w:b/>
          <w:bCs/>
          <w:sz w:val="20"/>
          <w:szCs w:val="20"/>
        </w:rPr>
      </w:pPr>
      <w:r>
        <w:rPr>
          <w:rFonts w:asciiTheme="majorHAnsi" w:hAnsiTheme="majorHAnsi"/>
          <w:b/>
          <w:sz w:val="20"/>
        </w:rPr>
        <w:t xml:space="preserve">COMPETENCE </w:t>
      </w:r>
    </w:p>
    <w:p w14:paraId="4879706D" w14:textId="77777777" w:rsidR="00AD206C" w:rsidRPr="00AD206C" w:rsidRDefault="00AD206C" w:rsidP="00AD206C">
      <w:pPr>
        <w:pStyle w:val="ListParagraph"/>
        <w:ind w:left="144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12999" w14:paraId="2847ED29" w14:textId="77777777" w:rsidTr="003F33F4">
        <w:trPr>
          <w:cantSplit/>
        </w:trPr>
        <w:tc>
          <w:tcPr>
            <w:tcW w:w="3600" w:type="dxa"/>
            <w:tcBorders>
              <w:top w:val="single" w:sz="4" w:space="0" w:color="auto"/>
              <w:bottom w:val="single" w:sz="6" w:space="0" w:color="auto"/>
            </w:tcBorders>
            <w:shd w:val="clear" w:color="auto" w:fill="73BF43"/>
            <w:vAlign w:val="center"/>
          </w:tcPr>
          <w:p w14:paraId="39576E61" w14:textId="77777777" w:rsidR="003239B8" w:rsidRPr="00512999" w:rsidRDefault="003239B8" w:rsidP="00512999">
            <w:pPr>
              <w:jc w:val="center"/>
              <w:rPr>
                <w:rFonts w:asciiTheme="majorHAnsi" w:hAnsiTheme="majorHAnsi"/>
                <w:b/>
                <w:bCs/>
                <w:i/>
                <w:color w:val="FFFFFF" w:themeColor="background1"/>
                <w:sz w:val="20"/>
                <w:szCs w:val="20"/>
              </w:rPr>
            </w:pPr>
            <w:r>
              <w:rPr>
                <w:rFonts w:asciiTheme="majorHAnsi" w:hAnsiTheme="majorHAnsi"/>
                <w:b/>
                <w:color w:val="FFFFFF" w:themeColor="background1"/>
                <w:sz w:val="20"/>
              </w:rPr>
              <w:t xml:space="preserve">Competence </w:t>
            </w:r>
            <w:r>
              <w:rPr>
                <w:rFonts w:asciiTheme="majorHAnsi" w:hAnsiTheme="majorHAnsi"/>
                <w:b/>
                <w:i/>
                <w:color w:val="FFFFFF" w:themeColor="background1"/>
                <w:sz w:val="20"/>
              </w:rPr>
              <w:t>Ratione personae</w:t>
            </w:r>
            <w:r>
              <w:rPr>
                <w:rFonts w:asciiTheme="majorHAnsi" w:hAnsiTheme="majorHAnsi"/>
                <w:b/>
                <w:color w:val="FFFFFF" w:themeColor="background1"/>
                <w:sz w:val="20"/>
              </w:rPr>
              <w:t>:</w:t>
            </w:r>
          </w:p>
        </w:tc>
        <w:tc>
          <w:tcPr>
            <w:tcW w:w="5760" w:type="dxa"/>
            <w:vAlign w:val="center"/>
          </w:tcPr>
          <w:p w14:paraId="6A325731" w14:textId="77777777" w:rsidR="003239B8" w:rsidRPr="00512999" w:rsidRDefault="00A12F3F" w:rsidP="00512999">
            <w:pPr>
              <w:rPr>
                <w:rFonts w:asciiTheme="majorHAnsi" w:hAnsiTheme="majorHAnsi"/>
                <w:bCs/>
                <w:sz w:val="20"/>
                <w:szCs w:val="20"/>
              </w:rPr>
            </w:pPr>
            <w:r>
              <w:rPr>
                <w:rFonts w:asciiTheme="majorHAnsi" w:hAnsiTheme="majorHAnsi"/>
                <w:sz w:val="20"/>
              </w:rPr>
              <w:t>Yes</w:t>
            </w:r>
          </w:p>
        </w:tc>
      </w:tr>
      <w:tr w:rsidR="003239B8" w:rsidRPr="00512999" w14:paraId="2A0052CE" w14:textId="77777777" w:rsidTr="003F33F4">
        <w:trPr>
          <w:cantSplit/>
        </w:trPr>
        <w:tc>
          <w:tcPr>
            <w:tcW w:w="3600" w:type="dxa"/>
            <w:tcBorders>
              <w:top w:val="single" w:sz="6" w:space="0" w:color="auto"/>
              <w:bottom w:val="single" w:sz="6" w:space="0" w:color="auto"/>
            </w:tcBorders>
            <w:shd w:val="clear" w:color="auto" w:fill="73BF43"/>
            <w:vAlign w:val="center"/>
          </w:tcPr>
          <w:p w14:paraId="6A62091F" w14:textId="77777777" w:rsidR="003239B8" w:rsidRPr="00512999" w:rsidRDefault="003239B8" w:rsidP="00512999">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 xml:space="preserve">Competence </w:t>
            </w:r>
            <w:r>
              <w:rPr>
                <w:rFonts w:asciiTheme="majorHAnsi" w:hAnsiTheme="majorHAnsi"/>
                <w:b/>
                <w:i/>
                <w:color w:val="FFFFFF" w:themeColor="background1"/>
                <w:sz w:val="20"/>
              </w:rPr>
              <w:t>Ratione loci</w:t>
            </w:r>
            <w:r>
              <w:rPr>
                <w:rFonts w:asciiTheme="majorHAnsi" w:hAnsiTheme="majorHAnsi"/>
                <w:b/>
                <w:color w:val="FFFFFF" w:themeColor="background1"/>
                <w:sz w:val="20"/>
              </w:rPr>
              <w:t>:</w:t>
            </w:r>
          </w:p>
        </w:tc>
        <w:tc>
          <w:tcPr>
            <w:tcW w:w="5760" w:type="dxa"/>
            <w:vAlign w:val="center"/>
          </w:tcPr>
          <w:p w14:paraId="4E04D230" w14:textId="77777777" w:rsidR="003239B8" w:rsidRPr="00512999" w:rsidRDefault="00A12F3F" w:rsidP="00512999">
            <w:pPr>
              <w:rPr>
                <w:rFonts w:asciiTheme="majorHAnsi" w:hAnsiTheme="majorHAnsi"/>
                <w:bCs/>
                <w:sz w:val="20"/>
                <w:szCs w:val="20"/>
              </w:rPr>
            </w:pPr>
            <w:r>
              <w:rPr>
                <w:rFonts w:asciiTheme="majorHAnsi" w:hAnsiTheme="majorHAnsi"/>
                <w:sz w:val="20"/>
              </w:rPr>
              <w:t>Yes</w:t>
            </w:r>
          </w:p>
        </w:tc>
      </w:tr>
      <w:tr w:rsidR="003239B8" w:rsidRPr="00512999" w14:paraId="1B7D074C" w14:textId="77777777" w:rsidTr="003F33F4">
        <w:trPr>
          <w:cantSplit/>
        </w:trPr>
        <w:tc>
          <w:tcPr>
            <w:tcW w:w="3600" w:type="dxa"/>
            <w:tcBorders>
              <w:top w:val="single" w:sz="6" w:space="0" w:color="auto"/>
              <w:bottom w:val="single" w:sz="6" w:space="0" w:color="auto"/>
            </w:tcBorders>
            <w:shd w:val="clear" w:color="auto" w:fill="73BF43"/>
            <w:vAlign w:val="center"/>
          </w:tcPr>
          <w:p w14:paraId="69757ABB" w14:textId="77777777" w:rsidR="003239B8" w:rsidRPr="00512999" w:rsidRDefault="003239B8" w:rsidP="00512999">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 xml:space="preserve">Competence </w:t>
            </w:r>
            <w:r>
              <w:rPr>
                <w:rFonts w:asciiTheme="majorHAnsi" w:hAnsiTheme="majorHAnsi"/>
                <w:b/>
                <w:i/>
                <w:color w:val="FFFFFF" w:themeColor="background1"/>
                <w:sz w:val="20"/>
              </w:rPr>
              <w:t>Ratione temporis:</w:t>
            </w:r>
          </w:p>
        </w:tc>
        <w:tc>
          <w:tcPr>
            <w:tcW w:w="5760" w:type="dxa"/>
            <w:vAlign w:val="center"/>
          </w:tcPr>
          <w:p w14:paraId="5AF2463A" w14:textId="77777777" w:rsidR="003239B8" w:rsidRPr="00512999" w:rsidRDefault="00A12F3F" w:rsidP="00512999">
            <w:pPr>
              <w:rPr>
                <w:rFonts w:asciiTheme="majorHAnsi" w:hAnsiTheme="majorHAnsi"/>
                <w:bCs/>
                <w:sz w:val="20"/>
                <w:szCs w:val="20"/>
              </w:rPr>
            </w:pPr>
            <w:r>
              <w:rPr>
                <w:rFonts w:asciiTheme="majorHAnsi" w:hAnsiTheme="majorHAnsi"/>
                <w:sz w:val="20"/>
              </w:rPr>
              <w:t>Yes</w:t>
            </w:r>
          </w:p>
        </w:tc>
      </w:tr>
      <w:tr w:rsidR="003239B8" w:rsidRPr="00200671" w14:paraId="0F5B4716" w14:textId="77777777" w:rsidTr="003F33F4">
        <w:trPr>
          <w:cantSplit/>
        </w:trPr>
        <w:tc>
          <w:tcPr>
            <w:tcW w:w="3600" w:type="dxa"/>
            <w:tcBorders>
              <w:top w:val="single" w:sz="6" w:space="0" w:color="auto"/>
              <w:bottom w:val="single" w:sz="6" w:space="0" w:color="auto"/>
            </w:tcBorders>
            <w:shd w:val="clear" w:color="auto" w:fill="73BF43"/>
            <w:vAlign w:val="center"/>
          </w:tcPr>
          <w:p w14:paraId="268DBB7D" w14:textId="77777777" w:rsidR="003239B8" w:rsidRPr="00512999" w:rsidRDefault="003239B8" w:rsidP="00512999">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Competence Ratione materiae:</w:t>
            </w:r>
          </w:p>
        </w:tc>
        <w:tc>
          <w:tcPr>
            <w:tcW w:w="5760" w:type="dxa"/>
            <w:vAlign w:val="center"/>
          </w:tcPr>
          <w:p w14:paraId="265E6BD3" w14:textId="39FDFE8D" w:rsidR="00A12F3F" w:rsidRPr="00A8332D" w:rsidRDefault="00A12F3F" w:rsidP="00D35B7F">
            <w:pPr>
              <w:jc w:val="both"/>
            </w:pPr>
            <w:r>
              <w:rPr>
                <w:rFonts w:asciiTheme="majorHAnsi" w:hAnsiTheme="majorHAnsi"/>
                <w:sz w:val="20"/>
              </w:rPr>
              <w:t>Yes, American Convention (instrument adopted on July 28, 1978); Protocol of San Salvador (instrument adopted on June 4, 1995)</w:t>
            </w:r>
          </w:p>
        </w:tc>
      </w:tr>
    </w:tbl>
    <w:p w14:paraId="361DBDDD" w14:textId="77777777" w:rsidR="00AD206C" w:rsidRDefault="00AD206C" w:rsidP="00512999">
      <w:pPr>
        <w:ind w:firstLine="720"/>
        <w:jc w:val="both"/>
        <w:rPr>
          <w:rFonts w:asciiTheme="majorHAnsi" w:hAnsiTheme="majorHAnsi"/>
          <w:b/>
          <w:bCs/>
          <w:sz w:val="20"/>
          <w:szCs w:val="20"/>
        </w:rPr>
      </w:pPr>
    </w:p>
    <w:p w14:paraId="3BC2CAC5" w14:textId="3EC098DD" w:rsidR="003239B8" w:rsidRPr="00AD206C" w:rsidRDefault="00EE00E9" w:rsidP="00AD206C">
      <w:pPr>
        <w:pStyle w:val="ListParagraph"/>
        <w:numPr>
          <w:ilvl w:val="0"/>
          <w:numId w:val="60"/>
        </w:numPr>
        <w:ind w:left="90" w:firstLine="720"/>
        <w:jc w:val="both"/>
        <w:rPr>
          <w:rFonts w:asciiTheme="majorHAnsi" w:hAnsiTheme="majorHAnsi"/>
          <w:b/>
          <w:sz w:val="20"/>
          <w:szCs w:val="20"/>
        </w:rPr>
      </w:pPr>
      <w:r>
        <w:rPr>
          <w:rFonts w:asciiTheme="majorHAnsi" w:hAnsiTheme="majorHAnsi"/>
          <w:b/>
          <w:sz w:val="20"/>
        </w:rPr>
        <w:t>DUPLICATION</w:t>
      </w:r>
      <w:r>
        <w:rPr>
          <w:rFonts w:asciiTheme="majorHAnsi" w:hAnsiTheme="majorHAnsi"/>
          <w:b/>
          <w:color w:val="FFFFFF" w:themeColor="background1"/>
          <w:sz w:val="20"/>
        </w:rPr>
        <w:t xml:space="preserve"> </w:t>
      </w:r>
      <w:r>
        <w:rPr>
          <w:rFonts w:asciiTheme="majorHAnsi" w:hAnsiTheme="majorHAnsi"/>
          <w:b/>
          <w:sz w:val="20"/>
        </w:rPr>
        <w:t xml:space="preserve">OF PROCEDURES AND INTERNATIONAL </w:t>
      </w:r>
      <w:r>
        <w:rPr>
          <w:rFonts w:asciiTheme="majorHAnsi" w:hAnsiTheme="majorHAnsi"/>
          <w:b/>
          <w:i/>
          <w:sz w:val="20"/>
        </w:rPr>
        <w:t>RES JUDICATA</w:t>
      </w:r>
      <w:r>
        <w:rPr>
          <w:rFonts w:asciiTheme="majorHAnsi" w:hAnsiTheme="majorHAnsi"/>
          <w:b/>
          <w:sz w:val="20"/>
        </w:rPr>
        <w:t>, COLORABLE CLAIM, EXHAUSTION OF DOMESTIC REMEDIES, AND TIMELINESS OF THE PETITION</w:t>
      </w:r>
    </w:p>
    <w:p w14:paraId="43B62BF1" w14:textId="77777777" w:rsidR="00AD206C" w:rsidRPr="003F33F4" w:rsidRDefault="00AD206C" w:rsidP="00AD206C">
      <w:pPr>
        <w:pStyle w:val="ListParagraph"/>
        <w:ind w:left="1440"/>
        <w:jc w:val="both"/>
        <w:rPr>
          <w:rFonts w:asciiTheme="majorHAnsi" w:hAnsiTheme="majorHAnsi"/>
          <w:b/>
          <w:bCs/>
          <w:sz w:val="20"/>
          <w:szCs w:val="20"/>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512999" w14:paraId="3D4230C1" w14:textId="77777777" w:rsidTr="003F33F4">
        <w:trPr>
          <w:cantSplit/>
        </w:trPr>
        <w:tc>
          <w:tcPr>
            <w:tcW w:w="3600" w:type="dxa"/>
            <w:tcBorders>
              <w:top w:val="single" w:sz="4" w:space="0" w:color="auto"/>
              <w:bottom w:val="single" w:sz="6" w:space="0" w:color="auto"/>
            </w:tcBorders>
            <w:shd w:val="clear" w:color="auto" w:fill="73BF43"/>
            <w:vAlign w:val="center"/>
          </w:tcPr>
          <w:p w14:paraId="3AE9AEC0" w14:textId="77777777" w:rsidR="00EE00E9" w:rsidRPr="00512999" w:rsidRDefault="00EE00E9" w:rsidP="00512999">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Duplication of procedures and international res judicata:</w:t>
            </w:r>
          </w:p>
        </w:tc>
        <w:tc>
          <w:tcPr>
            <w:tcW w:w="5760" w:type="dxa"/>
            <w:vAlign w:val="center"/>
          </w:tcPr>
          <w:p w14:paraId="31E1C4A8" w14:textId="77777777" w:rsidR="00EE00E9" w:rsidRPr="00512999" w:rsidRDefault="008B2B11" w:rsidP="00512999">
            <w:pPr>
              <w:jc w:val="both"/>
              <w:rPr>
                <w:rFonts w:asciiTheme="majorHAnsi" w:hAnsiTheme="majorHAnsi"/>
                <w:bCs/>
                <w:sz w:val="20"/>
                <w:szCs w:val="20"/>
              </w:rPr>
            </w:pPr>
            <w:r>
              <w:rPr>
                <w:rFonts w:asciiTheme="majorHAnsi" w:hAnsiTheme="majorHAnsi"/>
                <w:sz w:val="20"/>
              </w:rPr>
              <w:t>No</w:t>
            </w:r>
          </w:p>
        </w:tc>
      </w:tr>
      <w:tr w:rsidR="003239B8" w:rsidRPr="00200671" w14:paraId="03054E96" w14:textId="77777777" w:rsidTr="003F33F4">
        <w:trPr>
          <w:cantSplit/>
        </w:trPr>
        <w:tc>
          <w:tcPr>
            <w:tcW w:w="3600" w:type="dxa"/>
            <w:tcBorders>
              <w:top w:val="single" w:sz="4" w:space="0" w:color="auto"/>
              <w:bottom w:val="single" w:sz="6" w:space="0" w:color="auto"/>
            </w:tcBorders>
            <w:shd w:val="clear" w:color="auto" w:fill="73BF43"/>
            <w:vAlign w:val="center"/>
          </w:tcPr>
          <w:p w14:paraId="2F554025" w14:textId="77777777" w:rsidR="003239B8" w:rsidRPr="00512999" w:rsidRDefault="003239B8" w:rsidP="00512999">
            <w:pPr>
              <w:jc w:val="center"/>
              <w:rPr>
                <w:rFonts w:asciiTheme="majorHAnsi" w:hAnsiTheme="majorHAnsi"/>
                <w:b/>
                <w:bCs/>
                <w:i/>
                <w:color w:val="FFFFFF" w:themeColor="background1"/>
                <w:sz w:val="20"/>
                <w:szCs w:val="20"/>
              </w:rPr>
            </w:pPr>
            <w:r>
              <w:rPr>
                <w:rFonts w:asciiTheme="majorHAnsi" w:hAnsiTheme="majorHAnsi"/>
                <w:b/>
                <w:i/>
                <w:color w:val="FFFFFF" w:themeColor="background1"/>
                <w:sz w:val="20"/>
              </w:rPr>
              <w:t>Rights declared admissible:</w:t>
            </w:r>
          </w:p>
        </w:tc>
        <w:tc>
          <w:tcPr>
            <w:tcW w:w="5760" w:type="dxa"/>
            <w:vAlign w:val="center"/>
          </w:tcPr>
          <w:p w14:paraId="748A91B9" w14:textId="141F6378" w:rsidR="003239B8" w:rsidRPr="00843BB5" w:rsidRDefault="00271D90" w:rsidP="00512999">
            <w:pPr>
              <w:jc w:val="both"/>
              <w:rPr>
                <w:rFonts w:asciiTheme="majorHAnsi" w:hAnsiTheme="majorHAnsi"/>
                <w:bCs/>
                <w:sz w:val="20"/>
                <w:szCs w:val="20"/>
              </w:rPr>
            </w:pPr>
            <w:r>
              <w:rPr>
                <w:rFonts w:asciiTheme="majorHAnsi" w:hAnsiTheme="majorHAnsi"/>
                <w:sz w:val="20"/>
              </w:rPr>
              <w:t>Articles 8 (judicial guarantees), 21 (private property), 25 (judicial protection), and 26 (economic, social, and cultural rights) of the American Convention, taken in conjunction with Article 1(1) thereof (obligation to respect rights).</w:t>
            </w:r>
          </w:p>
        </w:tc>
      </w:tr>
      <w:tr w:rsidR="003239B8" w:rsidRPr="00200671" w14:paraId="47502424" w14:textId="77777777" w:rsidTr="003F33F4">
        <w:trPr>
          <w:cantSplit/>
        </w:trPr>
        <w:tc>
          <w:tcPr>
            <w:tcW w:w="3600" w:type="dxa"/>
            <w:tcBorders>
              <w:top w:val="single" w:sz="6" w:space="0" w:color="auto"/>
              <w:bottom w:val="single" w:sz="6" w:space="0" w:color="auto"/>
            </w:tcBorders>
            <w:shd w:val="clear" w:color="auto" w:fill="73BF43"/>
            <w:vAlign w:val="center"/>
          </w:tcPr>
          <w:p w14:paraId="7DA48503" w14:textId="77777777" w:rsidR="003239B8" w:rsidRPr="00512999" w:rsidRDefault="003239B8" w:rsidP="00512999">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Exhaustion of domestic remedies or applicability of an exception to the rule:</w:t>
            </w:r>
          </w:p>
        </w:tc>
        <w:tc>
          <w:tcPr>
            <w:tcW w:w="5760" w:type="dxa"/>
            <w:vAlign w:val="center"/>
          </w:tcPr>
          <w:p w14:paraId="2B8FD0F5" w14:textId="77777777" w:rsidR="003239B8" w:rsidRPr="00512999" w:rsidRDefault="008B2B11" w:rsidP="00512999">
            <w:pPr>
              <w:rPr>
                <w:rFonts w:asciiTheme="majorHAnsi" w:hAnsiTheme="majorHAnsi"/>
                <w:bCs/>
                <w:sz w:val="20"/>
                <w:szCs w:val="20"/>
              </w:rPr>
            </w:pPr>
            <w:r>
              <w:rPr>
                <w:rFonts w:asciiTheme="majorHAnsi" w:hAnsiTheme="majorHAnsi"/>
                <w:sz w:val="20"/>
              </w:rPr>
              <w:t>Yes, under the terms of Section VI.</w:t>
            </w:r>
          </w:p>
        </w:tc>
      </w:tr>
      <w:tr w:rsidR="003239B8" w:rsidRPr="00200671" w14:paraId="178C68BE" w14:textId="77777777" w:rsidTr="003F33F4">
        <w:trPr>
          <w:cantSplit/>
        </w:trPr>
        <w:tc>
          <w:tcPr>
            <w:tcW w:w="3600" w:type="dxa"/>
            <w:tcBorders>
              <w:top w:val="single" w:sz="6" w:space="0" w:color="auto"/>
              <w:bottom w:val="single" w:sz="6" w:space="0" w:color="auto"/>
            </w:tcBorders>
            <w:shd w:val="clear" w:color="auto" w:fill="73BF43"/>
            <w:vAlign w:val="center"/>
          </w:tcPr>
          <w:p w14:paraId="68874A73" w14:textId="77777777" w:rsidR="003239B8" w:rsidRPr="00512999" w:rsidRDefault="003239B8" w:rsidP="00512999">
            <w:pPr>
              <w:jc w:val="center"/>
              <w:rPr>
                <w:rFonts w:asciiTheme="majorHAnsi" w:hAnsiTheme="majorHAnsi"/>
                <w:b/>
                <w:bCs/>
                <w:color w:val="FFFFFF" w:themeColor="background1"/>
                <w:sz w:val="20"/>
                <w:szCs w:val="20"/>
              </w:rPr>
            </w:pPr>
            <w:r>
              <w:rPr>
                <w:rFonts w:asciiTheme="majorHAnsi" w:hAnsiTheme="majorHAnsi"/>
                <w:b/>
                <w:color w:val="FFFFFF" w:themeColor="background1"/>
                <w:sz w:val="20"/>
              </w:rPr>
              <w:t>Timeliness of the petition:</w:t>
            </w:r>
          </w:p>
        </w:tc>
        <w:tc>
          <w:tcPr>
            <w:tcW w:w="5760" w:type="dxa"/>
            <w:vAlign w:val="center"/>
          </w:tcPr>
          <w:p w14:paraId="294001A9" w14:textId="77777777" w:rsidR="003239B8" w:rsidRPr="00843BB5" w:rsidRDefault="008B2B11" w:rsidP="00512999">
            <w:pPr>
              <w:rPr>
                <w:rFonts w:asciiTheme="majorHAnsi" w:hAnsiTheme="majorHAnsi"/>
                <w:bCs/>
                <w:sz w:val="20"/>
                <w:szCs w:val="20"/>
              </w:rPr>
            </w:pPr>
            <w:r>
              <w:rPr>
                <w:rFonts w:asciiTheme="majorHAnsi" w:hAnsiTheme="majorHAnsi"/>
                <w:sz w:val="20"/>
              </w:rPr>
              <w:t>Yes, under the terms of Section VI.</w:t>
            </w:r>
          </w:p>
        </w:tc>
      </w:tr>
    </w:tbl>
    <w:p w14:paraId="6B3E8F35" w14:textId="77777777" w:rsidR="006843F0" w:rsidRPr="003F33F4" w:rsidRDefault="006843F0" w:rsidP="006843F0">
      <w:pPr>
        <w:pStyle w:val="ListParagraph"/>
        <w:ind w:left="810"/>
        <w:jc w:val="both"/>
        <w:rPr>
          <w:rFonts w:asciiTheme="majorHAnsi" w:hAnsiTheme="majorHAnsi"/>
          <w:b/>
          <w:sz w:val="20"/>
          <w:szCs w:val="20"/>
        </w:rPr>
      </w:pPr>
    </w:p>
    <w:p w14:paraId="3B282FF4" w14:textId="036F989E" w:rsidR="000E52FF" w:rsidRPr="000E52FF" w:rsidRDefault="003239B8" w:rsidP="006843F0">
      <w:pPr>
        <w:pStyle w:val="ListParagraph"/>
        <w:numPr>
          <w:ilvl w:val="0"/>
          <w:numId w:val="60"/>
        </w:numPr>
        <w:ind w:left="0" w:firstLine="720"/>
        <w:jc w:val="both"/>
        <w:rPr>
          <w:rFonts w:asciiTheme="majorHAnsi" w:hAnsiTheme="majorHAnsi"/>
          <w:b/>
          <w:sz w:val="20"/>
          <w:szCs w:val="20"/>
        </w:rPr>
      </w:pPr>
      <w:r>
        <w:rPr>
          <w:rFonts w:asciiTheme="majorHAnsi" w:hAnsiTheme="majorHAnsi"/>
          <w:b/>
          <w:sz w:val="20"/>
        </w:rPr>
        <w:lastRenderedPageBreak/>
        <w:t xml:space="preserve">ALLEGED FACTS </w:t>
      </w:r>
    </w:p>
    <w:p w14:paraId="3A491C87" w14:textId="36F12220" w:rsidR="00C64D9F" w:rsidRPr="00644358" w:rsidRDefault="00306257" w:rsidP="00CB689E">
      <w:pPr>
        <w:numPr>
          <w:ilvl w:val="0"/>
          <w:numId w:val="59"/>
        </w:numPr>
        <w:suppressAutoHyphens/>
        <w:spacing w:before="240" w:after="240"/>
        <w:jc w:val="both"/>
        <w:rPr>
          <w:rFonts w:asciiTheme="majorHAnsi" w:hAnsiTheme="majorHAnsi"/>
          <w:bCs/>
          <w:sz w:val="20"/>
          <w:szCs w:val="20"/>
        </w:rPr>
      </w:pPr>
      <w:r>
        <w:rPr>
          <w:rFonts w:asciiTheme="majorHAnsi" w:hAnsiTheme="majorHAnsi"/>
          <w:sz w:val="20"/>
        </w:rPr>
        <w:t xml:space="preserve">The petitioner requests that the Peruvian State be declared internationally responsible for the violation of the human rights of a group of former workers of Southern Peru Copper Corporation. They mainly allege that they have not received payment of their labor shares, despite having a final judgment (res judicata) in their favor, which has not yet been enforced.  </w:t>
      </w:r>
    </w:p>
    <w:p w14:paraId="5F15B710" w14:textId="557DD7A3" w:rsidR="000B503E" w:rsidRPr="00644358" w:rsidRDefault="00FA2C59" w:rsidP="008821C6">
      <w:pPr>
        <w:numPr>
          <w:ilvl w:val="0"/>
          <w:numId w:val="59"/>
        </w:numPr>
        <w:suppressAutoHyphens/>
        <w:spacing w:before="240" w:after="240"/>
        <w:jc w:val="both"/>
        <w:rPr>
          <w:rFonts w:asciiTheme="majorHAnsi" w:hAnsiTheme="majorHAnsi"/>
          <w:bCs/>
          <w:sz w:val="20"/>
          <w:szCs w:val="20"/>
        </w:rPr>
      </w:pPr>
      <w:r>
        <w:rPr>
          <w:rFonts w:asciiTheme="majorHAnsi" w:hAnsiTheme="majorHAnsi"/>
          <w:sz w:val="20"/>
        </w:rPr>
        <w:t xml:space="preserve">According to the petition, the alleged victims worked at the Toquepala copper mine, located in the province of Jorge Basadre, Department of Tacna, owned by Southern Peru Copper Corporation (hereinafter "SPCC"). They explain that the workers were entitled to labor shares issued by SPCC pursuant to Decree Law 22333 and Decree Law 18880, among other regulatory instruments in effect at the time of the events. However, they claim that money owed to the workers arising from their labor shares were unjustifiably withheld by SPCC. </w:t>
      </w:r>
    </w:p>
    <w:p w14:paraId="46A1E664" w14:textId="23F1786B" w:rsidR="008D1C3E" w:rsidRPr="00644358" w:rsidRDefault="00992B24" w:rsidP="008D1C3E">
      <w:pPr>
        <w:numPr>
          <w:ilvl w:val="0"/>
          <w:numId w:val="59"/>
        </w:numPr>
        <w:suppressAutoHyphens/>
        <w:spacing w:before="240" w:after="240"/>
        <w:jc w:val="both"/>
        <w:rPr>
          <w:rFonts w:asciiTheme="majorHAnsi" w:hAnsiTheme="majorHAnsi"/>
          <w:bCs/>
          <w:sz w:val="20"/>
          <w:szCs w:val="20"/>
        </w:rPr>
      </w:pPr>
      <w:r>
        <w:rPr>
          <w:rFonts w:asciiTheme="majorHAnsi" w:hAnsiTheme="majorHAnsi"/>
          <w:sz w:val="20"/>
        </w:rPr>
        <w:t xml:space="preserve">The petitioners point out that on April 1, </w:t>
      </w:r>
      <w:proofErr w:type="gramStart"/>
      <w:r>
        <w:rPr>
          <w:rFonts w:asciiTheme="majorHAnsi" w:hAnsiTheme="majorHAnsi"/>
          <w:sz w:val="20"/>
        </w:rPr>
        <w:t>1996</w:t>
      </w:r>
      <w:proofErr w:type="gramEnd"/>
      <w:r>
        <w:rPr>
          <w:rFonts w:asciiTheme="majorHAnsi" w:hAnsiTheme="majorHAnsi"/>
          <w:sz w:val="20"/>
        </w:rPr>
        <w:t xml:space="preserve"> the alleged victims filed a lawsuit against SPCC for withholding their labor shares, requesting also payment of the dividends generated by such shares. In this regard, on December 22, 1999, the Twenty-Second Specialized Civil Court of Lima ordered SPCC to pay the stock certificates to the alleged victims, as well as the corresponding dividends. Subsequently, on September 21, 2000, the Specialized Court for Expedited and Proceedings heard by the Superior Court of Justice of Lima confirmed the first instance ruling. In response, SPCC filed a cassation appeal, which was granted in a judgment dated September 19, 2001, declaring the judgment issued by the Twenty-Second Specialized Civil Court null and void; it also ordered that the workers’ claims be assessed in labor law proceedings. </w:t>
      </w:r>
    </w:p>
    <w:p w14:paraId="11FAD3AE" w14:textId="086B39F4" w:rsidR="00414402" w:rsidRPr="00644358" w:rsidRDefault="00C41CB2" w:rsidP="00463AB1">
      <w:pPr>
        <w:numPr>
          <w:ilvl w:val="0"/>
          <w:numId w:val="59"/>
        </w:numPr>
        <w:suppressAutoHyphens/>
        <w:spacing w:before="240" w:after="240"/>
        <w:jc w:val="both"/>
        <w:rPr>
          <w:rFonts w:asciiTheme="majorHAnsi" w:hAnsiTheme="majorHAnsi"/>
          <w:bCs/>
          <w:sz w:val="20"/>
          <w:szCs w:val="20"/>
        </w:rPr>
      </w:pPr>
      <w:r>
        <w:rPr>
          <w:rFonts w:asciiTheme="majorHAnsi" w:hAnsiTheme="majorHAnsi"/>
          <w:sz w:val="20"/>
        </w:rPr>
        <w:t xml:space="preserve">Unhappy with that finding, the alleged victims appealed said judgment. However, on July 27, 2005, the Sixth Civil Chamber of the Superior Court of Justice of Lima declared the lawsuit unfounded, considering that the appealed decision had been issued in accordance with due process. The alleged victims were not satisfied with this decision and filed a writ of amparo, which was granted by the Constitutional Court on June 19, 2007, in their favor, declaring the decision null and void. SPCC again filed a cassation appeal against said resolution, which was declared unfounded by the Transitory Constitutional and Social Law Chamber of the Supreme Court of Justice of the Republic in a judgment dated January 7, 2009. </w:t>
      </w:r>
    </w:p>
    <w:p w14:paraId="36A80D60" w14:textId="5D8CC4AC" w:rsidR="007C1995" w:rsidRPr="00644358" w:rsidRDefault="007C1995" w:rsidP="007C1995">
      <w:pPr>
        <w:numPr>
          <w:ilvl w:val="0"/>
          <w:numId w:val="59"/>
        </w:numPr>
        <w:suppressAutoHyphens/>
        <w:spacing w:before="240" w:after="240"/>
        <w:jc w:val="both"/>
        <w:rPr>
          <w:rFonts w:asciiTheme="majorHAnsi" w:hAnsiTheme="majorHAnsi"/>
          <w:bCs/>
          <w:sz w:val="20"/>
          <w:szCs w:val="20"/>
        </w:rPr>
      </w:pPr>
      <w:r>
        <w:rPr>
          <w:rFonts w:asciiTheme="majorHAnsi" w:hAnsiTheme="majorHAnsi"/>
          <w:sz w:val="20"/>
        </w:rPr>
        <w:t xml:space="preserve">SPCC filed a writ of amparo against the denial of the cassation appeal. Thus, on June 17, 2009, the Fifth Constitutional Court of the Superior Court of Justice of Lima granted the amparo in favor of the company. That resolution ordered, inter alia, the reopening of the proceedings initiated in 1997 before the Twenty-Second Specialized Civil Court of Lima, mainly due to evidentiary issues. </w:t>
      </w:r>
    </w:p>
    <w:p w14:paraId="415E9262" w14:textId="6FC7DD5C" w:rsidR="00F4267C" w:rsidRPr="00644358" w:rsidRDefault="0066746E" w:rsidP="008F3D01">
      <w:pPr>
        <w:numPr>
          <w:ilvl w:val="0"/>
          <w:numId w:val="59"/>
        </w:numPr>
        <w:suppressAutoHyphens/>
        <w:spacing w:before="240" w:after="240"/>
        <w:jc w:val="both"/>
        <w:rPr>
          <w:rFonts w:asciiTheme="majorHAnsi" w:hAnsiTheme="majorHAnsi"/>
          <w:bCs/>
          <w:sz w:val="20"/>
          <w:szCs w:val="20"/>
        </w:rPr>
      </w:pPr>
      <w:r>
        <w:rPr>
          <w:rFonts w:asciiTheme="majorHAnsi" w:hAnsiTheme="majorHAnsi"/>
          <w:sz w:val="20"/>
        </w:rPr>
        <w:t xml:space="preserve">Subsequently, the petitioning party states that, </w:t>
      </w:r>
      <w:proofErr w:type="gramStart"/>
      <w:r>
        <w:rPr>
          <w:rFonts w:asciiTheme="majorHAnsi" w:hAnsiTheme="majorHAnsi"/>
          <w:sz w:val="20"/>
        </w:rPr>
        <w:t>as a result of</w:t>
      </w:r>
      <w:proofErr w:type="gramEnd"/>
      <w:r>
        <w:rPr>
          <w:rFonts w:asciiTheme="majorHAnsi" w:hAnsiTheme="majorHAnsi"/>
          <w:sz w:val="20"/>
        </w:rPr>
        <w:t xml:space="preserve"> the reinstatement of those proceedings, it was again determined to return the labor shares in favor of the workers, leaving the proceedings at the execution of judgment phase. Specifically, from the information provided in the file, it is evident that in a resolution dated August 9, 2013, the Twentieth Civil Court of the Superior Court of Lima determined to continue with execution of the judgment handed down on December 22, 1999, ordering the return of the labor shares in favor of the alleged victims. Likewise, in a resolution dated September 23, 2015, the Twentieth Civil Court declared the precautionary measure regarding the request for an embargo/withholding of a set of labor shares that would correspond to the payment to the workers to be well founded. </w:t>
      </w:r>
    </w:p>
    <w:p w14:paraId="4C573024" w14:textId="643B5B30" w:rsidR="0076176F" w:rsidRPr="00644358" w:rsidRDefault="00F4267C" w:rsidP="008F3D01">
      <w:pPr>
        <w:numPr>
          <w:ilvl w:val="0"/>
          <w:numId w:val="59"/>
        </w:numPr>
        <w:suppressAutoHyphens/>
        <w:spacing w:before="240" w:after="240"/>
        <w:jc w:val="both"/>
        <w:rPr>
          <w:rFonts w:asciiTheme="majorHAnsi" w:hAnsiTheme="majorHAnsi"/>
          <w:bCs/>
          <w:sz w:val="20"/>
          <w:szCs w:val="20"/>
        </w:rPr>
      </w:pPr>
      <w:r>
        <w:rPr>
          <w:rFonts w:asciiTheme="majorHAnsi" w:hAnsiTheme="majorHAnsi"/>
          <w:sz w:val="20"/>
        </w:rPr>
        <w:t xml:space="preserve">In short, the petitioning party alleges that the process initiated by the alleged victims with the purpose of obtaining their labor shares continues without conclusion since its initiation in 1997. It alleges that during that process, the alleged victims' rights to judicial guarantees, private property and economic, </w:t>
      </w:r>
      <w:proofErr w:type="gramStart"/>
      <w:r>
        <w:rPr>
          <w:rFonts w:asciiTheme="majorHAnsi" w:hAnsiTheme="majorHAnsi"/>
          <w:sz w:val="20"/>
        </w:rPr>
        <w:t>social</w:t>
      </w:r>
      <w:proofErr w:type="gramEnd"/>
      <w:r>
        <w:rPr>
          <w:rFonts w:asciiTheme="majorHAnsi" w:hAnsiTheme="majorHAnsi"/>
          <w:sz w:val="20"/>
        </w:rPr>
        <w:t xml:space="preserve"> and cultural rights were violated, due to the unjustified withholding of their private property and as a consequence of a proceeding that, more than twenty-two years later, has not complied with the delivery of said shares recognized as pertaining to them. </w:t>
      </w:r>
    </w:p>
    <w:p w14:paraId="795E1BBA" w14:textId="18019D66" w:rsidR="00BC5BDF" w:rsidRPr="00644358" w:rsidRDefault="00370E78" w:rsidP="003E3BE7">
      <w:pPr>
        <w:numPr>
          <w:ilvl w:val="0"/>
          <w:numId w:val="59"/>
        </w:numPr>
        <w:suppressAutoHyphens/>
        <w:snapToGrid w:val="0"/>
        <w:spacing w:before="240" w:after="240"/>
        <w:jc w:val="both"/>
        <w:rPr>
          <w:rFonts w:asciiTheme="majorHAnsi" w:hAnsiTheme="majorHAnsi"/>
          <w:color w:val="000000" w:themeColor="text1"/>
          <w:sz w:val="20"/>
          <w:szCs w:val="20"/>
        </w:rPr>
      </w:pPr>
      <w:r>
        <w:rPr>
          <w:rFonts w:asciiTheme="majorHAnsi" w:hAnsiTheme="majorHAnsi"/>
          <w:color w:val="000000" w:themeColor="text1"/>
          <w:sz w:val="20"/>
        </w:rPr>
        <w:t xml:space="preserve">The State, for its part, alleges that domestic remedies have not been exhausted. It argues that the proceeding initiated by the alleged victims, regarding the return of their labor shares, is in an execution phase that has not yet been completed. Likewise, it indicates that in a resolution dated November 23, 2015, the Twentieth Civil Court ordered a precautionary measure in favor of the alleged victims, namely, embargoing the </w:t>
      </w:r>
      <w:r>
        <w:rPr>
          <w:rFonts w:asciiTheme="majorHAnsi" w:hAnsiTheme="majorHAnsi"/>
          <w:color w:val="000000" w:themeColor="text1"/>
          <w:sz w:val="20"/>
        </w:rPr>
        <w:lastRenderedPageBreak/>
        <w:t xml:space="preserve">alleged labor shares, thereby addressing their claims in the domestic sphere. With that, it considered that the petition should be inadmissible based on Article 47 of the American Convention because the facts set forth therein do not constitute human rights violations. </w:t>
      </w:r>
    </w:p>
    <w:p w14:paraId="0BDAFC36" w14:textId="74B81BFA" w:rsidR="00F148CD" w:rsidRPr="00644358" w:rsidRDefault="00F148CD" w:rsidP="00D91337">
      <w:pPr>
        <w:numPr>
          <w:ilvl w:val="0"/>
          <w:numId w:val="59"/>
        </w:numPr>
        <w:suppressAutoHyphens/>
        <w:snapToGrid w:val="0"/>
        <w:spacing w:before="240" w:after="240"/>
        <w:jc w:val="both"/>
        <w:rPr>
          <w:rFonts w:asciiTheme="majorHAnsi" w:hAnsiTheme="majorHAnsi"/>
          <w:color w:val="000000" w:themeColor="text1"/>
          <w:sz w:val="20"/>
          <w:szCs w:val="20"/>
        </w:rPr>
      </w:pPr>
      <w:r>
        <w:rPr>
          <w:rFonts w:asciiTheme="majorHAnsi" w:hAnsiTheme="majorHAnsi"/>
          <w:color w:val="000000" w:themeColor="text1"/>
          <w:sz w:val="20"/>
        </w:rPr>
        <w:t>The State also alleges that the alleged victims are not properly identified in the petition, which was filed on behalf of a group of former SPCC workers entitled to the alleged labor shares. Finally, it alleges that, after the death of the initial petitioner, no power of attorney granted by the alleged victims to Mr. Vargas to act on their behalf and represent them before the Inter-American System has been presented.</w:t>
      </w:r>
    </w:p>
    <w:p w14:paraId="7A3BB319" w14:textId="71F27FAC" w:rsidR="004E71BF" w:rsidRPr="00644358" w:rsidRDefault="00557062" w:rsidP="0051563D">
      <w:pPr>
        <w:pStyle w:val="ListParagraph"/>
        <w:numPr>
          <w:ilvl w:val="0"/>
          <w:numId w:val="60"/>
        </w:numPr>
        <w:snapToGrid w:val="0"/>
        <w:spacing w:before="240" w:after="240"/>
        <w:ind w:left="91" w:firstLine="720"/>
        <w:jc w:val="both"/>
        <w:rPr>
          <w:rFonts w:asciiTheme="majorHAnsi" w:hAnsiTheme="majorHAnsi"/>
          <w:b/>
          <w:bCs/>
          <w:sz w:val="20"/>
          <w:szCs w:val="20"/>
        </w:rPr>
      </w:pPr>
      <w:r>
        <w:rPr>
          <w:rFonts w:asciiTheme="majorHAnsi" w:hAnsiTheme="majorHAnsi"/>
          <w:b/>
          <w:sz w:val="20"/>
        </w:rPr>
        <w:t>ANALYSIS OF EXHAUSTION OF DOMESTIC REMEDIES AND TIMELINESS OF THE PETITION</w:t>
      </w:r>
    </w:p>
    <w:p w14:paraId="2C55E5BC" w14:textId="4D5B2F55" w:rsidR="00DE57E0" w:rsidRPr="00644358" w:rsidRDefault="00DE57E0" w:rsidP="00700CE7">
      <w:pPr>
        <w:pStyle w:val="ListParagraph"/>
        <w:numPr>
          <w:ilvl w:val="0"/>
          <w:numId w:val="59"/>
        </w:numPr>
        <w:spacing w:before="240" w:after="240"/>
        <w:jc w:val="both"/>
        <w:rPr>
          <w:rFonts w:asciiTheme="majorHAnsi" w:hAnsiTheme="majorHAnsi" w:cs="Calibri"/>
          <w:color w:val="000000" w:themeColor="text1"/>
          <w:sz w:val="20"/>
          <w:szCs w:val="20"/>
        </w:rPr>
      </w:pPr>
      <w:r>
        <w:rPr>
          <w:rFonts w:asciiTheme="majorHAnsi" w:hAnsiTheme="majorHAnsi"/>
          <w:color w:val="000000" w:themeColor="text1"/>
          <w:sz w:val="20"/>
        </w:rPr>
        <w:t xml:space="preserve">The petitioning party alleges that there has been unwarranted delay in the execution of the judgment of December 22, 1999, the proceedings for which culminated on August 9, 2013 with the order to execute the judgment by the </w:t>
      </w:r>
      <w:r>
        <w:rPr>
          <w:rFonts w:asciiTheme="majorHAnsi" w:hAnsiTheme="majorHAnsi"/>
          <w:sz w:val="20"/>
        </w:rPr>
        <w:t>Twentieth Civil Court of the Superior Court of Lima</w:t>
      </w:r>
      <w:r>
        <w:rPr>
          <w:rFonts w:asciiTheme="majorHAnsi" w:hAnsiTheme="majorHAnsi"/>
          <w:color w:val="000000" w:themeColor="text1"/>
          <w:sz w:val="20"/>
        </w:rPr>
        <w:t>, without there being, to this day, compliance with the first instance judgment ordering the delivery of the labor shares to the alleged victims</w:t>
      </w:r>
      <w:r>
        <w:rPr>
          <w:rFonts w:asciiTheme="majorHAnsi" w:hAnsiTheme="majorHAnsi"/>
          <w:sz w:val="20"/>
        </w:rPr>
        <w:t>.</w:t>
      </w:r>
      <w:r>
        <w:rPr>
          <w:rFonts w:asciiTheme="majorHAnsi" w:hAnsiTheme="majorHAnsi"/>
          <w:color w:val="000000" w:themeColor="text1"/>
          <w:sz w:val="20"/>
        </w:rPr>
        <w:t xml:space="preserve"> In this regard, the State, far from disputing this fact, bases its allegation of non-exhaustion of domestic remedies precisely on the acknowledgment that a final decision is still pending in the process of execution of the </w:t>
      </w:r>
      <w:proofErr w:type="gramStart"/>
      <w:r>
        <w:rPr>
          <w:rFonts w:asciiTheme="majorHAnsi" w:hAnsiTheme="majorHAnsi"/>
          <w:color w:val="000000" w:themeColor="text1"/>
          <w:sz w:val="20"/>
        </w:rPr>
        <w:t>aforementioned first</w:t>
      </w:r>
      <w:proofErr w:type="gramEnd"/>
      <w:r>
        <w:rPr>
          <w:rFonts w:asciiTheme="majorHAnsi" w:hAnsiTheme="majorHAnsi"/>
          <w:color w:val="000000" w:themeColor="text1"/>
          <w:sz w:val="20"/>
        </w:rPr>
        <w:t xml:space="preserve"> instance judgment.</w:t>
      </w:r>
    </w:p>
    <w:p w14:paraId="765B38EE" w14:textId="3B5B850F" w:rsidR="00DE57E0" w:rsidRPr="00644358" w:rsidRDefault="00DE57E0" w:rsidP="00700CE7">
      <w:pPr>
        <w:pStyle w:val="ListParagraph"/>
        <w:numPr>
          <w:ilvl w:val="0"/>
          <w:numId w:val="59"/>
        </w:numPr>
        <w:spacing w:before="240" w:after="240"/>
        <w:jc w:val="both"/>
        <w:rPr>
          <w:rFonts w:asciiTheme="majorHAnsi" w:hAnsiTheme="majorHAnsi" w:cs="Calibri"/>
          <w:color w:val="000000" w:themeColor="text1"/>
          <w:sz w:val="20"/>
          <w:szCs w:val="20"/>
        </w:rPr>
      </w:pPr>
      <w:r>
        <w:rPr>
          <w:rFonts w:asciiTheme="majorHAnsi" w:hAnsiTheme="majorHAnsi"/>
          <w:color w:val="000000" w:themeColor="text1"/>
          <w:sz w:val="20"/>
        </w:rPr>
        <w:t xml:space="preserve">In view of these considerations, the Commission observes, first, that the alleged victims activated the appropriate legal avenue to assert their rights, which was a lawsuit initiated through civil proceedings, as well as the subsequent filing of the amparo recourse, a fact that has not been denied by the State. Subsequently, as is clear from the parties' own arguments, the judgment issued on December 22, 1999 by the </w:t>
      </w:r>
      <w:r>
        <w:rPr>
          <w:rFonts w:asciiTheme="majorHAnsi" w:hAnsiTheme="majorHAnsi"/>
          <w:sz w:val="20"/>
        </w:rPr>
        <w:t xml:space="preserve">Twenty-Second Specialized Civil Court of Lima </w:t>
      </w:r>
      <w:r>
        <w:rPr>
          <w:rFonts w:asciiTheme="majorHAnsi" w:hAnsiTheme="majorHAnsi"/>
          <w:color w:val="000000" w:themeColor="text1"/>
          <w:sz w:val="20"/>
        </w:rPr>
        <w:t>has not yet been complied with. In this regard, the Commission concludes that the exception established in Article 46(2)(c) of the American Convention is applicable.</w:t>
      </w:r>
    </w:p>
    <w:p w14:paraId="5446B39A" w14:textId="5A066B33" w:rsidR="00DE57E0" w:rsidRPr="00644358" w:rsidRDefault="00DE57E0" w:rsidP="00700CE7">
      <w:pPr>
        <w:pStyle w:val="ListParagraph"/>
        <w:numPr>
          <w:ilvl w:val="0"/>
          <w:numId w:val="59"/>
        </w:numPr>
        <w:spacing w:before="240" w:after="240"/>
        <w:jc w:val="both"/>
        <w:rPr>
          <w:rFonts w:asciiTheme="majorHAnsi" w:hAnsiTheme="majorHAnsi" w:cs="Calibri"/>
          <w:color w:val="000000" w:themeColor="text1"/>
          <w:sz w:val="20"/>
          <w:szCs w:val="20"/>
        </w:rPr>
      </w:pPr>
      <w:r>
        <w:rPr>
          <w:rFonts w:asciiTheme="majorHAnsi" w:hAnsiTheme="majorHAnsi"/>
          <w:color w:val="000000" w:themeColor="text1"/>
          <w:sz w:val="20"/>
        </w:rPr>
        <w:t>Furthermore, taking into account that the petition was received on June 7, 2010, and that the effects of the denial of the alleged victims' rights by judicial authorities have reportedly continued until now; and taking into account that the alleged victims have been litigating and claiming their rights at the domestic level from 1997 to the years immediately subsequent to the lodging of the present petition, the Commission considers that the petition was filed within a reasonable period of time pursuant to Article 32(2) of its Rules of Procedure.</w:t>
      </w:r>
    </w:p>
    <w:p w14:paraId="7130F41B" w14:textId="3D7CB7DB" w:rsidR="00D745CC" w:rsidRPr="00644358" w:rsidRDefault="0051563D" w:rsidP="004703F4">
      <w:pPr>
        <w:pStyle w:val="ListParagraph"/>
        <w:numPr>
          <w:ilvl w:val="0"/>
          <w:numId w:val="59"/>
        </w:numPr>
        <w:spacing w:before="240" w:after="240"/>
        <w:jc w:val="both"/>
        <w:rPr>
          <w:rFonts w:asciiTheme="majorHAnsi" w:hAnsiTheme="majorHAnsi" w:cs="Calibri"/>
          <w:color w:val="000000" w:themeColor="text1"/>
          <w:sz w:val="20"/>
          <w:szCs w:val="20"/>
        </w:rPr>
      </w:pPr>
      <w:r>
        <w:rPr>
          <w:rFonts w:asciiTheme="majorHAnsi" w:hAnsiTheme="majorHAnsi"/>
          <w:color w:val="000000" w:themeColor="text1"/>
          <w:sz w:val="20"/>
        </w:rPr>
        <w:t>With regard to the State's allegations concerning the individual identification of the alleged victims, the Commission reiterates that Article 44 of the American Convention, which authorizes "any person or group of persons or non-governmental entity [...] to submit petitions to the Commission containing denunciations or complaints of violations [...] by a State party", does not contain any limitations in terms of the "full and total" identification of the persons affected by the violation [...], but rather allows for the examination of human rights violations that by their characteristics may affect a specific person or group of persons, but who are not necessarily fully identified.</w:t>
      </w:r>
      <w:r w:rsidRPr="00644358">
        <w:rPr>
          <w:rFonts w:asciiTheme="majorHAnsi" w:hAnsiTheme="majorHAnsi" w:cs="Calibri"/>
          <w:color w:val="000000" w:themeColor="text1"/>
          <w:sz w:val="20"/>
          <w:szCs w:val="20"/>
          <w:vertAlign w:val="superscript"/>
          <w:lang w:val="es-ES_tradnl"/>
        </w:rPr>
        <w:footnoteReference w:id="8"/>
      </w:r>
      <w:r>
        <w:rPr>
          <w:rFonts w:asciiTheme="majorHAnsi" w:hAnsiTheme="majorHAnsi"/>
          <w:color w:val="000000" w:themeColor="text1"/>
          <w:sz w:val="20"/>
        </w:rPr>
        <w:t xml:space="preserve"> In the instant case, although the petitioning party has identified one alleged victim throughout the proceedings (Mr. Melitón Maquera Ramírez), the Commission deems that the process of exhausting domestic judicial remedies covers all the victims referred to in the instant petition; and that in the merits stage of the instant case the petitioners will have the opportunity and the responsibility to duly identify all the victims.</w:t>
      </w:r>
      <w:r w:rsidRPr="00644358">
        <w:rPr>
          <w:rFonts w:asciiTheme="majorHAnsi" w:hAnsiTheme="majorHAnsi" w:cs="Calibri"/>
          <w:color w:val="000000" w:themeColor="text1"/>
          <w:sz w:val="20"/>
          <w:szCs w:val="20"/>
          <w:vertAlign w:val="superscript"/>
          <w:lang w:val="es-ES_tradnl"/>
        </w:rPr>
        <w:footnoteReference w:id="9"/>
      </w:r>
      <w:r>
        <w:rPr>
          <w:rFonts w:asciiTheme="majorHAnsi" w:hAnsiTheme="majorHAnsi"/>
          <w:color w:val="000000" w:themeColor="text1"/>
          <w:sz w:val="20"/>
        </w:rPr>
        <w:t xml:space="preserve"> </w:t>
      </w:r>
    </w:p>
    <w:p w14:paraId="2FFAFC9D" w14:textId="7D2F7E00" w:rsidR="0051563D" w:rsidRPr="00644358" w:rsidRDefault="00D745CC" w:rsidP="004703F4">
      <w:pPr>
        <w:pStyle w:val="ListParagraph"/>
        <w:numPr>
          <w:ilvl w:val="0"/>
          <w:numId w:val="59"/>
        </w:numPr>
        <w:spacing w:before="240" w:after="240"/>
        <w:jc w:val="both"/>
        <w:rPr>
          <w:rFonts w:asciiTheme="majorHAnsi" w:hAnsiTheme="majorHAnsi" w:cs="Calibri"/>
          <w:color w:val="000000" w:themeColor="text1"/>
          <w:sz w:val="20"/>
          <w:szCs w:val="20"/>
        </w:rPr>
      </w:pPr>
      <w:r>
        <w:rPr>
          <w:rFonts w:asciiTheme="majorHAnsi" w:hAnsiTheme="majorHAnsi"/>
          <w:color w:val="000000" w:themeColor="text1"/>
          <w:sz w:val="20"/>
        </w:rPr>
        <w:t xml:space="preserve">The IACHR also recalls that Article 44 of the Convention allows any person or group of persons, or non-governmental entity legally recognized in one or more member states of the Organization, to file </w:t>
      </w:r>
      <w:r>
        <w:rPr>
          <w:rFonts w:asciiTheme="majorHAnsi" w:hAnsiTheme="majorHAnsi"/>
          <w:color w:val="000000" w:themeColor="text1"/>
          <w:sz w:val="20"/>
        </w:rPr>
        <w:lastRenderedPageBreak/>
        <w:t>complaints of alleged violations of the Convention without requiring that they have the authorization of the alleged victims or that they present powers of attorney testing that they represent the alleged victims."</w:t>
      </w:r>
      <w:r w:rsidR="004703F4" w:rsidRPr="00644358">
        <w:rPr>
          <w:rStyle w:val="FootnoteReference"/>
          <w:rFonts w:asciiTheme="majorHAnsi" w:hAnsiTheme="majorHAnsi" w:cs="Calibri"/>
          <w:color w:val="000000" w:themeColor="text1"/>
          <w:sz w:val="20"/>
          <w:szCs w:val="20"/>
          <w:lang w:val="es-ES_tradnl"/>
        </w:rPr>
        <w:footnoteReference w:id="10"/>
      </w:r>
    </w:p>
    <w:p w14:paraId="48FDE26B" w14:textId="07D09818" w:rsidR="00E30106" w:rsidRPr="00644358" w:rsidRDefault="003239B8" w:rsidP="00A72560">
      <w:pPr>
        <w:pStyle w:val="ListParagraph"/>
        <w:spacing w:before="240" w:after="240"/>
        <w:jc w:val="both"/>
        <w:rPr>
          <w:rFonts w:asciiTheme="majorHAnsi" w:hAnsiTheme="majorHAnsi"/>
          <w:b/>
          <w:bCs/>
          <w:sz w:val="20"/>
          <w:szCs w:val="20"/>
        </w:rPr>
      </w:pPr>
      <w:r>
        <w:rPr>
          <w:rFonts w:asciiTheme="majorHAnsi" w:hAnsiTheme="majorHAnsi"/>
          <w:b/>
          <w:sz w:val="20"/>
        </w:rPr>
        <w:t>VII.</w:t>
      </w:r>
      <w:r>
        <w:rPr>
          <w:rFonts w:asciiTheme="majorHAnsi" w:hAnsiTheme="majorHAnsi"/>
          <w:b/>
          <w:sz w:val="20"/>
        </w:rPr>
        <w:tab/>
        <w:t>ANALYSIS OF COLORABLE CLAIM</w:t>
      </w:r>
    </w:p>
    <w:p w14:paraId="5FF3AF54" w14:textId="25DB5B8A" w:rsidR="00AD6879" w:rsidRPr="00644358" w:rsidRDefault="00CD2F3F" w:rsidP="004703F4">
      <w:pPr>
        <w:pStyle w:val="ListParagraph"/>
        <w:numPr>
          <w:ilvl w:val="0"/>
          <w:numId w:val="59"/>
        </w:numPr>
        <w:spacing w:before="240" w:after="240"/>
        <w:jc w:val="both"/>
        <w:rPr>
          <w:rFonts w:asciiTheme="majorHAnsi" w:hAnsiTheme="majorHAnsi" w:cs="Calibri"/>
          <w:sz w:val="20"/>
          <w:szCs w:val="20"/>
        </w:rPr>
      </w:pPr>
      <w:r>
        <w:rPr>
          <w:rFonts w:asciiTheme="majorHAnsi" w:hAnsiTheme="majorHAnsi"/>
          <w:sz w:val="20"/>
        </w:rPr>
        <w:t>The petitioning party alleges the lack of execution of the judgment that ordered the delivery of the labor shares acquired as SPCC employees to the alleged victims, as well as the payment of the corresponding dividends, in the context of a lawsuit that more than twenty-two years later has not concluded</w:t>
      </w:r>
      <w:r>
        <w:rPr>
          <w:rFonts w:asciiTheme="majorHAnsi" w:hAnsiTheme="majorHAnsi"/>
          <w:color w:val="000000" w:themeColor="text1"/>
          <w:sz w:val="20"/>
        </w:rPr>
        <w:t>, since it is in the judgment execution phase</w:t>
      </w:r>
      <w:r>
        <w:rPr>
          <w:rFonts w:asciiTheme="majorHAnsi" w:hAnsiTheme="majorHAnsi"/>
          <w:sz w:val="20"/>
        </w:rPr>
        <w:t>.</w:t>
      </w:r>
      <w:r>
        <w:rPr>
          <w:rFonts w:asciiTheme="majorHAnsi" w:hAnsiTheme="majorHAnsi"/>
          <w:color w:val="000000" w:themeColor="text1"/>
          <w:sz w:val="20"/>
        </w:rPr>
        <w:t xml:space="preserve"> </w:t>
      </w:r>
    </w:p>
    <w:p w14:paraId="0E1D7DA9" w14:textId="0D72063B" w:rsidR="00904A91" w:rsidRPr="00644358" w:rsidRDefault="00904A91" w:rsidP="004703F4">
      <w:pPr>
        <w:pStyle w:val="ListParagraph"/>
        <w:numPr>
          <w:ilvl w:val="0"/>
          <w:numId w:val="59"/>
        </w:numPr>
        <w:spacing w:before="240" w:after="240"/>
        <w:jc w:val="both"/>
        <w:rPr>
          <w:rFonts w:asciiTheme="majorHAnsi" w:hAnsiTheme="majorHAnsi"/>
          <w:sz w:val="20"/>
          <w:szCs w:val="20"/>
        </w:rPr>
      </w:pPr>
      <w:bookmarkStart w:id="1" w:name="OLE_LINK1"/>
      <w:bookmarkStart w:id="2" w:name="OLE_LINK2"/>
      <w:r>
        <w:rPr>
          <w:rFonts w:asciiTheme="majorHAnsi" w:hAnsiTheme="majorHAnsi"/>
          <w:sz w:val="20"/>
        </w:rPr>
        <w:t xml:space="preserve">The State argues that the facts described do not characterize a violation of the rights guaranteed by the American Convention, as provided for in Article 47(b) thereof. In this regard, the Commission considers that it is not appropriate at this stage of the proceedings to determine </w:t>
      </w:r>
      <w:proofErr w:type="gramStart"/>
      <w:r>
        <w:rPr>
          <w:rFonts w:asciiTheme="majorHAnsi" w:hAnsiTheme="majorHAnsi"/>
          <w:sz w:val="20"/>
        </w:rPr>
        <w:t>whether or not</w:t>
      </w:r>
      <w:proofErr w:type="gramEnd"/>
      <w:r>
        <w:rPr>
          <w:rFonts w:asciiTheme="majorHAnsi" w:hAnsiTheme="majorHAnsi"/>
          <w:sz w:val="20"/>
        </w:rPr>
        <w:t xml:space="preserve"> the alleged violations of the rights of the alleged victims actually took place. </w:t>
      </w:r>
      <w:bookmarkEnd w:id="1"/>
      <w:bookmarkEnd w:id="2"/>
      <w:r>
        <w:rPr>
          <w:rFonts w:asciiTheme="majorHAnsi" w:hAnsiTheme="majorHAnsi"/>
          <w:sz w:val="20"/>
        </w:rPr>
        <w:t>For admissibility purposes, the IACHR must only decide whether deeds are alleged that, if proven, would amount to violations of the American Convention as stipulated in Article 47b)) and whether the petition is “manifestly groundless” or “obviously out of order” (Article 47.c).</w:t>
      </w:r>
      <w:r w:rsidR="00382A19" w:rsidRPr="00644358">
        <w:rPr>
          <w:rStyle w:val="FootnoteReference"/>
          <w:rFonts w:asciiTheme="majorHAnsi" w:hAnsiTheme="majorHAnsi"/>
          <w:sz w:val="20"/>
          <w:szCs w:val="20"/>
          <w:lang w:val="es-ES_tradnl"/>
        </w:rPr>
        <w:footnoteReference w:id="11"/>
      </w:r>
    </w:p>
    <w:p w14:paraId="38603A60" w14:textId="1F027655" w:rsidR="00540F69" w:rsidRPr="00644358" w:rsidRDefault="00540F69" w:rsidP="004703F4">
      <w:pPr>
        <w:pStyle w:val="ListParagraph"/>
        <w:numPr>
          <w:ilvl w:val="0"/>
          <w:numId w:val="59"/>
        </w:numPr>
        <w:spacing w:before="240" w:after="240"/>
        <w:jc w:val="both"/>
        <w:rPr>
          <w:rFonts w:asciiTheme="majorHAnsi" w:hAnsiTheme="majorHAnsi" w:cs="Calibri"/>
          <w:sz w:val="20"/>
          <w:szCs w:val="20"/>
        </w:rPr>
      </w:pPr>
      <w:r>
        <w:rPr>
          <w:rFonts w:asciiTheme="majorHAnsi" w:hAnsiTheme="majorHAnsi"/>
          <w:sz w:val="20"/>
        </w:rPr>
        <w:t>In view of these considerations, and after examining the elements of fact and law presented by the parties, the Commission considers that the petitioning party’s allegations are not manifestly unfounded and require a study of the merits, since the alleged facts, if corroborated as true, could constitute violations of the rights recognized in Articles 8 (judicial guarantees), 21 (private property), 25 (judicial protection), and 26 (economic, social and cultural rights) of the American Convention, in conjunction with Article 1(1) (obligation to respect rights) of the same treaty.</w:t>
      </w:r>
    </w:p>
    <w:p w14:paraId="7F2D134F" w14:textId="15EF4A0E" w:rsidR="00134C63" w:rsidRPr="00644358" w:rsidRDefault="00134C63" w:rsidP="004703F4">
      <w:pPr>
        <w:pStyle w:val="ListParagraph"/>
        <w:numPr>
          <w:ilvl w:val="0"/>
          <w:numId w:val="59"/>
        </w:numPr>
        <w:spacing w:before="240" w:after="240"/>
        <w:jc w:val="both"/>
        <w:rPr>
          <w:rFonts w:asciiTheme="majorHAnsi" w:hAnsiTheme="majorHAnsi"/>
          <w:sz w:val="20"/>
          <w:szCs w:val="20"/>
        </w:rPr>
      </w:pPr>
      <w:r>
        <w:rPr>
          <w:rFonts w:asciiTheme="majorHAnsi" w:hAnsiTheme="majorHAnsi"/>
          <w:sz w:val="20"/>
        </w:rPr>
        <w:t>Regarding the allegations of violations of Article 3 (non-discrimination) of the Protocol of San Salvador, the IACHR notes that the competence provided for under Article 19(6) of said treaty to establish violations in the context of an individual case is limited to Articles 8 and 13. With respect to the other articles, in accordance with Article 29 of the American Convention, the Commission may take them into account in interpreting and applying the American Convention and other applicable instruments.</w:t>
      </w:r>
    </w:p>
    <w:p w14:paraId="3C283050" w14:textId="6799B1FF" w:rsidR="00E30106" w:rsidRPr="00644358" w:rsidRDefault="003239B8" w:rsidP="00A72560">
      <w:pPr>
        <w:pStyle w:val="ListParagraph"/>
        <w:spacing w:before="240" w:after="240"/>
        <w:jc w:val="both"/>
        <w:rPr>
          <w:rFonts w:asciiTheme="majorHAnsi" w:hAnsiTheme="majorHAnsi"/>
          <w:b/>
          <w:bCs/>
          <w:sz w:val="20"/>
          <w:szCs w:val="20"/>
        </w:rPr>
      </w:pPr>
      <w:r>
        <w:rPr>
          <w:rFonts w:asciiTheme="majorHAnsi" w:hAnsiTheme="majorHAnsi"/>
          <w:b/>
          <w:sz w:val="20"/>
        </w:rPr>
        <w:t xml:space="preserve">VIII. </w:t>
      </w:r>
      <w:r>
        <w:rPr>
          <w:rFonts w:asciiTheme="majorHAnsi" w:hAnsiTheme="majorHAnsi"/>
          <w:b/>
          <w:sz w:val="20"/>
        </w:rPr>
        <w:tab/>
        <w:t>DECISION</w:t>
      </w:r>
    </w:p>
    <w:p w14:paraId="2C160C8E" w14:textId="262873D6" w:rsidR="000419AD" w:rsidRPr="00644358" w:rsidRDefault="003239B8" w:rsidP="00A72560">
      <w:pPr>
        <w:numPr>
          <w:ilvl w:val="0"/>
          <w:numId w:val="55"/>
        </w:numPr>
        <w:suppressAutoHyphens/>
        <w:spacing w:before="240" w:after="240"/>
        <w:jc w:val="both"/>
        <w:rPr>
          <w:rFonts w:asciiTheme="majorHAnsi" w:hAnsiTheme="majorHAnsi"/>
          <w:sz w:val="20"/>
          <w:szCs w:val="20"/>
        </w:rPr>
      </w:pPr>
      <w:r>
        <w:rPr>
          <w:rFonts w:asciiTheme="majorHAnsi" w:hAnsiTheme="majorHAnsi"/>
          <w:sz w:val="20"/>
        </w:rPr>
        <w:t>To declare the instant petition admissible in relation to Articles 8, 21, 25, and 26 of the American Convention, taken in conjunction with Article 1(1) thereof.</w:t>
      </w:r>
    </w:p>
    <w:p w14:paraId="1F3E7015" w14:textId="458793BB" w:rsidR="00843BB5" w:rsidRPr="006F2A58" w:rsidRDefault="004A6A54" w:rsidP="00A72560">
      <w:pPr>
        <w:numPr>
          <w:ilvl w:val="0"/>
          <w:numId w:val="55"/>
        </w:numPr>
        <w:suppressAutoHyphens/>
        <w:spacing w:before="240" w:after="240"/>
        <w:jc w:val="both"/>
        <w:rPr>
          <w:rFonts w:asciiTheme="majorHAnsi" w:hAnsiTheme="majorHAnsi"/>
          <w:sz w:val="20"/>
          <w:szCs w:val="20"/>
        </w:rPr>
      </w:pPr>
      <w:r>
        <w:rPr>
          <w:rFonts w:asciiTheme="majorHAnsi" w:hAnsiTheme="majorHAnsi"/>
          <w:sz w:val="20"/>
        </w:rPr>
        <w:t xml:space="preserve">To notify the parties of this decision; </w:t>
      </w:r>
      <w:r w:rsidR="00A34D7C">
        <w:rPr>
          <w:rFonts w:asciiTheme="majorHAnsi" w:hAnsiTheme="majorHAnsi"/>
          <w:sz w:val="20"/>
        </w:rPr>
        <w:t xml:space="preserve">proceed </w:t>
      </w:r>
      <w:r>
        <w:rPr>
          <w:rFonts w:asciiTheme="majorHAnsi" w:hAnsiTheme="majorHAnsi"/>
          <w:sz w:val="20"/>
        </w:rPr>
        <w:t>to the analysis of the merits, and to publish this decision and include it in its Annual Report to the General Assembly of the Organization of American States.</w:t>
      </w:r>
    </w:p>
    <w:p w14:paraId="32F1DA75" w14:textId="77D3CE3D" w:rsidR="006F2A58" w:rsidRPr="00644358" w:rsidRDefault="006F2A58" w:rsidP="006F2A58">
      <w:pPr>
        <w:suppressAutoHyphens/>
        <w:spacing w:before="240" w:after="240"/>
        <w:jc w:val="both"/>
        <w:rPr>
          <w:rFonts w:asciiTheme="majorHAnsi" w:hAnsiTheme="majorHAnsi"/>
          <w:sz w:val="20"/>
          <w:szCs w:val="20"/>
        </w:rPr>
      </w:pPr>
      <w:r>
        <w:rPr>
          <w:rFonts w:asciiTheme="majorHAnsi" w:hAnsiTheme="majorHAnsi"/>
          <w:sz w:val="20"/>
          <w:szCs w:val="20"/>
        </w:rPr>
        <w:tab/>
      </w:r>
      <w:r w:rsidRPr="006F2A58">
        <w:rPr>
          <w:rFonts w:asciiTheme="majorHAnsi" w:hAnsiTheme="majorHAnsi"/>
          <w:sz w:val="20"/>
          <w:szCs w:val="20"/>
        </w:rPr>
        <w:t xml:space="preserve">Approved by the Inter-American Commission on Human Rights on the </w:t>
      </w:r>
      <w:r>
        <w:rPr>
          <w:rFonts w:asciiTheme="majorHAnsi" w:hAnsiTheme="majorHAnsi"/>
          <w:sz w:val="20"/>
          <w:szCs w:val="20"/>
        </w:rPr>
        <w:t>7</w:t>
      </w:r>
      <w:r w:rsidRPr="006F2A58">
        <w:rPr>
          <w:rFonts w:asciiTheme="majorHAnsi" w:hAnsiTheme="majorHAnsi"/>
          <w:sz w:val="20"/>
          <w:szCs w:val="20"/>
          <w:vertAlign w:val="superscript"/>
        </w:rPr>
        <w:t>th</w:t>
      </w:r>
      <w:r>
        <w:rPr>
          <w:rFonts w:asciiTheme="majorHAnsi" w:hAnsiTheme="majorHAnsi"/>
          <w:sz w:val="20"/>
          <w:szCs w:val="20"/>
        </w:rPr>
        <w:t xml:space="preserve"> </w:t>
      </w:r>
      <w:r w:rsidRPr="006F2A58">
        <w:rPr>
          <w:rFonts w:asciiTheme="majorHAnsi" w:hAnsiTheme="majorHAnsi"/>
          <w:sz w:val="20"/>
          <w:szCs w:val="20"/>
        </w:rPr>
        <w:t xml:space="preserve">day of the month of </w:t>
      </w:r>
      <w:proofErr w:type="gramStart"/>
      <w:r>
        <w:rPr>
          <w:rFonts w:asciiTheme="majorHAnsi" w:hAnsiTheme="majorHAnsi"/>
          <w:sz w:val="20"/>
          <w:szCs w:val="20"/>
        </w:rPr>
        <w:t>March</w:t>
      </w:r>
      <w:r w:rsidRPr="006F2A58">
        <w:rPr>
          <w:rFonts w:asciiTheme="majorHAnsi" w:hAnsiTheme="majorHAnsi"/>
          <w:sz w:val="20"/>
          <w:szCs w:val="20"/>
        </w:rPr>
        <w:t>,</w:t>
      </w:r>
      <w:proofErr w:type="gramEnd"/>
      <w:r w:rsidRPr="006F2A58">
        <w:rPr>
          <w:rFonts w:asciiTheme="majorHAnsi" w:hAnsiTheme="majorHAnsi"/>
          <w:sz w:val="20"/>
          <w:szCs w:val="20"/>
        </w:rPr>
        <w:t xml:space="preserve"> 2022.  (Signed:) </w:t>
      </w:r>
      <w:proofErr w:type="spellStart"/>
      <w:r w:rsidRPr="006F2A58">
        <w:rPr>
          <w:rFonts w:asciiTheme="majorHAnsi" w:hAnsiTheme="majorHAnsi"/>
          <w:sz w:val="20"/>
          <w:szCs w:val="20"/>
        </w:rPr>
        <w:t>Stuardo</w:t>
      </w:r>
      <w:proofErr w:type="spellEnd"/>
      <w:r w:rsidRPr="006F2A58">
        <w:rPr>
          <w:rFonts w:asciiTheme="majorHAnsi" w:hAnsiTheme="majorHAnsi"/>
          <w:sz w:val="20"/>
          <w:szCs w:val="20"/>
        </w:rPr>
        <w:t xml:space="preserve"> </w:t>
      </w:r>
      <w:proofErr w:type="spellStart"/>
      <w:r w:rsidRPr="006F2A58">
        <w:rPr>
          <w:rFonts w:asciiTheme="majorHAnsi" w:hAnsiTheme="majorHAnsi"/>
          <w:sz w:val="20"/>
          <w:szCs w:val="20"/>
        </w:rPr>
        <w:t>Ralón</w:t>
      </w:r>
      <w:proofErr w:type="spellEnd"/>
      <w:r w:rsidRPr="006F2A58">
        <w:rPr>
          <w:rFonts w:asciiTheme="majorHAnsi" w:hAnsiTheme="majorHAnsi"/>
          <w:sz w:val="20"/>
          <w:szCs w:val="20"/>
        </w:rPr>
        <w:t xml:space="preserve"> Orellana, First Vice President; Margarette May Macaulay, Second Vice President; Esmeralda E. </w:t>
      </w:r>
      <w:proofErr w:type="spellStart"/>
      <w:r w:rsidRPr="006F2A58">
        <w:rPr>
          <w:rFonts w:asciiTheme="majorHAnsi" w:hAnsiTheme="majorHAnsi"/>
          <w:sz w:val="20"/>
          <w:szCs w:val="20"/>
        </w:rPr>
        <w:t>Arosemena</w:t>
      </w:r>
      <w:proofErr w:type="spellEnd"/>
      <w:r w:rsidRPr="006F2A58">
        <w:rPr>
          <w:rFonts w:asciiTheme="majorHAnsi" w:hAnsiTheme="majorHAnsi"/>
          <w:sz w:val="20"/>
          <w:szCs w:val="20"/>
        </w:rPr>
        <w:t xml:space="preserve"> Bernal de </w:t>
      </w:r>
      <w:proofErr w:type="spellStart"/>
      <w:r w:rsidRPr="006F2A58">
        <w:rPr>
          <w:rFonts w:asciiTheme="majorHAnsi" w:hAnsiTheme="majorHAnsi"/>
          <w:sz w:val="20"/>
          <w:szCs w:val="20"/>
        </w:rPr>
        <w:t>Troitiño</w:t>
      </w:r>
      <w:proofErr w:type="spellEnd"/>
      <w:r w:rsidRPr="006F2A58">
        <w:rPr>
          <w:rFonts w:asciiTheme="majorHAnsi" w:hAnsiTheme="majorHAnsi"/>
          <w:sz w:val="20"/>
          <w:szCs w:val="20"/>
        </w:rPr>
        <w:t>,</w:t>
      </w:r>
      <w:r w:rsidR="0023599B">
        <w:rPr>
          <w:rFonts w:asciiTheme="majorHAnsi" w:hAnsiTheme="majorHAnsi"/>
          <w:sz w:val="20"/>
          <w:szCs w:val="20"/>
        </w:rPr>
        <w:t xml:space="preserve"> and</w:t>
      </w:r>
      <w:r w:rsidRPr="006F2A58">
        <w:rPr>
          <w:rFonts w:asciiTheme="majorHAnsi" w:hAnsiTheme="majorHAnsi"/>
          <w:sz w:val="20"/>
          <w:szCs w:val="20"/>
        </w:rPr>
        <w:t xml:space="preserve"> Joel Hernández, Commissioners.</w:t>
      </w:r>
    </w:p>
    <w:sectPr w:rsidR="006F2A58" w:rsidRPr="00644358" w:rsidSect="00673AA3">
      <w:type w:val="oddPage"/>
      <w:pgSz w:w="12240" w:h="15840"/>
      <w:pgMar w:top="1361" w:right="1361" w:bottom="1361" w:left="136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6154B" w14:textId="77777777" w:rsidR="00B01310" w:rsidRDefault="00B01310">
      <w:r>
        <w:separator/>
      </w:r>
    </w:p>
  </w:endnote>
  <w:endnote w:type="continuationSeparator" w:id="0">
    <w:p w14:paraId="1FE9E73D" w14:textId="77777777" w:rsidR="00B01310" w:rsidRDefault="00B0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4E164BE" w14:textId="020F8D9F" w:rsidR="0070697F" w:rsidRPr="006140EF" w:rsidRDefault="0070697F" w:rsidP="006140EF">
        <w:pPr>
          <w:pStyle w:val="Footer"/>
          <w:jc w:val="center"/>
          <w:rPr>
            <w:sz w:val="16"/>
            <w:szCs w:val="22"/>
          </w:rPr>
        </w:pPr>
        <w:r w:rsidRPr="00934A2C">
          <w:rPr>
            <w:sz w:val="16"/>
          </w:rPr>
          <w:fldChar w:fldCharType="begin"/>
        </w:r>
        <w:r w:rsidRPr="00934A2C">
          <w:rPr>
            <w:sz w:val="16"/>
          </w:rPr>
          <w:instrText xml:space="preserve"> PAGE   \* MERGEFORMAT </w:instrText>
        </w:r>
        <w:r w:rsidRPr="00934A2C">
          <w:rPr>
            <w:sz w:val="16"/>
          </w:rPr>
          <w:fldChar w:fldCharType="separate"/>
        </w:r>
        <w:r w:rsidR="00C837DB">
          <w:rPr>
            <w:sz w:val="16"/>
          </w:rPr>
          <w:t>1</w:t>
        </w:r>
        <w:r w:rsidRPr="00934A2C">
          <w:rPr>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C6C1" w14:textId="77777777" w:rsidR="0070697F" w:rsidRPr="00934A2C" w:rsidRDefault="0070697F">
    <w:pPr>
      <w:pStyle w:val="Footer"/>
      <w:jc w:val="center"/>
      <w:rPr>
        <w:sz w:val="16"/>
        <w:szCs w:val="22"/>
      </w:rPr>
    </w:pPr>
  </w:p>
  <w:p w14:paraId="3F2998FA"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2B99" w14:textId="77777777" w:rsidR="00B01310" w:rsidRPr="000F35ED" w:rsidRDefault="00B0131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8A6E128" w14:textId="77777777" w:rsidR="00B01310" w:rsidRPr="000F35ED" w:rsidRDefault="00B01310" w:rsidP="000F35ED">
      <w:pPr>
        <w:rPr>
          <w:rFonts w:asciiTheme="majorHAnsi" w:hAnsiTheme="majorHAnsi"/>
          <w:sz w:val="16"/>
          <w:szCs w:val="16"/>
        </w:rPr>
      </w:pPr>
      <w:r w:rsidRPr="000F35ED">
        <w:rPr>
          <w:rFonts w:asciiTheme="majorHAnsi" w:hAnsiTheme="majorHAnsi"/>
          <w:sz w:val="16"/>
          <w:szCs w:val="16"/>
        </w:rPr>
        <w:separator/>
      </w:r>
    </w:p>
    <w:p w14:paraId="4518A15C" w14:textId="77777777" w:rsidR="00B01310" w:rsidRPr="000F35ED" w:rsidRDefault="00B0131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14:paraId="754C25F8" w14:textId="77777777" w:rsidR="00B01310" w:rsidRPr="000F35ED" w:rsidRDefault="00B01310"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2648853" w14:textId="0A66866F" w:rsidR="00A969DF" w:rsidRPr="00A969DF" w:rsidRDefault="00A969DF" w:rsidP="000C12BF">
      <w:pPr>
        <w:pStyle w:val="FootnoteText"/>
        <w:ind w:firstLine="720"/>
        <w:jc w:val="both"/>
      </w:pPr>
      <w:r>
        <w:rPr>
          <w:rFonts w:ascii="Cambria" w:hAnsi="Cambria"/>
          <w:sz w:val="16"/>
          <w:szCs w:val="16"/>
          <w:vertAlign w:val="superscript"/>
          <w:lang w:val="es-ES"/>
        </w:rPr>
        <w:footnoteRef/>
      </w:r>
      <w:r>
        <w:rPr>
          <w:rFonts w:ascii="Cambria" w:hAnsi="Cambria"/>
          <w:sz w:val="16"/>
        </w:rPr>
        <w:t xml:space="preserve"> In a communication dated April 17, 2017, the petitioning party reported the death of Mr. </w:t>
      </w:r>
      <w:proofErr w:type="spellStart"/>
      <w:r>
        <w:rPr>
          <w:rFonts w:ascii="Cambria" w:hAnsi="Cambria"/>
          <w:sz w:val="16"/>
        </w:rPr>
        <w:t>Melit</w:t>
      </w:r>
      <w:r w:rsidR="00A65B10">
        <w:rPr>
          <w:rFonts w:ascii="Cambria" w:hAnsi="Cambria"/>
          <w:sz w:val="16"/>
        </w:rPr>
        <w:t>o</w:t>
      </w:r>
      <w:r>
        <w:rPr>
          <w:rFonts w:ascii="Cambria" w:hAnsi="Cambria"/>
          <w:sz w:val="16"/>
        </w:rPr>
        <w:t>n</w:t>
      </w:r>
      <w:proofErr w:type="spellEnd"/>
      <w:r>
        <w:rPr>
          <w:rFonts w:ascii="Cambria" w:hAnsi="Cambria"/>
          <w:sz w:val="16"/>
        </w:rPr>
        <w:t xml:space="preserve"> </w:t>
      </w:r>
      <w:proofErr w:type="spellStart"/>
      <w:r>
        <w:rPr>
          <w:rFonts w:ascii="Cambria" w:hAnsi="Cambria"/>
          <w:sz w:val="16"/>
        </w:rPr>
        <w:t>Maquera</w:t>
      </w:r>
      <w:proofErr w:type="spellEnd"/>
      <w:r>
        <w:rPr>
          <w:rFonts w:ascii="Cambria" w:hAnsi="Cambria"/>
          <w:sz w:val="16"/>
        </w:rPr>
        <w:t xml:space="preserve"> Ram</w:t>
      </w:r>
      <w:r w:rsidR="00A65B10">
        <w:rPr>
          <w:rFonts w:ascii="Cambria" w:hAnsi="Cambria"/>
          <w:sz w:val="16"/>
        </w:rPr>
        <w:t>i</w:t>
      </w:r>
      <w:r>
        <w:rPr>
          <w:rFonts w:ascii="Cambria" w:hAnsi="Cambria"/>
          <w:sz w:val="16"/>
        </w:rPr>
        <w:t>rez.</w:t>
      </w:r>
    </w:p>
  </w:footnote>
  <w:footnote w:id="3">
    <w:p w14:paraId="76929106" w14:textId="5A15D179" w:rsidR="002807C5" w:rsidRPr="002807C5" w:rsidRDefault="002807C5" w:rsidP="000C12BF">
      <w:pPr>
        <w:pStyle w:val="FootnoteText"/>
        <w:ind w:firstLine="720"/>
        <w:jc w:val="both"/>
      </w:pPr>
      <w:r>
        <w:rPr>
          <w:rFonts w:ascii="Cambria" w:hAnsi="Cambria"/>
          <w:sz w:val="16"/>
          <w:szCs w:val="16"/>
          <w:vertAlign w:val="superscript"/>
          <w:lang w:val="es-ES"/>
        </w:rPr>
        <w:footnoteRef/>
      </w:r>
      <w:r>
        <w:rPr>
          <w:rFonts w:ascii="Cambria" w:hAnsi="Cambria"/>
          <w:sz w:val="16"/>
        </w:rPr>
        <w:t xml:space="preserve"> The petition refers to a group of more than 800 retired former employees of Southern Peru Copper Corporation. </w:t>
      </w:r>
    </w:p>
  </w:footnote>
  <w:footnote w:id="4">
    <w:p w14:paraId="11B1A39F" w14:textId="4F3009C1" w:rsidR="004A6A54" w:rsidRPr="0085765C" w:rsidRDefault="004A6A54" w:rsidP="000C12BF">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Pursuant to Article 17(2)(a) of the Commission’s Rules of Procedure, Commissioner Julissa Mantilla Falc</w:t>
      </w:r>
      <w:r w:rsidR="009D075F">
        <w:rPr>
          <w:rFonts w:ascii="Cambria" w:hAnsi="Cambria"/>
          <w:sz w:val="16"/>
        </w:rPr>
        <w:t>o</w:t>
      </w:r>
      <w:r>
        <w:rPr>
          <w:rFonts w:ascii="Cambria" w:hAnsi="Cambria"/>
          <w:sz w:val="16"/>
        </w:rPr>
        <w:t>n, a Peruvian national, did not participate in the discussion or decision in this matter.</w:t>
      </w:r>
    </w:p>
  </w:footnote>
  <w:footnote w:id="5">
    <w:p w14:paraId="66DECFEB" w14:textId="7AE7E73A" w:rsidR="0085765C" w:rsidRPr="00843BB5" w:rsidRDefault="0085765C" w:rsidP="000C12BF">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Hereinafter </w:t>
      </w:r>
      <w:r w:rsidR="005D0DF4">
        <w:rPr>
          <w:rFonts w:ascii="Cambria" w:hAnsi="Cambria"/>
          <w:sz w:val="16"/>
        </w:rPr>
        <w:t>the “American</w:t>
      </w:r>
      <w:r>
        <w:rPr>
          <w:rFonts w:ascii="Cambria" w:hAnsi="Cambria"/>
          <w:sz w:val="16"/>
        </w:rPr>
        <w:t xml:space="preserve"> Convention.”</w:t>
      </w:r>
    </w:p>
  </w:footnote>
  <w:footnote w:id="6">
    <w:p w14:paraId="681E2063" w14:textId="0C6B5243" w:rsidR="00EE0069" w:rsidRPr="00EE0069" w:rsidRDefault="00EE0069" w:rsidP="000C12BF">
      <w:pPr>
        <w:pStyle w:val="FootnoteText"/>
        <w:ind w:firstLine="720"/>
        <w:jc w:val="both"/>
        <w:rPr>
          <w:rFonts w:ascii="Cambria" w:hAnsi="Cambria"/>
          <w:sz w:val="16"/>
          <w:szCs w:val="16"/>
        </w:rPr>
      </w:pPr>
      <w:r>
        <w:rPr>
          <w:rFonts w:ascii="Cambria" w:hAnsi="Cambria"/>
          <w:sz w:val="16"/>
          <w:szCs w:val="16"/>
          <w:vertAlign w:val="superscript"/>
          <w:lang w:val="es-419"/>
        </w:rPr>
        <w:footnoteRef/>
      </w:r>
      <w:r>
        <w:t xml:space="preserve"> </w:t>
      </w:r>
      <w:r>
        <w:rPr>
          <w:rFonts w:ascii="Cambria" w:hAnsi="Cambria"/>
          <w:sz w:val="16"/>
        </w:rPr>
        <w:t>Hereinafter the “Protocol of San Salvador.</w:t>
      </w:r>
      <w:r>
        <w:t>”</w:t>
      </w:r>
    </w:p>
  </w:footnote>
  <w:footnote w:id="7">
    <w:p w14:paraId="0CDB5D51" w14:textId="2AD2D24C" w:rsidR="008E3BFE" w:rsidRPr="0085765C" w:rsidRDefault="008E3BFE" w:rsidP="000C12BF">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The observations of either party were duly forwarded to the opposing party.</w:t>
      </w:r>
    </w:p>
  </w:footnote>
  <w:footnote w:id="8">
    <w:p w14:paraId="590087B6" w14:textId="77777777" w:rsidR="0051563D" w:rsidRPr="00382A19" w:rsidRDefault="0051563D" w:rsidP="000C12BF">
      <w:pPr>
        <w:pStyle w:val="FootnoteText"/>
        <w:ind w:firstLine="720"/>
        <w:jc w:val="both"/>
        <w:rPr>
          <w:rFonts w:ascii="Cambria" w:hAnsi="Cambria"/>
          <w:sz w:val="16"/>
          <w:szCs w:val="16"/>
        </w:rPr>
      </w:pPr>
      <w:r w:rsidRPr="008A2C15">
        <w:rPr>
          <w:rFonts w:ascii="Cambria" w:hAnsi="Cambria"/>
          <w:sz w:val="16"/>
          <w:vertAlign w:val="superscript"/>
        </w:rPr>
        <w:footnoteRef/>
      </w:r>
      <w:r w:rsidRPr="008A2C15">
        <w:rPr>
          <w:rFonts w:ascii="Cambria" w:hAnsi="Cambria"/>
          <w:sz w:val="16"/>
        </w:rPr>
        <w:t xml:space="preserve"> IACHR, Report Nº 51/10 (Admissibility), Petition 1166-05, Tibú Massacres, Colombia, March 18, 2010, par.</w:t>
      </w:r>
      <w:r>
        <w:rPr>
          <w:rFonts w:ascii="Cambria" w:hAnsi="Cambria"/>
          <w:sz w:val="16"/>
        </w:rPr>
        <w:t xml:space="preserve"> 102; IACHR, Report No. 86/06 Marino López et al. (Operation Genesis), par. 34 and Report No. 15/09, Massacre and Forced Displacement of the Montes de María, par. 47). </w:t>
      </w:r>
    </w:p>
  </w:footnote>
  <w:footnote w:id="9">
    <w:p w14:paraId="6C84DE63" w14:textId="324B5C01" w:rsidR="0051563D" w:rsidRPr="00382A19" w:rsidRDefault="0051563D" w:rsidP="000C12BF">
      <w:pPr>
        <w:pStyle w:val="FootnoteText"/>
        <w:ind w:firstLine="720"/>
        <w:jc w:val="both"/>
        <w:rPr>
          <w:rFonts w:ascii="Cambria" w:hAnsi="Cambria"/>
          <w:sz w:val="16"/>
          <w:szCs w:val="16"/>
        </w:rPr>
      </w:pPr>
      <w:r>
        <w:rPr>
          <w:rFonts w:ascii="Cambria" w:hAnsi="Cambria"/>
          <w:sz w:val="16"/>
          <w:szCs w:val="16"/>
          <w:vertAlign w:val="superscript"/>
          <w:lang w:val="es-419"/>
        </w:rPr>
        <w:footnoteRef/>
      </w:r>
      <w:r w:rsidR="008A2C15">
        <w:rPr>
          <w:rFonts w:ascii="Cambria" w:hAnsi="Cambria"/>
          <w:sz w:val="16"/>
        </w:rPr>
        <w:t xml:space="preserve"> </w:t>
      </w:r>
      <w:r>
        <w:rPr>
          <w:rFonts w:ascii="Cambria" w:hAnsi="Cambria"/>
          <w:sz w:val="16"/>
        </w:rPr>
        <w:t xml:space="preserve">IACHR, Report No. 61/16, Petition 12.325. Admissibility. </w:t>
      </w:r>
      <w:r w:rsidRPr="00323287">
        <w:rPr>
          <w:rFonts w:ascii="Cambria" w:hAnsi="Cambria"/>
          <w:sz w:val="16"/>
          <w:lang w:val="es-US"/>
        </w:rPr>
        <w:t xml:space="preserve">San José de Apartadó </w:t>
      </w:r>
      <w:proofErr w:type="spellStart"/>
      <w:r w:rsidRPr="00323287">
        <w:rPr>
          <w:rFonts w:ascii="Cambria" w:hAnsi="Cambria"/>
          <w:sz w:val="16"/>
          <w:lang w:val="es-US"/>
        </w:rPr>
        <w:t>Peace</w:t>
      </w:r>
      <w:proofErr w:type="spellEnd"/>
      <w:r w:rsidRPr="00323287">
        <w:rPr>
          <w:rFonts w:ascii="Cambria" w:hAnsi="Cambria"/>
          <w:sz w:val="16"/>
          <w:lang w:val="es-US"/>
        </w:rPr>
        <w:t xml:space="preserve"> </w:t>
      </w:r>
      <w:proofErr w:type="spellStart"/>
      <w:r w:rsidRPr="00323287">
        <w:rPr>
          <w:rFonts w:ascii="Cambria" w:hAnsi="Cambria"/>
          <w:sz w:val="16"/>
          <w:lang w:val="es-US"/>
        </w:rPr>
        <w:t>Community</w:t>
      </w:r>
      <w:proofErr w:type="spellEnd"/>
      <w:r w:rsidRPr="00323287">
        <w:rPr>
          <w:rFonts w:ascii="Cambria" w:hAnsi="Cambria"/>
          <w:sz w:val="16"/>
          <w:lang w:val="es-US"/>
        </w:rPr>
        <w:t xml:space="preserve">. Colombia. </w:t>
      </w:r>
      <w:r>
        <w:rPr>
          <w:rFonts w:ascii="Cambria" w:hAnsi="Cambria"/>
          <w:sz w:val="16"/>
        </w:rPr>
        <w:t>December 6, 2016, par. 62; IACHR, Report No. 64/15 Petition 663-04. Admissibility. Pueblos Mayas and members of the communities of Cristo Rey, Belluet Tree, San Ignacio, Santa Elena, and Santa Familia. Belize, par.  27; IACHR, Report Nº 51/10 (Admissibility), Petition 1166-05, Tibú Massacres, Colombia, par. 102; IACHR, Report No. 86/06 Marino López et al. (Operation Genesis), par. 34.</w:t>
      </w:r>
    </w:p>
  </w:footnote>
  <w:footnote w:id="10">
    <w:p w14:paraId="4DD95072" w14:textId="2BC63A85" w:rsidR="004703F4" w:rsidRPr="004703F4" w:rsidRDefault="004703F4" w:rsidP="000C12BF">
      <w:pPr>
        <w:pStyle w:val="FootnoteText"/>
        <w:ind w:firstLine="720"/>
        <w:jc w:val="both"/>
        <w:rPr>
          <w:rFonts w:ascii="Cambria" w:hAnsi="Cambria"/>
          <w:sz w:val="16"/>
          <w:szCs w:val="16"/>
        </w:rPr>
      </w:pPr>
      <w:r>
        <w:rPr>
          <w:rFonts w:ascii="Cambria" w:hAnsi="Cambria"/>
          <w:sz w:val="16"/>
          <w:szCs w:val="16"/>
          <w:vertAlign w:val="superscript"/>
          <w:lang w:val="es-419"/>
        </w:rPr>
        <w:footnoteRef/>
      </w:r>
      <w:r w:rsidR="00023CFB">
        <w:rPr>
          <w:rFonts w:ascii="Cambria" w:hAnsi="Cambria"/>
          <w:sz w:val="16"/>
        </w:rPr>
        <w:t xml:space="preserve"> </w:t>
      </w:r>
      <w:r>
        <w:rPr>
          <w:rFonts w:ascii="Cambria" w:hAnsi="Cambria"/>
          <w:sz w:val="16"/>
        </w:rPr>
        <w:t>IACHR, Report No. 71/16, Petition 765-09. Admissibility. Q'oq'ob Community of the Municipality of Santa María Nebaj. Guatemala. December 6, 2016, par. 23.</w:t>
      </w:r>
    </w:p>
  </w:footnote>
  <w:footnote w:id="11">
    <w:p w14:paraId="0D8D077A" w14:textId="6EBFD19C" w:rsidR="00382A19" w:rsidRPr="001F6704" w:rsidRDefault="00382A19" w:rsidP="000C12BF">
      <w:pPr>
        <w:pStyle w:val="FootnoteText"/>
        <w:ind w:firstLine="720"/>
        <w:jc w:val="both"/>
        <w:rPr>
          <w:rFonts w:ascii="Cambria" w:hAnsi="Cambria"/>
          <w:sz w:val="16"/>
          <w:szCs w:val="16"/>
        </w:rPr>
      </w:pPr>
      <w:r w:rsidRPr="008A2C15">
        <w:rPr>
          <w:rFonts w:ascii="Cambria" w:hAnsi="Cambria"/>
          <w:sz w:val="16"/>
          <w:vertAlign w:val="superscript"/>
        </w:rPr>
        <w:footnoteRef/>
      </w:r>
      <w:r w:rsidR="00023CFB">
        <w:rPr>
          <w:rFonts w:ascii="Cambria" w:hAnsi="Cambria"/>
          <w:sz w:val="16"/>
        </w:rPr>
        <w:t xml:space="preserve"> </w:t>
      </w:r>
      <w:r w:rsidRPr="008A2C15">
        <w:rPr>
          <w:rFonts w:ascii="Cambria" w:hAnsi="Cambria"/>
          <w:sz w:val="16"/>
        </w:rPr>
        <w:t>IACHR, Report No. 49/13, Petition 1225-04, Admissibility, Gerardo Cruz Pacheco, Mexico, July 12, 2012, par.</w:t>
      </w:r>
      <w:r>
        <w:rPr>
          <w:rFonts w:ascii="Cambria" w:hAnsi="Cambria"/>
          <w:sz w:val="16"/>
        </w:rPr>
        <w:t xml:space="preserve">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E7F0"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5B5EB15"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FC94" w14:textId="3366C214" w:rsidR="00A50FCF" w:rsidRDefault="003F33F4" w:rsidP="00A50FCF">
    <w:pPr>
      <w:pStyle w:val="Header"/>
      <w:tabs>
        <w:tab w:val="clear" w:pos="4320"/>
        <w:tab w:val="clear" w:pos="8640"/>
      </w:tabs>
      <w:jc w:val="center"/>
      <w:rPr>
        <w:sz w:val="22"/>
        <w:szCs w:val="22"/>
      </w:rPr>
    </w:pPr>
    <w:r>
      <w:rPr>
        <w:noProof/>
        <w:sz w:val="22"/>
        <w:szCs w:val="22"/>
      </w:rPr>
      <w:drawing>
        <wp:inline distT="0" distB="0" distL="0" distR="0" wp14:anchorId="08303FED" wp14:editId="3E11259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0DF891E" w14:textId="77777777" w:rsidR="00040C3A" w:rsidRPr="00EC7D62" w:rsidRDefault="00B01310" w:rsidP="00A50FCF">
    <w:pPr>
      <w:pStyle w:val="Header"/>
      <w:tabs>
        <w:tab w:val="clear" w:pos="4320"/>
        <w:tab w:val="clear" w:pos="8640"/>
      </w:tabs>
      <w:jc w:val="center"/>
      <w:rPr>
        <w:sz w:val="22"/>
        <w:szCs w:val="22"/>
      </w:rPr>
    </w:pPr>
    <w:r>
      <w:rPr>
        <w:noProof/>
        <w:sz w:val="22"/>
        <w:bdr w:val="nil"/>
      </w:rPr>
      <w:pict w14:anchorId="0DD87F1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232FC2"/>
    <w:multiLevelType w:val="hybridMultilevel"/>
    <w:tmpl w:val="BED80090"/>
    <w:lvl w:ilvl="0" w:tplc="FFFFFFFF">
      <w:start w:val="1"/>
      <w:numFmt w:val="decimal"/>
      <w:lvlText w:val="%1."/>
      <w:lvlJc w:val="left"/>
      <w:pPr>
        <w:tabs>
          <w:tab w:val="num" w:pos="720"/>
        </w:tabs>
        <w:ind w:left="0" w:firstLine="720"/>
      </w:pPr>
      <w:rPr>
        <w:rFonts w:hint="default"/>
        <w:b w:val="0"/>
        <w:color w:val="auto"/>
        <w:sz w:val="19"/>
        <w:szCs w:val="19"/>
        <w:lang w:val="es-419"/>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5B42497E"/>
    <w:lvl w:ilvl="0" w:tplc="B39E5754">
      <w:start w:val="1"/>
      <w:numFmt w:val="decimal"/>
      <w:lvlText w:val="%1."/>
      <w:lvlJc w:val="left"/>
      <w:pPr>
        <w:tabs>
          <w:tab w:val="num" w:pos="720"/>
        </w:tabs>
        <w:ind w:left="0" w:firstLine="720"/>
      </w:pPr>
      <w:rPr>
        <w:rFonts w:hint="default"/>
        <w:b w:val="0"/>
        <w:color w:val="auto"/>
        <w:sz w:val="19"/>
        <w:szCs w:val="19"/>
        <w:lang w:val="es-4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5B612CB"/>
    <w:multiLevelType w:val="hybridMultilevel"/>
    <w:tmpl w:val="4F5AB6D2"/>
    <w:lvl w:ilvl="0" w:tplc="48008720">
      <w:start w:val="1"/>
      <w:numFmt w:val="decimal"/>
      <w:lvlText w:val="%1."/>
      <w:lvlJc w:val="left"/>
      <w:pPr>
        <w:tabs>
          <w:tab w:val="num" w:pos="720"/>
        </w:tabs>
        <w:ind w:left="0" w:firstLine="720"/>
      </w:pPr>
      <w:rPr>
        <w:rFonts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6A826C0"/>
    <w:multiLevelType w:val="hybridMultilevel"/>
    <w:tmpl w:val="74CAF9C4"/>
    <w:lvl w:ilvl="0" w:tplc="9E943738">
      <w:start w:val="1"/>
      <w:numFmt w:val="upperLetter"/>
      <w:lvlText w:val="%1."/>
      <w:lvlJc w:val="left"/>
      <w:pPr>
        <w:ind w:left="1080" w:hanging="360"/>
      </w:pPr>
      <w:rPr>
        <w:rFonts w:hint="default"/>
        <w:b/>
        <w:i w:val="0"/>
        <w:sz w:val="20"/>
        <w:szCs w:val="2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C546FD"/>
    <w:multiLevelType w:val="hybridMultilevel"/>
    <w:tmpl w:val="82EC2AF2"/>
    <w:lvl w:ilvl="0" w:tplc="87B21A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19568367">
    <w:abstractNumId w:val="4"/>
  </w:num>
  <w:num w:numId="2" w16cid:durableId="1354917251">
    <w:abstractNumId w:val="6"/>
  </w:num>
  <w:num w:numId="3" w16cid:durableId="418989573">
    <w:abstractNumId w:val="57"/>
  </w:num>
  <w:num w:numId="4" w16cid:durableId="25638442">
    <w:abstractNumId w:val="23"/>
  </w:num>
  <w:num w:numId="5" w16cid:durableId="1936983418">
    <w:abstractNumId w:val="51"/>
  </w:num>
  <w:num w:numId="6" w16cid:durableId="550115873">
    <w:abstractNumId w:val="30"/>
  </w:num>
  <w:num w:numId="7" w16cid:durableId="1723091789">
    <w:abstractNumId w:val="8"/>
  </w:num>
  <w:num w:numId="8" w16cid:durableId="1269002900">
    <w:abstractNumId w:val="19"/>
  </w:num>
  <w:num w:numId="9" w16cid:durableId="895049733">
    <w:abstractNumId w:val="46"/>
  </w:num>
  <w:num w:numId="10" w16cid:durableId="2014061972">
    <w:abstractNumId w:val="0"/>
  </w:num>
  <w:num w:numId="11" w16cid:durableId="1587614186">
    <w:abstractNumId w:val="41"/>
  </w:num>
  <w:num w:numId="12" w16cid:durableId="997147714">
    <w:abstractNumId w:val="42"/>
  </w:num>
  <w:num w:numId="13" w16cid:durableId="1523472896">
    <w:abstractNumId w:val="48"/>
  </w:num>
  <w:num w:numId="14" w16cid:durableId="1587692132">
    <w:abstractNumId w:val="1"/>
  </w:num>
  <w:num w:numId="15" w16cid:durableId="381827023">
    <w:abstractNumId w:val="3"/>
  </w:num>
  <w:num w:numId="16" w16cid:durableId="1167985205">
    <w:abstractNumId w:val="9"/>
  </w:num>
  <w:num w:numId="17" w16cid:durableId="478694328">
    <w:abstractNumId w:val="10"/>
  </w:num>
  <w:num w:numId="18" w16cid:durableId="784009780">
    <w:abstractNumId w:val="11"/>
  </w:num>
  <w:num w:numId="19" w16cid:durableId="1871650899">
    <w:abstractNumId w:val="12"/>
  </w:num>
  <w:num w:numId="20" w16cid:durableId="1997875900">
    <w:abstractNumId w:val="13"/>
  </w:num>
  <w:num w:numId="21" w16cid:durableId="936253121">
    <w:abstractNumId w:val="14"/>
  </w:num>
  <w:num w:numId="22" w16cid:durableId="570966332">
    <w:abstractNumId w:val="15"/>
  </w:num>
  <w:num w:numId="23" w16cid:durableId="1790279109">
    <w:abstractNumId w:val="17"/>
  </w:num>
  <w:num w:numId="24" w16cid:durableId="1703168237">
    <w:abstractNumId w:val="18"/>
  </w:num>
  <w:num w:numId="25" w16cid:durableId="1088304332">
    <w:abstractNumId w:val="20"/>
  </w:num>
  <w:num w:numId="26" w16cid:durableId="509031577">
    <w:abstractNumId w:val="21"/>
  </w:num>
  <w:num w:numId="27" w16cid:durableId="578907267">
    <w:abstractNumId w:val="24"/>
  </w:num>
  <w:num w:numId="28" w16cid:durableId="380322015">
    <w:abstractNumId w:val="25"/>
  </w:num>
  <w:num w:numId="29" w16cid:durableId="1181435954">
    <w:abstractNumId w:val="26"/>
  </w:num>
  <w:num w:numId="30" w16cid:durableId="81074286">
    <w:abstractNumId w:val="28"/>
  </w:num>
  <w:num w:numId="31" w16cid:durableId="505902507">
    <w:abstractNumId w:val="31"/>
  </w:num>
  <w:num w:numId="32" w16cid:durableId="1205361821">
    <w:abstractNumId w:val="32"/>
  </w:num>
  <w:num w:numId="33" w16cid:durableId="1656762300">
    <w:abstractNumId w:val="33"/>
  </w:num>
  <w:num w:numId="34" w16cid:durableId="1158351249">
    <w:abstractNumId w:val="34"/>
  </w:num>
  <w:num w:numId="35" w16cid:durableId="1265069379">
    <w:abstractNumId w:val="35"/>
  </w:num>
  <w:num w:numId="36" w16cid:durableId="1644192531">
    <w:abstractNumId w:val="36"/>
  </w:num>
  <w:num w:numId="37" w16cid:durableId="1696688046">
    <w:abstractNumId w:val="38"/>
  </w:num>
  <w:num w:numId="38" w16cid:durableId="1781795199">
    <w:abstractNumId w:val="39"/>
  </w:num>
  <w:num w:numId="39" w16cid:durableId="2085952781">
    <w:abstractNumId w:val="43"/>
  </w:num>
  <w:num w:numId="40" w16cid:durableId="1721204011">
    <w:abstractNumId w:val="44"/>
  </w:num>
  <w:num w:numId="41" w16cid:durableId="312831338">
    <w:abstractNumId w:val="50"/>
  </w:num>
  <w:num w:numId="42" w16cid:durableId="450517416">
    <w:abstractNumId w:val="52"/>
  </w:num>
  <w:num w:numId="43" w16cid:durableId="1611737285">
    <w:abstractNumId w:val="53"/>
  </w:num>
  <w:num w:numId="44" w16cid:durableId="369455803">
    <w:abstractNumId w:val="55"/>
  </w:num>
  <w:num w:numId="45" w16cid:durableId="478808567">
    <w:abstractNumId w:val="56"/>
  </w:num>
  <w:num w:numId="46" w16cid:durableId="622269325">
    <w:abstractNumId w:val="58"/>
  </w:num>
  <w:num w:numId="47" w16cid:durableId="308871787">
    <w:abstractNumId w:val="59"/>
  </w:num>
  <w:num w:numId="48" w16cid:durableId="1452868538">
    <w:abstractNumId w:val="60"/>
  </w:num>
  <w:num w:numId="49" w16cid:durableId="31619341">
    <w:abstractNumId w:val="61"/>
  </w:num>
  <w:num w:numId="50" w16cid:durableId="879322147">
    <w:abstractNumId w:val="62"/>
  </w:num>
  <w:num w:numId="51" w16cid:durableId="1979068702">
    <w:abstractNumId w:val="22"/>
  </w:num>
  <w:num w:numId="52" w16cid:durableId="1875532169">
    <w:abstractNumId w:val="45"/>
  </w:num>
  <w:num w:numId="53" w16cid:durableId="1923177573">
    <w:abstractNumId w:val="54"/>
  </w:num>
  <w:num w:numId="54" w16cid:durableId="561788902">
    <w:abstractNumId w:val="49"/>
  </w:num>
  <w:num w:numId="55" w16cid:durableId="595603650">
    <w:abstractNumId w:val="47"/>
  </w:num>
  <w:num w:numId="56" w16cid:durableId="1193954264">
    <w:abstractNumId w:val="29"/>
  </w:num>
  <w:num w:numId="57" w16cid:durableId="259220364">
    <w:abstractNumId w:val="27"/>
  </w:num>
  <w:num w:numId="58" w16cid:durableId="58749996">
    <w:abstractNumId w:val="40"/>
  </w:num>
  <w:num w:numId="59" w16cid:durableId="49429097">
    <w:abstractNumId w:val="5"/>
  </w:num>
  <w:num w:numId="60" w16cid:durableId="340939825">
    <w:abstractNumId w:val="37"/>
  </w:num>
  <w:num w:numId="61" w16cid:durableId="1588728689">
    <w:abstractNumId w:val="16"/>
  </w:num>
  <w:num w:numId="62" w16cid:durableId="1417239502">
    <w:abstractNumId w:val="7"/>
  </w:num>
  <w:num w:numId="63" w16cid:durableId="1530681239">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BF8299F-BD2E-4FB7-86FD-0AC43FF4E3F3}"/>
    <w:docVar w:name="dgnword-eventsink" w:val="2818513690384"/>
  </w:docVars>
  <w:rsids>
    <w:rsidRoot w:val="006B2D5C"/>
    <w:rsid w:val="0000036F"/>
    <w:rsid w:val="00000B7C"/>
    <w:rsid w:val="00000CDA"/>
    <w:rsid w:val="00000F83"/>
    <w:rsid w:val="000011AF"/>
    <w:rsid w:val="00005703"/>
    <w:rsid w:val="00006E1F"/>
    <w:rsid w:val="000070D7"/>
    <w:rsid w:val="00015764"/>
    <w:rsid w:val="0001788C"/>
    <w:rsid w:val="00023CFB"/>
    <w:rsid w:val="000337EF"/>
    <w:rsid w:val="00040C3A"/>
    <w:rsid w:val="00040D6C"/>
    <w:rsid w:val="000419AD"/>
    <w:rsid w:val="000433C9"/>
    <w:rsid w:val="00065131"/>
    <w:rsid w:val="00066E4D"/>
    <w:rsid w:val="00070EC2"/>
    <w:rsid w:val="00071174"/>
    <w:rsid w:val="000716C5"/>
    <w:rsid w:val="00075E23"/>
    <w:rsid w:val="000828BF"/>
    <w:rsid w:val="00091188"/>
    <w:rsid w:val="0009344A"/>
    <w:rsid w:val="0009636C"/>
    <w:rsid w:val="000A16D9"/>
    <w:rsid w:val="000A392E"/>
    <w:rsid w:val="000A575F"/>
    <w:rsid w:val="000B503E"/>
    <w:rsid w:val="000C12BF"/>
    <w:rsid w:val="000C13ED"/>
    <w:rsid w:val="000D05CB"/>
    <w:rsid w:val="000D10DB"/>
    <w:rsid w:val="000E0410"/>
    <w:rsid w:val="000E52FF"/>
    <w:rsid w:val="000E5EB5"/>
    <w:rsid w:val="000F35ED"/>
    <w:rsid w:val="00100476"/>
    <w:rsid w:val="00107131"/>
    <w:rsid w:val="0010736F"/>
    <w:rsid w:val="00113F73"/>
    <w:rsid w:val="001176CA"/>
    <w:rsid w:val="00121CC2"/>
    <w:rsid w:val="00131425"/>
    <w:rsid w:val="00133039"/>
    <w:rsid w:val="00133EE5"/>
    <w:rsid w:val="001347FC"/>
    <w:rsid w:val="00134C63"/>
    <w:rsid w:val="00137C67"/>
    <w:rsid w:val="00141868"/>
    <w:rsid w:val="00167A34"/>
    <w:rsid w:val="001716A0"/>
    <w:rsid w:val="00186123"/>
    <w:rsid w:val="0018699C"/>
    <w:rsid w:val="00186AF9"/>
    <w:rsid w:val="00186E5F"/>
    <w:rsid w:val="001A18B5"/>
    <w:rsid w:val="001A520D"/>
    <w:rsid w:val="001A5BB4"/>
    <w:rsid w:val="001A7870"/>
    <w:rsid w:val="001B3A00"/>
    <w:rsid w:val="001B6092"/>
    <w:rsid w:val="001C1B41"/>
    <w:rsid w:val="001D65EF"/>
    <w:rsid w:val="001D760C"/>
    <w:rsid w:val="001E49E7"/>
    <w:rsid w:val="001E58AD"/>
    <w:rsid w:val="001F6704"/>
    <w:rsid w:val="001F7201"/>
    <w:rsid w:val="00200671"/>
    <w:rsid w:val="00206097"/>
    <w:rsid w:val="00223A29"/>
    <w:rsid w:val="002250A3"/>
    <w:rsid w:val="00235217"/>
    <w:rsid w:val="0023599B"/>
    <w:rsid w:val="002366FA"/>
    <w:rsid w:val="00242806"/>
    <w:rsid w:val="00246D1F"/>
    <w:rsid w:val="00247403"/>
    <w:rsid w:val="00247542"/>
    <w:rsid w:val="00251C30"/>
    <w:rsid w:val="0025339D"/>
    <w:rsid w:val="00255D9A"/>
    <w:rsid w:val="002601DE"/>
    <w:rsid w:val="00266B61"/>
    <w:rsid w:val="0026712A"/>
    <w:rsid w:val="002704DB"/>
    <w:rsid w:val="00271D90"/>
    <w:rsid w:val="002807C5"/>
    <w:rsid w:val="00284D22"/>
    <w:rsid w:val="00291E60"/>
    <w:rsid w:val="0029474B"/>
    <w:rsid w:val="002A0AAE"/>
    <w:rsid w:val="002A41A4"/>
    <w:rsid w:val="002A502D"/>
    <w:rsid w:val="002A5820"/>
    <w:rsid w:val="002C26E4"/>
    <w:rsid w:val="002C65BB"/>
    <w:rsid w:val="002C6BCD"/>
    <w:rsid w:val="002D2B26"/>
    <w:rsid w:val="002D7EA2"/>
    <w:rsid w:val="002E0125"/>
    <w:rsid w:val="002E187C"/>
    <w:rsid w:val="002E4EDD"/>
    <w:rsid w:val="002F4A17"/>
    <w:rsid w:val="003001F4"/>
    <w:rsid w:val="00302733"/>
    <w:rsid w:val="00302B36"/>
    <w:rsid w:val="00305835"/>
    <w:rsid w:val="00306257"/>
    <w:rsid w:val="00306F33"/>
    <w:rsid w:val="0031262C"/>
    <w:rsid w:val="00314078"/>
    <w:rsid w:val="0031535D"/>
    <w:rsid w:val="00323287"/>
    <w:rsid w:val="003239B8"/>
    <w:rsid w:val="0033169F"/>
    <w:rsid w:val="00334254"/>
    <w:rsid w:val="00336F1D"/>
    <w:rsid w:val="00337A3C"/>
    <w:rsid w:val="00340115"/>
    <w:rsid w:val="00343FA1"/>
    <w:rsid w:val="00344977"/>
    <w:rsid w:val="003469BD"/>
    <w:rsid w:val="00346C95"/>
    <w:rsid w:val="00347C83"/>
    <w:rsid w:val="00355991"/>
    <w:rsid w:val="00356185"/>
    <w:rsid w:val="00360380"/>
    <w:rsid w:val="00361357"/>
    <w:rsid w:val="00370E78"/>
    <w:rsid w:val="0037519E"/>
    <w:rsid w:val="00382A19"/>
    <w:rsid w:val="0038363E"/>
    <w:rsid w:val="00386CF0"/>
    <w:rsid w:val="003A09A9"/>
    <w:rsid w:val="003B70FB"/>
    <w:rsid w:val="003C676B"/>
    <w:rsid w:val="003D3BC2"/>
    <w:rsid w:val="003D4C95"/>
    <w:rsid w:val="003E22AB"/>
    <w:rsid w:val="003E3BE7"/>
    <w:rsid w:val="003E6CA1"/>
    <w:rsid w:val="003F33F4"/>
    <w:rsid w:val="003F5154"/>
    <w:rsid w:val="003F770F"/>
    <w:rsid w:val="00405F9C"/>
    <w:rsid w:val="0040655B"/>
    <w:rsid w:val="004065A8"/>
    <w:rsid w:val="00406C18"/>
    <w:rsid w:val="00414402"/>
    <w:rsid w:val="00415E90"/>
    <w:rsid w:val="004165C2"/>
    <w:rsid w:val="004219D9"/>
    <w:rsid w:val="00435428"/>
    <w:rsid w:val="00441A4C"/>
    <w:rsid w:val="00441ECB"/>
    <w:rsid w:val="00445193"/>
    <w:rsid w:val="00462C1B"/>
    <w:rsid w:val="00463AB1"/>
    <w:rsid w:val="00464636"/>
    <w:rsid w:val="00467B7E"/>
    <w:rsid w:val="004703F4"/>
    <w:rsid w:val="00473BB4"/>
    <w:rsid w:val="00477592"/>
    <w:rsid w:val="00483C10"/>
    <w:rsid w:val="00486F1C"/>
    <w:rsid w:val="0049419D"/>
    <w:rsid w:val="004A6A54"/>
    <w:rsid w:val="004B421C"/>
    <w:rsid w:val="004B4645"/>
    <w:rsid w:val="004C1A85"/>
    <w:rsid w:val="004C20D2"/>
    <w:rsid w:val="004C2312"/>
    <w:rsid w:val="004C4B62"/>
    <w:rsid w:val="004C54C9"/>
    <w:rsid w:val="004D4ABA"/>
    <w:rsid w:val="004D6025"/>
    <w:rsid w:val="004E0FB4"/>
    <w:rsid w:val="004E2649"/>
    <w:rsid w:val="004E71BF"/>
    <w:rsid w:val="004E7FCA"/>
    <w:rsid w:val="004F3781"/>
    <w:rsid w:val="004F626F"/>
    <w:rsid w:val="00501399"/>
    <w:rsid w:val="00502CA7"/>
    <w:rsid w:val="00504487"/>
    <w:rsid w:val="005047ED"/>
    <w:rsid w:val="0050633D"/>
    <w:rsid w:val="00507BC4"/>
    <w:rsid w:val="005128E4"/>
    <w:rsid w:val="00512999"/>
    <w:rsid w:val="005133DB"/>
    <w:rsid w:val="00514504"/>
    <w:rsid w:val="0051563D"/>
    <w:rsid w:val="00521E1F"/>
    <w:rsid w:val="00525560"/>
    <w:rsid w:val="00527EBB"/>
    <w:rsid w:val="00540F69"/>
    <w:rsid w:val="00541A7A"/>
    <w:rsid w:val="00544C49"/>
    <w:rsid w:val="005516A1"/>
    <w:rsid w:val="00551CE6"/>
    <w:rsid w:val="00553F86"/>
    <w:rsid w:val="00555751"/>
    <w:rsid w:val="005559EF"/>
    <w:rsid w:val="00557062"/>
    <w:rsid w:val="005605F9"/>
    <w:rsid w:val="00560A2F"/>
    <w:rsid w:val="00563557"/>
    <w:rsid w:val="005649A2"/>
    <w:rsid w:val="00567B85"/>
    <w:rsid w:val="0057402A"/>
    <w:rsid w:val="005771D0"/>
    <w:rsid w:val="0059191A"/>
    <w:rsid w:val="005921FF"/>
    <w:rsid w:val="005A24ED"/>
    <w:rsid w:val="005A6CA7"/>
    <w:rsid w:val="005A6D0E"/>
    <w:rsid w:val="005B52B0"/>
    <w:rsid w:val="005B6806"/>
    <w:rsid w:val="005C4225"/>
    <w:rsid w:val="005D0DF4"/>
    <w:rsid w:val="005D6099"/>
    <w:rsid w:val="005D6E09"/>
    <w:rsid w:val="005F0DAD"/>
    <w:rsid w:val="005F0F33"/>
    <w:rsid w:val="005F23DD"/>
    <w:rsid w:val="005F2795"/>
    <w:rsid w:val="005F4DC9"/>
    <w:rsid w:val="00600DEB"/>
    <w:rsid w:val="00603B61"/>
    <w:rsid w:val="00603C86"/>
    <w:rsid w:val="00610175"/>
    <w:rsid w:val="0061055B"/>
    <w:rsid w:val="006136FE"/>
    <w:rsid w:val="006140EF"/>
    <w:rsid w:val="00624DE8"/>
    <w:rsid w:val="006257E5"/>
    <w:rsid w:val="00627C9F"/>
    <w:rsid w:val="006311E9"/>
    <w:rsid w:val="00632354"/>
    <w:rsid w:val="00635421"/>
    <w:rsid w:val="00642810"/>
    <w:rsid w:val="00642A33"/>
    <w:rsid w:val="00644358"/>
    <w:rsid w:val="00647818"/>
    <w:rsid w:val="00652333"/>
    <w:rsid w:val="00652C53"/>
    <w:rsid w:val="00661E32"/>
    <w:rsid w:val="0066746E"/>
    <w:rsid w:val="00670A33"/>
    <w:rsid w:val="006730AE"/>
    <w:rsid w:val="00673AA3"/>
    <w:rsid w:val="00673F3F"/>
    <w:rsid w:val="006744F2"/>
    <w:rsid w:val="0068009E"/>
    <w:rsid w:val="006843EB"/>
    <w:rsid w:val="006843F0"/>
    <w:rsid w:val="00692219"/>
    <w:rsid w:val="006932A0"/>
    <w:rsid w:val="00693A89"/>
    <w:rsid w:val="006A17D2"/>
    <w:rsid w:val="006A2F81"/>
    <w:rsid w:val="006A30D2"/>
    <w:rsid w:val="006A73E6"/>
    <w:rsid w:val="006B28F4"/>
    <w:rsid w:val="006B2D5C"/>
    <w:rsid w:val="006B56B4"/>
    <w:rsid w:val="006B7A3E"/>
    <w:rsid w:val="006C0ECF"/>
    <w:rsid w:val="006C22F9"/>
    <w:rsid w:val="006C240E"/>
    <w:rsid w:val="006C4EB1"/>
    <w:rsid w:val="006D16C7"/>
    <w:rsid w:val="006E0166"/>
    <w:rsid w:val="006E2FFB"/>
    <w:rsid w:val="006E7B34"/>
    <w:rsid w:val="006F164F"/>
    <w:rsid w:val="006F2A58"/>
    <w:rsid w:val="006F3922"/>
    <w:rsid w:val="00700CE7"/>
    <w:rsid w:val="00704709"/>
    <w:rsid w:val="0070697F"/>
    <w:rsid w:val="007103C4"/>
    <w:rsid w:val="00714D25"/>
    <w:rsid w:val="0072199C"/>
    <w:rsid w:val="00722C9F"/>
    <w:rsid w:val="007253B8"/>
    <w:rsid w:val="00725BA4"/>
    <w:rsid w:val="00730C56"/>
    <w:rsid w:val="00731B1F"/>
    <w:rsid w:val="0073741F"/>
    <w:rsid w:val="00737912"/>
    <w:rsid w:val="00744E44"/>
    <w:rsid w:val="00745DF6"/>
    <w:rsid w:val="00757A81"/>
    <w:rsid w:val="00760B55"/>
    <w:rsid w:val="0076176F"/>
    <w:rsid w:val="00765CF0"/>
    <w:rsid w:val="0076643F"/>
    <w:rsid w:val="00777F63"/>
    <w:rsid w:val="00782A3A"/>
    <w:rsid w:val="007A5817"/>
    <w:rsid w:val="007B05C4"/>
    <w:rsid w:val="007B60E9"/>
    <w:rsid w:val="007B6CC3"/>
    <w:rsid w:val="007B76D3"/>
    <w:rsid w:val="007C1995"/>
    <w:rsid w:val="007C3334"/>
    <w:rsid w:val="007D2B98"/>
    <w:rsid w:val="007E21BC"/>
    <w:rsid w:val="007E7C82"/>
    <w:rsid w:val="007F12BF"/>
    <w:rsid w:val="007F2AA1"/>
    <w:rsid w:val="007F51D0"/>
    <w:rsid w:val="007F588D"/>
    <w:rsid w:val="007F6311"/>
    <w:rsid w:val="00803F1C"/>
    <w:rsid w:val="0080600E"/>
    <w:rsid w:val="00814688"/>
    <w:rsid w:val="00817612"/>
    <w:rsid w:val="00827EE9"/>
    <w:rsid w:val="008338A4"/>
    <w:rsid w:val="00834D49"/>
    <w:rsid w:val="00835783"/>
    <w:rsid w:val="00837C45"/>
    <w:rsid w:val="00843BB5"/>
    <w:rsid w:val="00844730"/>
    <w:rsid w:val="008457C2"/>
    <w:rsid w:val="00852B5F"/>
    <w:rsid w:val="00853B40"/>
    <w:rsid w:val="0085765C"/>
    <w:rsid w:val="00857A82"/>
    <w:rsid w:val="00862A6C"/>
    <w:rsid w:val="00873836"/>
    <w:rsid w:val="00876CD4"/>
    <w:rsid w:val="00880419"/>
    <w:rsid w:val="008821C6"/>
    <w:rsid w:val="00885737"/>
    <w:rsid w:val="00890650"/>
    <w:rsid w:val="008944DC"/>
    <w:rsid w:val="00897E12"/>
    <w:rsid w:val="00897F82"/>
    <w:rsid w:val="008A2C15"/>
    <w:rsid w:val="008A4BDC"/>
    <w:rsid w:val="008A7E0F"/>
    <w:rsid w:val="008B12F5"/>
    <w:rsid w:val="008B2373"/>
    <w:rsid w:val="008B2B11"/>
    <w:rsid w:val="008B2B45"/>
    <w:rsid w:val="008B325E"/>
    <w:rsid w:val="008C5E2D"/>
    <w:rsid w:val="008D1C3E"/>
    <w:rsid w:val="008D768D"/>
    <w:rsid w:val="008E3759"/>
    <w:rsid w:val="008E3A05"/>
    <w:rsid w:val="008E3BFE"/>
    <w:rsid w:val="008F1912"/>
    <w:rsid w:val="008F2E47"/>
    <w:rsid w:val="008F3D01"/>
    <w:rsid w:val="0090270B"/>
    <w:rsid w:val="0090301D"/>
    <w:rsid w:val="009041DC"/>
    <w:rsid w:val="00904A91"/>
    <w:rsid w:val="009166CD"/>
    <w:rsid w:val="00917B5A"/>
    <w:rsid w:val="0092021F"/>
    <w:rsid w:val="00920A58"/>
    <w:rsid w:val="00920A8C"/>
    <w:rsid w:val="009224E6"/>
    <w:rsid w:val="00924AC2"/>
    <w:rsid w:val="00934A2C"/>
    <w:rsid w:val="0095631C"/>
    <w:rsid w:val="0096706E"/>
    <w:rsid w:val="009708A3"/>
    <w:rsid w:val="00974491"/>
    <w:rsid w:val="00975C4E"/>
    <w:rsid w:val="00977562"/>
    <w:rsid w:val="00981FBA"/>
    <w:rsid w:val="00992B24"/>
    <w:rsid w:val="00995956"/>
    <w:rsid w:val="00997BC5"/>
    <w:rsid w:val="00997FBB"/>
    <w:rsid w:val="009A4F41"/>
    <w:rsid w:val="009A5677"/>
    <w:rsid w:val="009A71EE"/>
    <w:rsid w:val="009B381B"/>
    <w:rsid w:val="009B4A4B"/>
    <w:rsid w:val="009D075F"/>
    <w:rsid w:val="009D1753"/>
    <w:rsid w:val="009D4AD2"/>
    <w:rsid w:val="009D67EC"/>
    <w:rsid w:val="009D7611"/>
    <w:rsid w:val="009E0B61"/>
    <w:rsid w:val="009E35C4"/>
    <w:rsid w:val="009E53DE"/>
    <w:rsid w:val="009E71F7"/>
    <w:rsid w:val="009E72A1"/>
    <w:rsid w:val="009F5F5D"/>
    <w:rsid w:val="00A01250"/>
    <w:rsid w:val="00A029FD"/>
    <w:rsid w:val="00A11212"/>
    <w:rsid w:val="00A11E44"/>
    <w:rsid w:val="00A12F3F"/>
    <w:rsid w:val="00A17AF3"/>
    <w:rsid w:val="00A30100"/>
    <w:rsid w:val="00A328B3"/>
    <w:rsid w:val="00A34D7C"/>
    <w:rsid w:val="00A35906"/>
    <w:rsid w:val="00A4460E"/>
    <w:rsid w:val="00A465B7"/>
    <w:rsid w:val="00A4711C"/>
    <w:rsid w:val="00A50FCF"/>
    <w:rsid w:val="00A51D13"/>
    <w:rsid w:val="00A528D1"/>
    <w:rsid w:val="00A610CD"/>
    <w:rsid w:val="00A62372"/>
    <w:rsid w:val="00A65B10"/>
    <w:rsid w:val="00A72560"/>
    <w:rsid w:val="00A758AA"/>
    <w:rsid w:val="00A8332D"/>
    <w:rsid w:val="00A969DF"/>
    <w:rsid w:val="00AA09A2"/>
    <w:rsid w:val="00AA1EB8"/>
    <w:rsid w:val="00AA7996"/>
    <w:rsid w:val="00AB0565"/>
    <w:rsid w:val="00AC19CB"/>
    <w:rsid w:val="00AD206C"/>
    <w:rsid w:val="00AD6879"/>
    <w:rsid w:val="00AE5488"/>
    <w:rsid w:val="00AE6F91"/>
    <w:rsid w:val="00AF5571"/>
    <w:rsid w:val="00AF7F39"/>
    <w:rsid w:val="00B01310"/>
    <w:rsid w:val="00B05ED0"/>
    <w:rsid w:val="00B07341"/>
    <w:rsid w:val="00B167DE"/>
    <w:rsid w:val="00B30539"/>
    <w:rsid w:val="00B314DB"/>
    <w:rsid w:val="00B35124"/>
    <w:rsid w:val="00B361F2"/>
    <w:rsid w:val="00B36E35"/>
    <w:rsid w:val="00B3718B"/>
    <w:rsid w:val="00B3745F"/>
    <w:rsid w:val="00B4632A"/>
    <w:rsid w:val="00B51320"/>
    <w:rsid w:val="00B530F1"/>
    <w:rsid w:val="00B62BEE"/>
    <w:rsid w:val="00B67A45"/>
    <w:rsid w:val="00B71B89"/>
    <w:rsid w:val="00B82688"/>
    <w:rsid w:val="00B93D7F"/>
    <w:rsid w:val="00BA276C"/>
    <w:rsid w:val="00BA54ED"/>
    <w:rsid w:val="00BA6897"/>
    <w:rsid w:val="00BB019D"/>
    <w:rsid w:val="00BB306F"/>
    <w:rsid w:val="00BC5BDF"/>
    <w:rsid w:val="00BC5D6F"/>
    <w:rsid w:val="00BD0FF5"/>
    <w:rsid w:val="00BD1A78"/>
    <w:rsid w:val="00BD28AF"/>
    <w:rsid w:val="00BD4B89"/>
    <w:rsid w:val="00BD5922"/>
    <w:rsid w:val="00BE095F"/>
    <w:rsid w:val="00BE5A63"/>
    <w:rsid w:val="00BF02CB"/>
    <w:rsid w:val="00BF6FD8"/>
    <w:rsid w:val="00C03680"/>
    <w:rsid w:val="00C054DF"/>
    <w:rsid w:val="00C0635F"/>
    <w:rsid w:val="00C150A0"/>
    <w:rsid w:val="00C21762"/>
    <w:rsid w:val="00C21FEF"/>
    <w:rsid w:val="00C23BA4"/>
    <w:rsid w:val="00C24543"/>
    <w:rsid w:val="00C256A2"/>
    <w:rsid w:val="00C25ADB"/>
    <w:rsid w:val="00C36EED"/>
    <w:rsid w:val="00C41CB2"/>
    <w:rsid w:val="00C44A8A"/>
    <w:rsid w:val="00C5110B"/>
    <w:rsid w:val="00C51515"/>
    <w:rsid w:val="00C5660B"/>
    <w:rsid w:val="00C5791E"/>
    <w:rsid w:val="00C64D9F"/>
    <w:rsid w:val="00C66B72"/>
    <w:rsid w:val="00C837DB"/>
    <w:rsid w:val="00C8575E"/>
    <w:rsid w:val="00C87AC4"/>
    <w:rsid w:val="00C912DD"/>
    <w:rsid w:val="00C9567A"/>
    <w:rsid w:val="00CB212D"/>
    <w:rsid w:val="00CB2660"/>
    <w:rsid w:val="00CB2FCE"/>
    <w:rsid w:val="00CB44DE"/>
    <w:rsid w:val="00CB689E"/>
    <w:rsid w:val="00CB6AC4"/>
    <w:rsid w:val="00CC11D9"/>
    <w:rsid w:val="00CC5E90"/>
    <w:rsid w:val="00CD035E"/>
    <w:rsid w:val="00CD046C"/>
    <w:rsid w:val="00CD2F3F"/>
    <w:rsid w:val="00CE076C"/>
    <w:rsid w:val="00CE5199"/>
    <w:rsid w:val="00CE6379"/>
    <w:rsid w:val="00CE66D5"/>
    <w:rsid w:val="00CF00FE"/>
    <w:rsid w:val="00CF4F98"/>
    <w:rsid w:val="00CF637A"/>
    <w:rsid w:val="00D059DE"/>
    <w:rsid w:val="00D05ABD"/>
    <w:rsid w:val="00D13FCE"/>
    <w:rsid w:val="00D17F9C"/>
    <w:rsid w:val="00D21B4F"/>
    <w:rsid w:val="00D306D1"/>
    <w:rsid w:val="00D30800"/>
    <w:rsid w:val="00D34786"/>
    <w:rsid w:val="00D35B7F"/>
    <w:rsid w:val="00D37BFC"/>
    <w:rsid w:val="00D44529"/>
    <w:rsid w:val="00D47A8E"/>
    <w:rsid w:val="00D52D14"/>
    <w:rsid w:val="00D5406D"/>
    <w:rsid w:val="00D65F87"/>
    <w:rsid w:val="00D712D3"/>
    <w:rsid w:val="00D71422"/>
    <w:rsid w:val="00D71D71"/>
    <w:rsid w:val="00D72DC6"/>
    <w:rsid w:val="00D72DD3"/>
    <w:rsid w:val="00D745CC"/>
    <w:rsid w:val="00D7558D"/>
    <w:rsid w:val="00D81D92"/>
    <w:rsid w:val="00D83197"/>
    <w:rsid w:val="00D8333D"/>
    <w:rsid w:val="00D83E87"/>
    <w:rsid w:val="00D84F38"/>
    <w:rsid w:val="00D86057"/>
    <w:rsid w:val="00D871A5"/>
    <w:rsid w:val="00D876F9"/>
    <w:rsid w:val="00D91337"/>
    <w:rsid w:val="00DA01BE"/>
    <w:rsid w:val="00DA7B5F"/>
    <w:rsid w:val="00DB0C43"/>
    <w:rsid w:val="00DB0F98"/>
    <w:rsid w:val="00DB36D3"/>
    <w:rsid w:val="00DB7313"/>
    <w:rsid w:val="00DC03BF"/>
    <w:rsid w:val="00DC11E7"/>
    <w:rsid w:val="00DC24E3"/>
    <w:rsid w:val="00DC4BBD"/>
    <w:rsid w:val="00DC7023"/>
    <w:rsid w:val="00DC769A"/>
    <w:rsid w:val="00DD25B4"/>
    <w:rsid w:val="00DD3D86"/>
    <w:rsid w:val="00DD4564"/>
    <w:rsid w:val="00DD45E1"/>
    <w:rsid w:val="00DD4AD2"/>
    <w:rsid w:val="00DE2862"/>
    <w:rsid w:val="00DE57E0"/>
    <w:rsid w:val="00DF0C5E"/>
    <w:rsid w:val="00DF1EC4"/>
    <w:rsid w:val="00DF4B0D"/>
    <w:rsid w:val="00DF5419"/>
    <w:rsid w:val="00DF6054"/>
    <w:rsid w:val="00E02365"/>
    <w:rsid w:val="00E0340B"/>
    <w:rsid w:val="00E04A90"/>
    <w:rsid w:val="00E0551F"/>
    <w:rsid w:val="00E14A5F"/>
    <w:rsid w:val="00E219C7"/>
    <w:rsid w:val="00E30106"/>
    <w:rsid w:val="00E40496"/>
    <w:rsid w:val="00E4118C"/>
    <w:rsid w:val="00E41DF5"/>
    <w:rsid w:val="00E43157"/>
    <w:rsid w:val="00E461CE"/>
    <w:rsid w:val="00E56E3D"/>
    <w:rsid w:val="00E573E4"/>
    <w:rsid w:val="00E64C3D"/>
    <w:rsid w:val="00E720CA"/>
    <w:rsid w:val="00E74874"/>
    <w:rsid w:val="00E80568"/>
    <w:rsid w:val="00E83537"/>
    <w:rsid w:val="00E84EB5"/>
    <w:rsid w:val="00E85662"/>
    <w:rsid w:val="00E8789F"/>
    <w:rsid w:val="00E97B71"/>
    <w:rsid w:val="00EA3D34"/>
    <w:rsid w:val="00EA5298"/>
    <w:rsid w:val="00EB3B48"/>
    <w:rsid w:val="00EB454D"/>
    <w:rsid w:val="00EB550D"/>
    <w:rsid w:val="00EB6F65"/>
    <w:rsid w:val="00EB727D"/>
    <w:rsid w:val="00EC6057"/>
    <w:rsid w:val="00ED549D"/>
    <w:rsid w:val="00ED5E10"/>
    <w:rsid w:val="00ED76BE"/>
    <w:rsid w:val="00EE0069"/>
    <w:rsid w:val="00EE00E9"/>
    <w:rsid w:val="00EE3874"/>
    <w:rsid w:val="00EF1AAA"/>
    <w:rsid w:val="00EF2E56"/>
    <w:rsid w:val="00EF4255"/>
    <w:rsid w:val="00EF619B"/>
    <w:rsid w:val="00F00B55"/>
    <w:rsid w:val="00F02AD1"/>
    <w:rsid w:val="00F11FD7"/>
    <w:rsid w:val="00F148CD"/>
    <w:rsid w:val="00F253CC"/>
    <w:rsid w:val="00F27B2F"/>
    <w:rsid w:val="00F37106"/>
    <w:rsid w:val="00F37A79"/>
    <w:rsid w:val="00F40A7C"/>
    <w:rsid w:val="00F4267C"/>
    <w:rsid w:val="00F44E25"/>
    <w:rsid w:val="00F45A18"/>
    <w:rsid w:val="00F519CF"/>
    <w:rsid w:val="00F52B00"/>
    <w:rsid w:val="00F56BA5"/>
    <w:rsid w:val="00F60E22"/>
    <w:rsid w:val="00F64041"/>
    <w:rsid w:val="00F6713E"/>
    <w:rsid w:val="00F76955"/>
    <w:rsid w:val="00F81395"/>
    <w:rsid w:val="00F81BB8"/>
    <w:rsid w:val="00F90C64"/>
    <w:rsid w:val="00F917D1"/>
    <w:rsid w:val="00F9653B"/>
    <w:rsid w:val="00FA0AF5"/>
    <w:rsid w:val="00FA2C59"/>
    <w:rsid w:val="00FA4EDF"/>
    <w:rsid w:val="00FB15A5"/>
    <w:rsid w:val="00FB62CF"/>
    <w:rsid w:val="00FC2260"/>
    <w:rsid w:val="00FC5A36"/>
    <w:rsid w:val="00FC7AD8"/>
    <w:rsid w:val="00FD3C3B"/>
    <w:rsid w:val="00FD5A6B"/>
    <w:rsid w:val="00FD70A6"/>
    <w:rsid w:val="00FE07DD"/>
    <w:rsid w:val="00FE6B45"/>
    <w:rsid w:val="00FF55F3"/>
    <w:rsid w:val="00FF5851"/>
    <w:rsid w:val="00FF73B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8B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E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5A63"/>
    <w:rPr>
      <w:sz w:val="16"/>
      <w:szCs w:val="16"/>
    </w:rPr>
  </w:style>
  <w:style w:type="paragraph" w:styleId="CommentText">
    <w:name w:val="annotation text"/>
    <w:basedOn w:val="Normal"/>
    <w:link w:val="CommentTextChar"/>
    <w:uiPriority w:val="99"/>
    <w:unhideWhenUsed/>
    <w:rsid w:val="00BE5A63"/>
    <w:pPr>
      <w:pBdr>
        <w:top w:val="nil"/>
        <w:left w:val="nil"/>
        <w:bottom w:val="nil"/>
        <w:right w:val="nil"/>
        <w:between w:val="nil"/>
        <w:bar w:val="nil"/>
      </w:pBdr>
    </w:pPr>
    <w:rPr>
      <w:rFonts w:eastAsia="Arial Unicode MS"/>
      <w:sz w:val="20"/>
      <w:szCs w:val="20"/>
      <w:bdr w:val="nil"/>
    </w:rPr>
  </w:style>
  <w:style w:type="character" w:customStyle="1" w:styleId="CommentTextChar">
    <w:name w:val="Comment Text Char"/>
    <w:basedOn w:val="DefaultParagraphFont"/>
    <w:link w:val="CommentText"/>
    <w:uiPriority w:val="99"/>
    <w:rsid w:val="00BE5A63"/>
    <w:rPr>
      <w:lang w:val="en-US" w:eastAsia="en-US"/>
    </w:rPr>
  </w:style>
  <w:style w:type="paragraph" w:styleId="Revision">
    <w:name w:val="Revision"/>
    <w:hidden/>
    <w:uiPriority w:val="99"/>
    <w:semiHidden/>
    <w:rsid w:val="009E35C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CommentSubject">
    <w:name w:val="annotation subject"/>
    <w:basedOn w:val="CommentText"/>
    <w:next w:val="CommentText"/>
    <w:link w:val="CommentSubjectChar"/>
    <w:uiPriority w:val="99"/>
    <w:semiHidden/>
    <w:unhideWhenUsed/>
    <w:rsid w:val="009E35C4"/>
    <w:rPr>
      <w:b/>
      <w:bCs/>
    </w:rPr>
  </w:style>
  <w:style w:type="character" w:customStyle="1" w:styleId="CommentSubjectChar">
    <w:name w:val="Comment Subject Char"/>
    <w:basedOn w:val="CommentTextChar"/>
    <w:link w:val="CommentSubject"/>
    <w:uiPriority w:val="99"/>
    <w:semiHidden/>
    <w:rsid w:val="009E35C4"/>
    <w:rPr>
      <w:b/>
      <w:bCs/>
      <w:lang w:val="en-US" w:eastAsia="en-US"/>
    </w:rPr>
  </w:style>
  <w:style w:type="paragraph" w:styleId="NormalWeb">
    <w:name w:val="Normal (Web)"/>
    <w:basedOn w:val="Normal"/>
    <w:uiPriority w:val="99"/>
    <w:unhideWhenUsed/>
    <w:rsid w:val="00624DE8"/>
    <w:pPr>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4922">
      <w:bodyDiv w:val="1"/>
      <w:marLeft w:val="0"/>
      <w:marRight w:val="0"/>
      <w:marTop w:val="0"/>
      <w:marBottom w:val="0"/>
      <w:divBdr>
        <w:top w:val="none" w:sz="0" w:space="0" w:color="auto"/>
        <w:left w:val="none" w:sz="0" w:space="0" w:color="auto"/>
        <w:bottom w:val="none" w:sz="0" w:space="0" w:color="auto"/>
        <w:right w:val="none" w:sz="0" w:space="0" w:color="auto"/>
      </w:divBdr>
    </w:div>
    <w:div w:id="181941453">
      <w:bodyDiv w:val="1"/>
      <w:marLeft w:val="0"/>
      <w:marRight w:val="0"/>
      <w:marTop w:val="0"/>
      <w:marBottom w:val="0"/>
      <w:divBdr>
        <w:top w:val="none" w:sz="0" w:space="0" w:color="auto"/>
        <w:left w:val="none" w:sz="0" w:space="0" w:color="auto"/>
        <w:bottom w:val="none" w:sz="0" w:space="0" w:color="auto"/>
        <w:right w:val="none" w:sz="0" w:space="0" w:color="auto"/>
      </w:divBdr>
    </w:div>
    <w:div w:id="204565697">
      <w:bodyDiv w:val="1"/>
      <w:marLeft w:val="0"/>
      <w:marRight w:val="0"/>
      <w:marTop w:val="0"/>
      <w:marBottom w:val="0"/>
      <w:divBdr>
        <w:top w:val="none" w:sz="0" w:space="0" w:color="auto"/>
        <w:left w:val="none" w:sz="0" w:space="0" w:color="auto"/>
        <w:bottom w:val="none" w:sz="0" w:space="0" w:color="auto"/>
        <w:right w:val="none" w:sz="0" w:space="0" w:color="auto"/>
      </w:divBdr>
    </w:div>
    <w:div w:id="306130401">
      <w:bodyDiv w:val="1"/>
      <w:marLeft w:val="0"/>
      <w:marRight w:val="0"/>
      <w:marTop w:val="0"/>
      <w:marBottom w:val="0"/>
      <w:divBdr>
        <w:top w:val="none" w:sz="0" w:space="0" w:color="auto"/>
        <w:left w:val="none" w:sz="0" w:space="0" w:color="auto"/>
        <w:bottom w:val="none" w:sz="0" w:space="0" w:color="auto"/>
        <w:right w:val="none" w:sz="0" w:space="0" w:color="auto"/>
      </w:divBdr>
    </w:div>
    <w:div w:id="367414994">
      <w:bodyDiv w:val="1"/>
      <w:marLeft w:val="0"/>
      <w:marRight w:val="0"/>
      <w:marTop w:val="0"/>
      <w:marBottom w:val="0"/>
      <w:divBdr>
        <w:top w:val="none" w:sz="0" w:space="0" w:color="auto"/>
        <w:left w:val="none" w:sz="0" w:space="0" w:color="auto"/>
        <w:bottom w:val="none" w:sz="0" w:space="0" w:color="auto"/>
        <w:right w:val="none" w:sz="0" w:space="0" w:color="auto"/>
      </w:divBdr>
    </w:div>
    <w:div w:id="398749079">
      <w:bodyDiv w:val="1"/>
      <w:marLeft w:val="0"/>
      <w:marRight w:val="0"/>
      <w:marTop w:val="0"/>
      <w:marBottom w:val="0"/>
      <w:divBdr>
        <w:top w:val="none" w:sz="0" w:space="0" w:color="auto"/>
        <w:left w:val="none" w:sz="0" w:space="0" w:color="auto"/>
        <w:bottom w:val="none" w:sz="0" w:space="0" w:color="auto"/>
        <w:right w:val="none" w:sz="0" w:space="0" w:color="auto"/>
      </w:divBdr>
    </w:div>
    <w:div w:id="412972142">
      <w:bodyDiv w:val="1"/>
      <w:marLeft w:val="0"/>
      <w:marRight w:val="0"/>
      <w:marTop w:val="0"/>
      <w:marBottom w:val="0"/>
      <w:divBdr>
        <w:top w:val="none" w:sz="0" w:space="0" w:color="auto"/>
        <w:left w:val="none" w:sz="0" w:space="0" w:color="auto"/>
        <w:bottom w:val="none" w:sz="0" w:space="0" w:color="auto"/>
        <w:right w:val="none" w:sz="0" w:space="0" w:color="auto"/>
      </w:divBdr>
    </w:div>
    <w:div w:id="453838795">
      <w:bodyDiv w:val="1"/>
      <w:marLeft w:val="0"/>
      <w:marRight w:val="0"/>
      <w:marTop w:val="0"/>
      <w:marBottom w:val="0"/>
      <w:divBdr>
        <w:top w:val="none" w:sz="0" w:space="0" w:color="auto"/>
        <w:left w:val="none" w:sz="0" w:space="0" w:color="auto"/>
        <w:bottom w:val="none" w:sz="0" w:space="0" w:color="auto"/>
        <w:right w:val="none" w:sz="0" w:space="0" w:color="auto"/>
      </w:divBdr>
    </w:div>
    <w:div w:id="493375761">
      <w:bodyDiv w:val="1"/>
      <w:marLeft w:val="0"/>
      <w:marRight w:val="0"/>
      <w:marTop w:val="0"/>
      <w:marBottom w:val="0"/>
      <w:divBdr>
        <w:top w:val="none" w:sz="0" w:space="0" w:color="auto"/>
        <w:left w:val="none" w:sz="0" w:space="0" w:color="auto"/>
        <w:bottom w:val="none" w:sz="0" w:space="0" w:color="auto"/>
        <w:right w:val="none" w:sz="0" w:space="0" w:color="auto"/>
      </w:divBdr>
    </w:div>
    <w:div w:id="546913621">
      <w:bodyDiv w:val="1"/>
      <w:marLeft w:val="0"/>
      <w:marRight w:val="0"/>
      <w:marTop w:val="0"/>
      <w:marBottom w:val="0"/>
      <w:divBdr>
        <w:top w:val="none" w:sz="0" w:space="0" w:color="auto"/>
        <w:left w:val="none" w:sz="0" w:space="0" w:color="auto"/>
        <w:bottom w:val="none" w:sz="0" w:space="0" w:color="auto"/>
        <w:right w:val="none" w:sz="0" w:space="0" w:color="auto"/>
      </w:divBdr>
    </w:div>
    <w:div w:id="611203790">
      <w:bodyDiv w:val="1"/>
      <w:marLeft w:val="0"/>
      <w:marRight w:val="0"/>
      <w:marTop w:val="0"/>
      <w:marBottom w:val="0"/>
      <w:divBdr>
        <w:top w:val="none" w:sz="0" w:space="0" w:color="auto"/>
        <w:left w:val="none" w:sz="0" w:space="0" w:color="auto"/>
        <w:bottom w:val="none" w:sz="0" w:space="0" w:color="auto"/>
        <w:right w:val="none" w:sz="0" w:space="0" w:color="auto"/>
      </w:divBdr>
    </w:div>
    <w:div w:id="633873265">
      <w:bodyDiv w:val="1"/>
      <w:marLeft w:val="0"/>
      <w:marRight w:val="0"/>
      <w:marTop w:val="0"/>
      <w:marBottom w:val="0"/>
      <w:divBdr>
        <w:top w:val="none" w:sz="0" w:space="0" w:color="auto"/>
        <w:left w:val="none" w:sz="0" w:space="0" w:color="auto"/>
        <w:bottom w:val="none" w:sz="0" w:space="0" w:color="auto"/>
        <w:right w:val="none" w:sz="0" w:space="0" w:color="auto"/>
      </w:divBdr>
    </w:div>
    <w:div w:id="660503499">
      <w:bodyDiv w:val="1"/>
      <w:marLeft w:val="0"/>
      <w:marRight w:val="0"/>
      <w:marTop w:val="0"/>
      <w:marBottom w:val="0"/>
      <w:divBdr>
        <w:top w:val="none" w:sz="0" w:space="0" w:color="auto"/>
        <w:left w:val="none" w:sz="0" w:space="0" w:color="auto"/>
        <w:bottom w:val="none" w:sz="0" w:space="0" w:color="auto"/>
        <w:right w:val="none" w:sz="0" w:space="0" w:color="auto"/>
      </w:divBdr>
    </w:div>
    <w:div w:id="673918301">
      <w:bodyDiv w:val="1"/>
      <w:marLeft w:val="0"/>
      <w:marRight w:val="0"/>
      <w:marTop w:val="0"/>
      <w:marBottom w:val="0"/>
      <w:divBdr>
        <w:top w:val="none" w:sz="0" w:space="0" w:color="auto"/>
        <w:left w:val="none" w:sz="0" w:space="0" w:color="auto"/>
        <w:bottom w:val="none" w:sz="0" w:space="0" w:color="auto"/>
        <w:right w:val="none" w:sz="0" w:space="0" w:color="auto"/>
      </w:divBdr>
    </w:div>
    <w:div w:id="705569570">
      <w:bodyDiv w:val="1"/>
      <w:marLeft w:val="0"/>
      <w:marRight w:val="0"/>
      <w:marTop w:val="0"/>
      <w:marBottom w:val="0"/>
      <w:divBdr>
        <w:top w:val="none" w:sz="0" w:space="0" w:color="auto"/>
        <w:left w:val="none" w:sz="0" w:space="0" w:color="auto"/>
        <w:bottom w:val="none" w:sz="0" w:space="0" w:color="auto"/>
        <w:right w:val="none" w:sz="0" w:space="0" w:color="auto"/>
      </w:divBdr>
    </w:div>
    <w:div w:id="978388545">
      <w:bodyDiv w:val="1"/>
      <w:marLeft w:val="0"/>
      <w:marRight w:val="0"/>
      <w:marTop w:val="0"/>
      <w:marBottom w:val="0"/>
      <w:divBdr>
        <w:top w:val="none" w:sz="0" w:space="0" w:color="auto"/>
        <w:left w:val="none" w:sz="0" w:space="0" w:color="auto"/>
        <w:bottom w:val="none" w:sz="0" w:space="0" w:color="auto"/>
        <w:right w:val="none" w:sz="0" w:space="0" w:color="auto"/>
      </w:divBdr>
    </w:div>
    <w:div w:id="111706886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2840976">
      <w:bodyDiv w:val="1"/>
      <w:marLeft w:val="0"/>
      <w:marRight w:val="0"/>
      <w:marTop w:val="0"/>
      <w:marBottom w:val="0"/>
      <w:divBdr>
        <w:top w:val="none" w:sz="0" w:space="0" w:color="auto"/>
        <w:left w:val="none" w:sz="0" w:space="0" w:color="auto"/>
        <w:bottom w:val="none" w:sz="0" w:space="0" w:color="auto"/>
        <w:right w:val="none" w:sz="0" w:space="0" w:color="auto"/>
      </w:divBdr>
    </w:div>
    <w:div w:id="158448753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7597900">
      <w:bodyDiv w:val="1"/>
      <w:marLeft w:val="0"/>
      <w:marRight w:val="0"/>
      <w:marTop w:val="0"/>
      <w:marBottom w:val="0"/>
      <w:divBdr>
        <w:top w:val="none" w:sz="0" w:space="0" w:color="auto"/>
        <w:left w:val="none" w:sz="0" w:space="0" w:color="auto"/>
        <w:bottom w:val="none" w:sz="0" w:space="0" w:color="auto"/>
        <w:right w:val="none" w:sz="0" w:space="0" w:color="auto"/>
      </w:divBdr>
    </w:div>
    <w:div w:id="1816681465">
      <w:bodyDiv w:val="1"/>
      <w:marLeft w:val="0"/>
      <w:marRight w:val="0"/>
      <w:marTop w:val="0"/>
      <w:marBottom w:val="0"/>
      <w:divBdr>
        <w:top w:val="none" w:sz="0" w:space="0" w:color="auto"/>
        <w:left w:val="none" w:sz="0" w:space="0" w:color="auto"/>
        <w:bottom w:val="none" w:sz="0" w:space="0" w:color="auto"/>
        <w:right w:val="none" w:sz="0" w:space="0" w:color="auto"/>
      </w:divBdr>
    </w:div>
    <w:div w:id="1857503108">
      <w:bodyDiv w:val="1"/>
      <w:marLeft w:val="0"/>
      <w:marRight w:val="0"/>
      <w:marTop w:val="0"/>
      <w:marBottom w:val="0"/>
      <w:divBdr>
        <w:top w:val="none" w:sz="0" w:space="0" w:color="auto"/>
        <w:left w:val="none" w:sz="0" w:space="0" w:color="auto"/>
        <w:bottom w:val="none" w:sz="0" w:space="0" w:color="auto"/>
        <w:right w:val="none" w:sz="0" w:space="0" w:color="auto"/>
      </w:divBdr>
    </w:div>
    <w:div w:id="2024866177">
      <w:bodyDiv w:val="1"/>
      <w:marLeft w:val="0"/>
      <w:marRight w:val="0"/>
      <w:marTop w:val="0"/>
      <w:marBottom w:val="0"/>
      <w:divBdr>
        <w:top w:val="none" w:sz="0" w:space="0" w:color="auto"/>
        <w:left w:val="none" w:sz="0" w:space="0" w:color="auto"/>
        <w:bottom w:val="none" w:sz="0" w:space="0" w:color="auto"/>
        <w:right w:val="none" w:sz="0" w:space="0" w:color="auto"/>
      </w:divBdr>
    </w:div>
    <w:div w:id="2056734783">
      <w:bodyDiv w:val="1"/>
      <w:marLeft w:val="0"/>
      <w:marRight w:val="0"/>
      <w:marTop w:val="0"/>
      <w:marBottom w:val="0"/>
      <w:divBdr>
        <w:top w:val="none" w:sz="0" w:space="0" w:color="auto"/>
        <w:left w:val="none" w:sz="0" w:space="0" w:color="auto"/>
        <w:bottom w:val="none" w:sz="0" w:space="0" w:color="auto"/>
        <w:right w:val="none" w:sz="0" w:space="0" w:color="auto"/>
      </w:divBdr>
    </w:div>
    <w:div w:id="2089501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74B9"/>
    <w:rsid w:val="00055C22"/>
    <w:rsid w:val="0006671C"/>
    <w:rsid w:val="00200821"/>
    <w:rsid w:val="0025245B"/>
    <w:rsid w:val="002A3923"/>
    <w:rsid w:val="003804DF"/>
    <w:rsid w:val="00394049"/>
    <w:rsid w:val="003B0C71"/>
    <w:rsid w:val="00485687"/>
    <w:rsid w:val="004B5BBB"/>
    <w:rsid w:val="004F2DF8"/>
    <w:rsid w:val="004F5C3F"/>
    <w:rsid w:val="00517E2A"/>
    <w:rsid w:val="00650210"/>
    <w:rsid w:val="006A3225"/>
    <w:rsid w:val="006F24A1"/>
    <w:rsid w:val="007A05DD"/>
    <w:rsid w:val="007E1833"/>
    <w:rsid w:val="00842303"/>
    <w:rsid w:val="00872CDB"/>
    <w:rsid w:val="009A261B"/>
    <w:rsid w:val="009D5349"/>
    <w:rsid w:val="009F72EF"/>
    <w:rsid w:val="00AA2E17"/>
    <w:rsid w:val="00AC15A4"/>
    <w:rsid w:val="00B0336C"/>
    <w:rsid w:val="00B1762F"/>
    <w:rsid w:val="00BB032A"/>
    <w:rsid w:val="00BD44FB"/>
    <w:rsid w:val="00BF7538"/>
    <w:rsid w:val="00D241E9"/>
    <w:rsid w:val="00D65116"/>
    <w:rsid w:val="00D7750D"/>
    <w:rsid w:val="00E0538A"/>
    <w:rsid w:val="00F00D2F"/>
    <w:rsid w:val="00F128DF"/>
    <w:rsid w:val="00F62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3185E-D516-40C2-98A3-030DAC40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2159</Words>
  <Characters>11531</Characters>
  <Application>Microsoft Office Word</Application>
  <DocSecurity>0</DocSecurity>
  <Lines>217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53/22</dc:title>
  <dc:creator/>
  <cp:lastModifiedBy/>
  <cp:revision>1</cp:revision>
  <dcterms:created xsi:type="dcterms:W3CDTF">2022-05-13T13:10:00Z</dcterms:created>
  <dcterms:modified xsi:type="dcterms:W3CDTF">2022-05-13T13:10:00Z</dcterms:modified>
</cp:coreProperties>
</file>