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2.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3.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4.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5.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6.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7.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8.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9.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0.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1.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2.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3.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4.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5.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EFD8C" w14:textId="04F5B6F7" w:rsidR="002B008E" w:rsidRDefault="002B008E" w:rsidP="0024593F">
      <w:pPr>
        <w:ind w:left="360"/>
        <w:jc w:val="center"/>
        <w:rPr>
          <w:rFonts w:ascii="Cambria" w:hAnsi="Cambria"/>
          <w:b/>
          <w:sz w:val="32"/>
        </w:rPr>
      </w:pPr>
      <w:r>
        <w:rPr>
          <w:rFonts w:ascii="Cambria" w:hAnsi="Cambria"/>
          <w:b/>
          <w:noProof/>
          <w:sz w:val="32"/>
        </w:rPr>
        <w:drawing>
          <wp:anchor distT="0" distB="0" distL="114300" distR="114300" simplePos="0" relativeHeight="251659266" behindDoc="0" locked="0" layoutInCell="1" allowOverlap="1" wp14:anchorId="6178C266" wp14:editId="4AE3D79C">
            <wp:simplePos x="0" y="0"/>
            <wp:positionH relativeFrom="column">
              <wp:posOffset>-927847</wp:posOffset>
            </wp:positionH>
            <wp:positionV relativeFrom="paragraph">
              <wp:posOffset>-900953</wp:posOffset>
            </wp:positionV>
            <wp:extent cx="7772362" cy="10058400"/>
            <wp:effectExtent l="0" t="0" r="635" b="0"/>
            <wp:wrapNone/>
            <wp:docPr id="622764053"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64053" name="Picture 1"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1047" cy="10069639"/>
                    </a:xfrm>
                    <a:prstGeom prst="rect">
                      <a:avLst/>
                    </a:prstGeom>
                  </pic:spPr>
                </pic:pic>
              </a:graphicData>
            </a:graphic>
            <wp14:sizeRelH relativeFrom="page">
              <wp14:pctWidth>0</wp14:pctWidth>
            </wp14:sizeRelH>
            <wp14:sizeRelV relativeFrom="page">
              <wp14:pctHeight>0</wp14:pctHeight>
            </wp14:sizeRelV>
          </wp:anchor>
        </w:drawing>
      </w:r>
    </w:p>
    <w:p w14:paraId="1066EC48" w14:textId="77777777" w:rsidR="002B008E" w:rsidRDefault="002B008E">
      <w:pPr>
        <w:rPr>
          <w:rFonts w:ascii="Cambria" w:hAnsi="Cambria"/>
          <w:b/>
          <w:sz w:val="32"/>
        </w:rPr>
      </w:pPr>
      <w:r>
        <w:rPr>
          <w:rFonts w:ascii="Cambria" w:hAnsi="Cambria"/>
          <w:b/>
          <w:sz w:val="32"/>
        </w:rPr>
        <w:br w:type="page"/>
      </w:r>
    </w:p>
    <w:p w14:paraId="2528BDAE" w14:textId="77777777" w:rsidR="002B008E" w:rsidRDefault="002B008E" w:rsidP="002B008E">
      <w:pPr>
        <w:ind w:left="660" w:right="936"/>
        <w:jc w:val="center"/>
        <w:rPr>
          <w:rFonts w:ascii="Cambria" w:eastAsia="Cambria" w:hAnsi="Cambria" w:cs="Cambria"/>
          <w:sz w:val="32"/>
          <w:szCs w:val="32"/>
        </w:rPr>
      </w:pPr>
      <w:r>
        <w:rPr>
          <w:rFonts w:ascii="Cambria"/>
          <w:b/>
          <w:spacing w:val="-4"/>
          <w:sz w:val="32"/>
        </w:rPr>
        <w:lastRenderedPageBreak/>
        <w:t>ANNUAL</w:t>
      </w:r>
      <w:r>
        <w:rPr>
          <w:rFonts w:ascii="Cambria"/>
          <w:b/>
          <w:spacing w:val="-2"/>
          <w:sz w:val="32"/>
        </w:rPr>
        <w:t xml:space="preserve"> </w:t>
      </w:r>
      <w:r>
        <w:rPr>
          <w:rFonts w:ascii="Cambria"/>
          <w:b/>
          <w:spacing w:val="-3"/>
          <w:sz w:val="32"/>
        </w:rPr>
        <w:t>REPORT</w:t>
      </w:r>
      <w:r>
        <w:rPr>
          <w:rFonts w:ascii="Cambria"/>
          <w:b/>
          <w:sz w:val="32"/>
        </w:rPr>
        <w:t xml:space="preserve"> </w:t>
      </w:r>
      <w:r>
        <w:rPr>
          <w:rFonts w:ascii="Cambria"/>
          <w:b/>
          <w:spacing w:val="1"/>
          <w:sz w:val="32"/>
        </w:rPr>
        <w:t>OF</w:t>
      </w:r>
      <w:r>
        <w:rPr>
          <w:rFonts w:ascii="Cambria"/>
          <w:b/>
          <w:spacing w:val="-2"/>
          <w:sz w:val="32"/>
        </w:rPr>
        <w:t xml:space="preserve"> </w:t>
      </w:r>
      <w:r>
        <w:rPr>
          <w:rFonts w:ascii="Cambria"/>
          <w:b/>
          <w:sz w:val="32"/>
        </w:rPr>
        <w:t>THE</w:t>
      </w:r>
      <w:r>
        <w:rPr>
          <w:rFonts w:ascii="Cambria"/>
          <w:b/>
          <w:spacing w:val="-2"/>
          <w:sz w:val="32"/>
        </w:rPr>
        <w:t xml:space="preserve"> INTER-AMERICAN</w:t>
      </w:r>
      <w:r>
        <w:rPr>
          <w:rFonts w:ascii="Cambria"/>
          <w:b/>
          <w:spacing w:val="-3"/>
          <w:sz w:val="32"/>
        </w:rPr>
        <w:t xml:space="preserve"> </w:t>
      </w:r>
      <w:r>
        <w:rPr>
          <w:rFonts w:ascii="Cambria"/>
          <w:b/>
          <w:spacing w:val="-1"/>
          <w:sz w:val="32"/>
        </w:rPr>
        <w:t>COMMISSION</w:t>
      </w:r>
      <w:r>
        <w:rPr>
          <w:rFonts w:ascii="Cambria"/>
          <w:b/>
          <w:spacing w:val="23"/>
          <w:sz w:val="32"/>
        </w:rPr>
        <w:t xml:space="preserve"> </w:t>
      </w:r>
      <w:r>
        <w:rPr>
          <w:rFonts w:ascii="Cambria"/>
          <w:b/>
          <w:spacing w:val="1"/>
          <w:sz w:val="32"/>
        </w:rPr>
        <w:t>ON</w:t>
      </w:r>
      <w:r>
        <w:rPr>
          <w:rFonts w:ascii="Cambria"/>
          <w:b/>
          <w:spacing w:val="-3"/>
          <w:sz w:val="32"/>
        </w:rPr>
        <w:t xml:space="preserve"> </w:t>
      </w:r>
      <w:r>
        <w:rPr>
          <w:rFonts w:ascii="Cambria"/>
          <w:b/>
          <w:spacing w:val="-1"/>
          <w:sz w:val="32"/>
        </w:rPr>
        <w:t>HUMAN</w:t>
      </w:r>
      <w:r>
        <w:rPr>
          <w:rFonts w:ascii="Cambria"/>
          <w:b/>
          <w:spacing w:val="-2"/>
          <w:sz w:val="32"/>
        </w:rPr>
        <w:t xml:space="preserve"> RIGHTS</w:t>
      </w:r>
    </w:p>
    <w:p w14:paraId="27019321" w14:textId="77777777" w:rsidR="002B008E" w:rsidRDefault="002B008E" w:rsidP="002B008E">
      <w:pPr>
        <w:ind w:left="660" w:right="933"/>
        <w:jc w:val="center"/>
        <w:rPr>
          <w:rFonts w:ascii="Cambria" w:eastAsia="Cambria" w:hAnsi="Cambria" w:cs="Cambria"/>
          <w:sz w:val="32"/>
          <w:szCs w:val="32"/>
        </w:rPr>
      </w:pPr>
      <w:r>
        <w:rPr>
          <w:rFonts w:ascii="Cambria"/>
          <w:b/>
          <w:sz w:val="32"/>
        </w:rPr>
        <w:t>2022</w:t>
      </w:r>
    </w:p>
    <w:p w14:paraId="02762771" w14:textId="77777777" w:rsidR="002B008E" w:rsidRPr="00084368" w:rsidRDefault="002B008E" w:rsidP="002B008E">
      <w:pPr>
        <w:spacing w:before="260"/>
        <w:ind w:left="660" w:right="936"/>
        <w:jc w:val="center"/>
        <w:rPr>
          <w:rFonts w:ascii="Cambria" w:eastAsia="Cambria" w:hAnsi="Cambria" w:cs="Cambria"/>
          <w:sz w:val="32"/>
          <w:szCs w:val="32"/>
        </w:rPr>
      </w:pPr>
      <w:r>
        <w:rPr>
          <w:rFonts w:ascii="Cambria"/>
          <w:b/>
          <w:spacing w:val="-35"/>
          <w:sz w:val="32"/>
        </w:rPr>
        <w:t>T</w:t>
      </w:r>
      <w:r>
        <w:rPr>
          <w:rFonts w:ascii="Cambria"/>
          <w:b/>
          <w:sz w:val="32"/>
        </w:rPr>
        <w:t>A</w:t>
      </w:r>
      <w:r>
        <w:rPr>
          <w:rFonts w:ascii="Cambria"/>
          <w:b/>
          <w:spacing w:val="1"/>
          <w:sz w:val="32"/>
        </w:rPr>
        <w:t>B</w:t>
      </w:r>
      <w:r>
        <w:rPr>
          <w:rFonts w:ascii="Cambria"/>
          <w:b/>
          <w:spacing w:val="-2"/>
          <w:sz w:val="32"/>
        </w:rPr>
        <w:t>L</w:t>
      </w:r>
      <w:r>
        <w:rPr>
          <w:rFonts w:ascii="Cambria"/>
          <w:b/>
          <w:sz w:val="32"/>
        </w:rPr>
        <w:t xml:space="preserve">E </w:t>
      </w:r>
      <w:r>
        <w:rPr>
          <w:rFonts w:ascii="Cambria"/>
          <w:b/>
          <w:spacing w:val="1"/>
          <w:sz w:val="32"/>
        </w:rPr>
        <w:t>O</w:t>
      </w:r>
      <w:r>
        <w:rPr>
          <w:rFonts w:ascii="Cambria"/>
          <w:b/>
          <w:sz w:val="32"/>
        </w:rPr>
        <w:t>F</w:t>
      </w:r>
      <w:r>
        <w:rPr>
          <w:rFonts w:ascii="Cambria"/>
          <w:b/>
          <w:spacing w:val="-2"/>
          <w:sz w:val="32"/>
        </w:rPr>
        <w:t xml:space="preserve"> </w:t>
      </w:r>
      <w:r>
        <w:rPr>
          <w:rFonts w:ascii="Cambria"/>
          <w:b/>
          <w:spacing w:val="-4"/>
          <w:sz w:val="32"/>
        </w:rPr>
        <w:t>C</w:t>
      </w:r>
      <w:r>
        <w:rPr>
          <w:rFonts w:ascii="Cambria"/>
          <w:b/>
          <w:spacing w:val="2"/>
          <w:sz w:val="32"/>
        </w:rPr>
        <w:t>O</w:t>
      </w:r>
      <w:r>
        <w:rPr>
          <w:rFonts w:ascii="Cambria"/>
          <w:b/>
          <w:spacing w:val="-3"/>
          <w:sz w:val="32"/>
        </w:rPr>
        <w:t>N</w:t>
      </w:r>
      <w:r>
        <w:rPr>
          <w:rFonts w:ascii="Cambria"/>
          <w:b/>
          <w:sz w:val="32"/>
        </w:rPr>
        <w:t>TE</w:t>
      </w:r>
      <w:r>
        <w:rPr>
          <w:rFonts w:ascii="Cambria"/>
          <w:b/>
          <w:spacing w:val="-2"/>
          <w:sz w:val="32"/>
        </w:rPr>
        <w:t>N</w:t>
      </w:r>
      <w:r>
        <w:rPr>
          <w:rFonts w:ascii="Cambria"/>
          <w:b/>
          <w:spacing w:val="-5"/>
          <w:sz w:val="32"/>
        </w:rPr>
        <w:t>T</w:t>
      </w:r>
      <w:r>
        <w:rPr>
          <w:rFonts w:ascii="Cambria"/>
          <w:b/>
          <w:sz w:val="32"/>
        </w:rPr>
        <w:t>S</w:t>
      </w:r>
    </w:p>
    <w:p w14:paraId="09D3D459" w14:textId="77777777" w:rsidR="002B008E" w:rsidRDefault="002B008E" w:rsidP="002B008E">
      <w:pPr>
        <w:spacing w:before="4"/>
        <w:rPr>
          <w:rFonts w:ascii="Cambria" w:eastAsia="Cambria" w:hAnsi="Cambria" w:cs="Cambria"/>
          <w:b/>
          <w:bCs/>
          <w:sz w:val="10"/>
          <w:szCs w:val="10"/>
        </w:rPr>
      </w:pPr>
    </w:p>
    <w:tbl>
      <w:tblPr>
        <w:tblW w:w="9705" w:type="dxa"/>
        <w:tblInd w:w="105" w:type="dxa"/>
        <w:tblLayout w:type="fixed"/>
        <w:tblCellMar>
          <w:left w:w="0" w:type="dxa"/>
          <w:right w:w="0" w:type="dxa"/>
        </w:tblCellMar>
        <w:tblLook w:val="01E0" w:firstRow="1" w:lastRow="1" w:firstColumn="1" w:lastColumn="1" w:noHBand="0" w:noVBand="0"/>
      </w:tblPr>
      <w:tblGrid>
        <w:gridCol w:w="1363"/>
        <w:gridCol w:w="7442"/>
        <w:gridCol w:w="900"/>
      </w:tblGrid>
      <w:tr w:rsidR="002B008E" w14:paraId="062584AD" w14:textId="77777777" w:rsidTr="00C2604A">
        <w:trPr>
          <w:trHeight w:hRule="exact" w:val="728"/>
        </w:trPr>
        <w:tc>
          <w:tcPr>
            <w:tcW w:w="1363" w:type="dxa"/>
          </w:tcPr>
          <w:p w14:paraId="1E8619F3" w14:textId="77777777" w:rsidR="002B008E" w:rsidRDefault="002B008E" w:rsidP="00C2604A">
            <w:pPr>
              <w:pStyle w:val="TableParagraph"/>
              <w:spacing w:before="69"/>
              <w:ind w:left="55"/>
              <w:rPr>
                <w:rFonts w:ascii="Cambria" w:eastAsia="Cambria" w:hAnsi="Cambria" w:cs="Cambria"/>
              </w:rPr>
            </w:pPr>
            <w:r w:rsidRPr="007268F8">
              <w:rPr>
                <w:rFonts w:ascii="Cambria"/>
                <w:b/>
                <w:spacing w:val="-1"/>
              </w:rPr>
              <w:t>CHAPTER</w:t>
            </w:r>
            <w:r w:rsidRPr="007268F8">
              <w:rPr>
                <w:rFonts w:ascii="Cambria"/>
                <w:b/>
                <w:spacing w:val="-11"/>
              </w:rPr>
              <w:t xml:space="preserve"> </w:t>
            </w:r>
            <w:r w:rsidRPr="007268F8">
              <w:rPr>
                <w:rFonts w:ascii="Cambria"/>
                <w:b/>
                <w:spacing w:val="-1"/>
              </w:rPr>
              <w:t>II</w:t>
            </w:r>
          </w:p>
        </w:tc>
        <w:tc>
          <w:tcPr>
            <w:tcW w:w="7442" w:type="dxa"/>
          </w:tcPr>
          <w:p w14:paraId="199E51EB" w14:textId="77777777" w:rsidR="002B008E" w:rsidRDefault="002B008E" w:rsidP="00C2604A">
            <w:pPr>
              <w:pStyle w:val="TableParagraph"/>
              <w:spacing w:before="69" w:line="241" w:lineRule="auto"/>
              <w:ind w:left="132" w:right="620"/>
              <w:rPr>
                <w:rFonts w:ascii="Cambria" w:eastAsia="Cambria" w:hAnsi="Cambria" w:cs="Cambria"/>
              </w:rPr>
            </w:pPr>
            <w:r w:rsidRPr="007268F8">
              <w:rPr>
                <w:rFonts w:ascii="Cambria"/>
                <w:b/>
                <w:spacing w:val="-1"/>
              </w:rPr>
              <w:t>THE</w:t>
            </w:r>
            <w:r w:rsidRPr="007268F8">
              <w:rPr>
                <w:rFonts w:ascii="Cambria"/>
                <w:b/>
                <w:spacing w:val="-6"/>
              </w:rPr>
              <w:t xml:space="preserve"> </w:t>
            </w:r>
            <w:r w:rsidRPr="007268F8">
              <w:rPr>
                <w:rFonts w:ascii="Cambria"/>
                <w:b/>
                <w:spacing w:val="-1"/>
              </w:rPr>
              <w:t>SYSTEM</w:t>
            </w:r>
            <w:r w:rsidRPr="007268F8">
              <w:rPr>
                <w:rFonts w:ascii="Cambria"/>
                <w:b/>
                <w:spacing w:val="-5"/>
              </w:rPr>
              <w:t xml:space="preserve"> </w:t>
            </w:r>
            <w:r w:rsidRPr="007268F8">
              <w:rPr>
                <w:rFonts w:ascii="Cambria"/>
                <w:b/>
              </w:rPr>
              <w:t>OF</w:t>
            </w:r>
            <w:r w:rsidRPr="007268F8">
              <w:rPr>
                <w:rFonts w:ascii="Cambria"/>
                <w:b/>
                <w:spacing w:val="-2"/>
              </w:rPr>
              <w:t xml:space="preserve"> </w:t>
            </w:r>
            <w:r w:rsidRPr="007268F8">
              <w:rPr>
                <w:rFonts w:ascii="Cambria"/>
                <w:b/>
                <w:spacing w:val="-1"/>
              </w:rPr>
              <w:t>PETITIONS</w:t>
            </w:r>
            <w:r w:rsidRPr="007268F8">
              <w:rPr>
                <w:rFonts w:ascii="Cambria"/>
                <w:b/>
                <w:spacing w:val="-2"/>
              </w:rPr>
              <w:t xml:space="preserve"> AND</w:t>
            </w:r>
            <w:r w:rsidRPr="007268F8">
              <w:rPr>
                <w:rFonts w:ascii="Cambria"/>
                <w:b/>
                <w:spacing w:val="-3"/>
              </w:rPr>
              <w:t xml:space="preserve"> </w:t>
            </w:r>
            <w:r w:rsidRPr="007268F8">
              <w:rPr>
                <w:rFonts w:ascii="Cambria"/>
                <w:b/>
              </w:rPr>
              <w:t>CASES,</w:t>
            </w:r>
            <w:r w:rsidRPr="007268F8">
              <w:rPr>
                <w:rFonts w:ascii="Cambria"/>
                <w:b/>
                <w:spacing w:val="-5"/>
              </w:rPr>
              <w:t xml:space="preserve"> </w:t>
            </w:r>
            <w:r w:rsidRPr="007268F8">
              <w:rPr>
                <w:rFonts w:ascii="Cambria"/>
                <w:b/>
                <w:spacing w:val="-2"/>
              </w:rPr>
              <w:t>FRIENDLY</w:t>
            </w:r>
            <w:r w:rsidRPr="007268F8">
              <w:rPr>
                <w:rFonts w:ascii="Cambria"/>
                <w:b/>
                <w:spacing w:val="-5"/>
              </w:rPr>
              <w:t xml:space="preserve"> </w:t>
            </w:r>
            <w:r w:rsidRPr="007268F8">
              <w:rPr>
                <w:rFonts w:ascii="Cambria"/>
                <w:b/>
                <w:spacing w:val="-2"/>
              </w:rPr>
              <w:t>SETTLEMENTS</w:t>
            </w:r>
            <w:r w:rsidRPr="007268F8">
              <w:rPr>
                <w:rFonts w:ascii="Cambria"/>
                <w:b/>
                <w:spacing w:val="44"/>
              </w:rPr>
              <w:t xml:space="preserve"> </w:t>
            </w:r>
            <w:r w:rsidRPr="007268F8">
              <w:rPr>
                <w:rFonts w:ascii="Cambria"/>
                <w:b/>
              </w:rPr>
              <w:t>AND</w:t>
            </w:r>
            <w:r w:rsidRPr="007268F8">
              <w:rPr>
                <w:rFonts w:ascii="Cambria"/>
                <w:b/>
                <w:spacing w:val="-7"/>
              </w:rPr>
              <w:t xml:space="preserve"> </w:t>
            </w:r>
            <w:r w:rsidRPr="007268F8">
              <w:rPr>
                <w:rFonts w:ascii="Cambria"/>
                <w:b/>
                <w:spacing w:val="-1"/>
              </w:rPr>
              <w:t>PRECAUTIONARY</w:t>
            </w:r>
            <w:r w:rsidRPr="007268F8">
              <w:rPr>
                <w:rFonts w:ascii="Cambria"/>
                <w:b/>
                <w:spacing w:val="-7"/>
              </w:rPr>
              <w:t xml:space="preserve"> </w:t>
            </w:r>
            <w:r w:rsidRPr="007268F8">
              <w:rPr>
                <w:rFonts w:ascii="Cambria"/>
                <w:b/>
                <w:spacing w:val="-2"/>
              </w:rPr>
              <w:t>MEASURES</w:t>
            </w:r>
          </w:p>
        </w:tc>
        <w:tc>
          <w:tcPr>
            <w:tcW w:w="900" w:type="dxa"/>
          </w:tcPr>
          <w:p w14:paraId="69B95602" w14:textId="77777777" w:rsidR="002B008E" w:rsidRDefault="002B008E" w:rsidP="00C2604A"/>
        </w:tc>
      </w:tr>
      <w:tr w:rsidR="002B008E" w14:paraId="79841596" w14:textId="77777777" w:rsidTr="00C2604A">
        <w:trPr>
          <w:trHeight w:hRule="exact" w:val="451"/>
        </w:trPr>
        <w:tc>
          <w:tcPr>
            <w:tcW w:w="1363" w:type="dxa"/>
          </w:tcPr>
          <w:p w14:paraId="685F98E4" w14:textId="77777777" w:rsidR="002B008E" w:rsidRDefault="002B008E" w:rsidP="00C2604A">
            <w:pPr>
              <w:pStyle w:val="TableParagraph"/>
              <w:spacing w:before="116"/>
              <w:ind w:left="775"/>
              <w:rPr>
                <w:rFonts w:ascii="Cambria" w:eastAsia="Cambria" w:hAnsi="Cambria" w:cs="Cambria"/>
              </w:rPr>
            </w:pPr>
            <w:r>
              <w:rPr>
                <w:rFonts w:ascii="Cambria"/>
                <w:spacing w:val="-3"/>
              </w:rPr>
              <w:t>A.</w:t>
            </w:r>
          </w:p>
        </w:tc>
        <w:tc>
          <w:tcPr>
            <w:tcW w:w="7442" w:type="dxa"/>
          </w:tcPr>
          <w:p w14:paraId="36795DF0" w14:textId="77777777" w:rsidR="002B008E" w:rsidRDefault="002B008E" w:rsidP="00C2604A">
            <w:pPr>
              <w:pStyle w:val="TableParagraph"/>
              <w:spacing w:before="116"/>
              <w:ind w:left="132"/>
              <w:rPr>
                <w:rFonts w:ascii="Cambria" w:eastAsia="Cambria" w:hAnsi="Cambria" w:cs="Cambria"/>
              </w:rPr>
            </w:pPr>
            <w:r>
              <w:rPr>
                <w:rFonts w:ascii="Cambria"/>
                <w:spacing w:val="-1"/>
              </w:rPr>
              <w:t>Introduction</w:t>
            </w:r>
          </w:p>
        </w:tc>
        <w:tc>
          <w:tcPr>
            <w:tcW w:w="900" w:type="dxa"/>
          </w:tcPr>
          <w:p w14:paraId="6915845F" w14:textId="77777777" w:rsidR="002B008E" w:rsidRDefault="002B008E" w:rsidP="00C2604A">
            <w:pPr>
              <w:pStyle w:val="TableParagraph"/>
              <w:spacing w:before="116"/>
              <w:ind w:left="335"/>
              <w:rPr>
                <w:rFonts w:ascii="Cambria" w:eastAsia="Cambria" w:hAnsi="Cambria" w:cs="Cambria"/>
              </w:rPr>
            </w:pPr>
            <w:r>
              <w:rPr>
                <w:rFonts w:ascii="Cambria"/>
                <w:spacing w:val="-2"/>
              </w:rPr>
              <w:t xml:space="preserve">     </w:t>
            </w:r>
          </w:p>
        </w:tc>
      </w:tr>
      <w:tr w:rsidR="002B008E" w14:paraId="3FC92986" w14:textId="77777777" w:rsidTr="00C2604A">
        <w:trPr>
          <w:trHeight w:hRule="exact" w:val="352"/>
        </w:trPr>
        <w:tc>
          <w:tcPr>
            <w:tcW w:w="1363" w:type="dxa"/>
          </w:tcPr>
          <w:p w14:paraId="5B3D1CF8" w14:textId="77777777" w:rsidR="002B008E" w:rsidRDefault="002B008E" w:rsidP="00C2604A">
            <w:pPr>
              <w:pStyle w:val="TableParagraph"/>
              <w:spacing w:line="245" w:lineRule="exact"/>
              <w:ind w:left="775"/>
              <w:rPr>
                <w:rFonts w:ascii="Cambria" w:eastAsia="Cambria" w:hAnsi="Cambria" w:cs="Cambria"/>
              </w:rPr>
            </w:pPr>
            <w:r>
              <w:rPr>
                <w:rFonts w:ascii="Cambria"/>
              </w:rPr>
              <w:t>B.</w:t>
            </w:r>
          </w:p>
        </w:tc>
        <w:tc>
          <w:tcPr>
            <w:tcW w:w="7442" w:type="dxa"/>
          </w:tcPr>
          <w:p w14:paraId="528D2B23" w14:textId="77777777" w:rsidR="002B008E" w:rsidRDefault="002B008E" w:rsidP="00C2604A">
            <w:pPr>
              <w:pStyle w:val="TableParagraph"/>
              <w:spacing w:line="245" w:lineRule="exact"/>
              <w:ind w:left="132"/>
              <w:rPr>
                <w:rFonts w:ascii="Cambria" w:eastAsia="Cambria" w:hAnsi="Cambria" w:cs="Cambria"/>
              </w:rPr>
            </w:pPr>
            <w:r>
              <w:rPr>
                <w:rFonts w:ascii="Cambria"/>
                <w:spacing w:val="-1"/>
              </w:rPr>
              <w:t>Petitions</w:t>
            </w:r>
            <w:r>
              <w:rPr>
                <w:rFonts w:ascii="Cambria"/>
                <w:spacing w:val="-5"/>
              </w:rPr>
              <w:t xml:space="preserve"> </w:t>
            </w:r>
            <w:r>
              <w:rPr>
                <w:rFonts w:ascii="Cambria"/>
                <w:spacing w:val="-1"/>
              </w:rPr>
              <w:t>and</w:t>
            </w:r>
            <w:r>
              <w:rPr>
                <w:rFonts w:ascii="Cambria"/>
                <w:spacing w:val="-5"/>
              </w:rPr>
              <w:t xml:space="preserve"> </w:t>
            </w:r>
            <w:r>
              <w:rPr>
                <w:rFonts w:ascii="Cambria"/>
              </w:rPr>
              <w:t>Cases</w:t>
            </w:r>
          </w:p>
        </w:tc>
        <w:tc>
          <w:tcPr>
            <w:tcW w:w="900" w:type="dxa"/>
          </w:tcPr>
          <w:p w14:paraId="0CBCBDC7" w14:textId="77777777" w:rsidR="002B008E" w:rsidRDefault="002B008E" w:rsidP="00C2604A">
            <w:pPr>
              <w:pStyle w:val="TableParagraph"/>
              <w:spacing w:line="245" w:lineRule="exact"/>
              <w:ind w:left="335"/>
              <w:rPr>
                <w:rFonts w:ascii="Cambria" w:eastAsia="Cambria" w:hAnsi="Cambria" w:cs="Cambria"/>
              </w:rPr>
            </w:pPr>
            <w:r>
              <w:rPr>
                <w:rFonts w:ascii="Cambria"/>
                <w:spacing w:val="-2"/>
              </w:rPr>
              <w:t xml:space="preserve">     </w:t>
            </w:r>
          </w:p>
        </w:tc>
      </w:tr>
      <w:tr w:rsidR="002B008E" w14:paraId="2BE4A1EF" w14:textId="77777777" w:rsidTr="00C2604A">
        <w:trPr>
          <w:trHeight w:hRule="exact" w:val="370"/>
        </w:trPr>
        <w:tc>
          <w:tcPr>
            <w:tcW w:w="1363" w:type="dxa"/>
          </w:tcPr>
          <w:p w14:paraId="234AD64B" w14:textId="77777777" w:rsidR="002B008E" w:rsidRPr="00B77A64" w:rsidRDefault="002B008E" w:rsidP="00C2604A">
            <w:pPr>
              <w:pStyle w:val="TableParagraph"/>
              <w:spacing w:line="247" w:lineRule="exact"/>
              <w:ind w:left="775"/>
              <w:rPr>
                <w:rFonts w:ascii="Cambria" w:eastAsia="Cambria" w:hAnsi="Cambria" w:cs="Cambria"/>
              </w:rPr>
            </w:pPr>
          </w:p>
        </w:tc>
        <w:tc>
          <w:tcPr>
            <w:tcW w:w="7442" w:type="dxa"/>
          </w:tcPr>
          <w:p w14:paraId="090BC235" w14:textId="77777777" w:rsidR="002B008E" w:rsidRPr="00385C9D" w:rsidRDefault="002B008E" w:rsidP="00933F91">
            <w:pPr>
              <w:pStyle w:val="ListParagraph"/>
              <w:numPr>
                <w:ilvl w:val="0"/>
                <w:numId w:val="83"/>
              </w:numPr>
              <w:rPr>
                <w:rFonts w:ascii="Cambria" w:eastAsia="Calibri" w:hAnsi="Cambria" w:cs="Cambria"/>
                <w:spacing w:val="-1"/>
                <w:position w:val="-1"/>
                <w:sz w:val="22"/>
                <w:szCs w:val="22"/>
              </w:rPr>
            </w:pPr>
            <w:r w:rsidRPr="00385C9D">
              <w:rPr>
                <w:rFonts w:ascii="Cambria" w:eastAsia="Calibri" w:hAnsi="Cambria" w:cs="Cambria"/>
                <w:spacing w:val="-1"/>
                <w:position w:val="-1"/>
                <w:sz w:val="22"/>
                <w:szCs w:val="22"/>
              </w:rPr>
              <w:t>Initial Study or Review</w:t>
            </w:r>
          </w:p>
          <w:p w14:paraId="23261F42" w14:textId="77777777" w:rsidR="002B008E" w:rsidRPr="00B77A64" w:rsidRDefault="002B008E" w:rsidP="00C2604A">
            <w:pPr>
              <w:tabs>
                <w:tab w:val="left" w:pos="3186"/>
              </w:tabs>
            </w:pPr>
            <w:r w:rsidRPr="00B77A64">
              <w:tab/>
            </w:r>
          </w:p>
        </w:tc>
        <w:tc>
          <w:tcPr>
            <w:tcW w:w="900" w:type="dxa"/>
          </w:tcPr>
          <w:p w14:paraId="0889DCB4" w14:textId="77777777" w:rsidR="002B008E" w:rsidRDefault="002B008E" w:rsidP="00C2604A">
            <w:pPr>
              <w:pStyle w:val="TableParagraph"/>
              <w:spacing w:line="247" w:lineRule="exact"/>
              <w:ind w:left="335"/>
              <w:rPr>
                <w:rFonts w:ascii="Cambria" w:eastAsia="Cambria" w:hAnsi="Cambria" w:cs="Cambria"/>
              </w:rPr>
            </w:pPr>
            <w:r>
              <w:rPr>
                <w:rFonts w:ascii="Cambria"/>
                <w:spacing w:val="-2"/>
              </w:rPr>
              <w:t xml:space="preserve">     </w:t>
            </w:r>
          </w:p>
        </w:tc>
      </w:tr>
      <w:tr w:rsidR="002B008E" w14:paraId="3F1D909F" w14:textId="77777777" w:rsidTr="00C2604A">
        <w:trPr>
          <w:gridAfter w:val="1"/>
          <w:wAfter w:w="900" w:type="dxa"/>
          <w:trHeight w:hRule="exact" w:val="370"/>
        </w:trPr>
        <w:tc>
          <w:tcPr>
            <w:tcW w:w="1363" w:type="dxa"/>
          </w:tcPr>
          <w:p w14:paraId="7D251EAB" w14:textId="77777777" w:rsidR="002B008E" w:rsidRPr="00B77A64" w:rsidRDefault="002B008E" w:rsidP="00C2604A">
            <w:pPr>
              <w:pStyle w:val="TableParagraph"/>
              <w:spacing w:line="247" w:lineRule="exact"/>
              <w:ind w:left="775"/>
              <w:rPr>
                <w:rFonts w:ascii="Cambria" w:eastAsia="Cambria" w:hAnsi="Cambria" w:cs="Cambria"/>
              </w:rPr>
            </w:pPr>
          </w:p>
        </w:tc>
        <w:tc>
          <w:tcPr>
            <w:tcW w:w="7442" w:type="dxa"/>
          </w:tcPr>
          <w:p w14:paraId="141685F4" w14:textId="77777777" w:rsidR="002B008E" w:rsidRPr="001C6FF1" w:rsidRDefault="002B008E" w:rsidP="00933F91">
            <w:pPr>
              <w:pStyle w:val="ListParagraph"/>
              <w:numPr>
                <w:ilvl w:val="0"/>
                <w:numId w:val="83"/>
              </w:numPr>
              <w:rPr>
                <w:rFonts w:ascii="Cambria" w:eastAsia="Calibri" w:hAnsi="Cambria" w:cs="Cambria"/>
                <w:spacing w:val="-1"/>
                <w:position w:val="-1"/>
                <w:sz w:val="22"/>
                <w:szCs w:val="22"/>
              </w:rPr>
            </w:pPr>
            <w:r w:rsidRPr="001C6FF1">
              <w:rPr>
                <w:rFonts w:ascii="Cambria" w:eastAsia="Calibri" w:hAnsi="Cambria" w:cs="Cambria"/>
                <w:spacing w:val="-1"/>
                <w:position w:val="-1"/>
                <w:sz w:val="22"/>
                <w:szCs w:val="22"/>
              </w:rPr>
              <w:t>Admissibility and Merits</w:t>
            </w:r>
          </w:p>
        </w:tc>
      </w:tr>
      <w:tr w:rsidR="002B008E" w14:paraId="3817C919" w14:textId="77777777" w:rsidTr="00C2604A">
        <w:trPr>
          <w:gridAfter w:val="1"/>
          <w:wAfter w:w="900" w:type="dxa"/>
          <w:trHeight w:hRule="exact" w:val="370"/>
        </w:trPr>
        <w:tc>
          <w:tcPr>
            <w:tcW w:w="1363" w:type="dxa"/>
          </w:tcPr>
          <w:p w14:paraId="6C41F954" w14:textId="77777777" w:rsidR="002B008E" w:rsidRPr="00B77A64" w:rsidRDefault="002B008E" w:rsidP="00C2604A">
            <w:pPr>
              <w:pStyle w:val="TableParagraph"/>
              <w:spacing w:line="247" w:lineRule="exact"/>
              <w:ind w:left="775"/>
              <w:rPr>
                <w:rFonts w:ascii="Cambria" w:eastAsia="Cambria" w:hAnsi="Cambria" w:cs="Cambria"/>
              </w:rPr>
            </w:pPr>
          </w:p>
        </w:tc>
        <w:tc>
          <w:tcPr>
            <w:tcW w:w="7442" w:type="dxa"/>
          </w:tcPr>
          <w:p w14:paraId="3A06F5FD" w14:textId="77777777" w:rsidR="002B008E" w:rsidRPr="002928B3" w:rsidRDefault="002B008E" w:rsidP="00933F91">
            <w:pPr>
              <w:pStyle w:val="ListParagraph"/>
              <w:numPr>
                <w:ilvl w:val="0"/>
                <w:numId w:val="83"/>
              </w:numPr>
              <w:rPr>
                <w:rFonts w:ascii="Cambria" w:eastAsia="Calibri" w:hAnsi="Cambria" w:cs="Cambria"/>
                <w:spacing w:val="-1"/>
                <w:position w:val="-1"/>
                <w:sz w:val="22"/>
                <w:szCs w:val="22"/>
              </w:rPr>
            </w:pPr>
            <w:r w:rsidRPr="002928B3">
              <w:rPr>
                <w:rFonts w:ascii="Cambria" w:eastAsia="Calibri" w:hAnsi="Cambria" w:cs="Cambria"/>
                <w:spacing w:val="-1"/>
                <w:position w:val="-1"/>
                <w:sz w:val="22"/>
                <w:szCs w:val="22"/>
              </w:rPr>
              <w:t>List of Admissibility Decisions</w:t>
            </w:r>
          </w:p>
        </w:tc>
      </w:tr>
      <w:tr w:rsidR="002B008E" w14:paraId="69E43F1C" w14:textId="77777777" w:rsidTr="00C2604A">
        <w:trPr>
          <w:gridAfter w:val="1"/>
          <w:wAfter w:w="900" w:type="dxa"/>
          <w:trHeight w:hRule="exact" w:val="370"/>
        </w:trPr>
        <w:tc>
          <w:tcPr>
            <w:tcW w:w="1363" w:type="dxa"/>
          </w:tcPr>
          <w:p w14:paraId="038A83ED" w14:textId="77777777" w:rsidR="002B008E" w:rsidRPr="00B77A64" w:rsidRDefault="002B008E" w:rsidP="00C2604A">
            <w:pPr>
              <w:pStyle w:val="TableParagraph"/>
              <w:spacing w:line="247" w:lineRule="exact"/>
              <w:ind w:left="775"/>
              <w:rPr>
                <w:rFonts w:ascii="Cambria" w:eastAsia="Cambria" w:hAnsi="Cambria" w:cs="Cambria"/>
              </w:rPr>
            </w:pPr>
          </w:p>
        </w:tc>
        <w:tc>
          <w:tcPr>
            <w:tcW w:w="7442" w:type="dxa"/>
          </w:tcPr>
          <w:p w14:paraId="73F3C548" w14:textId="77777777" w:rsidR="002B008E" w:rsidRPr="002A4D88" w:rsidRDefault="002B008E" w:rsidP="00933F91">
            <w:pPr>
              <w:pStyle w:val="ListParagraph"/>
              <w:numPr>
                <w:ilvl w:val="0"/>
                <w:numId w:val="83"/>
              </w:numPr>
              <w:rPr>
                <w:rFonts w:ascii="Cambria" w:eastAsia="Calibri" w:hAnsi="Cambria" w:cs="Cambria"/>
                <w:spacing w:val="-1"/>
                <w:position w:val="-1"/>
                <w:sz w:val="22"/>
                <w:szCs w:val="22"/>
              </w:rPr>
            </w:pPr>
            <w:r w:rsidRPr="002A4D88">
              <w:rPr>
                <w:rFonts w:ascii="Cambria" w:eastAsia="Calibri" w:hAnsi="Cambria" w:cs="Cambria"/>
                <w:spacing w:val="-1"/>
                <w:position w:val="-1"/>
                <w:sz w:val="22"/>
                <w:szCs w:val="22"/>
              </w:rPr>
              <w:t>Archive decisions</w:t>
            </w:r>
          </w:p>
        </w:tc>
      </w:tr>
      <w:tr w:rsidR="002B008E" w14:paraId="6D019BE2" w14:textId="77777777" w:rsidTr="00C2604A">
        <w:trPr>
          <w:gridAfter w:val="1"/>
          <w:wAfter w:w="900" w:type="dxa"/>
          <w:trHeight w:hRule="exact" w:val="370"/>
        </w:trPr>
        <w:tc>
          <w:tcPr>
            <w:tcW w:w="1363" w:type="dxa"/>
          </w:tcPr>
          <w:p w14:paraId="7455FAFF" w14:textId="77777777" w:rsidR="002B008E" w:rsidRPr="00B77A64" w:rsidRDefault="002B008E" w:rsidP="00C2604A">
            <w:pPr>
              <w:pStyle w:val="TableParagraph"/>
              <w:spacing w:line="247" w:lineRule="exact"/>
              <w:ind w:left="775"/>
              <w:rPr>
                <w:rFonts w:ascii="Cambria" w:eastAsia="Cambria" w:hAnsi="Cambria" w:cs="Cambria"/>
              </w:rPr>
            </w:pPr>
          </w:p>
        </w:tc>
        <w:tc>
          <w:tcPr>
            <w:tcW w:w="7442" w:type="dxa"/>
          </w:tcPr>
          <w:p w14:paraId="218B0312" w14:textId="77777777" w:rsidR="002B008E" w:rsidRPr="00FF3733" w:rsidRDefault="002B008E" w:rsidP="00933F91">
            <w:pPr>
              <w:pStyle w:val="ListParagraph"/>
              <w:numPr>
                <w:ilvl w:val="0"/>
                <w:numId w:val="83"/>
              </w:numPr>
              <w:rPr>
                <w:rFonts w:ascii="Cambria" w:eastAsia="Calibri" w:hAnsi="Cambria" w:cs="Cambria"/>
                <w:spacing w:val="-1"/>
                <w:position w:val="-1"/>
                <w:sz w:val="22"/>
                <w:szCs w:val="22"/>
              </w:rPr>
            </w:pPr>
            <w:r w:rsidRPr="00FF3733">
              <w:rPr>
                <w:rFonts w:ascii="Cambria" w:eastAsia="Calibri" w:hAnsi="Cambria" w:cs="Cambria"/>
                <w:spacing w:val="-1"/>
                <w:position w:val="-1"/>
                <w:sz w:val="22"/>
                <w:szCs w:val="22"/>
              </w:rPr>
              <w:t>Examples of noteworthy decisions</w:t>
            </w:r>
          </w:p>
        </w:tc>
      </w:tr>
      <w:tr w:rsidR="002B008E" w14:paraId="2A02A009" w14:textId="77777777" w:rsidTr="00C2604A">
        <w:trPr>
          <w:gridAfter w:val="1"/>
          <w:wAfter w:w="900" w:type="dxa"/>
          <w:trHeight w:hRule="exact" w:val="370"/>
        </w:trPr>
        <w:tc>
          <w:tcPr>
            <w:tcW w:w="1363" w:type="dxa"/>
          </w:tcPr>
          <w:p w14:paraId="71C61ED7" w14:textId="77777777" w:rsidR="002B008E" w:rsidRPr="00B77A64" w:rsidRDefault="002B008E" w:rsidP="00C2604A">
            <w:pPr>
              <w:pStyle w:val="TableParagraph"/>
              <w:spacing w:line="247" w:lineRule="exact"/>
              <w:ind w:left="775"/>
              <w:rPr>
                <w:rFonts w:ascii="Cambria" w:eastAsia="Cambria" w:hAnsi="Cambria" w:cs="Cambria"/>
              </w:rPr>
            </w:pPr>
          </w:p>
        </w:tc>
        <w:tc>
          <w:tcPr>
            <w:tcW w:w="7442" w:type="dxa"/>
          </w:tcPr>
          <w:p w14:paraId="589A141E" w14:textId="77777777" w:rsidR="002B008E" w:rsidRPr="00A93F8D" w:rsidRDefault="002B008E" w:rsidP="00933F91">
            <w:pPr>
              <w:pStyle w:val="ListParagraph"/>
              <w:numPr>
                <w:ilvl w:val="0"/>
                <w:numId w:val="83"/>
              </w:numPr>
              <w:rPr>
                <w:rFonts w:ascii="Cambria" w:eastAsia="Calibri" w:hAnsi="Cambria" w:cs="Cambria"/>
                <w:spacing w:val="-1"/>
                <w:position w:val="-1"/>
                <w:sz w:val="22"/>
                <w:szCs w:val="22"/>
              </w:rPr>
            </w:pPr>
            <w:r w:rsidRPr="00A93F8D">
              <w:rPr>
                <w:rFonts w:ascii="Cambria" w:eastAsia="Calibri" w:hAnsi="Cambria" w:cs="Cambria"/>
                <w:spacing w:val="-1"/>
                <w:position w:val="-1"/>
                <w:sz w:val="22"/>
                <w:szCs w:val="22"/>
              </w:rPr>
              <w:t xml:space="preserve">Portfolio meetings and information to member states </w:t>
            </w:r>
            <w:r>
              <w:rPr>
                <w:rFonts w:ascii="Cambria" w:eastAsia="Calibri" w:hAnsi="Cambria" w:cs="Cambria"/>
                <w:spacing w:val="-1"/>
                <w:position w:val="-1"/>
                <w:sz w:val="22"/>
                <w:szCs w:val="22"/>
              </w:rPr>
              <w:t xml:space="preserve"> </w:t>
            </w:r>
          </w:p>
        </w:tc>
      </w:tr>
      <w:tr w:rsidR="002B008E" w14:paraId="4F92BC36" w14:textId="77777777" w:rsidTr="00C2604A">
        <w:trPr>
          <w:gridAfter w:val="1"/>
          <w:wAfter w:w="900" w:type="dxa"/>
          <w:trHeight w:hRule="exact" w:val="450"/>
        </w:trPr>
        <w:tc>
          <w:tcPr>
            <w:tcW w:w="1363" w:type="dxa"/>
          </w:tcPr>
          <w:p w14:paraId="41C24AA4" w14:textId="77777777" w:rsidR="002B008E" w:rsidRPr="00B77A64" w:rsidRDefault="002B008E" w:rsidP="00C2604A">
            <w:pPr>
              <w:pStyle w:val="TableParagraph"/>
              <w:spacing w:line="247" w:lineRule="exact"/>
              <w:ind w:left="775"/>
              <w:rPr>
                <w:rFonts w:ascii="Cambria" w:eastAsia="Cambria" w:hAnsi="Cambria" w:cs="Cambria"/>
              </w:rPr>
            </w:pPr>
          </w:p>
        </w:tc>
        <w:tc>
          <w:tcPr>
            <w:tcW w:w="7442" w:type="dxa"/>
          </w:tcPr>
          <w:p w14:paraId="55B65975" w14:textId="77777777" w:rsidR="002B008E" w:rsidRPr="0044412B" w:rsidRDefault="002B008E" w:rsidP="00933F91">
            <w:pPr>
              <w:pStyle w:val="ListParagraph"/>
              <w:numPr>
                <w:ilvl w:val="0"/>
                <w:numId w:val="83"/>
              </w:numPr>
              <w:rPr>
                <w:rFonts w:ascii="Cambria" w:eastAsia="Calibri" w:hAnsi="Cambria" w:cs="Cambria"/>
                <w:spacing w:val="-1"/>
                <w:position w:val="-1"/>
                <w:sz w:val="22"/>
                <w:szCs w:val="22"/>
              </w:rPr>
            </w:pPr>
            <w:r w:rsidRPr="0044412B">
              <w:rPr>
                <w:rFonts w:ascii="Cambria" w:eastAsia="Calibri" w:hAnsi="Cambria" w:cs="Cambria"/>
                <w:spacing w:val="-1"/>
                <w:position w:val="-1"/>
                <w:sz w:val="22"/>
                <w:szCs w:val="22"/>
              </w:rPr>
              <w:t>Hearings on contentious cases</w:t>
            </w:r>
          </w:p>
        </w:tc>
      </w:tr>
      <w:tr w:rsidR="002B008E" w14:paraId="172FED80" w14:textId="77777777" w:rsidTr="00C2604A">
        <w:trPr>
          <w:gridAfter w:val="1"/>
          <w:wAfter w:w="900" w:type="dxa"/>
          <w:trHeight w:hRule="exact" w:val="450"/>
        </w:trPr>
        <w:tc>
          <w:tcPr>
            <w:tcW w:w="1363" w:type="dxa"/>
          </w:tcPr>
          <w:p w14:paraId="4B4B543C" w14:textId="77777777" w:rsidR="002B008E" w:rsidRPr="00B77A64" w:rsidRDefault="002B008E" w:rsidP="00C2604A">
            <w:pPr>
              <w:pStyle w:val="TableParagraph"/>
              <w:spacing w:line="247" w:lineRule="exact"/>
              <w:ind w:left="775"/>
              <w:rPr>
                <w:rFonts w:ascii="Cambria" w:eastAsia="Cambria" w:hAnsi="Cambria" w:cs="Cambria"/>
              </w:rPr>
            </w:pPr>
          </w:p>
        </w:tc>
        <w:tc>
          <w:tcPr>
            <w:tcW w:w="7442" w:type="dxa"/>
          </w:tcPr>
          <w:p w14:paraId="23EB5BDD" w14:textId="77777777" w:rsidR="002B008E" w:rsidRPr="00284034" w:rsidRDefault="002B008E" w:rsidP="00933F91">
            <w:pPr>
              <w:pStyle w:val="ListParagraph"/>
              <w:numPr>
                <w:ilvl w:val="0"/>
                <w:numId w:val="83"/>
              </w:numPr>
              <w:rPr>
                <w:rFonts w:ascii="Cambria" w:eastAsia="Calibri" w:hAnsi="Cambria" w:cs="Cambria"/>
                <w:spacing w:val="-1"/>
                <w:position w:val="-1"/>
                <w:sz w:val="22"/>
                <w:szCs w:val="22"/>
              </w:rPr>
            </w:pPr>
            <w:r w:rsidRPr="00284034">
              <w:rPr>
                <w:rFonts w:ascii="Cambria" w:eastAsia="Calibri" w:hAnsi="Cambria" w:cs="Cambria"/>
                <w:spacing w:val="-1"/>
                <w:position w:val="-1"/>
                <w:sz w:val="22"/>
                <w:szCs w:val="22"/>
              </w:rPr>
              <w:t>Strategic Plan 2023-2027</w:t>
            </w:r>
          </w:p>
        </w:tc>
      </w:tr>
      <w:tr w:rsidR="002B008E" w14:paraId="471B39E1" w14:textId="77777777" w:rsidTr="00C2604A">
        <w:trPr>
          <w:gridAfter w:val="1"/>
          <w:wAfter w:w="900" w:type="dxa"/>
          <w:trHeight w:hRule="exact" w:val="630"/>
        </w:trPr>
        <w:tc>
          <w:tcPr>
            <w:tcW w:w="1363" w:type="dxa"/>
          </w:tcPr>
          <w:p w14:paraId="24B71487" w14:textId="77777777" w:rsidR="002B008E" w:rsidRDefault="002B008E" w:rsidP="00C2604A">
            <w:pPr>
              <w:pStyle w:val="TableParagraph"/>
              <w:spacing w:before="2"/>
              <w:ind w:left="775" w:hanging="13"/>
              <w:rPr>
                <w:rFonts w:ascii="Cambria" w:eastAsia="Cambria" w:hAnsi="Cambria" w:cs="Cambria"/>
              </w:rPr>
            </w:pPr>
            <w:r>
              <w:rPr>
                <w:rFonts w:ascii="Cambria"/>
                <w:spacing w:val="1"/>
              </w:rPr>
              <w:t>C.</w:t>
            </w:r>
          </w:p>
        </w:tc>
        <w:tc>
          <w:tcPr>
            <w:tcW w:w="7442" w:type="dxa"/>
          </w:tcPr>
          <w:p w14:paraId="1E9B4E65" w14:textId="77777777" w:rsidR="002B008E" w:rsidRDefault="002B008E" w:rsidP="00C2604A">
            <w:pPr>
              <w:pStyle w:val="TableParagraph"/>
              <w:spacing w:before="6" w:line="256" w:lineRule="exact"/>
              <w:ind w:right="333"/>
              <w:rPr>
                <w:rFonts w:ascii="Cambria" w:eastAsia="Cambria" w:hAnsi="Cambria" w:cs="Cambria"/>
              </w:rPr>
            </w:pPr>
            <w:r>
              <w:rPr>
                <w:rFonts w:ascii="Cambria"/>
                <w:spacing w:val="-1"/>
              </w:rPr>
              <w:t>Advances</w:t>
            </w:r>
            <w:r>
              <w:rPr>
                <w:rFonts w:ascii="Cambria"/>
                <w:spacing w:val="-4"/>
              </w:rPr>
              <w:t xml:space="preserve"> </w:t>
            </w:r>
            <w:r>
              <w:rPr>
                <w:rFonts w:ascii="Cambria"/>
                <w:spacing w:val="1"/>
              </w:rPr>
              <w:t>and</w:t>
            </w:r>
            <w:r>
              <w:rPr>
                <w:rFonts w:ascii="Cambria"/>
                <w:spacing w:val="-5"/>
              </w:rPr>
              <w:t xml:space="preserve"> </w:t>
            </w:r>
            <w:r>
              <w:rPr>
                <w:rFonts w:ascii="Cambria"/>
                <w:spacing w:val="-1"/>
              </w:rPr>
              <w:t>regressions</w:t>
            </w:r>
            <w:r>
              <w:rPr>
                <w:rFonts w:ascii="Cambria"/>
                <w:spacing w:val="-8"/>
              </w:rPr>
              <w:t xml:space="preserve"> </w:t>
            </w:r>
            <w:r>
              <w:rPr>
                <w:rFonts w:ascii="Cambria"/>
                <w:spacing w:val="-1"/>
              </w:rPr>
              <w:t>on</w:t>
            </w:r>
            <w:r>
              <w:rPr>
                <w:rFonts w:ascii="Cambria"/>
                <w:spacing w:val="-6"/>
              </w:rPr>
              <w:t xml:space="preserve"> </w:t>
            </w:r>
            <w:r>
              <w:rPr>
                <w:rFonts w:ascii="Cambria"/>
                <w:spacing w:val="-1"/>
              </w:rPr>
              <w:t>negotiation and</w:t>
            </w:r>
            <w:r>
              <w:rPr>
                <w:rFonts w:ascii="Cambria"/>
                <w:spacing w:val="-6"/>
              </w:rPr>
              <w:t xml:space="preserve"> </w:t>
            </w:r>
            <w:r>
              <w:rPr>
                <w:rFonts w:ascii="Cambria"/>
                <w:spacing w:val="-1"/>
              </w:rPr>
              <w:t>Implementation of</w:t>
            </w:r>
            <w:r>
              <w:rPr>
                <w:rFonts w:ascii="Cambria"/>
                <w:spacing w:val="-5"/>
              </w:rPr>
              <w:t xml:space="preserve"> </w:t>
            </w:r>
            <w:r>
              <w:rPr>
                <w:rFonts w:ascii="Cambria"/>
                <w:spacing w:val="-1"/>
              </w:rPr>
              <w:t>Friendly</w:t>
            </w:r>
            <w:r>
              <w:rPr>
                <w:rFonts w:ascii="Cambria"/>
                <w:spacing w:val="54"/>
              </w:rPr>
              <w:t xml:space="preserve"> </w:t>
            </w:r>
            <w:r>
              <w:rPr>
                <w:rFonts w:ascii="Cambria"/>
                <w:spacing w:val="-1"/>
              </w:rPr>
              <w:t>Settlement</w:t>
            </w:r>
            <w:r>
              <w:rPr>
                <w:rFonts w:ascii="Cambria"/>
                <w:spacing w:val="-7"/>
              </w:rPr>
              <w:t xml:space="preserve"> </w:t>
            </w:r>
            <w:r>
              <w:rPr>
                <w:rFonts w:ascii="Cambria"/>
                <w:spacing w:val="-1"/>
              </w:rPr>
              <w:t>Agreements</w:t>
            </w:r>
          </w:p>
        </w:tc>
      </w:tr>
      <w:tr w:rsidR="002B008E" w14:paraId="7C229F53" w14:textId="77777777" w:rsidTr="00C2604A">
        <w:trPr>
          <w:gridAfter w:val="1"/>
          <w:wAfter w:w="900" w:type="dxa"/>
          <w:trHeight w:hRule="exact" w:val="927"/>
        </w:trPr>
        <w:tc>
          <w:tcPr>
            <w:tcW w:w="1363" w:type="dxa"/>
          </w:tcPr>
          <w:p w14:paraId="7A8847A0" w14:textId="77777777" w:rsidR="002B008E" w:rsidRDefault="002B008E" w:rsidP="00C2604A"/>
        </w:tc>
        <w:tc>
          <w:tcPr>
            <w:tcW w:w="7442" w:type="dxa"/>
          </w:tcPr>
          <w:p w14:paraId="5930ABA0" w14:textId="77777777" w:rsidR="002B008E" w:rsidRPr="00086F9C" w:rsidRDefault="002B008E" w:rsidP="00933F91">
            <w:pPr>
              <w:pStyle w:val="Heading3"/>
              <w:numPr>
                <w:ilvl w:val="0"/>
                <w:numId w:val="84"/>
              </w:numPr>
              <w:tabs>
                <w:tab w:val="num" w:pos="720"/>
                <w:tab w:val="left" w:pos="853"/>
              </w:tabs>
              <w:spacing w:before="117"/>
              <w:ind w:left="720" w:hanging="360"/>
              <w:rPr>
                <w:b w:val="0"/>
                <w:bCs w:val="0"/>
              </w:rPr>
            </w:pPr>
            <w:r w:rsidRPr="00086F9C">
              <w:rPr>
                <w:b w:val="0"/>
                <w:bCs w:val="0"/>
                <w:spacing w:val="-1"/>
              </w:rPr>
              <w:t>Introduction</w:t>
            </w:r>
          </w:p>
          <w:p w14:paraId="3B35058C" w14:textId="77777777" w:rsidR="002B008E" w:rsidRDefault="002B008E" w:rsidP="00933F91">
            <w:pPr>
              <w:pStyle w:val="ListParagraph"/>
              <w:widowControl w:val="0"/>
              <w:numPr>
                <w:ilvl w:val="0"/>
                <w:numId w:val="84"/>
              </w:numPr>
              <w:tabs>
                <w:tab w:val="left" w:pos="853"/>
              </w:tabs>
              <w:spacing w:before="2" w:line="241" w:lineRule="auto"/>
              <w:ind w:right="470"/>
              <w:contextualSpacing w:val="0"/>
              <w:rPr>
                <w:rFonts w:ascii="Cambria" w:eastAsia="Cambria" w:hAnsi="Cambria" w:cs="Cambria"/>
              </w:rPr>
            </w:pPr>
            <w:r>
              <w:rPr>
                <w:rFonts w:ascii="Cambria"/>
                <w:spacing w:val="-1"/>
                <w:sz w:val="22"/>
              </w:rPr>
              <w:t>Relevant</w:t>
            </w:r>
            <w:r>
              <w:rPr>
                <w:rFonts w:ascii="Cambria"/>
                <w:spacing w:val="-3"/>
                <w:sz w:val="22"/>
              </w:rPr>
              <w:t xml:space="preserve"> </w:t>
            </w:r>
            <w:r>
              <w:rPr>
                <w:rFonts w:ascii="Cambria"/>
                <w:spacing w:val="-1"/>
                <w:sz w:val="22"/>
              </w:rPr>
              <w:t>Results</w:t>
            </w:r>
            <w:r>
              <w:rPr>
                <w:rFonts w:ascii="Cambria"/>
                <w:spacing w:val="-8"/>
                <w:sz w:val="22"/>
              </w:rPr>
              <w:t xml:space="preserve"> </w:t>
            </w:r>
            <w:r>
              <w:rPr>
                <w:rFonts w:ascii="Cambria"/>
                <w:spacing w:val="-1"/>
                <w:sz w:val="22"/>
              </w:rPr>
              <w:t>on Negotiation</w:t>
            </w:r>
            <w:r>
              <w:rPr>
                <w:rFonts w:ascii="Cambria"/>
                <w:spacing w:val="-5"/>
                <w:sz w:val="22"/>
              </w:rPr>
              <w:t xml:space="preserve"> </w:t>
            </w:r>
            <w:r>
              <w:rPr>
                <w:rFonts w:ascii="Cambria"/>
                <w:spacing w:val="1"/>
                <w:sz w:val="22"/>
              </w:rPr>
              <w:t>and</w:t>
            </w:r>
            <w:r>
              <w:rPr>
                <w:rFonts w:ascii="Cambria"/>
                <w:spacing w:val="-5"/>
                <w:sz w:val="22"/>
              </w:rPr>
              <w:t xml:space="preserve"> </w:t>
            </w:r>
            <w:r>
              <w:rPr>
                <w:rFonts w:ascii="Cambria"/>
                <w:spacing w:val="-1"/>
                <w:sz w:val="22"/>
              </w:rPr>
              <w:t>Implementation</w:t>
            </w:r>
            <w:r>
              <w:rPr>
                <w:rFonts w:ascii="Cambria"/>
                <w:spacing w:val="-10"/>
                <w:sz w:val="22"/>
              </w:rPr>
              <w:t xml:space="preserve"> </w:t>
            </w:r>
            <w:r>
              <w:rPr>
                <w:rFonts w:ascii="Cambria"/>
                <w:spacing w:val="-1"/>
                <w:sz w:val="22"/>
              </w:rPr>
              <w:t>of</w:t>
            </w:r>
            <w:r>
              <w:rPr>
                <w:rFonts w:ascii="Cambria"/>
                <w:spacing w:val="-5"/>
                <w:sz w:val="22"/>
              </w:rPr>
              <w:t xml:space="preserve"> </w:t>
            </w:r>
            <w:r>
              <w:rPr>
                <w:rFonts w:ascii="Cambria"/>
                <w:spacing w:val="-1"/>
                <w:sz w:val="22"/>
              </w:rPr>
              <w:t>Friendly</w:t>
            </w:r>
            <w:r>
              <w:rPr>
                <w:rFonts w:ascii="Cambria"/>
                <w:spacing w:val="38"/>
                <w:sz w:val="22"/>
              </w:rPr>
              <w:t xml:space="preserve"> </w:t>
            </w:r>
            <w:r>
              <w:rPr>
                <w:rFonts w:ascii="Cambria"/>
                <w:spacing w:val="-1"/>
                <w:sz w:val="22"/>
              </w:rPr>
              <w:t>Settlement</w:t>
            </w:r>
            <w:r>
              <w:rPr>
                <w:rFonts w:ascii="Cambria"/>
                <w:spacing w:val="-7"/>
                <w:sz w:val="22"/>
              </w:rPr>
              <w:t xml:space="preserve"> </w:t>
            </w:r>
            <w:r>
              <w:rPr>
                <w:rFonts w:ascii="Cambria"/>
                <w:spacing w:val="-1"/>
                <w:sz w:val="22"/>
              </w:rPr>
              <w:t>Agreements</w:t>
            </w:r>
          </w:p>
        </w:tc>
      </w:tr>
      <w:tr w:rsidR="002B008E" w14:paraId="7C07825B" w14:textId="77777777" w:rsidTr="00C2604A">
        <w:trPr>
          <w:gridAfter w:val="1"/>
          <w:wAfter w:w="900" w:type="dxa"/>
          <w:trHeight w:hRule="exact" w:val="748"/>
        </w:trPr>
        <w:tc>
          <w:tcPr>
            <w:tcW w:w="1363" w:type="dxa"/>
          </w:tcPr>
          <w:p w14:paraId="574740B1" w14:textId="77777777" w:rsidR="002B008E" w:rsidRDefault="002B008E" w:rsidP="00C2604A"/>
        </w:tc>
        <w:tc>
          <w:tcPr>
            <w:tcW w:w="7442" w:type="dxa"/>
          </w:tcPr>
          <w:p w14:paraId="6389A4C9" w14:textId="77777777" w:rsidR="002B008E" w:rsidRPr="001C3767" w:rsidRDefault="002B008E" w:rsidP="00933F91">
            <w:pPr>
              <w:pStyle w:val="Heading3"/>
              <w:numPr>
                <w:ilvl w:val="0"/>
                <w:numId w:val="84"/>
              </w:numPr>
              <w:tabs>
                <w:tab w:val="num" w:pos="720"/>
                <w:tab w:val="left" w:pos="853"/>
              </w:tabs>
              <w:spacing w:before="117"/>
              <w:ind w:left="720" w:hanging="360"/>
              <w:rPr>
                <w:b w:val="0"/>
                <w:bCs w:val="0"/>
                <w:spacing w:val="-1"/>
                <w:lang w:val="en-US"/>
              </w:rPr>
            </w:pPr>
            <w:r w:rsidRPr="001C3767">
              <w:rPr>
                <w:b w:val="0"/>
                <w:bCs w:val="0"/>
                <w:spacing w:val="-1"/>
                <w:lang w:val="en-US"/>
              </w:rPr>
              <w:t>Activities Undertaken to Foster Promotion of Friendly Settlements</w:t>
            </w:r>
          </w:p>
          <w:p w14:paraId="32838EBC" w14:textId="77777777" w:rsidR="002B008E" w:rsidRPr="00616646" w:rsidRDefault="002B008E" w:rsidP="00C2604A">
            <w:pPr>
              <w:pStyle w:val="Heading3"/>
              <w:tabs>
                <w:tab w:val="left" w:pos="853"/>
              </w:tabs>
              <w:spacing w:before="117"/>
              <w:ind w:left="852"/>
              <w:rPr>
                <w:b w:val="0"/>
                <w:bCs w:val="0"/>
                <w:spacing w:val="-1"/>
              </w:rPr>
            </w:pPr>
            <w:r w:rsidRPr="001C3767">
              <w:rPr>
                <w:b w:val="0"/>
                <w:bCs w:val="0"/>
                <w:spacing w:val="-1"/>
              </w:rPr>
              <w:t>in 202</w:t>
            </w:r>
            <w:r>
              <w:rPr>
                <w:b w:val="0"/>
                <w:bCs w:val="0"/>
                <w:spacing w:val="-1"/>
              </w:rPr>
              <w:t>2</w:t>
            </w:r>
          </w:p>
        </w:tc>
      </w:tr>
      <w:tr w:rsidR="002B008E" w14:paraId="1AA19A47" w14:textId="77777777" w:rsidTr="00C2604A">
        <w:trPr>
          <w:gridAfter w:val="1"/>
          <w:wAfter w:w="900" w:type="dxa"/>
          <w:trHeight w:hRule="exact" w:val="973"/>
        </w:trPr>
        <w:tc>
          <w:tcPr>
            <w:tcW w:w="1363" w:type="dxa"/>
          </w:tcPr>
          <w:p w14:paraId="4720E8E0" w14:textId="77777777" w:rsidR="002B008E" w:rsidRDefault="002B008E" w:rsidP="00C2604A"/>
        </w:tc>
        <w:tc>
          <w:tcPr>
            <w:tcW w:w="7442" w:type="dxa"/>
          </w:tcPr>
          <w:p w14:paraId="5492B11D" w14:textId="77777777" w:rsidR="002B008E" w:rsidRPr="001C3767" w:rsidRDefault="002B008E" w:rsidP="00933F91">
            <w:pPr>
              <w:pStyle w:val="Heading3"/>
              <w:numPr>
                <w:ilvl w:val="0"/>
                <w:numId w:val="84"/>
              </w:numPr>
              <w:tabs>
                <w:tab w:val="num" w:pos="720"/>
                <w:tab w:val="left" w:pos="853"/>
              </w:tabs>
              <w:spacing w:before="117"/>
              <w:ind w:left="720" w:hanging="360"/>
              <w:rPr>
                <w:b w:val="0"/>
                <w:bCs w:val="0"/>
                <w:spacing w:val="-1"/>
                <w:lang w:val="en-US"/>
              </w:rPr>
            </w:pPr>
            <w:r w:rsidRPr="000A04CD">
              <w:rPr>
                <w:b w:val="0"/>
                <w:bCs w:val="0"/>
                <w:lang w:val="en-US"/>
              </w:rPr>
              <w:t>Status</w:t>
            </w:r>
            <w:r w:rsidRPr="000A04CD">
              <w:rPr>
                <w:b w:val="0"/>
                <w:bCs w:val="0"/>
                <w:spacing w:val="-3"/>
                <w:lang w:val="en-US"/>
              </w:rPr>
              <w:t xml:space="preserve"> </w:t>
            </w:r>
            <w:r w:rsidRPr="000A04CD">
              <w:rPr>
                <w:b w:val="0"/>
                <w:bCs w:val="0"/>
                <w:spacing w:val="-1"/>
                <w:lang w:val="en-US"/>
              </w:rPr>
              <w:t>of</w:t>
            </w:r>
            <w:r w:rsidRPr="000A04CD">
              <w:rPr>
                <w:b w:val="0"/>
                <w:bCs w:val="0"/>
                <w:spacing w:val="-4"/>
                <w:lang w:val="en-US"/>
              </w:rPr>
              <w:t xml:space="preserve"> </w:t>
            </w:r>
            <w:r w:rsidRPr="000A04CD">
              <w:rPr>
                <w:b w:val="0"/>
                <w:bCs w:val="0"/>
                <w:spacing w:val="-1"/>
                <w:lang w:val="en-US"/>
              </w:rPr>
              <w:t>Compliance</w:t>
            </w:r>
            <w:r w:rsidRPr="000A04CD">
              <w:rPr>
                <w:b w:val="0"/>
                <w:bCs w:val="0"/>
                <w:spacing w:val="-4"/>
                <w:lang w:val="en-US"/>
              </w:rPr>
              <w:t xml:space="preserve"> </w:t>
            </w:r>
            <w:r w:rsidRPr="000A04CD">
              <w:rPr>
                <w:b w:val="0"/>
                <w:bCs w:val="0"/>
                <w:spacing w:val="-1"/>
                <w:lang w:val="en-US"/>
              </w:rPr>
              <w:t>with</w:t>
            </w:r>
            <w:r w:rsidRPr="000A04CD">
              <w:rPr>
                <w:b w:val="0"/>
                <w:bCs w:val="0"/>
                <w:spacing w:val="-3"/>
                <w:lang w:val="en-US"/>
              </w:rPr>
              <w:t xml:space="preserve"> </w:t>
            </w:r>
            <w:r w:rsidRPr="000A04CD">
              <w:rPr>
                <w:b w:val="0"/>
                <w:bCs w:val="0"/>
                <w:spacing w:val="-1"/>
                <w:lang w:val="en-US"/>
              </w:rPr>
              <w:t>Reports</w:t>
            </w:r>
            <w:r w:rsidRPr="000A04CD">
              <w:rPr>
                <w:b w:val="0"/>
                <w:bCs w:val="0"/>
                <w:spacing w:val="-2"/>
                <w:lang w:val="en-US"/>
              </w:rPr>
              <w:t xml:space="preserve"> </w:t>
            </w:r>
            <w:r w:rsidRPr="000A04CD">
              <w:rPr>
                <w:b w:val="0"/>
                <w:bCs w:val="0"/>
                <w:spacing w:val="-1"/>
                <w:lang w:val="en-US"/>
              </w:rPr>
              <w:t>on</w:t>
            </w:r>
            <w:r w:rsidRPr="000A04CD">
              <w:rPr>
                <w:b w:val="0"/>
                <w:bCs w:val="0"/>
                <w:spacing w:val="-5"/>
                <w:lang w:val="en-US"/>
              </w:rPr>
              <w:t xml:space="preserve"> </w:t>
            </w:r>
            <w:r w:rsidRPr="000A04CD">
              <w:rPr>
                <w:b w:val="0"/>
                <w:bCs w:val="0"/>
                <w:spacing w:val="-1"/>
                <w:lang w:val="en-US"/>
              </w:rPr>
              <w:t>Friendly</w:t>
            </w:r>
            <w:r w:rsidRPr="000A04CD">
              <w:rPr>
                <w:b w:val="0"/>
                <w:bCs w:val="0"/>
                <w:spacing w:val="-2"/>
                <w:lang w:val="en-US"/>
              </w:rPr>
              <w:t xml:space="preserve"> </w:t>
            </w:r>
            <w:r w:rsidRPr="000A04CD">
              <w:rPr>
                <w:b w:val="0"/>
                <w:bCs w:val="0"/>
                <w:spacing w:val="-1"/>
                <w:lang w:val="en-US"/>
              </w:rPr>
              <w:t>Settlement</w:t>
            </w:r>
            <w:r w:rsidRPr="000A04CD">
              <w:rPr>
                <w:b w:val="0"/>
                <w:bCs w:val="0"/>
                <w:spacing w:val="-6"/>
                <w:lang w:val="en-US"/>
              </w:rPr>
              <w:t xml:space="preserve"> </w:t>
            </w:r>
            <w:r w:rsidRPr="000A04CD">
              <w:rPr>
                <w:b w:val="0"/>
                <w:bCs w:val="0"/>
                <w:spacing w:val="-1"/>
                <w:lang w:val="en-US"/>
              </w:rPr>
              <w:t>Agreements,</w:t>
            </w:r>
            <w:r w:rsidRPr="000A04CD">
              <w:rPr>
                <w:b w:val="0"/>
                <w:bCs w:val="0"/>
                <w:spacing w:val="51"/>
                <w:lang w:val="en-US"/>
              </w:rPr>
              <w:t xml:space="preserve"> </w:t>
            </w:r>
            <w:r w:rsidRPr="000A04CD">
              <w:rPr>
                <w:b w:val="0"/>
                <w:bCs w:val="0"/>
                <w:lang w:val="en-US"/>
              </w:rPr>
              <w:t>Approved</w:t>
            </w:r>
            <w:r w:rsidRPr="000A04CD">
              <w:rPr>
                <w:b w:val="0"/>
                <w:bCs w:val="0"/>
                <w:spacing w:val="-3"/>
                <w:lang w:val="en-US"/>
              </w:rPr>
              <w:t xml:space="preserve"> </w:t>
            </w:r>
            <w:r w:rsidRPr="000A04CD">
              <w:rPr>
                <w:b w:val="0"/>
                <w:bCs w:val="0"/>
                <w:lang w:val="en-US"/>
              </w:rPr>
              <w:t>pursuant</w:t>
            </w:r>
            <w:r w:rsidRPr="000A04CD">
              <w:rPr>
                <w:b w:val="0"/>
                <w:bCs w:val="0"/>
                <w:spacing w:val="-7"/>
                <w:lang w:val="en-US"/>
              </w:rPr>
              <w:t xml:space="preserve"> </w:t>
            </w:r>
            <w:r w:rsidRPr="000A04CD">
              <w:rPr>
                <w:b w:val="0"/>
                <w:bCs w:val="0"/>
                <w:spacing w:val="-1"/>
                <w:lang w:val="en-US"/>
              </w:rPr>
              <w:t>to</w:t>
            </w:r>
            <w:r w:rsidRPr="000A04CD">
              <w:rPr>
                <w:b w:val="0"/>
                <w:bCs w:val="0"/>
                <w:spacing w:val="-3"/>
                <w:lang w:val="en-US"/>
              </w:rPr>
              <w:t xml:space="preserve"> </w:t>
            </w:r>
            <w:r w:rsidRPr="000A04CD">
              <w:rPr>
                <w:b w:val="0"/>
                <w:bCs w:val="0"/>
                <w:spacing w:val="-2"/>
                <w:lang w:val="en-US"/>
              </w:rPr>
              <w:t>Article</w:t>
            </w:r>
            <w:r w:rsidRPr="000A04CD">
              <w:rPr>
                <w:b w:val="0"/>
                <w:bCs w:val="0"/>
                <w:spacing w:val="1"/>
                <w:lang w:val="en-US"/>
              </w:rPr>
              <w:t xml:space="preserve"> </w:t>
            </w:r>
            <w:r w:rsidRPr="000A04CD">
              <w:rPr>
                <w:b w:val="0"/>
                <w:bCs w:val="0"/>
                <w:spacing w:val="-1"/>
                <w:lang w:val="en-US"/>
              </w:rPr>
              <w:t>49</w:t>
            </w:r>
            <w:r w:rsidRPr="000A04CD">
              <w:rPr>
                <w:b w:val="0"/>
                <w:bCs w:val="0"/>
                <w:spacing w:val="-4"/>
                <w:lang w:val="en-US"/>
              </w:rPr>
              <w:t xml:space="preserve"> </w:t>
            </w:r>
            <w:r w:rsidRPr="000A04CD">
              <w:rPr>
                <w:b w:val="0"/>
                <w:bCs w:val="0"/>
                <w:spacing w:val="-1"/>
                <w:lang w:val="en-US"/>
              </w:rPr>
              <w:t>of</w:t>
            </w:r>
            <w:r w:rsidRPr="000A04CD">
              <w:rPr>
                <w:b w:val="0"/>
                <w:bCs w:val="0"/>
                <w:spacing w:val="-3"/>
                <w:lang w:val="en-US"/>
              </w:rPr>
              <w:t xml:space="preserve"> </w:t>
            </w:r>
            <w:r w:rsidRPr="000A04CD">
              <w:rPr>
                <w:b w:val="0"/>
                <w:bCs w:val="0"/>
                <w:spacing w:val="-1"/>
                <w:lang w:val="en-US"/>
              </w:rPr>
              <w:t>the</w:t>
            </w:r>
            <w:r w:rsidRPr="000A04CD">
              <w:rPr>
                <w:b w:val="0"/>
                <w:bCs w:val="0"/>
                <w:lang w:val="en-US"/>
              </w:rPr>
              <w:t xml:space="preserve"> </w:t>
            </w:r>
            <w:r w:rsidRPr="000A04CD">
              <w:rPr>
                <w:b w:val="0"/>
                <w:bCs w:val="0"/>
                <w:spacing w:val="-1"/>
                <w:lang w:val="en-US"/>
              </w:rPr>
              <w:t>American</w:t>
            </w:r>
            <w:r w:rsidRPr="000A04CD">
              <w:rPr>
                <w:b w:val="0"/>
                <w:bCs w:val="0"/>
                <w:spacing w:val="-5"/>
                <w:lang w:val="en-US"/>
              </w:rPr>
              <w:t xml:space="preserve"> </w:t>
            </w:r>
            <w:r w:rsidRPr="000A04CD">
              <w:rPr>
                <w:b w:val="0"/>
                <w:bCs w:val="0"/>
                <w:spacing w:val="-1"/>
                <w:lang w:val="en-US"/>
              </w:rPr>
              <w:t>Convention</w:t>
            </w:r>
            <w:r w:rsidRPr="000A04CD">
              <w:rPr>
                <w:b w:val="0"/>
                <w:bCs w:val="0"/>
                <w:lang w:val="en-US"/>
              </w:rPr>
              <w:t xml:space="preserve"> </w:t>
            </w:r>
            <w:r w:rsidRPr="000A04CD">
              <w:rPr>
                <w:b w:val="0"/>
                <w:bCs w:val="0"/>
                <w:spacing w:val="-1"/>
                <w:lang w:val="en-US"/>
              </w:rPr>
              <w:t>on</w:t>
            </w:r>
            <w:r w:rsidRPr="000A04CD">
              <w:rPr>
                <w:b w:val="0"/>
                <w:bCs w:val="0"/>
                <w:spacing w:val="-5"/>
                <w:lang w:val="en-US"/>
              </w:rPr>
              <w:t xml:space="preserve"> </w:t>
            </w:r>
            <w:r w:rsidRPr="000A04CD">
              <w:rPr>
                <w:b w:val="0"/>
                <w:bCs w:val="0"/>
                <w:spacing w:val="-1"/>
                <w:lang w:val="en-US"/>
              </w:rPr>
              <w:t>Human</w:t>
            </w:r>
            <w:r w:rsidRPr="000A04CD">
              <w:rPr>
                <w:b w:val="0"/>
                <w:bCs w:val="0"/>
                <w:spacing w:val="41"/>
                <w:lang w:val="en-US"/>
              </w:rPr>
              <w:t xml:space="preserve"> </w:t>
            </w:r>
            <w:r w:rsidRPr="000A04CD">
              <w:rPr>
                <w:b w:val="0"/>
                <w:bCs w:val="0"/>
                <w:spacing w:val="-2"/>
                <w:lang w:val="en-US"/>
              </w:rPr>
              <w:t>Rights</w:t>
            </w:r>
          </w:p>
        </w:tc>
      </w:tr>
      <w:tr w:rsidR="002B008E" w14:paraId="3FFAF18B" w14:textId="77777777" w:rsidTr="00C2604A">
        <w:trPr>
          <w:gridAfter w:val="1"/>
          <w:wAfter w:w="900" w:type="dxa"/>
          <w:trHeight w:hRule="exact" w:val="811"/>
        </w:trPr>
        <w:tc>
          <w:tcPr>
            <w:tcW w:w="1363" w:type="dxa"/>
          </w:tcPr>
          <w:p w14:paraId="44A8491E" w14:textId="77777777" w:rsidR="002B008E" w:rsidRDefault="002B008E" w:rsidP="00C2604A"/>
        </w:tc>
        <w:tc>
          <w:tcPr>
            <w:tcW w:w="7442" w:type="dxa"/>
          </w:tcPr>
          <w:p w14:paraId="0709EE00" w14:textId="77777777" w:rsidR="002B008E" w:rsidRPr="00616646" w:rsidRDefault="002B008E" w:rsidP="00933F91">
            <w:pPr>
              <w:pStyle w:val="Heading3"/>
              <w:numPr>
                <w:ilvl w:val="0"/>
                <w:numId w:val="84"/>
              </w:numPr>
              <w:tabs>
                <w:tab w:val="num" w:pos="720"/>
                <w:tab w:val="left" w:pos="853"/>
              </w:tabs>
              <w:spacing w:before="117"/>
              <w:ind w:left="720" w:hanging="360"/>
              <w:rPr>
                <w:b w:val="0"/>
                <w:bCs w:val="0"/>
                <w:lang w:val="en-US"/>
              </w:rPr>
            </w:pPr>
            <w:r w:rsidRPr="00616646">
              <w:rPr>
                <w:b w:val="0"/>
                <w:bCs w:val="0"/>
                <w:lang w:val="en-US"/>
              </w:rPr>
              <w:t>Good Practices in Implementing Friendly Settlement</w:t>
            </w:r>
          </w:p>
          <w:p w14:paraId="22FC3145" w14:textId="77777777" w:rsidR="002B008E" w:rsidRPr="000A04CD" w:rsidRDefault="002B008E" w:rsidP="00C2604A">
            <w:pPr>
              <w:pStyle w:val="Heading3"/>
              <w:tabs>
                <w:tab w:val="left" w:pos="853"/>
              </w:tabs>
              <w:spacing w:before="117"/>
              <w:ind w:left="852" w:right="-896"/>
              <w:rPr>
                <w:b w:val="0"/>
                <w:bCs w:val="0"/>
                <w:lang w:val="en-US"/>
              </w:rPr>
            </w:pPr>
            <w:r w:rsidRPr="00616646">
              <w:rPr>
                <w:b w:val="0"/>
                <w:bCs w:val="0"/>
                <w:lang w:val="en-US"/>
              </w:rPr>
              <w:t>Agreements Observed in 202</w:t>
            </w:r>
            <w:r>
              <w:rPr>
                <w:b w:val="0"/>
                <w:bCs w:val="0"/>
                <w:lang w:val="en-US"/>
              </w:rPr>
              <w:t xml:space="preserve">2                                                                     </w:t>
            </w:r>
          </w:p>
        </w:tc>
      </w:tr>
      <w:tr w:rsidR="002B008E" w14:paraId="03BB2139" w14:textId="77777777" w:rsidTr="00C2604A">
        <w:trPr>
          <w:gridAfter w:val="1"/>
          <w:wAfter w:w="900" w:type="dxa"/>
          <w:trHeight w:hRule="exact" w:val="918"/>
        </w:trPr>
        <w:tc>
          <w:tcPr>
            <w:tcW w:w="1363" w:type="dxa"/>
          </w:tcPr>
          <w:p w14:paraId="1911344B" w14:textId="77777777" w:rsidR="002B008E" w:rsidRDefault="002B008E" w:rsidP="00C2604A"/>
        </w:tc>
        <w:tc>
          <w:tcPr>
            <w:tcW w:w="7442" w:type="dxa"/>
          </w:tcPr>
          <w:p w14:paraId="440FF012" w14:textId="77777777" w:rsidR="002B008E" w:rsidRPr="00D51F96" w:rsidRDefault="002B008E" w:rsidP="00933F91">
            <w:pPr>
              <w:pStyle w:val="Heading3"/>
              <w:numPr>
                <w:ilvl w:val="0"/>
                <w:numId w:val="84"/>
              </w:numPr>
              <w:tabs>
                <w:tab w:val="num" w:pos="720"/>
                <w:tab w:val="left" w:pos="853"/>
              </w:tabs>
              <w:spacing w:before="117"/>
              <w:ind w:left="720" w:hanging="360"/>
              <w:rPr>
                <w:b w:val="0"/>
                <w:bCs w:val="0"/>
                <w:lang w:val="en-US"/>
              </w:rPr>
            </w:pPr>
            <w:r w:rsidRPr="00D51F96">
              <w:rPr>
                <w:b w:val="0"/>
                <w:bCs w:val="0"/>
                <w:lang w:val="en-US"/>
              </w:rPr>
              <w:t xml:space="preserve">Challenges and </w:t>
            </w:r>
            <w:r>
              <w:rPr>
                <w:b w:val="0"/>
                <w:bCs w:val="0"/>
                <w:lang w:val="en-US"/>
              </w:rPr>
              <w:t>s</w:t>
            </w:r>
            <w:r w:rsidRPr="00D51F96">
              <w:rPr>
                <w:b w:val="0"/>
                <w:bCs w:val="0"/>
                <w:lang w:val="en-US"/>
              </w:rPr>
              <w:t xml:space="preserve">etbacks in </w:t>
            </w:r>
            <w:r>
              <w:rPr>
                <w:b w:val="0"/>
                <w:bCs w:val="0"/>
                <w:lang w:val="en-US"/>
              </w:rPr>
              <w:t>i</w:t>
            </w:r>
            <w:r w:rsidRPr="00D51F96">
              <w:rPr>
                <w:b w:val="0"/>
                <w:bCs w:val="0"/>
                <w:lang w:val="en-US"/>
              </w:rPr>
              <w:t>mplementing Friendly Settlement</w:t>
            </w:r>
          </w:p>
          <w:p w14:paraId="3279BFAD" w14:textId="77777777" w:rsidR="002B008E" w:rsidRPr="00616646" w:rsidRDefault="002B008E" w:rsidP="00C2604A">
            <w:pPr>
              <w:pStyle w:val="Heading3"/>
              <w:tabs>
                <w:tab w:val="left" w:pos="853"/>
              </w:tabs>
              <w:spacing w:before="117"/>
              <w:ind w:left="852"/>
              <w:rPr>
                <w:b w:val="0"/>
                <w:bCs w:val="0"/>
                <w:lang w:val="en-US"/>
              </w:rPr>
            </w:pPr>
            <w:r w:rsidRPr="00D51F96">
              <w:rPr>
                <w:b w:val="0"/>
                <w:bCs w:val="0"/>
                <w:lang w:val="en-US"/>
              </w:rPr>
              <w:t xml:space="preserve">Agreements </w:t>
            </w:r>
            <w:r>
              <w:rPr>
                <w:b w:val="0"/>
                <w:bCs w:val="0"/>
                <w:lang w:val="en-US"/>
              </w:rPr>
              <w:t>o</w:t>
            </w:r>
            <w:r w:rsidRPr="00D51F96">
              <w:rPr>
                <w:b w:val="0"/>
                <w:bCs w:val="0"/>
                <w:lang w:val="en-US"/>
              </w:rPr>
              <w:t>bserved in 202</w:t>
            </w:r>
            <w:r>
              <w:rPr>
                <w:b w:val="0"/>
                <w:bCs w:val="0"/>
                <w:lang w:val="en-US"/>
              </w:rPr>
              <w:t>2</w:t>
            </w:r>
          </w:p>
        </w:tc>
      </w:tr>
      <w:tr w:rsidR="002B008E" w:rsidRPr="009B54FF" w14:paraId="48C72520" w14:textId="77777777" w:rsidTr="00C2604A">
        <w:trPr>
          <w:gridAfter w:val="1"/>
          <w:wAfter w:w="900" w:type="dxa"/>
          <w:trHeight w:hRule="exact" w:val="396"/>
        </w:trPr>
        <w:tc>
          <w:tcPr>
            <w:tcW w:w="1363" w:type="dxa"/>
          </w:tcPr>
          <w:p w14:paraId="3CF64539" w14:textId="77777777" w:rsidR="002B008E" w:rsidRDefault="002B008E" w:rsidP="00C2604A">
            <w:pPr>
              <w:tabs>
                <w:tab w:val="left" w:pos="794"/>
              </w:tabs>
              <w:ind w:left="524"/>
            </w:pPr>
            <w:r>
              <w:rPr>
                <w:rFonts w:ascii="Cambria"/>
                <w:spacing w:val="1"/>
                <w:sz w:val="22"/>
              </w:rPr>
              <w:t xml:space="preserve">     D.</w:t>
            </w:r>
          </w:p>
        </w:tc>
        <w:tc>
          <w:tcPr>
            <w:tcW w:w="7442" w:type="dxa"/>
          </w:tcPr>
          <w:p w14:paraId="4ECA7A6A" w14:textId="77777777" w:rsidR="002B008E" w:rsidRPr="00CA4630" w:rsidRDefault="002B008E" w:rsidP="00C2604A">
            <w:pPr>
              <w:ind w:left="139"/>
              <w:rPr>
                <w:rFonts w:ascii="Cambria" w:eastAsia="Calibri" w:hAnsi="Cambria" w:cs="Cambria"/>
                <w:position w:val="-1"/>
                <w:sz w:val="22"/>
                <w:szCs w:val="22"/>
              </w:rPr>
            </w:pPr>
            <w:r w:rsidRPr="00517979">
              <w:rPr>
                <w:rFonts w:ascii="Cambria" w:eastAsia="Calibri" w:hAnsi="Cambria" w:cs="Cambria"/>
                <w:position w:val="-1"/>
                <w:sz w:val="22"/>
                <w:szCs w:val="22"/>
              </w:rPr>
              <w:t>Cases before the Inter-American Court of Human Rights</w:t>
            </w:r>
            <w:r w:rsidRPr="00CA4630">
              <w:rPr>
                <w:rFonts w:ascii="Cambria" w:eastAsia="Calibri" w:hAnsi="Cambria" w:cs="Cambria"/>
                <w:position w:val="-1"/>
                <w:sz w:val="22"/>
                <w:szCs w:val="22"/>
              </w:rPr>
              <w:t xml:space="preserve"> </w:t>
            </w:r>
          </w:p>
        </w:tc>
      </w:tr>
      <w:tr w:rsidR="002B008E" w:rsidRPr="009B54FF" w14:paraId="2F4048FB" w14:textId="77777777" w:rsidTr="00C2604A">
        <w:trPr>
          <w:gridAfter w:val="1"/>
          <w:wAfter w:w="900" w:type="dxa"/>
          <w:trHeight w:hRule="exact" w:val="451"/>
        </w:trPr>
        <w:tc>
          <w:tcPr>
            <w:tcW w:w="1363" w:type="dxa"/>
          </w:tcPr>
          <w:p w14:paraId="1AE816B1" w14:textId="77777777" w:rsidR="002B008E" w:rsidRDefault="002B008E" w:rsidP="00C2604A">
            <w:pPr>
              <w:tabs>
                <w:tab w:val="left" w:pos="794"/>
              </w:tabs>
              <w:ind w:left="524"/>
              <w:rPr>
                <w:rFonts w:ascii="Cambria"/>
                <w:spacing w:val="1"/>
                <w:sz w:val="22"/>
              </w:rPr>
            </w:pPr>
          </w:p>
        </w:tc>
        <w:tc>
          <w:tcPr>
            <w:tcW w:w="7442" w:type="dxa"/>
          </w:tcPr>
          <w:p w14:paraId="54BB4483" w14:textId="77777777" w:rsidR="002B008E" w:rsidRPr="00CA4630" w:rsidRDefault="002B008E" w:rsidP="00C2604A">
            <w:pPr>
              <w:ind w:left="859" w:hanging="720"/>
              <w:rPr>
                <w:rFonts w:ascii="Cambria" w:eastAsia="Calibri" w:hAnsi="Cambria" w:cs="Cambria"/>
                <w:position w:val="-1"/>
                <w:sz w:val="22"/>
                <w:szCs w:val="22"/>
              </w:rPr>
            </w:pPr>
            <w:r w:rsidRPr="00A100EE">
              <w:rPr>
                <w:rFonts w:ascii="Cambria" w:eastAsia="Calibri" w:hAnsi="Cambria" w:cs="Cambria"/>
                <w:position w:val="-1"/>
                <w:sz w:val="22"/>
                <w:szCs w:val="22"/>
              </w:rPr>
              <w:t>1.</w:t>
            </w:r>
            <w:r w:rsidRPr="00A100EE">
              <w:rPr>
                <w:rFonts w:ascii="Cambria" w:eastAsia="Calibri" w:hAnsi="Cambria" w:cs="Cambria"/>
                <w:position w:val="-1"/>
                <w:sz w:val="22"/>
                <w:szCs w:val="22"/>
              </w:rPr>
              <w:tab/>
            </w:r>
            <w:r w:rsidRPr="00651C8F">
              <w:rPr>
                <w:rFonts w:ascii="Cambria" w:eastAsia="Calibri" w:hAnsi="Cambria" w:cs="Cambria"/>
                <w:position w:val="-1"/>
                <w:sz w:val="22"/>
                <w:szCs w:val="22"/>
              </w:rPr>
              <w:t>Submission of Contentious Cases</w:t>
            </w:r>
            <w:r w:rsidRPr="00A100EE">
              <w:rPr>
                <w:rFonts w:ascii="Cambria" w:eastAsia="Calibri" w:hAnsi="Cambria" w:cs="Cambria"/>
                <w:position w:val="-1"/>
                <w:sz w:val="22"/>
                <w:szCs w:val="22"/>
              </w:rPr>
              <w:t xml:space="preserve"> </w:t>
            </w:r>
          </w:p>
        </w:tc>
      </w:tr>
      <w:tr w:rsidR="002B008E" w:rsidRPr="009B54FF" w14:paraId="0BCCEDE5" w14:textId="77777777" w:rsidTr="00C2604A">
        <w:trPr>
          <w:gridAfter w:val="1"/>
          <w:wAfter w:w="900" w:type="dxa"/>
          <w:trHeight w:hRule="exact" w:val="550"/>
        </w:trPr>
        <w:tc>
          <w:tcPr>
            <w:tcW w:w="1363" w:type="dxa"/>
          </w:tcPr>
          <w:p w14:paraId="503C9488" w14:textId="77777777" w:rsidR="002B008E" w:rsidRDefault="002B008E" w:rsidP="00C2604A">
            <w:pPr>
              <w:tabs>
                <w:tab w:val="left" w:pos="794"/>
              </w:tabs>
              <w:ind w:left="524"/>
              <w:rPr>
                <w:rFonts w:ascii="Cambria"/>
                <w:spacing w:val="1"/>
                <w:sz w:val="22"/>
              </w:rPr>
            </w:pPr>
          </w:p>
        </w:tc>
        <w:tc>
          <w:tcPr>
            <w:tcW w:w="7442" w:type="dxa"/>
          </w:tcPr>
          <w:p w14:paraId="3F1B0CF5" w14:textId="77777777" w:rsidR="002B008E" w:rsidRPr="00A100EE" w:rsidRDefault="002B008E" w:rsidP="00C2604A">
            <w:pPr>
              <w:ind w:left="859" w:hanging="720"/>
              <w:rPr>
                <w:rFonts w:ascii="Cambria" w:eastAsia="Calibri" w:hAnsi="Cambria" w:cs="Cambria"/>
                <w:position w:val="-1"/>
                <w:sz w:val="22"/>
                <w:szCs w:val="22"/>
              </w:rPr>
            </w:pPr>
            <w:r w:rsidRPr="006D7773">
              <w:rPr>
                <w:rFonts w:ascii="Cambria" w:eastAsia="Calibri" w:hAnsi="Cambria" w:cs="Cambria"/>
                <w:position w:val="-1"/>
                <w:sz w:val="22"/>
                <w:szCs w:val="22"/>
              </w:rPr>
              <w:t>2.</w:t>
            </w:r>
            <w:r w:rsidRPr="006D7773">
              <w:rPr>
                <w:rFonts w:ascii="Cambria" w:eastAsia="Calibri" w:hAnsi="Cambria" w:cs="Cambria"/>
                <w:position w:val="-1"/>
                <w:sz w:val="22"/>
                <w:szCs w:val="22"/>
              </w:rPr>
              <w:tab/>
            </w:r>
            <w:r w:rsidRPr="00651C8F">
              <w:rPr>
                <w:rFonts w:ascii="Cambria" w:eastAsia="Calibri" w:hAnsi="Cambria" w:cs="Cambria"/>
                <w:position w:val="-1"/>
                <w:sz w:val="22"/>
                <w:szCs w:val="22"/>
              </w:rPr>
              <w:t>Requests for an Advisory Opinion</w:t>
            </w:r>
            <w:r w:rsidRPr="006D7773">
              <w:rPr>
                <w:rFonts w:ascii="Cambria" w:eastAsia="Calibri" w:hAnsi="Cambria" w:cs="Cambria"/>
                <w:position w:val="-1"/>
                <w:sz w:val="22"/>
                <w:szCs w:val="22"/>
              </w:rPr>
              <w:t xml:space="preserve"> </w:t>
            </w:r>
          </w:p>
        </w:tc>
      </w:tr>
      <w:tr w:rsidR="002B008E" w:rsidRPr="009B54FF" w14:paraId="2E6AFEA9" w14:textId="77777777" w:rsidTr="00C2604A">
        <w:trPr>
          <w:gridAfter w:val="1"/>
          <w:wAfter w:w="900" w:type="dxa"/>
          <w:trHeight w:hRule="exact" w:val="550"/>
        </w:trPr>
        <w:tc>
          <w:tcPr>
            <w:tcW w:w="1363" w:type="dxa"/>
          </w:tcPr>
          <w:p w14:paraId="4FCF2A54" w14:textId="77777777" w:rsidR="002B008E" w:rsidRDefault="002B008E" w:rsidP="00C2604A">
            <w:pPr>
              <w:tabs>
                <w:tab w:val="left" w:pos="794"/>
              </w:tabs>
              <w:ind w:left="524"/>
              <w:rPr>
                <w:rFonts w:ascii="Cambria"/>
                <w:spacing w:val="1"/>
                <w:sz w:val="22"/>
              </w:rPr>
            </w:pPr>
          </w:p>
        </w:tc>
        <w:tc>
          <w:tcPr>
            <w:tcW w:w="7442" w:type="dxa"/>
          </w:tcPr>
          <w:p w14:paraId="5997C4F0" w14:textId="77777777" w:rsidR="002B008E" w:rsidRPr="006D7773" w:rsidRDefault="002B008E" w:rsidP="00C2604A">
            <w:pPr>
              <w:ind w:left="859" w:hanging="720"/>
              <w:rPr>
                <w:rFonts w:ascii="Cambria" w:eastAsia="Calibri" w:hAnsi="Cambria" w:cs="Cambria"/>
                <w:position w:val="-1"/>
                <w:sz w:val="22"/>
                <w:szCs w:val="22"/>
              </w:rPr>
            </w:pPr>
            <w:r w:rsidRPr="00B87CF0">
              <w:rPr>
                <w:rFonts w:ascii="Cambria" w:eastAsia="Calibri" w:hAnsi="Cambria" w:cs="Cambria"/>
                <w:position w:val="-1"/>
                <w:sz w:val="22"/>
                <w:szCs w:val="22"/>
              </w:rPr>
              <w:t>3.</w:t>
            </w:r>
            <w:r w:rsidRPr="00B87CF0">
              <w:rPr>
                <w:rFonts w:ascii="Cambria" w:eastAsia="Calibri" w:hAnsi="Cambria" w:cs="Cambria"/>
                <w:position w:val="-1"/>
                <w:sz w:val="22"/>
                <w:szCs w:val="22"/>
              </w:rPr>
              <w:tab/>
            </w:r>
            <w:r w:rsidRPr="00A35475">
              <w:rPr>
                <w:rFonts w:ascii="Cambria" w:eastAsia="Calibri" w:hAnsi="Cambria" w:cs="Cambria"/>
                <w:position w:val="-1"/>
                <w:sz w:val="22"/>
                <w:szCs w:val="22"/>
              </w:rPr>
              <w:t>Submission of written observations in pending cases and in cases of supervision of compliance with judgment</w:t>
            </w:r>
          </w:p>
        </w:tc>
      </w:tr>
      <w:tr w:rsidR="002B008E" w:rsidRPr="009B54FF" w14:paraId="3AA02B81" w14:textId="77777777" w:rsidTr="00C2604A">
        <w:trPr>
          <w:gridAfter w:val="1"/>
          <w:wAfter w:w="900" w:type="dxa"/>
          <w:trHeight w:hRule="exact" w:val="423"/>
        </w:trPr>
        <w:tc>
          <w:tcPr>
            <w:tcW w:w="1363" w:type="dxa"/>
          </w:tcPr>
          <w:p w14:paraId="59B85A35" w14:textId="77777777" w:rsidR="002B008E" w:rsidRDefault="002B008E" w:rsidP="00C2604A">
            <w:pPr>
              <w:tabs>
                <w:tab w:val="left" w:pos="794"/>
              </w:tabs>
              <w:ind w:left="524"/>
              <w:rPr>
                <w:rFonts w:ascii="Cambria"/>
                <w:spacing w:val="1"/>
                <w:sz w:val="22"/>
              </w:rPr>
            </w:pPr>
          </w:p>
        </w:tc>
        <w:tc>
          <w:tcPr>
            <w:tcW w:w="7442" w:type="dxa"/>
          </w:tcPr>
          <w:p w14:paraId="106981AB" w14:textId="77777777" w:rsidR="002B008E" w:rsidRPr="00B87CF0" w:rsidRDefault="002B008E" w:rsidP="00C2604A">
            <w:pPr>
              <w:ind w:left="859" w:hanging="720"/>
              <w:rPr>
                <w:rFonts w:ascii="Cambria" w:eastAsia="Calibri" w:hAnsi="Cambria" w:cs="Cambria"/>
                <w:position w:val="-1"/>
                <w:sz w:val="22"/>
                <w:szCs w:val="22"/>
              </w:rPr>
            </w:pPr>
            <w:r>
              <w:rPr>
                <w:rFonts w:ascii="Cambria" w:eastAsia="Calibri" w:hAnsi="Cambria" w:cs="Cambria"/>
                <w:position w:val="-1"/>
                <w:sz w:val="22"/>
                <w:szCs w:val="22"/>
              </w:rPr>
              <w:t>4</w:t>
            </w:r>
            <w:r w:rsidRPr="009A2508">
              <w:rPr>
                <w:rFonts w:ascii="Cambria" w:eastAsia="Calibri" w:hAnsi="Cambria" w:cs="Cambria"/>
                <w:position w:val="-1"/>
                <w:sz w:val="22"/>
                <w:szCs w:val="22"/>
              </w:rPr>
              <w:t>.</w:t>
            </w:r>
            <w:r w:rsidRPr="009A2508">
              <w:rPr>
                <w:rFonts w:ascii="Cambria" w:eastAsia="Calibri" w:hAnsi="Cambria" w:cs="Cambria"/>
                <w:position w:val="-1"/>
                <w:sz w:val="22"/>
                <w:szCs w:val="22"/>
              </w:rPr>
              <w:tab/>
            </w:r>
            <w:r w:rsidRPr="00651C8F">
              <w:rPr>
                <w:rFonts w:ascii="Cambria" w:eastAsia="Calibri" w:hAnsi="Cambria" w:cs="Cambria"/>
                <w:position w:val="-1"/>
                <w:sz w:val="22"/>
                <w:szCs w:val="22"/>
              </w:rPr>
              <w:t>Appearances and Participation in Public and Private Hearings</w:t>
            </w:r>
            <w:r w:rsidRPr="009A2508">
              <w:rPr>
                <w:rFonts w:ascii="Cambria" w:eastAsia="Calibri" w:hAnsi="Cambria" w:cs="Cambria"/>
                <w:position w:val="-1"/>
                <w:sz w:val="22"/>
                <w:szCs w:val="22"/>
              </w:rPr>
              <w:t xml:space="preserve"> </w:t>
            </w:r>
          </w:p>
        </w:tc>
      </w:tr>
      <w:tr w:rsidR="002B008E" w:rsidRPr="009B54FF" w14:paraId="7B1B68CC" w14:textId="77777777" w:rsidTr="00C2604A">
        <w:trPr>
          <w:gridAfter w:val="1"/>
          <w:wAfter w:w="900" w:type="dxa"/>
          <w:trHeight w:hRule="exact" w:val="550"/>
        </w:trPr>
        <w:tc>
          <w:tcPr>
            <w:tcW w:w="1363" w:type="dxa"/>
          </w:tcPr>
          <w:p w14:paraId="2DB1B80D" w14:textId="77777777" w:rsidR="002B008E" w:rsidRDefault="002B008E" w:rsidP="00C2604A">
            <w:pPr>
              <w:tabs>
                <w:tab w:val="left" w:pos="794"/>
              </w:tabs>
              <w:ind w:left="524"/>
              <w:rPr>
                <w:rFonts w:ascii="Cambria"/>
                <w:spacing w:val="1"/>
                <w:sz w:val="22"/>
              </w:rPr>
            </w:pPr>
            <w:r>
              <w:rPr>
                <w:rFonts w:ascii="Cambria"/>
                <w:spacing w:val="1"/>
                <w:sz w:val="22"/>
              </w:rPr>
              <w:t xml:space="preserve">     E.</w:t>
            </w:r>
          </w:p>
        </w:tc>
        <w:tc>
          <w:tcPr>
            <w:tcW w:w="7442" w:type="dxa"/>
          </w:tcPr>
          <w:p w14:paraId="15EE8971" w14:textId="77777777" w:rsidR="002B008E" w:rsidRDefault="002B008E" w:rsidP="00C2604A">
            <w:pPr>
              <w:ind w:left="859" w:hanging="720"/>
              <w:rPr>
                <w:rFonts w:ascii="Cambria" w:eastAsia="Calibri" w:hAnsi="Cambria" w:cs="Cambria"/>
                <w:position w:val="-1"/>
                <w:sz w:val="22"/>
                <w:szCs w:val="22"/>
              </w:rPr>
            </w:pPr>
            <w:r w:rsidRPr="00CA4630">
              <w:rPr>
                <w:rFonts w:ascii="Cambria" w:eastAsia="Calibri" w:hAnsi="Cambria" w:cs="Cambria"/>
                <w:position w:val="-1"/>
                <w:sz w:val="22"/>
                <w:szCs w:val="22"/>
              </w:rPr>
              <w:t>Status of Compliance with the Recommendations Issued by the IACHR</w:t>
            </w:r>
            <w:r>
              <w:rPr>
                <w:rFonts w:ascii="Cambria" w:eastAsia="Calibri" w:hAnsi="Cambria" w:cs="Cambria"/>
                <w:position w:val="-1"/>
                <w:sz w:val="22"/>
                <w:szCs w:val="22"/>
              </w:rPr>
              <w:t xml:space="preserve"> </w:t>
            </w:r>
            <w:r w:rsidRPr="009B54FF">
              <w:rPr>
                <w:rFonts w:ascii="Cambria" w:eastAsia="Calibri" w:hAnsi="Cambria" w:cs="Cambria"/>
                <w:position w:val="-1"/>
                <w:sz w:val="22"/>
                <w:szCs w:val="22"/>
              </w:rPr>
              <w:t>in Merits Reports</w:t>
            </w:r>
          </w:p>
        </w:tc>
      </w:tr>
      <w:tr w:rsidR="002B008E" w:rsidRPr="009B54FF" w14:paraId="06F0EC8F" w14:textId="77777777" w:rsidTr="00C2604A">
        <w:trPr>
          <w:gridAfter w:val="1"/>
          <w:wAfter w:w="900" w:type="dxa"/>
          <w:trHeight w:hRule="exact" w:val="550"/>
        </w:trPr>
        <w:tc>
          <w:tcPr>
            <w:tcW w:w="1363" w:type="dxa"/>
          </w:tcPr>
          <w:p w14:paraId="65905584" w14:textId="77777777" w:rsidR="002B008E" w:rsidRDefault="002B008E" w:rsidP="00C2604A">
            <w:pPr>
              <w:tabs>
                <w:tab w:val="left" w:pos="794"/>
              </w:tabs>
              <w:ind w:left="524"/>
              <w:rPr>
                <w:rFonts w:ascii="Cambria"/>
                <w:spacing w:val="1"/>
                <w:sz w:val="22"/>
              </w:rPr>
            </w:pPr>
          </w:p>
        </w:tc>
        <w:tc>
          <w:tcPr>
            <w:tcW w:w="7442" w:type="dxa"/>
          </w:tcPr>
          <w:p w14:paraId="6D2D8915" w14:textId="77777777" w:rsidR="002B008E" w:rsidRPr="00517979" w:rsidRDefault="002B008E" w:rsidP="00C2604A">
            <w:pPr>
              <w:ind w:left="859" w:hanging="720"/>
              <w:rPr>
                <w:rFonts w:ascii="Cambria" w:eastAsia="Calibri" w:hAnsi="Cambria" w:cs="Cambria"/>
                <w:position w:val="-1"/>
                <w:sz w:val="22"/>
                <w:szCs w:val="22"/>
              </w:rPr>
            </w:pPr>
            <w:r w:rsidRPr="00651C8F">
              <w:rPr>
                <w:rFonts w:ascii="Cambria" w:eastAsia="Calibri" w:hAnsi="Cambria" w:cs="Cambria"/>
                <w:position w:val="-1"/>
                <w:sz w:val="22"/>
                <w:szCs w:val="22"/>
              </w:rPr>
              <w:t>1.</w:t>
            </w:r>
            <w:r w:rsidRPr="00651C8F">
              <w:rPr>
                <w:rFonts w:ascii="Cambria" w:eastAsia="Calibri" w:hAnsi="Cambria" w:cs="Cambria"/>
                <w:position w:val="-1"/>
                <w:sz w:val="22"/>
                <w:szCs w:val="22"/>
              </w:rPr>
              <w:tab/>
            </w:r>
            <w:r w:rsidRPr="00A100EE">
              <w:rPr>
                <w:rFonts w:ascii="Cambria" w:eastAsia="Calibri" w:hAnsi="Cambria" w:cs="Cambria"/>
                <w:position w:val="-1"/>
                <w:sz w:val="22"/>
                <w:szCs w:val="22"/>
              </w:rPr>
              <w:t>IACHR'S Mandate to Follow-up on its Recommendations</w:t>
            </w:r>
          </w:p>
        </w:tc>
      </w:tr>
      <w:tr w:rsidR="002B008E" w:rsidRPr="009B54FF" w14:paraId="624F4234" w14:textId="77777777" w:rsidTr="00C2604A">
        <w:trPr>
          <w:gridAfter w:val="1"/>
          <w:wAfter w:w="900" w:type="dxa"/>
          <w:trHeight w:hRule="exact" w:val="550"/>
        </w:trPr>
        <w:tc>
          <w:tcPr>
            <w:tcW w:w="1363" w:type="dxa"/>
          </w:tcPr>
          <w:p w14:paraId="63AFDC39" w14:textId="77777777" w:rsidR="002B008E" w:rsidRDefault="002B008E" w:rsidP="00C2604A">
            <w:pPr>
              <w:tabs>
                <w:tab w:val="left" w:pos="794"/>
              </w:tabs>
              <w:ind w:left="524"/>
              <w:rPr>
                <w:rFonts w:ascii="Cambria"/>
                <w:spacing w:val="1"/>
                <w:sz w:val="22"/>
              </w:rPr>
            </w:pPr>
          </w:p>
        </w:tc>
        <w:tc>
          <w:tcPr>
            <w:tcW w:w="7442" w:type="dxa"/>
          </w:tcPr>
          <w:p w14:paraId="6CA07256" w14:textId="77777777" w:rsidR="002B008E" w:rsidRPr="00517979" w:rsidRDefault="002B008E" w:rsidP="00C2604A">
            <w:pPr>
              <w:ind w:left="859" w:hanging="720"/>
              <w:rPr>
                <w:rFonts w:ascii="Cambria" w:eastAsia="Calibri" w:hAnsi="Cambria" w:cs="Cambria"/>
                <w:position w:val="-1"/>
                <w:sz w:val="22"/>
                <w:szCs w:val="22"/>
              </w:rPr>
            </w:pPr>
            <w:r w:rsidRPr="00651C8F">
              <w:rPr>
                <w:rFonts w:ascii="Cambria" w:eastAsia="Calibri" w:hAnsi="Cambria" w:cs="Cambria"/>
                <w:position w:val="-1"/>
                <w:sz w:val="22"/>
                <w:szCs w:val="22"/>
              </w:rPr>
              <w:t>2.</w:t>
            </w:r>
            <w:r w:rsidRPr="00651C8F">
              <w:rPr>
                <w:rFonts w:ascii="Cambria" w:eastAsia="Calibri" w:hAnsi="Cambria" w:cs="Cambria"/>
                <w:position w:val="-1"/>
                <w:sz w:val="22"/>
                <w:szCs w:val="22"/>
              </w:rPr>
              <w:tab/>
            </w:r>
            <w:r w:rsidRPr="006D7773">
              <w:rPr>
                <w:rFonts w:ascii="Cambria" w:eastAsia="Calibri" w:hAnsi="Cambria" w:cs="Cambria"/>
                <w:position w:val="-1"/>
                <w:sz w:val="22"/>
                <w:szCs w:val="22"/>
              </w:rPr>
              <w:t>Methodology for Follow-up on Recommendations Carried out</w:t>
            </w:r>
            <w:r>
              <w:rPr>
                <w:rFonts w:ascii="Cambria" w:eastAsia="Calibri" w:hAnsi="Cambria" w:cs="Cambria"/>
                <w:position w:val="-1"/>
                <w:sz w:val="22"/>
                <w:szCs w:val="22"/>
              </w:rPr>
              <w:t xml:space="preserve"> </w:t>
            </w:r>
            <w:r w:rsidRPr="006D7773">
              <w:rPr>
                <w:rFonts w:ascii="Cambria" w:eastAsia="Calibri" w:hAnsi="Cambria" w:cs="Cambria"/>
                <w:position w:val="-1"/>
                <w:sz w:val="22"/>
                <w:szCs w:val="22"/>
              </w:rPr>
              <w:t>during the Year 202</w:t>
            </w:r>
            <w:r>
              <w:rPr>
                <w:rFonts w:ascii="Cambria" w:eastAsia="Calibri" w:hAnsi="Cambria" w:cs="Cambria"/>
                <w:position w:val="-1"/>
                <w:sz w:val="22"/>
                <w:szCs w:val="22"/>
              </w:rPr>
              <w:t>2</w:t>
            </w:r>
          </w:p>
        </w:tc>
      </w:tr>
      <w:tr w:rsidR="002B008E" w:rsidRPr="009B54FF" w14:paraId="62C03A4D" w14:textId="77777777" w:rsidTr="00C2604A">
        <w:trPr>
          <w:gridAfter w:val="1"/>
          <w:wAfter w:w="900" w:type="dxa"/>
          <w:trHeight w:hRule="exact" w:val="550"/>
        </w:trPr>
        <w:tc>
          <w:tcPr>
            <w:tcW w:w="1363" w:type="dxa"/>
          </w:tcPr>
          <w:p w14:paraId="15ABB390" w14:textId="77777777" w:rsidR="002B008E" w:rsidRDefault="002B008E" w:rsidP="00C2604A">
            <w:pPr>
              <w:tabs>
                <w:tab w:val="left" w:pos="794"/>
              </w:tabs>
              <w:ind w:left="524"/>
              <w:rPr>
                <w:rFonts w:ascii="Cambria"/>
                <w:spacing w:val="1"/>
                <w:sz w:val="22"/>
              </w:rPr>
            </w:pPr>
          </w:p>
        </w:tc>
        <w:tc>
          <w:tcPr>
            <w:tcW w:w="7442" w:type="dxa"/>
          </w:tcPr>
          <w:p w14:paraId="771459A6" w14:textId="77777777" w:rsidR="002B008E" w:rsidRPr="00517979" w:rsidRDefault="002B008E" w:rsidP="00C2604A">
            <w:pPr>
              <w:ind w:left="859" w:hanging="720"/>
              <w:rPr>
                <w:rFonts w:ascii="Cambria" w:eastAsia="Calibri" w:hAnsi="Cambria" w:cs="Cambria"/>
                <w:position w:val="-1"/>
                <w:sz w:val="22"/>
                <w:szCs w:val="22"/>
              </w:rPr>
            </w:pPr>
            <w:r w:rsidRPr="00651C8F">
              <w:rPr>
                <w:rFonts w:ascii="Cambria" w:eastAsia="Calibri" w:hAnsi="Cambria" w:cs="Cambria"/>
                <w:position w:val="-1"/>
                <w:sz w:val="22"/>
                <w:szCs w:val="22"/>
              </w:rPr>
              <w:t>3.</w:t>
            </w:r>
            <w:r w:rsidRPr="00651C8F">
              <w:rPr>
                <w:rFonts w:ascii="Cambria" w:eastAsia="Calibri" w:hAnsi="Cambria" w:cs="Cambria"/>
                <w:position w:val="-1"/>
                <w:sz w:val="22"/>
                <w:szCs w:val="22"/>
              </w:rPr>
              <w:tab/>
            </w:r>
            <w:r w:rsidRPr="00B87CF0">
              <w:rPr>
                <w:rFonts w:ascii="Cambria" w:eastAsia="Calibri" w:hAnsi="Cambria" w:cs="Cambria"/>
                <w:position w:val="-1"/>
                <w:sz w:val="22"/>
                <w:szCs w:val="22"/>
              </w:rPr>
              <w:t>Status of Compliance with the Merits Reports published pursuant</w:t>
            </w:r>
            <w:r>
              <w:rPr>
                <w:rFonts w:ascii="Cambria" w:eastAsia="Calibri" w:hAnsi="Cambria" w:cs="Cambria"/>
                <w:position w:val="-1"/>
                <w:sz w:val="22"/>
                <w:szCs w:val="22"/>
              </w:rPr>
              <w:t xml:space="preserve"> </w:t>
            </w:r>
            <w:r w:rsidRPr="00B87CF0">
              <w:rPr>
                <w:rFonts w:ascii="Cambria" w:eastAsia="Calibri" w:hAnsi="Cambria" w:cs="Cambria"/>
                <w:position w:val="-1"/>
                <w:sz w:val="22"/>
                <w:szCs w:val="22"/>
              </w:rPr>
              <w:t>Article 51 of the American Convention on Human Rights</w:t>
            </w:r>
          </w:p>
        </w:tc>
      </w:tr>
      <w:tr w:rsidR="002B008E" w:rsidRPr="009B54FF" w14:paraId="613C4E01" w14:textId="77777777" w:rsidTr="00C2604A">
        <w:trPr>
          <w:gridAfter w:val="1"/>
          <w:wAfter w:w="900" w:type="dxa"/>
          <w:trHeight w:hRule="exact" w:val="550"/>
        </w:trPr>
        <w:tc>
          <w:tcPr>
            <w:tcW w:w="1363" w:type="dxa"/>
          </w:tcPr>
          <w:p w14:paraId="038985B3" w14:textId="77777777" w:rsidR="002B008E" w:rsidRPr="005B36F4" w:rsidRDefault="002B008E" w:rsidP="00C2604A">
            <w:pPr>
              <w:ind w:left="859" w:hanging="720"/>
              <w:rPr>
                <w:rFonts w:ascii="Cambria" w:eastAsia="Calibri" w:hAnsi="Cambria" w:cs="Cambria"/>
                <w:position w:val="-1"/>
                <w:sz w:val="22"/>
                <w:szCs w:val="22"/>
              </w:rPr>
            </w:pPr>
          </w:p>
        </w:tc>
        <w:tc>
          <w:tcPr>
            <w:tcW w:w="7442" w:type="dxa"/>
          </w:tcPr>
          <w:p w14:paraId="4DDAE2D1" w14:textId="77777777" w:rsidR="002B008E" w:rsidRPr="00DE68CF" w:rsidRDefault="002B008E" w:rsidP="00933F91">
            <w:pPr>
              <w:pStyle w:val="ListParagraph"/>
              <w:numPr>
                <w:ilvl w:val="0"/>
                <w:numId w:val="85"/>
              </w:numPr>
              <w:rPr>
                <w:rFonts w:ascii="Cambria" w:eastAsia="Calibri" w:hAnsi="Cambria" w:cs="Cambria"/>
                <w:position w:val="-1"/>
                <w:sz w:val="22"/>
                <w:szCs w:val="22"/>
              </w:rPr>
            </w:pPr>
            <w:r w:rsidRPr="00DE68CF">
              <w:rPr>
                <w:rFonts w:ascii="Cambria" w:eastAsia="Calibri" w:hAnsi="Cambria" w:cs="Cambria"/>
                <w:position w:val="-1"/>
                <w:sz w:val="22"/>
                <w:szCs w:val="22"/>
              </w:rPr>
              <w:t>Activities Conducted as part of the Follow-up Process in 2022</w:t>
            </w:r>
          </w:p>
        </w:tc>
      </w:tr>
      <w:tr w:rsidR="002B008E" w:rsidRPr="009B54FF" w14:paraId="6E322EBB" w14:textId="77777777" w:rsidTr="00C2604A">
        <w:trPr>
          <w:gridAfter w:val="1"/>
          <w:wAfter w:w="900" w:type="dxa"/>
          <w:trHeight w:hRule="exact" w:val="550"/>
        </w:trPr>
        <w:tc>
          <w:tcPr>
            <w:tcW w:w="1363" w:type="dxa"/>
          </w:tcPr>
          <w:p w14:paraId="618973A6" w14:textId="77777777" w:rsidR="002B008E" w:rsidRDefault="002B008E" w:rsidP="00C2604A">
            <w:pPr>
              <w:tabs>
                <w:tab w:val="left" w:pos="794"/>
              </w:tabs>
              <w:ind w:left="524"/>
              <w:rPr>
                <w:rFonts w:ascii="Cambria"/>
                <w:spacing w:val="1"/>
                <w:sz w:val="22"/>
              </w:rPr>
            </w:pPr>
          </w:p>
        </w:tc>
        <w:tc>
          <w:tcPr>
            <w:tcW w:w="7442" w:type="dxa"/>
          </w:tcPr>
          <w:p w14:paraId="712687BC" w14:textId="77777777" w:rsidR="002B008E" w:rsidRPr="00651C8F" w:rsidRDefault="002B008E" w:rsidP="00C2604A">
            <w:pPr>
              <w:ind w:left="859" w:hanging="720"/>
              <w:rPr>
                <w:rFonts w:ascii="Cambria" w:eastAsia="Calibri" w:hAnsi="Cambria" w:cs="Cambria"/>
                <w:position w:val="-1"/>
                <w:sz w:val="22"/>
                <w:szCs w:val="22"/>
              </w:rPr>
            </w:pPr>
            <w:r>
              <w:rPr>
                <w:rFonts w:ascii="Cambria" w:eastAsia="Calibri" w:hAnsi="Cambria" w:cs="Cambria"/>
                <w:position w:val="-1"/>
                <w:sz w:val="22"/>
                <w:szCs w:val="22"/>
              </w:rPr>
              <w:t>5</w:t>
            </w:r>
            <w:r w:rsidRPr="00BE2695">
              <w:rPr>
                <w:rFonts w:ascii="Cambria" w:eastAsia="Calibri" w:hAnsi="Cambria" w:cs="Cambria"/>
                <w:position w:val="-1"/>
                <w:sz w:val="22"/>
                <w:szCs w:val="22"/>
              </w:rPr>
              <w:t>.</w:t>
            </w:r>
            <w:r w:rsidRPr="00BE2695">
              <w:rPr>
                <w:rFonts w:ascii="Cambria" w:eastAsia="Calibri" w:hAnsi="Cambria" w:cs="Cambria"/>
                <w:position w:val="-1"/>
                <w:sz w:val="22"/>
                <w:szCs w:val="22"/>
              </w:rPr>
              <w:tab/>
              <w:t>Relevant Results</w:t>
            </w:r>
          </w:p>
        </w:tc>
      </w:tr>
      <w:tr w:rsidR="002B008E" w:rsidRPr="009B54FF" w14:paraId="51B35D07" w14:textId="77777777" w:rsidTr="00C2604A">
        <w:trPr>
          <w:gridAfter w:val="1"/>
          <w:wAfter w:w="900" w:type="dxa"/>
          <w:trHeight w:hRule="exact" w:val="550"/>
        </w:trPr>
        <w:tc>
          <w:tcPr>
            <w:tcW w:w="1363" w:type="dxa"/>
          </w:tcPr>
          <w:p w14:paraId="1637AA75" w14:textId="77777777" w:rsidR="002B008E" w:rsidRDefault="002B008E" w:rsidP="00C2604A">
            <w:pPr>
              <w:tabs>
                <w:tab w:val="left" w:pos="794"/>
              </w:tabs>
              <w:ind w:left="524"/>
              <w:rPr>
                <w:rFonts w:ascii="Cambria"/>
                <w:spacing w:val="1"/>
                <w:sz w:val="22"/>
              </w:rPr>
            </w:pPr>
            <w:r>
              <w:rPr>
                <w:rFonts w:ascii="Cambria" w:eastAsia="Calibri" w:hAnsi="Cambria" w:cs="Cambria"/>
                <w:position w:val="-1"/>
                <w:sz w:val="22"/>
                <w:szCs w:val="22"/>
              </w:rPr>
              <w:t xml:space="preserve">     F</w:t>
            </w:r>
            <w:r w:rsidRPr="00921618">
              <w:rPr>
                <w:rFonts w:ascii="Cambria" w:eastAsia="Calibri" w:hAnsi="Cambria" w:cs="Cambria"/>
                <w:position w:val="-1"/>
                <w:sz w:val="22"/>
                <w:szCs w:val="22"/>
              </w:rPr>
              <w:t>.</w:t>
            </w:r>
          </w:p>
        </w:tc>
        <w:tc>
          <w:tcPr>
            <w:tcW w:w="7442" w:type="dxa"/>
          </w:tcPr>
          <w:p w14:paraId="7092FAFB" w14:textId="77777777" w:rsidR="002B008E" w:rsidRPr="00651C8F" w:rsidRDefault="002B008E" w:rsidP="00C2604A">
            <w:pPr>
              <w:ind w:left="859" w:hanging="720"/>
              <w:rPr>
                <w:rFonts w:ascii="Cambria" w:eastAsia="Calibri" w:hAnsi="Cambria" w:cs="Cambria"/>
                <w:position w:val="-1"/>
                <w:sz w:val="22"/>
                <w:szCs w:val="22"/>
              </w:rPr>
            </w:pPr>
            <w:r w:rsidRPr="00921618">
              <w:rPr>
                <w:rFonts w:ascii="Cambria" w:eastAsia="Calibri" w:hAnsi="Cambria" w:cs="Cambria"/>
                <w:position w:val="-1"/>
                <w:sz w:val="22"/>
                <w:szCs w:val="22"/>
              </w:rPr>
              <w:t>Precautionary Measures</w:t>
            </w:r>
          </w:p>
        </w:tc>
      </w:tr>
      <w:tr w:rsidR="002B008E" w:rsidRPr="009B54FF" w14:paraId="44D0D2A3" w14:textId="77777777" w:rsidTr="00C2604A">
        <w:trPr>
          <w:gridAfter w:val="1"/>
          <w:wAfter w:w="900" w:type="dxa"/>
          <w:trHeight w:hRule="exact" w:val="550"/>
        </w:trPr>
        <w:tc>
          <w:tcPr>
            <w:tcW w:w="1363" w:type="dxa"/>
          </w:tcPr>
          <w:p w14:paraId="6904BA78" w14:textId="77777777" w:rsidR="002B008E" w:rsidRDefault="002B008E" w:rsidP="00C2604A">
            <w:pPr>
              <w:tabs>
                <w:tab w:val="left" w:pos="794"/>
              </w:tabs>
              <w:ind w:left="524"/>
              <w:rPr>
                <w:rFonts w:ascii="Cambria"/>
                <w:spacing w:val="1"/>
                <w:sz w:val="22"/>
              </w:rPr>
            </w:pPr>
          </w:p>
        </w:tc>
        <w:tc>
          <w:tcPr>
            <w:tcW w:w="7442" w:type="dxa"/>
          </w:tcPr>
          <w:p w14:paraId="75728121" w14:textId="77777777" w:rsidR="002B008E" w:rsidRPr="00651C8F" w:rsidRDefault="002B008E" w:rsidP="00C2604A">
            <w:pPr>
              <w:ind w:left="859" w:hanging="720"/>
              <w:rPr>
                <w:rFonts w:ascii="Cambria" w:eastAsia="Calibri" w:hAnsi="Cambria" w:cs="Cambria"/>
                <w:position w:val="-1"/>
                <w:sz w:val="22"/>
                <w:szCs w:val="22"/>
              </w:rPr>
            </w:pPr>
            <w:r w:rsidRPr="00921618">
              <w:rPr>
                <w:rFonts w:ascii="Cambria" w:eastAsia="Calibri" w:hAnsi="Cambria" w:cs="Cambria"/>
                <w:position w:val="-1"/>
                <w:sz w:val="22"/>
                <w:szCs w:val="22"/>
              </w:rPr>
              <w:t>1.</w:t>
            </w:r>
            <w:r w:rsidRPr="00921618">
              <w:rPr>
                <w:rFonts w:ascii="Cambria" w:eastAsia="Calibri" w:hAnsi="Cambria" w:cs="Cambria"/>
                <w:position w:val="-1"/>
                <w:sz w:val="22"/>
                <w:szCs w:val="22"/>
              </w:rPr>
              <w:tab/>
            </w:r>
            <w:r w:rsidRPr="00930893">
              <w:rPr>
                <w:rFonts w:ascii="Cambria" w:eastAsia="Calibri" w:hAnsi="Cambria" w:cs="Cambria"/>
                <w:position w:val="-1"/>
                <w:sz w:val="22"/>
                <w:szCs w:val="22"/>
              </w:rPr>
              <w:t>Requests for precautionary measures</w:t>
            </w:r>
          </w:p>
        </w:tc>
      </w:tr>
      <w:tr w:rsidR="002B008E" w:rsidRPr="009B54FF" w14:paraId="677F62C6" w14:textId="77777777" w:rsidTr="00C2604A">
        <w:trPr>
          <w:gridAfter w:val="1"/>
          <w:wAfter w:w="900" w:type="dxa"/>
          <w:trHeight w:hRule="exact" w:val="550"/>
        </w:trPr>
        <w:tc>
          <w:tcPr>
            <w:tcW w:w="1363" w:type="dxa"/>
          </w:tcPr>
          <w:p w14:paraId="1A2D969A" w14:textId="77777777" w:rsidR="002B008E" w:rsidRDefault="002B008E" w:rsidP="00C2604A">
            <w:pPr>
              <w:tabs>
                <w:tab w:val="left" w:pos="794"/>
              </w:tabs>
              <w:ind w:left="524"/>
              <w:rPr>
                <w:rFonts w:ascii="Cambria"/>
                <w:spacing w:val="1"/>
                <w:sz w:val="22"/>
              </w:rPr>
            </w:pPr>
          </w:p>
        </w:tc>
        <w:tc>
          <w:tcPr>
            <w:tcW w:w="7442" w:type="dxa"/>
          </w:tcPr>
          <w:p w14:paraId="61F74E30" w14:textId="77777777" w:rsidR="002B008E" w:rsidRPr="00651C8F" w:rsidRDefault="002B008E" w:rsidP="00C2604A">
            <w:pPr>
              <w:ind w:left="859" w:hanging="720"/>
              <w:rPr>
                <w:rFonts w:ascii="Cambria" w:eastAsia="Calibri" w:hAnsi="Cambria" w:cs="Cambria"/>
                <w:position w:val="-1"/>
                <w:sz w:val="22"/>
                <w:szCs w:val="22"/>
              </w:rPr>
            </w:pPr>
            <w:r w:rsidRPr="00921618">
              <w:rPr>
                <w:rFonts w:ascii="Cambria" w:eastAsia="Calibri" w:hAnsi="Cambria" w:cs="Cambria"/>
                <w:position w:val="-1"/>
                <w:sz w:val="22"/>
                <w:szCs w:val="22"/>
              </w:rPr>
              <w:t>2.</w:t>
            </w:r>
            <w:r w:rsidRPr="00921618">
              <w:rPr>
                <w:rFonts w:ascii="Cambria" w:eastAsia="Calibri" w:hAnsi="Cambria" w:cs="Cambria"/>
                <w:position w:val="-1"/>
                <w:sz w:val="22"/>
                <w:szCs w:val="22"/>
              </w:rPr>
              <w:tab/>
            </w:r>
            <w:r w:rsidRPr="00A6250B">
              <w:rPr>
                <w:rFonts w:ascii="Cambria" w:eastAsia="Calibri" w:hAnsi="Cambria" w:cs="Cambria"/>
                <w:position w:val="-1"/>
                <w:sz w:val="22"/>
                <w:szCs w:val="22"/>
              </w:rPr>
              <w:t>Follow-up of precautionary measures in force</w:t>
            </w:r>
          </w:p>
        </w:tc>
      </w:tr>
      <w:tr w:rsidR="002B008E" w:rsidRPr="009B54FF" w14:paraId="2324DE0B" w14:textId="77777777" w:rsidTr="00C2604A">
        <w:trPr>
          <w:gridAfter w:val="1"/>
          <w:wAfter w:w="900" w:type="dxa"/>
          <w:trHeight w:hRule="exact" w:val="550"/>
        </w:trPr>
        <w:tc>
          <w:tcPr>
            <w:tcW w:w="1363" w:type="dxa"/>
          </w:tcPr>
          <w:p w14:paraId="1CFD2FE1" w14:textId="77777777" w:rsidR="002B008E" w:rsidRDefault="002B008E" w:rsidP="00C2604A">
            <w:pPr>
              <w:tabs>
                <w:tab w:val="left" w:pos="794"/>
              </w:tabs>
              <w:ind w:left="524"/>
              <w:rPr>
                <w:rFonts w:ascii="Cambria"/>
                <w:spacing w:val="1"/>
                <w:sz w:val="22"/>
              </w:rPr>
            </w:pPr>
          </w:p>
        </w:tc>
        <w:tc>
          <w:tcPr>
            <w:tcW w:w="7442" w:type="dxa"/>
          </w:tcPr>
          <w:p w14:paraId="38229E6F" w14:textId="77777777" w:rsidR="002B008E" w:rsidRPr="00651C8F" w:rsidRDefault="002B008E" w:rsidP="00C2604A">
            <w:pPr>
              <w:ind w:left="859" w:hanging="720"/>
              <w:rPr>
                <w:rFonts w:ascii="Cambria" w:eastAsia="Calibri" w:hAnsi="Cambria" w:cs="Cambria"/>
                <w:position w:val="-1"/>
                <w:sz w:val="22"/>
                <w:szCs w:val="22"/>
              </w:rPr>
            </w:pPr>
            <w:r w:rsidRPr="00921618">
              <w:rPr>
                <w:rFonts w:ascii="Cambria" w:eastAsia="Calibri" w:hAnsi="Cambria" w:cs="Cambria"/>
                <w:position w:val="-1"/>
                <w:sz w:val="22"/>
                <w:szCs w:val="22"/>
              </w:rPr>
              <w:t>3.</w:t>
            </w:r>
            <w:r w:rsidRPr="00921618">
              <w:rPr>
                <w:rFonts w:ascii="Cambria" w:eastAsia="Calibri" w:hAnsi="Cambria" w:cs="Cambria"/>
                <w:position w:val="-1"/>
                <w:sz w:val="22"/>
                <w:szCs w:val="22"/>
              </w:rPr>
              <w:tab/>
            </w:r>
            <w:r w:rsidRPr="007D02D3">
              <w:rPr>
                <w:rFonts w:ascii="Cambria" w:eastAsia="Calibri" w:hAnsi="Cambria" w:cs="Cambria"/>
                <w:position w:val="-1"/>
                <w:sz w:val="22"/>
                <w:szCs w:val="22"/>
              </w:rPr>
              <w:t>Resolutions adopted</w:t>
            </w:r>
          </w:p>
        </w:tc>
      </w:tr>
      <w:tr w:rsidR="002B008E" w:rsidRPr="00B4428F" w14:paraId="512BCE09" w14:textId="77777777" w:rsidTr="00C2604A">
        <w:trPr>
          <w:gridAfter w:val="1"/>
          <w:wAfter w:w="900" w:type="dxa"/>
          <w:trHeight w:hRule="exact" w:val="972"/>
        </w:trPr>
        <w:tc>
          <w:tcPr>
            <w:tcW w:w="1363" w:type="dxa"/>
          </w:tcPr>
          <w:p w14:paraId="58671E0B" w14:textId="77777777" w:rsidR="002B008E" w:rsidRDefault="002B008E" w:rsidP="00C2604A">
            <w:pPr>
              <w:tabs>
                <w:tab w:val="left" w:pos="794"/>
              </w:tabs>
              <w:ind w:left="524"/>
              <w:rPr>
                <w:rFonts w:ascii="Cambria"/>
                <w:spacing w:val="1"/>
                <w:sz w:val="22"/>
              </w:rPr>
            </w:pPr>
          </w:p>
        </w:tc>
        <w:tc>
          <w:tcPr>
            <w:tcW w:w="7442" w:type="dxa"/>
          </w:tcPr>
          <w:p w14:paraId="06F861DE" w14:textId="77777777" w:rsidR="002B008E" w:rsidRDefault="002B008E" w:rsidP="00933F91">
            <w:pPr>
              <w:pStyle w:val="ListParagraph"/>
              <w:numPr>
                <w:ilvl w:val="0"/>
                <w:numId w:val="86"/>
              </w:numPr>
              <w:rPr>
                <w:rFonts w:ascii="Cambria" w:eastAsia="Calibri" w:hAnsi="Cambria" w:cs="Cambria"/>
                <w:position w:val="-1"/>
                <w:sz w:val="22"/>
                <w:szCs w:val="22"/>
              </w:rPr>
            </w:pPr>
            <w:r w:rsidRPr="007E732E">
              <w:rPr>
                <w:rFonts w:ascii="Cambria" w:eastAsia="Calibri" w:hAnsi="Cambria" w:cs="Cambria"/>
                <w:position w:val="-1"/>
                <w:sz w:val="22"/>
                <w:szCs w:val="22"/>
              </w:rPr>
              <w:t>Provisional Measures</w:t>
            </w:r>
          </w:p>
          <w:p w14:paraId="01CF3B46" w14:textId="77777777" w:rsidR="002B008E" w:rsidRPr="007E732E" w:rsidRDefault="002B008E" w:rsidP="00C2604A">
            <w:pPr>
              <w:pStyle w:val="ListParagraph"/>
              <w:ind w:left="852"/>
              <w:rPr>
                <w:rFonts w:ascii="Cambria" w:eastAsia="Calibri" w:hAnsi="Cambria" w:cs="Cambria"/>
                <w:position w:val="-1"/>
                <w:sz w:val="22"/>
                <w:szCs w:val="22"/>
              </w:rPr>
            </w:pPr>
          </w:p>
          <w:p w14:paraId="062193B2" w14:textId="77777777" w:rsidR="002B008E" w:rsidRPr="00307B48" w:rsidRDefault="002B008E" w:rsidP="00933F91">
            <w:pPr>
              <w:pStyle w:val="ListParagraph"/>
              <w:numPr>
                <w:ilvl w:val="0"/>
                <w:numId w:val="86"/>
              </w:numPr>
              <w:ind w:right="-999"/>
              <w:rPr>
                <w:rFonts w:ascii="Cambria" w:eastAsia="Calibri" w:hAnsi="Cambria" w:cs="Cambria"/>
                <w:position w:val="-1"/>
                <w:sz w:val="22"/>
                <w:szCs w:val="22"/>
              </w:rPr>
            </w:pPr>
            <w:r w:rsidRPr="00307B48">
              <w:rPr>
                <w:rFonts w:ascii="Cambria" w:eastAsia="Calibri" w:hAnsi="Cambria" w:cs="Cambria"/>
                <w:position w:val="-1"/>
                <w:sz w:val="22"/>
                <w:szCs w:val="22"/>
              </w:rPr>
              <w:t>Dissemination and transparency</w:t>
            </w:r>
            <w:r>
              <w:rPr>
                <w:rFonts w:ascii="Cambria" w:eastAsia="Calibri" w:hAnsi="Cambria" w:cs="Cambria"/>
                <w:position w:val="-1"/>
                <w:sz w:val="22"/>
                <w:szCs w:val="22"/>
              </w:rPr>
              <w:t xml:space="preserve">                                                                 </w:t>
            </w:r>
          </w:p>
        </w:tc>
      </w:tr>
      <w:tr w:rsidR="002B008E" w:rsidRPr="009B54FF" w14:paraId="525C2D34" w14:textId="77777777" w:rsidTr="00C2604A">
        <w:trPr>
          <w:gridAfter w:val="1"/>
          <w:wAfter w:w="900" w:type="dxa"/>
          <w:trHeight w:hRule="exact" w:val="351"/>
        </w:trPr>
        <w:tc>
          <w:tcPr>
            <w:tcW w:w="1363" w:type="dxa"/>
          </w:tcPr>
          <w:p w14:paraId="188C0CD9" w14:textId="77777777" w:rsidR="002B008E" w:rsidRDefault="002B008E" w:rsidP="00C2604A">
            <w:pPr>
              <w:tabs>
                <w:tab w:val="left" w:pos="794"/>
              </w:tabs>
              <w:ind w:left="524"/>
              <w:rPr>
                <w:rFonts w:ascii="Cambria"/>
                <w:spacing w:val="1"/>
                <w:sz w:val="22"/>
              </w:rPr>
            </w:pPr>
            <w:r>
              <w:rPr>
                <w:rFonts w:ascii="Cambria" w:eastAsia="Calibri" w:hAnsi="Cambria" w:cs="Cambria"/>
                <w:position w:val="-1"/>
                <w:sz w:val="22"/>
                <w:szCs w:val="22"/>
              </w:rPr>
              <w:t xml:space="preserve">     G</w:t>
            </w:r>
            <w:r w:rsidRPr="00921618">
              <w:rPr>
                <w:rFonts w:ascii="Cambria" w:eastAsia="Calibri" w:hAnsi="Cambria" w:cs="Cambria"/>
                <w:position w:val="-1"/>
                <w:sz w:val="22"/>
                <w:szCs w:val="22"/>
              </w:rPr>
              <w:t>.</w:t>
            </w:r>
          </w:p>
        </w:tc>
        <w:tc>
          <w:tcPr>
            <w:tcW w:w="7442" w:type="dxa"/>
          </w:tcPr>
          <w:p w14:paraId="4FD5A65D" w14:textId="77777777" w:rsidR="002B008E" w:rsidRPr="00651C8F" w:rsidRDefault="002B008E" w:rsidP="00C2604A">
            <w:pPr>
              <w:ind w:left="859" w:hanging="720"/>
              <w:rPr>
                <w:rFonts w:ascii="Cambria" w:eastAsia="Calibri" w:hAnsi="Cambria" w:cs="Cambria"/>
                <w:position w:val="-1"/>
                <w:sz w:val="22"/>
                <w:szCs w:val="22"/>
              </w:rPr>
            </w:pPr>
            <w:r w:rsidRPr="00E90A20">
              <w:rPr>
                <w:rFonts w:ascii="Cambria" w:eastAsia="Calibri" w:hAnsi="Cambria" w:cs="Cambria"/>
                <w:position w:val="-1"/>
                <w:sz w:val="22"/>
                <w:szCs w:val="22"/>
              </w:rPr>
              <w:t>Annual statistics most representative of the Commission’s work</w:t>
            </w:r>
          </w:p>
        </w:tc>
      </w:tr>
    </w:tbl>
    <w:p w14:paraId="5F2D1A32" w14:textId="77777777" w:rsidR="002B008E" w:rsidRDefault="002B008E" w:rsidP="0024593F">
      <w:pPr>
        <w:ind w:left="360"/>
        <w:jc w:val="center"/>
        <w:rPr>
          <w:rFonts w:ascii="Cambria" w:hAnsi="Cambria"/>
          <w:b/>
          <w:sz w:val="32"/>
        </w:rPr>
      </w:pPr>
    </w:p>
    <w:p w14:paraId="661337E4" w14:textId="77777777" w:rsidR="002B008E" w:rsidRDefault="002B008E">
      <w:pPr>
        <w:rPr>
          <w:rFonts w:ascii="Cambria" w:hAnsi="Cambria"/>
          <w:b/>
          <w:sz w:val="32"/>
        </w:rPr>
      </w:pPr>
      <w:r>
        <w:rPr>
          <w:rFonts w:ascii="Cambria" w:hAnsi="Cambria"/>
          <w:b/>
          <w:sz w:val="32"/>
        </w:rPr>
        <w:br w:type="page"/>
      </w:r>
    </w:p>
    <w:p w14:paraId="5DC9D760" w14:textId="6052DDC8" w:rsidR="0024593F" w:rsidRPr="00524435" w:rsidRDefault="0024593F" w:rsidP="0024593F">
      <w:pPr>
        <w:ind w:left="360"/>
        <w:jc w:val="center"/>
        <w:rPr>
          <w:rFonts w:ascii="Cambria" w:eastAsia="Calibri" w:hAnsi="Cambria" w:cs="Calibri"/>
          <w:b/>
          <w:sz w:val="32"/>
          <w:szCs w:val="32"/>
        </w:rPr>
      </w:pPr>
      <w:r w:rsidRPr="00524435">
        <w:rPr>
          <w:rFonts w:ascii="Cambria" w:hAnsi="Cambria"/>
          <w:b/>
          <w:sz w:val="32"/>
        </w:rPr>
        <w:lastRenderedPageBreak/>
        <w:t>CHAPTER II</w:t>
      </w:r>
    </w:p>
    <w:p w14:paraId="235860EF" w14:textId="77777777" w:rsidR="0024593F" w:rsidRPr="00524435" w:rsidRDefault="0024593F" w:rsidP="0024593F">
      <w:pPr>
        <w:ind w:left="360"/>
        <w:jc w:val="center"/>
        <w:rPr>
          <w:rFonts w:ascii="Cambria" w:hAnsi="Cambria"/>
          <w:b/>
          <w:sz w:val="32"/>
        </w:rPr>
      </w:pPr>
    </w:p>
    <w:p w14:paraId="50191C00" w14:textId="6166E4F8" w:rsidR="008668B8" w:rsidRDefault="0024593F" w:rsidP="0024593F">
      <w:pPr>
        <w:pBdr>
          <w:top w:val="nil"/>
          <w:left w:val="nil"/>
          <w:bottom w:val="nil"/>
          <w:right w:val="nil"/>
          <w:between w:val="nil"/>
          <w:bar w:val="nil"/>
        </w:pBdr>
        <w:jc w:val="center"/>
        <w:rPr>
          <w:rFonts w:ascii="Cambria" w:hAnsi="Cambria"/>
          <w:b/>
          <w:sz w:val="32"/>
        </w:rPr>
      </w:pPr>
      <w:r w:rsidRPr="00524435">
        <w:rPr>
          <w:rFonts w:ascii="Cambria" w:hAnsi="Cambria"/>
          <w:b/>
          <w:sz w:val="32"/>
        </w:rPr>
        <w:t>THE SYSTEM OF PETITIONS AND CASES, FRIENDLY SETTLEMENTS, AND PRECAUTIONARY MEASURES</w:t>
      </w:r>
      <w:r w:rsidR="003C66AA">
        <w:rPr>
          <w:rStyle w:val="FootnoteReference"/>
          <w:rFonts w:ascii="Cambria" w:hAnsi="Cambria"/>
          <w:b/>
          <w:sz w:val="32"/>
        </w:rPr>
        <w:footnoteReference w:id="2"/>
      </w:r>
    </w:p>
    <w:p w14:paraId="52D03739" w14:textId="77777777" w:rsidR="004C1833" w:rsidRDefault="004C1833" w:rsidP="0024593F">
      <w:pPr>
        <w:pBdr>
          <w:top w:val="nil"/>
          <w:left w:val="nil"/>
          <w:bottom w:val="nil"/>
          <w:right w:val="nil"/>
          <w:between w:val="nil"/>
          <w:bar w:val="nil"/>
        </w:pBdr>
        <w:jc w:val="center"/>
        <w:rPr>
          <w:rFonts w:ascii="Cambria" w:eastAsia="Cambria" w:hAnsi="Cambria" w:cs="Cambria"/>
          <w:b/>
          <w:color w:val="000000"/>
          <w:sz w:val="20"/>
          <w:szCs w:val="20"/>
          <w:bdr w:val="nil"/>
          <w14:textOutline w14:w="0" w14:cap="flat" w14:cmpd="sng" w14:algn="ctr">
            <w14:noFill/>
            <w14:prstDash w14:val="solid"/>
            <w14:bevel/>
          </w14:textOutline>
        </w:rPr>
      </w:pPr>
    </w:p>
    <w:p w14:paraId="63CB4A67" w14:textId="77777777" w:rsidR="004C1833" w:rsidRDefault="004C1833" w:rsidP="0024593F">
      <w:pPr>
        <w:pBdr>
          <w:top w:val="nil"/>
          <w:left w:val="nil"/>
          <w:bottom w:val="nil"/>
          <w:right w:val="nil"/>
          <w:between w:val="nil"/>
          <w:bar w:val="nil"/>
        </w:pBdr>
        <w:jc w:val="center"/>
        <w:rPr>
          <w:rFonts w:ascii="Cambria" w:eastAsia="Cambria" w:hAnsi="Cambria" w:cs="Cambria"/>
          <w:b/>
          <w:color w:val="000000"/>
          <w:sz w:val="20"/>
          <w:szCs w:val="20"/>
          <w:bdr w:val="nil"/>
          <w14:textOutline w14:w="0" w14:cap="flat" w14:cmpd="sng" w14:algn="ctr">
            <w14:noFill/>
            <w14:prstDash w14:val="solid"/>
            <w14:bevel/>
          </w14:textOutline>
        </w:rPr>
      </w:pPr>
    </w:p>
    <w:p w14:paraId="68753A97" w14:textId="77777777" w:rsidR="004C1833" w:rsidRDefault="004C1833" w:rsidP="00933F91">
      <w:pPr>
        <w:pStyle w:val="ListParagraph"/>
        <w:numPr>
          <w:ilvl w:val="0"/>
          <w:numId w:val="52"/>
        </w:numPr>
        <w:pBdr>
          <w:top w:val="nil"/>
          <w:left w:val="nil"/>
          <w:bottom w:val="nil"/>
          <w:right w:val="nil"/>
          <w:between w:val="nil"/>
          <w:bar w:val="nil"/>
        </w:pBdr>
        <w:ind w:hanging="720"/>
        <w:jc w:val="both"/>
        <w:rPr>
          <w:rFonts w:ascii="Cambria" w:eastAsia="Calibri" w:hAnsi="Cambria" w:cs="Calibri"/>
          <w:b/>
          <w:color w:val="000000"/>
          <w:sz w:val="22"/>
          <w:szCs w:val="22"/>
          <w:u w:color="000000"/>
          <w:bdr w:val="nil"/>
          <w:lang w:val="es-ES"/>
          <w14:textOutline w14:w="0" w14:cap="flat" w14:cmpd="sng" w14:algn="ctr">
            <w14:noFill/>
            <w14:prstDash w14:val="solid"/>
            <w14:bevel/>
          </w14:textOutline>
        </w:rPr>
      </w:pPr>
      <w:r w:rsidRPr="00073F74">
        <w:rPr>
          <w:rFonts w:ascii="Cambria" w:eastAsia="Calibri" w:hAnsi="Cambria" w:cs="Calibri"/>
          <w:b/>
          <w:color w:val="000000"/>
          <w:sz w:val="22"/>
          <w:szCs w:val="22"/>
          <w:u w:color="000000"/>
          <w:bdr w:val="nil"/>
          <w:lang w:val="es-ES"/>
          <w14:textOutline w14:w="0" w14:cap="flat" w14:cmpd="sng" w14:algn="ctr">
            <w14:noFill/>
            <w14:prstDash w14:val="solid"/>
            <w14:bevel/>
          </w14:textOutline>
        </w:rPr>
        <w:t>Introducción</w:t>
      </w:r>
    </w:p>
    <w:p w14:paraId="2A1B11A1" w14:textId="77777777" w:rsidR="009547E3" w:rsidRDefault="009547E3" w:rsidP="008466D5">
      <w:pPr>
        <w:pBdr>
          <w:top w:val="nil"/>
          <w:left w:val="nil"/>
          <w:bottom w:val="nil"/>
          <w:right w:val="nil"/>
          <w:between w:val="nil"/>
          <w:bar w:val="nil"/>
        </w:pBdr>
        <w:ind w:left="720"/>
        <w:jc w:val="both"/>
        <w:rPr>
          <w:rFonts w:ascii="Cambria" w:eastAsia="Calibri" w:hAnsi="Cambria" w:cs="Calibri"/>
          <w:b/>
          <w:color w:val="000000"/>
          <w:sz w:val="22"/>
          <w:szCs w:val="22"/>
          <w:u w:color="000000"/>
          <w:bdr w:val="nil"/>
          <w:lang w:val="es-ES"/>
          <w14:textOutline w14:w="0" w14:cap="flat" w14:cmpd="sng" w14:algn="ctr">
            <w14:noFill/>
            <w14:prstDash w14:val="solid"/>
            <w14:bevel/>
          </w14:textOutline>
        </w:rPr>
      </w:pPr>
    </w:p>
    <w:p w14:paraId="3D82A862" w14:textId="57BD6EC4" w:rsidR="008466D5" w:rsidRPr="001C7D9F" w:rsidRDefault="008466D5" w:rsidP="00933F91">
      <w:pPr>
        <w:pStyle w:val="ListParagraph"/>
        <w:numPr>
          <w:ilvl w:val="0"/>
          <w:numId w:val="53"/>
        </w:numPr>
        <w:autoSpaceDE w:val="0"/>
        <w:autoSpaceDN w:val="0"/>
        <w:adjustRightInd w:val="0"/>
        <w:spacing w:after="240"/>
        <w:ind w:left="0" w:firstLine="720"/>
        <w:contextualSpacing w:val="0"/>
        <w:jc w:val="both"/>
        <w:rPr>
          <w:rFonts w:ascii="Cambria" w:hAnsi="Cambria"/>
          <w:sz w:val="20"/>
          <w:szCs w:val="20"/>
        </w:rPr>
      </w:pPr>
      <w:r w:rsidRPr="001C7D9F">
        <w:rPr>
          <w:rFonts w:ascii="Cambria" w:hAnsi="Cambria"/>
          <w:sz w:val="20"/>
          <w:szCs w:val="20"/>
        </w:rPr>
        <w:t xml:space="preserve">This chapter reflects the work </w:t>
      </w:r>
      <w:r>
        <w:rPr>
          <w:rFonts w:ascii="Cambria" w:hAnsi="Cambria"/>
          <w:sz w:val="20"/>
          <w:szCs w:val="20"/>
        </w:rPr>
        <w:t xml:space="preserve">done by </w:t>
      </w:r>
      <w:r w:rsidRPr="001C7D9F">
        <w:rPr>
          <w:rFonts w:ascii="Cambria" w:hAnsi="Cambria"/>
          <w:sz w:val="20"/>
          <w:szCs w:val="20"/>
        </w:rPr>
        <w:t>the Inter-American Commission on Human Rights</w:t>
      </w:r>
      <w:r>
        <w:rPr>
          <w:rFonts w:ascii="Cambria" w:hAnsi="Cambria"/>
          <w:sz w:val="20"/>
          <w:szCs w:val="20"/>
        </w:rPr>
        <w:t xml:space="preserve"> (</w:t>
      </w:r>
      <w:r w:rsidR="004122F3" w:rsidRPr="009139FF">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Commission or </w:t>
      </w:r>
      <w:r>
        <w:rPr>
          <w:rFonts w:ascii="Cambria" w:hAnsi="Cambria"/>
          <w:sz w:val="20"/>
          <w:szCs w:val="20"/>
        </w:rPr>
        <w:t xml:space="preserve">IACHR) </w:t>
      </w:r>
      <w:r w:rsidRPr="001C7D9F">
        <w:rPr>
          <w:rFonts w:ascii="Cambria" w:hAnsi="Cambria"/>
          <w:sz w:val="20"/>
          <w:szCs w:val="20"/>
        </w:rPr>
        <w:t xml:space="preserve">in 2022 </w:t>
      </w:r>
      <w:r>
        <w:rPr>
          <w:rFonts w:ascii="Cambria" w:hAnsi="Cambria"/>
          <w:sz w:val="20"/>
          <w:szCs w:val="20"/>
        </w:rPr>
        <w:t>with respect</w:t>
      </w:r>
      <w:r w:rsidRPr="001C7D9F">
        <w:rPr>
          <w:rFonts w:ascii="Cambria" w:hAnsi="Cambria"/>
          <w:sz w:val="20"/>
          <w:szCs w:val="20"/>
        </w:rPr>
        <w:t xml:space="preserve"> to its system of petitions, cases, and </w:t>
      </w:r>
      <w:r>
        <w:rPr>
          <w:rFonts w:ascii="Cambria" w:hAnsi="Cambria"/>
          <w:sz w:val="20"/>
          <w:szCs w:val="20"/>
        </w:rPr>
        <w:t>precautionary measures, as well as its work before the Inter-American Court of Human Rights</w:t>
      </w:r>
      <w:r w:rsidRPr="001C7D9F">
        <w:rPr>
          <w:rFonts w:ascii="Cambria" w:hAnsi="Cambria"/>
          <w:sz w:val="20"/>
          <w:szCs w:val="20"/>
        </w:rPr>
        <w:t>. It is structured into six sections</w:t>
      </w:r>
      <w:r w:rsidR="00A25A51">
        <w:rPr>
          <w:rFonts w:ascii="Cambria" w:hAnsi="Cambria"/>
          <w:sz w:val="20"/>
          <w:szCs w:val="20"/>
        </w:rPr>
        <w:t>.</w:t>
      </w:r>
      <w:r w:rsidRPr="001C7D9F">
        <w:rPr>
          <w:rFonts w:ascii="Cambria" w:hAnsi="Cambria"/>
          <w:sz w:val="20"/>
          <w:szCs w:val="20"/>
        </w:rPr>
        <w:t xml:space="preserve"> </w:t>
      </w:r>
    </w:p>
    <w:p w14:paraId="58828347" w14:textId="70FFA7E5" w:rsidR="008466D5" w:rsidRPr="006733F7" w:rsidRDefault="008466D5" w:rsidP="00933F91">
      <w:pPr>
        <w:pStyle w:val="ListParagraph"/>
        <w:numPr>
          <w:ilvl w:val="0"/>
          <w:numId w:val="53"/>
        </w:numPr>
        <w:autoSpaceDE w:val="0"/>
        <w:autoSpaceDN w:val="0"/>
        <w:adjustRightInd w:val="0"/>
        <w:spacing w:after="240"/>
        <w:ind w:left="0" w:firstLine="720"/>
        <w:contextualSpacing w:val="0"/>
        <w:jc w:val="both"/>
        <w:rPr>
          <w:rFonts w:ascii="Cambria" w:hAnsi="Cambria"/>
          <w:sz w:val="20"/>
          <w:szCs w:val="20"/>
        </w:rPr>
      </w:pPr>
      <w:r w:rsidRPr="007835C8">
        <w:rPr>
          <w:rFonts w:ascii="Cambria" w:hAnsi="Cambria"/>
          <w:sz w:val="20"/>
          <w:szCs w:val="20"/>
        </w:rPr>
        <w:t>Section B, first of all, describes the Commission’s work related to the initial study of petitions, the admissibility and merits ph</w:t>
      </w:r>
      <w:r>
        <w:rPr>
          <w:rFonts w:ascii="Cambria" w:hAnsi="Cambria"/>
          <w:sz w:val="20"/>
          <w:szCs w:val="20"/>
        </w:rPr>
        <w:t xml:space="preserve">ases, and the archiving of petitions and cases. </w:t>
      </w:r>
      <w:r w:rsidRPr="007835C8">
        <w:rPr>
          <w:rFonts w:ascii="Cambria" w:hAnsi="Cambria"/>
          <w:sz w:val="20"/>
          <w:szCs w:val="20"/>
        </w:rPr>
        <w:t xml:space="preserve">This section also includes summaries of the most emblematic decisions adopted by the Commission, both on admissibility and on </w:t>
      </w:r>
      <w:r>
        <w:rPr>
          <w:rFonts w:ascii="Cambria" w:hAnsi="Cambria"/>
          <w:sz w:val="20"/>
          <w:szCs w:val="20"/>
        </w:rPr>
        <w:t xml:space="preserve">the merits, in </w:t>
      </w:r>
      <w:r w:rsidRPr="007835C8">
        <w:rPr>
          <w:rFonts w:ascii="Cambria" w:hAnsi="Cambria"/>
          <w:sz w:val="20"/>
          <w:szCs w:val="20"/>
        </w:rPr>
        <w:t>2022.</w:t>
      </w:r>
      <w:r>
        <w:rPr>
          <w:rFonts w:ascii="Cambria" w:hAnsi="Cambria"/>
          <w:sz w:val="20"/>
          <w:szCs w:val="20"/>
        </w:rPr>
        <w:t xml:space="preserve"> </w:t>
      </w:r>
      <w:r w:rsidRPr="006733F7">
        <w:rPr>
          <w:rFonts w:ascii="Cambria" w:hAnsi="Cambria"/>
          <w:sz w:val="20"/>
          <w:szCs w:val="20"/>
        </w:rPr>
        <w:t xml:space="preserve">It describes the hearings and working meetings, as well as the active transparency and information measures carried out with </w:t>
      </w:r>
      <w:r>
        <w:rPr>
          <w:rFonts w:ascii="Cambria" w:hAnsi="Cambria"/>
          <w:sz w:val="20"/>
          <w:szCs w:val="20"/>
        </w:rPr>
        <w:t xml:space="preserve">respect to </w:t>
      </w:r>
      <w:r w:rsidR="00A25A51" w:rsidRPr="006733F7">
        <w:rPr>
          <w:rFonts w:ascii="Cambria" w:hAnsi="Cambria"/>
          <w:sz w:val="20"/>
          <w:szCs w:val="20"/>
        </w:rPr>
        <w:t>States</w:t>
      </w:r>
      <w:r w:rsidR="00A25A51">
        <w:rPr>
          <w:rFonts w:ascii="Cambria" w:hAnsi="Cambria"/>
          <w:sz w:val="20"/>
          <w:szCs w:val="20"/>
        </w:rPr>
        <w:t xml:space="preserve"> and</w:t>
      </w:r>
      <w:r w:rsidRPr="006733F7">
        <w:rPr>
          <w:rFonts w:ascii="Cambria" w:hAnsi="Cambria"/>
          <w:sz w:val="20"/>
          <w:szCs w:val="20"/>
        </w:rPr>
        <w:t xml:space="preserve"> reports on the next steps that will</w:t>
      </w:r>
      <w:r>
        <w:rPr>
          <w:rFonts w:ascii="Cambria" w:hAnsi="Cambria"/>
          <w:sz w:val="20"/>
          <w:szCs w:val="20"/>
        </w:rPr>
        <w:t xml:space="preserve"> be taken under the Strategic Plan </w:t>
      </w:r>
      <w:r w:rsidRPr="006733F7">
        <w:rPr>
          <w:rFonts w:ascii="Cambria" w:hAnsi="Cambria"/>
          <w:sz w:val="20"/>
          <w:szCs w:val="20"/>
        </w:rPr>
        <w:t>2023-2027.</w:t>
      </w:r>
    </w:p>
    <w:p w14:paraId="21F3262B" w14:textId="77777777" w:rsidR="008466D5" w:rsidRPr="00AC2E48" w:rsidRDefault="008466D5" w:rsidP="00933F91">
      <w:pPr>
        <w:pStyle w:val="ListParagraph"/>
        <w:numPr>
          <w:ilvl w:val="0"/>
          <w:numId w:val="53"/>
        </w:numPr>
        <w:autoSpaceDE w:val="0"/>
        <w:autoSpaceDN w:val="0"/>
        <w:adjustRightInd w:val="0"/>
        <w:spacing w:after="240"/>
        <w:ind w:left="0" w:firstLine="720"/>
        <w:contextualSpacing w:val="0"/>
        <w:jc w:val="both"/>
        <w:rPr>
          <w:rFonts w:ascii="Cambria" w:hAnsi="Cambria"/>
          <w:sz w:val="20"/>
          <w:szCs w:val="20"/>
        </w:rPr>
      </w:pPr>
      <w:r w:rsidRPr="006733F7">
        <w:rPr>
          <w:rFonts w:ascii="Cambria" w:hAnsi="Cambria"/>
          <w:sz w:val="20"/>
          <w:szCs w:val="20"/>
        </w:rPr>
        <w:t xml:space="preserve"> </w:t>
      </w:r>
      <w:r w:rsidRPr="00AC2E48">
        <w:rPr>
          <w:rFonts w:ascii="Cambria" w:hAnsi="Cambria"/>
          <w:sz w:val="20"/>
          <w:szCs w:val="20"/>
        </w:rPr>
        <w:t xml:space="preserve">Second, Section C describes the activities of the Commission with regard to its friendly settlement mechanism. This section includes an analysis of the status of compliance with the recommendations in approved friendly settlement reports. </w:t>
      </w:r>
    </w:p>
    <w:p w14:paraId="080BFE44" w14:textId="77777777" w:rsidR="008466D5" w:rsidRPr="00AC2E48" w:rsidRDefault="008466D5" w:rsidP="00933F91">
      <w:pPr>
        <w:pStyle w:val="ListParagraph"/>
        <w:numPr>
          <w:ilvl w:val="0"/>
          <w:numId w:val="53"/>
        </w:numPr>
        <w:autoSpaceDE w:val="0"/>
        <w:autoSpaceDN w:val="0"/>
        <w:adjustRightInd w:val="0"/>
        <w:spacing w:after="240"/>
        <w:ind w:left="0" w:firstLine="720"/>
        <w:contextualSpacing w:val="0"/>
        <w:jc w:val="both"/>
        <w:rPr>
          <w:rFonts w:ascii="Cambria" w:hAnsi="Cambria"/>
          <w:sz w:val="20"/>
          <w:szCs w:val="20"/>
        </w:rPr>
      </w:pPr>
      <w:r w:rsidRPr="00AC2E48">
        <w:rPr>
          <w:rFonts w:ascii="Cambria" w:hAnsi="Cambria"/>
          <w:sz w:val="20"/>
          <w:szCs w:val="20"/>
        </w:rPr>
        <w:t xml:space="preserve">Third, Section D describes activities carried out by the Commission before the Inter-American Court of Human Rights.  </w:t>
      </w:r>
    </w:p>
    <w:p w14:paraId="4F26247C" w14:textId="77777777" w:rsidR="008466D5" w:rsidRPr="00AC2E48" w:rsidRDefault="008466D5" w:rsidP="00933F91">
      <w:pPr>
        <w:pStyle w:val="ListParagraph"/>
        <w:numPr>
          <w:ilvl w:val="0"/>
          <w:numId w:val="53"/>
        </w:numPr>
        <w:autoSpaceDE w:val="0"/>
        <w:autoSpaceDN w:val="0"/>
        <w:adjustRightInd w:val="0"/>
        <w:spacing w:after="240"/>
        <w:ind w:left="0" w:firstLine="720"/>
        <w:contextualSpacing w:val="0"/>
        <w:jc w:val="both"/>
        <w:rPr>
          <w:rFonts w:ascii="Cambria" w:hAnsi="Cambria"/>
          <w:sz w:val="20"/>
          <w:szCs w:val="20"/>
        </w:rPr>
      </w:pPr>
      <w:r w:rsidRPr="00AC2E48">
        <w:rPr>
          <w:rFonts w:ascii="Cambria" w:hAnsi="Cambria"/>
          <w:sz w:val="20"/>
          <w:szCs w:val="20"/>
        </w:rPr>
        <w:t>Fourth, Section E covers the status of compliance with the recommendations issued in the merits reports published based on Article 47 of the Commission’s Rules of Procedure and Article 51 of the American Convention.</w:t>
      </w:r>
    </w:p>
    <w:p w14:paraId="05528237" w14:textId="77777777" w:rsidR="008466D5" w:rsidRPr="00AC2E48" w:rsidRDefault="008466D5" w:rsidP="00933F91">
      <w:pPr>
        <w:pStyle w:val="ListParagraph"/>
        <w:numPr>
          <w:ilvl w:val="0"/>
          <w:numId w:val="53"/>
        </w:numPr>
        <w:autoSpaceDE w:val="0"/>
        <w:autoSpaceDN w:val="0"/>
        <w:adjustRightInd w:val="0"/>
        <w:spacing w:after="240"/>
        <w:ind w:left="0" w:firstLine="720"/>
        <w:contextualSpacing w:val="0"/>
        <w:jc w:val="both"/>
        <w:rPr>
          <w:rFonts w:ascii="Cambria" w:hAnsi="Cambria"/>
          <w:sz w:val="20"/>
          <w:szCs w:val="20"/>
        </w:rPr>
      </w:pPr>
      <w:r w:rsidRPr="00AC2E48">
        <w:rPr>
          <w:rFonts w:ascii="Cambria" w:hAnsi="Cambria"/>
          <w:sz w:val="20"/>
          <w:szCs w:val="20"/>
        </w:rPr>
        <w:t xml:space="preserve">Fifth, Section F sums up the activities carried out by the Commission through its mechanism of precautionary measures, as well as under its mandate to follow up on provisional measures it has requested from the Court. </w:t>
      </w:r>
    </w:p>
    <w:p w14:paraId="2B91B44C" w14:textId="374DB6AA" w:rsidR="009547E3" w:rsidRPr="00927EC6" w:rsidRDefault="008466D5" w:rsidP="00933F91">
      <w:pPr>
        <w:pStyle w:val="ListParagraph"/>
        <w:numPr>
          <w:ilvl w:val="0"/>
          <w:numId w:val="53"/>
        </w:numPr>
        <w:autoSpaceDE w:val="0"/>
        <w:autoSpaceDN w:val="0"/>
        <w:adjustRightInd w:val="0"/>
        <w:spacing w:after="240"/>
        <w:ind w:left="0" w:firstLine="720"/>
        <w:contextualSpacing w:val="0"/>
        <w:jc w:val="both"/>
        <w:rPr>
          <w:rFonts w:ascii="Cambria" w:hAnsi="Cambria"/>
          <w:sz w:val="20"/>
          <w:szCs w:val="20"/>
        </w:rPr>
      </w:pPr>
      <w:r w:rsidRPr="00AC2E48">
        <w:rPr>
          <w:rFonts w:ascii="Cambria" w:hAnsi="Cambria"/>
          <w:sz w:val="20"/>
          <w:szCs w:val="20"/>
        </w:rPr>
        <w:t>Finally, Section G presents the annual statistics that are most representative of the Commission’s work.</w:t>
      </w:r>
    </w:p>
    <w:p w14:paraId="24086E32" w14:textId="77777777" w:rsidR="00927EC6" w:rsidRDefault="00927EC6" w:rsidP="00933F91">
      <w:pPr>
        <w:pStyle w:val="ListParagraph"/>
        <w:numPr>
          <w:ilvl w:val="0"/>
          <w:numId w:val="52"/>
        </w:numPr>
        <w:ind w:hanging="720"/>
        <w:rPr>
          <w:rFonts w:ascii="Cambria" w:eastAsia="Calibri" w:hAnsi="Cambria" w:cs="Calibri"/>
          <w:b/>
          <w:color w:val="000000"/>
          <w:sz w:val="22"/>
          <w:szCs w:val="22"/>
          <w:u w:color="000000"/>
          <w:bdr w:val="nil"/>
          <w14:textOutline w14:w="0" w14:cap="flat" w14:cmpd="sng" w14:algn="ctr">
            <w14:noFill/>
            <w14:prstDash w14:val="solid"/>
            <w14:bevel/>
          </w14:textOutline>
        </w:rPr>
      </w:pPr>
      <w:r w:rsidRPr="00927EC6">
        <w:rPr>
          <w:rFonts w:ascii="Cambria" w:eastAsia="Calibri" w:hAnsi="Cambria" w:cs="Calibri"/>
          <w:b/>
          <w:color w:val="000000"/>
          <w:sz w:val="22"/>
          <w:szCs w:val="22"/>
          <w:u w:color="000000"/>
          <w:bdr w:val="nil"/>
          <w14:textOutline w14:w="0" w14:cap="flat" w14:cmpd="sng" w14:algn="ctr">
            <w14:noFill/>
            <w14:prstDash w14:val="solid"/>
            <w14:bevel/>
          </w14:textOutline>
        </w:rPr>
        <w:t>Petitions and Cases</w:t>
      </w:r>
    </w:p>
    <w:p w14:paraId="456522DF" w14:textId="77777777" w:rsidR="00927EC6" w:rsidRDefault="00927EC6" w:rsidP="00927EC6">
      <w:pPr>
        <w:pStyle w:val="ListParagraph"/>
        <w:ind w:left="1440"/>
        <w:rPr>
          <w:rFonts w:ascii="Cambria" w:eastAsia="Calibri" w:hAnsi="Cambria" w:cs="Calibri"/>
          <w:b/>
          <w:color w:val="000000"/>
          <w:sz w:val="22"/>
          <w:szCs w:val="22"/>
          <w:u w:color="000000"/>
          <w:bdr w:val="nil"/>
          <w14:textOutline w14:w="0" w14:cap="flat" w14:cmpd="sng" w14:algn="ctr">
            <w14:noFill/>
            <w14:prstDash w14:val="solid"/>
            <w14:bevel/>
          </w14:textOutline>
        </w:rPr>
      </w:pPr>
    </w:p>
    <w:p w14:paraId="09B7C17C" w14:textId="77777777" w:rsidR="0057201B" w:rsidRPr="0012127C" w:rsidRDefault="0057201B" w:rsidP="00933F91">
      <w:pPr>
        <w:pStyle w:val="ListParagraph"/>
        <w:numPr>
          <w:ilvl w:val="0"/>
          <w:numId w:val="53"/>
        </w:numPr>
        <w:autoSpaceDE w:val="0"/>
        <w:autoSpaceDN w:val="0"/>
        <w:adjustRightInd w:val="0"/>
        <w:ind w:left="0" w:firstLine="720"/>
        <w:contextualSpacing w:val="0"/>
        <w:jc w:val="both"/>
        <w:rPr>
          <w:rFonts w:ascii="Cambria" w:hAnsi="Cambria"/>
          <w:sz w:val="20"/>
          <w:szCs w:val="20"/>
        </w:rPr>
      </w:pPr>
      <w:r w:rsidRPr="00766FBE">
        <w:rPr>
          <w:rFonts w:ascii="Cambria" w:hAnsi="Cambria"/>
          <w:sz w:val="20"/>
          <w:szCs w:val="20"/>
        </w:rPr>
        <w:t xml:space="preserve">The system of petitions and cases is a unique mechanism for the protection of human rights in the region. By filing a petition with the Inter-American Commission, </w:t>
      </w:r>
      <w:r>
        <w:rPr>
          <w:rFonts w:ascii="Cambria" w:hAnsi="Cambria"/>
          <w:sz w:val="20"/>
          <w:szCs w:val="20"/>
        </w:rPr>
        <w:t>people</w:t>
      </w:r>
      <w:r w:rsidRPr="00766FBE">
        <w:rPr>
          <w:rFonts w:ascii="Cambria" w:hAnsi="Cambria"/>
          <w:sz w:val="20"/>
          <w:szCs w:val="20"/>
        </w:rPr>
        <w:t xml:space="preserve"> who have suffered human rights violations can obtain measur</w:t>
      </w:r>
      <w:r>
        <w:rPr>
          <w:rFonts w:ascii="Cambria" w:hAnsi="Cambria"/>
          <w:sz w:val="20"/>
          <w:szCs w:val="20"/>
        </w:rPr>
        <w:t>es of justice and comprehensive reparation with respect to the violations that have occurred</w:t>
      </w:r>
      <w:r w:rsidRPr="00766FBE">
        <w:rPr>
          <w:rFonts w:ascii="Cambria" w:hAnsi="Cambria"/>
          <w:sz w:val="20"/>
          <w:szCs w:val="20"/>
        </w:rPr>
        <w:t xml:space="preserve">. </w:t>
      </w:r>
      <w:r w:rsidRPr="00556150">
        <w:rPr>
          <w:rFonts w:ascii="Cambria" w:hAnsi="Cambria"/>
          <w:sz w:val="20"/>
          <w:szCs w:val="20"/>
        </w:rPr>
        <w:t xml:space="preserve">To the extent that this mechanism </w:t>
      </w:r>
      <w:r>
        <w:rPr>
          <w:rFonts w:ascii="Cambria" w:hAnsi="Cambria"/>
          <w:sz w:val="20"/>
          <w:szCs w:val="20"/>
        </w:rPr>
        <w:t xml:space="preserve">is </w:t>
      </w:r>
      <w:r w:rsidRPr="00556150">
        <w:rPr>
          <w:rFonts w:ascii="Cambria" w:hAnsi="Cambria"/>
          <w:sz w:val="20"/>
          <w:szCs w:val="20"/>
        </w:rPr>
        <w:t>function</w:t>
      </w:r>
      <w:r>
        <w:rPr>
          <w:rFonts w:ascii="Cambria" w:hAnsi="Cambria"/>
          <w:sz w:val="20"/>
          <w:szCs w:val="20"/>
        </w:rPr>
        <w:t>ing</w:t>
      </w:r>
      <w:r w:rsidRPr="00556150">
        <w:rPr>
          <w:rFonts w:ascii="Cambria" w:hAnsi="Cambria"/>
          <w:sz w:val="20"/>
          <w:szCs w:val="20"/>
        </w:rPr>
        <w:t xml:space="preserve"> properly, </w:t>
      </w:r>
      <w:r>
        <w:rPr>
          <w:rFonts w:ascii="Cambria" w:hAnsi="Cambria"/>
          <w:sz w:val="20"/>
          <w:szCs w:val="20"/>
        </w:rPr>
        <w:t>persons</w:t>
      </w:r>
      <w:r w:rsidRPr="00556150">
        <w:rPr>
          <w:rFonts w:ascii="Cambria" w:hAnsi="Cambria"/>
          <w:sz w:val="20"/>
          <w:szCs w:val="20"/>
        </w:rPr>
        <w:t xml:space="preserve"> whose rights have been violated</w:t>
      </w:r>
      <w:r>
        <w:rPr>
          <w:rFonts w:ascii="Cambria" w:hAnsi="Cambria"/>
          <w:sz w:val="20"/>
          <w:szCs w:val="20"/>
        </w:rPr>
        <w:t xml:space="preserve"> </w:t>
      </w:r>
      <w:r w:rsidRPr="00556150">
        <w:rPr>
          <w:rFonts w:ascii="Cambria" w:hAnsi="Cambria"/>
          <w:sz w:val="20"/>
          <w:szCs w:val="20"/>
        </w:rPr>
        <w:t>have a</w:t>
      </w:r>
      <w:r>
        <w:rPr>
          <w:rFonts w:ascii="Cambria" w:hAnsi="Cambria"/>
          <w:sz w:val="20"/>
          <w:szCs w:val="20"/>
        </w:rPr>
        <w:t xml:space="preserve"> means</w:t>
      </w:r>
      <w:r w:rsidRPr="00556150">
        <w:rPr>
          <w:rFonts w:ascii="Cambria" w:hAnsi="Cambria"/>
          <w:sz w:val="20"/>
          <w:szCs w:val="20"/>
        </w:rPr>
        <w:t xml:space="preserve"> </w:t>
      </w:r>
      <w:r>
        <w:rPr>
          <w:rFonts w:ascii="Cambria" w:hAnsi="Cambria"/>
          <w:sz w:val="20"/>
          <w:szCs w:val="20"/>
        </w:rPr>
        <w:t xml:space="preserve">at their disposal </w:t>
      </w:r>
      <w:r w:rsidRPr="00556150">
        <w:rPr>
          <w:rFonts w:ascii="Cambria" w:hAnsi="Cambria"/>
          <w:sz w:val="20"/>
          <w:szCs w:val="20"/>
        </w:rPr>
        <w:t>for the resolution of their claims</w:t>
      </w:r>
      <w:r>
        <w:rPr>
          <w:rFonts w:ascii="Cambria" w:hAnsi="Cambria"/>
          <w:sz w:val="20"/>
          <w:szCs w:val="20"/>
        </w:rPr>
        <w:t xml:space="preserve">. This </w:t>
      </w:r>
      <w:r w:rsidRPr="0012127C">
        <w:rPr>
          <w:rFonts w:ascii="Cambria" w:hAnsi="Cambria"/>
          <w:sz w:val="20"/>
          <w:szCs w:val="20"/>
        </w:rPr>
        <w:t xml:space="preserve">not only </w:t>
      </w:r>
      <w:r>
        <w:rPr>
          <w:rFonts w:ascii="Cambria" w:hAnsi="Cambria"/>
          <w:sz w:val="20"/>
          <w:szCs w:val="20"/>
        </w:rPr>
        <w:t>may</w:t>
      </w:r>
      <w:r w:rsidRPr="0012127C">
        <w:rPr>
          <w:rFonts w:ascii="Cambria" w:hAnsi="Cambria"/>
          <w:sz w:val="20"/>
          <w:szCs w:val="20"/>
        </w:rPr>
        <w:t xml:space="preserve"> benefit them in their </w:t>
      </w:r>
      <w:r w:rsidRPr="0012127C">
        <w:rPr>
          <w:rFonts w:ascii="Cambria" w:hAnsi="Cambria"/>
          <w:sz w:val="20"/>
          <w:szCs w:val="20"/>
        </w:rPr>
        <w:lastRenderedPageBreak/>
        <w:t>particular case</w:t>
      </w:r>
      <w:r>
        <w:rPr>
          <w:rFonts w:ascii="Cambria" w:hAnsi="Cambria"/>
          <w:sz w:val="20"/>
          <w:szCs w:val="20"/>
        </w:rPr>
        <w:t>,</w:t>
      </w:r>
      <w:r w:rsidRPr="0012127C">
        <w:rPr>
          <w:rFonts w:ascii="Cambria" w:hAnsi="Cambria"/>
          <w:sz w:val="20"/>
          <w:szCs w:val="20"/>
        </w:rPr>
        <w:t xml:space="preserve"> but </w:t>
      </w:r>
      <w:r>
        <w:rPr>
          <w:rFonts w:ascii="Cambria" w:hAnsi="Cambria"/>
          <w:sz w:val="20"/>
          <w:szCs w:val="20"/>
        </w:rPr>
        <w:t xml:space="preserve">it </w:t>
      </w:r>
      <w:r w:rsidRPr="0012127C">
        <w:rPr>
          <w:rFonts w:ascii="Cambria" w:hAnsi="Cambria"/>
          <w:sz w:val="20"/>
          <w:szCs w:val="20"/>
        </w:rPr>
        <w:t xml:space="preserve">also </w:t>
      </w:r>
      <w:r>
        <w:rPr>
          <w:rFonts w:ascii="Cambria" w:hAnsi="Cambria"/>
          <w:sz w:val="20"/>
          <w:szCs w:val="20"/>
        </w:rPr>
        <w:t>provides</w:t>
      </w:r>
      <w:r w:rsidRPr="0012127C">
        <w:rPr>
          <w:rFonts w:ascii="Cambria" w:hAnsi="Cambria"/>
          <w:sz w:val="20"/>
          <w:szCs w:val="20"/>
        </w:rPr>
        <w:t xml:space="preserve"> an important </w:t>
      </w:r>
      <w:r>
        <w:rPr>
          <w:rFonts w:ascii="Cambria" w:hAnsi="Cambria"/>
          <w:sz w:val="20"/>
          <w:szCs w:val="20"/>
        </w:rPr>
        <w:t>ability</w:t>
      </w:r>
      <w:r w:rsidRPr="0012127C">
        <w:rPr>
          <w:rFonts w:ascii="Cambria" w:hAnsi="Cambria"/>
          <w:sz w:val="20"/>
          <w:szCs w:val="20"/>
        </w:rPr>
        <w:t xml:space="preserve"> to change structural human rights violations, as a result of IACHR recommendations or friendly settlement agreements approved by the Commis</w:t>
      </w:r>
      <w:r>
        <w:rPr>
          <w:rFonts w:ascii="Cambria" w:hAnsi="Cambria"/>
          <w:sz w:val="20"/>
          <w:szCs w:val="20"/>
        </w:rPr>
        <w:t>s</w:t>
      </w:r>
      <w:r w:rsidRPr="0012127C">
        <w:rPr>
          <w:rFonts w:ascii="Cambria" w:hAnsi="Cambria"/>
          <w:sz w:val="20"/>
          <w:szCs w:val="20"/>
        </w:rPr>
        <w:t xml:space="preserve">ion or, </w:t>
      </w:r>
      <w:r>
        <w:rPr>
          <w:rFonts w:ascii="Cambria" w:hAnsi="Cambria"/>
          <w:sz w:val="20"/>
          <w:szCs w:val="20"/>
        </w:rPr>
        <w:t>in some cases</w:t>
      </w:r>
      <w:r w:rsidRPr="0012127C">
        <w:rPr>
          <w:rFonts w:ascii="Cambria" w:hAnsi="Cambria"/>
          <w:sz w:val="20"/>
          <w:szCs w:val="20"/>
        </w:rPr>
        <w:t xml:space="preserve">, a judgment </w:t>
      </w:r>
      <w:r>
        <w:rPr>
          <w:rFonts w:ascii="Cambria" w:hAnsi="Cambria"/>
          <w:sz w:val="20"/>
          <w:szCs w:val="20"/>
        </w:rPr>
        <w:t>of</w:t>
      </w:r>
      <w:r w:rsidRPr="0012127C">
        <w:rPr>
          <w:rFonts w:ascii="Cambria" w:hAnsi="Cambria"/>
          <w:sz w:val="20"/>
          <w:szCs w:val="20"/>
        </w:rPr>
        <w:t xml:space="preserve"> the Inter-American</w:t>
      </w:r>
      <w:r>
        <w:rPr>
          <w:rFonts w:ascii="Cambria" w:hAnsi="Cambria"/>
          <w:sz w:val="20"/>
          <w:szCs w:val="20"/>
        </w:rPr>
        <w:t xml:space="preserve"> Court</w:t>
      </w:r>
      <w:r w:rsidRPr="0012127C">
        <w:rPr>
          <w:rFonts w:ascii="Cambria" w:hAnsi="Cambria"/>
          <w:sz w:val="20"/>
          <w:szCs w:val="20"/>
        </w:rPr>
        <w:t xml:space="preserve">. This system is an essential tool for </w:t>
      </w:r>
      <w:r>
        <w:rPr>
          <w:rFonts w:ascii="Cambria" w:hAnsi="Cambria"/>
          <w:sz w:val="20"/>
          <w:szCs w:val="20"/>
        </w:rPr>
        <w:t>achieving</w:t>
      </w:r>
      <w:r w:rsidRPr="0012127C">
        <w:rPr>
          <w:rFonts w:ascii="Cambria" w:hAnsi="Cambria"/>
          <w:sz w:val="20"/>
          <w:szCs w:val="20"/>
        </w:rPr>
        <w:t xml:space="preserve"> justice and reparation, combating impunity, and </w:t>
      </w:r>
      <w:r>
        <w:rPr>
          <w:rFonts w:ascii="Cambria" w:hAnsi="Cambria"/>
          <w:sz w:val="20"/>
          <w:szCs w:val="20"/>
        </w:rPr>
        <w:t>bringing about</w:t>
      </w:r>
      <w:r w:rsidRPr="0012127C">
        <w:rPr>
          <w:rFonts w:ascii="Cambria" w:hAnsi="Cambria"/>
          <w:sz w:val="20"/>
          <w:szCs w:val="20"/>
        </w:rPr>
        <w:t xml:space="preserve"> structural reforms in laws</w:t>
      </w:r>
      <w:r>
        <w:rPr>
          <w:rFonts w:ascii="Cambria" w:hAnsi="Cambria"/>
          <w:sz w:val="20"/>
          <w:szCs w:val="20"/>
        </w:rPr>
        <w:t xml:space="preserve">, </w:t>
      </w:r>
      <w:r w:rsidRPr="0012127C">
        <w:rPr>
          <w:rFonts w:ascii="Cambria" w:hAnsi="Cambria"/>
          <w:sz w:val="20"/>
          <w:szCs w:val="20"/>
        </w:rPr>
        <w:t>policies</w:t>
      </w:r>
      <w:r>
        <w:rPr>
          <w:rFonts w:ascii="Cambria" w:hAnsi="Cambria"/>
          <w:sz w:val="20"/>
          <w:szCs w:val="20"/>
        </w:rPr>
        <w:t>,</w:t>
      </w:r>
      <w:r w:rsidRPr="0012127C">
        <w:rPr>
          <w:rFonts w:ascii="Cambria" w:hAnsi="Cambria"/>
          <w:sz w:val="20"/>
          <w:szCs w:val="20"/>
        </w:rPr>
        <w:t xml:space="preserve"> and practice.</w:t>
      </w:r>
    </w:p>
    <w:p w14:paraId="6986758E" w14:textId="77777777" w:rsidR="0057201B" w:rsidRPr="0012127C" w:rsidRDefault="0057201B" w:rsidP="0057201B">
      <w:pPr>
        <w:pStyle w:val="ListParagraph"/>
        <w:autoSpaceDE w:val="0"/>
        <w:autoSpaceDN w:val="0"/>
        <w:adjustRightInd w:val="0"/>
        <w:contextualSpacing w:val="0"/>
        <w:jc w:val="both"/>
        <w:rPr>
          <w:rFonts w:ascii="Cambria" w:hAnsi="Cambria"/>
          <w:sz w:val="20"/>
          <w:szCs w:val="20"/>
        </w:rPr>
      </w:pPr>
    </w:p>
    <w:p w14:paraId="6658BBAC" w14:textId="77777777" w:rsidR="0057201B" w:rsidRPr="00C2332F" w:rsidRDefault="0057201B" w:rsidP="00933F91">
      <w:pPr>
        <w:pStyle w:val="ListParagraph"/>
        <w:numPr>
          <w:ilvl w:val="0"/>
          <w:numId w:val="53"/>
        </w:numPr>
        <w:autoSpaceDE w:val="0"/>
        <w:autoSpaceDN w:val="0"/>
        <w:adjustRightInd w:val="0"/>
        <w:ind w:left="0" w:firstLine="720"/>
        <w:contextualSpacing w:val="0"/>
        <w:jc w:val="both"/>
        <w:rPr>
          <w:rFonts w:ascii="Cambria" w:hAnsi="Cambria"/>
          <w:sz w:val="20"/>
          <w:szCs w:val="20"/>
        </w:rPr>
      </w:pPr>
      <w:r w:rsidRPr="005257CF">
        <w:rPr>
          <w:rFonts w:ascii="Cambria" w:hAnsi="Cambria"/>
          <w:sz w:val="20"/>
          <w:szCs w:val="20"/>
        </w:rPr>
        <w:t xml:space="preserve">The procedure before the Commission, under the terms </w:t>
      </w:r>
      <w:r>
        <w:rPr>
          <w:rFonts w:ascii="Cambria" w:hAnsi="Cambria"/>
          <w:sz w:val="20"/>
          <w:szCs w:val="20"/>
        </w:rPr>
        <w:t>of</w:t>
      </w:r>
      <w:r w:rsidRPr="005257CF">
        <w:rPr>
          <w:rFonts w:ascii="Cambria" w:hAnsi="Cambria"/>
          <w:sz w:val="20"/>
          <w:szCs w:val="20"/>
        </w:rPr>
        <w:t xml:space="preserve"> Articles 23 to 48 of its Rules of Procedure, </w:t>
      </w:r>
      <w:r>
        <w:rPr>
          <w:rFonts w:ascii="Cambria" w:hAnsi="Cambria"/>
          <w:sz w:val="20"/>
          <w:szCs w:val="20"/>
        </w:rPr>
        <w:t>is</w:t>
      </w:r>
      <w:r w:rsidRPr="005257CF">
        <w:rPr>
          <w:rFonts w:ascii="Cambria" w:hAnsi="Cambria"/>
          <w:sz w:val="20"/>
          <w:szCs w:val="20"/>
        </w:rPr>
        <w:t xml:space="preserve"> structured </w:t>
      </w:r>
      <w:r>
        <w:rPr>
          <w:rFonts w:ascii="Cambria" w:hAnsi="Cambria"/>
          <w:sz w:val="20"/>
          <w:szCs w:val="20"/>
        </w:rPr>
        <w:t>into</w:t>
      </w:r>
      <w:r w:rsidRPr="005257CF">
        <w:rPr>
          <w:rFonts w:ascii="Cambria" w:hAnsi="Cambria"/>
          <w:sz w:val="20"/>
          <w:szCs w:val="20"/>
        </w:rPr>
        <w:t xml:space="preserve"> the following </w:t>
      </w:r>
      <w:r>
        <w:rPr>
          <w:rFonts w:ascii="Cambria" w:hAnsi="Cambria"/>
          <w:sz w:val="20"/>
          <w:szCs w:val="20"/>
        </w:rPr>
        <w:t>procedural stages: initial study or review, admissibility, and merits</w:t>
      </w:r>
      <w:r w:rsidRPr="005257CF">
        <w:rPr>
          <w:rFonts w:ascii="Cambria" w:hAnsi="Cambria"/>
          <w:sz w:val="20"/>
          <w:szCs w:val="20"/>
        </w:rPr>
        <w:t>. Under the terms of Article 40 of the Rules of Procedure, at any stage of the examination of a petition or case, the parties may reac</w:t>
      </w:r>
      <w:r>
        <w:rPr>
          <w:rFonts w:ascii="Cambria" w:hAnsi="Cambria"/>
          <w:sz w:val="20"/>
          <w:szCs w:val="20"/>
        </w:rPr>
        <w:t>h</w:t>
      </w:r>
      <w:r w:rsidRPr="005257CF">
        <w:rPr>
          <w:rFonts w:ascii="Cambria" w:hAnsi="Cambria"/>
          <w:sz w:val="20"/>
          <w:szCs w:val="20"/>
        </w:rPr>
        <w:t xml:space="preserve"> </w:t>
      </w:r>
      <w:r>
        <w:rPr>
          <w:rFonts w:ascii="Cambria" w:hAnsi="Cambria"/>
          <w:sz w:val="20"/>
          <w:szCs w:val="20"/>
        </w:rPr>
        <w:t xml:space="preserve">a </w:t>
      </w:r>
      <w:r w:rsidRPr="005257CF">
        <w:rPr>
          <w:rFonts w:ascii="Cambria" w:hAnsi="Cambria"/>
          <w:sz w:val="20"/>
          <w:szCs w:val="20"/>
        </w:rPr>
        <w:t>friendly set</w:t>
      </w:r>
      <w:r>
        <w:rPr>
          <w:rFonts w:ascii="Cambria" w:hAnsi="Cambria"/>
          <w:sz w:val="20"/>
          <w:szCs w:val="20"/>
        </w:rPr>
        <w:t>tlement on the basis of respect for human rights</w:t>
      </w:r>
      <w:r w:rsidRPr="005257CF">
        <w:rPr>
          <w:rFonts w:ascii="Cambria" w:hAnsi="Cambria"/>
          <w:sz w:val="20"/>
          <w:szCs w:val="20"/>
        </w:rPr>
        <w:t>.</w:t>
      </w:r>
      <w:r>
        <w:rPr>
          <w:rFonts w:ascii="Cambria" w:hAnsi="Cambria"/>
          <w:sz w:val="20"/>
          <w:szCs w:val="20"/>
        </w:rPr>
        <w:t xml:space="preserve"> </w:t>
      </w:r>
      <w:r w:rsidRPr="006313F2">
        <w:rPr>
          <w:rFonts w:ascii="Cambria" w:hAnsi="Cambria"/>
          <w:sz w:val="20"/>
          <w:szCs w:val="20"/>
        </w:rPr>
        <w:t xml:space="preserve">Likewise, once </w:t>
      </w:r>
      <w:r>
        <w:rPr>
          <w:rFonts w:ascii="Cambria" w:hAnsi="Cambria"/>
          <w:sz w:val="20"/>
          <w:szCs w:val="20"/>
        </w:rPr>
        <w:t>a</w:t>
      </w:r>
      <w:r w:rsidRPr="006313F2">
        <w:rPr>
          <w:rFonts w:ascii="Cambria" w:hAnsi="Cambria"/>
          <w:sz w:val="20"/>
          <w:szCs w:val="20"/>
        </w:rPr>
        <w:t xml:space="preserve"> report on the merits </w:t>
      </w:r>
      <w:r>
        <w:rPr>
          <w:rFonts w:ascii="Cambria" w:hAnsi="Cambria"/>
          <w:sz w:val="20"/>
          <w:szCs w:val="20"/>
        </w:rPr>
        <w:t>is</w:t>
      </w:r>
      <w:r w:rsidRPr="006313F2">
        <w:rPr>
          <w:rFonts w:ascii="Cambria" w:hAnsi="Cambria"/>
          <w:sz w:val="20"/>
          <w:szCs w:val="20"/>
        </w:rPr>
        <w:t xml:space="preserve"> issued</w:t>
      </w:r>
      <w:r>
        <w:rPr>
          <w:rFonts w:ascii="Cambria" w:hAnsi="Cambria"/>
          <w:sz w:val="20"/>
          <w:szCs w:val="20"/>
        </w:rPr>
        <w:t xml:space="preserve"> in a case</w:t>
      </w:r>
      <w:r w:rsidRPr="006313F2">
        <w:rPr>
          <w:rFonts w:ascii="Cambria" w:hAnsi="Cambria"/>
          <w:sz w:val="20"/>
          <w:szCs w:val="20"/>
        </w:rPr>
        <w:t xml:space="preserve">, the Commission </w:t>
      </w:r>
      <w:r>
        <w:rPr>
          <w:rFonts w:ascii="Cambria" w:hAnsi="Cambria"/>
          <w:sz w:val="20"/>
          <w:szCs w:val="20"/>
        </w:rPr>
        <w:t>may</w:t>
      </w:r>
      <w:r w:rsidRPr="006313F2">
        <w:rPr>
          <w:rFonts w:ascii="Cambria" w:hAnsi="Cambria"/>
          <w:sz w:val="20"/>
          <w:szCs w:val="20"/>
        </w:rPr>
        <w:t xml:space="preserve"> </w:t>
      </w:r>
      <w:r>
        <w:rPr>
          <w:rFonts w:ascii="Cambria" w:hAnsi="Cambria"/>
          <w:sz w:val="20"/>
          <w:szCs w:val="20"/>
        </w:rPr>
        <w:t>decide to publish it</w:t>
      </w:r>
      <w:r w:rsidRPr="006313F2">
        <w:rPr>
          <w:rFonts w:ascii="Cambria" w:hAnsi="Cambria"/>
          <w:sz w:val="20"/>
          <w:szCs w:val="20"/>
        </w:rPr>
        <w:t xml:space="preserve">, </w:t>
      </w:r>
      <w:r>
        <w:rPr>
          <w:rFonts w:ascii="Cambria" w:hAnsi="Cambria"/>
          <w:sz w:val="20"/>
          <w:szCs w:val="20"/>
        </w:rPr>
        <w:t>pursuant to</w:t>
      </w:r>
      <w:r w:rsidRPr="006313F2">
        <w:rPr>
          <w:rFonts w:ascii="Cambria" w:hAnsi="Cambria"/>
          <w:sz w:val="20"/>
          <w:szCs w:val="20"/>
        </w:rPr>
        <w:t xml:space="preserve"> the terms of Article 47 </w:t>
      </w:r>
      <w:r>
        <w:rPr>
          <w:rFonts w:ascii="Cambria" w:hAnsi="Cambria"/>
          <w:sz w:val="20"/>
          <w:szCs w:val="20"/>
        </w:rPr>
        <w:t xml:space="preserve">of the Rules of Procedure and Article </w:t>
      </w:r>
      <w:r w:rsidRPr="006313F2">
        <w:rPr>
          <w:rFonts w:ascii="Cambria" w:hAnsi="Cambria"/>
          <w:sz w:val="20"/>
          <w:szCs w:val="20"/>
        </w:rPr>
        <w:t xml:space="preserve">51 </w:t>
      </w:r>
      <w:r>
        <w:rPr>
          <w:rFonts w:ascii="Cambria" w:hAnsi="Cambria"/>
          <w:sz w:val="20"/>
          <w:szCs w:val="20"/>
        </w:rPr>
        <w:t>of the American Convention, or to transmit the case to the Inter-American Court for the States under its jurisdiction, as recognized in Article 51 of that treaty</w:t>
      </w:r>
      <w:r w:rsidRPr="006313F2">
        <w:rPr>
          <w:rFonts w:ascii="Cambria" w:hAnsi="Cambria"/>
          <w:sz w:val="20"/>
          <w:szCs w:val="20"/>
        </w:rPr>
        <w:t xml:space="preserve">. </w:t>
      </w:r>
      <w:r w:rsidRPr="00C2332F">
        <w:rPr>
          <w:rFonts w:ascii="Cambria" w:hAnsi="Cambria"/>
          <w:sz w:val="20"/>
          <w:szCs w:val="20"/>
        </w:rPr>
        <w:t>Final</w:t>
      </w:r>
      <w:r>
        <w:rPr>
          <w:rFonts w:ascii="Cambria" w:hAnsi="Cambria"/>
          <w:sz w:val="20"/>
          <w:szCs w:val="20"/>
        </w:rPr>
        <w:t>ly</w:t>
      </w:r>
      <w:r w:rsidRPr="00C2332F">
        <w:rPr>
          <w:rFonts w:ascii="Cambria" w:hAnsi="Cambria"/>
          <w:sz w:val="20"/>
          <w:szCs w:val="20"/>
        </w:rPr>
        <w:t>, it should be noted that during the processing of a petition or case, the Commission may decide to archive it, under th</w:t>
      </w:r>
      <w:r>
        <w:rPr>
          <w:rFonts w:ascii="Cambria" w:hAnsi="Cambria"/>
          <w:sz w:val="20"/>
          <w:szCs w:val="20"/>
        </w:rPr>
        <w:t>e provisions of Article 42 of its Rules of Procedure</w:t>
      </w:r>
      <w:r w:rsidRPr="00C2332F">
        <w:rPr>
          <w:rFonts w:ascii="Cambria" w:hAnsi="Cambria"/>
          <w:sz w:val="20"/>
          <w:szCs w:val="20"/>
        </w:rPr>
        <w:t xml:space="preserve">. </w:t>
      </w:r>
    </w:p>
    <w:p w14:paraId="7524B5AF" w14:textId="77777777" w:rsidR="0057201B" w:rsidRPr="00C2332F" w:rsidRDefault="0057201B" w:rsidP="0057201B">
      <w:pPr>
        <w:pStyle w:val="ListParagraph"/>
        <w:autoSpaceDE w:val="0"/>
        <w:autoSpaceDN w:val="0"/>
        <w:adjustRightInd w:val="0"/>
        <w:contextualSpacing w:val="0"/>
        <w:jc w:val="both"/>
        <w:rPr>
          <w:rFonts w:ascii="Cambria" w:hAnsi="Cambria"/>
          <w:sz w:val="20"/>
          <w:szCs w:val="20"/>
        </w:rPr>
      </w:pPr>
    </w:p>
    <w:p w14:paraId="1C5AF29D" w14:textId="77777777" w:rsidR="0057201B" w:rsidRPr="00E40C40" w:rsidRDefault="0057201B" w:rsidP="00933F91">
      <w:pPr>
        <w:pStyle w:val="ListParagraph"/>
        <w:numPr>
          <w:ilvl w:val="0"/>
          <w:numId w:val="53"/>
        </w:numPr>
        <w:autoSpaceDE w:val="0"/>
        <w:autoSpaceDN w:val="0"/>
        <w:adjustRightInd w:val="0"/>
        <w:ind w:left="0" w:firstLine="720"/>
        <w:contextualSpacing w:val="0"/>
        <w:jc w:val="both"/>
        <w:rPr>
          <w:rFonts w:ascii="Cambria" w:hAnsi="Cambria"/>
          <w:sz w:val="20"/>
          <w:szCs w:val="20"/>
        </w:rPr>
      </w:pPr>
      <w:r>
        <w:rPr>
          <w:rFonts w:ascii="Cambria" w:hAnsi="Cambria"/>
          <w:sz w:val="20"/>
          <w:szCs w:val="20"/>
        </w:rPr>
        <w:t xml:space="preserve">The following is an account of </w:t>
      </w:r>
      <w:r w:rsidRPr="00C621F0">
        <w:rPr>
          <w:rFonts w:ascii="Cambria" w:hAnsi="Cambria"/>
          <w:sz w:val="20"/>
          <w:szCs w:val="20"/>
        </w:rPr>
        <w:t xml:space="preserve">the work the IACHR performed </w:t>
      </w:r>
      <w:r>
        <w:rPr>
          <w:rFonts w:ascii="Cambria" w:hAnsi="Cambria"/>
          <w:sz w:val="20"/>
          <w:szCs w:val="20"/>
        </w:rPr>
        <w:t xml:space="preserve">in 2022 </w:t>
      </w:r>
      <w:r w:rsidRPr="00C621F0">
        <w:rPr>
          <w:rFonts w:ascii="Cambria" w:hAnsi="Cambria"/>
          <w:sz w:val="20"/>
          <w:szCs w:val="20"/>
        </w:rPr>
        <w:t xml:space="preserve">during the procedural stages </w:t>
      </w:r>
      <w:r>
        <w:rPr>
          <w:rFonts w:ascii="Cambria" w:hAnsi="Cambria"/>
          <w:sz w:val="20"/>
          <w:szCs w:val="20"/>
        </w:rPr>
        <w:t xml:space="preserve">of initial review, admissibility, and merits, along with </w:t>
      </w:r>
      <w:r w:rsidRPr="00E40C40">
        <w:rPr>
          <w:rFonts w:ascii="Cambria" w:hAnsi="Cambria"/>
          <w:sz w:val="20"/>
          <w:szCs w:val="20"/>
        </w:rPr>
        <w:t>information regarding archive decisions.</w:t>
      </w:r>
    </w:p>
    <w:p w14:paraId="681A2436" w14:textId="77777777" w:rsidR="0057201B" w:rsidRPr="00E40C40" w:rsidRDefault="0057201B" w:rsidP="0057201B">
      <w:pPr>
        <w:pStyle w:val="ListParagraph"/>
        <w:autoSpaceDE w:val="0"/>
        <w:autoSpaceDN w:val="0"/>
        <w:adjustRightInd w:val="0"/>
        <w:contextualSpacing w:val="0"/>
        <w:jc w:val="both"/>
        <w:rPr>
          <w:rFonts w:ascii="Cambria" w:hAnsi="Cambria"/>
          <w:sz w:val="20"/>
          <w:szCs w:val="20"/>
        </w:rPr>
      </w:pPr>
    </w:p>
    <w:p w14:paraId="4DEC07C7" w14:textId="77777777" w:rsidR="0057201B" w:rsidRPr="004B7474" w:rsidRDefault="0057201B" w:rsidP="00933F91">
      <w:pPr>
        <w:pStyle w:val="ListParagraph"/>
        <w:numPr>
          <w:ilvl w:val="0"/>
          <w:numId w:val="55"/>
        </w:numPr>
        <w:autoSpaceDE w:val="0"/>
        <w:autoSpaceDN w:val="0"/>
        <w:adjustRightInd w:val="0"/>
        <w:ind w:left="1440" w:hanging="720"/>
        <w:contextualSpacing w:val="0"/>
        <w:jc w:val="both"/>
        <w:rPr>
          <w:rFonts w:ascii="Cambria" w:hAnsi="Cambria"/>
          <w:b/>
          <w:bCs/>
          <w:sz w:val="22"/>
          <w:szCs w:val="22"/>
        </w:rPr>
      </w:pPr>
      <w:r w:rsidRPr="004B7474">
        <w:rPr>
          <w:rFonts w:ascii="Cambria" w:hAnsi="Cambria"/>
          <w:b/>
          <w:bCs/>
          <w:sz w:val="22"/>
          <w:szCs w:val="22"/>
        </w:rPr>
        <w:t>Initial Study or Review</w:t>
      </w:r>
    </w:p>
    <w:p w14:paraId="72F3472A" w14:textId="77777777" w:rsidR="0057201B" w:rsidRPr="00C621F0" w:rsidRDefault="0057201B" w:rsidP="0057201B">
      <w:pPr>
        <w:pStyle w:val="ListParagraph"/>
        <w:autoSpaceDE w:val="0"/>
        <w:autoSpaceDN w:val="0"/>
        <w:adjustRightInd w:val="0"/>
        <w:contextualSpacing w:val="0"/>
        <w:jc w:val="both"/>
        <w:rPr>
          <w:rFonts w:ascii="Cambria" w:hAnsi="Cambria"/>
          <w:sz w:val="20"/>
          <w:szCs w:val="20"/>
        </w:rPr>
      </w:pPr>
    </w:p>
    <w:p w14:paraId="79FE0958" w14:textId="77777777" w:rsidR="0057201B" w:rsidRPr="006476E9" w:rsidRDefault="0057201B" w:rsidP="00933F91">
      <w:pPr>
        <w:pStyle w:val="ListParagraph"/>
        <w:numPr>
          <w:ilvl w:val="0"/>
          <w:numId w:val="53"/>
        </w:numPr>
        <w:autoSpaceDE w:val="0"/>
        <w:autoSpaceDN w:val="0"/>
        <w:adjustRightInd w:val="0"/>
        <w:ind w:left="0" w:firstLine="720"/>
        <w:contextualSpacing w:val="0"/>
        <w:jc w:val="both"/>
        <w:rPr>
          <w:rFonts w:ascii="Cambria" w:hAnsi="Cambria"/>
          <w:sz w:val="20"/>
          <w:szCs w:val="20"/>
        </w:rPr>
      </w:pPr>
      <w:r w:rsidRPr="00257B43">
        <w:rPr>
          <w:rFonts w:ascii="Cambria" w:hAnsi="Cambria"/>
          <w:sz w:val="20"/>
          <w:szCs w:val="20"/>
        </w:rPr>
        <w:t xml:space="preserve">The Commission evaluates the petitions </w:t>
      </w:r>
      <w:r>
        <w:rPr>
          <w:rFonts w:ascii="Cambria" w:hAnsi="Cambria"/>
          <w:sz w:val="20"/>
          <w:szCs w:val="20"/>
        </w:rPr>
        <w:t xml:space="preserve">it </w:t>
      </w:r>
      <w:r w:rsidRPr="00257B43">
        <w:rPr>
          <w:rFonts w:ascii="Cambria" w:hAnsi="Cambria"/>
          <w:sz w:val="20"/>
          <w:szCs w:val="20"/>
        </w:rPr>
        <w:t>receive</w:t>
      </w:r>
      <w:r>
        <w:rPr>
          <w:rFonts w:ascii="Cambria" w:hAnsi="Cambria"/>
          <w:sz w:val="20"/>
          <w:szCs w:val="20"/>
        </w:rPr>
        <w:t>s</w:t>
      </w:r>
      <w:r w:rsidRPr="00257B43">
        <w:rPr>
          <w:rFonts w:ascii="Cambria" w:hAnsi="Cambria"/>
          <w:sz w:val="20"/>
          <w:szCs w:val="20"/>
        </w:rPr>
        <w:t xml:space="preserve"> in accordance with Articles 26 </w:t>
      </w:r>
      <w:r>
        <w:rPr>
          <w:rFonts w:ascii="Cambria" w:hAnsi="Cambria"/>
          <w:sz w:val="20"/>
          <w:szCs w:val="20"/>
        </w:rPr>
        <w:t>to</w:t>
      </w:r>
      <w:r w:rsidRPr="00257B43">
        <w:rPr>
          <w:rFonts w:ascii="Cambria" w:hAnsi="Cambria"/>
          <w:sz w:val="20"/>
          <w:szCs w:val="20"/>
        </w:rPr>
        <w:t xml:space="preserve"> 34 </w:t>
      </w:r>
      <w:r>
        <w:rPr>
          <w:rFonts w:ascii="Cambria" w:hAnsi="Cambria"/>
          <w:sz w:val="20"/>
          <w:szCs w:val="20"/>
        </w:rPr>
        <w:t>of the IACHR Rules of Procedure. Article 26 of the Rules of Procedure provides that the initial review of petitions is done by the Executive Secretariat, which is responsible for the study and initial processing of petitions</w:t>
      </w:r>
      <w:r w:rsidRPr="006476E9">
        <w:rPr>
          <w:rFonts w:ascii="Cambria" w:hAnsi="Cambria"/>
          <w:sz w:val="20"/>
          <w:szCs w:val="20"/>
        </w:rPr>
        <w:t xml:space="preserve">. </w:t>
      </w:r>
    </w:p>
    <w:p w14:paraId="21B9752C" w14:textId="77777777" w:rsidR="0057201B" w:rsidRPr="006476E9" w:rsidRDefault="0057201B" w:rsidP="0057201B">
      <w:pPr>
        <w:pStyle w:val="ListParagraph"/>
        <w:autoSpaceDE w:val="0"/>
        <w:autoSpaceDN w:val="0"/>
        <w:adjustRightInd w:val="0"/>
        <w:contextualSpacing w:val="0"/>
        <w:jc w:val="both"/>
        <w:rPr>
          <w:rFonts w:ascii="Cambria" w:hAnsi="Cambria"/>
          <w:sz w:val="20"/>
          <w:szCs w:val="20"/>
        </w:rPr>
      </w:pPr>
    </w:p>
    <w:p w14:paraId="62D0EABB" w14:textId="77777777" w:rsidR="0057201B" w:rsidRPr="00EA791A" w:rsidRDefault="0057201B" w:rsidP="00933F91">
      <w:pPr>
        <w:pStyle w:val="ListParagraph"/>
        <w:numPr>
          <w:ilvl w:val="0"/>
          <w:numId w:val="53"/>
        </w:numPr>
        <w:autoSpaceDE w:val="0"/>
        <w:autoSpaceDN w:val="0"/>
        <w:adjustRightInd w:val="0"/>
        <w:ind w:left="0" w:firstLine="720"/>
        <w:contextualSpacing w:val="0"/>
        <w:jc w:val="both"/>
        <w:rPr>
          <w:rFonts w:ascii="Cambria" w:hAnsi="Cambria"/>
          <w:sz w:val="20"/>
          <w:szCs w:val="20"/>
        </w:rPr>
      </w:pPr>
      <w:r w:rsidRPr="006476E9">
        <w:rPr>
          <w:rFonts w:ascii="Cambria" w:hAnsi="Cambria"/>
          <w:sz w:val="20"/>
          <w:szCs w:val="20"/>
        </w:rPr>
        <w:t xml:space="preserve">The initial study </w:t>
      </w:r>
      <w:r>
        <w:rPr>
          <w:rFonts w:ascii="Cambria" w:hAnsi="Cambria"/>
          <w:sz w:val="20"/>
          <w:szCs w:val="20"/>
        </w:rPr>
        <w:t>stage</w:t>
      </w:r>
      <w:r w:rsidRPr="006476E9">
        <w:rPr>
          <w:rFonts w:ascii="Cambria" w:hAnsi="Cambria"/>
          <w:sz w:val="20"/>
          <w:szCs w:val="20"/>
        </w:rPr>
        <w:t xml:space="preserve"> verifie</w:t>
      </w:r>
      <w:r>
        <w:rPr>
          <w:rFonts w:ascii="Cambria" w:hAnsi="Cambria"/>
          <w:sz w:val="20"/>
          <w:szCs w:val="20"/>
        </w:rPr>
        <w:t>s,</w:t>
      </w:r>
      <w:r w:rsidRPr="006476E9">
        <w:rPr>
          <w:rFonts w:ascii="Cambria" w:hAnsi="Cambria"/>
          <w:sz w:val="20"/>
          <w:szCs w:val="20"/>
        </w:rPr>
        <w:t xml:space="preserve"> based on a general or prima facie standard</w:t>
      </w:r>
      <w:r>
        <w:rPr>
          <w:rFonts w:ascii="Cambria" w:hAnsi="Cambria"/>
          <w:sz w:val="20"/>
          <w:szCs w:val="20"/>
        </w:rPr>
        <w:t>,</w:t>
      </w:r>
      <w:r w:rsidRPr="006476E9">
        <w:rPr>
          <w:rFonts w:ascii="Cambria" w:hAnsi="Cambria"/>
          <w:sz w:val="20"/>
          <w:szCs w:val="20"/>
        </w:rPr>
        <w:t xml:space="preserve"> that the petition meets the same requirements of admissibility and jurisdiction that will be verified in the admissibility report (Art</w:t>
      </w:r>
      <w:r>
        <w:rPr>
          <w:rFonts w:ascii="Cambria" w:hAnsi="Cambria"/>
          <w:sz w:val="20"/>
          <w:szCs w:val="20"/>
        </w:rPr>
        <w:t>icle</w:t>
      </w:r>
      <w:r w:rsidRPr="006476E9">
        <w:rPr>
          <w:rFonts w:ascii="Cambria" w:hAnsi="Cambria"/>
          <w:sz w:val="20"/>
          <w:szCs w:val="20"/>
        </w:rPr>
        <w:t xml:space="preserve"> 27)</w:t>
      </w:r>
      <w:r>
        <w:rPr>
          <w:rFonts w:ascii="Cambria" w:hAnsi="Cambria"/>
          <w:sz w:val="20"/>
          <w:szCs w:val="20"/>
        </w:rPr>
        <w:t xml:space="preserve">. </w:t>
      </w:r>
      <w:r w:rsidRPr="006476E9">
        <w:rPr>
          <w:rFonts w:ascii="Cambria" w:hAnsi="Cambria"/>
          <w:sz w:val="20"/>
          <w:szCs w:val="20"/>
        </w:rPr>
        <w:t>The difference is that this initial review is based only on the information sent by petition</w:t>
      </w:r>
      <w:r>
        <w:rPr>
          <w:rFonts w:ascii="Cambria" w:hAnsi="Cambria"/>
          <w:sz w:val="20"/>
          <w:szCs w:val="20"/>
        </w:rPr>
        <w:t>ers</w:t>
      </w:r>
      <w:r w:rsidRPr="006476E9">
        <w:rPr>
          <w:rFonts w:ascii="Cambria" w:hAnsi="Cambria"/>
          <w:sz w:val="20"/>
          <w:szCs w:val="20"/>
        </w:rPr>
        <w:t xml:space="preserve">, because </w:t>
      </w:r>
      <w:r>
        <w:rPr>
          <w:rFonts w:ascii="Cambria" w:hAnsi="Cambria"/>
          <w:sz w:val="20"/>
          <w:szCs w:val="20"/>
        </w:rPr>
        <w:t xml:space="preserve">at this stage </w:t>
      </w:r>
      <w:r w:rsidRPr="006476E9">
        <w:rPr>
          <w:rFonts w:ascii="Cambria" w:hAnsi="Cambria"/>
          <w:sz w:val="20"/>
          <w:szCs w:val="20"/>
        </w:rPr>
        <w:t xml:space="preserve">the State is not yet a participant, since the petition has not yet been </w:t>
      </w:r>
      <w:r>
        <w:rPr>
          <w:rFonts w:ascii="Cambria" w:hAnsi="Cambria"/>
          <w:sz w:val="20"/>
          <w:szCs w:val="20"/>
        </w:rPr>
        <w:t>opened for processing.</w:t>
      </w:r>
      <w:r w:rsidRPr="006476E9">
        <w:rPr>
          <w:rFonts w:ascii="Cambria" w:hAnsi="Cambria"/>
          <w:sz w:val="20"/>
          <w:szCs w:val="20"/>
        </w:rPr>
        <w:t xml:space="preserve"> </w:t>
      </w:r>
      <w:r w:rsidRPr="008D708E">
        <w:rPr>
          <w:rFonts w:ascii="Cambria" w:hAnsi="Cambria"/>
          <w:sz w:val="20"/>
          <w:szCs w:val="20"/>
        </w:rPr>
        <w:t>This first examination</w:t>
      </w:r>
      <w:r>
        <w:rPr>
          <w:rFonts w:ascii="Cambria" w:hAnsi="Cambria"/>
          <w:sz w:val="20"/>
          <w:szCs w:val="20"/>
        </w:rPr>
        <w:t xml:space="preserve"> is</w:t>
      </w:r>
      <w:r w:rsidRPr="008D708E">
        <w:rPr>
          <w:rFonts w:ascii="Cambria" w:hAnsi="Cambria"/>
          <w:sz w:val="20"/>
          <w:szCs w:val="20"/>
        </w:rPr>
        <w:t xml:space="preserve"> preliminary with respect to the review that is done in the subsequent admissibility stage. </w:t>
      </w:r>
      <w:r w:rsidRPr="00EA791A">
        <w:rPr>
          <w:rFonts w:ascii="Cambria" w:hAnsi="Cambria"/>
          <w:sz w:val="20"/>
          <w:szCs w:val="20"/>
        </w:rPr>
        <w:t>In addition, Article 26</w:t>
      </w:r>
      <w:r>
        <w:rPr>
          <w:rFonts w:ascii="Cambria" w:hAnsi="Cambria"/>
          <w:sz w:val="20"/>
          <w:szCs w:val="20"/>
        </w:rPr>
        <w:t>(</w:t>
      </w:r>
      <w:r w:rsidRPr="00EA791A">
        <w:rPr>
          <w:rFonts w:ascii="Cambria" w:hAnsi="Cambria"/>
          <w:sz w:val="20"/>
          <w:szCs w:val="20"/>
        </w:rPr>
        <w:t>2</w:t>
      </w:r>
      <w:r>
        <w:rPr>
          <w:rFonts w:ascii="Cambria" w:hAnsi="Cambria"/>
          <w:sz w:val="20"/>
          <w:szCs w:val="20"/>
        </w:rPr>
        <w:t>)</w:t>
      </w:r>
      <w:r w:rsidRPr="00EA791A">
        <w:rPr>
          <w:rFonts w:ascii="Cambria" w:hAnsi="Cambria"/>
          <w:sz w:val="20"/>
          <w:szCs w:val="20"/>
        </w:rPr>
        <w:t xml:space="preserve"> of its Rules of Procedure authorizes the Executive Secretariat, if necessary, to request additional information from petition</w:t>
      </w:r>
      <w:r>
        <w:rPr>
          <w:rFonts w:ascii="Cambria" w:hAnsi="Cambria"/>
          <w:sz w:val="20"/>
          <w:szCs w:val="20"/>
        </w:rPr>
        <w:t>ers</w:t>
      </w:r>
      <w:r w:rsidRPr="00EA791A">
        <w:rPr>
          <w:rFonts w:ascii="Cambria" w:hAnsi="Cambria"/>
          <w:sz w:val="20"/>
          <w:szCs w:val="20"/>
        </w:rPr>
        <w:t xml:space="preserve"> in order to complete some specific aspect </w:t>
      </w:r>
      <w:r>
        <w:rPr>
          <w:rFonts w:ascii="Cambria" w:hAnsi="Cambria"/>
          <w:sz w:val="20"/>
          <w:szCs w:val="20"/>
        </w:rPr>
        <w:t>of a petition before making a decision at this first stage</w:t>
      </w:r>
      <w:r w:rsidRPr="00EA791A">
        <w:rPr>
          <w:rFonts w:ascii="Cambria" w:hAnsi="Cambria"/>
          <w:sz w:val="20"/>
          <w:szCs w:val="20"/>
        </w:rPr>
        <w:t xml:space="preserve">. </w:t>
      </w:r>
    </w:p>
    <w:p w14:paraId="03C9E84C" w14:textId="77777777" w:rsidR="0057201B" w:rsidRPr="00EA791A" w:rsidRDefault="0057201B" w:rsidP="0057201B">
      <w:pPr>
        <w:pStyle w:val="ListParagraph"/>
        <w:autoSpaceDE w:val="0"/>
        <w:autoSpaceDN w:val="0"/>
        <w:adjustRightInd w:val="0"/>
        <w:contextualSpacing w:val="0"/>
        <w:jc w:val="both"/>
        <w:rPr>
          <w:rFonts w:ascii="Cambria" w:hAnsi="Cambria"/>
          <w:sz w:val="20"/>
          <w:szCs w:val="20"/>
        </w:rPr>
      </w:pPr>
    </w:p>
    <w:p w14:paraId="73E14F59" w14:textId="77777777" w:rsidR="0057201B" w:rsidRPr="001268A7" w:rsidRDefault="0057201B" w:rsidP="00933F91">
      <w:pPr>
        <w:pStyle w:val="ListParagraph"/>
        <w:numPr>
          <w:ilvl w:val="0"/>
          <w:numId w:val="53"/>
        </w:numPr>
        <w:autoSpaceDE w:val="0"/>
        <w:autoSpaceDN w:val="0"/>
        <w:adjustRightInd w:val="0"/>
        <w:ind w:left="0" w:firstLine="720"/>
        <w:contextualSpacing w:val="0"/>
        <w:jc w:val="both"/>
        <w:rPr>
          <w:rFonts w:ascii="Cambria" w:hAnsi="Cambria"/>
          <w:sz w:val="20"/>
          <w:szCs w:val="20"/>
        </w:rPr>
      </w:pPr>
      <w:r w:rsidRPr="000728E9">
        <w:rPr>
          <w:rFonts w:ascii="Cambria" w:hAnsi="Cambria"/>
          <w:sz w:val="20"/>
          <w:szCs w:val="20"/>
        </w:rPr>
        <w:t xml:space="preserve">The IACHR, through its Resolution 1/19, has </w:t>
      </w:r>
      <w:r>
        <w:rPr>
          <w:rFonts w:ascii="Cambria" w:hAnsi="Cambria"/>
          <w:sz w:val="20"/>
          <w:szCs w:val="20"/>
        </w:rPr>
        <w:t>laid out</w:t>
      </w:r>
      <w:r w:rsidRPr="000728E9">
        <w:rPr>
          <w:rFonts w:ascii="Cambria" w:hAnsi="Cambria"/>
          <w:sz w:val="20"/>
          <w:szCs w:val="20"/>
        </w:rPr>
        <w:t xml:space="preserve"> rules </w:t>
      </w:r>
      <w:r>
        <w:rPr>
          <w:rFonts w:ascii="Cambria" w:hAnsi="Cambria"/>
          <w:sz w:val="20"/>
          <w:szCs w:val="20"/>
        </w:rPr>
        <w:t>regarding</w:t>
      </w:r>
      <w:r w:rsidRPr="000728E9">
        <w:rPr>
          <w:rFonts w:ascii="Cambria" w:hAnsi="Cambria"/>
          <w:sz w:val="20"/>
          <w:szCs w:val="20"/>
        </w:rPr>
        <w:t xml:space="preserve"> the possibility that in cases </w:t>
      </w:r>
      <w:r>
        <w:rPr>
          <w:rFonts w:ascii="Cambria" w:hAnsi="Cambria"/>
          <w:sz w:val="20"/>
          <w:szCs w:val="20"/>
        </w:rPr>
        <w:t>when</w:t>
      </w:r>
      <w:r w:rsidRPr="000728E9">
        <w:rPr>
          <w:rFonts w:ascii="Cambria" w:hAnsi="Cambria"/>
          <w:sz w:val="20"/>
          <w:szCs w:val="20"/>
        </w:rPr>
        <w:t xml:space="preserve"> there </w:t>
      </w:r>
      <w:r>
        <w:rPr>
          <w:rFonts w:ascii="Cambria" w:hAnsi="Cambria"/>
          <w:sz w:val="20"/>
          <w:szCs w:val="20"/>
        </w:rPr>
        <w:t>has been</w:t>
      </w:r>
      <w:r w:rsidRPr="000728E9">
        <w:rPr>
          <w:rFonts w:ascii="Cambria" w:hAnsi="Cambria"/>
          <w:sz w:val="20"/>
          <w:szCs w:val="20"/>
        </w:rPr>
        <w:t xml:space="preserve"> a decision not to open a petition for processing, the petitioners may </w:t>
      </w:r>
      <w:r>
        <w:rPr>
          <w:rFonts w:ascii="Cambria" w:hAnsi="Cambria"/>
          <w:sz w:val="20"/>
          <w:szCs w:val="20"/>
        </w:rPr>
        <w:t>request that</w:t>
      </w:r>
      <w:r w:rsidRPr="000728E9">
        <w:rPr>
          <w:rFonts w:ascii="Cambria" w:hAnsi="Cambria"/>
          <w:sz w:val="20"/>
          <w:szCs w:val="20"/>
        </w:rPr>
        <w:t xml:space="preserve"> the Executive Secretariat </w:t>
      </w:r>
      <w:r>
        <w:rPr>
          <w:rFonts w:ascii="Cambria" w:hAnsi="Cambria"/>
          <w:sz w:val="20"/>
          <w:szCs w:val="20"/>
        </w:rPr>
        <w:t xml:space="preserve">carry out </w:t>
      </w:r>
      <w:r w:rsidRPr="000728E9">
        <w:rPr>
          <w:rFonts w:ascii="Cambria" w:hAnsi="Cambria"/>
          <w:sz w:val="20"/>
          <w:szCs w:val="20"/>
        </w:rPr>
        <w:t xml:space="preserve">a new initial review, as long </w:t>
      </w:r>
      <w:r>
        <w:rPr>
          <w:rFonts w:ascii="Cambria" w:hAnsi="Cambria"/>
          <w:sz w:val="20"/>
          <w:szCs w:val="20"/>
        </w:rPr>
        <w:t xml:space="preserve">the request is made under the terms specified in the resolution. </w:t>
      </w:r>
      <w:r w:rsidRPr="001268A7">
        <w:rPr>
          <w:rFonts w:ascii="Cambria" w:hAnsi="Cambria"/>
          <w:sz w:val="20"/>
          <w:szCs w:val="20"/>
        </w:rPr>
        <w:t>The Executive Secretariat prioritizes the initial review of petitions and responds to these requests for a new review</w:t>
      </w:r>
      <w:r w:rsidRPr="009D51D6">
        <w:rPr>
          <w:rFonts w:ascii="Cambria" w:hAnsi="Cambria"/>
          <w:sz w:val="20"/>
          <w:szCs w:val="20"/>
        </w:rPr>
        <w:t xml:space="preserve"> </w:t>
      </w:r>
      <w:r w:rsidRPr="001268A7">
        <w:rPr>
          <w:rFonts w:ascii="Cambria" w:hAnsi="Cambria"/>
          <w:sz w:val="20"/>
          <w:szCs w:val="20"/>
        </w:rPr>
        <w:t xml:space="preserve">periodically, in chronological order, depending on the resources </w:t>
      </w:r>
      <w:r>
        <w:rPr>
          <w:rFonts w:ascii="Cambria" w:hAnsi="Cambria"/>
          <w:sz w:val="20"/>
          <w:szCs w:val="20"/>
        </w:rPr>
        <w:t>it has available</w:t>
      </w:r>
      <w:r w:rsidRPr="001268A7">
        <w:rPr>
          <w:rFonts w:ascii="Cambria" w:hAnsi="Cambria"/>
          <w:sz w:val="20"/>
          <w:szCs w:val="20"/>
        </w:rPr>
        <w:t xml:space="preserve">. </w:t>
      </w:r>
    </w:p>
    <w:p w14:paraId="25ADFBD3" w14:textId="77777777" w:rsidR="0057201B" w:rsidRPr="001268A7" w:rsidRDefault="0057201B" w:rsidP="0057201B">
      <w:pPr>
        <w:pStyle w:val="ListParagraph"/>
        <w:autoSpaceDE w:val="0"/>
        <w:autoSpaceDN w:val="0"/>
        <w:adjustRightInd w:val="0"/>
        <w:contextualSpacing w:val="0"/>
        <w:jc w:val="both"/>
        <w:rPr>
          <w:rFonts w:ascii="Cambria" w:hAnsi="Cambria"/>
          <w:sz w:val="20"/>
          <w:szCs w:val="20"/>
        </w:rPr>
      </w:pPr>
    </w:p>
    <w:p w14:paraId="1EA2961C" w14:textId="5EC66995" w:rsidR="0057201B" w:rsidRPr="00DE08A0" w:rsidRDefault="0057201B" w:rsidP="00933F91">
      <w:pPr>
        <w:pStyle w:val="ListParagraph"/>
        <w:numPr>
          <w:ilvl w:val="0"/>
          <w:numId w:val="53"/>
        </w:numPr>
        <w:autoSpaceDE w:val="0"/>
        <w:autoSpaceDN w:val="0"/>
        <w:adjustRightInd w:val="0"/>
        <w:ind w:left="0" w:firstLine="720"/>
        <w:contextualSpacing w:val="0"/>
        <w:jc w:val="both"/>
        <w:rPr>
          <w:rFonts w:ascii="Cambria" w:hAnsi="Cambria"/>
          <w:sz w:val="20"/>
          <w:szCs w:val="20"/>
        </w:rPr>
      </w:pPr>
      <w:r w:rsidRPr="001268A7">
        <w:rPr>
          <w:rFonts w:ascii="Cambria" w:hAnsi="Cambria"/>
          <w:sz w:val="20"/>
          <w:szCs w:val="20"/>
        </w:rPr>
        <w:t>In 2022, the Commission received a total of 2,44</w:t>
      </w:r>
      <w:r w:rsidR="007B1E99">
        <w:rPr>
          <w:rFonts w:ascii="Cambria" w:hAnsi="Cambria"/>
          <w:sz w:val="20"/>
          <w:szCs w:val="20"/>
        </w:rPr>
        <w:t>0</w:t>
      </w:r>
      <w:r w:rsidRPr="001268A7">
        <w:rPr>
          <w:rFonts w:ascii="Cambria" w:hAnsi="Cambria"/>
          <w:sz w:val="20"/>
          <w:szCs w:val="20"/>
        </w:rPr>
        <w:t xml:space="preserve"> petitions; by the end of 2022</w:t>
      </w:r>
      <w:r>
        <w:rPr>
          <w:rFonts w:ascii="Cambria" w:hAnsi="Cambria"/>
          <w:sz w:val="20"/>
          <w:szCs w:val="20"/>
        </w:rPr>
        <w:t xml:space="preserve">, it had evaluated </w:t>
      </w:r>
      <w:r w:rsidRPr="001268A7">
        <w:rPr>
          <w:rFonts w:ascii="Cambria" w:hAnsi="Cambria"/>
          <w:sz w:val="20"/>
          <w:szCs w:val="20"/>
        </w:rPr>
        <w:t>2,</w:t>
      </w:r>
      <w:r w:rsidR="007B1E99">
        <w:rPr>
          <w:rFonts w:ascii="Cambria" w:hAnsi="Cambria"/>
          <w:sz w:val="20"/>
          <w:szCs w:val="20"/>
        </w:rPr>
        <w:t>344</w:t>
      </w:r>
      <w:r w:rsidRPr="001268A7">
        <w:rPr>
          <w:rFonts w:ascii="Cambria" w:hAnsi="Cambria"/>
          <w:sz w:val="20"/>
          <w:szCs w:val="20"/>
        </w:rPr>
        <w:t xml:space="preserve"> peti</w:t>
      </w:r>
      <w:r>
        <w:rPr>
          <w:rFonts w:ascii="Cambria" w:hAnsi="Cambria"/>
          <w:sz w:val="20"/>
          <w:szCs w:val="20"/>
        </w:rPr>
        <w:t>tions</w:t>
      </w:r>
      <w:r w:rsidRPr="001268A7">
        <w:rPr>
          <w:rFonts w:ascii="Cambria" w:hAnsi="Cambria"/>
          <w:sz w:val="20"/>
          <w:szCs w:val="20"/>
        </w:rPr>
        <w:t xml:space="preserve"> </w:t>
      </w:r>
      <w:r>
        <w:rPr>
          <w:rFonts w:ascii="Cambria" w:hAnsi="Cambria"/>
          <w:sz w:val="20"/>
          <w:szCs w:val="20"/>
        </w:rPr>
        <w:t xml:space="preserve">in total </w:t>
      </w:r>
      <w:r w:rsidRPr="001268A7">
        <w:rPr>
          <w:rFonts w:ascii="Cambria" w:hAnsi="Cambria"/>
          <w:sz w:val="20"/>
          <w:szCs w:val="20"/>
        </w:rPr>
        <w:t>(9</w:t>
      </w:r>
      <w:r w:rsidR="007B1E99">
        <w:rPr>
          <w:rFonts w:ascii="Cambria" w:hAnsi="Cambria"/>
          <w:sz w:val="20"/>
          <w:szCs w:val="20"/>
        </w:rPr>
        <w:t>6</w:t>
      </w:r>
      <w:r w:rsidRPr="001268A7">
        <w:rPr>
          <w:rFonts w:ascii="Cambria" w:hAnsi="Cambria"/>
          <w:sz w:val="20"/>
          <w:szCs w:val="20"/>
        </w:rPr>
        <w:t xml:space="preserve">%), </w:t>
      </w:r>
      <w:r>
        <w:rPr>
          <w:rFonts w:ascii="Cambria" w:hAnsi="Cambria"/>
          <w:sz w:val="20"/>
          <w:szCs w:val="20"/>
        </w:rPr>
        <w:t xml:space="preserve">resulting in </w:t>
      </w:r>
      <w:r w:rsidRPr="001268A7">
        <w:rPr>
          <w:rFonts w:ascii="Cambria" w:hAnsi="Cambria"/>
          <w:sz w:val="20"/>
          <w:szCs w:val="20"/>
        </w:rPr>
        <w:t>3</w:t>
      </w:r>
      <w:r w:rsidR="00FE4C0F">
        <w:rPr>
          <w:rFonts w:ascii="Cambria" w:hAnsi="Cambria"/>
          <w:sz w:val="20"/>
          <w:szCs w:val="20"/>
        </w:rPr>
        <w:t>40</w:t>
      </w:r>
      <w:r w:rsidRPr="001268A7">
        <w:rPr>
          <w:rFonts w:ascii="Cambria" w:hAnsi="Cambria"/>
          <w:sz w:val="20"/>
          <w:szCs w:val="20"/>
        </w:rPr>
        <w:t xml:space="preserve"> </w:t>
      </w:r>
      <w:r>
        <w:rPr>
          <w:rFonts w:ascii="Cambria" w:hAnsi="Cambria"/>
          <w:sz w:val="20"/>
          <w:szCs w:val="20"/>
        </w:rPr>
        <w:t>decisions to open for processing</w:t>
      </w:r>
      <w:r w:rsidRPr="001268A7">
        <w:rPr>
          <w:rFonts w:ascii="Cambria" w:hAnsi="Cambria"/>
          <w:sz w:val="20"/>
          <w:szCs w:val="20"/>
        </w:rPr>
        <w:t>, 1,8</w:t>
      </w:r>
      <w:r w:rsidR="00FE4C0F">
        <w:rPr>
          <w:rFonts w:ascii="Cambria" w:hAnsi="Cambria"/>
          <w:sz w:val="20"/>
          <w:szCs w:val="20"/>
        </w:rPr>
        <w:t>6</w:t>
      </w:r>
      <w:r w:rsidRPr="001268A7">
        <w:rPr>
          <w:rFonts w:ascii="Cambria" w:hAnsi="Cambria"/>
          <w:sz w:val="20"/>
          <w:szCs w:val="20"/>
        </w:rPr>
        <w:t xml:space="preserve">4 </w:t>
      </w:r>
      <w:r>
        <w:rPr>
          <w:rFonts w:ascii="Cambria" w:hAnsi="Cambria"/>
          <w:sz w:val="20"/>
          <w:szCs w:val="20"/>
        </w:rPr>
        <w:t xml:space="preserve">rejections, and </w:t>
      </w:r>
      <w:r w:rsidRPr="001268A7">
        <w:rPr>
          <w:rFonts w:ascii="Cambria" w:hAnsi="Cambria"/>
          <w:sz w:val="20"/>
          <w:szCs w:val="20"/>
        </w:rPr>
        <w:t>1</w:t>
      </w:r>
      <w:r w:rsidR="00FE4C0F">
        <w:rPr>
          <w:rFonts w:ascii="Cambria" w:hAnsi="Cambria"/>
          <w:sz w:val="20"/>
          <w:szCs w:val="20"/>
        </w:rPr>
        <w:t>40</w:t>
      </w:r>
      <w:r w:rsidRPr="001268A7">
        <w:rPr>
          <w:rFonts w:ascii="Cambria" w:hAnsi="Cambria"/>
          <w:sz w:val="20"/>
          <w:szCs w:val="20"/>
        </w:rPr>
        <w:t xml:space="preserve"> </w:t>
      </w:r>
      <w:r>
        <w:rPr>
          <w:rFonts w:ascii="Cambria" w:hAnsi="Cambria"/>
          <w:sz w:val="20"/>
          <w:szCs w:val="20"/>
        </w:rPr>
        <w:t>requests to petitioners for additional information</w:t>
      </w:r>
      <w:r w:rsidRPr="001268A7">
        <w:rPr>
          <w:rFonts w:ascii="Cambria" w:hAnsi="Cambria"/>
          <w:sz w:val="20"/>
          <w:szCs w:val="20"/>
        </w:rPr>
        <w:t xml:space="preserve">. </w:t>
      </w:r>
      <w:r w:rsidRPr="004D361E">
        <w:rPr>
          <w:rFonts w:ascii="Cambria" w:hAnsi="Cambria"/>
          <w:sz w:val="20"/>
          <w:szCs w:val="20"/>
        </w:rPr>
        <w:t>This means that only 1</w:t>
      </w:r>
      <w:r w:rsidR="00FE4C0F">
        <w:rPr>
          <w:rFonts w:ascii="Cambria" w:hAnsi="Cambria"/>
          <w:sz w:val="20"/>
          <w:szCs w:val="20"/>
        </w:rPr>
        <w:t>4</w:t>
      </w:r>
      <w:r w:rsidRPr="004D361E">
        <w:rPr>
          <w:rFonts w:ascii="Cambria" w:hAnsi="Cambria"/>
          <w:sz w:val="20"/>
          <w:szCs w:val="20"/>
        </w:rPr>
        <w:t xml:space="preserve">% of the total petitions received </w:t>
      </w:r>
      <w:r>
        <w:rPr>
          <w:rFonts w:ascii="Cambria" w:hAnsi="Cambria"/>
          <w:sz w:val="20"/>
          <w:szCs w:val="20"/>
        </w:rPr>
        <w:t xml:space="preserve">were found to have </w:t>
      </w:r>
      <w:r w:rsidRPr="004D361E">
        <w:rPr>
          <w:rFonts w:ascii="Cambria" w:hAnsi="Cambria"/>
          <w:sz w:val="20"/>
          <w:szCs w:val="20"/>
        </w:rPr>
        <w:t xml:space="preserve">met the procedural requirements </w:t>
      </w:r>
      <w:r>
        <w:rPr>
          <w:rFonts w:ascii="Cambria" w:hAnsi="Cambria"/>
          <w:sz w:val="20"/>
          <w:szCs w:val="20"/>
        </w:rPr>
        <w:t>to open</w:t>
      </w:r>
      <w:r w:rsidRPr="004D361E">
        <w:rPr>
          <w:rFonts w:ascii="Cambria" w:hAnsi="Cambria"/>
          <w:sz w:val="20"/>
          <w:szCs w:val="20"/>
        </w:rPr>
        <w:t xml:space="preserve"> </w:t>
      </w:r>
      <w:r>
        <w:rPr>
          <w:rFonts w:ascii="Cambria" w:hAnsi="Cambria"/>
          <w:sz w:val="20"/>
          <w:szCs w:val="20"/>
        </w:rPr>
        <w:t xml:space="preserve">a case, and the remaining </w:t>
      </w:r>
      <w:r w:rsidRPr="00175076">
        <w:rPr>
          <w:rFonts w:ascii="Cambria" w:hAnsi="Cambria"/>
          <w:sz w:val="20"/>
          <w:szCs w:val="20"/>
        </w:rPr>
        <w:t>8</w:t>
      </w:r>
      <w:r w:rsidR="00FE4C0F">
        <w:rPr>
          <w:rFonts w:ascii="Cambria" w:hAnsi="Cambria"/>
          <w:sz w:val="20"/>
          <w:szCs w:val="20"/>
        </w:rPr>
        <w:t>6</w:t>
      </w:r>
      <w:r w:rsidRPr="00175076">
        <w:rPr>
          <w:rFonts w:ascii="Cambria" w:hAnsi="Cambria"/>
          <w:sz w:val="20"/>
          <w:szCs w:val="20"/>
        </w:rPr>
        <w:t xml:space="preserve">% </w:t>
      </w:r>
      <w:r>
        <w:rPr>
          <w:rFonts w:ascii="Cambria" w:hAnsi="Cambria"/>
          <w:sz w:val="20"/>
          <w:szCs w:val="20"/>
        </w:rPr>
        <w:t>of petitions were found not to meet all the requirements. T</w:t>
      </w:r>
      <w:r w:rsidRPr="00DE08A0">
        <w:rPr>
          <w:rFonts w:ascii="Cambria" w:hAnsi="Cambria"/>
          <w:sz w:val="20"/>
          <w:szCs w:val="20"/>
        </w:rPr>
        <w:t>his rigorous analysis</w:t>
      </w:r>
      <w:r>
        <w:rPr>
          <w:rFonts w:ascii="Cambria" w:hAnsi="Cambria"/>
          <w:sz w:val="20"/>
          <w:szCs w:val="20"/>
        </w:rPr>
        <w:t xml:space="preserve"> process enables</w:t>
      </w:r>
      <w:r w:rsidRPr="00DE08A0">
        <w:rPr>
          <w:rFonts w:ascii="Cambria" w:hAnsi="Cambria"/>
          <w:sz w:val="20"/>
          <w:szCs w:val="20"/>
        </w:rPr>
        <w:t xml:space="preserve"> the Commission</w:t>
      </w:r>
      <w:r>
        <w:rPr>
          <w:rFonts w:ascii="Cambria" w:hAnsi="Cambria"/>
          <w:sz w:val="20"/>
          <w:szCs w:val="20"/>
        </w:rPr>
        <w:t>, through its initial evaluation decisions,</w:t>
      </w:r>
      <w:r w:rsidRPr="00DE08A0">
        <w:rPr>
          <w:rFonts w:ascii="Cambria" w:hAnsi="Cambria"/>
          <w:sz w:val="20"/>
          <w:szCs w:val="20"/>
        </w:rPr>
        <w:t xml:space="preserve"> </w:t>
      </w:r>
      <w:r>
        <w:rPr>
          <w:rFonts w:ascii="Cambria" w:hAnsi="Cambria"/>
          <w:sz w:val="20"/>
          <w:szCs w:val="20"/>
        </w:rPr>
        <w:t xml:space="preserve">to </w:t>
      </w:r>
      <w:r w:rsidRPr="00DE08A0">
        <w:rPr>
          <w:rFonts w:ascii="Cambria" w:hAnsi="Cambria"/>
          <w:sz w:val="20"/>
          <w:szCs w:val="20"/>
        </w:rPr>
        <w:t>protect the subsidiary and complementary nature of the inter-American system, both from a procedural standpoint (when domestic remedies have not been exhausted or an exception does not apply)</w:t>
      </w:r>
      <w:r>
        <w:rPr>
          <w:rFonts w:ascii="Cambria" w:hAnsi="Cambria"/>
          <w:sz w:val="20"/>
          <w:szCs w:val="20"/>
        </w:rPr>
        <w:t xml:space="preserve"> as well as a substantive one </w:t>
      </w:r>
      <w:r w:rsidRPr="00DE08A0">
        <w:rPr>
          <w:rFonts w:ascii="Cambria" w:hAnsi="Cambria"/>
          <w:sz w:val="20"/>
          <w:szCs w:val="20"/>
        </w:rPr>
        <w:t>(</w:t>
      </w:r>
      <w:r>
        <w:rPr>
          <w:rFonts w:ascii="Cambria" w:hAnsi="Cambria"/>
          <w:sz w:val="20"/>
          <w:szCs w:val="20"/>
        </w:rPr>
        <w:t>when the acts in question do not constitute a violation of rights recognized in the instruments under its jurisdiction</w:t>
      </w:r>
      <w:r w:rsidRPr="00DE08A0">
        <w:rPr>
          <w:rFonts w:ascii="Cambria" w:hAnsi="Cambria"/>
          <w:sz w:val="20"/>
          <w:szCs w:val="20"/>
        </w:rPr>
        <w:t xml:space="preserve">). </w:t>
      </w:r>
    </w:p>
    <w:p w14:paraId="5E657C73" w14:textId="77777777" w:rsidR="0057201B" w:rsidRPr="00DE08A0" w:rsidRDefault="0057201B" w:rsidP="0057201B">
      <w:pPr>
        <w:pStyle w:val="ListParagraph"/>
        <w:autoSpaceDE w:val="0"/>
        <w:autoSpaceDN w:val="0"/>
        <w:adjustRightInd w:val="0"/>
        <w:contextualSpacing w:val="0"/>
        <w:jc w:val="both"/>
        <w:rPr>
          <w:rFonts w:ascii="Cambria" w:hAnsi="Cambria"/>
          <w:sz w:val="20"/>
          <w:szCs w:val="20"/>
        </w:rPr>
      </w:pPr>
    </w:p>
    <w:p w14:paraId="76641E2B" w14:textId="77777777" w:rsidR="0057201B" w:rsidRPr="00832F09" w:rsidRDefault="0057201B" w:rsidP="00933F91">
      <w:pPr>
        <w:pStyle w:val="ListParagraph"/>
        <w:numPr>
          <w:ilvl w:val="0"/>
          <w:numId w:val="53"/>
        </w:numPr>
        <w:autoSpaceDE w:val="0"/>
        <w:autoSpaceDN w:val="0"/>
        <w:adjustRightInd w:val="0"/>
        <w:ind w:left="0" w:firstLine="720"/>
        <w:contextualSpacing w:val="0"/>
        <w:jc w:val="both"/>
        <w:rPr>
          <w:rFonts w:ascii="Cambria" w:hAnsi="Cambria"/>
          <w:sz w:val="20"/>
          <w:szCs w:val="20"/>
        </w:rPr>
      </w:pPr>
      <w:r w:rsidRPr="00832F09">
        <w:rPr>
          <w:rFonts w:ascii="Cambria" w:hAnsi="Cambria"/>
          <w:sz w:val="20"/>
          <w:szCs w:val="20"/>
        </w:rPr>
        <w:t>The result</w:t>
      </w:r>
      <w:r>
        <w:rPr>
          <w:rFonts w:ascii="Cambria" w:hAnsi="Cambria"/>
          <w:sz w:val="20"/>
          <w:szCs w:val="20"/>
        </w:rPr>
        <w:t>s</w:t>
      </w:r>
      <w:r w:rsidRPr="00832F09">
        <w:rPr>
          <w:rFonts w:ascii="Cambria" w:hAnsi="Cambria"/>
          <w:sz w:val="20"/>
          <w:szCs w:val="20"/>
        </w:rPr>
        <w:t xml:space="preserve"> obtained in 2022 </w:t>
      </w:r>
      <w:r>
        <w:rPr>
          <w:rFonts w:ascii="Cambria" w:hAnsi="Cambria"/>
          <w:sz w:val="20"/>
          <w:szCs w:val="20"/>
        </w:rPr>
        <w:t>consolidates</w:t>
      </w:r>
      <w:r w:rsidRPr="00832F09">
        <w:rPr>
          <w:rFonts w:ascii="Cambria" w:hAnsi="Cambria"/>
          <w:sz w:val="20"/>
          <w:szCs w:val="20"/>
        </w:rPr>
        <w:t xml:space="preserve"> the trend the IACHR achieved as a result of its </w:t>
      </w:r>
      <w:r>
        <w:rPr>
          <w:rFonts w:ascii="Cambria" w:hAnsi="Cambria"/>
          <w:sz w:val="20"/>
          <w:szCs w:val="20"/>
        </w:rPr>
        <w:t xml:space="preserve">Strategic Plan </w:t>
      </w:r>
      <w:r w:rsidRPr="00832F09">
        <w:rPr>
          <w:rFonts w:ascii="Cambria" w:hAnsi="Cambria"/>
          <w:sz w:val="20"/>
          <w:szCs w:val="20"/>
        </w:rPr>
        <w:t>2017-2021,</w:t>
      </w:r>
      <w:r>
        <w:rPr>
          <w:rFonts w:ascii="Cambria" w:hAnsi="Cambria"/>
          <w:sz w:val="20"/>
          <w:szCs w:val="20"/>
        </w:rPr>
        <w:t xml:space="preserve"> which is detailed</w:t>
      </w:r>
      <w:r w:rsidRPr="00832F09">
        <w:rPr>
          <w:rFonts w:ascii="Cambria" w:hAnsi="Cambria"/>
          <w:sz w:val="20"/>
          <w:szCs w:val="20"/>
        </w:rPr>
        <w:t xml:space="preserve"> </w:t>
      </w:r>
      <w:r>
        <w:rPr>
          <w:rFonts w:ascii="Cambria" w:hAnsi="Cambria"/>
          <w:sz w:val="20"/>
          <w:szCs w:val="20"/>
        </w:rPr>
        <w:t>in its annual reports from that period. This progress</w:t>
      </w:r>
      <w:r w:rsidRPr="00832F09">
        <w:rPr>
          <w:rFonts w:ascii="Cambria" w:hAnsi="Cambria"/>
          <w:sz w:val="20"/>
          <w:szCs w:val="20"/>
        </w:rPr>
        <w:t xml:space="preserve"> translate</w:t>
      </w:r>
      <w:r>
        <w:rPr>
          <w:rFonts w:ascii="Cambria" w:hAnsi="Cambria"/>
          <w:sz w:val="20"/>
          <w:szCs w:val="20"/>
        </w:rPr>
        <w:t>s</w:t>
      </w:r>
      <w:r w:rsidRPr="00832F09">
        <w:rPr>
          <w:rFonts w:ascii="Cambria" w:hAnsi="Cambria"/>
          <w:sz w:val="20"/>
          <w:szCs w:val="20"/>
        </w:rPr>
        <w:t xml:space="preserve"> into </w:t>
      </w:r>
      <w:r w:rsidRPr="00832F09">
        <w:rPr>
          <w:rFonts w:ascii="Cambria" w:hAnsi="Cambria"/>
          <w:sz w:val="20"/>
          <w:szCs w:val="20"/>
        </w:rPr>
        <w:lastRenderedPageBreak/>
        <w:t xml:space="preserve">the elimination of the procedural backlog that </w:t>
      </w:r>
      <w:r>
        <w:rPr>
          <w:rFonts w:ascii="Cambria" w:hAnsi="Cambria"/>
          <w:sz w:val="20"/>
          <w:szCs w:val="20"/>
        </w:rPr>
        <w:t xml:space="preserve">had </w:t>
      </w:r>
      <w:r w:rsidRPr="00832F09">
        <w:rPr>
          <w:rFonts w:ascii="Cambria" w:hAnsi="Cambria"/>
          <w:sz w:val="20"/>
          <w:szCs w:val="20"/>
        </w:rPr>
        <w:t>existed at</w:t>
      </w:r>
      <w:r>
        <w:rPr>
          <w:rFonts w:ascii="Cambria" w:hAnsi="Cambria"/>
          <w:sz w:val="20"/>
          <w:szCs w:val="20"/>
        </w:rPr>
        <w:t xml:space="preserve"> this stage; as of </w:t>
      </w:r>
      <w:r w:rsidRPr="00832F09">
        <w:rPr>
          <w:rFonts w:ascii="Cambria" w:hAnsi="Cambria"/>
          <w:sz w:val="20"/>
          <w:szCs w:val="20"/>
        </w:rPr>
        <w:t>2017</w:t>
      </w:r>
      <w:r>
        <w:rPr>
          <w:rFonts w:ascii="Cambria" w:hAnsi="Cambria"/>
          <w:sz w:val="20"/>
          <w:szCs w:val="20"/>
        </w:rPr>
        <w:t>,</w:t>
      </w:r>
      <w:r w:rsidRPr="00832F09">
        <w:rPr>
          <w:rFonts w:ascii="Cambria" w:hAnsi="Cambria"/>
          <w:sz w:val="20"/>
          <w:szCs w:val="20"/>
        </w:rPr>
        <w:t xml:space="preserve"> </w:t>
      </w:r>
      <w:r>
        <w:rPr>
          <w:rFonts w:ascii="Cambria" w:hAnsi="Cambria"/>
          <w:sz w:val="20"/>
          <w:szCs w:val="20"/>
        </w:rPr>
        <w:t xml:space="preserve">the Commission reported that there were </w:t>
      </w:r>
      <w:hyperlink r:id="rId12" w:history="1">
        <w:r w:rsidRPr="00E272CC">
          <w:rPr>
            <w:rStyle w:val="Hyperlink"/>
            <w:rFonts w:ascii="Cambria" w:hAnsi="Cambria"/>
            <w:sz w:val="20"/>
            <w:szCs w:val="20"/>
          </w:rPr>
          <w:t>4,002 petitions</w:t>
        </w:r>
      </w:hyperlink>
      <w:r w:rsidRPr="00832F09">
        <w:rPr>
          <w:rFonts w:ascii="Cambria" w:hAnsi="Cambria"/>
          <w:sz w:val="20"/>
          <w:szCs w:val="20"/>
        </w:rPr>
        <w:t xml:space="preserve"> pendi</w:t>
      </w:r>
      <w:r>
        <w:rPr>
          <w:rFonts w:ascii="Cambria" w:hAnsi="Cambria"/>
          <w:sz w:val="20"/>
          <w:szCs w:val="20"/>
        </w:rPr>
        <w:t>ng initial evaluation</w:t>
      </w:r>
      <w:r w:rsidRPr="00832F09">
        <w:rPr>
          <w:rFonts w:ascii="Cambria" w:hAnsi="Cambria"/>
          <w:sz w:val="20"/>
          <w:szCs w:val="20"/>
        </w:rPr>
        <w:t xml:space="preserve">. </w:t>
      </w:r>
    </w:p>
    <w:p w14:paraId="79E64204" w14:textId="77777777" w:rsidR="0057201B" w:rsidRPr="00832F09" w:rsidRDefault="0057201B" w:rsidP="0057201B">
      <w:pPr>
        <w:pStyle w:val="ListParagraph"/>
        <w:autoSpaceDE w:val="0"/>
        <w:autoSpaceDN w:val="0"/>
        <w:adjustRightInd w:val="0"/>
        <w:contextualSpacing w:val="0"/>
        <w:jc w:val="both"/>
        <w:rPr>
          <w:rFonts w:ascii="Cambria" w:hAnsi="Cambria"/>
          <w:sz w:val="20"/>
          <w:szCs w:val="20"/>
        </w:rPr>
      </w:pPr>
    </w:p>
    <w:p w14:paraId="117F90F6" w14:textId="77777777" w:rsidR="0057201B" w:rsidRPr="004E7312" w:rsidRDefault="0057201B" w:rsidP="00933F91">
      <w:pPr>
        <w:pStyle w:val="ListParagraph"/>
        <w:numPr>
          <w:ilvl w:val="0"/>
          <w:numId w:val="53"/>
        </w:numPr>
        <w:autoSpaceDE w:val="0"/>
        <w:autoSpaceDN w:val="0"/>
        <w:adjustRightInd w:val="0"/>
        <w:ind w:left="0" w:firstLine="720"/>
        <w:contextualSpacing w:val="0"/>
        <w:jc w:val="both"/>
        <w:rPr>
          <w:rFonts w:ascii="Cambria" w:hAnsi="Cambria"/>
          <w:sz w:val="20"/>
          <w:szCs w:val="20"/>
        </w:rPr>
      </w:pPr>
      <w:r w:rsidRPr="002E49E4">
        <w:rPr>
          <w:rFonts w:ascii="Cambria" w:hAnsi="Cambria"/>
          <w:sz w:val="20"/>
          <w:szCs w:val="20"/>
        </w:rPr>
        <w:t xml:space="preserve">The IACHR will continue to </w:t>
      </w:r>
      <w:r>
        <w:rPr>
          <w:rFonts w:ascii="Cambria" w:hAnsi="Cambria"/>
          <w:sz w:val="20"/>
          <w:szCs w:val="20"/>
        </w:rPr>
        <w:t>work</w:t>
      </w:r>
      <w:r w:rsidRPr="002E49E4">
        <w:rPr>
          <w:rFonts w:ascii="Cambria" w:hAnsi="Cambria"/>
          <w:sz w:val="20"/>
          <w:szCs w:val="20"/>
        </w:rPr>
        <w:t xml:space="preserve"> to reduce the wait times for notifying both parties of the initial evaluation decisions in which it decided to </w:t>
      </w:r>
      <w:r>
        <w:rPr>
          <w:rFonts w:ascii="Cambria" w:hAnsi="Cambria"/>
          <w:sz w:val="20"/>
          <w:szCs w:val="20"/>
        </w:rPr>
        <w:t xml:space="preserve">open a petition for processing. </w:t>
      </w:r>
      <w:r w:rsidRPr="002E49E4">
        <w:rPr>
          <w:rFonts w:ascii="Cambria" w:hAnsi="Cambria"/>
          <w:sz w:val="20"/>
          <w:szCs w:val="20"/>
        </w:rPr>
        <w:t>Currently, the Commission has 1,</w:t>
      </w:r>
      <w:r>
        <w:rPr>
          <w:rFonts w:ascii="Cambria" w:hAnsi="Cambria"/>
          <w:sz w:val="20"/>
          <w:szCs w:val="20"/>
        </w:rPr>
        <w:t>446</w:t>
      </w:r>
      <w:r w:rsidRPr="002E49E4">
        <w:rPr>
          <w:rFonts w:ascii="Cambria" w:hAnsi="Cambria"/>
          <w:sz w:val="20"/>
          <w:szCs w:val="20"/>
        </w:rPr>
        <w:t xml:space="preserve"> petitions pending notification</w:t>
      </w:r>
      <w:r>
        <w:rPr>
          <w:rFonts w:ascii="Cambria" w:hAnsi="Cambria"/>
          <w:sz w:val="20"/>
          <w:szCs w:val="20"/>
        </w:rPr>
        <w:t xml:space="preserve">; these </w:t>
      </w:r>
      <w:r w:rsidRPr="002E49E4">
        <w:rPr>
          <w:rFonts w:ascii="Cambria" w:hAnsi="Cambria"/>
          <w:sz w:val="20"/>
          <w:szCs w:val="20"/>
        </w:rPr>
        <w:t>were lodged with</w:t>
      </w:r>
      <w:r>
        <w:rPr>
          <w:rFonts w:ascii="Cambria" w:hAnsi="Cambria"/>
          <w:sz w:val="20"/>
          <w:szCs w:val="20"/>
        </w:rPr>
        <w:t xml:space="preserve"> respect to 25 of the Organization’s Member States, this means 15% less than those reported at the beginning of this year. During</w:t>
      </w:r>
      <w:r w:rsidRPr="004E7312">
        <w:rPr>
          <w:rFonts w:ascii="Cambria" w:hAnsi="Cambria"/>
          <w:sz w:val="20"/>
          <w:szCs w:val="20"/>
        </w:rPr>
        <w:t xml:space="preserve"> 2022, the Commission issued 681 notifications of </w:t>
      </w:r>
      <w:r>
        <w:rPr>
          <w:rFonts w:ascii="Cambria" w:hAnsi="Cambria"/>
          <w:sz w:val="20"/>
          <w:szCs w:val="20"/>
        </w:rPr>
        <w:t>decisions to open for processing</w:t>
      </w:r>
      <w:r w:rsidRPr="004E7312">
        <w:rPr>
          <w:rFonts w:ascii="Cambria" w:hAnsi="Cambria"/>
          <w:sz w:val="20"/>
          <w:szCs w:val="20"/>
        </w:rPr>
        <w:t xml:space="preserve">, as established in Article 30 of </w:t>
      </w:r>
      <w:r>
        <w:rPr>
          <w:rFonts w:ascii="Cambria" w:hAnsi="Cambria"/>
          <w:sz w:val="20"/>
          <w:szCs w:val="20"/>
        </w:rPr>
        <w:t xml:space="preserve">the Commission’s Rules of Procedure, and </w:t>
      </w:r>
      <w:r w:rsidRPr="004E7312">
        <w:rPr>
          <w:rFonts w:ascii="Cambria" w:hAnsi="Cambria"/>
          <w:sz w:val="20"/>
          <w:szCs w:val="20"/>
        </w:rPr>
        <w:t xml:space="preserve">78 </w:t>
      </w:r>
      <w:r>
        <w:rPr>
          <w:rFonts w:ascii="Cambria" w:hAnsi="Cambria"/>
          <w:sz w:val="20"/>
          <w:szCs w:val="20"/>
        </w:rPr>
        <w:t xml:space="preserve">decisions to archive the petition at this stage, as provided in Article </w:t>
      </w:r>
      <w:r w:rsidRPr="004E7312">
        <w:rPr>
          <w:rFonts w:ascii="Cambria" w:hAnsi="Cambria"/>
          <w:sz w:val="20"/>
          <w:szCs w:val="20"/>
        </w:rPr>
        <w:t xml:space="preserve">42 </w:t>
      </w:r>
      <w:r>
        <w:rPr>
          <w:rFonts w:ascii="Cambria" w:hAnsi="Cambria"/>
          <w:sz w:val="20"/>
          <w:szCs w:val="20"/>
        </w:rPr>
        <w:t>of the same instrument</w:t>
      </w:r>
      <w:r w:rsidRPr="004E7312">
        <w:rPr>
          <w:rFonts w:ascii="Cambria" w:hAnsi="Cambria"/>
          <w:sz w:val="20"/>
          <w:szCs w:val="20"/>
        </w:rPr>
        <w:t xml:space="preserve">. </w:t>
      </w:r>
    </w:p>
    <w:p w14:paraId="65E8EA6F" w14:textId="77777777" w:rsidR="0057201B" w:rsidRPr="004E7312" w:rsidRDefault="0057201B" w:rsidP="0057201B">
      <w:pPr>
        <w:pStyle w:val="ListParagraph"/>
        <w:autoSpaceDE w:val="0"/>
        <w:autoSpaceDN w:val="0"/>
        <w:adjustRightInd w:val="0"/>
        <w:contextualSpacing w:val="0"/>
        <w:jc w:val="both"/>
        <w:rPr>
          <w:rFonts w:ascii="Cambria" w:hAnsi="Cambria"/>
          <w:sz w:val="20"/>
          <w:szCs w:val="20"/>
        </w:rPr>
      </w:pPr>
    </w:p>
    <w:p w14:paraId="33767F97" w14:textId="77777777" w:rsidR="0057201B" w:rsidRPr="002D53FB" w:rsidRDefault="0057201B" w:rsidP="00933F91">
      <w:pPr>
        <w:pStyle w:val="ListParagraph"/>
        <w:numPr>
          <w:ilvl w:val="0"/>
          <w:numId w:val="53"/>
        </w:numPr>
        <w:autoSpaceDE w:val="0"/>
        <w:autoSpaceDN w:val="0"/>
        <w:adjustRightInd w:val="0"/>
        <w:ind w:left="0" w:firstLine="720"/>
        <w:contextualSpacing w:val="0"/>
        <w:jc w:val="both"/>
        <w:rPr>
          <w:rFonts w:ascii="Cambria" w:hAnsi="Cambria"/>
          <w:sz w:val="20"/>
          <w:szCs w:val="20"/>
        </w:rPr>
      </w:pPr>
      <w:r w:rsidRPr="00FC067F">
        <w:rPr>
          <w:rFonts w:ascii="Cambria" w:hAnsi="Cambria"/>
          <w:sz w:val="20"/>
          <w:szCs w:val="20"/>
        </w:rPr>
        <w:t xml:space="preserve">The notification of decisions to </w:t>
      </w:r>
      <w:r>
        <w:rPr>
          <w:rFonts w:ascii="Cambria" w:hAnsi="Cambria"/>
          <w:sz w:val="20"/>
          <w:szCs w:val="20"/>
        </w:rPr>
        <w:t>open for processing</w:t>
      </w:r>
      <w:r w:rsidRPr="00FC067F">
        <w:rPr>
          <w:rFonts w:ascii="Cambria" w:hAnsi="Cambria"/>
          <w:sz w:val="20"/>
          <w:szCs w:val="20"/>
        </w:rPr>
        <w:t>, in line with Article 30 of th</w:t>
      </w:r>
      <w:r>
        <w:rPr>
          <w:rFonts w:ascii="Cambria" w:hAnsi="Cambria"/>
          <w:sz w:val="20"/>
          <w:szCs w:val="20"/>
        </w:rPr>
        <w:t xml:space="preserve">e Rules of Procedure, was done based on the chronological criterion. </w:t>
      </w:r>
      <w:r w:rsidRPr="002D53FB">
        <w:rPr>
          <w:rFonts w:ascii="Cambria" w:hAnsi="Cambria"/>
          <w:sz w:val="20"/>
          <w:szCs w:val="20"/>
        </w:rPr>
        <w:t xml:space="preserve">Thus, petitions pending through 2015 represented 13% (89) of the notifications in 2022. The prioritization criteria established in Article 29(2) of the Rules of Procedure </w:t>
      </w:r>
      <w:r>
        <w:rPr>
          <w:rFonts w:ascii="Cambria" w:hAnsi="Cambria"/>
          <w:sz w:val="20"/>
          <w:szCs w:val="20"/>
        </w:rPr>
        <w:t xml:space="preserve">also </w:t>
      </w:r>
      <w:r w:rsidRPr="002D53FB">
        <w:rPr>
          <w:rFonts w:ascii="Cambria" w:hAnsi="Cambria"/>
          <w:sz w:val="20"/>
          <w:szCs w:val="20"/>
        </w:rPr>
        <w:t xml:space="preserve">continued to be applied, with one or more of the criteria identified in 23% (157) </w:t>
      </w:r>
      <w:r>
        <w:rPr>
          <w:rFonts w:ascii="Cambria" w:hAnsi="Cambria"/>
          <w:sz w:val="20"/>
          <w:szCs w:val="20"/>
        </w:rPr>
        <w:t>of the petitions notified during the year</w:t>
      </w:r>
      <w:r w:rsidRPr="002D53FB">
        <w:rPr>
          <w:rFonts w:ascii="Cambria" w:hAnsi="Cambria"/>
          <w:sz w:val="20"/>
          <w:szCs w:val="20"/>
        </w:rPr>
        <w:t xml:space="preserve">. </w:t>
      </w:r>
    </w:p>
    <w:p w14:paraId="64098078" w14:textId="77777777" w:rsidR="0057201B" w:rsidRPr="002D53FB" w:rsidRDefault="0057201B" w:rsidP="0057201B">
      <w:pPr>
        <w:pStyle w:val="ListParagraph"/>
        <w:autoSpaceDE w:val="0"/>
        <w:autoSpaceDN w:val="0"/>
        <w:adjustRightInd w:val="0"/>
        <w:contextualSpacing w:val="0"/>
        <w:jc w:val="both"/>
        <w:rPr>
          <w:rFonts w:ascii="Cambria" w:hAnsi="Cambria"/>
          <w:sz w:val="20"/>
          <w:szCs w:val="20"/>
        </w:rPr>
      </w:pPr>
    </w:p>
    <w:p w14:paraId="5B9279C6" w14:textId="77777777" w:rsidR="0057201B" w:rsidRPr="004B7474" w:rsidRDefault="0057201B" w:rsidP="00933F91">
      <w:pPr>
        <w:pStyle w:val="ListParagraph"/>
        <w:numPr>
          <w:ilvl w:val="0"/>
          <w:numId w:val="55"/>
        </w:numPr>
        <w:autoSpaceDE w:val="0"/>
        <w:autoSpaceDN w:val="0"/>
        <w:adjustRightInd w:val="0"/>
        <w:ind w:left="1440" w:hanging="720"/>
        <w:contextualSpacing w:val="0"/>
        <w:jc w:val="both"/>
        <w:rPr>
          <w:rFonts w:ascii="Cambria" w:hAnsi="Cambria"/>
          <w:b/>
          <w:bCs/>
          <w:sz w:val="22"/>
          <w:szCs w:val="22"/>
          <w:lang w:val="es-US"/>
        </w:rPr>
      </w:pPr>
      <w:r w:rsidRPr="004B7474">
        <w:rPr>
          <w:rFonts w:ascii="Cambria" w:hAnsi="Cambria"/>
          <w:b/>
          <w:bCs/>
          <w:sz w:val="22"/>
          <w:szCs w:val="22"/>
          <w:lang w:val="es-US"/>
        </w:rPr>
        <w:t>Admissibility and Merits</w:t>
      </w:r>
    </w:p>
    <w:p w14:paraId="1D567647" w14:textId="77777777" w:rsidR="0057201B" w:rsidRPr="00AE3A84" w:rsidRDefault="0057201B" w:rsidP="0057201B">
      <w:pPr>
        <w:pStyle w:val="ListParagraph"/>
        <w:autoSpaceDE w:val="0"/>
        <w:autoSpaceDN w:val="0"/>
        <w:adjustRightInd w:val="0"/>
        <w:contextualSpacing w:val="0"/>
        <w:jc w:val="both"/>
        <w:rPr>
          <w:rFonts w:ascii="Cambria" w:hAnsi="Cambria"/>
          <w:sz w:val="20"/>
          <w:szCs w:val="20"/>
          <w:lang w:val="es-ES_tradnl"/>
        </w:rPr>
      </w:pPr>
    </w:p>
    <w:p w14:paraId="19043100" w14:textId="77777777" w:rsidR="0057201B" w:rsidRPr="004B5886" w:rsidRDefault="0057201B" w:rsidP="00933F91">
      <w:pPr>
        <w:pStyle w:val="ListParagraph"/>
        <w:numPr>
          <w:ilvl w:val="0"/>
          <w:numId w:val="53"/>
        </w:numPr>
        <w:autoSpaceDE w:val="0"/>
        <w:autoSpaceDN w:val="0"/>
        <w:adjustRightInd w:val="0"/>
        <w:ind w:left="0" w:firstLine="720"/>
        <w:contextualSpacing w:val="0"/>
        <w:jc w:val="both"/>
        <w:rPr>
          <w:rFonts w:ascii="Cambria" w:hAnsi="Cambria"/>
          <w:sz w:val="20"/>
          <w:szCs w:val="20"/>
        </w:rPr>
      </w:pPr>
      <w:r w:rsidRPr="004B5886">
        <w:rPr>
          <w:rFonts w:ascii="Cambria" w:hAnsi="Cambria"/>
          <w:sz w:val="20"/>
          <w:szCs w:val="20"/>
        </w:rPr>
        <w:t xml:space="preserve">During 2022, in accordance with Articles 30 to 36 of its Rules of Procedure, and </w:t>
      </w:r>
      <w:r>
        <w:rPr>
          <w:rFonts w:ascii="Cambria" w:hAnsi="Cambria"/>
          <w:sz w:val="20"/>
          <w:szCs w:val="20"/>
        </w:rPr>
        <w:t xml:space="preserve">Articles </w:t>
      </w:r>
      <w:r w:rsidRPr="004B5886">
        <w:rPr>
          <w:rFonts w:ascii="Cambria" w:hAnsi="Cambria"/>
          <w:sz w:val="20"/>
          <w:szCs w:val="20"/>
        </w:rPr>
        <w:t>44 to 48 of the American Convention, the Commission approved a total of 30</w:t>
      </w:r>
      <w:r>
        <w:rPr>
          <w:rFonts w:ascii="Cambria" w:hAnsi="Cambria"/>
          <w:sz w:val="20"/>
          <w:szCs w:val="20"/>
        </w:rPr>
        <w:t>3</w:t>
      </w:r>
      <w:r w:rsidRPr="004B5886">
        <w:rPr>
          <w:rFonts w:ascii="Cambria" w:hAnsi="Cambria"/>
          <w:sz w:val="20"/>
          <w:szCs w:val="20"/>
        </w:rPr>
        <w:t xml:space="preserve"> </w:t>
      </w:r>
      <w:r>
        <w:rPr>
          <w:rFonts w:ascii="Cambria" w:hAnsi="Cambria"/>
          <w:sz w:val="20"/>
          <w:szCs w:val="20"/>
        </w:rPr>
        <w:t xml:space="preserve">admissibility and inadmissibility reports, </w:t>
      </w:r>
      <w:r w:rsidRPr="004B5886">
        <w:rPr>
          <w:rFonts w:ascii="Cambria" w:hAnsi="Cambria"/>
          <w:sz w:val="20"/>
          <w:szCs w:val="20"/>
        </w:rPr>
        <w:t>21</w:t>
      </w:r>
      <w:r>
        <w:rPr>
          <w:rFonts w:ascii="Cambria" w:hAnsi="Cambria"/>
          <w:sz w:val="20"/>
          <w:szCs w:val="20"/>
        </w:rPr>
        <w:t>5</w:t>
      </w:r>
      <w:r w:rsidRPr="004B5886">
        <w:rPr>
          <w:rFonts w:ascii="Cambria" w:hAnsi="Cambria"/>
          <w:sz w:val="20"/>
          <w:szCs w:val="20"/>
        </w:rPr>
        <w:t xml:space="preserve"> </w:t>
      </w:r>
      <w:r>
        <w:rPr>
          <w:rFonts w:ascii="Cambria" w:hAnsi="Cambria"/>
          <w:sz w:val="20"/>
          <w:szCs w:val="20"/>
        </w:rPr>
        <w:t xml:space="preserve">of which were decisions on admissibility and </w:t>
      </w:r>
      <w:r w:rsidRPr="004B5886">
        <w:rPr>
          <w:rFonts w:ascii="Cambria" w:hAnsi="Cambria"/>
          <w:sz w:val="20"/>
          <w:szCs w:val="20"/>
        </w:rPr>
        <w:t xml:space="preserve">88 </w:t>
      </w:r>
      <w:r>
        <w:rPr>
          <w:rFonts w:ascii="Cambria" w:hAnsi="Cambria"/>
          <w:sz w:val="20"/>
          <w:szCs w:val="20"/>
        </w:rPr>
        <w:t>on inadmissibility</w:t>
      </w:r>
      <w:r w:rsidRPr="004B5886">
        <w:rPr>
          <w:rFonts w:ascii="Cambria" w:hAnsi="Cambria"/>
          <w:sz w:val="20"/>
          <w:szCs w:val="20"/>
        </w:rPr>
        <w:t>.</w:t>
      </w:r>
    </w:p>
    <w:p w14:paraId="50D8911C" w14:textId="77777777" w:rsidR="0057201B" w:rsidRPr="004B5886" w:rsidRDefault="0057201B" w:rsidP="0057201B">
      <w:pPr>
        <w:pStyle w:val="ListParagraph"/>
        <w:autoSpaceDE w:val="0"/>
        <w:autoSpaceDN w:val="0"/>
        <w:adjustRightInd w:val="0"/>
        <w:contextualSpacing w:val="0"/>
        <w:jc w:val="both"/>
        <w:rPr>
          <w:rFonts w:ascii="Cambria" w:hAnsi="Cambria"/>
          <w:sz w:val="20"/>
          <w:szCs w:val="20"/>
        </w:rPr>
      </w:pPr>
    </w:p>
    <w:p w14:paraId="1F43BD49" w14:textId="77777777" w:rsidR="0057201B" w:rsidRPr="00F96C3C" w:rsidRDefault="0057201B" w:rsidP="00933F91">
      <w:pPr>
        <w:pStyle w:val="ListParagraph"/>
        <w:numPr>
          <w:ilvl w:val="0"/>
          <w:numId w:val="53"/>
        </w:numPr>
        <w:autoSpaceDE w:val="0"/>
        <w:autoSpaceDN w:val="0"/>
        <w:adjustRightInd w:val="0"/>
        <w:ind w:left="0" w:firstLine="720"/>
        <w:contextualSpacing w:val="0"/>
        <w:jc w:val="both"/>
        <w:rPr>
          <w:rFonts w:ascii="Cambria" w:hAnsi="Cambria"/>
          <w:sz w:val="20"/>
          <w:szCs w:val="20"/>
        </w:rPr>
      </w:pPr>
      <w:r>
        <w:rPr>
          <w:rFonts w:ascii="Cambria" w:hAnsi="Cambria"/>
          <w:sz w:val="20"/>
          <w:szCs w:val="20"/>
        </w:rPr>
        <w:t>Likewise,</w:t>
      </w:r>
      <w:r w:rsidRPr="004B5886">
        <w:rPr>
          <w:rFonts w:ascii="Cambria" w:hAnsi="Cambria"/>
          <w:sz w:val="20"/>
          <w:szCs w:val="20"/>
        </w:rPr>
        <w:t xml:space="preserve"> in accordance with the provisions in Article 37 of</w:t>
      </w:r>
      <w:r>
        <w:rPr>
          <w:rFonts w:ascii="Cambria" w:hAnsi="Cambria"/>
          <w:sz w:val="20"/>
          <w:szCs w:val="20"/>
        </w:rPr>
        <w:t xml:space="preserve"> the</w:t>
      </w:r>
      <w:r w:rsidRPr="004B5886">
        <w:rPr>
          <w:rFonts w:ascii="Cambria" w:hAnsi="Cambria"/>
          <w:sz w:val="20"/>
          <w:szCs w:val="20"/>
        </w:rPr>
        <w:t xml:space="preserve"> </w:t>
      </w:r>
      <w:r>
        <w:rPr>
          <w:rFonts w:ascii="Cambria" w:hAnsi="Cambria"/>
          <w:sz w:val="20"/>
          <w:szCs w:val="20"/>
        </w:rPr>
        <w:t xml:space="preserve">IACHR </w:t>
      </w:r>
      <w:r w:rsidRPr="004B5886">
        <w:rPr>
          <w:rFonts w:ascii="Cambria" w:hAnsi="Cambria"/>
          <w:sz w:val="20"/>
          <w:szCs w:val="20"/>
        </w:rPr>
        <w:t>Rules of Procedure</w:t>
      </w:r>
      <w:r>
        <w:rPr>
          <w:rFonts w:ascii="Cambria" w:hAnsi="Cambria"/>
          <w:sz w:val="20"/>
          <w:szCs w:val="20"/>
        </w:rPr>
        <w:t xml:space="preserve">, </w:t>
      </w:r>
      <w:r w:rsidRPr="004B5886">
        <w:rPr>
          <w:rFonts w:ascii="Cambria" w:hAnsi="Cambria"/>
          <w:sz w:val="20"/>
          <w:szCs w:val="20"/>
        </w:rPr>
        <w:t xml:space="preserve">Article 20 </w:t>
      </w:r>
      <w:r>
        <w:rPr>
          <w:rFonts w:ascii="Cambria" w:hAnsi="Cambria"/>
          <w:sz w:val="20"/>
          <w:szCs w:val="20"/>
        </w:rPr>
        <w:t xml:space="preserve">of its Statute, and </w:t>
      </w:r>
      <w:r w:rsidRPr="004B5886">
        <w:rPr>
          <w:rFonts w:ascii="Cambria" w:hAnsi="Cambria"/>
          <w:sz w:val="20"/>
          <w:szCs w:val="20"/>
        </w:rPr>
        <w:t xml:space="preserve">Article 50 </w:t>
      </w:r>
      <w:r>
        <w:rPr>
          <w:rFonts w:ascii="Cambria" w:hAnsi="Cambria"/>
          <w:sz w:val="20"/>
          <w:szCs w:val="20"/>
        </w:rPr>
        <w:t xml:space="preserve">of the American Convention, the </w:t>
      </w:r>
      <w:r w:rsidRPr="004B5886">
        <w:rPr>
          <w:rFonts w:ascii="Cambria" w:hAnsi="Cambria"/>
          <w:sz w:val="20"/>
          <w:szCs w:val="20"/>
        </w:rPr>
        <w:t xml:space="preserve">Commission adopted </w:t>
      </w:r>
      <w:r>
        <w:rPr>
          <w:rFonts w:ascii="Cambria" w:hAnsi="Cambria"/>
          <w:sz w:val="20"/>
          <w:szCs w:val="20"/>
        </w:rPr>
        <w:t>a total of 65 merits reports, which</w:t>
      </w:r>
      <w:r w:rsidRPr="004B5886">
        <w:rPr>
          <w:rFonts w:ascii="Cambria" w:hAnsi="Cambria"/>
          <w:sz w:val="20"/>
          <w:szCs w:val="20"/>
        </w:rPr>
        <w:t xml:space="preserve"> examined States</w:t>
      </w:r>
      <w:r>
        <w:rPr>
          <w:rFonts w:ascii="Cambria" w:hAnsi="Cambria"/>
          <w:sz w:val="20"/>
          <w:szCs w:val="20"/>
        </w:rPr>
        <w:t>’</w:t>
      </w:r>
      <w:r w:rsidRPr="004B5886">
        <w:rPr>
          <w:rFonts w:ascii="Cambria" w:hAnsi="Cambria"/>
          <w:sz w:val="20"/>
          <w:szCs w:val="20"/>
        </w:rPr>
        <w:t xml:space="preserve"> international responsibility in light of the international treaties under </w:t>
      </w:r>
      <w:r>
        <w:rPr>
          <w:rFonts w:ascii="Cambria" w:hAnsi="Cambria"/>
          <w:sz w:val="20"/>
          <w:szCs w:val="20"/>
        </w:rPr>
        <w:t>its jurisdiction. The</w:t>
      </w:r>
      <w:r w:rsidRPr="004B5886">
        <w:rPr>
          <w:rFonts w:ascii="Cambria" w:hAnsi="Cambria"/>
          <w:sz w:val="20"/>
          <w:szCs w:val="20"/>
        </w:rPr>
        <w:t xml:space="preserve"> Commission also issued, where appropriate, recommendations to provide comprehensive reparations for the violations that </w:t>
      </w:r>
      <w:r>
        <w:rPr>
          <w:rFonts w:ascii="Cambria" w:hAnsi="Cambria"/>
          <w:sz w:val="20"/>
          <w:szCs w:val="20"/>
        </w:rPr>
        <w:t>occurred</w:t>
      </w:r>
      <w:r w:rsidRPr="004B5886">
        <w:rPr>
          <w:rFonts w:ascii="Cambria" w:hAnsi="Cambria"/>
          <w:sz w:val="20"/>
          <w:szCs w:val="20"/>
        </w:rPr>
        <w:t>. Such reports are confidential, in accordance with Article 44 of the Rules of Procedure a</w:t>
      </w:r>
      <w:r>
        <w:rPr>
          <w:rFonts w:ascii="Cambria" w:hAnsi="Cambria"/>
          <w:sz w:val="20"/>
          <w:szCs w:val="20"/>
        </w:rPr>
        <w:t xml:space="preserve">nd Article </w:t>
      </w:r>
      <w:r w:rsidRPr="004B5886">
        <w:rPr>
          <w:rFonts w:ascii="Cambria" w:hAnsi="Cambria"/>
          <w:sz w:val="20"/>
          <w:szCs w:val="20"/>
        </w:rPr>
        <w:t xml:space="preserve">50 </w:t>
      </w:r>
      <w:r>
        <w:rPr>
          <w:rFonts w:ascii="Cambria" w:hAnsi="Cambria"/>
          <w:sz w:val="20"/>
          <w:szCs w:val="20"/>
        </w:rPr>
        <w:t xml:space="preserve">of the American Convention. </w:t>
      </w:r>
      <w:r w:rsidRPr="00F96C3C">
        <w:rPr>
          <w:rFonts w:ascii="Cambria" w:hAnsi="Cambria"/>
          <w:sz w:val="20"/>
          <w:szCs w:val="20"/>
        </w:rPr>
        <w:t xml:space="preserve">During 2022, </w:t>
      </w:r>
      <w:r>
        <w:rPr>
          <w:rFonts w:ascii="Cambria" w:hAnsi="Cambria"/>
          <w:sz w:val="20"/>
          <w:szCs w:val="20"/>
        </w:rPr>
        <w:t xml:space="preserve">the Commission prepared </w:t>
      </w:r>
      <w:r w:rsidRPr="00F96C3C">
        <w:rPr>
          <w:rFonts w:ascii="Cambria" w:hAnsi="Cambria"/>
          <w:sz w:val="20"/>
          <w:szCs w:val="20"/>
        </w:rPr>
        <w:t xml:space="preserve">two </w:t>
      </w:r>
      <w:r>
        <w:rPr>
          <w:rFonts w:ascii="Cambria" w:hAnsi="Cambria"/>
          <w:sz w:val="20"/>
          <w:szCs w:val="20"/>
        </w:rPr>
        <w:t xml:space="preserve">preliminary reports and two </w:t>
      </w:r>
      <w:r w:rsidRPr="00F96C3C">
        <w:rPr>
          <w:rFonts w:ascii="Cambria" w:hAnsi="Cambria"/>
          <w:sz w:val="20"/>
          <w:szCs w:val="20"/>
        </w:rPr>
        <w:t>final reports</w:t>
      </w:r>
      <w:r>
        <w:rPr>
          <w:rFonts w:ascii="Cambria" w:hAnsi="Cambria"/>
          <w:sz w:val="20"/>
          <w:szCs w:val="20"/>
        </w:rPr>
        <w:t>, in accordance with Article 47 of the Rules of Procedure</w:t>
      </w:r>
      <w:r w:rsidRPr="00F96C3C">
        <w:rPr>
          <w:rFonts w:ascii="Cambria" w:hAnsi="Cambria"/>
          <w:sz w:val="20"/>
          <w:szCs w:val="20"/>
        </w:rPr>
        <w:t xml:space="preserve">; </w:t>
      </w:r>
      <w:r>
        <w:rPr>
          <w:rFonts w:ascii="Cambria" w:hAnsi="Cambria"/>
          <w:sz w:val="20"/>
          <w:szCs w:val="20"/>
        </w:rPr>
        <w:t>it</w:t>
      </w:r>
      <w:r w:rsidRPr="00F96C3C">
        <w:rPr>
          <w:rFonts w:ascii="Cambria" w:hAnsi="Cambria"/>
          <w:sz w:val="20"/>
          <w:szCs w:val="20"/>
        </w:rPr>
        <w:t xml:space="preserve"> will deliberate on these in early 2023.</w:t>
      </w:r>
    </w:p>
    <w:p w14:paraId="04C15265" w14:textId="77777777" w:rsidR="0057201B" w:rsidRPr="00F96C3C" w:rsidRDefault="0057201B" w:rsidP="0057201B">
      <w:pPr>
        <w:pStyle w:val="ListParagraph"/>
        <w:autoSpaceDE w:val="0"/>
        <w:autoSpaceDN w:val="0"/>
        <w:adjustRightInd w:val="0"/>
        <w:contextualSpacing w:val="0"/>
        <w:jc w:val="both"/>
        <w:rPr>
          <w:rStyle w:val="normaltextrun"/>
          <w:rFonts w:ascii="Cambria" w:hAnsi="Cambria" w:cs="Calibri"/>
          <w:sz w:val="20"/>
          <w:szCs w:val="20"/>
        </w:rPr>
      </w:pPr>
    </w:p>
    <w:p w14:paraId="07829B00" w14:textId="77777777" w:rsidR="0057201B" w:rsidRPr="002C6D08" w:rsidRDefault="0057201B" w:rsidP="00933F91">
      <w:pPr>
        <w:pStyle w:val="ListParagraph"/>
        <w:numPr>
          <w:ilvl w:val="0"/>
          <w:numId w:val="53"/>
        </w:numPr>
        <w:autoSpaceDE w:val="0"/>
        <w:autoSpaceDN w:val="0"/>
        <w:adjustRightInd w:val="0"/>
        <w:ind w:left="0" w:firstLine="720"/>
        <w:contextualSpacing w:val="0"/>
        <w:jc w:val="both"/>
        <w:rPr>
          <w:rStyle w:val="eop"/>
          <w:rFonts w:cs="Calibri"/>
          <w:sz w:val="20"/>
          <w:szCs w:val="20"/>
        </w:rPr>
      </w:pPr>
      <w:r w:rsidRPr="00F96C3C">
        <w:rPr>
          <w:rStyle w:val="normaltextrun"/>
          <w:rFonts w:ascii="Cambria" w:hAnsi="Cambria" w:cs="Calibri"/>
          <w:sz w:val="20"/>
          <w:szCs w:val="20"/>
        </w:rPr>
        <w:t xml:space="preserve">Meanwhile, in 2022 the Commission continued to implement Resolution 1/16, </w:t>
      </w:r>
      <w:r w:rsidRPr="00F96C3C">
        <w:rPr>
          <w:rStyle w:val="normaltextrun"/>
          <w:rFonts w:ascii="Cambria" w:hAnsi="Cambria" w:cs="Calibri"/>
          <w:i/>
          <w:iCs/>
          <w:sz w:val="20"/>
          <w:szCs w:val="20"/>
        </w:rPr>
        <w:t xml:space="preserve">On </w:t>
      </w:r>
      <w:r>
        <w:rPr>
          <w:rStyle w:val="normaltextrun"/>
          <w:rFonts w:ascii="Cambria" w:hAnsi="Cambria" w:cs="Calibri"/>
          <w:i/>
          <w:iCs/>
          <w:sz w:val="20"/>
          <w:szCs w:val="20"/>
        </w:rPr>
        <w:t>M</w:t>
      </w:r>
      <w:r w:rsidRPr="00F96C3C">
        <w:rPr>
          <w:rStyle w:val="normaltextrun"/>
          <w:rFonts w:ascii="Cambria" w:hAnsi="Cambria" w:cs="Calibri"/>
          <w:i/>
          <w:iCs/>
          <w:sz w:val="20"/>
          <w:szCs w:val="20"/>
        </w:rPr>
        <w:t xml:space="preserve">easures to </w:t>
      </w:r>
      <w:r>
        <w:rPr>
          <w:rStyle w:val="normaltextrun"/>
          <w:rFonts w:ascii="Cambria" w:hAnsi="Cambria" w:cs="Calibri"/>
          <w:i/>
          <w:iCs/>
          <w:sz w:val="20"/>
          <w:szCs w:val="20"/>
        </w:rPr>
        <w:t>R</w:t>
      </w:r>
      <w:r w:rsidRPr="00F96C3C">
        <w:rPr>
          <w:rStyle w:val="normaltextrun"/>
          <w:rFonts w:ascii="Cambria" w:hAnsi="Cambria" w:cs="Calibri"/>
          <w:i/>
          <w:iCs/>
          <w:sz w:val="20"/>
          <w:szCs w:val="20"/>
        </w:rPr>
        <w:t xml:space="preserve">educe </w:t>
      </w:r>
      <w:r>
        <w:rPr>
          <w:rStyle w:val="normaltextrun"/>
          <w:rFonts w:ascii="Cambria" w:hAnsi="Cambria" w:cs="Calibri"/>
          <w:i/>
          <w:iCs/>
          <w:sz w:val="20"/>
          <w:szCs w:val="20"/>
        </w:rPr>
        <w:t>the P</w:t>
      </w:r>
      <w:r w:rsidRPr="00F96C3C">
        <w:rPr>
          <w:rStyle w:val="normaltextrun"/>
          <w:rFonts w:ascii="Cambria" w:hAnsi="Cambria" w:cs="Calibri"/>
          <w:i/>
          <w:iCs/>
          <w:sz w:val="20"/>
          <w:szCs w:val="20"/>
        </w:rPr>
        <w:t xml:space="preserve">rocedural </w:t>
      </w:r>
      <w:r>
        <w:rPr>
          <w:rStyle w:val="normaltextrun"/>
          <w:rFonts w:ascii="Cambria" w:hAnsi="Cambria" w:cs="Calibri"/>
          <w:i/>
          <w:iCs/>
          <w:sz w:val="20"/>
          <w:szCs w:val="20"/>
        </w:rPr>
        <w:t>B</w:t>
      </w:r>
      <w:r w:rsidRPr="00F96C3C">
        <w:rPr>
          <w:rStyle w:val="normaltextrun"/>
          <w:rFonts w:ascii="Cambria" w:hAnsi="Cambria" w:cs="Calibri"/>
          <w:i/>
          <w:iCs/>
          <w:sz w:val="20"/>
          <w:szCs w:val="20"/>
        </w:rPr>
        <w:t>acklog</w:t>
      </w:r>
      <w:r w:rsidRPr="00F96C3C">
        <w:rPr>
          <w:rStyle w:val="normaltextrun"/>
          <w:rFonts w:ascii="Cambria" w:hAnsi="Cambria" w:cs="Calibri"/>
          <w:sz w:val="20"/>
          <w:szCs w:val="20"/>
        </w:rPr>
        <w:t>, adopted on Octobe</w:t>
      </w:r>
      <w:r>
        <w:rPr>
          <w:rStyle w:val="normaltextrun"/>
          <w:rFonts w:ascii="Cambria" w:hAnsi="Cambria" w:cs="Calibri"/>
          <w:sz w:val="20"/>
          <w:szCs w:val="20"/>
        </w:rPr>
        <w:t xml:space="preserve">r 18, </w:t>
      </w:r>
      <w:r w:rsidRPr="00F96C3C">
        <w:rPr>
          <w:rStyle w:val="normaltextrun"/>
          <w:rFonts w:ascii="Cambria" w:hAnsi="Cambria" w:cs="Calibri"/>
          <w:sz w:val="20"/>
          <w:szCs w:val="20"/>
        </w:rPr>
        <w:t>2016.</w:t>
      </w:r>
      <w:r>
        <w:rPr>
          <w:rStyle w:val="normaltextrun"/>
          <w:rFonts w:ascii="Cambria" w:hAnsi="Cambria" w:cs="Calibri"/>
          <w:sz w:val="20"/>
          <w:szCs w:val="20"/>
        </w:rPr>
        <w:t xml:space="preserve"> Thus, b</w:t>
      </w:r>
      <w:r w:rsidRPr="00C81E48">
        <w:rPr>
          <w:rStyle w:val="normaltextrun"/>
          <w:rFonts w:ascii="Cambria" w:hAnsi="Cambria" w:cs="Calibri"/>
          <w:sz w:val="20"/>
          <w:szCs w:val="20"/>
        </w:rPr>
        <w:t>ased on the provisions of Article 36(3) of its</w:t>
      </w:r>
      <w:r w:rsidRPr="00C81E48">
        <w:rPr>
          <w:rFonts w:ascii="Cambria" w:hAnsi="Cambria"/>
          <w:sz w:val="20"/>
          <w:szCs w:val="20"/>
        </w:rPr>
        <w:t xml:space="preserve"> Rules of Procedure, </w:t>
      </w:r>
      <w:r w:rsidRPr="00C81E48">
        <w:rPr>
          <w:rStyle w:val="normaltextrun"/>
          <w:rFonts w:ascii="Cambria" w:hAnsi="Cambria" w:cs="Calibri"/>
          <w:sz w:val="20"/>
          <w:szCs w:val="20"/>
        </w:rPr>
        <w:t>it provided notification that it</w:t>
      </w:r>
      <w:r>
        <w:rPr>
          <w:rStyle w:val="normaltextrun"/>
          <w:rFonts w:ascii="Cambria" w:hAnsi="Cambria" w:cs="Calibri"/>
          <w:sz w:val="20"/>
          <w:szCs w:val="20"/>
        </w:rPr>
        <w:t xml:space="preserve"> was deferring its </w:t>
      </w:r>
      <w:r w:rsidRPr="00C81E48">
        <w:rPr>
          <w:rStyle w:val="normaltextrun"/>
          <w:rFonts w:ascii="Cambria" w:hAnsi="Cambria" w:cs="Calibri"/>
          <w:sz w:val="20"/>
          <w:szCs w:val="20"/>
        </w:rPr>
        <w:t xml:space="preserve">treatment of admissibility until the merits stage </w:t>
      </w:r>
      <w:r>
        <w:rPr>
          <w:rStyle w:val="normaltextrun"/>
          <w:rFonts w:ascii="Cambria" w:hAnsi="Cambria" w:cs="Calibri"/>
          <w:sz w:val="20"/>
          <w:szCs w:val="20"/>
        </w:rPr>
        <w:t>with respect to</w:t>
      </w:r>
      <w:r w:rsidRPr="00C81E48">
        <w:rPr>
          <w:rStyle w:val="normaltextrun"/>
          <w:rFonts w:ascii="Cambria" w:hAnsi="Cambria" w:cs="Calibri"/>
          <w:sz w:val="20"/>
          <w:szCs w:val="20"/>
        </w:rPr>
        <w:t xml:space="preserve"> 102 </w:t>
      </w:r>
      <w:r>
        <w:rPr>
          <w:rStyle w:val="normaltextrun"/>
          <w:rFonts w:ascii="Cambria" w:hAnsi="Cambria" w:cs="Calibri"/>
          <w:sz w:val="20"/>
          <w:szCs w:val="20"/>
        </w:rPr>
        <w:t xml:space="preserve">petitions in which some of the six scenarios laid out in that resolution applied. </w:t>
      </w:r>
      <w:r w:rsidRPr="002C6D08">
        <w:rPr>
          <w:rStyle w:val="normaltextrun"/>
          <w:rFonts w:ascii="Cambria" w:hAnsi="Cambria" w:cs="Calibri"/>
          <w:sz w:val="20"/>
          <w:szCs w:val="20"/>
        </w:rPr>
        <w:t xml:space="preserve">Notably, in 83% (85) of these notifications the criterion </w:t>
      </w:r>
      <w:r>
        <w:rPr>
          <w:rStyle w:val="normaltextrun"/>
          <w:rFonts w:ascii="Cambria" w:hAnsi="Cambria" w:cs="Calibri"/>
          <w:sz w:val="20"/>
          <w:szCs w:val="20"/>
        </w:rPr>
        <w:t xml:space="preserve">that was </w:t>
      </w:r>
      <w:r w:rsidRPr="002C6D08">
        <w:rPr>
          <w:rStyle w:val="normaltextrun"/>
          <w:rFonts w:ascii="Cambria" w:hAnsi="Cambria" w:cs="Calibri"/>
          <w:sz w:val="20"/>
          <w:szCs w:val="20"/>
        </w:rPr>
        <w:t xml:space="preserve">applied </w:t>
      </w:r>
      <w:r>
        <w:rPr>
          <w:rStyle w:val="normaltextrun"/>
          <w:rFonts w:ascii="Cambria" w:hAnsi="Cambria" w:cs="Calibri"/>
          <w:sz w:val="20"/>
          <w:szCs w:val="20"/>
        </w:rPr>
        <w:t xml:space="preserve">was </w:t>
      </w:r>
      <w:r w:rsidRPr="002C6D08">
        <w:rPr>
          <w:rStyle w:val="normaltextrun"/>
          <w:rFonts w:ascii="Cambria" w:hAnsi="Cambria" w:cs="Calibri"/>
          <w:sz w:val="20"/>
          <w:szCs w:val="20"/>
        </w:rPr>
        <w:t xml:space="preserve">the lack of a response from the State </w:t>
      </w:r>
      <w:r>
        <w:rPr>
          <w:rStyle w:val="normaltextrun"/>
          <w:rFonts w:ascii="Cambria" w:hAnsi="Cambria" w:cs="Calibri"/>
          <w:sz w:val="20"/>
          <w:szCs w:val="20"/>
        </w:rPr>
        <w:t>in question during the admissibility stage</w:t>
      </w:r>
      <w:r w:rsidRPr="002C6D08">
        <w:rPr>
          <w:rStyle w:val="normaltextrun"/>
          <w:rFonts w:ascii="Cambria" w:hAnsi="Cambria" w:cs="Calibri"/>
          <w:sz w:val="20"/>
          <w:szCs w:val="20"/>
        </w:rPr>
        <w:t>. </w:t>
      </w:r>
      <w:r w:rsidRPr="002C6D08">
        <w:rPr>
          <w:rStyle w:val="eop"/>
          <w:rFonts w:cs="Calibri"/>
          <w:sz w:val="20"/>
          <w:szCs w:val="20"/>
        </w:rPr>
        <w:t> </w:t>
      </w:r>
    </w:p>
    <w:p w14:paraId="38810C38" w14:textId="77777777" w:rsidR="0057201B" w:rsidRPr="002C6D08" w:rsidRDefault="0057201B" w:rsidP="0057201B">
      <w:pPr>
        <w:pStyle w:val="ListParagraph"/>
        <w:rPr>
          <w:rStyle w:val="eop"/>
          <w:rFonts w:cs="Calibri"/>
          <w:sz w:val="20"/>
          <w:szCs w:val="20"/>
        </w:rPr>
      </w:pPr>
    </w:p>
    <w:p w14:paraId="49BE832E" w14:textId="17407078" w:rsidR="0057201B" w:rsidRPr="00CA5D94" w:rsidRDefault="0057201B" w:rsidP="00933F91">
      <w:pPr>
        <w:pStyle w:val="ListParagraph"/>
        <w:numPr>
          <w:ilvl w:val="0"/>
          <w:numId w:val="53"/>
        </w:numPr>
        <w:autoSpaceDE w:val="0"/>
        <w:autoSpaceDN w:val="0"/>
        <w:adjustRightInd w:val="0"/>
        <w:ind w:left="0" w:firstLine="720"/>
        <w:contextualSpacing w:val="0"/>
        <w:jc w:val="both"/>
        <w:rPr>
          <w:rFonts w:ascii="Cambria" w:hAnsi="Cambria"/>
          <w:sz w:val="20"/>
          <w:szCs w:val="20"/>
        </w:rPr>
      </w:pPr>
      <w:r w:rsidRPr="00CA5D94">
        <w:rPr>
          <w:rFonts w:ascii="Cambria" w:hAnsi="Cambria"/>
          <w:sz w:val="20"/>
          <w:szCs w:val="20"/>
        </w:rPr>
        <w:t xml:space="preserve">The </w:t>
      </w:r>
      <w:r>
        <w:rPr>
          <w:rFonts w:ascii="Cambria" w:hAnsi="Cambria"/>
          <w:sz w:val="20"/>
          <w:szCs w:val="20"/>
        </w:rPr>
        <w:t>volume of</w:t>
      </w:r>
      <w:r w:rsidRPr="00CA5D94">
        <w:rPr>
          <w:rFonts w:ascii="Cambria" w:hAnsi="Cambria"/>
          <w:sz w:val="20"/>
          <w:szCs w:val="20"/>
        </w:rPr>
        <w:t xml:space="preserve"> admissibility and merits reports is consistent with the results achieved </w:t>
      </w:r>
      <w:r w:rsidR="00D926E9">
        <w:rPr>
          <w:rFonts w:ascii="Cambria" w:hAnsi="Cambria"/>
          <w:sz w:val="20"/>
          <w:szCs w:val="20"/>
        </w:rPr>
        <w:t>because of</w:t>
      </w:r>
      <w:r>
        <w:rPr>
          <w:rFonts w:ascii="Cambria" w:hAnsi="Cambria"/>
          <w:sz w:val="20"/>
          <w:szCs w:val="20"/>
        </w:rPr>
        <w:t xml:space="preserve"> the</w:t>
      </w:r>
      <w:r w:rsidRPr="00CA5D94">
        <w:rPr>
          <w:rFonts w:ascii="Cambria" w:hAnsi="Cambria"/>
          <w:sz w:val="20"/>
          <w:szCs w:val="20"/>
        </w:rPr>
        <w:t xml:space="preserve"> measures adopted by the Commission in its </w:t>
      </w:r>
      <w:r>
        <w:rPr>
          <w:rFonts w:ascii="Cambria" w:hAnsi="Cambria"/>
          <w:sz w:val="20"/>
          <w:szCs w:val="20"/>
        </w:rPr>
        <w:t xml:space="preserve">Strategic Plan </w:t>
      </w:r>
      <w:r w:rsidRPr="00CA5D94">
        <w:rPr>
          <w:rFonts w:ascii="Cambria" w:hAnsi="Cambria"/>
          <w:sz w:val="20"/>
          <w:szCs w:val="20"/>
        </w:rPr>
        <w:t xml:space="preserve">2017-2021, </w:t>
      </w:r>
      <w:r>
        <w:rPr>
          <w:rFonts w:ascii="Cambria" w:hAnsi="Cambria"/>
          <w:sz w:val="20"/>
          <w:szCs w:val="20"/>
        </w:rPr>
        <w:t>which led to historic progress in the number of reports the IACHR adopted, as laid out in its previous annual reports</w:t>
      </w:r>
      <w:r w:rsidRPr="00CA5D94">
        <w:rPr>
          <w:rFonts w:ascii="Cambria" w:hAnsi="Cambria"/>
          <w:sz w:val="20"/>
          <w:szCs w:val="20"/>
        </w:rPr>
        <w:t xml:space="preserve">. </w:t>
      </w:r>
    </w:p>
    <w:p w14:paraId="2CBB5673" w14:textId="77777777" w:rsidR="0057201B" w:rsidRDefault="0057201B" w:rsidP="0057201B">
      <w:pPr>
        <w:pStyle w:val="ListParagraph"/>
        <w:autoSpaceDE w:val="0"/>
        <w:autoSpaceDN w:val="0"/>
        <w:adjustRightInd w:val="0"/>
        <w:contextualSpacing w:val="0"/>
        <w:jc w:val="both"/>
        <w:rPr>
          <w:rFonts w:ascii="Cambria" w:hAnsi="Cambria"/>
          <w:sz w:val="20"/>
          <w:szCs w:val="20"/>
        </w:rPr>
      </w:pPr>
    </w:p>
    <w:p w14:paraId="18665393" w14:textId="77777777" w:rsidR="005A1F13" w:rsidRPr="00CA5D94" w:rsidRDefault="005A1F13" w:rsidP="0057201B">
      <w:pPr>
        <w:pStyle w:val="ListParagraph"/>
        <w:autoSpaceDE w:val="0"/>
        <w:autoSpaceDN w:val="0"/>
        <w:adjustRightInd w:val="0"/>
        <w:contextualSpacing w:val="0"/>
        <w:jc w:val="both"/>
        <w:rPr>
          <w:rFonts w:ascii="Cambria" w:hAnsi="Cambria"/>
          <w:sz w:val="20"/>
          <w:szCs w:val="20"/>
        </w:rPr>
      </w:pPr>
    </w:p>
    <w:p w14:paraId="29F05258" w14:textId="30F9D010" w:rsidR="0057201B" w:rsidRPr="004B7474" w:rsidRDefault="0057201B" w:rsidP="00933F91">
      <w:pPr>
        <w:pStyle w:val="ListParagraph"/>
        <w:numPr>
          <w:ilvl w:val="0"/>
          <w:numId w:val="55"/>
        </w:numPr>
        <w:autoSpaceDE w:val="0"/>
        <w:autoSpaceDN w:val="0"/>
        <w:adjustRightInd w:val="0"/>
        <w:ind w:left="1440" w:hanging="720"/>
        <w:contextualSpacing w:val="0"/>
        <w:jc w:val="both"/>
        <w:rPr>
          <w:rFonts w:ascii="Cambria" w:hAnsi="Cambria"/>
          <w:b/>
          <w:bCs/>
          <w:sz w:val="22"/>
          <w:szCs w:val="22"/>
          <w:lang w:val="es-US"/>
        </w:rPr>
      </w:pPr>
      <w:r w:rsidRPr="004B7474">
        <w:rPr>
          <w:rFonts w:ascii="Cambria" w:hAnsi="Cambria"/>
          <w:b/>
          <w:bCs/>
          <w:sz w:val="22"/>
          <w:szCs w:val="22"/>
          <w:lang w:val="es-US"/>
        </w:rPr>
        <w:t>List of Admissibility Decisions</w:t>
      </w:r>
    </w:p>
    <w:p w14:paraId="0393C846" w14:textId="77777777" w:rsidR="0057201B" w:rsidRPr="00AE3A84" w:rsidRDefault="0057201B" w:rsidP="0057201B">
      <w:pPr>
        <w:tabs>
          <w:tab w:val="left" w:pos="720"/>
        </w:tabs>
        <w:autoSpaceDE w:val="0"/>
        <w:autoSpaceDN w:val="0"/>
        <w:adjustRightInd w:val="0"/>
        <w:ind w:left="720"/>
        <w:jc w:val="both"/>
        <w:rPr>
          <w:rFonts w:ascii="Cambria" w:hAnsi="Cambria"/>
          <w:sz w:val="20"/>
          <w:szCs w:val="20"/>
          <w:lang w:val="es-US"/>
        </w:rPr>
      </w:pPr>
    </w:p>
    <w:p w14:paraId="5776D1C9" w14:textId="77777777" w:rsidR="0057201B" w:rsidRPr="000348F7" w:rsidRDefault="0057201B" w:rsidP="00933F91">
      <w:pPr>
        <w:numPr>
          <w:ilvl w:val="0"/>
          <w:numId w:val="53"/>
        </w:numPr>
        <w:tabs>
          <w:tab w:val="left" w:pos="720"/>
        </w:tabs>
        <w:autoSpaceDE w:val="0"/>
        <w:autoSpaceDN w:val="0"/>
        <w:adjustRightInd w:val="0"/>
        <w:ind w:left="0" w:firstLine="720"/>
        <w:jc w:val="both"/>
        <w:rPr>
          <w:rFonts w:ascii="Cambria" w:hAnsi="Cambria"/>
          <w:sz w:val="20"/>
          <w:szCs w:val="20"/>
        </w:rPr>
      </w:pPr>
      <w:r w:rsidRPr="000348F7">
        <w:rPr>
          <w:rFonts w:ascii="Cambria" w:hAnsi="Cambria"/>
          <w:sz w:val="20"/>
          <w:szCs w:val="20"/>
        </w:rPr>
        <w:t>This section includes a total of 30</w:t>
      </w:r>
      <w:r>
        <w:rPr>
          <w:rFonts w:ascii="Cambria" w:hAnsi="Cambria"/>
          <w:sz w:val="20"/>
          <w:szCs w:val="20"/>
        </w:rPr>
        <w:t>3</w:t>
      </w:r>
      <w:r w:rsidRPr="000348F7">
        <w:rPr>
          <w:rFonts w:ascii="Cambria" w:hAnsi="Cambria"/>
          <w:sz w:val="20"/>
          <w:szCs w:val="20"/>
        </w:rPr>
        <w:t xml:space="preserve"> admissibility</w:t>
      </w:r>
      <w:r>
        <w:rPr>
          <w:rFonts w:ascii="Cambria" w:hAnsi="Cambria"/>
          <w:sz w:val="20"/>
          <w:szCs w:val="20"/>
        </w:rPr>
        <w:t xml:space="preserve"> and inadmissibility</w:t>
      </w:r>
      <w:r w:rsidRPr="000348F7">
        <w:rPr>
          <w:rFonts w:ascii="Cambria" w:hAnsi="Cambria"/>
          <w:sz w:val="20"/>
          <w:szCs w:val="20"/>
        </w:rPr>
        <w:t xml:space="preserve"> reports</w:t>
      </w:r>
      <w:r>
        <w:rPr>
          <w:rFonts w:ascii="Cambria" w:hAnsi="Cambria"/>
          <w:sz w:val="20"/>
          <w:szCs w:val="20"/>
        </w:rPr>
        <w:t>:</w:t>
      </w:r>
      <w:r w:rsidRPr="000348F7">
        <w:rPr>
          <w:rFonts w:ascii="Cambria" w:hAnsi="Cambria"/>
          <w:sz w:val="20"/>
          <w:szCs w:val="20"/>
        </w:rPr>
        <w:t xml:space="preserve"> 21</w:t>
      </w:r>
      <w:r>
        <w:rPr>
          <w:rFonts w:ascii="Cambria" w:hAnsi="Cambria"/>
          <w:sz w:val="20"/>
          <w:szCs w:val="20"/>
        </w:rPr>
        <w:t>5</w:t>
      </w:r>
      <w:r w:rsidRPr="000348F7">
        <w:rPr>
          <w:rFonts w:ascii="Cambria" w:hAnsi="Cambria"/>
          <w:sz w:val="20"/>
          <w:szCs w:val="20"/>
        </w:rPr>
        <w:t xml:space="preserve"> </w:t>
      </w:r>
      <w:r>
        <w:rPr>
          <w:rFonts w:ascii="Cambria" w:hAnsi="Cambria"/>
          <w:sz w:val="20"/>
          <w:szCs w:val="20"/>
        </w:rPr>
        <w:t xml:space="preserve">on admissibility and </w:t>
      </w:r>
      <w:r w:rsidRPr="000348F7">
        <w:rPr>
          <w:rFonts w:ascii="Cambria" w:hAnsi="Cambria"/>
          <w:sz w:val="20"/>
          <w:szCs w:val="20"/>
        </w:rPr>
        <w:t xml:space="preserve">88 </w:t>
      </w:r>
      <w:r>
        <w:rPr>
          <w:rFonts w:ascii="Cambria" w:hAnsi="Cambria"/>
          <w:sz w:val="20"/>
          <w:szCs w:val="20"/>
        </w:rPr>
        <w:t>on inadmissibility</w:t>
      </w:r>
      <w:r w:rsidRPr="000348F7">
        <w:rPr>
          <w:rFonts w:ascii="Cambria" w:hAnsi="Cambria"/>
          <w:sz w:val="20"/>
          <w:szCs w:val="20"/>
        </w:rPr>
        <w:t xml:space="preserve">. </w:t>
      </w:r>
    </w:p>
    <w:p w14:paraId="045AFA3E" w14:textId="77777777" w:rsidR="0057201B" w:rsidRDefault="0057201B" w:rsidP="0057201B">
      <w:pPr>
        <w:pStyle w:val="BodyText"/>
        <w:ind w:left="1440"/>
        <w:jc w:val="both"/>
      </w:pPr>
    </w:p>
    <w:p w14:paraId="7625AF7E" w14:textId="77777777" w:rsidR="005A1F13" w:rsidRDefault="005A1F13" w:rsidP="0057201B">
      <w:pPr>
        <w:pStyle w:val="BodyText"/>
        <w:ind w:left="1440"/>
        <w:jc w:val="both"/>
      </w:pPr>
    </w:p>
    <w:p w14:paraId="58FC00DF" w14:textId="77777777" w:rsidR="005A1F13" w:rsidRDefault="005A1F13" w:rsidP="0057201B">
      <w:pPr>
        <w:pStyle w:val="BodyText"/>
        <w:ind w:left="1440"/>
        <w:jc w:val="both"/>
      </w:pPr>
    </w:p>
    <w:p w14:paraId="488A3D79" w14:textId="77777777" w:rsidR="005A1F13" w:rsidRPr="000348F7" w:rsidRDefault="005A1F13" w:rsidP="0057201B">
      <w:pPr>
        <w:pStyle w:val="BodyText"/>
        <w:ind w:left="1440"/>
        <w:jc w:val="both"/>
      </w:pPr>
    </w:p>
    <w:p w14:paraId="313ED76B" w14:textId="77777777" w:rsidR="0057201B" w:rsidRPr="009C174F" w:rsidRDefault="0057201B" w:rsidP="00933F91">
      <w:pPr>
        <w:pStyle w:val="BodyText"/>
        <w:widowControl/>
        <w:numPr>
          <w:ilvl w:val="1"/>
          <w:numId w:val="54"/>
        </w:numPr>
        <w:ind w:left="2160" w:hanging="720"/>
        <w:jc w:val="both"/>
      </w:pPr>
      <w:r w:rsidRPr="009C174F">
        <w:lastRenderedPageBreak/>
        <w:t xml:space="preserve">Admissibility </w:t>
      </w:r>
      <w:r>
        <w:t>R</w:t>
      </w:r>
      <w:r w:rsidRPr="009C174F">
        <w:t>eports</w:t>
      </w:r>
    </w:p>
    <w:p w14:paraId="52DAF4DE" w14:textId="77777777" w:rsidR="0057201B" w:rsidRPr="00AE3A84" w:rsidRDefault="0057201B" w:rsidP="0057201B">
      <w:pPr>
        <w:pStyle w:val="BodyText"/>
        <w:ind w:left="1440"/>
        <w:jc w:val="both"/>
        <w:rPr>
          <w:lang w:val="es-US"/>
        </w:rPr>
      </w:pPr>
    </w:p>
    <w:tbl>
      <w:tblPr>
        <w:tblStyle w:val="TableGrid"/>
        <w:tblW w:w="9715" w:type="dxa"/>
        <w:tblLook w:val="04A0" w:firstRow="1" w:lastRow="0" w:firstColumn="1" w:lastColumn="0" w:noHBand="0" w:noVBand="1"/>
      </w:tblPr>
      <w:tblGrid>
        <w:gridCol w:w="633"/>
        <w:gridCol w:w="2703"/>
        <w:gridCol w:w="1239"/>
        <w:gridCol w:w="1126"/>
        <w:gridCol w:w="1409"/>
        <w:gridCol w:w="1286"/>
        <w:gridCol w:w="1319"/>
      </w:tblGrid>
      <w:tr w:rsidR="0057201B" w:rsidRPr="00AE3A84" w14:paraId="5349F7BE" w14:textId="77777777">
        <w:tc>
          <w:tcPr>
            <w:tcW w:w="534" w:type="dxa"/>
            <w:shd w:val="clear" w:color="auto" w:fill="2E74B5" w:themeFill="accent5" w:themeFillShade="BF"/>
            <w:vAlign w:val="center"/>
          </w:tcPr>
          <w:p w14:paraId="34F0D00D" w14:textId="77777777" w:rsidR="0057201B" w:rsidRPr="00AE3A84" w:rsidRDefault="0057201B">
            <w:pPr>
              <w:pStyle w:val="BodyText"/>
              <w:jc w:val="center"/>
              <w:rPr>
                <w:b/>
                <w:bCs/>
                <w:color w:val="FFFFFF" w:themeColor="background1"/>
                <w:lang w:val="es-ES"/>
              </w:rPr>
            </w:pPr>
            <w:r w:rsidRPr="00AE3A84">
              <w:rPr>
                <w:b/>
                <w:bCs/>
                <w:color w:val="FFFFFF" w:themeColor="background1"/>
                <w:lang w:val="es-ES_tradnl"/>
              </w:rPr>
              <w:t>No.</w:t>
            </w:r>
          </w:p>
        </w:tc>
        <w:tc>
          <w:tcPr>
            <w:tcW w:w="2953" w:type="dxa"/>
            <w:shd w:val="clear" w:color="auto" w:fill="2E74B5" w:themeFill="accent5" w:themeFillShade="BF"/>
            <w:vAlign w:val="center"/>
          </w:tcPr>
          <w:p w14:paraId="156A4FAD" w14:textId="77777777" w:rsidR="0057201B" w:rsidRPr="000348F7" w:rsidRDefault="0057201B">
            <w:pPr>
              <w:pStyle w:val="BodyText"/>
              <w:jc w:val="center"/>
              <w:rPr>
                <w:b/>
                <w:bCs/>
                <w:color w:val="FFFFFF" w:themeColor="background1"/>
              </w:rPr>
            </w:pPr>
            <w:r w:rsidRPr="000348F7">
              <w:rPr>
                <w:b/>
                <w:bCs/>
                <w:color w:val="FFFFFF" w:themeColor="background1"/>
              </w:rPr>
              <w:t>Name of Alleged Victim</w:t>
            </w:r>
          </w:p>
        </w:tc>
        <w:tc>
          <w:tcPr>
            <w:tcW w:w="1119" w:type="dxa"/>
            <w:shd w:val="clear" w:color="auto" w:fill="2E74B5" w:themeFill="accent5" w:themeFillShade="BF"/>
            <w:vAlign w:val="center"/>
          </w:tcPr>
          <w:p w14:paraId="2A7F683B" w14:textId="77777777" w:rsidR="0057201B" w:rsidRPr="00AE3A84" w:rsidRDefault="0057201B">
            <w:pPr>
              <w:pStyle w:val="BodyText"/>
              <w:jc w:val="center"/>
              <w:rPr>
                <w:b/>
                <w:bCs/>
                <w:color w:val="FFFFFF" w:themeColor="background1"/>
                <w:lang w:val="es-AR"/>
              </w:rPr>
            </w:pPr>
            <w:r>
              <w:rPr>
                <w:b/>
                <w:bCs/>
                <w:color w:val="FFFFFF" w:themeColor="background1"/>
                <w:lang w:val="es-AR"/>
              </w:rPr>
              <w:t>State</w:t>
            </w:r>
          </w:p>
        </w:tc>
        <w:tc>
          <w:tcPr>
            <w:tcW w:w="1141" w:type="dxa"/>
            <w:shd w:val="clear" w:color="auto" w:fill="2E74B5" w:themeFill="accent5" w:themeFillShade="BF"/>
            <w:vAlign w:val="center"/>
          </w:tcPr>
          <w:p w14:paraId="74CE64BD" w14:textId="77777777" w:rsidR="0057201B" w:rsidRPr="000348F7" w:rsidRDefault="0057201B">
            <w:pPr>
              <w:pStyle w:val="BodyText"/>
              <w:jc w:val="center"/>
              <w:rPr>
                <w:b/>
                <w:bCs/>
                <w:color w:val="FFFFFF" w:themeColor="background1"/>
              </w:rPr>
            </w:pPr>
            <w:r>
              <w:rPr>
                <w:b/>
                <w:bCs/>
                <w:color w:val="FFFFFF" w:themeColor="background1"/>
              </w:rPr>
              <w:t>Report No.</w:t>
            </w:r>
          </w:p>
        </w:tc>
        <w:tc>
          <w:tcPr>
            <w:tcW w:w="1289" w:type="dxa"/>
            <w:shd w:val="clear" w:color="auto" w:fill="2E74B5" w:themeFill="accent5" w:themeFillShade="BF"/>
            <w:vAlign w:val="center"/>
          </w:tcPr>
          <w:p w14:paraId="2CFBA78A" w14:textId="77777777" w:rsidR="0057201B" w:rsidRPr="000348F7" w:rsidRDefault="0057201B">
            <w:pPr>
              <w:pStyle w:val="BodyText"/>
              <w:jc w:val="center"/>
              <w:rPr>
                <w:b/>
                <w:bCs/>
                <w:color w:val="FFFFFF" w:themeColor="background1"/>
              </w:rPr>
            </w:pPr>
            <w:r w:rsidRPr="000348F7">
              <w:rPr>
                <w:b/>
                <w:bCs/>
                <w:color w:val="FFFFFF" w:themeColor="background1"/>
              </w:rPr>
              <w:t>Date of Approval</w:t>
            </w:r>
          </w:p>
        </w:tc>
        <w:tc>
          <w:tcPr>
            <w:tcW w:w="1329" w:type="dxa"/>
            <w:shd w:val="clear" w:color="auto" w:fill="2E74B5" w:themeFill="accent5" w:themeFillShade="BF"/>
            <w:vAlign w:val="center"/>
          </w:tcPr>
          <w:p w14:paraId="4D571CCB" w14:textId="77777777" w:rsidR="0057201B" w:rsidRPr="00AE3A84" w:rsidRDefault="0057201B">
            <w:pPr>
              <w:pStyle w:val="BodyText"/>
              <w:jc w:val="center"/>
              <w:rPr>
                <w:b/>
                <w:bCs/>
                <w:color w:val="FFFFFF" w:themeColor="background1"/>
                <w:lang w:val="es-AR"/>
              </w:rPr>
            </w:pPr>
            <w:r>
              <w:rPr>
                <w:b/>
                <w:bCs/>
                <w:color w:val="FFFFFF" w:themeColor="background1"/>
                <w:lang w:val="es-AR"/>
              </w:rPr>
              <w:t xml:space="preserve">Petition or Case </w:t>
            </w:r>
            <w:r w:rsidRPr="00AE3A84">
              <w:rPr>
                <w:b/>
                <w:bCs/>
                <w:color w:val="FFFFFF" w:themeColor="background1"/>
                <w:lang w:val="es-AR"/>
              </w:rPr>
              <w:t>No.</w:t>
            </w:r>
          </w:p>
        </w:tc>
        <w:tc>
          <w:tcPr>
            <w:tcW w:w="1350" w:type="dxa"/>
            <w:shd w:val="clear" w:color="auto" w:fill="2E74B5" w:themeFill="accent5" w:themeFillShade="BF"/>
            <w:vAlign w:val="center"/>
          </w:tcPr>
          <w:p w14:paraId="21F87269" w14:textId="77777777" w:rsidR="0057201B" w:rsidRPr="00BC27AD" w:rsidRDefault="0057201B">
            <w:pPr>
              <w:pStyle w:val="BodyText"/>
              <w:jc w:val="center"/>
              <w:rPr>
                <w:b/>
                <w:bCs/>
                <w:color w:val="FFFFFF" w:themeColor="background1"/>
              </w:rPr>
            </w:pPr>
            <w:r w:rsidRPr="00BC27AD">
              <w:rPr>
                <w:b/>
                <w:bCs/>
                <w:color w:val="FFFFFF" w:themeColor="background1"/>
              </w:rPr>
              <w:t>Assigned Case No.</w:t>
            </w:r>
          </w:p>
        </w:tc>
      </w:tr>
      <w:tr w:rsidR="0057201B" w:rsidRPr="00AE3A84" w14:paraId="4A42A426" w14:textId="77777777">
        <w:tc>
          <w:tcPr>
            <w:tcW w:w="534" w:type="dxa"/>
            <w:vAlign w:val="center"/>
          </w:tcPr>
          <w:p w14:paraId="57B20672" w14:textId="77777777" w:rsidR="0057201B" w:rsidRPr="00BC27AD" w:rsidRDefault="0057201B" w:rsidP="00933F91">
            <w:pPr>
              <w:pStyle w:val="BodyText"/>
              <w:widowControl/>
              <w:numPr>
                <w:ilvl w:val="0"/>
                <w:numId w:val="57"/>
              </w:numPr>
            </w:pPr>
          </w:p>
        </w:tc>
        <w:tc>
          <w:tcPr>
            <w:tcW w:w="2953" w:type="dxa"/>
            <w:vAlign w:val="center"/>
          </w:tcPr>
          <w:p w14:paraId="63AE15C2" w14:textId="77777777" w:rsidR="0057201B" w:rsidRPr="00AE3A84" w:rsidRDefault="0057201B">
            <w:pPr>
              <w:pStyle w:val="BodyText"/>
              <w:rPr>
                <w:lang w:val="pt-BR"/>
              </w:rPr>
            </w:pPr>
            <w:r w:rsidRPr="00033C28">
              <w:rPr>
                <w:spacing w:val="-1"/>
                <w:lang w:val="pt-BR"/>
              </w:rPr>
              <w:t>Membros</w:t>
            </w:r>
            <w:r w:rsidRPr="00033C28">
              <w:rPr>
                <w:spacing w:val="-6"/>
                <w:lang w:val="pt-BR"/>
              </w:rPr>
              <w:t xml:space="preserve"> </w:t>
            </w:r>
            <w:r w:rsidRPr="00033C28">
              <w:rPr>
                <w:spacing w:val="-1"/>
                <w:lang w:val="pt-BR"/>
              </w:rPr>
              <w:t>da</w:t>
            </w:r>
            <w:r w:rsidRPr="00033C28">
              <w:rPr>
                <w:spacing w:val="-6"/>
                <w:lang w:val="pt-BR"/>
              </w:rPr>
              <w:t xml:space="preserve"> </w:t>
            </w:r>
            <w:r w:rsidRPr="00033C28">
              <w:rPr>
                <w:spacing w:val="-1"/>
                <w:lang w:val="pt-BR"/>
              </w:rPr>
              <w:t>Carteira</w:t>
            </w:r>
            <w:r w:rsidRPr="00033C28">
              <w:rPr>
                <w:spacing w:val="-6"/>
                <w:lang w:val="pt-BR"/>
              </w:rPr>
              <w:t xml:space="preserve"> </w:t>
            </w:r>
            <w:r w:rsidRPr="00033C28">
              <w:rPr>
                <w:spacing w:val="-1"/>
                <w:lang w:val="pt-BR"/>
              </w:rPr>
              <w:t>de</w:t>
            </w:r>
            <w:r w:rsidRPr="00033C28">
              <w:rPr>
                <w:spacing w:val="-5"/>
                <w:lang w:val="pt-BR"/>
              </w:rPr>
              <w:t xml:space="preserve"> </w:t>
            </w:r>
            <w:r w:rsidRPr="00033C28">
              <w:rPr>
                <w:spacing w:val="-1"/>
                <w:lang w:val="pt-BR"/>
              </w:rPr>
              <w:t>Previdência</w:t>
            </w:r>
            <w:r w:rsidRPr="00033C28">
              <w:rPr>
                <w:spacing w:val="-6"/>
                <w:lang w:val="pt-BR"/>
              </w:rPr>
              <w:t xml:space="preserve"> </w:t>
            </w:r>
            <w:r w:rsidRPr="00033C28">
              <w:rPr>
                <w:spacing w:val="-1"/>
                <w:lang w:val="pt-BR"/>
              </w:rPr>
              <w:t>dos</w:t>
            </w:r>
            <w:r w:rsidRPr="00033C28">
              <w:rPr>
                <w:spacing w:val="-6"/>
                <w:lang w:val="pt-BR"/>
              </w:rPr>
              <w:t xml:space="preserve"> </w:t>
            </w:r>
            <w:r w:rsidRPr="00033C28">
              <w:rPr>
                <w:spacing w:val="-1"/>
                <w:lang w:val="pt-BR"/>
              </w:rPr>
              <w:t>Advogados</w:t>
            </w:r>
            <w:r w:rsidRPr="00033C28">
              <w:rPr>
                <w:spacing w:val="-6"/>
                <w:lang w:val="pt-BR"/>
              </w:rPr>
              <w:t xml:space="preserve"> </w:t>
            </w:r>
            <w:r w:rsidRPr="00033C28">
              <w:rPr>
                <w:spacing w:val="-1"/>
                <w:lang w:val="pt-BR"/>
              </w:rPr>
              <w:t>do</w:t>
            </w:r>
            <w:r w:rsidRPr="00033C28">
              <w:rPr>
                <w:spacing w:val="-5"/>
                <w:lang w:val="pt-BR"/>
              </w:rPr>
              <w:t xml:space="preserve"> </w:t>
            </w:r>
            <w:r w:rsidRPr="00033C28">
              <w:rPr>
                <w:spacing w:val="-1"/>
                <w:lang w:val="pt-BR"/>
              </w:rPr>
              <w:t>IPESP</w:t>
            </w:r>
            <w:r>
              <w:rPr>
                <w:spacing w:val="-1"/>
                <w:lang w:val="pt-BR"/>
              </w:rPr>
              <w:t xml:space="preserve"> </w:t>
            </w:r>
            <w:r w:rsidRPr="00033C28">
              <w:rPr>
                <w:spacing w:val="-1"/>
                <w:lang w:val="pt-BR"/>
              </w:rPr>
              <w:t>[Members of the Social Security Fund for IPESP Lawyers]</w:t>
            </w:r>
          </w:p>
        </w:tc>
        <w:tc>
          <w:tcPr>
            <w:tcW w:w="1119" w:type="dxa"/>
            <w:vAlign w:val="center"/>
          </w:tcPr>
          <w:p w14:paraId="2885A538" w14:textId="77777777" w:rsidR="0057201B" w:rsidRPr="00AE3A84" w:rsidRDefault="0057201B">
            <w:pPr>
              <w:pStyle w:val="BodyText"/>
              <w:rPr>
                <w:lang w:val="es-ES"/>
              </w:rPr>
            </w:pPr>
            <w:r w:rsidRPr="00AE3A84">
              <w:rPr>
                <w:spacing w:val="-1"/>
              </w:rPr>
              <w:t>Bra</w:t>
            </w:r>
            <w:r>
              <w:rPr>
                <w:spacing w:val="-1"/>
              </w:rPr>
              <w:t>z</w:t>
            </w:r>
            <w:r w:rsidRPr="00AE3A84">
              <w:rPr>
                <w:spacing w:val="-1"/>
              </w:rPr>
              <w:t>il</w:t>
            </w:r>
          </w:p>
        </w:tc>
        <w:tc>
          <w:tcPr>
            <w:tcW w:w="1141" w:type="dxa"/>
            <w:vAlign w:val="center"/>
          </w:tcPr>
          <w:p w14:paraId="2A2024D8" w14:textId="77777777" w:rsidR="0057201B" w:rsidRPr="00AE3A84" w:rsidRDefault="0057201B">
            <w:pPr>
              <w:pStyle w:val="BodyText"/>
              <w:jc w:val="center"/>
              <w:rPr>
                <w:spacing w:val="-1"/>
              </w:rPr>
            </w:pPr>
            <w:r w:rsidRPr="00215908">
              <w:rPr>
                <w:spacing w:val="-1"/>
              </w:rPr>
              <w:t>2/22</w:t>
            </w:r>
          </w:p>
        </w:tc>
        <w:tc>
          <w:tcPr>
            <w:tcW w:w="1289" w:type="dxa"/>
            <w:vAlign w:val="center"/>
          </w:tcPr>
          <w:p w14:paraId="2E324198" w14:textId="77777777" w:rsidR="0057201B" w:rsidRPr="00AE3A84" w:rsidRDefault="0057201B">
            <w:pPr>
              <w:pStyle w:val="BodyText"/>
              <w:rPr>
                <w:lang w:val="es-ES"/>
              </w:rPr>
            </w:pPr>
            <w:r w:rsidRPr="00AE3A84">
              <w:rPr>
                <w:spacing w:val="-1"/>
              </w:rPr>
              <w:t>2/9/2022</w:t>
            </w:r>
          </w:p>
        </w:tc>
        <w:tc>
          <w:tcPr>
            <w:tcW w:w="1329" w:type="dxa"/>
            <w:vAlign w:val="center"/>
          </w:tcPr>
          <w:p w14:paraId="590B36DD" w14:textId="77777777" w:rsidR="0057201B" w:rsidRPr="00AE3A84" w:rsidRDefault="0057201B">
            <w:pPr>
              <w:pStyle w:val="BodyText"/>
              <w:rPr>
                <w:lang w:val="es-ES"/>
              </w:rPr>
            </w:pPr>
            <w:r w:rsidRPr="00AE3A84">
              <w:rPr>
                <w:spacing w:val="-1"/>
              </w:rPr>
              <w:t>1604-13</w:t>
            </w:r>
          </w:p>
        </w:tc>
        <w:tc>
          <w:tcPr>
            <w:tcW w:w="1350" w:type="dxa"/>
            <w:vAlign w:val="center"/>
          </w:tcPr>
          <w:p w14:paraId="1E44A38A" w14:textId="5B4BFED9" w:rsidR="0057201B" w:rsidRPr="00AE3A84" w:rsidRDefault="0057201B">
            <w:pPr>
              <w:pStyle w:val="BodyText"/>
              <w:rPr>
                <w:lang w:val="es-ES"/>
              </w:rPr>
            </w:pPr>
            <w:r w:rsidRPr="00AE3A84">
              <w:rPr>
                <w:spacing w:val="-1"/>
              </w:rPr>
              <w:t>14.88</w:t>
            </w:r>
            <w:r w:rsidR="00977DAB">
              <w:rPr>
                <w:spacing w:val="-1"/>
              </w:rPr>
              <w:t>0</w:t>
            </w:r>
          </w:p>
        </w:tc>
      </w:tr>
      <w:tr w:rsidR="0057201B" w:rsidRPr="00AE3A84" w14:paraId="3534DE4F" w14:textId="77777777">
        <w:tc>
          <w:tcPr>
            <w:tcW w:w="534" w:type="dxa"/>
            <w:vAlign w:val="center"/>
          </w:tcPr>
          <w:p w14:paraId="79A0166D" w14:textId="77777777" w:rsidR="0057201B" w:rsidRPr="00AE3A84" w:rsidRDefault="0057201B" w:rsidP="00933F91">
            <w:pPr>
              <w:pStyle w:val="BodyText"/>
              <w:widowControl/>
              <w:numPr>
                <w:ilvl w:val="0"/>
                <w:numId w:val="57"/>
              </w:numPr>
              <w:rPr>
                <w:lang w:val="es-ES"/>
              </w:rPr>
            </w:pPr>
          </w:p>
        </w:tc>
        <w:tc>
          <w:tcPr>
            <w:tcW w:w="2953" w:type="dxa"/>
            <w:vAlign w:val="center"/>
          </w:tcPr>
          <w:p w14:paraId="0D893E86" w14:textId="77777777" w:rsidR="0057201B" w:rsidRPr="00AE3A84" w:rsidRDefault="0057201B">
            <w:pPr>
              <w:pStyle w:val="BodyText"/>
              <w:rPr>
                <w:lang w:val="es-ES"/>
              </w:rPr>
            </w:pPr>
            <w:r w:rsidRPr="00AE3A84">
              <w:rPr>
                <w:spacing w:val="-1"/>
              </w:rPr>
              <w:t>Óscar</w:t>
            </w:r>
            <w:r w:rsidRPr="00AE3A84">
              <w:rPr>
                <w:spacing w:val="-8"/>
              </w:rPr>
              <w:t xml:space="preserve"> </w:t>
            </w:r>
            <w:r w:rsidRPr="00AE3A84">
              <w:rPr>
                <w:spacing w:val="-1"/>
              </w:rPr>
              <w:t>Navarrete</w:t>
            </w:r>
            <w:r w:rsidRPr="00AE3A84">
              <w:rPr>
                <w:spacing w:val="-7"/>
              </w:rPr>
              <w:t xml:space="preserve"> </w:t>
            </w:r>
            <w:r w:rsidRPr="00AE3A84">
              <w:rPr>
                <w:spacing w:val="-1"/>
              </w:rPr>
              <w:t>Saavedra</w:t>
            </w:r>
          </w:p>
        </w:tc>
        <w:tc>
          <w:tcPr>
            <w:tcW w:w="1119" w:type="dxa"/>
            <w:vAlign w:val="center"/>
          </w:tcPr>
          <w:p w14:paraId="653055F2" w14:textId="77777777" w:rsidR="0057201B" w:rsidRPr="00AE3A84" w:rsidRDefault="0057201B">
            <w:pPr>
              <w:pStyle w:val="BodyText"/>
              <w:rPr>
                <w:lang w:val="es-ES"/>
              </w:rPr>
            </w:pPr>
            <w:r w:rsidRPr="00AE3A84">
              <w:rPr>
                <w:spacing w:val="-1"/>
              </w:rPr>
              <w:t>Chile</w:t>
            </w:r>
          </w:p>
        </w:tc>
        <w:tc>
          <w:tcPr>
            <w:tcW w:w="1141" w:type="dxa"/>
            <w:vAlign w:val="center"/>
          </w:tcPr>
          <w:p w14:paraId="0A5E18C2" w14:textId="77777777" w:rsidR="0057201B" w:rsidRPr="00AE3A84" w:rsidRDefault="0057201B">
            <w:pPr>
              <w:pStyle w:val="BodyText"/>
              <w:jc w:val="center"/>
              <w:rPr>
                <w:spacing w:val="-1"/>
              </w:rPr>
            </w:pPr>
            <w:r w:rsidRPr="00215908">
              <w:rPr>
                <w:spacing w:val="-1"/>
              </w:rPr>
              <w:t>3/22</w:t>
            </w:r>
          </w:p>
        </w:tc>
        <w:tc>
          <w:tcPr>
            <w:tcW w:w="1289" w:type="dxa"/>
            <w:vAlign w:val="center"/>
          </w:tcPr>
          <w:p w14:paraId="56E876E8" w14:textId="77777777" w:rsidR="0057201B" w:rsidRPr="00AE3A84" w:rsidRDefault="0057201B">
            <w:pPr>
              <w:pStyle w:val="BodyText"/>
              <w:rPr>
                <w:lang w:val="es-ES"/>
              </w:rPr>
            </w:pPr>
            <w:r w:rsidRPr="00AE3A84">
              <w:rPr>
                <w:spacing w:val="-1"/>
              </w:rPr>
              <w:t>2/9/2022</w:t>
            </w:r>
          </w:p>
        </w:tc>
        <w:tc>
          <w:tcPr>
            <w:tcW w:w="1329" w:type="dxa"/>
            <w:vAlign w:val="center"/>
          </w:tcPr>
          <w:p w14:paraId="2F269778" w14:textId="77777777" w:rsidR="0057201B" w:rsidRPr="00AE3A84" w:rsidRDefault="0057201B">
            <w:pPr>
              <w:pStyle w:val="BodyText"/>
              <w:rPr>
                <w:lang w:val="es-ES"/>
              </w:rPr>
            </w:pPr>
            <w:r w:rsidRPr="00AE3A84">
              <w:rPr>
                <w:spacing w:val="-1"/>
              </w:rPr>
              <w:t>1706-11</w:t>
            </w:r>
          </w:p>
        </w:tc>
        <w:tc>
          <w:tcPr>
            <w:tcW w:w="1350" w:type="dxa"/>
            <w:vAlign w:val="center"/>
          </w:tcPr>
          <w:p w14:paraId="768DB3BA" w14:textId="77777777" w:rsidR="0057201B" w:rsidRPr="00AE3A84" w:rsidRDefault="0057201B">
            <w:pPr>
              <w:pStyle w:val="BodyText"/>
              <w:rPr>
                <w:lang w:val="es-ES"/>
              </w:rPr>
            </w:pPr>
            <w:r w:rsidRPr="00AE3A84">
              <w:rPr>
                <w:spacing w:val="-1"/>
              </w:rPr>
              <w:t>14.881</w:t>
            </w:r>
          </w:p>
        </w:tc>
      </w:tr>
      <w:tr w:rsidR="0057201B" w:rsidRPr="00AE3A84" w14:paraId="10FAE1A4" w14:textId="77777777">
        <w:tc>
          <w:tcPr>
            <w:tcW w:w="534" w:type="dxa"/>
            <w:vAlign w:val="center"/>
          </w:tcPr>
          <w:p w14:paraId="48413A5D" w14:textId="77777777" w:rsidR="0057201B" w:rsidRPr="00AE3A84" w:rsidRDefault="0057201B" w:rsidP="00933F91">
            <w:pPr>
              <w:pStyle w:val="BodyText"/>
              <w:widowControl/>
              <w:numPr>
                <w:ilvl w:val="0"/>
                <w:numId w:val="57"/>
              </w:numPr>
              <w:rPr>
                <w:lang w:val="es-ES"/>
              </w:rPr>
            </w:pPr>
          </w:p>
        </w:tc>
        <w:tc>
          <w:tcPr>
            <w:tcW w:w="2953" w:type="dxa"/>
            <w:vAlign w:val="center"/>
          </w:tcPr>
          <w:p w14:paraId="0968EE6F" w14:textId="77777777" w:rsidR="0057201B" w:rsidRPr="00AE3A84" w:rsidRDefault="0057201B">
            <w:pPr>
              <w:pStyle w:val="BodyText"/>
              <w:rPr>
                <w:lang w:val="es-ES"/>
              </w:rPr>
            </w:pPr>
            <w:r w:rsidRPr="00AE3A84">
              <w:rPr>
                <w:spacing w:val="-1"/>
                <w:lang w:val="es-AR"/>
              </w:rPr>
              <w:t>Tomás</w:t>
            </w:r>
            <w:r w:rsidRPr="00AE3A84">
              <w:rPr>
                <w:spacing w:val="-6"/>
                <w:lang w:val="es-AR"/>
              </w:rPr>
              <w:t xml:space="preserve"> </w:t>
            </w:r>
            <w:r w:rsidRPr="00AE3A84">
              <w:rPr>
                <w:spacing w:val="-1"/>
                <w:lang w:val="es-AR"/>
              </w:rPr>
              <w:t>Casella</w:t>
            </w:r>
            <w:r w:rsidRPr="00AE3A84">
              <w:rPr>
                <w:spacing w:val="-6"/>
                <w:lang w:val="es-AR"/>
              </w:rPr>
              <w:t xml:space="preserve"> </w:t>
            </w:r>
            <w:r w:rsidRPr="00AE3A84">
              <w:rPr>
                <w:spacing w:val="-1"/>
                <w:lang w:val="es-AR"/>
              </w:rPr>
              <w:t>Santos,</w:t>
            </w:r>
            <w:r w:rsidRPr="00AE3A84">
              <w:rPr>
                <w:spacing w:val="-5"/>
                <w:lang w:val="es-AR"/>
              </w:rPr>
              <w:t xml:space="preserve"> </w:t>
            </w:r>
            <w:r w:rsidRPr="00AE3A84">
              <w:rPr>
                <w:spacing w:val="-1"/>
                <w:lang w:val="es-AR"/>
              </w:rPr>
              <w:t>Wellington</w:t>
            </w:r>
            <w:r w:rsidRPr="00AE3A84">
              <w:rPr>
                <w:spacing w:val="-5"/>
                <w:lang w:val="es-AR"/>
              </w:rPr>
              <w:t xml:space="preserve"> </w:t>
            </w:r>
            <w:r w:rsidRPr="00AE3A84">
              <w:rPr>
                <w:spacing w:val="-1"/>
                <w:lang w:val="es-AR"/>
              </w:rPr>
              <w:t>Sarli</w:t>
            </w:r>
            <w:r w:rsidRPr="00AE3A84">
              <w:rPr>
                <w:spacing w:val="-5"/>
                <w:lang w:val="es-AR"/>
              </w:rPr>
              <w:t xml:space="preserve"> </w:t>
            </w:r>
            <w:r w:rsidRPr="00AE3A84">
              <w:rPr>
                <w:spacing w:val="-1"/>
                <w:lang w:val="es-AR"/>
              </w:rPr>
              <w:t>Pose</w:t>
            </w:r>
            <w:r>
              <w:rPr>
                <w:spacing w:val="-1"/>
                <w:lang w:val="es-AR"/>
              </w:rPr>
              <w:t>, and</w:t>
            </w:r>
            <w:r w:rsidRPr="00AE3A84">
              <w:rPr>
                <w:spacing w:val="-5"/>
                <w:lang w:val="es-AR"/>
              </w:rPr>
              <w:t xml:space="preserve"> </w:t>
            </w:r>
            <w:r w:rsidRPr="00AE3A84">
              <w:rPr>
                <w:spacing w:val="-1"/>
                <w:lang w:val="es-AR"/>
              </w:rPr>
              <w:t>Eduardo</w:t>
            </w:r>
            <w:r w:rsidRPr="00AE3A84">
              <w:rPr>
                <w:spacing w:val="-6"/>
                <w:lang w:val="es-AR"/>
              </w:rPr>
              <w:t xml:space="preserve"> </w:t>
            </w:r>
            <w:r w:rsidRPr="00AE3A84">
              <w:rPr>
                <w:spacing w:val="-1"/>
                <w:lang w:val="es-AR"/>
              </w:rPr>
              <w:t>Radelli</w:t>
            </w:r>
            <w:r w:rsidRPr="00AE3A84">
              <w:rPr>
                <w:spacing w:val="41"/>
                <w:w w:val="99"/>
                <w:lang w:val="es-AR"/>
              </w:rPr>
              <w:t xml:space="preserve"> </w:t>
            </w:r>
            <w:r w:rsidRPr="00AE3A84">
              <w:rPr>
                <w:spacing w:val="-1"/>
                <w:lang w:val="es-AR"/>
              </w:rPr>
              <w:t>Cóppola</w:t>
            </w:r>
          </w:p>
        </w:tc>
        <w:tc>
          <w:tcPr>
            <w:tcW w:w="1119" w:type="dxa"/>
            <w:vAlign w:val="center"/>
          </w:tcPr>
          <w:p w14:paraId="198FDA57" w14:textId="77777777" w:rsidR="0057201B" w:rsidRPr="00AE3A84" w:rsidRDefault="0057201B">
            <w:pPr>
              <w:pStyle w:val="BodyText"/>
              <w:rPr>
                <w:lang w:val="es-ES"/>
              </w:rPr>
            </w:pPr>
            <w:r w:rsidRPr="00AE3A84">
              <w:rPr>
                <w:spacing w:val="-1"/>
              </w:rPr>
              <w:t>Chile</w:t>
            </w:r>
          </w:p>
        </w:tc>
        <w:tc>
          <w:tcPr>
            <w:tcW w:w="1141" w:type="dxa"/>
            <w:vAlign w:val="center"/>
          </w:tcPr>
          <w:p w14:paraId="3EB7F00E" w14:textId="77777777" w:rsidR="0057201B" w:rsidRPr="00AE3A84" w:rsidRDefault="0057201B">
            <w:pPr>
              <w:pStyle w:val="BodyText"/>
              <w:jc w:val="center"/>
              <w:rPr>
                <w:spacing w:val="-1"/>
              </w:rPr>
            </w:pPr>
            <w:r w:rsidRPr="00215908">
              <w:rPr>
                <w:spacing w:val="-1"/>
              </w:rPr>
              <w:t>4/22</w:t>
            </w:r>
          </w:p>
        </w:tc>
        <w:tc>
          <w:tcPr>
            <w:tcW w:w="1289" w:type="dxa"/>
            <w:vAlign w:val="center"/>
          </w:tcPr>
          <w:p w14:paraId="3181289F" w14:textId="77777777" w:rsidR="0057201B" w:rsidRPr="00AE3A84" w:rsidRDefault="0057201B">
            <w:pPr>
              <w:pStyle w:val="BodyText"/>
              <w:rPr>
                <w:lang w:val="es-ES"/>
              </w:rPr>
            </w:pPr>
            <w:r w:rsidRPr="00AE3A84">
              <w:rPr>
                <w:spacing w:val="-1"/>
              </w:rPr>
              <w:t>2/9/2022</w:t>
            </w:r>
          </w:p>
        </w:tc>
        <w:tc>
          <w:tcPr>
            <w:tcW w:w="1329" w:type="dxa"/>
            <w:vAlign w:val="center"/>
          </w:tcPr>
          <w:p w14:paraId="430025F1" w14:textId="77777777" w:rsidR="0057201B" w:rsidRPr="00AE3A84" w:rsidRDefault="0057201B">
            <w:pPr>
              <w:pStyle w:val="BodyText"/>
              <w:rPr>
                <w:lang w:val="es-ES"/>
              </w:rPr>
            </w:pPr>
            <w:r w:rsidRPr="00AE3A84">
              <w:rPr>
                <w:spacing w:val="-1"/>
              </w:rPr>
              <w:t>1374-12</w:t>
            </w:r>
          </w:p>
        </w:tc>
        <w:tc>
          <w:tcPr>
            <w:tcW w:w="1350" w:type="dxa"/>
            <w:vAlign w:val="center"/>
          </w:tcPr>
          <w:p w14:paraId="77BC61A5" w14:textId="77777777" w:rsidR="0057201B" w:rsidRPr="00AE3A84" w:rsidRDefault="0057201B">
            <w:pPr>
              <w:pStyle w:val="BodyText"/>
              <w:rPr>
                <w:lang w:val="es-ES"/>
              </w:rPr>
            </w:pPr>
            <w:r w:rsidRPr="00AE3A84">
              <w:rPr>
                <w:spacing w:val="-1"/>
              </w:rPr>
              <w:t>14.882</w:t>
            </w:r>
          </w:p>
        </w:tc>
      </w:tr>
      <w:tr w:rsidR="0057201B" w:rsidRPr="00AE3A84" w14:paraId="6B525C2D" w14:textId="77777777">
        <w:tc>
          <w:tcPr>
            <w:tcW w:w="534" w:type="dxa"/>
            <w:vAlign w:val="center"/>
          </w:tcPr>
          <w:p w14:paraId="03AF1D3C" w14:textId="77777777" w:rsidR="0057201B" w:rsidRPr="00AE3A84" w:rsidRDefault="0057201B" w:rsidP="00933F91">
            <w:pPr>
              <w:pStyle w:val="BodyText"/>
              <w:widowControl/>
              <w:numPr>
                <w:ilvl w:val="0"/>
                <w:numId w:val="57"/>
              </w:numPr>
              <w:rPr>
                <w:lang w:val="es-ES"/>
              </w:rPr>
            </w:pPr>
          </w:p>
        </w:tc>
        <w:tc>
          <w:tcPr>
            <w:tcW w:w="2953" w:type="dxa"/>
            <w:vAlign w:val="center"/>
          </w:tcPr>
          <w:p w14:paraId="7001334D" w14:textId="77777777" w:rsidR="0057201B" w:rsidRPr="00AE3A84" w:rsidRDefault="0057201B">
            <w:pPr>
              <w:pStyle w:val="BodyText"/>
              <w:rPr>
                <w:lang w:val="es-ES"/>
              </w:rPr>
            </w:pPr>
            <w:r w:rsidRPr="00AE3A84">
              <w:rPr>
                <w:spacing w:val="-1"/>
                <w:lang w:val="es-AR"/>
              </w:rPr>
              <w:t>Norma</w:t>
            </w:r>
            <w:r w:rsidRPr="00AE3A84">
              <w:rPr>
                <w:spacing w:val="-6"/>
                <w:lang w:val="es-AR"/>
              </w:rPr>
              <w:t xml:space="preserve"> </w:t>
            </w:r>
            <w:r w:rsidRPr="00AE3A84">
              <w:rPr>
                <w:spacing w:val="-1"/>
                <w:lang w:val="es-AR"/>
              </w:rPr>
              <w:t>E.</w:t>
            </w:r>
            <w:r w:rsidRPr="00AE3A84">
              <w:rPr>
                <w:spacing w:val="-4"/>
                <w:lang w:val="es-AR"/>
              </w:rPr>
              <w:t xml:space="preserve"> </w:t>
            </w:r>
            <w:r w:rsidRPr="00AE3A84">
              <w:rPr>
                <w:spacing w:val="-1"/>
                <w:lang w:val="es-AR"/>
              </w:rPr>
              <w:t>Pino</w:t>
            </w:r>
            <w:r w:rsidRPr="00AE3A84">
              <w:rPr>
                <w:spacing w:val="-6"/>
                <w:lang w:val="es-AR"/>
              </w:rPr>
              <w:t xml:space="preserve"> </w:t>
            </w:r>
            <w:r w:rsidRPr="00AE3A84">
              <w:rPr>
                <w:spacing w:val="-1"/>
                <w:lang w:val="es-AR"/>
              </w:rPr>
              <w:t>Manríquez</w:t>
            </w:r>
            <w:r w:rsidRPr="00AE3A84">
              <w:rPr>
                <w:spacing w:val="-4"/>
                <w:lang w:val="es-AR"/>
              </w:rPr>
              <w:t xml:space="preserve"> </w:t>
            </w:r>
            <w:r>
              <w:rPr>
                <w:lang w:val="es-AR"/>
              </w:rPr>
              <w:t>et al.</w:t>
            </w:r>
          </w:p>
        </w:tc>
        <w:tc>
          <w:tcPr>
            <w:tcW w:w="1119" w:type="dxa"/>
            <w:vAlign w:val="center"/>
          </w:tcPr>
          <w:p w14:paraId="791A0D20" w14:textId="77777777" w:rsidR="0057201B" w:rsidRPr="00AE3A84" w:rsidRDefault="0057201B">
            <w:pPr>
              <w:pStyle w:val="BodyText"/>
              <w:rPr>
                <w:lang w:val="es-ES"/>
              </w:rPr>
            </w:pPr>
            <w:r w:rsidRPr="00AE3A84">
              <w:rPr>
                <w:spacing w:val="-1"/>
              </w:rPr>
              <w:t>Chile</w:t>
            </w:r>
          </w:p>
        </w:tc>
        <w:tc>
          <w:tcPr>
            <w:tcW w:w="1141" w:type="dxa"/>
            <w:vAlign w:val="center"/>
          </w:tcPr>
          <w:p w14:paraId="77768413" w14:textId="77777777" w:rsidR="0057201B" w:rsidRPr="00AE3A84" w:rsidRDefault="0057201B">
            <w:pPr>
              <w:pStyle w:val="BodyText"/>
              <w:jc w:val="center"/>
              <w:rPr>
                <w:spacing w:val="-1"/>
              </w:rPr>
            </w:pPr>
            <w:r w:rsidRPr="00215908">
              <w:rPr>
                <w:spacing w:val="-1"/>
              </w:rPr>
              <w:t>6/22</w:t>
            </w:r>
          </w:p>
        </w:tc>
        <w:tc>
          <w:tcPr>
            <w:tcW w:w="1289" w:type="dxa"/>
            <w:vAlign w:val="center"/>
          </w:tcPr>
          <w:p w14:paraId="18B5CC0F" w14:textId="77777777" w:rsidR="0057201B" w:rsidRPr="00AE3A84" w:rsidRDefault="0057201B">
            <w:pPr>
              <w:pStyle w:val="BodyText"/>
              <w:rPr>
                <w:lang w:val="es-ES"/>
              </w:rPr>
            </w:pPr>
            <w:r w:rsidRPr="00AE3A84">
              <w:rPr>
                <w:spacing w:val="-1"/>
              </w:rPr>
              <w:t>2/9/2022</w:t>
            </w:r>
          </w:p>
        </w:tc>
        <w:tc>
          <w:tcPr>
            <w:tcW w:w="1329" w:type="dxa"/>
            <w:vAlign w:val="center"/>
          </w:tcPr>
          <w:p w14:paraId="1162185E" w14:textId="77777777" w:rsidR="0057201B" w:rsidRPr="00AE3A84" w:rsidRDefault="0057201B">
            <w:pPr>
              <w:pStyle w:val="BodyText"/>
              <w:rPr>
                <w:lang w:val="es-ES"/>
              </w:rPr>
            </w:pPr>
            <w:r w:rsidRPr="00AE3A84">
              <w:rPr>
                <w:spacing w:val="-1"/>
              </w:rPr>
              <w:t>1696-14</w:t>
            </w:r>
          </w:p>
        </w:tc>
        <w:tc>
          <w:tcPr>
            <w:tcW w:w="1350" w:type="dxa"/>
            <w:vAlign w:val="center"/>
          </w:tcPr>
          <w:p w14:paraId="7B4D9B79" w14:textId="77777777" w:rsidR="0057201B" w:rsidRPr="00AE3A84" w:rsidRDefault="0057201B">
            <w:pPr>
              <w:pStyle w:val="BodyText"/>
              <w:rPr>
                <w:lang w:val="es-ES"/>
              </w:rPr>
            </w:pPr>
            <w:r w:rsidRPr="00AE3A84">
              <w:rPr>
                <w:spacing w:val="-1"/>
              </w:rPr>
              <w:t>14.883</w:t>
            </w:r>
          </w:p>
        </w:tc>
      </w:tr>
      <w:tr w:rsidR="0057201B" w:rsidRPr="00AE3A84" w14:paraId="6B2B7CC3" w14:textId="77777777">
        <w:tc>
          <w:tcPr>
            <w:tcW w:w="534" w:type="dxa"/>
            <w:vAlign w:val="center"/>
          </w:tcPr>
          <w:p w14:paraId="51A727DA" w14:textId="77777777" w:rsidR="0057201B" w:rsidRPr="00AE3A84" w:rsidRDefault="0057201B" w:rsidP="00933F91">
            <w:pPr>
              <w:pStyle w:val="BodyText"/>
              <w:widowControl/>
              <w:numPr>
                <w:ilvl w:val="0"/>
                <w:numId w:val="57"/>
              </w:numPr>
              <w:rPr>
                <w:lang w:val="es-ES"/>
              </w:rPr>
            </w:pPr>
          </w:p>
        </w:tc>
        <w:tc>
          <w:tcPr>
            <w:tcW w:w="2953" w:type="dxa"/>
            <w:vAlign w:val="center"/>
          </w:tcPr>
          <w:p w14:paraId="14B0B9A1" w14:textId="77777777" w:rsidR="0057201B" w:rsidRPr="000F5F66" w:rsidRDefault="0057201B">
            <w:pPr>
              <w:pStyle w:val="BodyText"/>
            </w:pPr>
            <w:r w:rsidRPr="000F5F66">
              <w:rPr>
                <w:spacing w:val="-1"/>
              </w:rPr>
              <w:t>Wilson</w:t>
            </w:r>
            <w:r w:rsidRPr="000F5F66">
              <w:rPr>
                <w:spacing w:val="-6"/>
              </w:rPr>
              <w:t xml:space="preserve"> </w:t>
            </w:r>
            <w:r w:rsidRPr="000F5F66">
              <w:rPr>
                <w:spacing w:val="-1"/>
              </w:rPr>
              <w:t>Castro</w:t>
            </w:r>
            <w:r w:rsidRPr="000F5F66">
              <w:rPr>
                <w:spacing w:val="-6"/>
              </w:rPr>
              <w:t xml:space="preserve"> </w:t>
            </w:r>
            <w:r w:rsidRPr="000F5F66">
              <w:rPr>
                <w:spacing w:val="-1"/>
              </w:rPr>
              <w:t>Vásquez</w:t>
            </w:r>
            <w:r w:rsidRPr="000F5F66">
              <w:rPr>
                <w:spacing w:val="-5"/>
              </w:rPr>
              <w:t xml:space="preserve"> </w:t>
            </w:r>
            <w:r w:rsidRPr="000F5F66">
              <w:t xml:space="preserve">and </w:t>
            </w:r>
            <w:r>
              <w:t>F</w:t>
            </w:r>
            <w:r w:rsidRPr="000F5F66">
              <w:t>amily</w:t>
            </w:r>
          </w:p>
        </w:tc>
        <w:tc>
          <w:tcPr>
            <w:tcW w:w="1119" w:type="dxa"/>
            <w:vAlign w:val="center"/>
          </w:tcPr>
          <w:p w14:paraId="5ACE0A63" w14:textId="77777777" w:rsidR="0057201B" w:rsidRPr="00AE3A84" w:rsidRDefault="0057201B">
            <w:pPr>
              <w:pStyle w:val="BodyText"/>
              <w:rPr>
                <w:lang w:val="es-ES"/>
              </w:rPr>
            </w:pPr>
            <w:r w:rsidRPr="00AE3A84">
              <w:rPr>
                <w:spacing w:val="-1"/>
              </w:rPr>
              <w:t>Colombia</w:t>
            </w:r>
          </w:p>
        </w:tc>
        <w:tc>
          <w:tcPr>
            <w:tcW w:w="1141" w:type="dxa"/>
            <w:vAlign w:val="center"/>
          </w:tcPr>
          <w:p w14:paraId="2D715AF2" w14:textId="77777777" w:rsidR="0057201B" w:rsidRPr="00AE3A84" w:rsidRDefault="0057201B">
            <w:pPr>
              <w:pStyle w:val="BodyText"/>
              <w:jc w:val="center"/>
              <w:rPr>
                <w:spacing w:val="-1"/>
              </w:rPr>
            </w:pPr>
            <w:r w:rsidRPr="00215908">
              <w:rPr>
                <w:spacing w:val="-1"/>
              </w:rPr>
              <w:t>7/22</w:t>
            </w:r>
          </w:p>
        </w:tc>
        <w:tc>
          <w:tcPr>
            <w:tcW w:w="1289" w:type="dxa"/>
            <w:vAlign w:val="center"/>
          </w:tcPr>
          <w:p w14:paraId="70BACDBA" w14:textId="77777777" w:rsidR="0057201B" w:rsidRPr="00AE3A84" w:rsidRDefault="0057201B">
            <w:pPr>
              <w:pStyle w:val="BodyText"/>
              <w:rPr>
                <w:lang w:val="es-ES"/>
              </w:rPr>
            </w:pPr>
            <w:r w:rsidRPr="00AE3A84">
              <w:rPr>
                <w:spacing w:val="-1"/>
              </w:rPr>
              <w:t>2/9/2022</w:t>
            </w:r>
          </w:p>
        </w:tc>
        <w:tc>
          <w:tcPr>
            <w:tcW w:w="1329" w:type="dxa"/>
            <w:vAlign w:val="center"/>
          </w:tcPr>
          <w:p w14:paraId="49735447" w14:textId="77777777" w:rsidR="0057201B" w:rsidRPr="00AE3A84" w:rsidRDefault="0057201B">
            <w:pPr>
              <w:pStyle w:val="BodyText"/>
              <w:rPr>
                <w:lang w:val="es-ES"/>
              </w:rPr>
            </w:pPr>
            <w:r w:rsidRPr="00AE3A84">
              <w:rPr>
                <w:spacing w:val="-1"/>
              </w:rPr>
              <w:t>776-08</w:t>
            </w:r>
          </w:p>
        </w:tc>
        <w:tc>
          <w:tcPr>
            <w:tcW w:w="1350" w:type="dxa"/>
            <w:vAlign w:val="center"/>
          </w:tcPr>
          <w:p w14:paraId="6874FD6F" w14:textId="77777777" w:rsidR="0057201B" w:rsidRPr="00AE3A84" w:rsidRDefault="0057201B">
            <w:pPr>
              <w:pStyle w:val="BodyText"/>
              <w:rPr>
                <w:lang w:val="es-ES"/>
              </w:rPr>
            </w:pPr>
            <w:r w:rsidRPr="00AE3A84">
              <w:rPr>
                <w:spacing w:val="-1"/>
              </w:rPr>
              <w:t>14.884</w:t>
            </w:r>
          </w:p>
        </w:tc>
      </w:tr>
      <w:tr w:rsidR="0057201B" w:rsidRPr="00AE3A84" w14:paraId="69B0883D" w14:textId="77777777">
        <w:tc>
          <w:tcPr>
            <w:tcW w:w="534" w:type="dxa"/>
            <w:vAlign w:val="center"/>
          </w:tcPr>
          <w:p w14:paraId="7E5E4530" w14:textId="77777777" w:rsidR="0057201B" w:rsidRPr="00AE3A84" w:rsidRDefault="0057201B" w:rsidP="00933F91">
            <w:pPr>
              <w:pStyle w:val="BodyText"/>
              <w:widowControl/>
              <w:numPr>
                <w:ilvl w:val="0"/>
                <w:numId w:val="57"/>
              </w:numPr>
              <w:rPr>
                <w:lang w:val="es-ES"/>
              </w:rPr>
            </w:pPr>
          </w:p>
        </w:tc>
        <w:tc>
          <w:tcPr>
            <w:tcW w:w="2953" w:type="dxa"/>
            <w:vAlign w:val="center"/>
          </w:tcPr>
          <w:p w14:paraId="0191487D" w14:textId="77777777" w:rsidR="0057201B" w:rsidRPr="00AE3A84" w:rsidRDefault="0057201B">
            <w:pPr>
              <w:pStyle w:val="BodyText"/>
              <w:rPr>
                <w:lang w:val="es-ES"/>
              </w:rPr>
            </w:pPr>
            <w:r w:rsidRPr="00AE3A84">
              <w:rPr>
                <w:spacing w:val="-1"/>
                <w:lang w:val="es-AR"/>
              </w:rPr>
              <w:t>Jairo</w:t>
            </w:r>
            <w:r w:rsidRPr="00AE3A84">
              <w:rPr>
                <w:spacing w:val="-6"/>
                <w:lang w:val="es-AR"/>
              </w:rPr>
              <w:t xml:space="preserve"> </w:t>
            </w:r>
            <w:r w:rsidRPr="00AE3A84">
              <w:rPr>
                <w:spacing w:val="-1"/>
                <w:lang w:val="es-AR"/>
              </w:rPr>
              <w:t>Rocha</w:t>
            </w:r>
            <w:r w:rsidRPr="00AE3A84">
              <w:rPr>
                <w:spacing w:val="-6"/>
                <w:lang w:val="es-AR"/>
              </w:rPr>
              <w:t xml:space="preserve"> </w:t>
            </w:r>
            <w:r w:rsidRPr="00AE3A84">
              <w:rPr>
                <w:spacing w:val="-1"/>
                <w:lang w:val="es-AR"/>
              </w:rPr>
              <w:t>González</w:t>
            </w:r>
            <w:r w:rsidRPr="00AE3A84">
              <w:rPr>
                <w:spacing w:val="-4"/>
                <w:lang w:val="es-AR"/>
              </w:rPr>
              <w:t xml:space="preserve"> </w:t>
            </w:r>
            <w:r>
              <w:rPr>
                <w:lang w:val="es-AR"/>
              </w:rPr>
              <w:t>and Family</w:t>
            </w:r>
          </w:p>
        </w:tc>
        <w:tc>
          <w:tcPr>
            <w:tcW w:w="1119" w:type="dxa"/>
            <w:vAlign w:val="center"/>
          </w:tcPr>
          <w:p w14:paraId="3D96953D" w14:textId="77777777" w:rsidR="0057201B" w:rsidRPr="00AE3A84" w:rsidRDefault="0057201B">
            <w:pPr>
              <w:pStyle w:val="BodyText"/>
              <w:rPr>
                <w:lang w:val="es-ES"/>
              </w:rPr>
            </w:pPr>
            <w:r w:rsidRPr="00AE3A84">
              <w:rPr>
                <w:spacing w:val="-1"/>
              </w:rPr>
              <w:t>Colombia</w:t>
            </w:r>
          </w:p>
        </w:tc>
        <w:tc>
          <w:tcPr>
            <w:tcW w:w="1141" w:type="dxa"/>
            <w:vAlign w:val="center"/>
          </w:tcPr>
          <w:p w14:paraId="54E816FB" w14:textId="77777777" w:rsidR="0057201B" w:rsidRPr="00AE3A84" w:rsidRDefault="0057201B">
            <w:pPr>
              <w:pStyle w:val="BodyText"/>
              <w:jc w:val="center"/>
              <w:rPr>
                <w:spacing w:val="-1"/>
              </w:rPr>
            </w:pPr>
            <w:r w:rsidRPr="00215908">
              <w:rPr>
                <w:spacing w:val="-1"/>
              </w:rPr>
              <w:t>8/22</w:t>
            </w:r>
          </w:p>
        </w:tc>
        <w:tc>
          <w:tcPr>
            <w:tcW w:w="1289" w:type="dxa"/>
            <w:vAlign w:val="center"/>
          </w:tcPr>
          <w:p w14:paraId="66C68DF9" w14:textId="77777777" w:rsidR="0057201B" w:rsidRPr="00AE3A84" w:rsidRDefault="0057201B">
            <w:pPr>
              <w:pStyle w:val="BodyText"/>
              <w:rPr>
                <w:lang w:val="es-ES"/>
              </w:rPr>
            </w:pPr>
            <w:r w:rsidRPr="00AE3A84">
              <w:rPr>
                <w:spacing w:val="-1"/>
              </w:rPr>
              <w:t>2/9/2022</w:t>
            </w:r>
          </w:p>
        </w:tc>
        <w:tc>
          <w:tcPr>
            <w:tcW w:w="1329" w:type="dxa"/>
            <w:vAlign w:val="center"/>
          </w:tcPr>
          <w:p w14:paraId="6A416DC9" w14:textId="77777777" w:rsidR="0057201B" w:rsidRPr="00AE3A84" w:rsidRDefault="0057201B">
            <w:pPr>
              <w:pStyle w:val="BodyText"/>
              <w:rPr>
                <w:lang w:val="es-ES"/>
              </w:rPr>
            </w:pPr>
            <w:r w:rsidRPr="00AE3A84">
              <w:rPr>
                <w:spacing w:val="-1"/>
              </w:rPr>
              <w:t>1889-10</w:t>
            </w:r>
          </w:p>
        </w:tc>
        <w:tc>
          <w:tcPr>
            <w:tcW w:w="1350" w:type="dxa"/>
            <w:vAlign w:val="center"/>
          </w:tcPr>
          <w:p w14:paraId="6B1D9A2C" w14:textId="77777777" w:rsidR="0057201B" w:rsidRPr="00AE3A84" w:rsidRDefault="0057201B">
            <w:pPr>
              <w:pStyle w:val="BodyText"/>
              <w:rPr>
                <w:lang w:val="es-ES"/>
              </w:rPr>
            </w:pPr>
            <w:r w:rsidRPr="00AE3A84">
              <w:rPr>
                <w:spacing w:val="-1"/>
              </w:rPr>
              <w:t>14.885</w:t>
            </w:r>
          </w:p>
        </w:tc>
      </w:tr>
      <w:tr w:rsidR="0057201B" w:rsidRPr="00AE3A84" w14:paraId="0D9B5A2A" w14:textId="77777777">
        <w:tc>
          <w:tcPr>
            <w:tcW w:w="534" w:type="dxa"/>
            <w:vAlign w:val="center"/>
          </w:tcPr>
          <w:p w14:paraId="3467688C" w14:textId="77777777" w:rsidR="0057201B" w:rsidRPr="00AE3A84" w:rsidRDefault="0057201B" w:rsidP="00933F91">
            <w:pPr>
              <w:pStyle w:val="BodyText"/>
              <w:widowControl/>
              <w:numPr>
                <w:ilvl w:val="0"/>
                <w:numId w:val="57"/>
              </w:numPr>
              <w:rPr>
                <w:lang w:val="es-ES"/>
              </w:rPr>
            </w:pPr>
          </w:p>
        </w:tc>
        <w:tc>
          <w:tcPr>
            <w:tcW w:w="2953" w:type="dxa"/>
            <w:vAlign w:val="center"/>
          </w:tcPr>
          <w:p w14:paraId="7E229B45" w14:textId="77777777" w:rsidR="0057201B" w:rsidRPr="000F5F66" w:rsidRDefault="0057201B">
            <w:pPr>
              <w:pStyle w:val="BodyText"/>
            </w:pPr>
            <w:r w:rsidRPr="000F5F66">
              <w:rPr>
                <w:spacing w:val="-1"/>
              </w:rPr>
              <w:t>William</w:t>
            </w:r>
            <w:r w:rsidRPr="000F5F66">
              <w:rPr>
                <w:spacing w:val="-5"/>
              </w:rPr>
              <w:t xml:space="preserve"> </w:t>
            </w:r>
            <w:r w:rsidRPr="000F5F66">
              <w:rPr>
                <w:spacing w:val="-1"/>
              </w:rPr>
              <w:t>José</w:t>
            </w:r>
            <w:r w:rsidRPr="000F5F66">
              <w:rPr>
                <w:spacing w:val="-3"/>
              </w:rPr>
              <w:t xml:space="preserve"> </w:t>
            </w:r>
            <w:r w:rsidRPr="000F5F66">
              <w:rPr>
                <w:spacing w:val="-1"/>
              </w:rPr>
              <w:t>Bernal</w:t>
            </w:r>
            <w:r w:rsidRPr="000F5F66">
              <w:rPr>
                <w:spacing w:val="-3"/>
              </w:rPr>
              <w:t xml:space="preserve"> </w:t>
            </w:r>
            <w:r w:rsidRPr="000F5F66">
              <w:rPr>
                <w:spacing w:val="-1"/>
              </w:rPr>
              <w:t>Pava</w:t>
            </w:r>
            <w:r w:rsidRPr="000F5F66">
              <w:rPr>
                <w:spacing w:val="-6"/>
              </w:rPr>
              <w:t xml:space="preserve"> </w:t>
            </w:r>
            <w:r w:rsidRPr="000F5F66">
              <w:t>et</w:t>
            </w:r>
            <w:r>
              <w:t xml:space="preserve"> al.</w:t>
            </w:r>
          </w:p>
        </w:tc>
        <w:tc>
          <w:tcPr>
            <w:tcW w:w="1119" w:type="dxa"/>
            <w:vAlign w:val="center"/>
          </w:tcPr>
          <w:p w14:paraId="10ABB329" w14:textId="77777777" w:rsidR="0057201B" w:rsidRPr="00AE3A84" w:rsidRDefault="0057201B">
            <w:pPr>
              <w:pStyle w:val="BodyText"/>
              <w:rPr>
                <w:lang w:val="es-ES"/>
              </w:rPr>
            </w:pPr>
            <w:r w:rsidRPr="00AE3A84">
              <w:rPr>
                <w:spacing w:val="-1"/>
              </w:rPr>
              <w:t>Colombia</w:t>
            </w:r>
          </w:p>
        </w:tc>
        <w:tc>
          <w:tcPr>
            <w:tcW w:w="1141" w:type="dxa"/>
            <w:vAlign w:val="center"/>
          </w:tcPr>
          <w:p w14:paraId="2604E092" w14:textId="77777777" w:rsidR="0057201B" w:rsidRPr="00AE3A84" w:rsidRDefault="0057201B">
            <w:pPr>
              <w:pStyle w:val="BodyText"/>
              <w:jc w:val="center"/>
              <w:rPr>
                <w:spacing w:val="-1"/>
              </w:rPr>
            </w:pPr>
            <w:r w:rsidRPr="007779A5">
              <w:rPr>
                <w:spacing w:val="-1"/>
              </w:rPr>
              <w:t>10/22</w:t>
            </w:r>
          </w:p>
        </w:tc>
        <w:tc>
          <w:tcPr>
            <w:tcW w:w="1289" w:type="dxa"/>
            <w:vAlign w:val="center"/>
          </w:tcPr>
          <w:p w14:paraId="24280F1E" w14:textId="77777777" w:rsidR="0057201B" w:rsidRPr="00AE3A84" w:rsidRDefault="0057201B">
            <w:pPr>
              <w:pStyle w:val="BodyText"/>
              <w:rPr>
                <w:lang w:val="es-ES"/>
              </w:rPr>
            </w:pPr>
            <w:r w:rsidRPr="00AE3A84">
              <w:rPr>
                <w:spacing w:val="-1"/>
              </w:rPr>
              <w:t>2/9/2022</w:t>
            </w:r>
          </w:p>
        </w:tc>
        <w:tc>
          <w:tcPr>
            <w:tcW w:w="1329" w:type="dxa"/>
            <w:vAlign w:val="center"/>
          </w:tcPr>
          <w:p w14:paraId="2FD8AFB7" w14:textId="77777777" w:rsidR="0057201B" w:rsidRPr="00AE3A84" w:rsidRDefault="0057201B">
            <w:pPr>
              <w:pStyle w:val="BodyText"/>
              <w:rPr>
                <w:lang w:val="es-ES"/>
              </w:rPr>
            </w:pPr>
            <w:r w:rsidRPr="00AE3A84">
              <w:rPr>
                <w:spacing w:val="-1"/>
              </w:rPr>
              <w:t>651-11</w:t>
            </w:r>
          </w:p>
        </w:tc>
        <w:tc>
          <w:tcPr>
            <w:tcW w:w="1350" w:type="dxa"/>
            <w:vAlign w:val="center"/>
          </w:tcPr>
          <w:p w14:paraId="26D9D3B4" w14:textId="77777777" w:rsidR="0057201B" w:rsidRPr="00AE3A84" w:rsidRDefault="0057201B">
            <w:pPr>
              <w:pStyle w:val="BodyText"/>
              <w:rPr>
                <w:lang w:val="es-ES"/>
              </w:rPr>
            </w:pPr>
            <w:r w:rsidRPr="00AE3A84">
              <w:rPr>
                <w:spacing w:val="-1"/>
              </w:rPr>
              <w:t>14.886</w:t>
            </w:r>
          </w:p>
        </w:tc>
      </w:tr>
      <w:tr w:rsidR="0057201B" w:rsidRPr="00AE3A84" w14:paraId="14273A10" w14:textId="77777777">
        <w:tc>
          <w:tcPr>
            <w:tcW w:w="534" w:type="dxa"/>
            <w:vAlign w:val="center"/>
          </w:tcPr>
          <w:p w14:paraId="1BDEB276" w14:textId="77777777" w:rsidR="0057201B" w:rsidRPr="00AE3A84" w:rsidRDefault="0057201B" w:rsidP="00933F91">
            <w:pPr>
              <w:pStyle w:val="BodyText"/>
              <w:widowControl/>
              <w:numPr>
                <w:ilvl w:val="0"/>
                <w:numId w:val="57"/>
              </w:numPr>
              <w:rPr>
                <w:lang w:val="es-ES"/>
              </w:rPr>
            </w:pPr>
          </w:p>
        </w:tc>
        <w:tc>
          <w:tcPr>
            <w:tcW w:w="2953" w:type="dxa"/>
            <w:vAlign w:val="center"/>
          </w:tcPr>
          <w:p w14:paraId="49710AFE" w14:textId="77777777" w:rsidR="0057201B" w:rsidRPr="00AE3A84" w:rsidRDefault="0057201B">
            <w:pPr>
              <w:pStyle w:val="BodyText"/>
              <w:rPr>
                <w:lang w:val="es-ES"/>
              </w:rPr>
            </w:pPr>
            <w:r w:rsidRPr="00AE3A84">
              <w:rPr>
                <w:spacing w:val="-1"/>
                <w:lang w:val="es-AR"/>
              </w:rPr>
              <w:t>Blanca</w:t>
            </w:r>
            <w:r w:rsidRPr="00AE3A84">
              <w:rPr>
                <w:spacing w:val="-6"/>
                <w:lang w:val="es-AR"/>
              </w:rPr>
              <w:t xml:space="preserve"> </w:t>
            </w:r>
            <w:r w:rsidRPr="00AE3A84">
              <w:rPr>
                <w:spacing w:val="-1"/>
                <w:lang w:val="es-AR"/>
              </w:rPr>
              <w:t>Ruth</w:t>
            </w:r>
            <w:r w:rsidRPr="00AE3A84">
              <w:rPr>
                <w:spacing w:val="-4"/>
                <w:lang w:val="es-AR"/>
              </w:rPr>
              <w:t xml:space="preserve"> </w:t>
            </w:r>
            <w:r w:rsidRPr="00AE3A84">
              <w:rPr>
                <w:spacing w:val="-1"/>
                <w:lang w:val="es-AR"/>
              </w:rPr>
              <w:t>Sánchez</w:t>
            </w:r>
            <w:r w:rsidRPr="00AE3A84">
              <w:rPr>
                <w:spacing w:val="-5"/>
                <w:lang w:val="es-AR"/>
              </w:rPr>
              <w:t xml:space="preserve"> </w:t>
            </w:r>
            <w:r w:rsidRPr="00AE3A84">
              <w:rPr>
                <w:spacing w:val="-1"/>
                <w:lang w:val="es-AR"/>
              </w:rPr>
              <w:t>de</w:t>
            </w:r>
            <w:r w:rsidRPr="00AE3A84">
              <w:rPr>
                <w:spacing w:val="-3"/>
                <w:lang w:val="es-AR"/>
              </w:rPr>
              <w:t xml:space="preserve"> </w:t>
            </w:r>
            <w:r w:rsidRPr="00AE3A84">
              <w:rPr>
                <w:spacing w:val="-1"/>
                <w:lang w:val="es-AR"/>
              </w:rPr>
              <w:t>Franco</w:t>
            </w:r>
            <w:r w:rsidRPr="00AE3A84">
              <w:rPr>
                <w:spacing w:val="-6"/>
                <w:lang w:val="es-AR"/>
              </w:rPr>
              <w:t xml:space="preserve"> </w:t>
            </w:r>
            <w:r>
              <w:rPr>
                <w:lang w:val="es-AR"/>
              </w:rPr>
              <w:t>and Family</w:t>
            </w:r>
          </w:p>
        </w:tc>
        <w:tc>
          <w:tcPr>
            <w:tcW w:w="1119" w:type="dxa"/>
            <w:vAlign w:val="center"/>
          </w:tcPr>
          <w:p w14:paraId="10BF9FF9" w14:textId="77777777" w:rsidR="0057201B" w:rsidRPr="00AE3A84" w:rsidRDefault="0057201B">
            <w:pPr>
              <w:pStyle w:val="BodyText"/>
              <w:rPr>
                <w:lang w:val="es-ES"/>
              </w:rPr>
            </w:pPr>
            <w:r w:rsidRPr="00AE3A84">
              <w:rPr>
                <w:spacing w:val="-1"/>
              </w:rPr>
              <w:t>Colombia</w:t>
            </w:r>
          </w:p>
        </w:tc>
        <w:tc>
          <w:tcPr>
            <w:tcW w:w="1141" w:type="dxa"/>
            <w:vAlign w:val="center"/>
          </w:tcPr>
          <w:p w14:paraId="2268C3F0" w14:textId="77777777" w:rsidR="0057201B" w:rsidRPr="00AE3A84" w:rsidRDefault="0057201B">
            <w:pPr>
              <w:pStyle w:val="BodyText"/>
              <w:jc w:val="center"/>
              <w:rPr>
                <w:spacing w:val="-1"/>
              </w:rPr>
            </w:pPr>
            <w:r w:rsidRPr="007779A5">
              <w:rPr>
                <w:spacing w:val="-1"/>
              </w:rPr>
              <w:t>12/22</w:t>
            </w:r>
          </w:p>
        </w:tc>
        <w:tc>
          <w:tcPr>
            <w:tcW w:w="1289" w:type="dxa"/>
            <w:vAlign w:val="center"/>
          </w:tcPr>
          <w:p w14:paraId="283195AC" w14:textId="77777777" w:rsidR="0057201B" w:rsidRPr="00AE3A84" w:rsidRDefault="0057201B">
            <w:pPr>
              <w:pStyle w:val="BodyText"/>
              <w:rPr>
                <w:lang w:val="es-ES"/>
              </w:rPr>
            </w:pPr>
            <w:r w:rsidRPr="00AE3A84">
              <w:rPr>
                <w:spacing w:val="-1"/>
              </w:rPr>
              <w:t>2/9/2022</w:t>
            </w:r>
          </w:p>
        </w:tc>
        <w:tc>
          <w:tcPr>
            <w:tcW w:w="1329" w:type="dxa"/>
            <w:vAlign w:val="center"/>
          </w:tcPr>
          <w:p w14:paraId="1147A5E7" w14:textId="77777777" w:rsidR="0057201B" w:rsidRPr="00AE3A84" w:rsidRDefault="0057201B">
            <w:pPr>
              <w:pStyle w:val="BodyText"/>
              <w:rPr>
                <w:lang w:val="es-ES"/>
              </w:rPr>
            </w:pPr>
            <w:r w:rsidRPr="00AE3A84">
              <w:rPr>
                <w:spacing w:val="-1"/>
              </w:rPr>
              <w:t>1035-11</w:t>
            </w:r>
          </w:p>
        </w:tc>
        <w:tc>
          <w:tcPr>
            <w:tcW w:w="1350" w:type="dxa"/>
            <w:vAlign w:val="center"/>
          </w:tcPr>
          <w:p w14:paraId="04B44E29" w14:textId="77777777" w:rsidR="0057201B" w:rsidRPr="00AE3A84" w:rsidRDefault="0057201B">
            <w:pPr>
              <w:pStyle w:val="BodyText"/>
              <w:rPr>
                <w:lang w:val="es-ES"/>
              </w:rPr>
            </w:pPr>
            <w:r w:rsidRPr="00AE3A84">
              <w:rPr>
                <w:spacing w:val="-1"/>
              </w:rPr>
              <w:t>14.887</w:t>
            </w:r>
          </w:p>
        </w:tc>
      </w:tr>
      <w:tr w:rsidR="0057201B" w:rsidRPr="00AE3A84" w14:paraId="22721EA2" w14:textId="77777777">
        <w:tc>
          <w:tcPr>
            <w:tcW w:w="534" w:type="dxa"/>
            <w:vAlign w:val="center"/>
          </w:tcPr>
          <w:p w14:paraId="3FEB3002" w14:textId="77777777" w:rsidR="0057201B" w:rsidRPr="00AE3A84" w:rsidRDefault="0057201B" w:rsidP="00933F91">
            <w:pPr>
              <w:pStyle w:val="BodyText"/>
              <w:widowControl/>
              <w:numPr>
                <w:ilvl w:val="0"/>
                <w:numId w:val="57"/>
              </w:numPr>
              <w:rPr>
                <w:lang w:val="es-ES"/>
              </w:rPr>
            </w:pPr>
          </w:p>
        </w:tc>
        <w:tc>
          <w:tcPr>
            <w:tcW w:w="2953" w:type="dxa"/>
            <w:vAlign w:val="center"/>
          </w:tcPr>
          <w:p w14:paraId="3C9D9F68" w14:textId="77777777" w:rsidR="0057201B" w:rsidRPr="001B6866" w:rsidRDefault="0057201B">
            <w:pPr>
              <w:pStyle w:val="BodyText"/>
              <w:rPr>
                <w:lang w:val="es-CO"/>
              </w:rPr>
            </w:pPr>
            <w:r w:rsidRPr="001B6866">
              <w:rPr>
                <w:spacing w:val="-1"/>
                <w:lang w:val="es-CO"/>
              </w:rPr>
              <w:t>Orlando</w:t>
            </w:r>
            <w:r w:rsidRPr="001B6866">
              <w:rPr>
                <w:spacing w:val="-8"/>
                <w:lang w:val="es-CO"/>
              </w:rPr>
              <w:t xml:space="preserve"> </w:t>
            </w:r>
            <w:r w:rsidRPr="001B6866">
              <w:rPr>
                <w:spacing w:val="-1"/>
                <w:lang w:val="es-CO"/>
              </w:rPr>
              <w:t>Hernández</w:t>
            </w:r>
            <w:r w:rsidRPr="001B6866">
              <w:rPr>
                <w:spacing w:val="-6"/>
                <w:lang w:val="es-CO"/>
              </w:rPr>
              <w:t xml:space="preserve"> </w:t>
            </w:r>
            <w:r w:rsidRPr="001B6866">
              <w:rPr>
                <w:spacing w:val="-1"/>
                <w:lang w:val="es-CO"/>
              </w:rPr>
              <w:t>Ramírez</w:t>
            </w:r>
            <w:r w:rsidRPr="001B6866">
              <w:rPr>
                <w:spacing w:val="-5"/>
                <w:lang w:val="es-CO"/>
              </w:rPr>
              <w:t xml:space="preserve"> </w:t>
            </w:r>
            <w:r w:rsidRPr="001B6866">
              <w:rPr>
                <w:lang w:val="es-CO"/>
              </w:rPr>
              <w:t>and R</w:t>
            </w:r>
            <w:r>
              <w:rPr>
                <w:lang w:val="es-CO"/>
              </w:rPr>
              <w:t>elatives</w:t>
            </w:r>
          </w:p>
        </w:tc>
        <w:tc>
          <w:tcPr>
            <w:tcW w:w="1119" w:type="dxa"/>
            <w:vAlign w:val="center"/>
          </w:tcPr>
          <w:p w14:paraId="05F93B17" w14:textId="77777777" w:rsidR="0057201B" w:rsidRPr="00AE3A84" w:rsidRDefault="0057201B">
            <w:pPr>
              <w:pStyle w:val="BodyText"/>
              <w:rPr>
                <w:lang w:val="es-ES"/>
              </w:rPr>
            </w:pPr>
            <w:r w:rsidRPr="00AE3A84">
              <w:rPr>
                <w:spacing w:val="-1"/>
              </w:rPr>
              <w:t>Colombia</w:t>
            </w:r>
          </w:p>
        </w:tc>
        <w:tc>
          <w:tcPr>
            <w:tcW w:w="1141" w:type="dxa"/>
            <w:vAlign w:val="center"/>
          </w:tcPr>
          <w:p w14:paraId="455CA0D2" w14:textId="77777777" w:rsidR="0057201B" w:rsidRPr="00AE3A84" w:rsidRDefault="0057201B">
            <w:pPr>
              <w:pStyle w:val="BodyText"/>
              <w:jc w:val="center"/>
              <w:rPr>
                <w:spacing w:val="-1"/>
              </w:rPr>
            </w:pPr>
            <w:r w:rsidRPr="007779A5">
              <w:rPr>
                <w:spacing w:val="-1"/>
              </w:rPr>
              <w:t>13/22</w:t>
            </w:r>
          </w:p>
        </w:tc>
        <w:tc>
          <w:tcPr>
            <w:tcW w:w="1289" w:type="dxa"/>
            <w:vAlign w:val="center"/>
          </w:tcPr>
          <w:p w14:paraId="0D926C5D" w14:textId="77777777" w:rsidR="0057201B" w:rsidRPr="00AE3A84" w:rsidRDefault="0057201B">
            <w:pPr>
              <w:pStyle w:val="BodyText"/>
              <w:rPr>
                <w:lang w:val="es-ES"/>
              </w:rPr>
            </w:pPr>
            <w:r w:rsidRPr="00AE3A84">
              <w:rPr>
                <w:spacing w:val="-1"/>
              </w:rPr>
              <w:t>2/9/2022</w:t>
            </w:r>
          </w:p>
        </w:tc>
        <w:tc>
          <w:tcPr>
            <w:tcW w:w="1329" w:type="dxa"/>
            <w:vAlign w:val="center"/>
          </w:tcPr>
          <w:p w14:paraId="4553D79E" w14:textId="77777777" w:rsidR="0057201B" w:rsidRPr="00AE3A84" w:rsidRDefault="0057201B">
            <w:pPr>
              <w:pStyle w:val="BodyText"/>
              <w:rPr>
                <w:lang w:val="es-ES"/>
              </w:rPr>
            </w:pPr>
            <w:r w:rsidRPr="00AE3A84">
              <w:rPr>
                <w:spacing w:val="-1"/>
              </w:rPr>
              <w:t>1332-11</w:t>
            </w:r>
          </w:p>
        </w:tc>
        <w:tc>
          <w:tcPr>
            <w:tcW w:w="1350" w:type="dxa"/>
            <w:vAlign w:val="center"/>
          </w:tcPr>
          <w:p w14:paraId="3C83AC34" w14:textId="77777777" w:rsidR="0057201B" w:rsidRPr="00AE3A84" w:rsidRDefault="0057201B">
            <w:pPr>
              <w:pStyle w:val="BodyText"/>
              <w:rPr>
                <w:lang w:val="es-ES"/>
              </w:rPr>
            </w:pPr>
            <w:r w:rsidRPr="00AE3A84">
              <w:rPr>
                <w:spacing w:val="-1"/>
              </w:rPr>
              <w:t>14.888</w:t>
            </w:r>
          </w:p>
        </w:tc>
      </w:tr>
      <w:tr w:rsidR="0057201B" w:rsidRPr="00AE3A84" w14:paraId="1BD5D379" w14:textId="77777777">
        <w:tc>
          <w:tcPr>
            <w:tcW w:w="534" w:type="dxa"/>
            <w:vAlign w:val="center"/>
          </w:tcPr>
          <w:p w14:paraId="0F0DFB3B" w14:textId="77777777" w:rsidR="0057201B" w:rsidRPr="00AE3A84" w:rsidRDefault="0057201B" w:rsidP="00933F91">
            <w:pPr>
              <w:pStyle w:val="BodyText"/>
              <w:widowControl/>
              <w:numPr>
                <w:ilvl w:val="0"/>
                <w:numId w:val="57"/>
              </w:numPr>
              <w:rPr>
                <w:lang w:val="es-ES"/>
              </w:rPr>
            </w:pPr>
          </w:p>
        </w:tc>
        <w:tc>
          <w:tcPr>
            <w:tcW w:w="2953" w:type="dxa"/>
            <w:vAlign w:val="center"/>
          </w:tcPr>
          <w:p w14:paraId="266BB9C3" w14:textId="77777777" w:rsidR="0057201B" w:rsidRPr="00AE3A84" w:rsidRDefault="0057201B">
            <w:pPr>
              <w:pStyle w:val="BodyText"/>
              <w:rPr>
                <w:lang w:val="es-ES"/>
              </w:rPr>
            </w:pPr>
            <w:r w:rsidRPr="00AE3A84">
              <w:rPr>
                <w:spacing w:val="-1"/>
              </w:rPr>
              <w:t>Eladia</w:t>
            </w:r>
            <w:r w:rsidRPr="00AE3A84">
              <w:rPr>
                <w:spacing w:val="-9"/>
              </w:rPr>
              <w:t xml:space="preserve"> </w:t>
            </w:r>
            <w:r w:rsidRPr="00AE3A84">
              <w:rPr>
                <w:spacing w:val="-1"/>
              </w:rPr>
              <w:t>Méndez</w:t>
            </w:r>
            <w:r w:rsidRPr="00AE3A84">
              <w:rPr>
                <w:spacing w:val="-7"/>
              </w:rPr>
              <w:t xml:space="preserve"> </w:t>
            </w:r>
            <w:r w:rsidRPr="00AE3A84">
              <w:rPr>
                <w:spacing w:val="-1"/>
              </w:rPr>
              <w:t>Bautista</w:t>
            </w:r>
          </w:p>
        </w:tc>
        <w:tc>
          <w:tcPr>
            <w:tcW w:w="1119" w:type="dxa"/>
            <w:vAlign w:val="center"/>
          </w:tcPr>
          <w:p w14:paraId="0DC23194" w14:textId="77777777" w:rsidR="0057201B" w:rsidRPr="00AE3A84" w:rsidRDefault="0057201B">
            <w:pPr>
              <w:pStyle w:val="BodyText"/>
              <w:rPr>
                <w:lang w:val="es-ES"/>
              </w:rPr>
            </w:pPr>
            <w:r w:rsidRPr="00AE3A84">
              <w:rPr>
                <w:spacing w:val="-1"/>
              </w:rPr>
              <w:t>Colombia</w:t>
            </w:r>
          </w:p>
        </w:tc>
        <w:tc>
          <w:tcPr>
            <w:tcW w:w="1141" w:type="dxa"/>
            <w:vAlign w:val="center"/>
          </w:tcPr>
          <w:p w14:paraId="6DF4B608" w14:textId="77777777" w:rsidR="0057201B" w:rsidRPr="00AE3A84" w:rsidRDefault="0057201B">
            <w:pPr>
              <w:pStyle w:val="BodyText"/>
              <w:jc w:val="center"/>
              <w:rPr>
                <w:spacing w:val="-1"/>
              </w:rPr>
            </w:pPr>
            <w:r w:rsidRPr="007779A5">
              <w:rPr>
                <w:spacing w:val="-1"/>
              </w:rPr>
              <w:t>14/22</w:t>
            </w:r>
          </w:p>
        </w:tc>
        <w:tc>
          <w:tcPr>
            <w:tcW w:w="1289" w:type="dxa"/>
            <w:vAlign w:val="center"/>
          </w:tcPr>
          <w:p w14:paraId="5FF844BE" w14:textId="77777777" w:rsidR="0057201B" w:rsidRPr="00AE3A84" w:rsidRDefault="0057201B">
            <w:pPr>
              <w:pStyle w:val="BodyText"/>
              <w:rPr>
                <w:lang w:val="es-ES"/>
              </w:rPr>
            </w:pPr>
            <w:r w:rsidRPr="00AE3A84">
              <w:rPr>
                <w:spacing w:val="-1"/>
              </w:rPr>
              <w:t>2/9/2022</w:t>
            </w:r>
          </w:p>
        </w:tc>
        <w:tc>
          <w:tcPr>
            <w:tcW w:w="1329" w:type="dxa"/>
            <w:vAlign w:val="center"/>
          </w:tcPr>
          <w:p w14:paraId="52722655" w14:textId="77777777" w:rsidR="0057201B" w:rsidRPr="00AE3A84" w:rsidRDefault="0057201B">
            <w:pPr>
              <w:pStyle w:val="BodyText"/>
              <w:rPr>
                <w:lang w:val="es-ES"/>
              </w:rPr>
            </w:pPr>
            <w:r w:rsidRPr="00AE3A84">
              <w:rPr>
                <w:spacing w:val="-1"/>
              </w:rPr>
              <w:t>1095-12</w:t>
            </w:r>
          </w:p>
        </w:tc>
        <w:tc>
          <w:tcPr>
            <w:tcW w:w="1350" w:type="dxa"/>
            <w:vAlign w:val="center"/>
          </w:tcPr>
          <w:p w14:paraId="003567A5" w14:textId="77777777" w:rsidR="0057201B" w:rsidRPr="00AE3A84" w:rsidRDefault="0057201B">
            <w:pPr>
              <w:pStyle w:val="BodyText"/>
              <w:rPr>
                <w:lang w:val="es-ES"/>
              </w:rPr>
            </w:pPr>
            <w:r w:rsidRPr="00AE3A84">
              <w:rPr>
                <w:spacing w:val="-1"/>
              </w:rPr>
              <w:t>14.906</w:t>
            </w:r>
          </w:p>
        </w:tc>
      </w:tr>
      <w:tr w:rsidR="0057201B" w:rsidRPr="00AE3A84" w14:paraId="66F0EA07" w14:textId="77777777">
        <w:tc>
          <w:tcPr>
            <w:tcW w:w="534" w:type="dxa"/>
            <w:vAlign w:val="center"/>
          </w:tcPr>
          <w:p w14:paraId="751E9B14" w14:textId="77777777" w:rsidR="0057201B" w:rsidRPr="00AE3A84" w:rsidRDefault="0057201B" w:rsidP="00933F91">
            <w:pPr>
              <w:pStyle w:val="BodyText"/>
              <w:widowControl/>
              <w:numPr>
                <w:ilvl w:val="0"/>
                <w:numId w:val="57"/>
              </w:numPr>
              <w:rPr>
                <w:lang w:val="es-ES"/>
              </w:rPr>
            </w:pPr>
          </w:p>
        </w:tc>
        <w:tc>
          <w:tcPr>
            <w:tcW w:w="2953" w:type="dxa"/>
            <w:vAlign w:val="center"/>
          </w:tcPr>
          <w:p w14:paraId="3230397D" w14:textId="77777777" w:rsidR="0057201B" w:rsidRPr="00AE3A84" w:rsidRDefault="0057201B">
            <w:pPr>
              <w:pStyle w:val="BodyText"/>
              <w:rPr>
                <w:lang w:val="es-ES"/>
              </w:rPr>
            </w:pPr>
            <w:r w:rsidRPr="00AE3A84">
              <w:rPr>
                <w:spacing w:val="-1"/>
              </w:rPr>
              <w:t>Adela</w:t>
            </w:r>
            <w:r w:rsidRPr="00AE3A84">
              <w:rPr>
                <w:spacing w:val="-6"/>
              </w:rPr>
              <w:t xml:space="preserve"> </w:t>
            </w:r>
            <w:r w:rsidRPr="00AE3A84">
              <w:rPr>
                <w:spacing w:val="-1"/>
              </w:rPr>
              <w:t>Vanín</w:t>
            </w:r>
            <w:r w:rsidRPr="00AE3A84">
              <w:rPr>
                <w:spacing w:val="-5"/>
              </w:rPr>
              <w:t xml:space="preserve"> </w:t>
            </w:r>
            <w:r w:rsidRPr="00AE3A84">
              <w:rPr>
                <w:spacing w:val="-1"/>
              </w:rPr>
              <w:t>de</w:t>
            </w:r>
            <w:r w:rsidRPr="00AE3A84">
              <w:rPr>
                <w:spacing w:val="-4"/>
              </w:rPr>
              <w:t xml:space="preserve"> </w:t>
            </w:r>
            <w:r w:rsidRPr="00AE3A84">
              <w:rPr>
                <w:spacing w:val="-1"/>
              </w:rPr>
              <w:t>Dueñas</w:t>
            </w:r>
          </w:p>
        </w:tc>
        <w:tc>
          <w:tcPr>
            <w:tcW w:w="1119" w:type="dxa"/>
            <w:vAlign w:val="center"/>
          </w:tcPr>
          <w:p w14:paraId="7F1A478C" w14:textId="77777777" w:rsidR="0057201B" w:rsidRPr="00AE3A84" w:rsidRDefault="0057201B">
            <w:pPr>
              <w:pStyle w:val="BodyText"/>
              <w:rPr>
                <w:lang w:val="es-ES"/>
              </w:rPr>
            </w:pPr>
            <w:r w:rsidRPr="00AE3A84">
              <w:rPr>
                <w:spacing w:val="-1"/>
              </w:rPr>
              <w:t>Colombia</w:t>
            </w:r>
          </w:p>
        </w:tc>
        <w:tc>
          <w:tcPr>
            <w:tcW w:w="1141" w:type="dxa"/>
            <w:vAlign w:val="center"/>
          </w:tcPr>
          <w:p w14:paraId="2E37CF94" w14:textId="77777777" w:rsidR="0057201B" w:rsidRPr="00AE3A84" w:rsidRDefault="0057201B">
            <w:pPr>
              <w:pStyle w:val="BodyText"/>
              <w:jc w:val="center"/>
              <w:rPr>
                <w:spacing w:val="-1"/>
              </w:rPr>
            </w:pPr>
            <w:r w:rsidRPr="007779A5">
              <w:rPr>
                <w:spacing w:val="-1"/>
              </w:rPr>
              <w:t>16/22</w:t>
            </w:r>
          </w:p>
        </w:tc>
        <w:tc>
          <w:tcPr>
            <w:tcW w:w="1289" w:type="dxa"/>
            <w:vAlign w:val="center"/>
          </w:tcPr>
          <w:p w14:paraId="2E233536" w14:textId="77777777" w:rsidR="0057201B" w:rsidRPr="00AE3A84" w:rsidRDefault="0057201B">
            <w:pPr>
              <w:pStyle w:val="BodyText"/>
              <w:rPr>
                <w:lang w:val="es-ES"/>
              </w:rPr>
            </w:pPr>
            <w:r w:rsidRPr="00AE3A84">
              <w:rPr>
                <w:spacing w:val="-1"/>
              </w:rPr>
              <w:t>2/9/2022</w:t>
            </w:r>
          </w:p>
        </w:tc>
        <w:tc>
          <w:tcPr>
            <w:tcW w:w="1329" w:type="dxa"/>
            <w:vAlign w:val="center"/>
          </w:tcPr>
          <w:p w14:paraId="17BD274B" w14:textId="77777777" w:rsidR="0057201B" w:rsidRPr="00AE3A84" w:rsidRDefault="0057201B">
            <w:pPr>
              <w:pStyle w:val="BodyText"/>
              <w:rPr>
                <w:lang w:val="es-ES"/>
              </w:rPr>
            </w:pPr>
            <w:r w:rsidRPr="00AE3A84">
              <w:rPr>
                <w:spacing w:val="-1"/>
              </w:rPr>
              <w:t>574-17</w:t>
            </w:r>
          </w:p>
        </w:tc>
        <w:tc>
          <w:tcPr>
            <w:tcW w:w="1350" w:type="dxa"/>
            <w:vAlign w:val="center"/>
          </w:tcPr>
          <w:p w14:paraId="4E993772" w14:textId="77777777" w:rsidR="0057201B" w:rsidRPr="00AE3A84" w:rsidRDefault="0057201B">
            <w:pPr>
              <w:pStyle w:val="BodyText"/>
              <w:rPr>
                <w:lang w:val="es-ES"/>
              </w:rPr>
            </w:pPr>
            <w:r w:rsidRPr="00AE3A84">
              <w:rPr>
                <w:spacing w:val="-1"/>
              </w:rPr>
              <w:t>14.907</w:t>
            </w:r>
          </w:p>
        </w:tc>
      </w:tr>
      <w:tr w:rsidR="0057201B" w:rsidRPr="00AE3A84" w14:paraId="77BCFDA6" w14:textId="77777777">
        <w:tc>
          <w:tcPr>
            <w:tcW w:w="534" w:type="dxa"/>
            <w:vAlign w:val="center"/>
          </w:tcPr>
          <w:p w14:paraId="434EF1AC" w14:textId="77777777" w:rsidR="0057201B" w:rsidRPr="00AE3A84" w:rsidRDefault="0057201B" w:rsidP="00933F91">
            <w:pPr>
              <w:pStyle w:val="BodyText"/>
              <w:widowControl/>
              <w:numPr>
                <w:ilvl w:val="0"/>
                <w:numId w:val="57"/>
              </w:numPr>
              <w:rPr>
                <w:lang w:val="es-ES"/>
              </w:rPr>
            </w:pPr>
          </w:p>
        </w:tc>
        <w:tc>
          <w:tcPr>
            <w:tcW w:w="2953" w:type="dxa"/>
            <w:vAlign w:val="center"/>
          </w:tcPr>
          <w:p w14:paraId="469A393D" w14:textId="77777777" w:rsidR="0057201B" w:rsidRPr="00AE3A84" w:rsidRDefault="0057201B">
            <w:pPr>
              <w:pStyle w:val="BodyText"/>
              <w:rPr>
                <w:lang w:val="es-ES"/>
              </w:rPr>
            </w:pPr>
            <w:r w:rsidRPr="00AE3A84">
              <w:rPr>
                <w:spacing w:val="-1"/>
              </w:rPr>
              <w:t>Christian</w:t>
            </w:r>
            <w:r w:rsidRPr="00AE3A84">
              <w:rPr>
                <w:spacing w:val="-7"/>
              </w:rPr>
              <w:t xml:space="preserve"> </w:t>
            </w:r>
            <w:r w:rsidRPr="00AE3A84">
              <w:rPr>
                <w:spacing w:val="-1"/>
              </w:rPr>
              <w:t>Javier</w:t>
            </w:r>
            <w:r w:rsidRPr="00AE3A84">
              <w:rPr>
                <w:spacing w:val="-7"/>
              </w:rPr>
              <w:t xml:space="preserve"> </w:t>
            </w:r>
            <w:r w:rsidRPr="00AE3A84">
              <w:rPr>
                <w:spacing w:val="-1"/>
              </w:rPr>
              <w:t>Jácome</w:t>
            </w:r>
            <w:r w:rsidRPr="00AE3A84">
              <w:rPr>
                <w:spacing w:val="-5"/>
              </w:rPr>
              <w:t xml:space="preserve"> </w:t>
            </w:r>
            <w:r w:rsidRPr="00AE3A84">
              <w:rPr>
                <w:spacing w:val="-1"/>
              </w:rPr>
              <w:t>Caicedo</w:t>
            </w:r>
          </w:p>
        </w:tc>
        <w:tc>
          <w:tcPr>
            <w:tcW w:w="1119" w:type="dxa"/>
            <w:vAlign w:val="center"/>
          </w:tcPr>
          <w:p w14:paraId="2592A643" w14:textId="77777777" w:rsidR="0057201B" w:rsidRPr="00AE3A84" w:rsidRDefault="0057201B">
            <w:pPr>
              <w:pStyle w:val="BodyText"/>
              <w:rPr>
                <w:lang w:val="es-ES"/>
              </w:rPr>
            </w:pPr>
            <w:r w:rsidRPr="00AE3A84">
              <w:rPr>
                <w:spacing w:val="-1"/>
              </w:rPr>
              <w:t>Ecuador</w:t>
            </w:r>
          </w:p>
        </w:tc>
        <w:tc>
          <w:tcPr>
            <w:tcW w:w="1141" w:type="dxa"/>
            <w:vAlign w:val="center"/>
          </w:tcPr>
          <w:p w14:paraId="06012EA9" w14:textId="77777777" w:rsidR="0057201B" w:rsidRPr="00AE3A84" w:rsidRDefault="0057201B">
            <w:pPr>
              <w:pStyle w:val="BodyText"/>
              <w:jc w:val="center"/>
              <w:rPr>
                <w:spacing w:val="-1"/>
              </w:rPr>
            </w:pPr>
            <w:r w:rsidRPr="007779A5">
              <w:rPr>
                <w:spacing w:val="-1"/>
              </w:rPr>
              <w:t>17/22</w:t>
            </w:r>
          </w:p>
        </w:tc>
        <w:tc>
          <w:tcPr>
            <w:tcW w:w="1289" w:type="dxa"/>
            <w:vAlign w:val="center"/>
          </w:tcPr>
          <w:p w14:paraId="7667C675" w14:textId="77777777" w:rsidR="0057201B" w:rsidRPr="00AE3A84" w:rsidRDefault="0057201B">
            <w:pPr>
              <w:pStyle w:val="BodyText"/>
              <w:rPr>
                <w:lang w:val="es-ES"/>
              </w:rPr>
            </w:pPr>
            <w:r w:rsidRPr="00AE3A84">
              <w:rPr>
                <w:spacing w:val="-1"/>
              </w:rPr>
              <w:t>2/9/2022</w:t>
            </w:r>
          </w:p>
        </w:tc>
        <w:tc>
          <w:tcPr>
            <w:tcW w:w="1329" w:type="dxa"/>
            <w:vAlign w:val="center"/>
          </w:tcPr>
          <w:p w14:paraId="06357822" w14:textId="77777777" w:rsidR="0057201B" w:rsidRPr="00AE3A84" w:rsidRDefault="0057201B">
            <w:pPr>
              <w:pStyle w:val="BodyText"/>
              <w:rPr>
                <w:lang w:val="es-ES"/>
              </w:rPr>
            </w:pPr>
            <w:r w:rsidRPr="00AE3A84">
              <w:rPr>
                <w:spacing w:val="-1"/>
              </w:rPr>
              <w:t>328-12</w:t>
            </w:r>
          </w:p>
        </w:tc>
        <w:tc>
          <w:tcPr>
            <w:tcW w:w="1350" w:type="dxa"/>
            <w:vAlign w:val="center"/>
          </w:tcPr>
          <w:p w14:paraId="4C4E6D1E" w14:textId="77777777" w:rsidR="0057201B" w:rsidRPr="00AE3A84" w:rsidRDefault="0057201B">
            <w:pPr>
              <w:pStyle w:val="BodyText"/>
              <w:rPr>
                <w:lang w:val="es-ES"/>
              </w:rPr>
            </w:pPr>
            <w:r w:rsidRPr="00AE3A84">
              <w:rPr>
                <w:spacing w:val="-1"/>
              </w:rPr>
              <w:t>14.889</w:t>
            </w:r>
          </w:p>
        </w:tc>
      </w:tr>
      <w:tr w:rsidR="0057201B" w:rsidRPr="00AE3A84" w14:paraId="359F0E80" w14:textId="77777777">
        <w:tc>
          <w:tcPr>
            <w:tcW w:w="534" w:type="dxa"/>
            <w:vAlign w:val="center"/>
          </w:tcPr>
          <w:p w14:paraId="285BBCC5" w14:textId="77777777" w:rsidR="0057201B" w:rsidRPr="00AE3A84" w:rsidRDefault="0057201B" w:rsidP="00933F91">
            <w:pPr>
              <w:pStyle w:val="BodyText"/>
              <w:widowControl/>
              <w:numPr>
                <w:ilvl w:val="0"/>
                <w:numId w:val="57"/>
              </w:numPr>
              <w:rPr>
                <w:lang w:val="es-ES"/>
              </w:rPr>
            </w:pPr>
          </w:p>
        </w:tc>
        <w:tc>
          <w:tcPr>
            <w:tcW w:w="2953" w:type="dxa"/>
            <w:vAlign w:val="center"/>
          </w:tcPr>
          <w:p w14:paraId="6265A7F5" w14:textId="77777777" w:rsidR="0057201B" w:rsidRPr="00AE3A84" w:rsidRDefault="0057201B">
            <w:pPr>
              <w:pStyle w:val="BodyText"/>
              <w:rPr>
                <w:lang w:val="es-ES"/>
              </w:rPr>
            </w:pPr>
            <w:r w:rsidRPr="00AE3A84">
              <w:rPr>
                <w:spacing w:val="-1"/>
                <w:lang w:val="es-AR"/>
              </w:rPr>
              <w:t>Juan</w:t>
            </w:r>
            <w:r w:rsidRPr="00AE3A84">
              <w:rPr>
                <w:spacing w:val="-5"/>
                <w:lang w:val="es-AR"/>
              </w:rPr>
              <w:t xml:space="preserve"> </w:t>
            </w:r>
            <w:r w:rsidRPr="00AE3A84">
              <w:rPr>
                <w:spacing w:val="-1"/>
                <w:lang w:val="es-AR"/>
              </w:rPr>
              <w:t>Carlos</w:t>
            </w:r>
            <w:r w:rsidRPr="00AE3A84">
              <w:rPr>
                <w:spacing w:val="-6"/>
                <w:lang w:val="es-AR"/>
              </w:rPr>
              <w:t xml:space="preserve"> </w:t>
            </w:r>
            <w:r w:rsidRPr="00AE3A84">
              <w:rPr>
                <w:spacing w:val="-1"/>
                <w:lang w:val="es-AR"/>
              </w:rPr>
              <w:t>Calderón</w:t>
            </w:r>
            <w:r w:rsidRPr="00AE3A84">
              <w:rPr>
                <w:spacing w:val="-5"/>
                <w:lang w:val="es-AR"/>
              </w:rPr>
              <w:t xml:space="preserve"> </w:t>
            </w:r>
            <w:r w:rsidRPr="00AE3A84">
              <w:rPr>
                <w:spacing w:val="-1"/>
                <w:lang w:val="es-AR"/>
              </w:rPr>
              <w:t>Vivanco</w:t>
            </w:r>
            <w:r w:rsidRPr="00AE3A84">
              <w:rPr>
                <w:spacing w:val="-6"/>
                <w:lang w:val="es-AR"/>
              </w:rPr>
              <w:t xml:space="preserve"> </w:t>
            </w:r>
            <w:r>
              <w:rPr>
                <w:lang w:val="es-AR"/>
              </w:rPr>
              <w:t>and</w:t>
            </w:r>
            <w:r w:rsidRPr="00AE3A84">
              <w:rPr>
                <w:spacing w:val="-4"/>
                <w:lang w:val="es-AR"/>
              </w:rPr>
              <w:t xml:space="preserve"> </w:t>
            </w:r>
            <w:r w:rsidRPr="00AE3A84">
              <w:rPr>
                <w:spacing w:val="-1"/>
                <w:lang w:val="es-AR"/>
              </w:rPr>
              <w:t>Christian</w:t>
            </w:r>
            <w:r w:rsidRPr="00AE3A84">
              <w:rPr>
                <w:spacing w:val="-5"/>
                <w:lang w:val="es-AR"/>
              </w:rPr>
              <w:t xml:space="preserve"> </w:t>
            </w:r>
            <w:r w:rsidRPr="00AE3A84">
              <w:rPr>
                <w:spacing w:val="-1"/>
                <w:lang w:val="es-AR"/>
              </w:rPr>
              <w:t>Gustavo</w:t>
            </w:r>
            <w:r w:rsidRPr="00AE3A84">
              <w:rPr>
                <w:spacing w:val="-6"/>
                <w:lang w:val="es-AR"/>
              </w:rPr>
              <w:t xml:space="preserve"> </w:t>
            </w:r>
            <w:r w:rsidRPr="00AE3A84">
              <w:rPr>
                <w:spacing w:val="-1"/>
                <w:lang w:val="es-AR"/>
              </w:rPr>
              <w:t>Zurita</w:t>
            </w:r>
            <w:r w:rsidRPr="00AE3A84">
              <w:rPr>
                <w:spacing w:val="-6"/>
                <w:lang w:val="es-AR"/>
              </w:rPr>
              <w:t xml:space="preserve"> </w:t>
            </w:r>
            <w:r w:rsidRPr="00AE3A84">
              <w:rPr>
                <w:spacing w:val="-1"/>
                <w:lang w:val="es-AR"/>
              </w:rPr>
              <w:t>Ron</w:t>
            </w:r>
          </w:p>
        </w:tc>
        <w:tc>
          <w:tcPr>
            <w:tcW w:w="1119" w:type="dxa"/>
            <w:vAlign w:val="center"/>
          </w:tcPr>
          <w:p w14:paraId="70E94C66" w14:textId="77777777" w:rsidR="0057201B" w:rsidRPr="00AE3A84" w:rsidRDefault="0057201B">
            <w:pPr>
              <w:pStyle w:val="BodyText"/>
              <w:rPr>
                <w:lang w:val="es-ES"/>
              </w:rPr>
            </w:pPr>
            <w:r w:rsidRPr="00AE3A84">
              <w:rPr>
                <w:spacing w:val="-1"/>
              </w:rPr>
              <w:t>Ecuador</w:t>
            </w:r>
          </w:p>
        </w:tc>
        <w:tc>
          <w:tcPr>
            <w:tcW w:w="1141" w:type="dxa"/>
            <w:vAlign w:val="center"/>
          </w:tcPr>
          <w:p w14:paraId="4124E28F" w14:textId="77777777" w:rsidR="0057201B" w:rsidRPr="00AE3A84" w:rsidRDefault="0057201B">
            <w:pPr>
              <w:pStyle w:val="BodyText"/>
              <w:jc w:val="center"/>
              <w:rPr>
                <w:spacing w:val="-1"/>
              </w:rPr>
            </w:pPr>
            <w:r w:rsidRPr="007779A5">
              <w:rPr>
                <w:spacing w:val="-1"/>
              </w:rPr>
              <w:t>18/22</w:t>
            </w:r>
          </w:p>
        </w:tc>
        <w:tc>
          <w:tcPr>
            <w:tcW w:w="1289" w:type="dxa"/>
            <w:vAlign w:val="center"/>
          </w:tcPr>
          <w:p w14:paraId="3F146B61" w14:textId="77777777" w:rsidR="0057201B" w:rsidRPr="00AE3A84" w:rsidRDefault="0057201B">
            <w:pPr>
              <w:pStyle w:val="BodyText"/>
              <w:rPr>
                <w:lang w:val="es-ES"/>
              </w:rPr>
            </w:pPr>
            <w:r w:rsidRPr="00AE3A84">
              <w:rPr>
                <w:spacing w:val="-1"/>
              </w:rPr>
              <w:t>2/9/2022</w:t>
            </w:r>
          </w:p>
        </w:tc>
        <w:tc>
          <w:tcPr>
            <w:tcW w:w="1329" w:type="dxa"/>
            <w:vAlign w:val="center"/>
          </w:tcPr>
          <w:p w14:paraId="0D684381" w14:textId="77777777" w:rsidR="0057201B" w:rsidRPr="00AE3A84" w:rsidRDefault="0057201B">
            <w:pPr>
              <w:pStyle w:val="BodyText"/>
              <w:rPr>
                <w:lang w:val="es-ES"/>
              </w:rPr>
            </w:pPr>
            <w:r w:rsidRPr="00AE3A84">
              <w:rPr>
                <w:spacing w:val="-1"/>
              </w:rPr>
              <w:t>1975-12</w:t>
            </w:r>
          </w:p>
        </w:tc>
        <w:tc>
          <w:tcPr>
            <w:tcW w:w="1350" w:type="dxa"/>
            <w:vAlign w:val="center"/>
          </w:tcPr>
          <w:p w14:paraId="73F2687A" w14:textId="3FBFB9E8" w:rsidR="0057201B" w:rsidRPr="00AE3A84" w:rsidRDefault="0057201B">
            <w:pPr>
              <w:pStyle w:val="BodyText"/>
              <w:rPr>
                <w:lang w:val="es-ES"/>
              </w:rPr>
            </w:pPr>
            <w:r w:rsidRPr="00AE3A84">
              <w:rPr>
                <w:spacing w:val="-1"/>
              </w:rPr>
              <w:t>14.89</w:t>
            </w:r>
            <w:r w:rsidR="00C26043">
              <w:rPr>
                <w:spacing w:val="-1"/>
              </w:rPr>
              <w:t>0</w:t>
            </w:r>
          </w:p>
        </w:tc>
      </w:tr>
      <w:tr w:rsidR="0057201B" w:rsidRPr="00AE3A84" w14:paraId="43D4BBE6" w14:textId="77777777">
        <w:tc>
          <w:tcPr>
            <w:tcW w:w="534" w:type="dxa"/>
            <w:vAlign w:val="center"/>
          </w:tcPr>
          <w:p w14:paraId="31FC19D8" w14:textId="77777777" w:rsidR="0057201B" w:rsidRPr="00AE3A84" w:rsidRDefault="0057201B" w:rsidP="00933F91">
            <w:pPr>
              <w:pStyle w:val="BodyText"/>
              <w:widowControl/>
              <w:numPr>
                <w:ilvl w:val="0"/>
                <w:numId w:val="57"/>
              </w:numPr>
              <w:rPr>
                <w:lang w:val="es-ES"/>
              </w:rPr>
            </w:pPr>
          </w:p>
        </w:tc>
        <w:tc>
          <w:tcPr>
            <w:tcW w:w="2953" w:type="dxa"/>
            <w:vAlign w:val="center"/>
          </w:tcPr>
          <w:p w14:paraId="2F78490A" w14:textId="77777777" w:rsidR="0057201B" w:rsidRPr="00AE3A84" w:rsidRDefault="0057201B">
            <w:pPr>
              <w:pStyle w:val="BodyText"/>
            </w:pPr>
            <w:r w:rsidRPr="00AE3A84">
              <w:rPr>
                <w:spacing w:val="-1"/>
              </w:rPr>
              <w:t>Families</w:t>
            </w:r>
            <w:r w:rsidRPr="00AE3A84">
              <w:rPr>
                <w:spacing w:val="-6"/>
              </w:rPr>
              <w:t xml:space="preserve"> </w:t>
            </w:r>
            <w:r w:rsidRPr="00AE3A84">
              <w:rPr>
                <w:spacing w:val="-1"/>
              </w:rPr>
              <w:t>of</w:t>
            </w:r>
            <w:r w:rsidRPr="00AE3A84">
              <w:rPr>
                <w:spacing w:val="-5"/>
              </w:rPr>
              <w:t xml:space="preserve"> </w:t>
            </w:r>
            <w:r w:rsidRPr="00AE3A84">
              <w:rPr>
                <w:spacing w:val="-1"/>
              </w:rPr>
              <w:t>the</w:t>
            </w:r>
            <w:r w:rsidRPr="00AE3A84">
              <w:rPr>
                <w:spacing w:val="-4"/>
              </w:rPr>
              <w:t xml:space="preserve"> </w:t>
            </w:r>
            <w:r w:rsidRPr="00AE3A84">
              <w:rPr>
                <w:spacing w:val="-1"/>
              </w:rPr>
              <w:t>15</w:t>
            </w:r>
            <w:r w:rsidRPr="00AE3A84">
              <w:rPr>
                <w:spacing w:val="-5"/>
              </w:rPr>
              <w:t xml:space="preserve"> </w:t>
            </w:r>
            <w:r w:rsidRPr="00AE3A84">
              <w:t>victims</w:t>
            </w:r>
            <w:r w:rsidRPr="00AE3A84">
              <w:rPr>
                <w:spacing w:val="-6"/>
              </w:rPr>
              <w:t xml:space="preserve"> </w:t>
            </w:r>
            <w:r w:rsidRPr="00AE3A84">
              <w:rPr>
                <w:spacing w:val="-1"/>
              </w:rPr>
              <w:t>of</w:t>
            </w:r>
            <w:r w:rsidRPr="00AE3A84">
              <w:rPr>
                <w:spacing w:val="-5"/>
              </w:rPr>
              <w:t xml:space="preserve"> </w:t>
            </w:r>
            <w:r w:rsidRPr="00AE3A84">
              <w:rPr>
                <w:spacing w:val="-1"/>
              </w:rPr>
              <w:t>the</w:t>
            </w:r>
            <w:r w:rsidRPr="00AE3A84">
              <w:rPr>
                <w:spacing w:val="-4"/>
              </w:rPr>
              <w:t xml:space="preserve"> </w:t>
            </w:r>
            <w:r w:rsidRPr="00AE3A84">
              <w:rPr>
                <w:spacing w:val="-1"/>
              </w:rPr>
              <w:t>"December</w:t>
            </w:r>
            <w:r w:rsidRPr="00AE3A84">
              <w:rPr>
                <w:spacing w:val="-4"/>
              </w:rPr>
              <w:t xml:space="preserve"> </w:t>
            </w:r>
            <w:r w:rsidRPr="00AE3A84">
              <w:rPr>
                <w:spacing w:val="-1"/>
              </w:rPr>
              <w:t>murders"</w:t>
            </w:r>
          </w:p>
        </w:tc>
        <w:tc>
          <w:tcPr>
            <w:tcW w:w="1119" w:type="dxa"/>
            <w:vAlign w:val="center"/>
          </w:tcPr>
          <w:p w14:paraId="3496C8BE" w14:textId="77777777" w:rsidR="0057201B" w:rsidRPr="00AE3A84" w:rsidRDefault="0057201B">
            <w:pPr>
              <w:pStyle w:val="BodyText"/>
              <w:rPr>
                <w:lang w:val="es-ES"/>
              </w:rPr>
            </w:pPr>
            <w:r w:rsidRPr="00AE3A84">
              <w:rPr>
                <w:spacing w:val="-1"/>
              </w:rPr>
              <w:t>Suriname</w:t>
            </w:r>
          </w:p>
        </w:tc>
        <w:tc>
          <w:tcPr>
            <w:tcW w:w="1141" w:type="dxa"/>
            <w:vAlign w:val="center"/>
          </w:tcPr>
          <w:p w14:paraId="179FFF23" w14:textId="77777777" w:rsidR="0057201B" w:rsidRPr="00AE3A84" w:rsidRDefault="0057201B">
            <w:pPr>
              <w:pStyle w:val="BodyText"/>
              <w:jc w:val="center"/>
              <w:rPr>
                <w:spacing w:val="-1"/>
              </w:rPr>
            </w:pPr>
            <w:r w:rsidRPr="007779A5">
              <w:rPr>
                <w:spacing w:val="-1"/>
              </w:rPr>
              <w:t>19/22</w:t>
            </w:r>
          </w:p>
        </w:tc>
        <w:tc>
          <w:tcPr>
            <w:tcW w:w="1289" w:type="dxa"/>
            <w:vAlign w:val="center"/>
          </w:tcPr>
          <w:p w14:paraId="700B9A95" w14:textId="77777777" w:rsidR="0057201B" w:rsidRPr="00AE3A84" w:rsidRDefault="0057201B">
            <w:pPr>
              <w:pStyle w:val="BodyText"/>
              <w:rPr>
                <w:lang w:val="es-ES"/>
              </w:rPr>
            </w:pPr>
            <w:r w:rsidRPr="00AE3A84">
              <w:rPr>
                <w:spacing w:val="-1"/>
              </w:rPr>
              <w:t>2/9/2022</w:t>
            </w:r>
          </w:p>
        </w:tc>
        <w:tc>
          <w:tcPr>
            <w:tcW w:w="1329" w:type="dxa"/>
            <w:vAlign w:val="center"/>
          </w:tcPr>
          <w:p w14:paraId="0836412A" w14:textId="77777777" w:rsidR="0057201B" w:rsidRPr="00AE3A84" w:rsidRDefault="0057201B">
            <w:pPr>
              <w:pStyle w:val="BodyText"/>
              <w:rPr>
                <w:lang w:val="es-ES"/>
              </w:rPr>
            </w:pPr>
            <w:r w:rsidRPr="00AE3A84">
              <w:rPr>
                <w:spacing w:val="-1"/>
              </w:rPr>
              <w:t>1212-14</w:t>
            </w:r>
          </w:p>
        </w:tc>
        <w:tc>
          <w:tcPr>
            <w:tcW w:w="1350" w:type="dxa"/>
            <w:vAlign w:val="center"/>
          </w:tcPr>
          <w:p w14:paraId="246EA5A0" w14:textId="77777777" w:rsidR="0057201B" w:rsidRPr="00AE3A84" w:rsidRDefault="0057201B">
            <w:pPr>
              <w:pStyle w:val="BodyText"/>
              <w:rPr>
                <w:lang w:val="es-ES"/>
              </w:rPr>
            </w:pPr>
            <w:r w:rsidRPr="00AE3A84">
              <w:rPr>
                <w:spacing w:val="-1"/>
              </w:rPr>
              <w:t>14.891</w:t>
            </w:r>
          </w:p>
        </w:tc>
      </w:tr>
      <w:tr w:rsidR="0057201B" w:rsidRPr="00AE3A84" w14:paraId="7C016E39" w14:textId="77777777">
        <w:tc>
          <w:tcPr>
            <w:tcW w:w="534" w:type="dxa"/>
            <w:vAlign w:val="center"/>
          </w:tcPr>
          <w:p w14:paraId="5339390D" w14:textId="77777777" w:rsidR="0057201B" w:rsidRPr="00AE3A84" w:rsidRDefault="0057201B" w:rsidP="00933F91">
            <w:pPr>
              <w:pStyle w:val="BodyText"/>
              <w:widowControl/>
              <w:numPr>
                <w:ilvl w:val="0"/>
                <w:numId w:val="57"/>
              </w:numPr>
              <w:rPr>
                <w:lang w:val="es-ES"/>
              </w:rPr>
            </w:pPr>
          </w:p>
        </w:tc>
        <w:tc>
          <w:tcPr>
            <w:tcW w:w="2953" w:type="dxa"/>
            <w:vAlign w:val="center"/>
          </w:tcPr>
          <w:p w14:paraId="554E8109" w14:textId="77777777" w:rsidR="0057201B" w:rsidRPr="00AE3A84" w:rsidRDefault="0057201B">
            <w:pPr>
              <w:pStyle w:val="BodyText"/>
              <w:rPr>
                <w:lang w:val="es-ES"/>
              </w:rPr>
            </w:pPr>
            <w:r w:rsidRPr="00AE3A84">
              <w:rPr>
                <w:spacing w:val="-1"/>
              </w:rPr>
              <w:t>Miguel</w:t>
            </w:r>
            <w:r w:rsidRPr="00AE3A84">
              <w:rPr>
                <w:spacing w:val="-7"/>
              </w:rPr>
              <w:t xml:space="preserve"> </w:t>
            </w:r>
            <w:r w:rsidRPr="00AE3A84">
              <w:rPr>
                <w:spacing w:val="-1"/>
              </w:rPr>
              <w:t>Ángel</w:t>
            </w:r>
            <w:r w:rsidRPr="00AE3A84">
              <w:rPr>
                <w:spacing w:val="-6"/>
              </w:rPr>
              <w:t xml:space="preserve"> </w:t>
            </w:r>
            <w:r w:rsidRPr="00AE3A84">
              <w:rPr>
                <w:spacing w:val="-1"/>
              </w:rPr>
              <w:t>Fernández</w:t>
            </w:r>
          </w:p>
        </w:tc>
        <w:tc>
          <w:tcPr>
            <w:tcW w:w="1119" w:type="dxa"/>
            <w:vAlign w:val="center"/>
          </w:tcPr>
          <w:p w14:paraId="3FB923E4" w14:textId="77777777" w:rsidR="0057201B" w:rsidRPr="00AE3A84" w:rsidRDefault="0057201B">
            <w:pPr>
              <w:pStyle w:val="BodyText"/>
              <w:rPr>
                <w:lang w:val="es-ES"/>
              </w:rPr>
            </w:pPr>
            <w:r w:rsidRPr="00AE3A84">
              <w:rPr>
                <w:spacing w:val="-1"/>
              </w:rPr>
              <w:t>Argentina</w:t>
            </w:r>
          </w:p>
        </w:tc>
        <w:tc>
          <w:tcPr>
            <w:tcW w:w="1141" w:type="dxa"/>
            <w:vAlign w:val="center"/>
          </w:tcPr>
          <w:p w14:paraId="3CA2B1B4" w14:textId="77777777" w:rsidR="0057201B" w:rsidRPr="00AE3A84" w:rsidRDefault="0057201B">
            <w:pPr>
              <w:pStyle w:val="BodyText"/>
              <w:jc w:val="center"/>
              <w:rPr>
                <w:spacing w:val="-1"/>
              </w:rPr>
            </w:pPr>
            <w:r w:rsidRPr="007779A5">
              <w:rPr>
                <w:spacing w:val="-1"/>
              </w:rPr>
              <w:t>20/22</w:t>
            </w:r>
          </w:p>
        </w:tc>
        <w:tc>
          <w:tcPr>
            <w:tcW w:w="1289" w:type="dxa"/>
            <w:vAlign w:val="center"/>
          </w:tcPr>
          <w:p w14:paraId="488811FE" w14:textId="77777777" w:rsidR="0057201B" w:rsidRPr="00AE3A84" w:rsidRDefault="0057201B">
            <w:pPr>
              <w:pStyle w:val="BodyText"/>
              <w:rPr>
                <w:lang w:val="es-ES"/>
              </w:rPr>
            </w:pPr>
            <w:r w:rsidRPr="00AE3A84">
              <w:rPr>
                <w:spacing w:val="-1"/>
              </w:rPr>
              <w:t>3/1/2022</w:t>
            </w:r>
          </w:p>
        </w:tc>
        <w:tc>
          <w:tcPr>
            <w:tcW w:w="1329" w:type="dxa"/>
            <w:vAlign w:val="center"/>
          </w:tcPr>
          <w:p w14:paraId="272721AE" w14:textId="77777777" w:rsidR="0057201B" w:rsidRPr="00AE3A84" w:rsidRDefault="0057201B">
            <w:pPr>
              <w:pStyle w:val="BodyText"/>
              <w:rPr>
                <w:lang w:val="es-ES"/>
              </w:rPr>
            </w:pPr>
            <w:r w:rsidRPr="00AE3A84">
              <w:rPr>
                <w:spacing w:val="-1"/>
              </w:rPr>
              <w:t>2002-13</w:t>
            </w:r>
          </w:p>
        </w:tc>
        <w:tc>
          <w:tcPr>
            <w:tcW w:w="1350" w:type="dxa"/>
            <w:vAlign w:val="center"/>
          </w:tcPr>
          <w:p w14:paraId="2343D2F9" w14:textId="77777777" w:rsidR="0057201B" w:rsidRPr="00AE3A84" w:rsidRDefault="0057201B">
            <w:pPr>
              <w:pStyle w:val="BodyText"/>
              <w:rPr>
                <w:lang w:val="es-ES"/>
              </w:rPr>
            </w:pPr>
            <w:r w:rsidRPr="00AE3A84">
              <w:rPr>
                <w:spacing w:val="-1"/>
              </w:rPr>
              <w:t>14.908</w:t>
            </w:r>
          </w:p>
        </w:tc>
      </w:tr>
      <w:tr w:rsidR="0057201B" w:rsidRPr="00AE3A84" w14:paraId="0D3112C1" w14:textId="77777777">
        <w:tc>
          <w:tcPr>
            <w:tcW w:w="534" w:type="dxa"/>
            <w:vAlign w:val="center"/>
          </w:tcPr>
          <w:p w14:paraId="5DEE83C1" w14:textId="77777777" w:rsidR="0057201B" w:rsidRPr="00AE3A84" w:rsidRDefault="0057201B" w:rsidP="00933F91">
            <w:pPr>
              <w:pStyle w:val="BodyText"/>
              <w:widowControl/>
              <w:numPr>
                <w:ilvl w:val="0"/>
                <w:numId w:val="57"/>
              </w:numPr>
              <w:rPr>
                <w:lang w:val="es-ES"/>
              </w:rPr>
            </w:pPr>
          </w:p>
        </w:tc>
        <w:tc>
          <w:tcPr>
            <w:tcW w:w="2953" w:type="dxa"/>
            <w:vAlign w:val="center"/>
          </w:tcPr>
          <w:p w14:paraId="2241777B" w14:textId="77777777" w:rsidR="0057201B" w:rsidRPr="00AE3A84" w:rsidRDefault="0057201B">
            <w:pPr>
              <w:pStyle w:val="BodyText"/>
              <w:rPr>
                <w:lang w:val="es-ES"/>
              </w:rPr>
            </w:pPr>
            <w:r w:rsidRPr="00AE3A84">
              <w:rPr>
                <w:spacing w:val="-1"/>
              </w:rPr>
              <w:t>Horacio</w:t>
            </w:r>
            <w:r w:rsidRPr="00AE3A84">
              <w:rPr>
                <w:spacing w:val="-9"/>
              </w:rPr>
              <w:t xml:space="preserve"> </w:t>
            </w:r>
            <w:r w:rsidRPr="00AE3A84">
              <w:rPr>
                <w:spacing w:val="-1"/>
              </w:rPr>
              <w:t>Ricard</w:t>
            </w:r>
            <w:r w:rsidRPr="00AE3A84">
              <w:rPr>
                <w:spacing w:val="-7"/>
              </w:rPr>
              <w:t xml:space="preserve"> </w:t>
            </w:r>
            <w:r w:rsidRPr="00AE3A84">
              <w:rPr>
                <w:spacing w:val="-1"/>
              </w:rPr>
              <w:t>Neuman</w:t>
            </w:r>
          </w:p>
        </w:tc>
        <w:tc>
          <w:tcPr>
            <w:tcW w:w="1119" w:type="dxa"/>
            <w:vAlign w:val="center"/>
          </w:tcPr>
          <w:p w14:paraId="44916088" w14:textId="77777777" w:rsidR="0057201B" w:rsidRPr="00AE3A84" w:rsidRDefault="0057201B">
            <w:pPr>
              <w:pStyle w:val="BodyText"/>
              <w:rPr>
                <w:lang w:val="es-ES"/>
              </w:rPr>
            </w:pPr>
            <w:r w:rsidRPr="00AE3A84">
              <w:rPr>
                <w:spacing w:val="-1"/>
              </w:rPr>
              <w:t>Argentina</w:t>
            </w:r>
          </w:p>
        </w:tc>
        <w:tc>
          <w:tcPr>
            <w:tcW w:w="1141" w:type="dxa"/>
            <w:vAlign w:val="center"/>
          </w:tcPr>
          <w:p w14:paraId="183119C0" w14:textId="77777777" w:rsidR="0057201B" w:rsidRPr="00AE3A84" w:rsidRDefault="0057201B">
            <w:pPr>
              <w:pStyle w:val="BodyText"/>
              <w:jc w:val="center"/>
              <w:rPr>
                <w:spacing w:val="-1"/>
              </w:rPr>
            </w:pPr>
            <w:r w:rsidRPr="007779A5">
              <w:rPr>
                <w:spacing w:val="-1"/>
              </w:rPr>
              <w:t>22/22</w:t>
            </w:r>
          </w:p>
        </w:tc>
        <w:tc>
          <w:tcPr>
            <w:tcW w:w="1289" w:type="dxa"/>
            <w:vAlign w:val="center"/>
          </w:tcPr>
          <w:p w14:paraId="2EB59425" w14:textId="77777777" w:rsidR="0057201B" w:rsidRPr="00AE3A84" w:rsidRDefault="0057201B">
            <w:pPr>
              <w:pStyle w:val="BodyText"/>
              <w:rPr>
                <w:lang w:val="es-ES"/>
              </w:rPr>
            </w:pPr>
            <w:r w:rsidRPr="00AE3A84">
              <w:rPr>
                <w:spacing w:val="-1"/>
              </w:rPr>
              <w:t>3/9/2022</w:t>
            </w:r>
          </w:p>
        </w:tc>
        <w:tc>
          <w:tcPr>
            <w:tcW w:w="1329" w:type="dxa"/>
            <w:vAlign w:val="center"/>
          </w:tcPr>
          <w:p w14:paraId="07012E87" w14:textId="77777777" w:rsidR="0057201B" w:rsidRPr="00AE3A84" w:rsidRDefault="0057201B">
            <w:pPr>
              <w:pStyle w:val="BodyText"/>
              <w:rPr>
                <w:lang w:val="es-ES"/>
              </w:rPr>
            </w:pPr>
            <w:r w:rsidRPr="00AE3A84">
              <w:rPr>
                <w:spacing w:val="-1"/>
              </w:rPr>
              <w:t>1394-10</w:t>
            </w:r>
          </w:p>
        </w:tc>
        <w:tc>
          <w:tcPr>
            <w:tcW w:w="1350" w:type="dxa"/>
            <w:vAlign w:val="center"/>
          </w:tcPr>
          <w:p w14:paraId="5362B7C6" w14:textId="4A0F3726" w:rsidR="0057201B" w:rsidRPr="00AE3A84" w:rsidRDefault="0057201B">
            <w:pPr>
              <w:pStyle w:val="BodyText"/>
              <w:rPr>
                <w:lang w:val="es-ES"/>
              </w:rPr>
            </w:pPr>
            <w:r w:rsidRPr="00AE3A84">
              <w:rPr>
                <w:spacing w:val="-1"/>
              </w:rPr>
              <w:t>14.94</w:t>
            </w:r>
            <w:r w:rsidR="00DC33FE">
              <w:rPr>
                <w:spacing w:val="-1"/>
              </w:rPr>
              <w:t>0</w:t>
            </w:r>
          </w:p>
        </w:tc>
      </w:tr>
      <w:tr w:rsidR="0057201B" w:rsidRPr="00AE3A84" w14:paraId="0919C7AC" w14:textId="77777777">
        <w:tc>
          <w:tcPr>
            <w:tcW w:w="534" w:type="dxa"/>
            <w:vAlign w:val="center"/>
          </w:tcPr>
          <w:p w14:paraId="2EA93834" w14:textId="77777777" w:rsidR="0057201B" w:rsidRPr="00AE3A84" w:rsidRDefault="0057201B" w:rsidP="00933F91">
            <w:pPr>
              <w:pStyle w:val="BodyText"/>
              <w:widowControl/>
              <w:numPr>
                <w:ilvl w:val="0"/>
                <w:numId w:val="57"/>
              </w:numPr>
              <w:rPr>
                <w:lang w:val="es-ES"/>
              </w:rPr>
            </w:pPr>
          </w:p>
        </w:tc>
        <w:tc>
          <w:tcPr>
            <w:tcW w:w="2953" w:type="dxa"/>
            <w:vAlign w:val="center"/>
          </w:tcPr>
          <w:p w14:paraId="2CDDDE4F" w14:textId="77777777" w:rsidR="0057201B" w:rsidRPr="00AE3A84" w:rsidRDefault="0057201B">
            <w:pPr>
              <w:pStyle w:val="BodyText"/>
              <w:rPr>
                <w:lang w:val="es-ES"/>
              </w:rPr>
            </w:pPr>
            <w:r w:rsidRPr="00AE3A84">
              <w:rPr>
                <w:spacing w:val="-1"/>
              </w:rPr>
              <w:t>Daniel</w:t>
            </w:r>
            <w:r w:rsidRPr="00AE3A84">
              <w:rPr>
                <w:spacing w:val="-6"/>
              </w:rPr>
              <w:t xml:space="preserve"> </w:t>
            </w:r>
            <w:r w:rsidRPr="00AE3A84">
              <w:rPr>
                <w:spacing w:val="-1"/>
              </w:rPr>
              <w:t>Benigno</w:t>
            </w:r>
            <w:r w:rsidRPr="00AE3A84">
              <w:rPr>
                <w:spacing w:val="-7"/>
              </w:rPr>
              <w:t xml:space="preserve"> </w:t>
            </w:r>
            <w:r w:rsidRPr="00AE3A84">
              <w:rPr>
                <w:spacing w:val="-1"/>
              </w:rPr>
              <w:t>Marrero</w:t>
            </w:r>
            <w:r w:rsidRPr="00AE3A84">
              <w:rPr>
                <w:spacing w:val="-7"/>
              </w:rPr>
              <w:t xml:space="preserve"> </w:t>
            </w:r>
            <w:r w:rsidRPr="00AE3A84">
              <w:rPr>
                <w:spacing w:val="-1"/>
              </w:rPr>
              <w:t>Tagle</w:t>
            </w:r>
          </w:p>
        </w:tc>
        <w:tc>
          <w:tcPr>
            <w:tcW w:w="1119" w:type="dxa"/>
            <w:vAlign w:val="center"/>
          </w:tcPr>
          <w:p w14:paraId="56A6581C" w14:textId="77777777" w:rsidR="0057201B" w:rsidRPr="00AE3A84" w:rsidRDefault="0057201B">
            <w:pPr>
              <w:pStyle w:val="BodyText"/>
              <w:rPr>
                <w:lang w:val="es-ES"/>
              </w:rPr>
            </w:pPr>
            <w:r w:rsidRPr="00AE3A84">
              <w:rPr>
                <w:spacing w:val="-1"/>
              </w:rPr>
              <w:t>Argentina</w:t>
            </w:r>
          </w:p>
        </w:tc>
        <w:tc>
          <w:tcPr>
            <w:tcW w:w="1141" w:type="dxa"/>
            <w:vAlign w:val="center"/>
          </w:tcPr>
          <w:p w14:paraId="468F1B17" w14:textId="77777777" w:rsidR="0057201B" w:rsidRPr="00AE3A84" w:rsidRDefault="0057201B">
            <w:pPr>
              <w:pStyle w:val="BodyText"/>
              <w:jc w:val="center"/>
              <w:rPr>
                <w:spacing w:val="-1"/>
              </w:rPr>
            </w:pPr>
            <w:r w:rsidRPr="007779A5">
              <w:rPr>
                <w:spacing w:val="-1"/>
              </w:rPr>
              <w:t>23/22</w:t>
            </w:r>
          </w:p>
        </w:tc>
        <w:tc>
          <w:tcPr>
            <w:tcW w:w="1289" w:type="dxa"/>
            <w:vAlign w:val="center"/>
          </w:tcPr>
          <w:p w14:paraId="7B0F10ED" w14:textId="77777777" w:rsidR="0057201B" w:rsidRPr="00AE3A84" w:rsidRDefault="0057201B">
            <w:pPr>
              <w:pStyle w:val="BodyText"/>
              <w:rPr>
                <w:lang w:val="es-ES"/>
              </w:rPr>
            </w:pPr>
            <w:r w:rsidRPr="00AE3A84">
              <w:rPr>
                <w:spacing w:val="-1"/>
              </w:rPr>
              <w:t>3/9/2022</w:t>
            </w:r>
          </w:p>
        </w:tc>
        <w:tc>
          <w:tcPr>
            <w:tcW w:w="1329" w:type="dxa"/>
            <w:vAlign w:val="center"/>
          </w:tcPr>
          <w:p w14:paraId="0C09508F" w14:textId="77777777" w:rsidR="0057201B" w:rsidRPr="00AE3A84" w:rsidRDefault="0057201B">
            <w:pPr>
              <w:pStyle w:val="BodyText"/>
              <w:rPr>
                <w:lang w:val="es-ES"/>
              </w:rPr>
            </w:pPr>
            <w:r w:rsidRPr="00AE3A84">
              <w:rPr>
                <w:spacing w:val="-1"/>
              </w:rPr>
              <w:t>569-12</w:t>
            </w:r>
          </w:p>
        </w:tc>
        <w:tc>
          <w:tcPr>
            <w:tcW w:w="1350" w:type="dxa"/>
            <w:vAlign w:val="center"/>
          </w:tcPr>
          <w:p w14:paraId="5C64262F" w14:textId="77777777" w:rsidR="0057201B" w:rsidRPr="00AE3A84" w:rsidRDefault="0057201B">
            <w:pPr>
              <w:pStyle w:val="BodyText"/>
              <w:rPr>
                <w:lang w:val="es-ES"/>
              </w:rPr>
            </w:pPr>
            <w:r w:rsidRPr="00AE3A84">
              <w:rPr>
                <w:spacing w:val="-1"/>
              </w:rPr>
              <w:t>14.909</w:t>
            </w:r>
          </w:p>
        </w:tc>
      </w:tr>
      <w:tr w:rsidR="0057201B" w:rsidRPr="00AE3A84" w14:paraId="3C085F96" w14:textId="77777777">
        <w:tc>
          <w:tcPr>
            <w:tcW w:w="534" w:type="dxa"/>
            <w:vAlign w:val="center"/>
          </w:tcPr>
          <w:p w14:paraId="3D0DC8DB" w14:textId="77777777" w:rsidR="0057201B" w:rsidRPr="00AE3A84" w:rsidRDefault="0057201B" w:rsidP="00933F91">
            <w:pPr>
              <w:pStyle w:val="BodyText"/>
              <w:widowControl/>
              <w:numPr>
                <w:ilvl w:val="0"/>
                <w:numId w:val="57"/>
              </w:numPr>
              <w:rPr>
                <w:lang w:val="es-ES"/>
              </w:rPr>
            </w:pPr>
          </w:p>
        </w:tc>
        <w:tc>
          <w:tcPr>
            <w:tcW w:w="2953" w:type="dxa"/>
            <w:vAlign w:val="center"/>
          </w:tcPr>
          <w:p w14:paraId="54DF5C50" w14:textId="77777777" w:rsidR="0057201B" w:rsidRPr="00AE3A84" w:rsidRDefault="0057201B">
            <w:pPr>
              <w:pStyle w:val="BodyText"/>
              <w:rPr>
                <w:lang w:val="es-ES"/>
              </w:rPr>
            </w:pPr>
            <w:r w:rsidRPr="00AE3A84">
              <w:rPr>
                <w:spacing w:val="-1"/>
              </w:rPr>
              <w:t>Mirta</w:t>
            </w:r>
            <w:r w:rsidRPr="00AE3A84">
              <w:rPr>
                <w:spacing w:val="-8"/>
              </w:rPr>
              <w:t xml:space="preserve"> </w:t>
            </w:r>
            <w:r w:rsidRPr="00AE3A84">
              <w:rPr>
                <w:spacing w:val="-1"/>
              </w:rPr>
              <w:t>Araceli</w:t>
            </w:r>
            <w:r w:rsidRPr="00AE3A84">
              <w:rPr>
                <w:spacing w:val="-6"/>
              </w:rPr>
              <w:t xml:space="preserve"> </w:t>
            </w:r>
            <w:r w:rsidRPr="00AE3A84">
              <w:rPr>
                <w:spacing w:val="-1"/>
              </w:rPr>
              <w:t>Teresita</w:t>
            </w:r>
            <w:r w:rsidRPr="00AE3A84">
              <w:rPr>
                <w:spacing w:val="-7"/>
              </w:rPr>
              <w:t xml:space="preserve"> </w:t>
            </w:r>
            <w:r w:rsidRPr="00AE3A84">
              <w:rPr>
                <w:spacing w:val="-1"/>
              </w:rPr>
              <w:t>Pravisani</w:t>
            </w:r>
          </w:p>
        </w:tc>
        <w:tc>
          <w:tcPr>
            <w:tcW w:w="1119" w:type="dxa"/>
            <w:vAlign w:val="center"/>
          </w:tcPr>
          <w:p w14:paraId="17E55257" w14:textId="77777777" w:rsidR="0057201B" w:rsidRPr="00AE3A84" w:rsidRDefault="0057201B">
            <w:pPr>
              <w:pStyle w:val="BodyText"/>
              <w:rPr>
                <w:lang w:val="es-ES"/>
              </w:rPr>
            </w:pPr>
            <w:r w:rsidRPr="00AE3A84">
              <w:rPr>
                <w:spacing w:val="-1"/>
              </w:rPr>
              <w:t>Argentina</w:t>
            </w:r>
          </w:p>
        </w:tc>
        <w:tc>
          <w:tcPr>
            <w:tcW w:w="1141" w:type="dxa"/>
            <w:vAlign w:val="center"/>
          </w:tcPr>
          <w:p w14:paraId="53948EF3" w14:textId="77777777" w:rsidR="0057201B" w:rsidRPr="00AE3A84" w:rsidRDefault="0057201B">
            <w:pPr>
              <w:pStyle w:val="BodyText"/>
              <w:jc w:val="center"/>
              <w:rPr>
                <w:spacing w:val="-1"/>
              </w:rPr>
            </w:pPr>
            <w:r w:rsidRPr="007779A5">
              <w:rPr>
                <w:spacing w:val="-1"/>
              </w:rPr>
              <w:t>24/22</w:t>
            </w:r>
          </w:p>
        </w:tc>
        <w:tc>
          <w:tcPr>
            <w:tcW w:w="1289" w:type="dxa"/>
            <w:vAlign w:val="center"/>
          </w:tcPr>
          <w:p w14:paraId="053CD4BA" w14:textId="77777777" w:rsidR="0057201B" w:rsidRPr="00AE3A84" w:rsidRDefault="0057201B">
            <w:pPr>
              <w:pStyle w:val="BodyText"/>
              <w:rPr>
                <w:lang w:val="es-ES"/>
              </w:rPr>
            </w:pPr>
            <w:r w:rsidRPr="00AE3A84">
              <w:rPr>
                <w:spacing w:val="-1"/>
              </w:rPr>
              <w:t>3/9/2022</w:t>
            </w:r>
          </w:p>
        </w:tc>
        <w:tc>
          <w:tcPr>
            <w:tcW w:w="1329" w:type="dxa"/>
            <w:vAlign w:val="center"/>
          </w:tcPr>
          <w:p w14:paraId="09B98BE3" w14:textId="77777777" w:rsidR="0057201B" w:rsidRPr="00AE3A84" w:rsidRDefault="0057201B">
            <w:pPr>
              <w:pStyle w:val="BodyText"/>
              <w:rPr>
                <w:lang w:val="es-ES"/>
              </w:rPr>
            </w:pPr>
            <w:r w:rsidRPr="00AE3A84">
              <w:rPr>
                <w:spacing w:val="-1"/>
              </w:rPr>
              <w:t>1457-12</w:t>
            </w:r>
          </w:p>
        </w:tc>
        <w:tc>
          <w:tcPr>
            <w:tcW w:w="1350" w:type="dxa"/>
            <w:vAlign w:val="center"/>
          </w:tcPr>
          <w:p w14:paraId="2E382C4D" w14:textId="1E52349E" w:rsidR="0057201B" w:rsidRPr="00AE3A84" w:rsidRDefault="0057201B">
            <w:pPr>
              <w:pStyle w:val="BodyText"/>
              <w:rPr>
                <w:lang w:val="es-ES"/>
              </w:rPr>
            </w:pPr>
            <w:r w:rsidRPr="00AE3A84">
              <w:rPr>
                <w:spacing w:val="-1"/>
              </w:rPr>
              <w:t>14.91</w:t>
            </w:r>
            <w:r w:rsidR="00FE13E3">
              <w:rPr>
                <w:spacing w:val="-1"/>
              </w:rPr>
              <w:t>0</w:t>
            </w:r>
          </w:p>
        </w:tc>
      </w:tr>
      <w:tr w:rsidR="0057201B" w:rsidRPr="00AE3A84" w14:paraId="765FD4EA" w14:textId="77777777">
        <w:tc>
          <w:tcPr>
            <w:tcW w:w="534" w:type="dxa"/>
            <w:vAlign w:val="center"/>
          </w:tcPr>
          <w:p w14:paraId="2847E0A0" w14:textId="77777777" w:rsidR="0057201B" w:rsidRPr="00AE3A84" w:rsidRDefault="0057201B" w:rsidP="00933F91">
            <w:pPr>
              <w:pStyle w:val="BodyText"/>
              <w:widowControl/>
              <w:numPr>
                <w:ilvl w:val="0"/>
                <w:numId w:val="57"/>
              </w:numPr>
              <w:rPr>
                <w:lang w:val="es-ES"/>
              </w:rPr>
            </w:pPr>
          </w:p>
        </w:tc>
        <w:tc>
          <w:tcPr>
            <w:tcW w:w="2953" w:type="dxa"/>
            <w:vAlign w:val="center"/>
          </w:tcPr>
          <w:p w14:paraId="68811983" w14:textId="77777777" w:rsidR="0057201B" w:rsidRPr="00AE3A84" w:rsidRDefault="0057201B">
            <w:pPr>
              <w:pStyle w:val="BodyText"/>
              <w:rPr>
                <w:lang w:val="es-ES"/>
              </w:rPr>
            </w:pPr>
            <w:r w:rsidRPr="00AE3A84">
              <w:rPr>
                <w:spacing w:val="-1"/>
                <w:lang w:val="es-AR"/>
              </w:rPr>
              <w:t>Eduardo</w:t>
            </w:r>
            <w:r w:rsidRPr="00AE3A84">
              <w:rPr>
                <w:spacing w:val="-6"/>
                <w:lang w:val="es-AR"/>
              </w:rPr>
              <w:t xml:space="preserve"> </w:t>
            </w:r>
            <w:r w:rsidRPr="00AE3A84">
              <w:rPr>
                <w:spacing w:val="-1"/>
                <w:lang w:val="es-AR"/>
              </w:rPr>
              <w:t>Elías</w:t>
            </w:r>
            <w:r w:rsidRPr="00AE3A84">
              <w:rPr>
                <w:spacing w:val="-5"/>
                <w:lang w:val="es-AR"/>
              </w:rPr>
              <w:t xml:space="preserve"> </w:t>
            </w:r>
            <w:r w:rsidRPr="00AE3A84">
              <w:rPr>
                <w:spacing w:val="-1"/>
                <w:lang w:val="es-AR"/>
              </w:rPr>
              <w:t>Cerda</w:t>
            </w:r>
            <w:r w:rsidRPr="00AE3A84">
              <w:rPr>
                <w:spacing w:val="-6"/>
                <w:lang w:val="es-AR"/>
              </w:rPr>
              <w:t xml:space="preserve"> </w:t>
            </w:r>
            <w:r w:rsidRPr="00AE3A84">
              <w:rPr>
                <w:spacing w:val="-1"/>
                <w:lang w:val="es-AR"/>
              </w:rPr>
              <w:t>Ángel</w:t>
            </w:r>
            <w:r w:rsidRPr="00AE3A84">
              <w:rPr>
                <w:spacing w:val="-3"/>
                <w:lang w:val="es-AR"/>
              </w:rPr>
              <w:t xml:space="preserve"> </w:t>
            </w:r>
            <w:r>
              <w:rPr>
                <w:lang w:val="es-AR"/>
              </w:rPr>
              <w:t>et al.</w:t>
            </w:r>
          </w:p>
        </w:tc>
        <w:tc>
          <w:tcPr>
            <w:tcW w:w="1119" w:type="dxa"/>
            <w:vAlign w:val="center"/>
          </w:tcPr>
          <w:p w14:paraId="3BBCAA0E" w14:textId="77777777" w:rsidR="0057201B" w:rsidRPr="00AE3A84" w:rsidRDefault="0057201B">
            <w:pPr>
              <w:pStyle w:val="BodyText"/>
              <w:rPr>
                <w:lang w:val="es-ES"/>
              </w:rPr>
            </w:pPr>
            <w:r w:rsidRPr="00AE3A84">
              <w:rPr>
                <w:spacing w:val="-1"/>
              </w:rPr>
              <w:t>Chile</w:t>
            </w:r>
          </w:p>
        </w:tc>
        <w:tc>
          <w:tcPr>
            <w:tcW w:w="1141" w:type="dxa"/>
            <w:vAlign w:val="center"/>
          </w:tcPr>
          <w:p w14:paraId="4FD4B167" w14:textId="77777777" w:rsidR="0057201B" w:rsidRPr="00AE3A84" w:rsidRDefault="0057201B">
            <w:pPr>
              <w:pStyle w:val="BodyText"/>
              <w:jc w:val="center"/>
              <w:rPr>
                <w:spacing w:val="-1"/>
              </w:rPr>
            </w:pPr>
            <w:r w:rsidRPr="00F90799">
              <w:rPr>
                <w:spacing w:val="-1"/>
              </w:rPr>
              <w:t>26/22</w:t>
            </w:r>
          </w:p>
        </w:tc>
        <w:tc>
          <w:tcPr>
            <w:tcW w:w="1289" w:type="dxa"/>
            <w:vAlign w:val="center"/>
          </w:tcPr>
          <w:p w14:paraId="2DA69FD9" w14:textId="77777777" w:rsidR="0057201B" w:rsidRPr="00AE3A84" w:rsidRDefault="0057201B">
            <w:pPr>
              <w:pStyle w:val="BodyText"/>
              <w:rPr>
                <w:lang w:val="es-ES"/>
              </w:rPr>
            </w:pPr>
            <w:r w:rsidRPr="00AE3A84">
              <w:rPr>
                <w:spacing w:val="-1"/>
              </w:rPr>
              <w:t>3/5/2022</w:t>
            </w:r>
          </w:p>
        </w:tc>
        <w:tc>
          <w:tcPr>
            <w:tcW w:w="1329" w:type="dxa"/>
            <w:vAlign w:val="center"/>
          </w:tcPr>
          <w:p w14:paraId="6C4F2318" w14:textId="77777777" w:rsidR="0057201B" w:rsidRPr="00AE3A84" w:rsidRDefault="0057201B">
            <w:pPr>
              <w:pStyle w:val="BodyText"/>
              <w:rPr>
                <w:lang w:val="es-ES"/>
              </w:rPr>
            </w:pPr>
            <w:r w:rsidRPr="00AE3A84">
              <w:rPr>
                <w:spacing w:val="-1"/>
              </w:rPr>
              <w:t>949-07</w:t>
            </w:r>
          </w:p>
        </w:tc>
        <w:tc>
          <w:tcPr>
            <w:tcW w:w="1350" w:type="dxa"/>
            <w:vAlign w:val="center"/>
          </w:tcPr>
          <w:p w14:paraId="330232B3" w14:textId="77777777" w:rsidR="0057201B" w:rsidRPr="00AE3A84" w:rsidRDefault="0057201B">
            <w:pPr>
              <w:pStyle w:val="BodyText"/>
              <w:rPr>
                <w:lang w:val="es-ES"/>
              </w:rPr>
            </w:pPr>
            <w:r w:rsidRPr="00AE3A84">
              <w:rPr>
                <w:spacing w:val="-1"/>
              </w:rPr>
              <w:t>14.916</w:t>
            </w:r>
          </w:p>
        </w:tc>
      </w:tr>
      <w:tr w:rsidR="0057201B" w:rsidRPr="00AE3A84" w14:paraId="669C8E09" w14:textId="77777777">
        <w:tc>
          <w:tcPr>
            <w:tcW w:w="534" w:type="dxa"/>
            <w:vAlign w:val="center"/>
          </w:tcPr>
          <w:p w14:paraId="557817AF" w14:textId="77777777" w:rsidR="0057201B" w:rsidRPr="00AE3A84" w:rsidRDefault="0057201B" w:rsidP="00933F91">
            <w:pPr>
              <w:pStyle w:val="BodyText"/>
              <w:widowControl/>
              <w:numPr>
                <w:ilvl w:val="0"/>
                <w:numId w:val="57"/>
              </w:numPr>
              <w:rPr>
                <w:lang w:val="es-ES"/>
              </w:rPr>
            </w:pPr>
          </w:p>
        </w:tc>
        <w:tc>
          <w:tcPr>
            <w:tcW w:w="2953" w:type="dxa"/>
            <w:vAlign w:val="center"/>
          </w:tcPr>
          <w:p w14:paraId="7B316605" w14:textId="77777777" w:rsidR="0057201B" w:rsidRPr="00AE3A84" w:rsidRDefault="0057201B">
            <w:pPr>
              <w:pStyle w:val="BodyText"/>
              <w:rPr>
                <w:lang w:val="es-ES"/>
              </w:rPr>
            </w:pPr>
            <w:r w:rsidRPr="00AE3A84">
              <w:rPr>
                <w:spacing w:val="-1"/>
              </w:rPr>
              <w:t>Héctor</w:t>
            </w:r>
            <w:r w:rsidRPr="00AE3A84">
              <w:rPr>
                <w:spacing w:val="-6"/>
              </w:rPr>
              <w:t xml:space="preserve"> </w:t>
            </w:r>
            <w:r w:rsidRPr="00AE3A84">
              <w:rPr>
                <w:spacing w:val="-1"/>
              </w:rPr>
              <w:t>Hernán</w:t>
            </w:r>
            <w:r w:rsidRPr="00AE3A84">
              <w:rPr>
                <w:spacing w:val="-6"/>
              </w:rPr>
              <w:t xml:space="preserve"> </w:t>
            </w:r>
            <w:r w:rsidRPr="00AE3A84">
              <w:rPr>
                <w:spacing w:val="-1"/>
              </w:rPr>
              <w:t>Saldivia</w:t>
            </w:r>
            <w:r w:rsidRPr="00AE3A84">
              <w:rPr>
                <w:spacing w:val="-7"/>
              </w:rPr>
              <w:t xml:space="preserve"> </w:t>
            </w:r>
            <w:r w:rsidRPr="00AE3A84">
              <w:rPr>
                <w:spacing w:val="-1"/>
              </w:rPr>
              <w:t>Otei</w:t>
            </w:r>
          </w:p>
        </w:tc>
        <w:tc>
          <w:tcPr>
            <w:tcW w:w="1119" w:type="dxa"/>
            <w:vAlign w:val="center"/>
          </w:tcPr>
          <w:p w14:paraId="3123B8AA" w14:textId="77777777" w:rsidR="0057201B" w:rsidRPr="00AE3A84" w:rsidRDefault="0057201B">
            <w:pPr>
              <w:pStyle w:val="BodyText"/>
              <w:rPr>
                <w:lang w:val="es-ES"/>
              </w:rPr>
            </w:pPr>
            <w:r w:rsidRPr="00AE3A84">
              <w:rPr>
                <w:spacing w:val="-1"/>
              </w:rPr>
              <w:t>Chile</w:t>
            </w:r>
          </w:p>
        </w:tc>
        <w:tc>
          <w:tcPr>
            <w:tcW w:w="1141" w:type="dxa"/>
            <w:vAlign w:val="center"/>
          </w:tcPr>
          <w:p w14:paraId="42702C7F" w14:textId="77777777" w:rsidR="0057201B" w:rsidRPr="00AE3A84" w:rsidRDefault="0057201B">
            <w:pPr>
              <w:pStyle w:val="BodyText"/>
              <w:jc w:val="center"/>
              <w:rPr>
                <w:spacing w:val="-1"/>
              </w:rPr>
            </w:pPr>
            <w:r w:rsidRPr="00F90799">
              <w:rPr>
                <w:spacing w:val="-1"/>
              </w:rPr>
              <w:t>27/22</w:t>
            </w:r>
          </w:p>
        </w:tc>
        <w:tc>
          <w:tcPr>
            <w:tcW w:w="1289" w:type="dxa"/>
            <w:vAlign w:val="center"/>
          </w:tcPr>
          <w:p w14:paraId="6467DCB3" w14:textId="77777777" w:rsidR="0057201B" w:rsidRPr="00AE3A84" w:rsidRDefault="0057201B">
            <w:pPr>
              <w:pStyle w:val="BodyText"/>
              <w:rPr>
                <w:lang w:val="es-ES"/>
              </w:rPr>
            </w:pPr>
            <w:r w:rsidRPr="00AE3A84">
              <w:rPr>
                <w:spacing w:val="-1"/>
              </w:rPr>
              <w:t>3/9/2022</w:t>
            </w:r>
          </w:p>
        </w:tc>
        <w:tc>
          <w:tcPr>
            <w:tcW w:w="1329" w:type="dxa"/>
            <w:vAlign w:val="center"/>
          </w:tcPr>
          <w:p w14:paraId="7F8AB3B0" w14:textId="77777777" w:rsidR="0057201B" w:rsidRPr="00AE3A84" w:rsidRDefault="0057201B">
            <w:pPr>
              <w:pStyle w:val="BodyText"/>
              <w:rPr>
                <w:lang w:val="es-ES"/>
              </w:rPr>
            </w:pPr>
            <w:r w:rsidRPr="00AE3A84">
              <w:rPr>
                <w:spacing w:val="-1"/>
              </w:rPr>
              <w:t>1207-13</w:t>
            </w:r>
          </w:p>
        </w:tc>
        <w:tc>
          <w:tcPr>
            <w:tcW w:w="1350" w:type="dxa"/>
            <w:vAlign w:val="center"/>
          </w:tcPr>
          <w:p w14:paraId="071C6007" w14:textId="77777777" w:rsidR="0057201B" w:rsidRPr="00AE3A84" w:rsidRDefault="0057201B">
            <w:pPr>
              <w:pStyle w:val="BodyText"/>
              <w:rPr>
                <w:lang w:val="es-ES"/>
              </w:rPr>
            </w:pPr>
            <w:r w:rsidRPr="00AE3A84">
              <w:rPr>
                <w:spacing w:val="-1"/>
              </w:rPr>
              <w:t>14.917</w:t>
            </w:r>
          </w:p>
        </w:tc>
      </w:tr>
      <w:tr w:rsidR="0057201B" w:rsidRPr="00AE3A84" w14:paraId="03353018" w14:textId="77777777">
        <w:tc>
          <w:tcPr>
            <w:tcW w:w="534" w:type="dxa"/>
            <w:vAlign w:val="center"/>
          </w:tcPr>
          <w:p w14:paraId="1F01D087" w14:textId="77777777" w:rsidR="0057201B" w:rsidRPr="00AE3A84" w:rsidRDefault="0057201B" w:rsidP="00933F91">
            <w:pPr>
              <w:pStyle w:val="BodyText"/>
              <w:widowControl/>
              <w:numPr>
                <w:ilvl w:val="0"/>
                <w:numId w:val="57"/>
              </w:numPr>
              <w:rPr>
                <w:lang w:val="es-ES"/>
              </w:rPr>
            </w:pPr>
          </w:p>
        </w:tc>
        <w:tc>
          <w:tcPr>
            <w:tcW w:w="2953" w:type="dxa"/>
            <w:vAlign w:val="center"/>
          </w:tcPr>
          <w:p w14:paraId="23A99C0B" w14:textId="77777777" w:rsidR="0057201B" w:rsidRPr="000F5F66" w:rsidRDefault="0057201B">
            <w:pPr>
              <w:pStyle w:val="BodyText"/>
            </w:pPr>
            <w:r w:rsidRPr="000F5F66">
              <w:rPr>
                <w:spacing w:val="-1"/>
              </w:rPr>
              <w:t>Olman</w:t>
            </w:r>
            <w:r w:rsidRPr="000F5F66">
              <w:rPr>
                <w:spacing w:val="-6"/>
              </w:rPr>
              <w:t xml:space="preserve"> </w:t>
            </w:r>
            <w:r w:rsidRPr="000F5F66">
              <w:rPr>
                <w:spacing w:val="-1"/>
              </w:rPr>
              <w:t>Alberto</w:t>
            </w:r>
            <w:r w:rsidRPr="000F5F66">
              <w:rPr>
                <w:spacing w:val="-6"/>
              </w:rPr>
              <w:t xml:space="preserve"> </w:t>
            </w:r>
            <w:r w:rsidRPr="000F5F66">
              <w:rPr>
                <w:spacing w:val="-1"/>
              </w:rPr>
              <w:t>Plazas</w:t>
            </w:r>
            <w:r w:rsidRPr="000F5F66">
              <w:rPr>
                <w:spacing w:val="-6"/>
              </w:rPr>
              <w:t xml:space="preserve"> </w:t>
            </w:r>
            <w:r w:rsidRPr="000F5F66">
              <w:rPr>
                <w:spacing w:val="-1"/>
              </w:rPr>
              <w:t>Adame</w:t>
            </w:r>
            <w:r w:rsidRPr="000F5F66">
              <w:rPr>
                <w:spacing w:val="-4"/>
              </w:rPr>
              <w:t xml:space="preserve"> </w:t>
            </w:r>
            <w:r w:rsidRPr="000F5F66">
              <w:t xml:space="preserve">and </w:t>
            </w:r>
            <w:r>
              <w:t>Relatives</w:t>
            </w:r>
          </w:p>
        </w:tc>
        <w:tc>
          <w:tcPr>
            <w:tcW w:w="1119" w:type="dxa"/>
            <w:vAlign w:val="center"/>
          </w:tcPr>
          <w:p w14:paraId="3CD41309" w14:textId="77777777" w:rsidR="0057201B" w:rsidRPr="00AE3A84" w:rsidRDefault="0057201B">
            <w:pPr>
              <w:pStyle w:val="BodyText"/>
              <w:rPr>
                <w:lang w:val="es-ES"/>
              </w:rPr>
            </w:pPr>
            <w:r w:rsidRPr="00AE3A84">
              <w:rPr>
                <w:spacing w:val="-1"/>
              </w:rPr>
              <w:t>Colombia</w:t>
            </w:r>
          </w:p>
        </w:tc>
        <w:tc>
          <w:tcPr>
            <w:tcW w:w="1141" w:type="dxa"/>
            <w:vAlign w:val="center"/>
          </w:tcPr>
          <w:p w14:paraId="2EEB0D39" w14:textId="77777777" w:rsidR="0057201B" w:rsidRPr="00AE3A84" w:rsidRDefault="0057201B">
            <w:pPr>
              <w:pStyle w:val="BodyText"/>
              <w:jc w:val="center"/>
              <w:rPr>
                <w:spacing w:val="-1"/>
              </w:rPr>
            </w:pPr>
            <w:r w:rsidRPr="00F90799">
              <w:rPr>
                <w:spacing w:val="-1"/>
              </w:rPr>
              <w:t>28/22</w:t>
            </w:r>
          </w:p>
        </w:tc>
        <w:tc>
          <w:tcPr>
            <w:tcW w:w="1289" w:type="dxa"/>
            <w:vAlign w:val="center"/>
          </w:tcPr>
          <w:p w14:paraId="0A670C17" w14:textId="77777777" w:rsidR="0057201B" w:rsidRPr="00AE3A84" w:rsidRDefault="0057201B">
            <w:pPr>
              <w:pStyle w:val="BodyText"/>
              <w:rPr>
                <w:lang w:val="es-ES"/>
              </w:rPr>
            </w:pPr>
            <w:r w:rsidRPr="00AE3A84">
              <w:rPr>
                <w:spacing w:val="-1"/>
              </w:rPr>
              <w:t>3/5/2022</w:t>
            </w:r>
          </w:p>
        </w:tc>
        <w:tc>
          <w:tcPr>
            <w:tcW w:w="1329" w:type="dxa"/>
            <w:vAlign w:val="center"/>
          </w:tcPr>
          <w:p w14:paraId="2E4793AA" w14:textId="77777777" w:rsidR="0057201B" w:rsidRPr="00AE3A84" w:rsidRDefault="0057201B">
            <w:pPr>
              <w:pStyle w:val="BodyText"/>
              <w:rPr>
                <w:lang w:val="es-ES"/>
              </w:rPr>
            </w:pPr>
            <w:r w:rsidRPr="00AE3A84">
              <w:rPr>
                <w:spacing w:val="-1"/>
              </w:rPr>
              <w:t>810-11</w:t>
            </w:r>
          </w:p>
        </w:tc>
        <w:tc>
          <w:tcPr>
            <w:tcW w:w="1350" w:type="dxa"/>
            <w:vAlign w:val="center"/>
          </w:tcPr>
          <w:p w14:paraId="0AF8BB46" w14:textId="77777777" w:rsidR="0057201B" w:rsidRPr="00AE3A84" w:rsidRDefault="0057201B">
            <w:pPr>
              <w:pStyle w:val="BodyText"/>
              <w:rPr>
                <w:lang w:val="es-ES"/>
              </w:rPr>
            </w:pPr>
            <w:r w:rsidRPr="00AE3A84">
              <w:rPr>
                <w:spacing w:val="-1"/>
              </w:rPr>
              <w:t>14.911</w:t>
            </w:r>
          </w:p>
        </w:tc>
      </w:tr>
      <w:tr w:rsidR="0057201B" w:rsidRPr="00AE3A84" w14:paraId="5CAC8D4E" w14:textId="77777777">
        <w:tc>
          <w:tcPr>
            <w:tcW w:w="534" w:type="dxa"/>
            <w:vAlign w:val="center"/>
          </w:tcPr>
          <w:p w14:paraId="2A82BD05" w14:textId="77777777" w:rsidR="0057201B" w:rsidRPr="00AE3A84" w:rsidRDefault="0057201B" w:rsidP="00933F91">
            <w:pPr>
              <w:pStyle w:val="BodyText"/>
              <w:widowControl/>
              <w:numPr>
                <w:ilvl w:val="0"/>
                <w:numId w:val="57"/>
              </w:numPr>
              <w:rPr>
                <w:lang w:val="es-ES"/>
              </w:rPr>
            </w:pPr>
          </w:p>
        </w:tc>
        <w:tc>
          <w:tcPr>
            <w:tcW w:w="2953" w:type="dxa"/>
            <w:vAlign w:val="center"/>
          </w:tcPr>
          <w:p w14:paraId="749A3A6A" w14:textId="77777777" w:rsidR="0057201B" w:rsidRPr="00AE3A84" w:rsidRDefault="0057201B">
            <w:pPr>
              <w:pStyle w:val="BodyText"/>
              <w:rPr>
                <w:lang w:val="es-ES"/>
              </w:rPr>
            </w:pPr>
            <w:r w:rsidRPr="00AE3A84">
              <w:rPr>
                <w:spacing w:val="-1"/>
                <w:lang w:val="es-AR"/>
              </w:rPr>
              <w:t>Luis</w:t>
            </w:r>
            <w:r w:rsidRPr="00AE3A84">
              <w:rPr>
                <w:spacing w:val="-6"/>
                <w:lang w:val="es-AR"/>
              </w:rPr>
              <w:t xml:space="preserve"> </w:t>
            </w:r>
            <w:r w:rsidRPr="00AE3A84">
              <w:rPr>
                <w:spacing w:val="-1"/>
                <w:lang w:val="es-AR"/>
              </w:rPr>
              <w:t>Bernardo</w:t>
            </w:r>
            <w:r w:rsidRPr="00AE3A84">
              <w:rPr>
                <w:spacing w:val="-6"/>
                <w:lang w:val="es-AR"/>
              </w:rPr>
              <w:t xml:space="preserve"> </w:t>
            </w:r>
            <w:r w:rsidRPr="00AE3A84">
              <w:rPr>
                <w:spacing w:val="-1"/>
                <w:lang w:val="es-AR"/>
              </w:rPr>
              <w:t>Díaz</w:t>
            </w:r>
            <w:r w:rsidRPr="00AE3A84">
              <w:rPr>
                <w:spacing w:val="-4"/>
                <w:lang w:val="es-AR"/>
              </w:rPr>
              <w:t xml:space="preserve"> </w:t>
            </w:r>
            <w:r w:rsidRPr="00AE3A84">
              <w:rPr>
                <w:spacing w:val="-1"/>
                <w:lang w:val="es-AR"/>
              </w:rPr>
              <w:t>Gamboa</w:t>
            </w:r>
            <w:r w:rsidRPr="00AE3A84">
              <w:rPr>
                <w:spacing w:val="-6"/>
                <w:lang w:val="es-AR"/>
              </w:rPr>
              <w:t xml:space="preserve"> </w:t>
            </w:r>
            <w:r>
              <w:rPr>
                <w:lang w:val="es-AR"/>
              </w:rPr>
              <w:t>et al.</w:t>
            </w:r>
          </w:p>
        </w:tc>
        <w:tc>
          <w:tcPr>
            <w:tcW w:w="1119" w:type="dxa"/>
            <w:vAlign w:val="center"/>
          </w:tcPr>
          <w:p w14:paraId="5BBFDDEE" w14:textId="77777777" w:rsidR="0057201B" w:rsidRPr="00AE3A84" w:rsidRDefault="0057201B">
            <w:pPr>
              <w:pStyle w:val="BodyText"/>
              <w:rPr>
                <w:lang w:val="es-ES"/>
              </w:rPr>
            </w:pPr>
            <w:r w:rsidRPr="00AE3A84">
              <w:rPr>
                <w:spacing w:val="-1"/>
              </w:rPr>
              <w:t>Colombia</w:t>
            </w:r>
          </w:p>
        </w:tc>
        <w:tc>
          <w:tcPr>
            <w:tcW w:w="1141" w:type="dxa"/>
            <w:vAlign w:val="center"/>
          </w:tcPr>
          <w:p w14:paraId="6AB1E32D" w14:textId="77777777" w:rsidR="0057201B" w:rsidRPr="00AE3A84" w:rsidRDefault="0057201B">
            <w:pPr>
              <w:pStyle w:val="BodyText"/>
              <w:jc w:val="center"/>
              <w:rPr>
                <w:spacing w:val="-1"/>
              </w:rPr>
            </w:pPr>
            <w:r w:rsidRPr="00F90799">
              <w:rPr>
                <w:spacing w:val="-1"/>
              </w:rPr>
              <w:t>29/22</w:t>
            </w:r>
          </w:p>
        </w:tc>
        <w:tc>
          <w:tcPr>
            <w:tcW w:w="1289" w:type="dxa"/>
            <w:vAlign w:val="center"/>
          </w:tcPr>
          <w:p w14:paraId="45652EE2" w14:textId="77777777" w:rsidR="0057201B" w:rsidRPr="00AE3A84" w:rsidRDefault="0057201B">
            <w:pPr>
              <w:pStyle w:val="BodyText"/>
              <w:rPr>
                <w:lang w:val="es-ES"/>
              </w:rPr>
            </w:pPr>
            <w:r w:rsidRPr="00AE3A84">
              <w:rPr>
                <w:spacing w:val="-1"/>
              </w:rPr>
              <w:t>3/7/2022</w:t>
            </w:r>
          </w:p>
        </w:tc>
        <w:tc>
          <w:tcPr>
            <w:tcW w:w="1329" w:type="dxa"/>
            <w:vAlign w:val="center"/>
          </w:tcPr>
          <w:p w14:paraId="55C45F67" w14:textId="77777777" w:rsidR="0057201B" w:rsidRPr="00AE3A84" w:rsidRDefault="0057201B">
            <w:pPr>
              <w:pStyle w:val="BodyText"/>
              <w:rPr>
                <w:lang w:val="es-ES"/>
              </w:rPr>
            </w:pPr>
            <w:r w:rsidRPr="00AE3A84">
              <w:rPr>
                <w:spacing w:val="-1"/>
              </w:rPr>
              <w:t>1113-08</w:t>
            </w:r>
          </w:p>
        </w:tc>
        <w:tc>
          <w:tcPr>
            <w:tcW w:w="1350" w:type="dxa"/>
            <w:vAlign w:val="center"/>
          </w:tcPr>
          <w:p w14:paraId="698CE14F" w14:textId="77777777" w:rsidR="0057201B" w:rsidRPr="00AE3A84" w:rsidRDefault="0057201B">
            <w:pPr>
              <w:pStyle w:val="BodyText"/>
              <w:rPr>
                <w:lang w:val="es-ES"/>
              </w:rPr>
            </w:pPr>
            <w:r w:rsidRPr="00AE3A84">
              <w:rPr>
                <w:spacing w:val="-1"/>
              </w:rPr>
              <w:t>14.933</w:t>
            </w:r>
          </w:p>
        </w:tc>
      </w:tr>
      <w:tr w:rsidR="0057201B" w:rsidRPr="00AE3A84" w14:paraId="57BEB27E" w14:textId="77777777">
        <w:tc>
          <w:tcPr>
            <w:tcW w:w="534" w:type="dxa"/>
            <w:vAlign w:val="center"/>
          </w:tcPr>
          <w:p w14:paraId="62B5E1F8" w14:textId="77777777" w:rsidR="0057201B" w:rsidRPr="00AE3A84" w:rsidRDefault="0057201B" w:rsidP="00933F91">
            <w:pPr>
              <w:pStyle w:val="BodyText"/>
              <w:widowControl/>
              <w:numPr>
                <w:ilvl w:val="0"/>
                <w:numId w:val="57"/>
              </w:numPr>
              <w:rPr>
                <w:lang w:val="es-ES"/>
              </w:rPr>
            </w:pPr>
          </w:p>
        </w:tc>
        <w:tc>
          <w:tcPr>
            <w:tcW w:w="2953" w:type="dxa"/>
            <w:vAlign w:val="center"/>
          </w:tcPr>
          <w:p w14:paraId="76AAD1DD" w14:textId="77777777" w:rsidR="0057201B" w:rsidRPr="00137ACB" w:rsidRDefault="0057201B">
            <w:pPr>
              <w:pStyle w:val="BodyText"/>
              <w:rPr>
                <w:lang w:val="fr-CA"/>
              </w:rPr>
            </w:pPr>
            <w:r w:rsidRPr="00137ACB">
              <w:rPr>
                <w:spacing w:val="-1"/>
                <w:lang w:val="fr-CA"/>
              </w:rPr>
              <w:t>José</w:t>
            </w:r>
            <w:r w:rsidRPr="00137ACB">
              <w:rPr>
                <w:spacing w:val="-4"/>
                <w:lang w:val="fr-CA"/>
              </w:rPr>
              <w:t xml:space="preserve"> </w:t>
            </w:r>
            <w:r w:rsidRPr="00137ACB">
              <w:rPr>
                <w:spacing w:val="-1"/>
                <w:lang w:val="fr-CA"/>
              </w:rPr>
              <w:t>Adelmar</w:t>
            </w:r>
            <w:r w:rsidRPr="00137ACB">
              <w:rPr>
                <w:spacing w:val="-5"/>
                <w:lang w:val="fr-CA"/>
              </w:rPr>
              <w:t xml:space="preserve"> </w:t>
            </w:r>
            <w:r w:rsidRPr="00137ACB">
              <w:rPr>
                <w:spacing w:val="-1"/>
                <w:lang w:val="fr-CA"/>
              </w:rPr>
              <w:t>Jiménez</w:t>
            </w:r>
            <w:r w:rsidRPr="00137ACB">
              <w:rPr>
                <w:spacing w:val="-5"/>
                <w:lang w:val="fr-CA"/>
              </w:rPr>
              <w:t xml:space="preserve"> </w:t>
            </w:r>
            <w:r w:rsidRPr="00137ACB">
              <w:rPr>
                <w:spacing w:val="-1"/>
                <w:lang w:val="fr-CA"/>
              </w:rPr>
              <w:t>Tobar</w:t>
            </w:r>
            <w:r w:rsidRPr="00137ACB">
              <w:rPr>
                <w:spacing w:val="-4"/>
                <w:lang w:val="fr-CA"/>
              </w:rPr>
              <w:t xml:space="preserve"> </w:t>
            </w:r>
            <w:r w:rsidRPr="00137ACB">
              <w:rPr>
                <w:lang w:val="fr-CA"/>
              </w:rPr>
              <w:t>et al.</w:t>
            </w:r>
          </w:p>
        </w:tc>
        <w:tc>
          <w:tcPr>
            <w:tcW w:w="1119" w:type="dxa"/>
            <w:vAlign w:val="center"/>
          </w:tcPr>
          <w:p w14:paraId="12420546" w14:textId="77777777" w:rsidR="0057201B" w:rsidRPr="00AE3A84" w:rsidRDefault="0057201B">
            <w:pPr>
              <w:pStyle w:val="BodyText"/>
              <w:rPr>
                <w:lang w:val="es-ES"/>
              </w:rPr>
            </w:pPr>
            <w:r w:rsidRPr="00AE3A84">
              <w:rPr>
                <w:spacing w:val="-1"/>
              </w:rPr>
              <w:t>Colombia</w:t>
            </w:r>
          </w:p>
        </w:tc>
        <w:tc>
          <w:tcPr>
            <w:tcW w:w="1141" w:type="dxa"/>
            <w:vAlign w:val="center"/>
          </w:tcPr>
          <w:p w14:paraId="09D0F6D2" w14:textId="77777777" w:rsidR="0057201B" w:rsidRPr="00AE3A84" w:rsidRDefault="0057201B">
            <w:pPr>
              <w:pStyle w:val="BodyText"/>
              <w:jc w:val="center"/>
              <w:rPr>
                <w:spacing w:val="-1"/>
              </w:rPr>
            </w:pPr>
            <w:r w:rsidRPr="00F90799">
              <w:rPr>
                <w:spacing w:val="-1"/>
              </w:rPr>
              <w:t>31/22</w:t>
            </w:r>
          </w:p>
        </w:tc>
        <w:tc>
          <w:tcPr>
            <w:tcW w:w="1289" w:type="dxa"/>
            <w:vAlign w:val="center"/>
          </w:tcPr>
          <w:p w14:paraId="30998618" w14:textId="77777777" w:rsidR="0057201B" w:rsidRPr="00AE3A84" w:rsidRDefault="0057201B">
            <w:pPr>
              <w:pStyle w:val="BodyText"/>
              <w:rPr>
                <w:lang w:val="es-ES"/>
              </w:rPr>
            </w:pPr>
            <w:r w:rsidRPr="00AE3A84">
              <w:rPr>
                <w:spacing w:val="-1"/>
              </w:rPr>
              <w:t>3/7/2022</w:t>
            </w:r>
          </w:p>
        </w:tc>
        <w:tc>
          <w:tcPr>
            <w:tcW w:w="1329" w:type="dxa"/>
            <w:vAlign w:val="center"/>
          </w:tcPr>
          <w:p w14:paraId="0CBA1C37" w14:textId="77777777" w:rsidR="0057201B" w:rsidRPr="00AE3A84" w:rsidRDefault="0057201B">
            <w:pPr>
              <w:pStyle w:val="BodyText"/>
              <w:rPr>
                <w:lang w:val="es-ES"/>
              </w:rPr>
            </w:pPr>
            <w:r w:rsidRPr="00AE3A84">
              <w:rPr>
                <w:spacing w:val="-1"/>
              </w:rPr>
              <w:t>1977-12</w:t>
            </w:r>
          </w:p>
        </w:tc>
        <w:tc>
          <w:tcPr>
            <w:tcW w:w="1350" w:type="dxa"/>
            <w:vAlign w:val="center"/>
          </w:tcPr>
          <w:p w14:paraId="5AD9271F" w14:textId="77777777" w:rsidR="0057201B" w:rsidRPr="00AE3A84" w:rsidRDefault="0057201B">
            <w:pPr>
              <w:pStyle w:val="BodyText"/>
              <w:rPr>
                <w:lang w:val="es-ES"/>
              </w:rPr>
            </w:pPr>
            <w:r w:rsidRPr="00AE3A84">
              <w:rPr>
                <w:spacing w:val="-1"/>
              </w:rPr>
              <w:t>14.912</w:t>
            </w:r>
          </w:p>
        </w:tc>
      </w:tr>
      <w:tr w:rsidR="0057201B" w:rsidRPr="00AE3A84" w14:paraId="6E284F22" w14:textId="77777777">
        <w:tc>
          <w:tcPr>
            <w:tcW w:w="534" w:type="dxa"/>
            <w:vAlign w:val="center"/>
          </w:tcPr>
          <w:p w14:paraId="49D26AA2" w14:textId="77777777" w:rsidR="0057201B" w:rsidRPr="00AE3A84" w:rsidRDefault="0057201B" w:rsidP="00933F91">
            <w:pPr>
              <w:pStyle w:val="BodyText"/>
              <w:widowControl/>
              <w:numPr>
                <w:ilvl w:val="0"/>
                <w:numId w:val="57"/>
              </w:numPr>
              <w:rPr>
                <w:lang w:val="es-ES"/>
              </w:rPr>
            </w:pPr>
          </w:p>
        </w:tc>
        <w:tc>
          <w:tcPr>
            <w:tcW w:w="2953" w:type="dxa"/>
            <w:vAlign w:val="center"/>
          </w:tcPr>
          <w:p w14:paraId="2851A10B" w14:textId="77777777" w:rsidR="0057201B" w:rsidRPr="000F5F66" w:rsidRDefault="0057201B">
            <w:pPr>
              <w:pStyle w:val="BodyText"/>
            </w:pPr>
            <w:r w:rsidRPr="000F5F66">
              <w:rPr>
                <w:spacing w:val="-1"/>
              </w:rPr>
              <w:t>Edgardo</w:t>
            </w:r>
            <w:r w:rsidRPr="000F5F66">
              <w:rPr>
                <w:spacing w:val="-6"/>
              </w:rPr>
              <w:t xml:space="preserve"> </w:t>
            </w:r>
            <w:r w:rsidRPr="000F5F66">
              <w:rPr>
                <w:spacing w:val="-1"/>
              </w:rPr>
              <w:t>Surmay</w:t>
            </w:r>
            <w:r w:rsidRPr="000F5F66">
              <w:rPr>
                <w:spacing w:val="-5"/>
              </w:rPr>
              <w:t xml:space="preserve"> </w:t>
            </w:r>
            <w:r w:rsidRPr="000F5F66">
              <w:rPr>
                <w:spacing w:val="-1"/>
              </w:rPr>
              <w:t>Soto,</w:t>
            </w:r>
            <w:r w:rsidRPr="000F5F66">
              <w:rPr>
                <w:spacing w:val="-5"/>
              </w:rPr>
              <w:t xml:space="preserve"> </w:t>
            </w:r>
            <w:r w:rsidRPr="000F5F66">
              <w:rPr>
                <w:spacing w:val="-1"/>
              </w:rPr>
              <w:lastRenderedPageBreak/>
              <w:t>Leandro</w:t>
            </w:r>
            <w:r w:rsidRPr="000F5F66">
              <w:rPr>
                <w:spacing w:val="-5"/>
              </w:rPr>
              <w:t xml:space="preserve"> </w:t>
            </w:r>
            <w:r w:rsidRPr="000F5F66">
              <w:rPr>
                <w:spacing w:val="-1"/>
              </w:rPr>
              <w:t>José</w:t>
            </w:r>
            <w:r w:rsidRPr="000F5F66">
              <w:rPr>
                <w:spacing w:val="-5"/>
              </w:rPr>
              <w:t xml:space="preserve"> </w:t>
            </w:r>
            <w:r w:rsidRPr="000F5F66">
              <w:rPr>
                <w:spacing w:val="-1"/>
              </w:rPr>
              <w:t>Surmay</w:t>
            </w:r>
            <w:r w:rsidRPr="000F5F66">
              <w:rPr>
                <w:spacing w:val="-4"/>
              </w:rPr>
              <w:t xml:space="preserve"> </w:t>
            </w:r>
            <w:r w:rsidRPr="000F5F66">
              <w:rPr>
                <w:spacing w:val="-1"/>
              </w:rPr>
              <w:t xml:space="preserve">Terán, </w:t>
            </w:r>
            <w:r w:rsidRPr="000F5F66">
              <w:t xml:space="preserve">and </w:t>
            </w:r>
            <w:r>
              <w:t>Relatives</w:t>
            </w:r>
          </w:p>
        </w:tc>
        <w:tc>
          <w:tcPr>
            <w:tcW w:w="1119" w:type="dxa"/>
            <w:vAlign w:val="center"/>
          </w:tcPr>
          <w:p w14:paraId="5E9BF4D1" w14:textId="77777777" w:rsidR="0057201B" w:rsidRPr="00AE3A84" w:rsidRDefault="0057201B">
            <w:pPr>
              <w:pStyle w:val="BodyText"/>
              <w:rPr>
                <w:lang w:val="es-ES"/>
              </w:rPr>
            </w:pPr>
            <w:r w:rsidRPr="00AE3A84">
              <w:rPr>
                <w:spacing w:val="-1"/>
              </w:rPr>
              <w:lastRenderedPageBreak/>
              <w:t>Colombia</w:t>
            </w:r>
          </w:p>
        </w:tc>
        <w:tc>
          <w:tcPr>
            <w:tcW w:w="1141" w:type="dxa"/>
            <w:vAlign w:val="center"/>
          </w:tcPr>
          <w:p w14:paraId="200BDD41" w14:textId="77777777" w:rsidR="0057201B" w:rsidRPr="00AE3A84" w:rsidRDefault="0057201B">
            <w:pPr>
              <w:pStyle w:val="BodyText"/>
              <w:jc w:val="center"/>
              <w:rPr>
                <w:spacing w:val="-1"/>
              </w:rPr>
            </w:pPr>
            <w:r w:rsidRPr="00F90799">
              <w:rPr>
                <w:spacing w:val="-1"/>
              </w:rPr>
              <w:t>32/22</w:t>
            </w:r>
          </w:p>
        </w:tc>
        <w:tc>
          <w:tcPr>
            <w:tcW w:w="1289" w:type="dxa"/>
            <w:vAlign w:val="center"/>
          </w:tcPr>
          <w:p w14:paraId="0233CC9A" w14:textId="77777777" w:rsidR="0057201B" w:rsidRPr="00AE3A84" w:rsidRDefault="0057201B">
            <w:pPr>
              <w:pStyle w:val="BodyText"/>
              <w:rPr>
                <w:lang w:val="es-ES"/>
              </w:rPr>
            </w:pPr>
            <w:r w:rsidRPr="00AE3A84">
              <w:rPr>
                <w:spacing w:val="-1"/>
              </w:rPr>
              <w:t>3/8/2022</w:t>
            </w:r>
          </w:p>
        </w:tc>
        <w:tc>
          <w:tcPr>
            <w:tcW w:w="1329" w:type="dxa"/>
            <w:vAlign w:val="center"/>
          </w:tcPr>
          <w:p w14:paraId="183CD616" w14:textId="77777777" w:rsidR="0057201B" w:rsidRPr="00AE3A84" w:rsidRDefault="0057201B">
            <w:pPr>
              <w:pStyle w:val="BodyText"/>
              <w:rPr>
                <w:lang w:val="es-ES"/>
              </w:rPr>
            </w:pPr>
            <w:r w:rsidRPr="00AE3A84">
              <w:rPr>
                <w:spacing w:val="-1"/>
              </w:rPr>
              <w:t>871-11</w:t>
            </w:r>
          </w:p>
        </w:tc>
        <w:tc>
          <w:tcPr>
            <w:tcW w:w="1350" w:type="dxa"/>
            <w:vAlign w:val="center"/>
          </w:tcPr>
          <w:p w14:paraId="70EDCEED" w14:textId="77777777" w:rsidR="0057201B" w:rsidRPr="00AE3A84" w:rsidRDefault="0057201B">
            <w:pPr>
              <w:pStyle w:val="BodyText"/>
              <w:rPr>
                <w:lang w:val="es-ES"/>
              </w:rPr>
            </w:pPr>
            <w:r w:rsidRPr="00AE3A84">
              <w:rPr>
                <w:spacing w:val="-1"/>
              </w:rPr>
              <w:t>14.939</w:t>
            </w:r>
          </w:p>
        </w:tc>
      </w:tr>
      <w:tr w:rsidR="0057201B" w:rsidRPr="00AE3A84" w14:paraId="5FD03140" w14:textId="77777777">
        <w:tc>
          <w:tcPr>
            <w:tcW w:w="534" w:type="dxa"/>
            <w:vAlign w:val="center"/>
          </w:tcPr>
          <w:p w14:paraId="1B70C111" w14:textId="77777777" w:rsidR="0057201B" w:rsidRPr="00AE3A84" w:rsidRDefault="0057201B" w:rsidP="00933F91">
            <w:pPr>
              <w:pStyle w:val="BodyText"/>
              <w:widowControl/>
              <w:numPr>
                <w:ilvl w:val="0"/>
                <w:numId w:val="57"/>
              </w:numPr>
              <w:rPr>
                <w:lang w:val="es-ES"/>
              </w:rPr>
            </w:pPr>
          </w:p>
        </w:tc>
        <w:tc>
          <w:tcPr>
            <w:tcW w:w="2953" w:type="dxa"/>
            <w:vAlign w:val="center"/>
          </w:tcPr>
          <w:p w14:paraId="4FAB6A70" w14:textId="77777777" w:rsidR="0057201B" w:rsidRPr="000F5F66" w:rsidRDefault="0057201B">
            <w:pPr>
              <w:pStyle w:val="BodyText"/>
            </w:pPr>
            <w:r w:rsidRPr="000F5F66">
              <w:rPr>
                <w:spacing w:val="-1"/>
              </w:rPr>
              <w:t>Isnardo</w:t>
            </w:r>
            <w:r w:rsidRPr="000F5F66">
              <w:rPr>
                <w:spacing w:val="-7"/>
              </w:rPr>
              <w:t xml:space="preserve"> </w:t>
            </w:r>
            <w:r w:rsidRPr="000F5F66">
              <w:rPr>
                <w:spacing w:val="-1"/>
              </w:rPr>
              <w:t>León</w:t>
            </w:r>
            <w:r w:rsidRPr="000F5F66">
              <w:rPr>
                <w:spacing w:val="-6"/>
              </w:rPr>
              <w:t xml:space="preserve"> </w:t>
            </w:r>
            <w:r w:rsidRPr="000F5F66">
              <w:rPr>
                <w:spacing w:val="-1"/>
              </w:rPr>
              <w:t>Mendoza</w:t>
            </w:r>
            <w:r w:rsidRPr="000F5F66">
              <w:rPr>
                <w:spacing w:val="-6"/>
              </w:rPr>
              <w:t xml:space="preserve"> </w:t>
            </w:r>
            <w:r w:rsidRPr="000F5F66">
              <w:t xml:space="preserve">and </w:t>
            </w:r>
            <w:r>
              <w:t>Relatives</w:t>
            </w:r>
          </w:p>
        </w:tc>
        <w:tc>
          <w:tcPr>
            <w:tcW w:w="1119" w:type="dxa"/>
            <w:vAlign w:val="center"/>
          </w:tcPr>
          <w:p w14:paraId="7E1F2C8A" w14:textId="77777777" w:rsidR="0057201B" w:rsidRPr="00AE3A84" w:rsidRDefault="0057201B">
            <w:pPr>
              <w:pStyle w:val="BodyText"/>
              <w:rPr>
                <w:lang w:val="es-ES"/>
              </w:rPr>
            </w:pPr>
            <w:r w:rsidRPr="00AE3A84">
              <w:rPr>
                <w:spacing w:val="-1"/>
              </w:rPr>
              <w:t>Colombia</w:t>
            </w:r>
          </w:p>
        </w:tc>
        <w:tc>
          <w:tcPr>
            <w:tcW w:w="1141" w:type="dxa"/>
            <w:vAlign w:val="center"/>
          </w:tcPr>
          <w:p w14:paraId="0CFCB2E1" w14:textId="77777777" w:rsidR="0057201B" w:rsidRPr="00AE3A84" w:rsidRDefault="0057201B">
            <w:pPr>
              <w:pStyle w:val="BodyText"/>
              <w:jc w:val="center"/>
              <w:rPr>
                <w:spacing w:val="-1"/>
              </w:rPr>
            </w:pPr>
            <w:r w:rsidRPr="00F90799">
              <w:rPr>
                <w:spacing w:val="-1"/>
              </w:rPr>
              <w:t>33/22</w:t>
            </w:r>
          </w:p>
        </w:tc>
        <w:tc>
          <w:tcPr>
            <w:tcW w:w="1289" w:type="dxa"/>
            <w:vAlign w:val="center"/>
          </w:tcPr>
          <w:p w14:paraId="5567283F" w14:textId="77777777" w:rsidR="0057201B" w:rsidRPr="00AE3A84" w:rsidRDefault="0057201B">
            <w:pPr>
              <w:pStyle w:val="BodyText"/>
              <w:rPr>
                <w:lang w:val="es-ES"/>
              </w:rPr>
            </w:pPr>
            <w:r w:rsidRPr="00AE3A84">
              <w:rPr>
                <w:spacing w:val="-1"/>
              </w:rPr>
              <w:t>3/9/2022</w:t>
            </w:r>
          </w:p>
        </w:tc>
        <w:tc>
          <w:tcPr>
            <w:tcW w:w="1329" w:type="dxa"/>
            <w:vAlign w:val="center"/>
          </w:tcPr>
          <w:p w14:paraId="717FCFCD" w14:textId="77777777" w:rsidR="0057201B" w:rsidRPr="00AE3A84" w:rsidRDefault="0057201B">
            <w:pPr>
              <w:pStyle w:val="BodyText"/>
              <w:rPr>
                <w:lang w:val="es-ES"/>
              </w:rPr>
            </w:pPr>
            <w:r w:rsidRPr="00AE3A84">
              <w:rPr>
                <w:spacing w:val="-1"/>
              </w:rPr>
              <w:t>1394-12</w:t>
            </w:r>
          </w:p>
        </w:tc>
        <w:tc>
          <w:tcPr>
            <w:tcW w:w="1350" w:type="dxa"/>
            <w:vAlign w:val="center"/>
          </w:tcPr>
          <w:p w14:paraId="4F53E049" w14:textId="77777777" w:rsidR="0057201B" w:rsidRPr="00AE3A84" w:rsidRDefault="0057201B">
            <w:pPr>
              <w:pStyle w:val="BodyText"/>
              <w:rPr>
                <w:lang w:val="es-ES"/>
              </w:rPr>
            </w:pPr>
            <w:r w:rsidRPr="00AE3A84">
              <w:rPr>
                <w:spacing w:val="-1"/>
              </w:rPr>
              <w:t>14.913</w:t>
            </w:r>
          </w:p>
        </w:tc>
      </w:tr>
      <w:tr w:rsidR="0057201B" w:rsidRPr="00AE3A84" w14:paraId="73119DAE" w14:textId="77777777">
        <w:tc>
          <w:tcPr>
            <w:tcW w:w="534" w:type="dxa"/>
            <w:vAlign w:val="center"/>
          </w:tcPr>
          <w:p w14:paraId="50FE5132" w14:textId="77777777" w:rsidR="0057201B" w:rsidRPr="00AE3A84" w:rsidRDefault="0057201B" w:rsidP="00933F91">
            <w:pPr>
              <w:pStyle w:val="BodyText"/>
              <w:widowControl/>
              <w:numPr>
                <w:ilvl w:val="0"/>
                <w:numId w:val="57"/>
              </w:numPr>
              <w:rPr>
                <w:lang w:val="es-ES"/>
              </w:rPr>
            </w:pPr>
          </w:p>
        </w:tc>
        <w:tc>
          <w:tcPr>
            <w:tcW w:w="2953" w:type="dxa"/>
            <w:vAlign w:val="center"/>
          </w:tcPr>
          <w:p w14:paraId="477DC90D" w14:textId="77777777" w:rsidR="0057201B" w:rsidRPr="00AE3A84" w:rsidRDefault="0057201B">
            <w:pPr>
              <w:pStyle w:val="BodyText"/>
              <w:rPr>
                <w:lang w:val="es-ES"/>
              </w:rPr>
            </w:pPr>
            <w:r w:rsidRPr="00AE3A84">
              <w:rPr>
                <w:spacing w:val="-1"/>
              </w:rPr>
              <w:t>Javier</w:t>
            </w:r>
            <w:r w:rsidRPr="00AE3A84">
              <w:rPr>
                <w:spacing w:val="-6"/>
              </w:rPr>
              <w:t xml:space="preserve"> </w:t>
            </w:r>
            <w:r w:rsidRPr="00AE3A84">
              <w:rPr>
                <w:spacing w:val="-1"/>
              </w:rPr>
              <w:t>Ramiro</w:t>
            </w:r>
            <w:r w:rsidRPr="00AE3A84">
              <w:rPr>
                <w:spacing w:val="-6"/>
              </w:rPr>
              <w:t xml:space="preserve"> </w:t>
            </w:r>
            <w:r w:rsidRPr="00AE3A84">
              <w:t>Devia</w:t>
            </w:r>
            <w:r w:rsidRPr="00AE3A84">
              <w:rPr>
                <w:spacing w:val="-7"/>
              </w:rPr>
              <w:t xml:space="preserve"> </w:t>
            </w:r>
            <w:r w:rsidRPr="00AE3A84">
              <w:rPr>
                <w:spacing w:val="-1"/>
              </w:rPr>
              <w:t>Arias</w:t>
            </w:r>
          </w:p>
        </w:tc>
        <w:tc>
          <w:tcPr>
            <w:tcW w:w="1119" w:type="dxa"/>
            <w:vAlign w:val="center"/>
          </w:tcPr>
          <w:p w14:paraId="3F96C20D" w14:textId="77777777" w:rsidR="0057201B" w:rsidRPr="00AE3A84" w:rsidRDefault="0057201B">
            <w:pPr>
              <w:pStyle w:val="BodyText"/>
              <w:rPr>
                <w:lang w:val="es-ES"/>
              </w:rPr>
            </w:pPr>
            <w:r w:rsidRPr="00AE3A84">
              <w:rPr>
                <w:spacing w:val="-1"/>
              </w:rPr>
              <w:t>Colombia</w:t>
            </w:r>
          </w:p>
        </w:tc>
        <w:tc>
          <w:tcPr>
            <w:tcW w:w="1141" w:type="dxa"/>
            <w:vAlign w:val="center"/>
          </w:tcPr>
          <w:p w14:paraId="159F4DC2" w14:textId="77777777" w:rsidR="0057201B" w:rsidRPr="00AE3A84" w:rsidRDefault="0057201B">
            <w:pPr>
              <w:pStyle w:val="BodyText"/>
              <w:jc w:val="center"/>
              <w:rPr>
                <w:spacing w:val="-1"/>
              </w:rPr>
            </w:pPr>
            <w:r w:rsidRPr="00F90799">
              <w:rPr>
                <w:spacing w:val="-1"/>
              </w:rPr>
              <w:t>34/22</w:t>
            </w:r>
          </w:p>
        </w:tc>
        <w:tc>
          <w:tcPr>
            <w:tcW w:w="1289" w:type="dxa"/>
            <w:vAlign w:val="center"/>
          </w:tcPr>
          <w:p w14:paraId="1B76C792" w14:textId="77777777" w:rsidR="0057201B" w:rsidRPr="00AE3A84" w:rsidRDefault="0057201B">
            <w:pPr>
              <w:pStyle w:val="BodyText"/>
              <w:rPr>
                <w:lang w:val="es-ES"/>
              </w:rPr>
            </w:pPr>
            <w:r w:rsidRPr="00AE3A84">
              <w:rPr>
                <w:spacing w:val="-1"/>
              </w:rPr>
              <w:t>3/20/2022</w:t>
            </w:r>
          </w:p>
        </w:tc>
        <w:tc>
          <w:tcPr>
            <w:tcW w:w="1329" w:type="dxa"/>
            <w:vAlign w:val="center"/>
          </w:tcPr>
          <w:p w14:paraId="36D2F971" w14:textId="77777777" w:rsidR="0057201B" w:rsidRPr="00AE3A84" w:rsidRDefault="0057201B">
            <w:pPr>
              <w:pStyle w:val="BodyText"/>
              <w:rPr>
                <w:lang w:val="es-ES"/>
              </w:rPr>
            </w:pPr>
            <w:r w:rsidRPr="00AE3A84">
              <w:rPr>
                <w:spacing w:val="-1"/>
              </w:rPr>
              <w:t>971-12</w:t>
            </w:r>
          </w:p>
        </w:tc>
        <w:tc>
          <w:tcPr>
            <w:tcW w:w="1350" w:type="dxa"/>
            <w:vAlign w:val="center"/>
          </w:tcPr>
          <w:p w14:paraId="56B82FE1" w14:textId="77777777" w:rsidR="0057201B" w:rsidRPr="00AE3A84" w:rsidRDefault="0057201B">
            <w:pPr>
              <w:pStyle w:val="BodyText"/>
              <w:rPr>
                <w:lang w:val="es-ES"/>
              </w:rPr>
            </w:pPr>
            <w:r w:rsidRPr="00AE3A84">
              <w:rPr>
                <w:spacing w:val="-1"/>
              </w:rPr>
              <w:t>14.915</w:t>
            </w:r>
          </w:p>
        </w:tc>
      </w:tr>
      <w:tr w:rsidR="0057201B" w:rsidRPr="00AE3A84" w14:paraId="073B106B" w14:textId="77777777">
        <w:tc>
          <w:tcPr>
            <w:tcW w:w="534" w:type="dxa"/>
            <w:vAlign w:val="center"/>
          </w:tcPr>
          <w:p w14:paraId="05DB1F57" w14:textId="77777777" w:rsidR="0057201B" w:rsidRPr="00AE3A84" w:rsidRDefault="0057201B" w:rsidP="00933F91">
            <w:pPr>
              <w:pStyle w:val="BodyText"/>
              <w:widowControl/>
              <w:numPr>
                <w:ilvl w:val="0"/>
                <w:numId w:val="57"/>
              </w:numPr>
              <w:rPr>
                <w:lang w:val="es-ES"/>
              </w:rPr>
            </w:pPr>
          </w:p>
        </w:tc>
        <w:tc>
          <w:tcPr>
            <w:tcW w:w="2953" w:type="dxa"/>
            <w:vAlign w:val="center"/>
          </w:tcPr>
          <w:p w14:paraId="424DFB49" w14:textId="77777777" w:rsidR="0057201B" w:rsidRPr="00AE3A84" w:rsidRDefault="0057201B">
            <w:pPr>
              <w:pStyle w:val="BodyText"/>
              <w:rPr>
                <w:lang w:val="es-ES"/>
              </w:rPr>
            </w:pPr>
            <w:r w:rsidRPr="00AE3A84">
              <w:rPr>
                <w:lang w:val="es-AR"/>
              </w:rPr>
              <w:t>Ferlín</w:t>
            </w:r>
            <w:r w:rsidRPr="00AE3A84">
              <w:rPr>
                <w:spacing w:val="-5"/>
                <w:lang w:val="es-AR"/>
              </w:rPr>
              <w:t xml:space="preserve"> </w:t>
            </w:r>
            <w:r w:rsidRPr="00AE3A84">
              <w:rPr>
                <w:spacing w:val="-1"/>
                <w:lang w:val="es-AR"/>
              </w:rPr>
              <w:t>Muñoz</w:t>
            </w:r>
            <w:r w:rsidRPr="00AE3A84">
              <w:rPr>
                <w:spacing w:val="-5"/>
                <w:lang w:val="es-AR"/>
              </w:rPr>
              <w:t xml:space="preserve"> </w:t>
            </w:r>
            <w:r w:rsidRPr="00AE3A84">
              <w:rPr>
                <w:spacing w:val="-1"/>
                <w:lang w:val="es-AR"/>
              </w:rPr>
              <w:t>Granada</w:t>
            </w:r>
            <w:r w:rsidRPr="00AE3A84">
              <w:rPr>
                <w:spacing w:val="-6"/>
                <w:lang w:val="es-AR"/>
              </w:rPr>
              <w:t xml:space="preserve"> </w:t>
            </w:r>
            <w:r>
              <w:rPr>
                <w:lang w:val="es-AR"/>
              </w:rPr>
              <w:t>and</w:t>
            </w:r>
            <w:r w:rsidRPr="00AE3A84">
              <w:rPr>
                <w:spacing w:val="-4"/>
                <w:lang w:val="es-AR"/>
              </w:rPr>
              <w:t xml:space="preserve"> </w:t>
            </w:r>
            <w:r w:rsidRPr="00AE3A84">
              <w:rPr>
                <w:spacing w:val="-1"/>
                <w:lang w:val="es-AR"/>
              </w:rPr>
              <w:t>Dolly</w:t>
            </w:r>
            <w:r w:rsidRPr="00AE3A84">
              <w:rPr>
                <w:spacing w:val="-4"/>
                <w:lang w:val="es-AR"/>
              </w:rPr>
              <w:t xml:space="preserve"> </w:t>
            </w:r>
            <w:r w:rsidRPr="00AE3A84">
              <w:rPr>
                <w:spacing w:val="-1"/>
                <w:lang w:val="es-AR"/>
              </w:rPr>
              <w:t>Stella</w:t>
            </w:r>
            <w:r w:rsidRPr="00AE3A84">
              <w:rPr>
                <w:spacing w:val="-6"/>
                <w:lang w:val="es-AR"/>
              </w:rPr>
              <w:t xml:space="preserve"> </w:t>
            </w:r>
            <w:r w:rsidRPr="00AE3A84">
              <w:rPr>
                <w:spacing w:val="-1"/>
                <w:lang w:val="es-AR"/>
              </w:rPr>
              <w:t>Granada</w:t>
            </w:r>
          </w:p>
        </w:tc>
        <w:tc>
          <w:tcPr>
            <w:tcW w:w="1119" w:type="dxa"/>
            <w:vAlign w:val="center"/>
          </w:tcPr>
          <w:p w14:paraId="44ADFF94" w14:textId="77777777" w:rsidR="0057201B" w:rsidRPr="00AE3A84" w:rsidRDefault="0057201B">
            <w:pPr>
              <w:pStyle w:val="BodyText"/>
              <w:rPr>
                <w:lang w:val="es-ES"/>
              </w:rPr>
            </w:pPr>
            <w:r w:rsidRPr="00AE3A84">
              <w:rPr>
                <w:spacing w:val="-1"/>
              </w:rPr>
              <w:t>Colombia</w:t>
            </w:r>
          </w:p>
        </w:tc>
        <w:tc>
          <w:tcPr>
            <w:tcW w:w="1141" w:type="dxa"/>
            <w:vAlign w:val="center"/>
          </w:tcPr>
          <w:p w14:paraId="6232A55C" w14:textId="77777777" w:rsidR="0057201B" w:rsidRPr="00AE3A84" w:rsidRDefault="0057201B">
            <w:pPr>
              <w:pStyle w:val="BodyText"/>
              <w:jc w:val="center"/>
              <w:rPr>
                <w:spacing w:val="-1"/>
              </w:rPr>
            </w:pPr>
            <w:r w:rsidRPr="00F90799">
              <w:rPr>
                <w:spacing w:val="-1"/>
              </w:rPr>
              <w:t>35/22</w:t>
            </w:r>
          </w:p>
        </w:tc>
        <w:tc>
          <w:tcPr>
            <w:tcW w:w="1289" w:type="dxa"/>
            <w:vAlign w:val="center"/>
          </w:tcPr>
          <w:p w14:paraId="4BFE9708" w14:textId="77777777" w:rsidR="0057201B" w:rsidRPr="00AE3A84" w:rsidRDefault="0057201B">
            <w:pPr>
              <w:pStyle w:val="BodyText"/>
              <w:rPr>
                <w:lang w:val="es-ES"/>
              </w:rPr>
            </w:pPr>
            <w:r w:rsidRPr="00AE3A84">
              <w:rPr>
                <w:spacing w:val="-1"/>
              </w:rPr>
              <w:t>3/20/2022</w:t>
            </w:r>
          </w:p>
        </w:tc>
        <w:tc>
          <w:tcPr>
            <w:tcW w:w="1329" w:type="dxa"/>
            <w:vAlign w:val="center"/>
          </w:tcPr>
          <w:p w14:paraId="00F4FB3B" w14:textId="77777777" w:rsidR="0057201B" w:rsidRPr="00AE3A84" w:rsidRDefault="0057201B">
            <w:pPr>
              <w:pStyle w:val="BodyText"/>
              <w:rPr>
                <w:lang w:val="es-ES"/>
              </w:rPr>
            </w:pPr>
            <w:r w:rsidRPr="00AE3A84">
              <w:rPr>
                <w:spacing w:val="-1"/>
              </w:rPr>
              <w:t>1264-11</w:t>
            </w:r>
          </w:p>
        </w:tc>
        <w:tc>
          <w:tcPr>
            <w:tcW w:w="1350" w:type="dxa"/>
            <w:vAlign w:val="center"/>
          </w:tcPr>
          <w:p w14:paraId="5156BA6F" w14:textId="77777777" w:rsidR="0057201B" w:rsidRPr="00AE3A84" w:rsidRDefault="0057201B">
            <w:pPr>
              <w:pStyle w:val="BodyText"/>
              <w:rPr>
                <w:lang w:val="es-ES"/>
              </w:rPr>
            </w:pPr>
            <w:r w:rsidRPr="00AE3A84">
              <w:rPr>
                <w:spacing w:val="-1"/>
              </w:rPr>
              <w:t>14.918</w:t>
            </w:r>
          </w:p>
        </w:tc>
      </w:tr>
      <w:tr w:rsidR="0057201B" w:rsidRPr="00AE3A84" w14:paraId="0E9E3B61" w14:textId="77777777">
        <w:tc>
          <w:tcPr>
            <w:tcW w:w="534" w:type="dxa"/>
            <w:vAlign w:val="center"/>
          </w:tcPr>
          <w:p w14:paraId="7FF17A83" w14:textId="77777777" w:rsidR="0057201B" w:rsidRPr="00AE3A84" w:rsidRDefault="0057201B" w:rsidP="00933F91">
            <w:pPr>
              <w:pStyle w:val="BodyText"/>
              <w:widowControl/>
              <w:numPr>
                <w:ilvl w:val="0"/>
                <w:numId w:val="57"/>
              </w:numPr>
              <w:rPr>
                <w:lang w:val="es-ES"/>
              </w:rPr>
            </w:pPr>
          </w:p>
        </w:tc>
        <w:tc>
          <w:tcPr>
            <w:tcW w:w="2953" w:type="dxa"/>
            <w:vAlign w:val="center"/>
          </w:tcPr>
          <w:p w14:paraId="6DF5E2C8" w14:textId="77777777" w:rsidR="0057201B" w:rsidRPr="00AE3A84" w:rsidRDefault="0057201B">
            <w:pPr>
              <w:pStyle w:val="BodyText"/>
              <w:rPr>
                <w:lang w:val="es-ES"/>
              </w:rPr>
            </w:pPr>
            <w:r w:rsidRPr="00AE3A84">
              <w:rPr>
                <w:spacing w:val="-1"/>
              </w:rPr>
              <w:t>Wilfredo</w:t>
            </w:r>
            <w:r w:rsidRPr="00AE3A84">
              <w:rPr>
                <w:spacing w:val="-7"/>
              </w:rPr>
              <w:t xml:space="preserve"> </w:t>
            </w:r>
            <w:r w:rsidRPr="00AE3A84">
              <w:t>Acevedo</w:t>
            </w:r>
            <w:r w:rsidRPr="00AE3A84">
              <w:rPr>
                <w:spacing w:val="-6"/>
              </w:rPr>
              <w:t xml:space="preserve"> </w:t>
            </w:r>
            <w:r>
              <w:t>et al.</w:t>
            </w:r>
          </w:p>
        </w:tc>
        <w:tc>
          <w:tcPr>
            <w:tcW w:w="1119" w:type="dxa"/>
            <w:vAlign w:val="center"/>
          </w:tcPr>
          <w:p w14:paraId="0D0A01C7" w14:textId="77777777" w:rsidR="0057201B" w:rsidRPr="00AE3A84" w:rsidRDefault="0057201B">
            <w:pPr>
              <w:pStyle w:val="BodyText"/>
              <w:rPr>
                <w:lang w:val="es-ES"/>
              </w:rPr>
            </w:pPr>
            <w:r w:rsidRPr="00AE3A84">
              <w:rPr>
                <w:spacing w:val="-1"/>
              </w:rPr>
              <w:t>Colombia</w:t>
            </w:r>
          </w:p>
        </w:tc>
        <w:tc>
          <w:tcPr>
            <w:tcW w:w="1141" w:type="dxa"/>
            <w:vAlign w:val="center"/>
          </w:tcPr>
          <w:p w14:paraId="53F2F127" w14:textId="77777777" w:rsidR="0057201B" w:rsidRPr="00AE3A84" w:rsidRDefault="0057201B">
            <w:pPr>
              <w:pStyle w:val="BodyText"/>
              <w:jc w:val="center"/>
              <w:rPr>
                <w:spacing w:val="-1"/>
              </w:rPr>
            </w:pPr>
            <w:r w:rsidRPr="00F90799">
              <w:rPr>
                <w:spacing w:val="-1"/>
              </w:rPr>
              <w:t>36/22</w:t>
            </w:r>
          </w:p>
        </w:tc>
        <w:tc>
          <w:tcPr>
            <w:tcW w:w="1289" w:type="dxa"/>
            <w:vAlign w:val="center"/>
          </w:tcPr>
          <w:p w14:paraId="2A1A5869" w14:textId="77777777" w:rsidR="0057201B" w:rsidRPr="00AE3A84" w:rsidRDefault="0057201B">
            <w:pPr>
              <w:pStyle w:val="BodyText"/>
              <w:rPr>
                <w:lang w:val="es-ES"/>
              </w:rPr>
            </w:pPr>
            <w:r w:rsidRPr="00AE3A84">
              <w:rPr>
                <w:spacing w:val="-1"/>
              </w:rPr>
              <w:t>3/20/2022</w:t>
            </w:r>
          </w:p>
        </w:tc>
        <w:tc>
          <w:tcPr>
            <w:tcW w:w="1329" w:type="dxa"/>
            <w:vAlign w:val="center"/>
          </w:tcPr>
          <w:p w14:paraId="4FBE758E" w14:textId="77777777" w:rsidR="0057201B" w:rsidRPr="00AE3A84" w:rsidRDefault="0057201B">
            <w:pPr>
              <w:pStyle w:val="BodyText"/>
              <w:rPr>
                <w:lang w:val="es-ES"/>
              </w:rPr>
            </w:pPr>
            <w:r w:rsidRPr="00AE3A84">
              <w:rPr>
                <w:spacing w:val="-1"/>
              </w:rPr>
              <w:t>1333-11</w:t>
            </w:r>
            <w:r w:rsidRPr="00AE3A84">
              <w:rPr>
                <w:spacing w:val="-7"/>
              </w:rPr>
              <w:t xml:space="preserve"> </w:t>
            </w:r>
            <w:r>
              <w:t>and</w:t>
            </w:r>
            <w:r w:rsidRPr="00AE3A84">
              <w:rPr>
                <w:spacing w:val="-5"/>
              </w:rPr>
              <w:t xml:space="preserve"> </w:t>
            </w:r>
            <w:r w:rsidRPr="00AE3A84">
              <w:rPr>
                <w:spacing w:val="-1"/>
              </w:rPr>
              <w:t>1334-11</w:t>
            </w:r>
          </w:p>
        </w:tc>
        <w:tc>
          <w:tcPr>
            <w:tcW w:w="1350" w:type="dxa"/>
            <w:vAlign w:val="center"/>
          </w:tcPr>
          <w:p w14:paraId="58B0B861" w14:textId="77777777" w:rsidR="0057201B" w:rsidRPr="00AE3A84" w:rsidRDefault="0057201B">
            <w:pPr>
              <w:pStyle w:val="BodyText"/>
              <w:rPr>
                <w:lang w:val="es-ES"/>
              </w:rPr>
            </w:pPr>
            <w:r w:rsidRPr="00AE3A84">
              <w:rPr>
                <w:spacing w:val="-1"/>
              </w:rPr>
              <w:t>14.919</w:t>
            </w:r>
          </w:p>
        </w:tc>
      </w:tr>
      <w:tr w:rsidR="0057201B" w:rsidRPr="00AE3A84" w14:paraId="7C207322" w14:textId="77777777">
        <w:tc>
          <w:tcPr>
            <w:tcW w:w="534" w:type="dxa"/>
            <w:vAlign w:val="center"/>
          </w:tcPr>
          <w:p w14:paraId="6758BF6B" w14:textId="77777777" w:rsidR="0057201B" w:rsidRPr="00AE3A84" w:rsidRDefault="0057201B" w:rsidP="00933F91">
            <w:pPr>
              <w:pStyle w:val="BodyText"/>
              <w:widowControl/>
              <w:numPr>
                <w:ilvl w:val="0"/>
                <w:numId w:val="57"/>
              </w:numPr>
              <w:rPr>
                <w:lang w:val="es-ES"/>
              </w:rPr>
            </w:pPr>
          </w:p>
        </w:tc>
        <w:tc>
          <w:tcPr>
            <w:tcW w:w="2953" w:type="dxa"/>
            <w:vAlign w:val="center"/>
          </w:tcPr>
          <w:p w14:paraId="52B45B24" w14:textId="77777777" w:rsidR="0057201B" w:rsidRPr="00AE3A84" w:rsidRDefault="0057201B">
            <w:pPr>
              <w:pStyle w:val="BodyText"/>
              <w:rPr>
                <w:lang w:val="es-ES"/>
              </w:rPr>
            </w:pPr>
            <w:r w:rsidRPr="00AE3A84">
              <w:rPr>
                <w:spacing w:val="-1"/>
              </w:rPr>
              <w:t>Ramón</w:t>
            </w:r>
            <w:r w:rsidRPr="00AE3A84">
              <w:rPr>
                <w:spacing w:val="-7"/>
              </w:rPr>
              <w:t xml:space="preserve"> </w:t>
            </w:r>
            <w:r w:rsidRPr="00AE3A84">
              <w:rPr>
                <w:spacing w:val="-1"/>
              </w:rPr>
              <w:t>Antonio</w:t>
            </w:r>
            <w:r w:rsidRPr="00AE3A84">
              <w:rPr>
                <w:spacing w:val="-8"/>
              </w:rPr>
              <w:t xml:space="preserve"> </w:t>
            </w:r>
            <w:r w:rsidRPr="00AE3A84">
              <w:rPr>
                <w:spacing w:val="-1"/>
              </w:rPr>
              <w:t>Valencia</w:t>
            </w:r>
            <w:r w:rsidRPr="00AE3A84">
              <w:rPr>
                <w:spacing w:val="-7"/>
              </w:rPr>
              <w:t xml:space="preserve"> </w:t>
            </w:r>
            <w:r w:rsidRPr="00AE3A84">
              <w:rPr>
                <w:spacing w:val="-1"/>
              </w:rPr>
              <w:t>Duque</w:t>
            </w:r>
          </w:p>
        </w:tc>
        <w:tc>
          <w:tcPr>
            <w:tcW w:w="1119" w:type="dxa"/>
            <w:vAlign w:val="center"/>
          </w:tcPr>
          <w:p w14:paraId="6C1943CD" w14:textId="77777777" w:rsidR="0057201B" w:rsidRPr="00AE3A84" w:rsidRDefault="0057201B">
            <w:pPr>
              <w:pStyle w:val="BodyText"/>
              <w:rPr>
                <w:lang w:val="es-ES"/>
              </w:rPr>
            </w:pPr>
            <w:r w:rsidRPr="00AE3A84">
              <w:rPr>
                <w:spacing w:val="-1"/>
              </w:rPr>
              <w:t>Colombia</w:t>
            </w:r>
          </w:p>
        </w:tc>
        <w:tc>
          <w:tcPr>
            <w:tcW w:w="1141" w:type="dxa"/>
            <w:vAlign w:val="center"/>
          </w:tcPr>
          <w:p w14:paraId="204AF381" w14:textId="77777777" w:rsidR="0057201B" w:rsidRPr="00AE3A84" w:rsidRDefault="0057201B">
            <w:pPr>
              <w:pStyle w:val="BodyText"/>
              <w:jc w:val="center"/>
              <w:rPr>
                <w:spacing w:val="-1"/>
              </w:rPr>
            </w:pPr>
            <w:r w:rsidRPr="00F90799">
              <w:rPr>
                <w:spacing w:val="-1"/>
              </w:rPr>
              <w:t>37/22</w:t>
            </w:r>
          </w:p>
        </w:tc>
        <w:tc>
          <w:tcPr>
            <w:tcW w:w="1289" w:type="dxa"/>
            <w:vAlign w:val="center"/>
          </w:tcPr>
          <w:p w14:paraId="766C6238" w14:textId="77777777" w:rsidR="0057201B" w:rsidRPr="00AE3A84" w:rsidRDefault="0057201B">
            <w:pPr>
              <w:pStyle w:val="BodyText"/>
              <w:rPr>
                <w:lang w:val="es-ES"/>
              </w:rPr>
            </w:pPr>
            <w:r w:rsidRPr="00AE3A84">
              <w:rPr>
                <w:spacing w:val="-1"/>
              </w:rPr>
              <w:t>3/20/2022</w:t>
            </w:r>
          </w:p>
        </w:tc>
        <w:tc>
          <w:tcPr>
            <w:tcW w:w="1329" w:type="dxa"/>
            <w:vAlign w:val="center"/>
          </w:tcPr>
          <w:p w14:paraId="3700EDB0" w14:textId="77777777" w:rsidR="0057201B" w:rsidRPr="00AE3A84" w:rsidRDefault="0057201B">
            <w:pPr>
              <w:pStyle w:val="BodyText"/>
              <w:rPr>
                <w:lang w:val="es-ES"/>
              </w:rPr>
            </w:pPr>
            <w:r w:rsidRPr="00AE3A84">
              <w:rPr>
                <w:spacing w:val="-1"/>
              </w:rPr>
              <w:t>1688-12</w:t>
            </w:r>
          </w:p>
        </w:tc>
        <w:tc>
          <w:tcPr>
            <w:tcW w:w="1350" w:type="dxa"/>
            <w:vAlign w:val="center"/>
          </w:tcPr>
          <w:p w14:paraId="39AB4FC8" w14:textId="77777777" w:rsidR="0057201B" w:rsidRPr="00AE3A84" w:rsidRDefault="0057201B">
            <w:pPr>
              <w:pStyle w:val="BodyText"/>
              <w:rPr>
                <w:lang w:val="es-ES"/>
              </w:rPr>
            </w:pPr>
            <w:r w:rsidRPr="00AE3A84">
              <w:rPr>
                <w:spacing w:val="-1"/>
              </w:rPr>
              <w:t>14.921</w:t>
            </w:r>
          </w:p>
        </w:tc>
      </w:tr>
      <w:tr w:rsidR="0057201B" w:rsidRPr="00AE3A84" w14:paraId="55086F14" w14:textId="77777777">
        <w:tc>
          <w:tcPr>
            <w:tcW w:w="534" w:type="dxa"/>
            <w:vAlign w:val="center"/>
          </w:tcPr>
          <w:p w14:paraId="03EDEA7F" w14:textId="77777777" w:rsidR="0057201B" w:rsidRPr="00AE3A84" w:rsidRDefault="0057201B" w:rsidP="00933F91">
            <w:pPr>
              <w:pStyle w:val="BodyText"/>
              <w:widowControl/>
              <w:numPr>
                <w:ilvl w:val="0"/>
                <w:numId w:val="57"/>
              </w:numPr>
              <w:rPr>
                <w:lang w:val="es-ES"/>
              </w:rPr>
            </w:pPr>
          </w:p>
        </w:tc>
        <w:tc>
          <w:tcPr>
            <w:tcW w:w="2953" w:type="dxa"/>
            <w:vAlign w:val="center"/>
          </w:tcPr>
          <w:p w14:paraId="5949C973" w14:textId="77777777" w:rsidR="0057201B" w:rsidRPr="00AE3A84" w:rsidRDefault="0057201B">
            <w:pPr>
              <w:pStyle w:val="BodyText"/>
              <w:rPr>
                <w:lang w:val="es-ES"/>
              </w:rPr>
            </w:pPr>
            <w:r w:rsidRPr="00AE3A84">
              <w:rPr>
                <w:spacing w:val="-1"/>
              </w:rPr>
              <w:t>Carmen</w:t>
            </w:r>
            <w:r w:rsidRPr="00AE3A84">
              <w:rPr>
                <w:spacing w:val="-7"/>
              </w:rPr>
              <w:t xml:space="preserve"> </w:t>
            </w:r>
            <w:r w:rsidRPr="00AE3A84">
              <w:rPr>
                <w:spacing w:val="-1"/>
              </w:rPr>
              <w:t>Helena</w:t>
            </w:r>
            <w:r w:rsidRPr="00AE3A84">
              <w:rPr>
                <w:spacing w:val="-7"/>
              </w:rPr>
              <w:t xml:space="preserve"> </w:t>
            </w:r>
            <w:r w:rsidRPr="00AE3A84">
              <w:rPr>
                <w:spacing w:val="-1"/>
              </w:rPr>
              <w:t>Pardo</w:t>
            </w:r>
            <w:r w:rsidRPr="00AE3A84">
              <w:rPr>
                <w:spacing w:val="-7"/>
              </w:rPr>
              <w:t xml:space="preserve"> </w:t>
            </w:r>
            <w:r w:rsidRPr="00AE3A84">
              <w:rPr>
                <w:spacing w:val="-1"/>
              </w:rPr>
              <w:t>Noboa</w:t>
            </w:r>
          </w:p>
        </w:tc>
        <w:tc>
          <w:tcPr>
            <w:tcW w:w="1119" w:type="dxa"/>
            <w:vAlign w:val="center"/>
          </w:tcPr>
          <w:p w14:paraId="7EC22D45" w14:textId="77777777" w:rsidR="0057201B" w:rsidRPr="00AE3A84" w:rsidRDefault="0057201B">
            <w:pPr>
              <w:pStyle w:val="BodyText"/>
              <w:rPr>
                <w:lang w:val="es-ES"/>
              </w:rPr>
            </w:pPr>
            <w:r w:rsidRPr="00AE3A84">
              <w:rPr>
                <w:spacing w:val="-1"/>
              </w:rPr>
              <w:t>Ecuador</w:t>
            </w:r>
          </w:p>
        </w:tc>
        <w:tc>
          <w:tcPr>
            <w:tcW w:w="1141" w:type="dxa"/>
            <w:vAlign w:val="center"/>
          </w:tcPr>
          <w:p w14:paraId="7A4FB0DD" w14:textId="77777777" w:rsidR="0057201B" w:rsidRPr="00AE3A84" w:rsidRDefault="0057201B">
            <w:pPr>
              <w:pStyle w:val="BodyText"/>
              <w:jc w:val="center"/>
              <w:rPr>
                <w:spacing w:val="-1"/>
              </w:rPr>
            </w:pPr>
            <w:r w:rsidRPr="00F90799">
              <w:rPr>
                <w:spacing w:val="-1"/>
              </w:rPr>
              <w:t>39/22</w:t>
            </w:r>
          </w:p>
        </w:tc>
        <w:tc>
          <w:tcPr>
            <w:tcW w:w="1289" w:type="dxa"/>
            <w:vAlign w:val="center"/>
          </w:tcPr>
          <w:p w14:paraId="5E4117C7" w14:textId="77777777" w:rsidR="0057201B" w:rsidRPr="00AE3A84" w:rsidRDefault="0057201B">
            <w:pPr>
              <w:pStyle w:val="BodyText"/>
              <w:rPr>
                <w:lang w:val="es-ES"/>
              </w:rPr>
            </w:pPr>
            <w:r w:rsidRPr="00AE3A84">
              <w:rPr>
                <w:spacing w:val="-1"/>
              </w:rPr>
              <w:t>3/1/2022</w:t>
            </w:r>
          </w:p>
        </w:tc>
        <w:tc>
          <w:tcPr>
            <w:tcW w:w="1329" w:type="dxa"/>
            <w:vAlign w:val="center"/>
          </w:tcPr>
          <w:p w14:paraId="023A1320" w14:textId="77777777" w:rsidR="0057201B" w:rsidRPr="00AE3A84" w:rsidRDefault="0057201B">
            <w:pPr>
              <w:pStyle w:val="BodyText"/>
              <w:rPr>
                <w:lang w:val="es-ES"/>
              </w:rPr>
            </w:pPr>
            <w:r w:rsidRPr="00AE3A84">
              <w:rPr>
                <w:spacing w:val="-1"/>
              </w:rPr>
              <w:t>1621-15</w:t>
            </w:r>
          </w:p>
        </w:tc>
        <w:tc>
          <w:tcPr>
            <w:tcW w:w="1350" w:type="dxa"/>
            <w:vAlign w:val="center"/>
          </w:tcPr>
          <w:p w14:paraId="08FC6056" w14:textId="747A0DC9" w:rsidR="0057201B" w:rsidRPr="00AE3A84" w:rsidRDefault="0057201B">
            <w:pPr>
              <w:pStyle w:val="BodyText"/>
              <w:rPr>
                <w:lang w:val="es-ES"/>
              </w:rPr>
            </w:pPr>
            <w:r w:rsidRPr="00AE3A84">
              <w:rPr>
                <w:spacing w:val="-1"/>
              </w:rPr>
              <w:t>14.92</w:t>
            </w:r>
            <w:r w:rsidR="001C59DB">
              <w:rPr>
                <w:spacing w:val="-1"/>
              </w:rPr>
              <w:t>0</w:t>
            </w:r>
          </w:p>
        </w:tc>
      </w:tr>
      <w:tr w:rsidR="0057201B" w:rsidRPr="00AE3A84" w14:paraId="01C5803B" w14:textId="77777777">
        <w:tc>
          <w:tcPr>
            <w:tcW w:w="534" w:type="dxa"/>
            <w:vAlign w:val="center"/>
          </w:tcPr>
          <w:p w14:paraId="3F9A26B3" w14:textId="77777777" w:rsidR="0057201B" w:rsidRPr="00AE3A84" w:rsidRDefault="0057201B" w:rsidP="00933F91">
            <w:pPr>
              <w:pStyle w:val="BodyText"/>
              <w:widowControl/>
              <w:numPr>
                <w:ilvl w:val="0"/>
                <w:numId w:val="57"/>
              </w:numPr>
              <w:rPr>
                <w:lang w:val="es-ES"/>
              </w:rPr>
            </w:pPr>
          </w:p>
        </w:tc>
        <w:tc>
          <w:tcPr>
            <w:tcW w:w="2953" w:type="dxa"/>
            <w:vAlign w:val="center"/>
          </w:tcPr>
          <w:p w14:paraId="17CB86C8" w14:textId="77777777" w:rsidR="0057201B" w:rsidRPr="00AE3A84" w:rsidRDefault="0057201B">
            <w:pPr>
              <w:pStyle w:val="BodyText"/>
              <w:rPr>
                <w:lang w:val="es-ES"/>
              </w:rPr>
            </w:pPr>
            <w:r w:rsidRPr="00AE3A84">
              <w:rPr>
                <w:spacing w:val="-1"/>
                <w:lang w:val="es-AR"/>
              </w:rPr>
              <w:t>Abel</w:t>
            </w:r>
            <w:r w:rsidRPr="00AE3A84">
              <w:rPr>
                <w:spacing w:val="-4"/>
                <w:lang w:val="es-AR"/>
              </w:rPr>
              <w:t xml:space="preserve"> </w:t>
            </w:r>
            <w:r w:rsidRPr="00AE3A84">
              <w:rPr>
                <w:spacing w:val="-1"/>
                <w:lang w:val="es-AR"/>
              </w:rPr>
              <w:t>Marcelino</w:t>
            </w:r>
            <w:r w:rsidRPr="00AE3A84">
              <w:rPr>
                <w:spacing w:val="-6"/>
                <w:lang w:val="es-AR"/>
              </w:rPr>
              <w:t xml:space="preserve"> </w:t>
            </w:r>
            <w:r w:rsidRPr="00AE3A84">
              <w:rPr>
                <w:spacing w:val="-1"/>
                <w:lang w:val="es-AR"/>
              </w:rPr>
              <w:t>Arpi</w:t>
            </w:r>
            <w:r w:rsidRPr="00AE3A84">
              <w:rPr>
                <w:spacing w:val="-4"/>
                <w:lang w:val="es-AR"/>
              </w:rPr>
              <w:t xml:space="preserve"> </w:t>
            </w:r>
            <w:r w:rsidRPr="00AE3A84">
              <w:rPr>
                <w:spacing w:val="-1"/>
                <w:lang w:val="es-AR"/>
              </w:rPr>
              <w:t>Bermeo</w:t>
            </w:r>
            <w:r>
              <w:rPr>
                <w:spacing w:val="-5"/>
                <w:lang w:val="es-AR"/>
              </w:rPr>
              <w:t xml:space="preserve"> et al.</w:t>
            </w:r>
          </w:p>
        </w:tc>
        <w:tc>
          <w:tcPr>
            <w:tcW w:w="1119" w:type="dxa"/>
            <w:vAlign w:val="center"/>
          </w:tcPr>
          <w:p w14:paraId="75FE73C1" w14:textId="77777777" w:rsidR="0057201B" w:rsidRPr="00AE3A84" w:rsidRDefault="0057201B">
            <w:pPr>
              <w:pStyle w:val="BodyText"/>
              <w:rPr>
                <w:lang w:val="es-ES"/>
              </w:rPr>
            </w:pPr>
            <w:r w:rsidRPr="00AE3A84">
              <w:rPr>
                <w:spacing w:val="-1"/>
              </w:rPr>
              <w:t>Ecuador</w:t>
            </w:r>
          </w:p>
        </w:tc>
        <w:tc>
          <w:tcPr>
            <w:tcW w:w="1141" w:type="dxa"/>
            <w:vAlign w:val="center"/>
          </w:tcPr>
          <w:p w14:paraId="3DABAFCB" w14:textId="77777777" w:rsidR="0057201B" w:rsidRPr="00AE3A84" w:rsidRDefault="0057201B">
            <w:pPr>
              <w:pStyle w:val="BodyText"/>
              <w:jc w:val="center"/>
              <w:rPr>
                <w:spacing w:val="-1"/>
              </w:rPr>
            </w:pPr>
            <w:r w:rsidRPr="00F90799">
              <w:rPr>
                <w:spacing w:val="-1"/>
              </w:rPr>
              <w:t>41/22</w:t>
            </w:r>
          </w:p>
        </w:tc>
        <w:tc>
          <w:tcPr>
            <w:tcW w:w="1289" w:type="dxa"/>
            <w:vAlign w:val="center"/>
          </w:tcPr>
          <w:p w14:paraId="7E83E22C" w14:textId="77777777" w:rsidR="0057201B" w:rsidRPr="00AE3A84" w:rsidRDefault="0057201B">
            <w:pPr>
              <w:pStyle w:val="BodyText"/>
              <w:rPr>
                <w:lang w:val="es-ES"/>
              </w:rPr>
            </w:pPr>
            <w:r w:rsidRPr="00AE3A84">
              <w:rPr>
                <w:spacing w:val="-1"/>
              </w:rPr>
              <w:t>3/9/2022</w:t>
            </w:r>
          </w:p>
        </w:tc>
        <w:tc>
          <w:tcPr>
            <w:tcW w:w="1329" w:type="dxa"/>
            <w:vAlign w:val="center"/>
          </w:tcPr>
          <w:p w14:paraId="2488B39D" w14:textId="77777777" w:rsidR="0057201B" w:rsidRPr="00AE3A84" w:rsidRDefault="0057201B">
            <w:pPr>
              <w:pStyle w:val="BodyText"/>
              <w:rPr>
                <w:lang w:val="es-ES"/>
              </w:rPr>
            </w:pPr>
            <w:r w:rsidRPr="00AE3A84">
              <w:rPr>
                <w:spacing w:val="-1"/>
              </w:rPr>
              <w:t>2139-13</w:t>
            </w:r>
          </w:p>
        </w:tc>
        <w:tc>
          <w:tcPr>
            <w:tcW w:w="1350" w:type="dxa"/>
            <w:vAlign w:val="center"/>
          </w:tcPr>
          <w:p w14:paraId="2B5F4ACE" w14:textId="77777777" w:rsidR="0057201B" w:rsidRPr="00AE3A84" w:rsidRDefault="0057201B">
            <w:pPr>
              <w:pStyle w:val="BodyText"/>
              <w:rPr>
                <w:lang w:val="es-ES"/>
              </w:rPr>
            </w:pPr>
            <w:r w:rsidRPr="00AE3A84">
              <w:rPr>
                <w:spacing w:val="-1"/>
              </w:rPr>
              <w:t>14.922</w:t>
            </w:r>
          </w:p>
        </w:tc>
      </w:tr>
      <w:tr w:rsidR="0057201B" w:rsidRPr="00AE3A84" w14:paraId="398160DF" w14:textId="77777777">
        <w:tc>
          <w:tcPr>
            <w:tcW w:w="534" w:type="dxa"/>
            <w:vAlign w:val="center"/>
          </w:tcPr>
          <w:p w14:paraId="10D4FE2D" w14:textId="77777777" w:rsidR="0057201B" w:rsidRPr="00AE3A84" w:rsidRDefault="0057201B" w:rsidP="00933F91">
            <w:pPr>
              <w:pStyle w:val="BodyText"/>
              <w:widowControl/>
              <w:numPr>
                <w:ilvl w:val="0"/>
                <w:numId w:val="57"/>
              </w:numPr>
              <w:rPr>
                <w:lang w:val="es-ES"/>
              </w:rPr>
            </w:pPr>
          </w:p>
        </w:tc>
        <w:tc>
          <w:tcPr>
            <w:tcW w:w="2953" w:type="dxa"/>
            <w:vAlign w:val="center"/>
          </w:tcPr>
          <w:p w14:paraId="5627B44E" w14:textId="77777777" w:rsidR="0057201B" w:rsidRPr="00AE3A84" w:rsidRDefault="0057201B">
            <w:pPr>
              <w:pStyle w:val="BodyText"/>
              <w:rPr>
                <w:lang w:val="es-ES"/>
              </w:rPr>
            </w:pPr>
            <w:r w:rsidRPr="00AE3A84">
              <w:rPr>
                <w:spacing w:val="-1"/>
              </w:rPr>
              <w:t>Ricardo</w:t>
            </w:r>
            <w:r w:rsidRPr="00AE3A84">
              <w:rPr>
                <w:spacing w:val="-9"/>
              </w:rPr>
              <w:t xml:space="preserve"> </w:t>
            </w:r>
            <w:r w:rsidRPr="00AE3A84">
              <w:rPr>
                <w:spacing w:val="-1"/>
              </w:rPr>
              <w:t>Sayavedra</w:t>
            </w:r>
            <w:r w:rsidRPr="00AE3A84">
              <w:rPr>
                <w:spacing w:val="-9"/>
              </w:rPr>
              <w:t xml:space="preserve"> </w:t>
            </w:r>
            <w:r w:rsidRPr="00AE3A84">
              <w:rPr>
                <w:spacing w:val="-1"/>
              </w:rPr>
              <w:t>Juárez</w:t>
            </w:r>
          </w:p>
        </w:tc>
        <w:tc>
          <w:tcPr>
            <w:tcW w:w="1119" w:type="dxa"/>
            <w:vAlign w:val="center"/>
          </w:tcPr>
          <w:p w14:paraId="4C3CE868"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57ACAFFA" w14:textId="77777777" w:rsidR="0057201B" w:rsidRPr="00AE3A84" w:rsidRDefault="0057201B">
            <w:pPr>
              <w:pStyle w:val="BodyText"/>
              <w:jc w:val="center"/>
              <w:rPr>
                <w:spacing w:val="-1"/>
              </w:rPr>
            </w:pPr>
            <w:r w:rsidRPr="00F90799">
              <w:rPr>
                <w:spacing w:val="-1"/>
              </w:rPr>
              <w:t>43/22</w:t>
            </w:r>
          </w:p>
        </w:tc>
        <w:tc>
          <w:tcPr>
            <w:tcW w:w="1289" w:type="dxa"/>
            <w:vAlign w:val="center"/>
          </w:tcPr>
          <w:p w14:paraId="16E7EDA1" w14:textId="77777777" w:rsidR="0057201B" w:rsidRPr="00AE3A84" w:rsidRDefault="0057201B">
            <w:pPr>
              <w:pStyle w:val="BodyText"/>
              <w:rPr>
                <w:lang w:val="es-ES"/>
              </w:rPr>
            </w:pPr>
            <w:r w:rsidRPr="00AE3A84">
              <w:rPr>
                <w:spacing w:val="-1"/>
              </w:rPr>
              <w:t>3/5/2022</w:t>
            </w:r>
          </w:p>
        </w:tc>
        <w:tc>
          <w:tcPr>
            <w:tcW w:w="1329" w:type="dxa"/>
            <w:vAlign w:val="center"/>
          </w:tcPr>
          <w:p w14:paraId="5A93EADD" w14:textId="77777777" w:rsidR="0057201B" w:rsidRPr="00AE3A84" w:rsidRDefault="0057201B">
            <w:pPr>
              <w:pStyle w:val="BodyText"/>
              <w:rPr>
                <w:lang w:val="es-ES"/>
              </w:rPr>
            </w:pPr>
            <w:r w:rsidRPr="00AE3A84">
              <w:rPr>
                <w:spacing w:val="-1"/>
              </w:rPr>
              <w:t>1098-12</w:t>
            </w:r>
          </w:p>
        </w:tc>
        <w:tc>
          <w:tcPr>
            <w:tcW w:w="1350" w:type="dxa"/>
            <w:vAlign w:val="center"/>
          </w:tcPr>
          <w:p w14:paraId="77A61505" w14:textId="77777777" w:rsidR="0057201B" w:rsidRPr="00AE3A84" w:rsidRDefault="0057201B">
            <w:pPr>
              <w:pStyle w:val="BodyText"/>
              <w:rPr>
                <w:lang w:val="es-ES"/>
              </w:rPr>
            </w:pPr>
            <w:r w:rsidRPr="00AE3A84">
              <w:rPr>
                <w:spacing w:val="-1"/>
              </w:rPr>
              <w:t>14.928</w:t>
            </w:r>
          </w:p>
        </w:tc>
      </w:tr>
      <w:tr w:rsidR="0057201B" w:rsidRPr="00AE3A84" w14:paraId="3257E1E6" w14:textId="77777777">
        <w:tc>
          <w:tcPr>
            <w:tcW w:w="534" w:type="dxa"/>
            <w:vAlign w:val="center"/>
          </w:tcPr>
          <w:p w14:paraId="336E0ED3" w14:textId="77777777" w:rsidR="0057201B" w:rsidRPr="00AE3A84" w:rsidRDefault="0057201B" w:rsidP="00933F91">
            <w:pPr>
              <w:pStyle w:val="BodyText"/>
              <w:widowControl/>
              <w:numPr>
                <w:ilvl w:val="0"/>
                <w:numId w:val="57"/>
              </w:numPr>
              <w:rPr>
                <w:lang w:val="es-ES"/>
              </w:rPr>
            </w:pPr>
          </w:p>
        </w:tc>
        <w:tc>
          <w:tcPr>
            <w:tcW w:w="2953" w:type="dxa"/>
            <w:vAlign w:val="center"/>
          </w:tcPr>
          <w:p w14:paraId="203B76E4" w14:textId="77777777" w:rsidR="0057201B" w:rsidRPr="00AE3A84" w:rsidRDefault="0057201B">
            <w:pPr>
              <w:pStyle w:val="BodyText"/>
              <w:rPr>
                <w:lang w:val="es-ES"/>
              </w:rPr>
            </w:pPr>
            <w:r w:rsidRPr="00AE3A84">
              <w:rPr>
                <w:spacing w:val="-1"/>
              </w:rPr>
              <w:t>Reynaldo</w:t>
            </w:r>
            <w:r w:rsidRPr="00AE3A84">
              <w:rPr>
                <w:spacing w:val="-9"/>
              </w:rPr>
              <w:t xml:space="preserve"> </w:t>
            </w:r>
            <w:r w:rsidRPr="00AE3A84">
              <w:rPr>
                <w:spacing w:val="-1"/>
              </w:rPr>
              <w:t>Esteban</w:t>
            </w:r>
            <w:r w:rsidRPr="00AE3A84">
              <w:rPr>
                <w:spacing w:val="-8"/>
              </w:rPr>
              <w:t xml:space="preserve"> </w:t>
            </w:r>
            <w:r w:rsidRPr="00AE3A84">
              <w:rPr>
                <w:spacing w:val="-1"/>
              </w:rPr>
              <w:t>Cárdenas</w:t>
            </w:r>
            <w:r w:rsidRPr="00AE3A84">
              <w:rPr>
                <w:spacing w:val="-9"/>
              </w:rPr>
              <w:t xml:space="preserve"> </w:t>
            </w:r>
            <w:r w:rsidRPr="00AE3A84">
              <w:rPr>
                <w:spacing w:val="-1"/>
              </w:rPr>
              <w:t>González</w:t>
            </w:r>
          </w:p>
        </w:tc>
        <w:tc>
          <w:tcPr>
            <w:tcW w:w="1119" w:type="dxa"/>
            <w:vAlign w:val="center"/>
          </w:tcPr>
          <w:p w14:paraId="244CD22F"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3228283F" w14:textId="77777777" w:rsidR="0057201B" w:rsidRPr="00AE3A84" w:rsidRDefault="0057201B">
            <w:pPr>
              <w:pStyle w:val="BodyText"/>
              <w:jc w:val="center"/>
              <w:rPr>
                <w:spacing w:val="-1"/>
              </w:rPr>
            </w:pPr>
            <w:r w:rsidRPr="001C38F2">
              <w:rPr>
                <w:spacing w:val="-1"/>
              </w:rPr>
              <w:t>44/22</w:t>
            </w:r>
          </w:p>
        </w:tc>
        <w:tc>
          <w:tcPr>
            <w:tcW w:w="1289" w:type="dxa"/>
            <w:vAlign w:val="center"/>
          </w:tcPr>
          <w:p w14:paraId="499CC430" w14:textId="77777777" w:rsidR="0057201B" w:rsidRPr="00AE3A84" w:rsidRDefault="0057201B">
            <w:pPr>
              <w:pStyle w:val="BodyText"/>
              <w:rPr>
                <w:lang w:val="es-ES"/>
              </w:rPr>
            </w:pPr>
            <w:r w:rsidRPr="00AE3A84">
              <w:rPr>
                <w:spacing w:val="-1"/>
              </w:rPr>
              <w:t>3/5/2022</w:t>
            </w:r>
          </w:p>
        </w:tc>
        <w:tc>
          <w:tcPr>
            <w:tcW w:w="1329" w:type="dxa"/>
            <w:vAlign w:val="center"/>
          </w:tcPr>
          <w:p w14:paraId="1E1F5455" w14:textId="77777777" w:rsidR="0057201B" w:rsidRPr="00AE3A84" w:rsidRDefault="0057201B">
            <w:pPr>
              <w:pStyle w:val="BodyText"/>
              <w:rPr>
                <w:lang w:val="es-ES"/>
              </w:rPr>
            </w:pPr>
            <w:r w:rsidRPr="00AE3A84">
              <w:rPr>
                <w:spacing w:val="-1"/>
              </w:rPr>
              <w:t>1318-12</w:t>
            </w:r>
          </w:p>
        </w:tc>
        <w:tc>
          <w:tcPr>
            <w:tcW w:w="1350" w:type="dxa"/>
            <w:vAlign w:val="center"/>
          </w:tcPr>
          <w:p w14:paraId="32F31420" w14:textId="77777777" w:rsidR="0057201B" w:rsidRPr="00AE3A84" w:rsidRDefault="0057201B">
            <w:pPr>
              <w:pStyle w:val="BodyText"/>
              <w:rPr>
                <w:lang w:val="es-ES"/>
              </w:rPr>
            </w:pPr>
            <w:r w:rsidRPr="00AE3A84">
              <w:rPr>
                <w:spacing w:val="-1"/>
              </w:rPr>
              <w:t>14.929</w:t>
            </w:r>
          </w:p>
        </w:tc>
      </w:tr>
      <w:tr w:rsidR="0057201B" w:rsidRPr="00AE3A84" w14:paraId="3B0956AF" w14:textId="77777777">
        <w:tc>
          <w:tcPr>
            <w:tcW w:w="534" w:type="dxa"/>
            <w:vAlign w:val="center"/>
          </w:tcPr>
          <w:p w14:paraId="7081F8F6" w14:textId="77777777" w:rsidR="0057201B" w:rsidRPr="00AE3A84" w:rsidRDefault="0057201B" w:rsidP="00933F91">
            <w:pPr>
              <w:pStyle w:val="BodyText"/>
              <w:widowControl/>
              <w:numPr>
                <w:ilvl w:val="0"/>
                <w:numId w:val="57"/>
              </w:numPr>
              <w:rPr>
                <w:lang w:val="es-ES"/>
              </w:rPr>
            </w:pPr>
          </w:p>
        </w:tc>
        <w:tc>
          <w:tcPr>
            <w:tcW w:w="2953" w:type="dxa"/>
            <w:vAlign w:val="center"/>
          </w:tcPr>
          <w:p w14:paraId="4538EF5A" w14:textId="77777777" w:rsidR="0057201B" w:rsidRPr="00AE3A84" w:rsidRDefault="0057201B">
            <w:pPr>
              <w:pStyle w:val="BodyText"/>
              <w:rPr>
                <w:lang w:val="es-ES"/>
              </w:rPr>
            </w:pPr>
            <w:r w:rsidRPr="00AE3A84">
              <w:rPr>
                <w:spacing w:val="-1"/>
              </w:rPr>
              <w:t>Maximiliano</w:t>
            </w:r>
            <w:r w:rsidRPr="00AE3A84">
              <w:rPr>
                <w:spacing w:val="-10"/>
              </w:rPr>
              <w:t xml:space="preserve"> </w:t>
            </w:r>
            <w:r w:rsidRPr="00AE3A84">
              <w:rPr>
                <w:spacing w:val="-1"/>
              </w:rPr>
              <w:t>Castillo</w:t>
            </w:r>
            <w:r w:rsidRPr="00AE3A84">
              <w:rPr>
                <w:spacing w:val="-10"/>
              </w:rPr>
              <w:t xml:space="preserve"> </w:t>
            </w:r>
            <w:r w:rsidRPr="00AE3A84">
              <w:rPr>
                <w:spacing w:val="-1"/>
              </w:rPr>
              <w:t>Almeida</w:t>
            </w:r>
          </w:p>
        </w:tc>
        <w:tc>
          <w:tcPr>
            <w:tcW w:w="1119" w:type="dxa"/>
            <w:vAlign w:val="center"/>
          </w:tcPr>
          <w:p w14:paraId="34431E72"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0DF3D196" w14:textId="77777777" w:rsidR="0057201B" w:rsidRPr="00AE3A84" w:rsidRDefault="0057201B">
            <w:pPr>
              <w:pStyle w:val="BodyText"/>
              <w:jc w:val="center"/>
              <w:rPr>
                <w:spacing w:val="-1"/>
              </w:rPr>
            </w:pPr>
            <w:r w:rsidRPr="001C38F2">
              <w:rPr>
                <w:spacing w:val="-1"/>
              </w:rPr>
              <w:t>45/22</w:t>
            </w:r>
          </w:p>
        </w:tc>
        <w:tc>
          <w:tcPr>
            <w:tcW w:w="1289" w:type="dxa"/>
            <w:vAlign w:val="center"/>
          </w:tcPr>
          <w:p w14:paraId="5DBC169F" w14:textId="77777777" w:rsidR="0057201B" w:rsidRPr="00AE3A84" w:rsidRDefault="0057201B">
            <w:pPr>
              <w:pStyle w:val="BodyText"/>
              <w:rPr>
                <w:lang w:val="es-ES"/>
              </w:rPr>
            </w:pPr>
            <w:r w:rsidRPr="00AE3A84">
              <w:rPr>
                <w:spacing w:val="-1"/>
              </w:rPr>
              <w:t>3/9/2022</w:t>
            </w:r>
          </w:p>
        </w:tc>
        <w:tc>
          <w:tcPr>
            <w:tcW w:w="1329" w:type="dxa"/>
            <w:vAlign w:val="center"/>
          </w:tcPr>
          <w:p w14:paraId="13BCB545" w14:textId="77777777" w:rsidR="0057201B" w:rsidRPr="00AE3A84" w:rsidRDefault="0057201B">
            <w:pPr>
              <w:pStyle w:val="BodyText"/>
              <w:rPr>
                <w:lang w:val="es-ES"/>
              </w:rPr>
            </w:pPr>
            <w:r w:rsidRPr="00AE3A84">
              <w:rPr>
                <w:spacing w:val="-1"/>
              </w:rPr>
              <w:t>1588-12</w:t>
            </w:r>
          </w:p>
        </w:tc>
        <w:tc>
          <w:tcPr>
            <w:tcW w:w="1350" w:type="dxa"/>
            <w:vAlign w:val="center"/>
          </w:tcPr>
          <w:p w14:paraId="4982D3EF" w14:textId="77777777" w:rsidR="0057201B" w:rsidRPr="00AE3A84" w:rsidRDefault="0057201B">
            <w:pPr>
              <w:pStyle w:val="BodyText"/>
              <w:rPr>
                <w:lang w:val="es-ES"/>
              </w:rPr>
            </w:pPr>
            <w:r w:rsidRPr="00AE3A84">
              <w:rPr>
                <w:spacing w:val="-1"/>
              </w:rPr>
              <w:t>14.937</w:t>
            </w:r>
          </w:p>
        </w:tc>
      </w:tr>
      <w:tr w:rsidR="0057201B" w:rsidRPr="00AE3A84" w14:paraId="4638B4CB" w14:textId="77777777">
        <w:tc>
          <w:tcPr>
            <w:tcW w:w="534" w:type="dxa"/>
            <w:vAlign w:val="center"/>
          </w:tcPr>
          <w:p w14:paraId="704F4FC3" w14:textId="77777777" w:rsidR="0057201B" w:rsidRPr="00AE3A84" w:rsidRDefault="0057201B" w:rsidP="00933F91">
            <w:pPr>
              <w:pStyle w:val="BodyText"/>
              <w:widowControl/>
              <w:numPr>
                <w:ilvl w:val="0"/>
                <w:numId w:val="57"/>
              </w:numPr>
              <w:rPr>
                <w:lang w:val="es-ES"/>
              </w:rPr>
            </w:pPr>
          </w:p>
        </w:tc>
        <w:tc>
          <w:tcPr>
            <w:tcW w:w="2953" w:type="dxa"/>
            <w:vAlign w:val="center"/>
          </w:tcPr>
          <w:p w14:paraId="2DB3E407" w14:textId="77777777" w:rsidR="0057201B" w:rsidRPr="00AE3A84" w:rsidRDefault="0057201B">
            <w:pPr>
              <w:pStyle w:val="BodyText"/>
              <w:rPr>
                <w:lang w:val="es-ES"/>
              </w:rPr>
            </w:pPr>
            <w:r w:rsidRPr="00AE3A84">
              <w:rPr>
                <w:spacing w:val="-1"/>
              </w:rPr>
              <w:t>Silvestre</w:t>
            </w:r>
            <w:r w:rsidRPr="00AE3A84">
              <w:rPr>
                <w:spacing w:val="-8"/>
              </w:rPr>
              <w:t xml:space="preserve"> </w:t>
            </w:r>
            <w:r w:rsidRPr="00AE3A84">
              <w:rPr>
                <w:spacing w:val="-1"/>
              </w:rPr>
              <w:t>González</w:t>
            </w:r>
            <w:r w:rsidRPr="00AE3A84">
              <w:rPr>
                <w:spacing w:val="-8"/>
              </w:rPr>
              <w:t xml:space="preserve"> </w:t>
            </w:r>
            <w:r w:rsidRPr="00AE3A84">
              <w:rPr>
                <w:spacing w:val="-1"/>
              </w:rPr>
              <w:t>Pedrotti</w:t>
            </w:r>
          </w:p>
        </w:tc>
        <w:tc>
          <w:tcPr>
            <w:tcW w:w="1119" w:type="dxa"/>
            <w:vAlign w:val="center"/>
          </w:tcPr>
          <w:p w14:paraId="693FA181"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4923BE36" w14:textId="77777777" w:rsidR="0057201B" w:rsidRPr="00AE3A84" w:rsidRDefault="0057201B">
            <w:pPr>
              <w:pStyle w:val="BodyText"/>
              <w:jc w:val="center"/>
              <w:rPr>
                <w:spacing w:val="-1"/>
              </w:rPr>
            </w:pPr>
            <w:r w:rsidRPr="001C38F2">
              <w:rPr>
                <w:spacing w:val="-1"/>
              </w:rPr>
              <w:t>46/22</w:t>
            </w:r>
          </w:p>
        </w:tc>
        <w:tc>
          <w:tcPr>
            <w:tcW w:w="1289" w:type="dxa"/>
            <w:vAlign w:val="center"/>
          </w:tcPr>
          <w:p w14:paraId="7B44EA1E" w14:textId="77777777" w:rsidR="0057201B" w:rsidRPr="00AE3A84" w:rsidRDefault="0057201B">
            <w:pPr>
              <w:pStyle w:val="BodyText"/>
              <w:rPr>
                <w:lang w:val="es-ES"/>
              </w:rPr>
            </w:pPr>
            <w:r w:rsidRPr="00AE3A84">
              <w:rPr>
                <w:spacing w:val="-1"/>
              </w:rPr>
              <w:t>3/9/2022</w:t>
            </w:r>
          </w:p>
        </w:tc>
        <w:tc>
          <w:tcPr>
            <w:tcW w:w="1329" w:type="dxa"/>
            <w:vAlign w:val="center"/>
          </w:tcPr>
          <w:p w14:paraId="1DD66C33" w14:textId="77777777" w:rsidR="0057201B" w:rsidRPr="00AE3A84" w:rsidRDefault="0057201B">
            <w:pPr>
              <w:pStyle w:val="BodyText"/>
              <w:rPr>
                <w:lang w:val="es-ES"/>
              </w:rPr>
            </w:pPr>
            <w:r w:rsidRPr="00AE3A84">
              <w:rPr>
                <w:spacing w:val="-1"/>
              </w:rPr>
              <w:t>1009-13</w:t>
            </w:r>
          </w:p>
        </w:tc>
        <w:tc>
          <w:tcPr>
            <w:tcW w:w="1350" w:type="dxa"/>
            <w:vAlign w:val="center"/>
          </w:tcPr>
          <w:p w14:paraId="46019833" w14:textId="455185B8" w:rsidR="0057201B" w:rsidRPr="00AE3A84" w:rsidRDefault="0057201B">
            <w:pPr>
              <w:pStyle w:val="BodyText"/>
              <w:rPr>
                <w:lang w:val="es-ES"/>
              </w:rPr>
            </w:pPr>
            <w:r w:rsidRPr="00AE3A84">
              <w:rPr>
                <w:spacing w:val="-1"/>
              </w:rPr>
              <w:t>14.93</w:t>
            </w:r>
            <w:r w:rsidR="00676858">
              <w:rPr>
                <w:spacing w:val="-1"/>
              </w:rPr>
              <w:t>0</w:t>
            </w:r>
          </w:p>
        </w:tc>
      </w:tr>
      <w:tr w:rsidR="0057201B" w:rsidRPr="00AE3A84" w14:paraId="413C8C31" w14:textId="77777777">
        <w:tc>
          <w:tcPr>
            <w:tcW w:w="534" w:type="dxa"/>
            <w:vAlign w:val="center"/>
          </w:tcPr>
          <w:p w14:paraId="087CA88A" w14:textId="77777777" w:rsidR="0057201B" w:rsidRPr="00AE3A84" w:rsidRDefault="0057201B" w:rsidP="00933F91">
            <w:pPr>
              <w:pStyle w:val="BodyText"/>
              <w:widowControl/>
              <w:numPr>
                <w:ilvl w:val="0"/>
                <w:numId w:val="57"/>
              </w:numPr>
              <w:rPr>
                <w:lang w:val="es-ES"/>
              </w:rPr>
            </w:pPr>
          </w:p>
        </w:tc>
        <w:tc>
          <w:tcPr>
            <w:tcW w:w="2953" w:type="dxa"/>
            <w:vAlign w:val="center"/>
          </w:tcPr>
          <w:p w14:paraId="315A72FA" w14:textId="77777777" w:rsidR="0057201B" w:rsidRPr="00AE3A84" w:rsidRDefault="0057201B">
            <w:pPr>
              <w:pStyle w:val="BodyText"/>
              <w:rPr>
                <w:lang w:val="es-ES"/>
              </w:rPr>
            </w:pPr>
            <w:r w:rsidRPr="00AE3A84">
              <w:rPr>
                <w:spacing w:val="-1"/>
              </w:rPr>
              <w:t>George</w:t>
            </w:r>
            <w:r w:rsidRPr="00AE3A84">
              <w:rPr>
                <w:spacing w:val="-6"/>
              </w:rPr>
              <w:t xml:space="preserve"> </w:t>
            </w:r>
            <w:r w:rsidRPr="00AE3A84">
              <w:rPr>
                <w:spacing w:val="-1"/>
              </w:rPr>
              <w:t>Khoury</w:t>
            </w:r>
            <w:r w:rsidRPr="00AE3A84">
              <w:rPr>
                <w:spacing w:val="-6"/>
              </w:rPr>
              <w:t xml:space="preserve"> </w:t>
            </w:r>
            <w:r w:rsidRPr="00AE3A84">
              <w:rPr>
                <w:spacing w:val="-1"/>
              </w:rPr>
              <w:t>Layón</w:t>
            </w:r>
          </w:p>
        </w:tc>
        <w:tc>
          <w:tcPr>
            <w:tcW w:w="1119" w:type="dxa"/>
            <w:vAlign w:val="center"/>
          </w:tcPr>
          <w:p w14:paraId="75F9A72D"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058F58B2" w14:textId="77777777" w:rsidR="0057201B" w:rsidRPr="00AE3A84" w:rsidRDefault="0057201B">
            <w:pPr>
              <w:pStyle w:val="BodyText"/>
              <w:jc w:val="center"/>
              <w:rPr>
                <w:spacing w:val="-1"/>
              </w:rPr>
            </w:pPr>
            <w:r w:rsidRPr="001C38F2">
              <w:rPr>
                <w:spacing w:val="-1"/>
              </w:rPr>
              <w:t>47/22</w:t>
            </w:r>
          </w:p>
        </w:tc>
        <w:tc>
          <w:tcPr>
            <w:tcW w:w="1289" w:type="dxa"/>
            <w:vAlign w:val="center"/>
          </w:tcPr>
          <w:p w14:paraId="674A5524" w14:textId="77777777" w:rsidR="0057201B" w:rsidRPr="00AE3A84" w:rsidRDefault="0057201B">
            <w:pPr>
              <w:pStyle w:val="BodyText"/>
              <w:rPr>
                <w:lang w:val="es-ES"/>
              </w:rPr>
            </w:pPr>
            <w:r w:rsidRPr="00AE3A84">
              <w:rPr>
                <w:spacing w:val="-1"/>
              </w:rPr>
              <w:t>3/9/2022</w:t>
            </w:r>
          </w:p>
        </w:tc>
        <w:tc>
          <w:tcPr>
            <w:tcW w:w="1329" w:type="dxa"/>
            <w:vAlign w:val="center"/>
          </w:tcPr>
          <w:p w14:paraId="29B133ED" w14:textId="77777777" w:rsidR="0057201B" w:rsidRPr="00AE3A84" w:rsidRDefault="0057201B">
            <w:pPr>
              <w:pStyle w:val="BodyText"/>
              <w:rPr>
                <w:lang w:val="es-ES"/>
              </w:rPr>
            </w:pPr>
            <w:r w:rsidRPr="00AE3A84">
              <w:rPr>
                <w:spacing w:val="-1"/>
              </w:rPr>
              <w:t>69-13</w:t>
            </w:r>
          </w:p>
        </w:tc>
        <w:tc>
          <w:tcPr>
            <w:tcW w:w="1350" w:type="dxa"/>
            <w:vAlign w:val="center"/>
          </w:tcPr>
          <w:p w14:paraId="0E21C984" w14:textId="77777777" w:rsidR="0057201B" w:rsidRPr="00AE3A84" w:rsidRDefault="0057201B">
            <w:pPr>
              <w:pStyle w:val="BodyText"/>
              <w:rPr>
                <w:lang w:val="es-ES"/>
              </w:rPr>
            </w:pPr>
            <w:r w:rsidRPr="00AE3A84">
              <w:rPr>
                <w:spacing w:val="-1"/>
              </w:rPr>
              <w:t>14.935</w:t>
            </w:r>
          </w:p>
        </w:tc>
      </w:tr>
      <w:tr w:rsidR="0057201B" w:rsidRPr="00AE3A84" w14:paraId="6AAB47DC" w14:textId="77777777">
        <w:tc>
          <w:tcPr>
            <w:tcW w:w="534" w:type="dxa"/>
            <w:vAlign w:val="center"/>
          </w:tcPr>
          <w:p w14:paraId="4ADB1954" w14:textId="77777777" w:rsidR="0057201B" w:rsidRPr="00AE3A84" w:rsidRDefault="0057201B" w:rsidP="00933F91">
            <w:pPr>
              <w:pStyle w:val="BodyText"/>
              <w:widowControl/>
              <w:numPr>
                <w:ilvl w:val="0"/>
                <w:numId w:val="57"/>
              </w:numPr>
              <w:rPr>
                <w:lang w:val="es-ES"/>
              </w:rPr>
            </w:pPr>
          </w:p>
        </w:tc>
        <w:tc>
          <w:tcPr>
            <w:tcW w:w="2953" w:type="dxa"/>
            <w:vAlign w:val="center"/>
          </w:tcPr>
          <w:p w14:paraId="52678A13" w14:textId="77777777" w:rsidR="0057201B" w:rsidRPr="00AE3A84" w:rsidRDefault="0057201B">
            <w:pPr>
              <w:pStyle w:val="BodyText"/>
              <w:rPr>
                <w:lang w:val="es-ES"/>
              </w:rPr>
            </w:pPr>
            <w:r w:rsidRPr="00AE3A84">
              <w:rPr>
                <w:spacing w:val="-1"/>
                <w:lang w:val="es-AR"/>
              </w:rPr>
              <w:t>María</w:t>
            </w:r>
            <w:r w:rsidRPr="00AE3A84">
              <w:rPr>
                <w:spacing w:val="-7"/>
                <w:lang w:val="es-AR"/>
              </w:rPr>
              <w:t xml:space="preserve"> </w:t>
            </w:r>
            <w:r w:rsidRPr="00AE3A84">
              <w:rPr>
                <w:spacing w:val="-1"/>
                <w:lang w:val="es-AR"/>
              </w:rPr>
              <w:t>del</w:t>
            </w:r>
            <w:r w:rsidRPr="00AE3A84">
              <w:rPr>
                <w:spacing w:val="-4"/>
                <w:lang w:val="es-AR"/>
              </w:rPr>
              <w:t xml:space="preserve"> </w:t>
            </w:r>
            <w:r w:rsidRPr="00AE3A84">
              <w:rPr>
                <w:spacing w:val="-1"/>
                <w:lang w:val="es-AR"/>
              </w:rPr>
              <w:t>Carmen</w:t>
            </w:r>
            <w:r w:rsidRPr="00AE3A84">
              <w:rPr>
                <w:spacing w:val="-6"/>
                <w:lang w:val="es-AR"/>
              </w:rPr>
              <w:t xml:space="preserve"> </w:t>
            </w:r>
            <w:r w:rsidRPr="00AE3A84">
              <w:rPr>
                <w:spacing w:val="-1"/>
                <w:lang w:val="es-AR"/>
              </w:rPr>
              <w:t>Aristegui</w:t>
            </w:r>
            <w:r w:rsidRPr="00AE3A84">
              <w:rPr>
                <w:spacing w:val="-4"/>
                <w:lang w:val="es-AR"/>
              </w:rPr>
              <w:t xml:space="preserve"> </w:t>
            </w:r>
            <w:r w:rsidRPr="00AE3A84">
              <w:rPr>
                <w:spacing w:val="-1"/>
                <w:lang w:val="es-AR"/>
              </w:rPr>
              <w:t>Flores</w:t>
            </w:r>
          </w:p>
        </w:tc>
        <w:tc>
          <w:tcPr>
            <w:tcW w:w="1119" w:type="dxa"/>
            <w:vAlign w:val="center"/>
          </w:tcPr>
          <w:p w14:paraId="6928DD95"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5FC97F6F" w14:textId="77777777" w:rsidR="0057201B" w:rsidRPr="00AE3A84" w:rsidRDefault="0057201B">
            <w:pPr>
              <w:pStyle w:val="BodyText"/>
              <w:jc w:val="center"/>
              <w:rPr>
                <w:spacing w:val="-1"/>
              </w:rPr>
            </w:pPr>
            <w:r w:rsidRPr="001C38F2">
              <w:rPr>
                <w:spacing w:val="-1"/>
              </w:rPr>
              <w:t>48/22</w:t>
            </w:r>
          </w:p>
        </w:tc>
        <w:tc>
          <w:tcPr>
            <w:tcW w:w="1289" w:type="dxa"/>
            <w:vAlign w:val="center"/>
          </w:tcPr>
          <w:p w14:paraId="502AAB27" w14:textId="77777777" w:rsidR="0057201B" w:rsidRPr="00AE3A84" w:rsidRDefault="0057201B">
            <w:pPr>
              <w:pStyle w:val="BodyText"/>
              <w:rPr>
                <w:lang w:val="es-ES"/>
              </w:rPr>
            </w:pPr>
            <w:r w:rsidRPr="00AE3A84">
              <w:rPr>
                <w:spacing w:val="-1"/>
              </w:rPr>
              <w:t>7/11/2022</w:t>
            </w:r>
          </w:p>
        </w:tc>
        <w:tc>
          <w:tcPr>
            <w:tcW w:w="1329" w:type="dxa"/>
            <w:vAlign w:val="center"/>
          </w:tcPr>
          <w:p w14:paraId="0FF4CB3E" w14:textId="77777777" w:rsidR="0057201B" w:rsidRPr="00AE3A84" w:rsidRDefault="0057201B">
            <w:pPr>
              <w:pStyle w:val="BodyText"/>
              <w:rPr>
                <w:lang w:val="es-ES"/>
              </w:rPr>
            </w:pPr>
            <w:r w:rsidRPr="00AE3A84">
              <w:rPr>
                <w:spacing w:val="-1"/>
              </w:rPr>
              <w:t>2273-15</w:t>
            </w:r>
          </w:p>
        </w:tc>
        <w:tc>
          <w:tcPr>
            <w:tcW w:w="1350" w:type="dxa"/>
            <w:vAlign w:val="center"/>
          </w:tcPr>
          <w:p w14:paraId="3D25B55B" w14:textId="77777777" w:rsidR="0057201B" w:rsidRPr="00AE3A84" w:rsidRDefault="0057201B">
            <w:pPr>
              <w:pStyle w:val="BodyText"/>
              <w:rPr>
                <w:lang w:val="es-ES"/>
              </w:rPr>
            </w:pPr>
            <w:r w:rsidRPr="00AE3A84">
              <w:rPr>
                <w:spacing w:val="-1"/>
              </w:rPr>
              <w:t>14.934</w:t>
            </w:r>
          </w:p>
        </w:tc>
      </w:tr>
      <w:tr w:rsidR="0057201B" w:rsidRPr="00AE3A84" w14:paraId="0DD3DC6D" w14:textId="77777777">
        <w:tc>
          <w:tcPr>
            <w:tcW w:w="534" w:type="dxa"/>
            <w:vAlign w:val="center"/>
          </w:tcPr>
          <w:p w14:paraId="47F0C107" w14:textId="77777777" w:rsidR="0057201B" w:rsidRPr="00AE3A84" w:rsidRDefault="0057201B" w:rsidP="00933F91">
            <w:pPr>
              <w:pStyle w:val="BodyText"/>
              <w:widowControl/>
              <w:numPr>
                <w:ilvl w:val="0"/>
                <w:numId w:val="57"/>
              </w:numPr>
              <w:rPr>
                <w:lang w:val="es-ES"/>
              </w:rPr>
            </w:pPr>
          </w:p>
        </w:tc>
        <w:tc>
          <w:tcPr>
            <w:tcW w:w="2953" w:type="dxa"/>
            <w:vAlign w:val="center"/>
          </w:tcPr>
          <w:p w14:paraId="7A29F7EA" w14:textId="77777777" w:rsidR="0057201B" w:rsidRPr="00AE3A84" w:rsidRDefault="0057201B">
            <w:pPr>
              <w:pStyle w:val="BodyText"/>
              <w:rPr>
                <w:lang w:val="es-ES"/>
              </w:rPr>
            </w:pPr>
            <w:r w:rsidRPr="00AE3A84">
              <w:rPr>
                <w:spacing w:val="-1"/>
                <w:lang w:val="es-AR"/>
              </w:rPr>
              <w:t>Ángel</w:t>
            </w:r>
            <w:r w:rsidRPr="00AE3A84">
              <w:rPr>
                <w:spacing w:val="-3"/>
                <w:lang w:val="es-AR"/>
              </w:rPr>
              <w:t xml:space="preserve"> </w:t>
            </w:r>
            <w:r w:rsidRPr="00AE3A84">
              <w:rPr>
                <w:spacing w:val="-1"/>
                <w:lang w:val="es-AR"/>
              </w:rPr>
              <w:t>de</w:t>
            </w:r>
            <w:r w:rsidRPr="00AE3A84">
              <w:rPr>
                <w:spacing w:val="-3"/>
                <w:lang w:val="es-AR"/>
              </w:rPr>
              <w:t xml:space="preserve"> </w:t>
            </w:r>
            <w:r w:rsidRPr="00AE3A84">
              <w:rPr>
                <w:lang w:val="es-AR"/>
              </w:rPr>
              <w:t>la</w:t>
            </w:r>
            <w:r w:rsidRPr="00AE3A84">
              <w:rPr>
                <w:spacing w:val="-4"/>
                <w:lang w:val="es-AR"/>
              </w:rPr>
              <w:t xml:space="preserve"> </w:t>
            </w:r>
            <w:r w:rsidRPr="00AE3A84">
              <w:rPr>
                <w:spacing w:val="-1"/>
                <w:lang w:val="es-AR"/>
              </w:rPr>
              <w:t>Cruz</w:t>
            </w:r>
            <w:r w:rsidRPr="00AE3A84">
              <w:rPr>
                <w:spacing w:val="-4"/>
                <w:lang w:val="es-AR"/>
              </w:rPr>
              <w:t xml:space="preserve"> </w:t>
            </w:r>
            <w:r w:rsidRPr="00AE3A84">
              <w:rPr>
                <w:spacing w:val="-1"/>
                <w:lang w:val="es-AR"/>
              </w:rPr>
              <w:t>Soto</w:t>
            </w:r>
          </w:p>
        </w:tc>
        <w:tc>
          <w:tcPr>
            <w:tcW w:w="1119" w:type="dxa"/>
            <w:vAlign w:val="center"/>
          </w:tcPr>
          <w:p w14:paraId="3718CC10" w14:textId="77777777" w:rsidR="0057201B" w:rsidRPr="00AE3A84" w:rsidRDefault="0057201B">
            <w:pPr>
              <w:pStyle w:val="BodyText"/>
              <w:rPr>
                <w:lang w:val="es-ES"/>
              </w:rPr>
            </w:pPr>
            <w:r w:rsidRPr="00AE3A84">
              <w:rPr>
                <w:spacing w:val="-1"/>
              </w:rPr>
              <w:t>Panam</w:t>
            </w:r>
            <w:r>
              <w:rPr>
                <w:spacing w:val="-1"/>
              </w:rPr>
              <w:t>a</w:t>
            </w:r>
          </w:p>
        </w:tc>
        <w:tc>
          <w:tcPr>
            <w:tcW w:w="1141" w:type="dxa"/>
            <w:vAlign w:val="center"/>
          </w:tcPr>
          <w:p w14:paraId="4D59459F" w14:textId="77777777" w:rsidR="0057201B" w:rsidRPr="00AE3A84" w:rsidRDefault="0057201B">
            <w:pPr>
              <w:pStyle w:val="BodyText"/>
              <w:jc w:val="center"/>
              <w:rPr>
                <w:spacing w:val="-1"/>
              </w:rPr>
            </w:pPr>
            <w:r w:rsidRPr="001C38F2">
              <w:rPr>
                <w:spacing w:val="-1"/>
              </w:rPr>
              <w:t>50/22</w:t>
            </w:r>
          </w:p>
        </w:tc>
        <w:tc>
          <w:tcPr>
            <w:tcW w:w="1289" w:type="dxa"/>
            <w:vAlign w:val="center"/>
          </w:tcPr>
          <w:p w14:paraId="74D0CD5C" w14:textId="77777777" w:rsidR="0057201B" w:rsidRPr="00AE3A84" w:rsidRDefault="0057201B">
            <w:pPr>
              <w:pStyle w:val="BodyText"/>
              <w:rPr>
                <w:lang w:val="es-ES"/>
              </w:rPr>
            </w:pPr>
            <w:r w:rsidRPr="00AE3A84">
              <w:rPr>
                <w:spacing w:val="-1"/>
              </w:rPr>
              <w:t>3/1/2022</w:t>
            </w:r>
          </w:p>
        </w:tc>
        <w:tc>
          <w:tcPr>
            <w:tcW w:w="1329" w:type="dxa"/>
            <w:vAlign w:val="center"/>
          </w:tcPr>
          <w:p w14:paraId="09633225" w14:textId="77777777" w:rsidR="0057201B" w:rsidRPr="00AE3A84" w:rsidRDefault="0057201B">
            <w:pPr>
              <w:pStyle w:val="BodyText"/>
              <w:rPr>
                <w:lang w:val="es-ES"/>
              </w:rPr>
            </w:pPr>
            <w:r w:rsidRPr="00AE3A84">
              <w:rPr>
                <w:spacing w:val="-1"/>
              </w:rPr>
              <w:t>1144-10</w:t>
            </w:r>
          </w:p>
        </w:tc>
        <w:tc>
          <w:tcPr>
            <w:tcW w:w="1350" w:type="dxa"/>
            <w:vAlign w:val="center"/>
          </w:tcPr>
          <w:p w14:paraId="3D876253" w14:textId="77777777" w:rsidR="0057201B" w:rsidRPr="00AE3A84" w:rsidRDefault="0057201B">
            <w:pPr>
              <w:pStyle w:val="BodyText"/>
              <w:rPr>
                <w:lang w:val="es-ES"/>
              </w:rPr>
            </w:pPr>
            <w:r w:rsidRPr="00AE3A84">
              <w:rPr>
                <w:spacing w:val="-1"/>
              </w:rPr>
              <w:t>14.936</w:t>
            </w:r>
          </w:p>
        </w:tc>
      </w:tr>
      <w:tr w:rsidR="0057201B" w:rsidRPr="00AE3A84" w14:paraId="5152CDA9" w14:textId="77777777">
        <w:tc>
          <w:tcPr>
            <w:tcW w:w="534" w:type="dxa"/>
            <w:vAlign w:val="center"/>
          </w:tcPr>
          <w:p w14:paraId="13BC0603" w14:textId="77777777" w:rsidR="0057201B" w:rsidRPr="00AE3A84" w:rsidRDefault="0057201B" w:rsidP="00933F91">
            <w:pPr>
              <w:pStyle w:val="BodyText"/>
              <w:widowControl/>
              <w:numPr>
                <w:ilvl w:val="0"/>
                <w:numId w:val="57"/>
              </w:numPr>
              <w:rPr>
                <w:lang w:val="es-ES"/>
              </w:rPr>
            </w:pPr>
          </w:p>
        </w:tc>
        <w:tc>
          <w:tcPr>
            <w:tcW w:w="2953" w:type="dxa"/>
            <w:vAlign w:val="center"/>
          </w:tcPr>
          <w:p w14:paraId="2F3F4E59" w14:textId="77777777" w:rsidR="0057201B" w:rsidRPr="000F5F66" w:rsidRDefault="0057201B">
            <w:pPr>
              <w:pStyle w:val="BodyText"/>
            </w:pPr>
            <w:r w:rsidRPr="000F5F66">
              <w:rPr>
                <w:spacing w:val="-1"/>
              </w:rPr>
              <w:t>Mercedes</w:t>
            </w:r>
            <w:r w:rsidRPr="000F5F66">
              <w:rPr>
                <w:spacing w:val="-6"/>
              </w:rPr>
              <w:t xml:space="preserve"> </w:t>
            </w:r>
            <w:r w:rsidRPr="000F5F66">
              <w:rPr>
                <w:spacing w:val="-1"/>
              </w:rPr>
              <w:t>Aguilar</w:t>
            </w:r>
            <w:r w:rsidRPr="000F5F66">
              <w:rPr>
                <w:spacing w:val="-5"/>
              </w:rPr>
              <w:t xml:space="preserve"> </w:t>
            </w:r>
            <w:r w:rsidRPr="000F5F66">
              <w:rPr>
                <w:spacing w:val="-1"/>
              </w:rPr>
              <w:t>de</w:t>
            </w:r>
            <w:r w:rsidRPr="000F5F66">
              <w:rPr>
                <w:spacing w:val="-5"/>
              </w:rPr>
              <w:t xml:space="preserve"> </w:t>
            </w:r>
            <w:r w:rsidRPr="000F5F66">
              <w:rPr>
                <w:spacing w:val="-1"/>
              </w:rPr>
              <w:t>Calderón</w:t>
            </w:r>
            <w:r w:rsidRPr="000F5F66">
              <w:rPr>
                <w:spacing w:val="-5"/>
              </w:rPr>
              <w:t xml:space="preserve"> </w:t>
            </w:r>
            <w:r w:rsidRPr="000F5F66">
              <w:t xml:space="preserve">and </w:t>
            </w:r>
            <w:r>
              <w:t>Relatives</w:t>
            </w:r>
            <w:r w:rsidRPr="000F5F66">
              <w:t xml:space="preserve"> of former </w:t>
            </w:r>
            <w:r w:rsidRPr="000F5F66">
              <w:rPr>
                <w:spacing w:val="-1"/>
              </w:rPr>
              <w:t xml:space="preserve">IRHE </w:t>
            </w:r>
            <w:r>
              <w:rPr>
                <w:spacing w:val="-1"/>
              </w:rPr>
              <w:t>W</w:t>
            </w:r>
            <w:r w:rsidRPr="000F5F66">
              <w:rPr>
                <w:spacing w:val="-1"/>
              </w:rPr>
              <w:t>orkers</w:t>
            </w:r>
          </w:p>
        </w:tc>
        <w:tc>
          <w:tcPr>
            <w:tcW w:w="1119" w:type="dxa"/>
            <w:vAlign w:val="center"/>
          </w:tcPr>
          <w:p w14:paraId="2AAD7B15" w14:textId="77777777" w:rsidR="0057201B" w:rsidRPr="00AE3A84" w:rsidRDefault="0057201B">
            <w:pPr>
              <w:pStyle w:val="BodyText"/>
              <w:rPr>
                <w:lang w:val="es-ES"/>
              </w:rPr>
            </w:pPr>
            <w:r w:rsidRPr="00AE3A84">
              <w:rPr>
                <w:spacing w:val="-1"/>
              </w:rPr>
              <w:t>Panam</w:t>
            </w:r>
            <w:r>
              <w:rPr>
                <w:spacing w:val="-1"/>
              </w:rPr>
              <w:t>a</w:t>
            </w:r>
          </w:p>
        </w:tc>
        <w:tc>
          <w:tcPr>
            <w:tcW w:w="1141" w:type="dxa"/>
            <w:vAlign w:val="center"/>
          </w:tcPr>
          <w:p w14:paraId="5C57AACC" w14:textId="77777777" w:rsidR="0057201B" w:rsidRPr="00AE3A84" w:rsidRDefault="0057201B">
            <w:pPr>
              <w:pStyle w:val="BodyText"/>
              <w:jc w:val="center"/>
              <w:rPr>
                <w:spacing w:val="-1"/>
              </w:rPr>
            </w:pPr>
            <w:r w:rsidRPr="001C38F2">
              <w:rPr>
                <w:spacing w:val="-1"/>
              </w:rPr>
              <w:t>51/22</w:t>
            </w:r>
          </w:p>
        </w:tc>
        <w:tc>
          <w:tcPr>
            <w:tcW w:w="1289" w:type="dxa"/>
            <w:vAlign w:val="center"/>
          </w:tcPr>
          <w:p w14:paraId="2A40299B" w14:textId="77777777" w:rsidR="0057201B" w:rsidRPr="00AE3A84" w:rsidRDefault="0057201B">
            <w:pPr>
              <w:pStyle w:val="BodyText"/>
              <w:rPr>
                <w:lang w:val="es-ES"/>
              </w:rPr>
            </w:pPr>
            <w:r w:rsidRPr="00AE3A84">
              <w:rPr>
                <w:spacing w:val="-1"/>
              </w:rPr>
              <w:t>3/13/2022</w:t>
            </w:r>
          </w:p>
        </w:tc>
        <w:tc>
          <w:tcPr>
            <w:tcW w:w="1329" w:type="dxa"/>
            <w:vAlign w:val="center"/>
          </w:tcPr>
          <w:p w14:paraId="7A88DC72" w14:textId="77777777" w:rsidR="0057201B" w:rsidRPr="00AE3A84" w:rsidRDefault="0057201B">
            <w:pPr>
              <w:pStyle w:val="BodyText"/>
              <w:rPr>
                <w:lang w:val="es-ES"/>
              </w:rPr>
            </w:pPr>
            <w:r w:rsidRPr="00AE3A84">
              <w:rPr>
                <w:spacing w:val="-1"/>
              </w:rPr>
              <w:t>982-12</w:t>
            </w:r>
          </w:p>
        </w:tc>
        <w:tc>
          <w:tcPr>
            <w:tcW w:w="1350" w:type="dxa"/>
            <w:vAlign w:val="center"/>
          </w:tcPr>
          <w:p w14:paraId="6F7E0A01" w14:textId="77777777" w:rsidR="0057201B" w:rsidRPr="00AE3A84" w:rsidRDefault="0057201B">
            <w:pPr>
              <w:pStyle w:val="BodyText"/>
              <w:rPr>
                <w:lang w:val="es-ES"/>
              </w:rPr>
            </w:pPr>
            <w:r w:rsidRPr="00AE3A84">
              <w:rPr>
                <w:spacing w:val="-1"/>
              </w:rPr>
              <w:t>14.932</w:t>
            </w:r>
          </w:p>
        </w:tc>
      </w:tr>
      <w:tr w:rsidR="0057201B" w:rsidRPr="00AE3A84" w14:paraId="0A477C9C" w14:textId="77777777">
        <w:tc>
          <w:tcPr>
            <w:tcW w:w="534" w:type="dxa"/>
            <w:vAlign w:val="center"/>
          </w:tcPr>
          <w:p w14:paraId="70A8ABA0" w14:textId="77777777" w:rsidR="0057201B" w:rsidRPr="00AE3A84" w:rsidRDefault="0057201B" w:rsidP="00933F91">
            <w:pPr>
              <w:pStyle w:val="BodyText"/>
              <w:widowControl/>
              <w:numPr>
                <w:ilvl w:val="0"/>
                <w:numId w:val="57"/>
              </w:numPr>
              <w:rPr>
                <w:lang w:val="es-ES"/>
              </w:rPr>
            </w:pPr>
          </w:p>
        </w:tc>
        <w:tc>
          <w:tcPr>
            <w:tcW w:w="2953" w:type="dxa"/>
            <w:vAlign w:val="center"/>
          </w:tcPr>
          <w:p w14:paraId="11CD1429" w14:textId="77777777" w:rsidR="0057201B" w:rsidRPr="00AE3A84" w:rsidRDefault="0057201B">
            <w:pPr>
              <w:pStyle w:val="BodyText"/>
              <w:rPr>
                <w:lang w:val="es-ES"/>
              </w:rPr>
            </w:pPr>
            <w:r>
              <w:rPr>
                <w:spacing w:val="-1"/>
                <w:lang w:val="es-CO"/>
              </w:rPr>
              <w:t xml:space="preserve">Union of </w:t>
            </w:r>
            <w:r w:rsidRPr="000E5866">
              <w:rPr>
                <w:spacing w:val="-1"/>
                <w:lang w:val="es-CO"/>
              </w:rPr>
              <w:t>Acepar</w:t>
            </w:r>
            <w:r>
              <w:rPr>
                <w:spacing w:val="-1"/>
                <w:lang w:val="es-CO"/>
              </w:rPr>
              <w:t xml:space="preserve"> Workers</w:t>
            </w:r>
          </w:p>
        </w:tc>
        <w:tc>
          <w:tcPr>
            <w:tcW w:w="1119" w:type="dxa"/>
            <w:vAlign w:val="center"/>
          </w:tcPr>
          <w:p w14:paraId="038B2644" w14:textId="77777777" w:rsidR="0057201B" w:rsidRPr="00AE3A84" w:rsidRDefault="0057201B">
            <w:pPr>
              <w:pStyle w:val="BodyText"/>
              <w:rPr>
                <w:lang w:val="es-ES"/>
              </w:rPr>
            </w:pPr>
            <w:r w:rsidRPr="00AE3A84">
              <w:rPr>
                <w:spacing w:val="-1"/>
              </w:rPr>
              <w:t>Paraguay</w:t>
            </w:r>
          </w:p>
        </w:tc>
        <w:tc>
          <w:tcPr>
            <w:tcW w:w="1141" w:type="dxa"/>
            <w:vAlign w:val="center"/>
          </w:tcPr>
          <w:p w14:paraId="0C47A91E" w14:textId="77777777" w:rsidR="0057201B" w:rsidRPr="00AE3A84" w:rsidRDefault="0057201B">
            <w:pPr>
              <w:pStyle w:val="BodyText"/>
              <w:jc w:val="center"/>
              <w:rPr>
                <w:spacing w:val="-1"/>
              </w:rPr>
            </w:pPr>
            <w:r w:rsidRPr="001C38F2">
              <w:rPr>
                <w:spacing w:val="-1"/>
              </w:rPr>
              <w:t>52/22</w:t>
            </w:r>
          </w:p>
        </w:tc>
        <w:tc>
          <w:tcPr>
            <w:tcW w:w="1289" w:type="dxa"/>
            <w:vAlign w:val="center"/>
          </w:tcPr>
          <w:p w14:paraId="342F9008" w14:textId="77777777" w:rsidR="0057201B" w:rsidRPr="00AE3A84" w:rsidRDefault="0057201B">
            <w:pPr>
              <w:pStyle w:val="BodyText"/>
              <w:rPr>
                <w:lang w:val="es-ES"/>
              </w:rPr>
            </w:pPr>
            <w:r w:rsidRPr="00AE3A84">
              <w:rPr>
                <w:spacing w:val="-1"/>
              </w:rPr>
              <w:t>2/17/2022</w:t>
            </w:r>
          </w:p>
        </w:tc>
        <w:tc>
          <w:tcPr>
            <w:tcW w:w="1329" w:type="dxa"/>
            <w:vAlign w:val="center"/>
          </w:tcPr>
          <w:p w14:paraId="1FB55C39" w14:textId="77777777" w:rsidR="0057201B" w:rsidRPr="00AE3A84" w:rsidRDefault="0057201B">
            <w:pPr>
              <w:pStyle w:val="BodyText"/>
              <w:rPr>
                <w:lang w:val="es-ES"/>
              </w:rPr>
            </w:pPr>
            <w:r w:rsidRPr="00AE3A84">
              <w:rPr>
                <w:spacing w:val="-1"/>
              </w:rPr>
              <w:t>661-11</w:t>
            </w:r>
          </w:p>
        </w:tc>
        <w:tc>
          <w:tcPr>
            <w:tcW w:w="1350" w:type="dxa"/>
            <w:vAlign w:val="center"/>
          </w:tcPr>
          <w:p w14:paraId="0B9FBDF8" w14:textId="77777777" w:rsidR="0057201B" w:rsidRPr="00AE3A84" w:rsidRDefault="0057201B">
            <w:pPr>
              <w:pStyle w:val="BodyText"/>
              <w:rPr>
                <w:lang w:val="es-ES"/>
              </w:rPr>
            </w:pPr>
            <w:r w:rsidRPr="00AE3A84">
              <w:rPr>
                <w:spacing w:val="-1"/>
              </w:rPr>
              <w:t>14.938</w:t>
            </w:r>
          </w:p>
        </w:tc>
      </w:tr>
      <w:tr w:rsidR="0057201B" w:rsidRPr="00AE3A84" w14:paraId="13A8D38B" w14:textId="77777777">
        <w:tc>
          <w:tcPr>
            <w:tcW w:w="534" w:type="dxa"/>
            <w:vAlign w:val="center"/>
          </w:tcPr>
          <w:p w14:paraId="738411E9" w14:textId="77777777" w:rsidR="0057201B" w:rsidRPr="00AE3A84" w:rsidRDefault="0057201B" w:rsidP="00933F91">
            <w:pPr>
              <w:pStyle w:val="BodyText"/>
              <w:widowControl/>
              <w:numPr>
                <w:ilvl w:val="0"/>
                <w:numId w:val="57"/>
              </w:numPr>
              <w:rPr>
                <w:lang w:val="es-ES"/>
              </w:rPr>
            </w:pPr>
          </w:p>
        </w:tc>
        <w:tc>
          <w:tcPr>
            <w:tcW w:w="2953" w:type="dxa"/>
            <w:vAlign w:val="center"/>
          </w:tcPr>
          <w:p w14:paraId="2CAFFC0D" w14:textId="77777777" w:rsidR="0057201B" w:rsidRPr="00AE3A84" w:rsidRDefault="0057201B">
            <w:pPr>
              <w:pStyle w:val="BodyText"/>
              <w:rPr>
                <w:lang w:val="es-ES"/>
              </w:rPr>
            </w:pPr>
            <w:r w:rsidRPr="00AE3A84">
              <w:rPr>
                <w:spacing w:val="-1"/>
                <w:lang w:val="es-AR"/>
              </w:rPr>
              <w:t>Melitón</w:t>
            </w:r>
            <w:r w:rsidRPr="00AE3A84">
              <w:rPr>
                <w:spacing w:val="-6"/>
                <w:lang w:val="es-AR"/>
              </w:rPr>
              <w:t xml:space="preserve"> </w:t>
            </w:r>
            <w:r w:rsidRPr="00AE3A84">
              <w:rPr>
                <w:spacing w:val="-1"/>
                <w:lang w:val="es-AR"/>
              </w:rPr>
              <w:t>Maquera</w:t>
            </w:r>
            <w:r w:rsidRPr="00AE3A84">
              <w:rPr>
                <w:spacing w:val="-6"/>
                <w:lang w:val="es-AR"/>
              </w:rPr>
              <w:t xml:space="preserve"> </w:t>
            </w:r>
            <w:r w:rsidRPr="00AE3A84">
              <w:rPr>
                <w:spacing w:val="-1"/>
                <w:lang w:val="es-AR"/>
              </w:rPr>
              <w:t>Ramírez</w:t>
            </w:r>
            <w:r w:rsidRPr="00AE3A84">
              <w:rPr>
                <w:spacing w:val="-6"/>
                <w:lang w:val="es-AR"/>
              </w:rPr>
              <w:t xml:space="preserve"> </w:t>
            </w:r>
            <w:r>
              <w:rPr>
                <w:lang w:val="es-AR"/>
              </w:rPr>
              <w:t>et al.</w:t>
            </w:r>
          </w:p>
        </w:tc>
        <w:tc>
          <w:tcPr>
            <w:tcW w:w="1119" w:type="dxa"/>
            <w:vAlign w:val="center"/>
          </w:tcPr>
          <w:p w14:paraId="7665417B"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258E05D2" w14:textId="77777777" w:rsidR="0057201B" w:rsidRPr="00AE3A84" w:rsidRDefault="0057201B">
            <w:pPr>
              <w:pStyle w:val="BodyText"/>
              <w:jc w:val="center"/>
              <w:rPr>
                <w:spacing w:val="-1"/>
              </w:rPr>
            </w:pPr>
            <w:r w:rsidRPr="001C38F2">
              <w:rPr>
                <w:spacing w:val="-1"/>
              </w:rPr>
              <w:t>53/22</w:t>
            </w:r>
          </w:p>
        </w:tc>
        <w:tc>
          <w:tcPr>
            <w:tcW w:w="1289" w:type="dxa"/>
            <w:vAlign w:val="center"/>
          </w:tcPr>
          <w:p w14:paraId="5481FFC3" w14:textId="77777777" w:rsidR="0057201B" w:rsidRPr="00AE3A84" w:rsidRDefault="0057201B">
            <w:pPr>
              <w:pStyle w:val="BodyText"/>
              <w:rPr>
                <w:lang w:val="es-ES"/>
              </w:rPr>
            </w:pPr>
            <w:r w:rsidRPr="00AE3A84">
              <w:rPr>
                <w:spacing w:val="-1"/>
              </w:rPr>
              <w:t>3/7/2022</w:t>
            </w:r>
          </w:p>
        </w:tc>
        <w:tc>
          <w:tcPr>
            <w:tcW w:w="1329" w:type="dxa"/>
            <w:vAlign w:val="center"/>
          </w:tcPr>
          <w:p w14:paraId="1A3DB7B4" w14:textId="77777777" w:rsidR="0057201B" w:rsidRPr="00AE3A84" w:rsidRDefault="0057201B">
            <w:pPr>
              <w:pStyle w:val="BodyText"/>
              <w:rPr>
                <w:lang w:val="es-ES"/>
              </w:rPr>
            </w:pPr>
            <w:r w:rsidRPr="00AE3A84">
              <w:rPr>
                <w:spacing w:val="-1"/>
              </w:rPr>
              <w:t>846-10</w:t>
            </w:r>
          </w:p>
        </w:tc>
        <w:tc>
          <w:tcPr>
            <w:tcW w:w="1350" w:type="dxa"/>
            <w:vAlign w:val="center"/>
          </w:tcPr>
          <w:p w14:paraId="4CBD4264" w14:textId="77777777" w:rsidR="0057201B" w:rsidRPr="00AE3A84" w:rsidRDefault="0057201B">
            <w:pPr>
              <w:pStyle w:val="BodyText"/>
              <w:rPr>
                <w:lang w:val="es-ES"/>
              </w:rPr>
            </w:pPr>
            <w:r w:rsidRPr="00AE3A84">
              <w:rPr>
                <w:spacing w:val="-1"/>
              </w:rPr>
              <w:t>14.923</w:t>
            </w:r>
          </w:p>
        </w:tc>
      </w:tr>
      <w:tr w:rsidR="0057201B" w:rsidRPr="00AE3A84" w14:paraId="1DC233BE" w14:textId="77777777">
        <w:tc>
          <w:tcPr>
            <w:tcW w:w="534" w:type="dxa"/>
            <w:vAlign w:val="center"/>
          </w:tcPr>
          <w:p w14:paraId="4EC82D79" w14:textId="77777777" w:rsidR="0057201B" w:rsidRPr="00AE3A84" w:rsidRDefault="0057201B" w:rsidP="00933F91">
            <w:pPr>
              <w:pStyle w:val="BodyText"/>
              <w:widowControl/>
              <w:numPr>
                <w:ilvl w:val="0"/>
                <w:numId w:val="57"/>
              </w:numPr>
              <w:rPr>
                <w:lang w:val="es-ES"/>
              </w:rPr>
            </w:pPr>
          </w:p>
        </w:tc>
        <w:tc>
          <w:tcPr>
            <w:tcW w:w="2953" w:type="dxa"/>
            <w:vAlign w:val="center"/>
          </w:tcPr>
          <w:p w14:paraId="70855AB6" w14:textId="77777777" w:rsidR="0057201B" w:rsidRPr="00AE3A84" w:rsidRDefault="0057201B">
            <w:pPr>
              <w:pStyle w:val="BodyText"/>
              <w:rPr>
                <w:lang w:val="es-ES"/>
              </w:rPr>
            </w:pPr>
            <w:r w:rsidRPr="00AE3A84">
              <w:rPr>
                <w:spacing w:val="-1"/>
              </w:rPr>
              <w:t>David</w:t>
            </w:r>
            <w:r w:rsidRPr="00AE3A84">
              <w:rPr>
                <w:spacing w:val="-7"/>
              </w:rPr>
              <w:t xml:space="preserve"> </w:t>
            </w:r>
            <w:r w:rsidRPr="00AE3A84">
              <w:rPr>
                <w:spacing w:val="-1"/>
              </w:rPr>
              <w:t>Bernardino</w:t>
            </w:r>
            <w:r w:rsidRPr="00AE3A84">
              <w:rPr>
                <w:spacing w:val="-7"/>
              </w:rPr>
              <w:t xml:space="preserve"> </w:t>
            </w:r>
            <w:r w:rsidRPr="00AE3A84">
              <w:rPr>
                <w:spacing w:val="-1"/>
              </w:rPr>
              <w:t>Tuny</w:t>
            </w:r>
            <w:r w:rsidRPr="00AE3A84">
              <w:rPr>
                <w:spacing w:val="-6"/>
              </w:rPr>
              <w:t xml:space="preserve"> </w:t>
            </w:r>
            <w:r w:rsidRPr="00AE3A84">
              <w:rPr>
                <w:spacing w:val="-1"/>
              </w:rPr>
              <w:t>Dueñas</w:t>
            </w:r>
          </w:p>
        </w:tc>
        <w:tc>
          <w:tcPr>
            <w:tcW w:w="1119" w:type="dxa"/>
            <w:vAlign w:val="center"/>
          </w:tcPr>
          <w:p w14:paraId="46F5FD90"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660D6A7B" w14:textId="77777777" w:rsidR="0057201B" w:rsidRPr="00AE3A84" w:rsidRDefault="0057201B">
            <w:pPr>
              <w:pStyle w:val="BodyText"/>
              <w:jc w:val="center"/>
              <w:rPr>
                <w:spacing w:val="-1"/>
              </w:rPr>
            </w:pPr>
            <w:r w:rsidRPr="001C38F2">
              <w:rPr>
                <w:spacing w:val="-1"/>
              </w:rPr>
              <w:t>54/22</w:t>
            </w:r>
          </w:p>
        </w:tc>
        <w:tc>
          <w:tcPr>
            <w:tcW w:w="1289" w:type="dxa"/>
            <w:vAlign w:val="center"/>
          </w:tcPr>
          <w:p w14:paraId="2BBAE37A" w14:textId="77777777" w:rsidR="0057201B" w:rsidRPr="00AE3A84" w:rsidRDefault="0057201B">
            <w:pPr>
              <w:pStyle w:val="BodyText"/>
              <w:rPr>
                <w:lang w:val="es-ES"/>
              </w:rPr>
            </w:pPr>
            <w:r w:rsidRPr="00AE3A84">
              <w:rPr>
                <w:spacing w:val="-1"/>
              </w:rPr>
              <w:t>3/10/2022</w:t>
            </w:r>
          </w:p>
        </w:tc>
        <w:tc>
          <w:tcPr>
            <w:tcW w:w="1329" w:type="dxa"/>
            <w:vAlign w:val="center"/>
          </w:tcPr>
          <w:p w14:paraId="3BB57D49" w14:textId="77777777" w:rsidR="0057201B" w:rsidRPr="00AE3A84" w:rsidRDefault="0057201B">
            <w:pPr>
              <w:pStyle w:val="BodyText"/>
              <w:rPr>
                <w:lang w:val="es-ES"/>
              </w:rPr>
            </w:pPr>
            <w:r w:rsidRPr="00AE3A84">
              <w:rPr>
                <w:spacing w:val="-1"/>
              </w:rPr>
              <w:t>1430-12</w:t>
            </w:r>
          </w:p>
        </w:tc>
        <w:tc>
          <w:tcPr>
            <w:tcW w:w="1350" w:type="dxa"/>
            <w:vAlign w:val="center"/>
          </w:tcPr>
          <w:p w14:paraId="3C943BAD" w14:textId="77777777" w:rsidR="0057201B" w:rsidRPr="00AE3A84" w:rsidRDefault="0057201B">
            <w:pPr>
              <w:pStyle w:val="BodyText"/>
              <w:rPr>
                <w:lang w:val="es-ES"/>
              </w:rPr>
            </w:pPr>
            <w:r w:rsidRPr="00AE3A84">
              <w:rPr>
                <w:spacing w:val="-1"/>
              </w:rPr>
              <w:t>14.924</w:t>
            </w:r>
          </w:p>
        </w:tc>
      </w:tr>
      <w:tr w:rsidR="0057201B" w:rsidRPr="00AE3A84" w14:paraId="033BB15F" w14:textId="77777777">
        <w:tc>
          <w:tcPr>
            <w:tcW w:w="534" w:type="dxa"/>
            <w:vAlign w:val="center"/>
          </w:tcPr>
          <w:p w14:paraId="3E47B5F9" w14:textId="77777777" w:rsidR="0057201B" w:rsidRPr="00AE3A84" w:rsidRDefault="0057201B" w:rsidP="00933F91">
            <w:pPr>
              <w:pStyle w:val="BodyText"/>
              <w:widowControl/>
              <w:numPr>
                <w:ilvl w:val="0"/>
                <w:numId w:val="57"/>
              </w:numPr>
              <w:rPr>
                <w:lang w:val="es-ES"/>
              </w:rPr>
            </w:pPr>
          </w:p>
        </w:tc>
        <w:tc>
          <w:tcPr>
            <w:tcW w:w="2953" w:type="dxa"/>
            <w:vAlign w:val="center"/>
          </w:tcPr>
          <w:p w14:paraId="601CE2E7" w14:textId="77777777" w:rsidR="0057201B" w:rsidRPr="00AE3A84" w:rsidRDefault="0057201B">
            <w:pPr>
              <w:pStyle w:val="BodyText"/>
              <w:rPr>
                <w:lang w:val="es-ES"/>
              </w:rPr>
            </w:pPr>
            <w:r w:rsidRPr="00AE3A84">
              <w:rPr>
                <w:spacing w:val="-1"/>
              </w:rPr>
              <w:t>Nestor</w:t>
            </w:r>
            <w:r w:rsidRPr="00AE3A84">
              <w:rPr>
                <w:spacing w:val="-7"/>
              </w:rPr>
              <w:t xml:space="preserve"> </w:t>
            </w:r>
            <w:r w:rsidRPr="00AE3A84">
              <w:rPr>
                <w:spacing w:val="-1"/>
              </w:rPr>
              <w:t>Alberto</w:t>
            </w:r>
            <w:r w:rsidRPr="00AE3A84">
              <w:rPr>
                <w:spacing w:val="-7"/>
              </w:rPr>
              <w:t xml:space="preserve"> </w:t>
            </w:r>
            <w:r w:rsidRPr="00AE3A84">
              <w:t>Ovalle</w:t>
            </w:r>
            <w:r w:rsidRPr="00AE3A84">
              <w:rPr>
                <w:spacing w:val="-5"/>
              </w:rPr>
              <w:t xml:space="preserve"> </w:t>
            </w:r>
            <w:r w:rsidRPr="00AE3A84">
              <w:rPr>
                <w:spacing w:val="-1"/>
              </w:rPr>
              <w:t>Angulo</w:t>
            </w:r>
          </w:p>
        </w:tc>
        <w:tc>
          <w:tcPr>
            <w:tcW w:w="1119" w:type="dxa"/>
            <w:vAlign w:val="center"/>
          </w:tcPr>
          <w:p w14:paraId="4F39A2C4"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712613CA" w14:textId="77777777" w:rsidR="0057201B" w:rsidRPr="00AE3A84" w:rsidRDefault="0057201B">
            <w:pPr>
              <w:pStyle w:val="BodyText"/>
              <w:jc w:val="center"/>
              <w:rPr>
                <w:spacing w:val="-1"/>
              </w:rPr>
            </w:pPr>
            <w:r w:rsidRPr="001C38F2">
              <w:rPr>
                <w:spacing w:val="-1"/>
              </w:rPr>
              <w:t>55/22</w:t>
            </w:r>
          </w:p>
        </w:tc>
        <w:tc>
          <w:tcPr>
            <w:tcW w:w="1289" w:type="dxa"/>
            <w:vAlign w:val="center"/>
          </w:tcPr>
          <w:p w14:paraId="5CD21D60" w14:textId="77777777" w:rsidR="0057201B" w:rsidRPr="00AE3A84" w:rsidRDefault="0057201B">
            <w:pPr>
              <w:pStyle w:val="BodyText"/>
              <w:rPr>
                <w:lang w:val="es-ES"/>
              </w:rPr>
            </w:pPr>
            <w:r w:rsidRPr="00AE3A84">
              <w:rPr>
                <w:spacing w:val="-1"/>
              </w:rPr>
              <w:t>3/20/2022</w:t>
            </w:r>
          </w:p>
        </w:tc>
        <w:tc>
          <w:tcPr>
            <w:tcW w:w="1329" w:type="dxa"/>
            <w:vAlign w:val="center"/>
          </w:tcPr>
          <w:p w14:paraId="03BDC26C" w14:textId="77777777" w:rsidR="0057201B" w:rsidRPr="00AE3A84" w:rsidRDefault="0057201B">
            <w:pPr>
              <w:pStyle w:val="BodyText"/>
              <w:rPr>
                <w:lang w:val="es-ES"/>
              </w:rPr>
            </w:pPr>
            <w:r w:rsidRPr="00AE3A84">
              <w:rPr>
                <w:spacing w:val="-1"/>
              </w:rPr>
              <w:t>13-13</w:t>
            </w:r>
          </w:p>
        </w:tc>
        <w:tc>
          <w:tcPr>
            <w:tcW w:w="1350" w:type="dxa"/>
            <w:vAlign w:val="center"/>
          </w:tcPr>
          <w:p w14:paraId="21D854D8" w14:textId="77777777" w:rsidR="0057201B" w:rsidRPr="00AE3A84" w:rsidRDefault="0057201B">
            <w:pPr>
              <w:pStyle w:val="BodyText"/>
              <w:rPr>
                <w:lang w:val="es-ES"/>
              </w:rPr>
            </w:pPr>
            <w:r w:rsidRPr="00AE3A84">
              <w:rPr>
                <w:spacing w:val="-1"/>
              </w:rPr>
              <w:t>14.925</w:t>
            </w:r>
          </w:p>
        </w:tc>
      </w:tr>
      <w:tr w:rsidR="0057201B" w:rsidRPr="00AE3A84" w14:paraId="539D07E7" w14:textId="77777777">
        <w:tc>
          <w:tcPr>
            <w:tcW w:w="534" w:type="dxa"/>
            <w:vAlign w:val="center"/>
          </w:tcPr>
          <w:p w14:paraId="24104741" w14:textId="77777777" w:rsidR="0057201B" w:rsidRPr="00AE3A84" w:rsidRDefault="0057201B" w:rsidP="00933F91">
            <w:pPr>
              <w:pStyle w:val="BodyText"/>
              <w:widowControl/>
              <w:numPr>
                <w:ilvl w:val="0"/>
                <w:numId w:val="57"/>
              </w:numPr>
              <w:rPr>
                <w:lang w:val="es-ES"/>
              </w:rPr>
            </w:pPr>
          </w:p>
        </w:tc>
        <w:tc>
          <w:tcPr>
            <w:tcW w:w="2953" w:type="dxa"/>
            <w:vAlign w:val="center"/>
          </w:tcPr>
          <w:p w14:paraId="1F8A55DE" w14:textId="77777777" w:rsidR="0057201B" w:rsidRPr="00AE3A84" w:rsidRDefault="0057201B">
            <w:pPr>
              <w:pStyle w:val="BodyText"/>
              <w:rPr>
                <w:lang w:val="es-ES"/>
              </w:rPr>
            </w:pPr>
            <w:r w:rsidRPr="00AE3A84">
              <w:rPr>
                <w:spacing w:val="-1"/>
              </w:rPr>
              <w:t>Víctor</w:t>
            </w:r>
            <w:r w:rsidRPr="00AE3A84">
              <w:rPr>
                <w:spacing w:val="-6"/>
              </w:rPr>
              <w:t xml:space="preserve"> </w:t>
            </w:r>
            <w:r w:rsidRPr="00AE3A84">
              <w:rPr>
                <w:spacing w:val="-1"/>
              </w:rPr>
              <w:t>Alfredo</w:t>
            </w:r>
            <w:r w:rsidRPr="00AE3A84">
              <w:rPr>
                <w:spacing w:val="-7"/>
              </w:rPr>
              <w:t xml:space="preserve"> </w:t>
            </w:r>
            <w:r w:rsidRPr="00AE3A84">
              <w:rPr>
                <w:spacing w:val="-1"/>
              </w:rPr>
              <w:t>Polay</w:t>
            </w:r>
            <w:r w:rsidRPr="00AE3A84">
              <w:rPr>
                <w:spacing w:val="-6"/>
              </w:rPr>
              <w:t xml:space="preserve"> </w:t>
            </w:r>
            <w:r w:rsidRPr="00AE3A84">
              <w:rPr>
                <w:spacing w:val="-1"/>
              </w:rPr>
              <w:t>Campos</w:t>
            </w:r>
          </w:p>
        </w:tc>
        <w:tc>
          <w:tcPr>
            <w:tcW w:w="1119" w:type="dxa"/>
            <w:vAlign w:val="center"/>
          </w:tcPr>
          <w:p w14:paraId="190CFA8B"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21F4789F" w14:textId="77777777" w:rsidR="0057201B" w:rsidRPr="00AE3A84" w:rsidRDefault="0057201B">
            <w:pPr>
              <w:pStyle w:val="BodyText"/>
              <w:jc w:val="center"/>
              <w:rPr>
                <w:spacing w:val="-1"/>
              </w:rPr>
            </w:pPr>
            <w:r w:rsidRPr="001C38F2">
              <w:rPr>
                <w:spacing w:val="-1"/>
              </w:rPr>
              <w:t>56/22</w:t>
            </w:r>
          </w:p>
        </w:tc>
        <w:tc>
          <w:tcPr>
            <w:tcW w:w="1289" w:type="dxa"/>
            <w:vAlign w:val="center"/>
          </w:tcPr>
          <w:p w14:paraId="3AC4223C" w14:textId="77777777" w:rsidR="0057201B" w:rsidRPr="00AE3A84" w:rsidRDefault="0057201B">
            <w:pPr>
              <w:pStyle w:val="BodyText"/>
              <w:rPr>
                <w:lang w:val="es-ES"/>
              </w:rPr>
            </w:pPr>
            <w:r w:rsidRPr="00AE3A84">
              <w:rPr>
                <w:spacing w:val="-1"/>
              </w:rPr>
              <w:t>3/20/2022</w:t>
            </w:r>
          </w:p>
        </w:tc>
        <w:tc>
          <w:tcPr>
            <w:tcW w:w="1329" w:type="dxa"/>
            <w:vAlign w:val="center"/>
          </w:tcPr>
          <w:p w14:paraId="116233AA" w14:textId="77777777" w:rsidR="0057201B" w:rsidRPr="00AE3A84" w:rsidRDefault="0057201B">
            <w:pPr>
              <w:pStyle w:val="BodyText"/>
              <w:rPr>
                <w:lang w:val="es-ES"/>
              </w:rPr>
            </w:pPr>
            <w:r w:rsidRPr="00AE3A84">
              <w:rPr>
                <w:spacing w:val="-1"/>
              </w:rPr>
              <w:t>1548-07</w:t>
            </w:r>
          </w:p>
        </w:tc>
        <w:tc>
          <w:tcPr>
            <w:tcW w:w="1350" w:type="dxa"/>
            <w:vAlign w:val="center"/>
          </w:tcPr>
          <w:p w14:paraId="7F64A864" w14:textId="77777777" w:rsidR="0057201B" w:rsidRPr="00AE3A84" w:rsidRDefault="0057201B">
            <w:pPr>
              <w:pStyle w:val="BodyText"/>
              <w:rPr>
                <w:lang w:val="es-ES"/>
              </w:rPr>
            </w:pPr>
            <w:r w:rsidRPr="00AE3A84">
              <w:rPr>
                <w:spacing w:val="-1"/>
              </w:rPr>
              <w:t>14.926</w:t>
            </w:r>
          </w:p>
        </w:tc>
      </w:tr>
      <w:tr w:rsidR="0057201B" w:rsidRPr="00AE3A84" w14:paraId="533F8299" w14:textId="77777777">
        <w:tc>
          <w:tcPr>
            <w:tcW w:w="534" w:type="dxa"/>
            <w:vAlign w:val="center"/>
          </w:tcPr>
          <w:p w14:paraId="4A450142" w14:textId="77777777" w:rsidR="0057201B" w:rsidRPr="00AE3A84" w:rsidRDefault="0057201B" w:rsidP="00933F91">
            <w:pPr>
              <w:pStyle w:val="BodyText"/>
              <w:widowControl/>
              <w:numPr>
                <w:ilvl w:val="0"/>
                <w:numId w:val="57"/>
              </w:numPr>
              <w:rPr>
                <w:lang w:val="es-ES"/>
              </w:rPr>
            </w:pPr>
          </w:p>
        </w:tc>
        <w:tc>
          <w:tcPr>
            <w:tcW w:w="2953" w:type="dxa"/>
            <w:vAlign w:val="center"/>
          </w:tcPr>
          <w:p w14:paraId="544E20BC" w14:textId="77777777" w:rsidR="0057201B" w:rsidRPr="00137ACB" w:rsidRDefault="0057201B">
            <w:pPr>
              <w:pStyle w:val="BodyText"/>
              <w:rPr>
                <w:lang w:val="fr-CA"/>
              </w:rPr>
            </w:pPr>
            <w:r w:rsidRPr="00137ACB">
              <w:rPr>
                <w:spacing w:val="-1"/>
                <w:lang w:val="fr-CA"/>
              </w:rPr>
              <w:t>Jacqueline</w:t>
            </w:r>
            <w:r w:rsidRPr="00137ACB">
              <w:rPr>
                <w:spacing w:val="-5"/>
                <w:lang w:val="fr-CA"/>
              </w:rPr>
              <w:t xml:space="preserve"> </w:t>
            </w:r>
            <w:r w:rsidRPr="00137ACB">
              <w:rPr>
                <w:spacing w:val="-1"/>
                <w:lang w:val="fr-CA"/>
              </w:rPr>
              <w:t>Edith</w:t>
            </w:r>
            <w:r w:rsidRPr="00137ACB">
              <w:rPr>
                <w:spacing w:val="-5"/>
                <w:lang w:val="fr-CA"/>
              </w:rPr>
              <w:t xml:space="preserve"> </w:t>
            </w:r>
            <w:r w:rsidRPr="00137ACB">
              <w:rPr>
                <w:spacing w:val="-1"/>
                <w:lang w:val="fr-CA"/>
              </w:rPr>
              <w:t>Grosso</w:t>
            </w:r>
            <w:r w:rsidRPr="00137ACB">
              <w:rPr>
                <w:spacing w:val="-5"/>
                <w:lang w:val="fr-CA"/>
              </w:rPr>
              <w:t xml:space="preserve"> </w:t>
            </w:r>
            <w:r w:rsidRPr="00137ACB">
              <w:rPr>
                <w:spacing w:val="-1"/>
                <w:lang w:val="fr-CA"/>
              </w:rPr>
              <w:t>Nuñes</w:t>
            </w:r>
            <w:r w:rsidRPr="00137ACB">
              <w:rPr>
                <w:spacing w:val="-6"/>
                <w:lang w:val="fr-CA"/>
              </w:rPr>
              <w:t xml:space="preserve"> </w:t>
            </w:r>
            <w:r w:rsidRPr="00137ACB">
              <w:rPr>
                <w:lang w:val="fr-CA"/>
              </w:rPr>
              <w:t>et al.</w:t>
            </w:r>
          </w:p>
        </w:tc>
        <w:tc>
          <w:tcPr>
            <w:tcW w:w="1119" w:type="dxa"/>
            <w:vAlign w:val="center"/>
          </w:tcPr>
          <w:p w14:paraId="544AAB61" w14:textId="77777777" w:rsidR="0057201B" w:rsidRPr="00AE3A84" w:rsidRDefault="0057201B">
            <w:pPr>
              <w:pStyle w:val="BodyText"/>
              <w:rPr>
                <w:lang w:val="es-ES"/>
              </w:rPr>
            </w:pPr>
            <w:r w:rsidRPr="00AE3A84">
              <w:rPr>
                <w:spacing w:val="-1"/>
              </w:rPr>
              <w:t>Uruguay</w:t>
            </w:r>
          </w:p>
        </w:tc>
        <w:tc>
          <w:tcPr>
            <w:tcW w:w="1141" w:type="dxa"/>
            <w:vAlign w:val="center"/>
          </w:tcPr>
          <w:p w14:paraId="4F9D9555" w14:textId="77777777" w:rsidR="0057201B" w:rsidRPr="00AE3A84" w:rsidRDefault="0057201B">
            <w:pPr>
              <w:pStyle w:val="BodyText"/>
              <w:jc w:val="center"/>
              <w:rPr>
                <w:spacing w:val="-1"/>
              </w:rPr>
            </w:pPr>
            <w:r w:rsidRPr="001C38F2">
              <w:rPr>
                <w:spacing w:val="-1"/>
              </w:rPr>
              <w:t>57/22</w:t>
            </w:r>
          </w:p>
        </w:tc>
        <w:tc>
          <w:tcPr>
            <w:tcW w:w="1289" w:type="dxa"/>
            <w:vAlign w:val="center"/>
          </w:tcPr>
          <w:p w14:paraId="6B76C9B3" w14:textId="77777777" w:rsidR="0057201B" w:rsidRPr="00AE3A84" w:rsidRDefault="0057201B">
            <w:pPr>
              <w:pStyle w:val="BodyText"/>
              <w:rPr>
                <w:lang w:val="es-ES"/>
              </w:rPr>
            </w:pPr>
            <w:r w:rsidRPr="00AE3A84">
              <w:rPr>
                <w:spacing w:val="-1"/>
              </w:rPr>
              <w:t>3/20/2022</w:t>
            </w:r>
          </w:p>
        </w:tc>
        <w:tc>
          <w:tcPr>
            <w:tcW w:w="1329" w:type="dxa"/>
            <w:vAlign w:val="center"/>
          </w:tcPr>
          <w:p w14:paraId="4724C07A" w14:textId="77777777" w:rsidR="0057201B" w:rsidRPr="00AE3A84" w:rsidRDefault="0057201B">
            <w:pPr>
              <w:pStyle w:val="BodyText"/>
              <w:rPr>
                <w:lang w:val="es-ES"/>
              </w:rPr>
            </w:pPr>
            <w:r w:rsidRPr="00AE3A84">
              <w:rPr>
                <w:spacing w:val="-1"/>
              </w:rPr>
              <w:t>85-16</w:t>
            </w:r>
          </w:p>
        </w:tc>
        <w:tc>
          <w:tcPr>
            <w:tcW w:w="1350" w:type="dxa"/>
            <w:vAlign w:val="center"/>
          </w:tcPr>
          <w:p w14:paraId="67F8EA40" w14:textId="77777777" w:rsidR="0057201B" w:rsidRPr="00AE3A84" w:rsidRDefault="0057201B">
            <w:pPr>
              <w:pStyle w:val="BodyText"/>
              <w:rPr>
                <w:lang w:val="es-ES"/>
              </w:rPr>
            </w:pPr>
            <w:r w:rsidRPr="00AE3A84">
              <w:rPr>
                <w:spacing w:val="-1"/>
              </w:rPr>
              <w:t>14.927</w:t>
            </w:r>
          </w:p>
        </w:tc>
      </w:tr>
      <w:tr w:rsidR="0057201B" w:rsidRPr="00AE3A84" w14:paraId="512A5E1D" w14:textId="77777777">
        <w:tc>
          <w:tcPr>
            <w:tcW w:w="534" w:type="dxa"/>
            <w:vAlign w:val="center"/>
          </w:tcPr>
          <w:p w14:paraId="46821042" w14:textId="77777777" w:rsidR="0057201B" w:rsidRPr="00AE3A84" w:rsidRDefault="0057201B" w:rsidP="00933F91">
            <w:pPr>
              <w:pStyle w:val="BodyText"/>
              <w:widowControl/>
              <w:numPr>
                <w:ilvl w:val="0"/>
                <w:numId w:val="57"/>
              </w:numPr>
              <w:rPr>
                <w:lang w:val="es-ES"/>
              </w:rPr>
            </w:pPr>
          </w:p>
        </w:tc>
        <w:tc>
          <w:tcPr>
            <w:tcW w:w="2953" w:type="dxa"/>
            <w:vAlign w:val="center"/>
          </w:tcPr>
          <w:p w14:paraId="06B6844E" w14:textId="77777777" w:rsidR="0057201B" w:rsidRPr="00AE3A84" w:rsidRDefault="0057201B">
            <w:pPr>
              <w:pStyle w:val="BodyText"/>
              <w:rPr>
                <w:lang w:val="es-ES"/>
              </w:rPr>
            </w:pPr>
            <w:r w:rsidRPr="00AE3A84">
              <w:rPr>
                <w:spacing w:val="-1"/>
              </w:rPr>
              <w:t>Ignacio</w:t>
            </w:r>
            <w:r w:rsidRPr="00AE3A84">
              <w:rPr>
                <w:spacing w:val="-9"/>
              </w:rPr>
              <w:t xml:space="preserve"> </w:t>
            </w:r>
            <w:r w:rsidRPr="00AE3A84">
              <w:rPr>
                <w:spacing w:val="-1"/>
              </w:rPr>
              <w:t>Rodríguez</w:t>
            </w:r>
            <w:r w:rsidRPr="00AE3A84">
              <w:rPr>
                <w:spacing w:val="-8"/>
              </w:rPr>
              <w:t xml:space="preserve"> </w:t>
            </w:r>
            <w:r w:rsidRPr="00AE3A84">
              <w:rPr>
                <w:spacing w:val="-1"/>
              </w:rPr>
              <w:t>Varela</w:t>
            </w:r>
          </w:p>
        </w:tc>
        <w:tc>
          <w:tcPr>
            <w:tcW w:w="1119" w:type="dxa"/>
            <w:vAlign w:val="center"/>
          </w:tcPr>
          <w:p w14:paraId="22FE4D06" w14:textId="77777777" w:rsidR="0057201B" w:rsidRPr="00AE3A84" w:rsidRDefault="0057201B">
            <w:pPr>
              <w:pStyle w:val="BodyText"/>
              <w:rPr>
                <w:lang w:val="es-ES"/>
              </w:rPr>
            </w:pPr>
            <w:r w:rsidRPr="00AE3A84">
              <w:rPr>
                <w:spacing w:val="-1"/>
              </w:rPr>
              <w:t>Argentina</w:t>
            </w:r>
          </w:p>
        </w:tc>
        <w:tc>
          <w:tcPr>
            <w:tcW w:w="1141" w:type="dxa"/>
            <w:vAlign w:val="center"/>
          </w:tcPr>
          <w:p w14:paraId="10DDAADC" w14:textId="77777777" w:rsidR="0057201B" w:rsidRPr="00AE3A84" w:rsidRDefault="0057201B">
            <w:pPr>
              <w:pStyle w:val="BodyText"/>
              <w:jc w:val="center"/>
              <w:rPr>
                <w:spacing w:val="-1"/>
              </w:rPr>
            </w:pPr>
            <w:r w:rsidRPr="001C38F2">
              <w:rPr>
                <w:spacing w:val="-1"/>
              </w:rPr>
              <w:t>69/22</w:t>
            </w:r>
          </w:p>
        </w:tc>
        <w:tc>
          <w:tcPr>
            <w:tcW w:w="1289" w:type="dxa"/>
            <w:vAlign w:val="center"/>
          </w:tcPr>
          <w:p w14:paraId="22F07EEF" w14:textId="77777777" w:rsidR="0057201B" w:rsidRPr="00AE3A84" w:rsidRDefault="0057201B">
            <w:pPr>
              <w:pStyle w:val="BodyText"/>
              <w:rPr>
                <w:lang w:val="es-ES"/>
              </w:rPr>
            </w:pPr>
            <w:r w:rsidRPr="00AE3A84">
              <w:rPr>
                <w:spacing w:val="-1"/>
              </w:rPr>
              <w:t>5/2/2022</w:t>
            </w:r>
          </w:p>
        </w:tc>
        <w:tc>
          <w:tcPr>
            <w:tcW w:w="1329" w:type="dxa"/>
            <w:vAlign w:val="center"/>
          </w:tcPr>
          <w:p w14:paraId="7F425576" w14:textId="77777777" w:rsidR="0057201B" w:rsidRPr="00AE3A84" w:rsidRDefault="0057201B">
            <w:pPr>
              <w:pStyle w:val="BodyText"/>
              <w:rPr>
                <w:lang w:val="es-ES"/>
              </w:rPr>
            </w:pPr>
            <w:r w:rsidRPr="00AE3A84">
              <w:rPr>
                <w:spacing w:val="-1"/>
              </w:rPr>
              <w:t>168-13</w:t>
            </w:r>
          </w:p>
        </w:tc>
        <w:tc>
          <w:tcPr>
            <w:tcW w:w="1350" w:type="dxa"/>
            <w:vAlign w:val="center"/>
          </w:tcPr>
          <w:p w14:paraId="2ED58A60" w14:textId="77777777" w:rsidR="0057201B" w:rsidRPr="00AE3A84" w:rsidRDefault="0057201B">
            <w:pPr>
              <w:pStyle w:val="BodyText"/>
              <w:rPr>
                <w:lang w:val="es-ES"/>
              </w:rPr>
            </w:pPr>
            <w:r w:rsidRPr="00AE3A84">
              <w:rPr>
                <w:spacing w:val="-1"/>
              </w:rPr>
              <w:t>14.968</w:t>
            </w:r>
          </w:p>
        </w:tc>
      </w:tr>
      <w:tr w:rsidR="0057201B" w:rsidRPr="00AE3A84" w14:paraId="0D528F23" w14:textId="77777777">
        <w:tc>
          <w:tcPr>
            <w:tcW w:w="534" w:type="dxa"/>
            <w:vAlign w:val="center"/>
          </w:tcPr>
          <w:p w14:paraId="6169652F" w14:textId="77777777" w:rsidR="0057201B" w:rsidRPr="00AE3A84" w:rsidRDefault="0057201B" w:rsidP="00933F91">
            <w:pPr>
              <w:pStyle w:val="BodyText"/>
              <w:widowControl/>
              <w:numPr>
                <w:ilvl w:val="0"/>
                <w:numId w:val="57"/>
              </w:numPr>
              <w:rPr>
                <w:lang w:val="es-ES"/>
              </w:rPr>
            </w:pPr>
          </w:p>
        </w:tc>
        <w:tc>
          <w:tcPr>
            <w:tcW w:w="2953" w:type="dxa"/>
            <w:vAlign w:val="center"/>
          </w:tcPr>
          <w:p w14:paraId="235BB66F" w14:textId="77777777" w:rsidR="0057201B" w:rsidRPr="00AE3A84" w:rsidRDefault="0057201B">
            <w:pPr>
              <w:pStyle w:val="BodyText"/>
              <w:rPr>
                <w:lang w:val="es-ES"/>
              </w:rPr>
            </w:pPr>
            <w:r w:rsidRPr="00AE3A84">
              <w:rPr>
                <w:spacing w:val="-1"/>
              </w:rPr>
              <w:t>Carlos</w:t>
            </w:r>
            <w:r w:rsidRPr="00AE3A84">
              <w:rPr>
                <w:spacing w:val="-9"/>
              </w:rPr>
              <w:t xml:space="preserve"> </w:t>
            </w:r>
            <w:r w:rsidRPr="00AE3A84">
              <w:rPr>
                <w:spacing w:val="-1"/>
              </w:rPr>
              <w:t>Martín</w:t>
            </w:r>
            <w:r w:rsidRPr="00AE3A84">
              <w:rPr>
                <w:spacing w:val="-8"/>
              </w:rPr>
              <w:t xml:space="preserve"> </w:t>
            </w:r>
            <w:r w:rsidRPr="00AE3A84">
              <w:rPr>
                <w:spacing w:val="-1"/>
              </w:rPr>
              <w:t>Saayavedra</w:t>
            </w:r>
          </w:p>
        </w:tc>
        <w:tc>
          <w:tcPr>
            <w:tcW w:w="1119" w:type="dxa"/>
            <w:vAlign w:val="center"/>
          </w:tcPr>
          <w:p w14:paraId="10728B8E" w14:textId="77777777" w:rsidR="0057201B" w:rsidRPr="00AE3A84" w:rsidRDefault="0057201B">
            <w:pPr>
              <w:pStyle w:val="BodyText"/>
              <w:rPr>
                <w:lang w:val="es-ES"/>
              </w:rPr>
            </w:pPr>
            <w:r w:rsidRPr="00AE3A84">
              <w:rPr>
                <w:spacing w:val="-1"/>
              </w:rPr>
              <w:t>Argentina</w:t>
            </w:r>
          </w:p>
        </w:tc>
        <w:tc>
          <w:tcPr>
            <w:tcW w:w="1141" w:type="dxa"/>
            <w:vAlign w:val="center"/>
          </w:tcPr>
          <w:p w14:paraId="15608827" w14:textId="77777777" w:rsidR="0057201B" w:rsidRPr="00AE3A84" w:rsidRDefault="0057201B">
            <w:pPr>
              <w:pStyle w:val="BodyText"/>
              <w:jc w:val="center"/>
              <w:rPr>
                <w:spacing w:val="-1"/>
              </w:rPr>
            </w:pPr>
            <w:r w:rsidRPr="001C38F2">
              <w:rPr>
                <w:spacing w:val="-1"/>
              </w:rPr>
              <w:t>70/22</w:t>
            </w:r>
          </w:p>
        </w:tc>
        <w:tc>
          <w:tcPr>
            <w:tcW w:w="1289" w:type="dxa"/>
            <w:vAlign w:val="center"/>
          </w:tcPr>
          <w:p w14:paraId="3353F12C" w14:textId="77777777" w:rsidR="0057201B" w:rsidRPr="00AE3A84" w:rsidRDefault="0057201B">
            <w:pPr>
              <w:pStyle w:val="BodyText"/>
              <w:rPr>
                <w:lang w:val="es-ES"/>
              </w:rPr>
            </w:pPr>
            <w:r w:rsidRPr="00AE3A84">
              <w:rPr>
                <w:spacing w:val="-1"/>
              </w:rPr>
              <w:t>4/24/2022</w:t>
            </w:r>
          </w:p>
        </w:tc>
        <w:tc>
          <w:tcPr>
            <w:tcW w:w="1329" w:type="dxa"/>
            <w:vAlign w:val="center"/>
          </w:tcPr>
          <w:p w14:paraId="3657F6E2" w14:textId="77777777" w:rsidR="0057201B" w:rsidRPr="00AE3A84" w:rsidRDefault="0057201B">
            <w:pPr>
              <w:pStyle w:val="BodyText"/>
              <w:rPr>
                <w:lang w:val="es-ES"/>
              </w:rPr>
            </w:pPr>
            <w:r w:rsidRPr="00AE3A84">
              <w:rPr>
                <w:spacing w:val="-1"/>
              </w:rPr>
              <w:t>1768-11</w:t>
            </w:r>
          </w:p>
        </w:tc>
        <w:tc>
          <w:tcPr>
            <w:tcW w:w="1350" w:type="dxa"/>
            <w:vAlign w:val="center"/>
          </w:tcPr>
          <w:p w14:paraId="67A70408" w14:textId="77777777" w:rsidR="0057201B" w:rsidRPr="00AE3A84" w:rsidRDefault="0057201B">
            <w:pPr>
              <w:pStyle w:val="BodyText"/>
              <w:rPr>
                <w:lang w:val="es-ES"/>
              </w:rPr>
            </w:pPr>
            <w:r w:rsidRPr="00AE3A84">
              <w:rPr>
                <w:spacing w:val="-1"/>
              </w:rPr>
              <w:t>14.959</w:t>
            </w:r>
          </w:p>
        </w:tc>
      </w:tr>
      <w:tr w:rsidR="0057201B" w:rsidRPr="00AE3A84" w14:paraId="14A23DBB" w14:textId="77777777">
        <w:tc>
          <w:tcPr>
            <w:tcW w:w="534" w:type="dxa"/>
            <w:vAlign w:val="center"/>
          </w:tcPr>
          <w:p w14:paraId="3349D83B" w14:textId="77777777" w:rsidR="0057201B" w:rsidRPr="00AE3A84" w:rsidRDefault="0057201B" w:rsidP="00933F91">
            <w:pPr>
              <w:pStyle w:val="BodyText"/>
              <w:widowControl/>
              <w:numPr>
                <w:ilvl w:val="0"/>
                <w:numId w:val="57"/>
              </w:numPr>
              <w:rPr>
                <w:lang w:val="es-ES"/>
              </w:rPr>
            </w:pPr>
          </w:p>
        </w:tc>
        <w:tc>
          <w:tcPr>
            <w:tcW w:w="2953" w:type="dxa"/>
            <w:vAlign w:val="center"/>
          </w:tcPr>
          <w:p w14:paraId="32F910D9" w14:textId="77777777" w:rsidR="0057201B" w:rsidRPr="00AE3A84" w:rsidRDefault="0057201B">
            <w:pPr>
              <w:pStyle w:val="BodyText"/>
              <w:rPr>
                <w:lang w:val="es-ES"/>
              </w:rPr>
            </w:pPr>
            <w:r w:rsidRPr="00AE3A84">
              <w:rPr>
                <w:spacing w:val="-1"/>
                <w:lang w:val="es-AR"/>
              </w:rPr>
              <w:t>Roberto</w:t>
            </w:r>
            <w:r w:rsidRPr="00AE3A84">
              <w:rPr>
                <w:spacing w:val="-7"/>
                <w:lang w:val="es-AR"/>
              </w:rPr>
              <w:t xml:space="preserve"> </w:t>
            </w:r>
            <w:r w:rsidRPr="00AE3A84">
              <w:rPr>
                <w:spacing w:val="-1"/>
                <w:lang w:val="es-AR"/>
              </w:rPr>
              <w:t>Gustavo</w:t>
            </w:r>
            <w:r w:rsidRPr="00AE3A84">
              <w:rPr>
                <w:spacing w:val="-7"/>
                <w:lang w:val="es-AR"/>
              </w:rPr>
              <w:t xml:space="preserve"> </w:t>
            </w:r>
            <w:r w:rsidRPr="00AE3A84">
              <w:rPr>
                <w:spacing w:val="-1"/>
                <w:lang w:val="es-AR"/>
              </w:rPr>
              <w:t>Valenzuela</w:t>
            </w:r>
            <w:r w:rsidRPr="00AE3A84">
              <w:rPr>
                <w:spacing w:val="-6"/>
                <w:lang w:val="es-AR"/>
              </w:rPr>
              <w:t xml:space="preserve"> </w:t>
            </w:r>
            <w:r>
              <w:rPr>
                <w:lang w:val="es-AR"/>
              </w:rPr>
              <w:t>et al.</w:t>
            </w:r>
          </w:p>
        </w:tc>
        <w:tc>
          <w:tcPr>
            <w:tcW w:w="1119" w:type="dxa"/>
            <w:vAlign w:val="center"/>
          </w:tcPr>
          <w:p w14:paraId="18081E44" w14:textId="77777777" w:rsidR="0057201B" w:rsidRPr="00AE3A84" w:rsidRDefault="0057201B">
            <w:pPr>
              <w:pStyle w:val="BodyText"/>
              <w:rPr>
                <w:lang w:val="es-ES"/>
              </w:rPr>
            </w:pPr>
            <w:r w:rsidRPr="00AE3A84">
              <w:rPr>
                <w:spacing w:val="-1"/>
              </w:rPr>
              <w:t>Argentina</w:t>
            </w:r>
          </w:p>
        </w:tc>
        <w:tc>
          <w:tcPr>
            <w:tcW w:w="1141" w:type="dxa"/>
            <w:vAlign w:val="center"/>
          </w:tcPr>
          <w:p w14:paraId="0A7DCA7B" w14:textId="77777777" w:rsidR="0057201B" w:rsidRPr="00AE3A84" w:rsidRDefault="0057201B">
            <w:pPr>
              <w:pStyle w:val="BodyText"/>
              <w:jc w:val="center"/>
              <w:rPr>
                <w:spacing w:val="-1"/>
              </w:rPr>
            </w:pPr>
            <w:r w:rsidRPr="001C38F2">
              <w:rPr>
                <w:spacing w:val="-1"/>
              </w:rPr>
              <w:t>71/22</w:t>
            </w:r>
          </w:p>
        </w:tc>
        <w:tc>
          <w:tcPr>
            <w:tcW w:w="1289" w:type="dxa"/>
            <w:vAlign w:val="center"/>
          </w:tcPr>
          <w:p w14:paraId="16CD97DE" w14:textId="77777777" w:rsidR="0057201B" w:rsidRPr="00AE3A84" w:rsidRDefault="0057201B">
            <w:pPr>
              <w:pStyle w:val="BodyText"/>
              <w:rPr>
                <w:lang w:val="es-ES"/>
              </w:rPr>
            </w:pPr>
            <w:r w:rsidRPr="00AE3A84">
              <w:rPr>
                <w:spacing w:val="-1"/>
              </w:rPr>
              <w:t>4/24/2022</w:t>
            </w:r>
          </w:p>
        </w:tc>
        <w:tc>
          <w:tcPr>
            <w:tcW w:w="1329" w:type="dxa"/>
            <w:vAlign w:val="center"/>
          </w:tcPr>
          <w:p w14:paraId="6847E88D" w14:textId="77777777" w:rsidR="0057201B" w:rsidRPr="00AE3A84" w:rsidRDefault="0057201B">
            <w:pPr>
              <w:pStyle w:val="BodyText"/>
              <w:rPr>
                <w:lang w:val="es-ES"/>
              </w:rPr>
            </w:pPr>
            <w:r w:rsidRPr="00AE3A84">
              <w:rPr>
                <w:spacing w:val="-1"/>
              </w:rPr>
              <w:t>1267-12</w:t>
            </w:r>
          </w:p>
        </w:tc>
        <w:tc>
          <w:tcPr>
            <w:tcW w:w="1350" w:type="dxa"/>
            <w:vAlign w:val="center"/>
          </w:tcPr>
          <w:p w14:paraId="29B15F50" w14:textId="6383CBB1" w:rsidR="0057201B" w:rsidRPr="00AE3A84" w:rsidRDefault="0057201B">
            <w:pPr>
              <w:pStyle w:val="BodyText"/>
              <w:rPr>
                <w:lang w:val="es-ES"/>
              </w:rPr>
            </w:pPr>
            <w:r w:rsidRPr="00AE3A84">
              <w:rPr>
                <w:spacing w:val="-1"/>
              </w:rPr>
              <w:t>14.96</w:t>
            </w:r>
            <w:r w:rsidR="00676858">
              <w:rPr>
                <w:spacing w:val="-1"/>
              </w:rPr>
              <w:t>0</w:t>
            </w:r>
          </w:p>
        </w:tc>
      </w:tr>
      <w:tr w:rsidR="0057201B" w:rsidRPr="00AE3A84" w14:paraId="55DDB2B8" w14:textId="77777777">
        <w:tc>
          <w:tcPr>
            <w:tcW w:w="534" w:type="dxa"/>
            <w:vAlign w:val="center"/>
          </w:tcPr>
          <w:p w14:paraId="2F26F538" w14:textId="77777777" w:rsidR="0057201B" w:rsidRPr="00AE3A84" w:rsidRDefault="0057201B" w:rsidP="00933F91">
            <w:pPr>
              <w:pStyle w:val="BodyText"/>
              <w:widowControl/>
              <w:numPr>
                <w:ilvl w:val="0"/>
                <w:numId w:val="57"/>
              </w:numPr>
              <w:rPr>
                <w:lang w:val="es-ES"/>
              </w:rPr>
            </w:pPr>
          </w:p>
        </w:tc>
        <w:tc>
          <w:tcPr>
            <w:tcW w:w="2953" w:type="dxa"/>
            <w:vAlign w:val="center"/>
          </w:tcPr>
          <w:p w14:paraId="049A275C" w14:textId="77777777" w:rsidR="0057201B" w:rsidRPr="00AE3A84" w:rsidRDefault="0057201B">
            <w:pPr>
              <w:pStyle w:val="BodyText"/>
              <w:rPr>
                <w:lang w:val="es-ES"/>
              </w:rPr>
            </w:pPr>
            <w:r>
              <w:rPr>
                <w:spacing w:val="-1"/>
              </w:rPr>
              <w:t xml:space="preserve">Relatives of </w:t>
            </w:r>
            <w:r w:rsidRPr="00AE3A84">
              <w:rPr>
                <w:spacing w:val="-1"/>
                <w:lang w:val="es-AR"/>
              </w:rPr>
              <w:t>Haroldo</w:t>
            </w:r>
            <w:r w:rsidRPr="00AE3A84">
              <w:rPr>
                <w:spacing w:val="-7"/>
                <w:lang w:val="es-AR"/>
              </w:rPr>
              <w:t xml:space="preserve"> </w:t>
            </w:r>
            <w:r w:rsidRPr="00AE3A84">
              <w:rPr>
                <w:spacing w:val="-1"/>
                <w:lang w:val="es-AR"/>
              </w:rPr>
              <w:t>Cabrera</w:t>
            </w:r>
            <w:r w:rsidRPr="00AE3A84">
              <w:rPr>
                <w:spacing w:val="-7"/>
                <w:lang w:val="es-AR"/>
              </w:rPr>
              <w:t xml:space="preserve"> </w:t>
            </w:r>
            <w:r w:rsidRPr="00AE3A84">
              <w:rPr>
                <w:spacing w:val="-1"/>
                <w:lang w:val="es-AR"/>
              </w:rPr>
              <w:t>Abarzúa</w:t>
            </w:r>
          </w:p>
        </w:tc>
        <w:tc>
          <w:tcPr>
            <w:tcW w:w="1119" w:type="dxa"/>
            <w:vAlign w:val="center"/>
          </w:tcPr>
          <w:p w14:paraId="28E4A8E0" w14:textId="77777777" w:rsidR="0057201B" w:rsidRPr="00AE3A84" w:rsidRDefault="0057201B">
            <w:pPr>
              <w:pStyle w:val="BodyText"/>
              <w:rPr>
                <w:lang w:val="es-ES"/>
              </w:rPr>
            </w:pPr>
            <w:r w:rsidRPr="00AE3A84">
              <w:rPr>
                <w:spacing w:val="-1"/>
              </w:rPr>
              <w:t>Chile</w:t>
            </w:r>
          </w:p>
        </w:tc>
        <w:tc>
          <w:tcPr>
            <w:tcW w:w="1141" w:type="dxa"/>
            <w:vAlign w:val="center"/>
          </w:tcPr>
          <w:p w14:paraId="672F528B" w14:textId="77777777" w:rsidR="0057201B" w:rsidRPr="00AE3A84" w:rsidRDefault="0057201B">
            <w:pPr>
              <w:pStyle w:val="BodyText"/>
              <w:jc w:val="center"/>
              <w:rPr>
                <w:spacing w:val="-1"/>
              </w:rPr>
            </w:pPr>
            <w:r w:rsidRPr="00901280">
              <w:rPr>
                <w:spacing w:val="-1"/>
              </w:rPr>
              <w:t>74/22</w:t>
            </w:r>
          </w:p>
        </w:tc>
        <w:tc>
          <w:tcPr>
            <w:tcW w:w="1289" w:type="dxa"/>
            <w:vAlign w:val="center"/>
          </w:tcPr>
          <w:p w14:paraId="1D7E8F0A" w14:textId="77777777" w:rsidR="0057201B" w:rsidRPr="00AE3A84" w:rsidRDefault="0057201B">
            <w:pPr>
              <w:pStyle w:val="BodyText"/>
              <w:rPr>
                <w:lang w:val="es-ES"/>
              </w:rPr>
            </w:pPr>
            <w:r w:rsidRPr="00AE3A84">
              <w:rPr>
                <w:spacing w:val="-1"/>
              </w:rPr>
              <w:t>4/24/2022</w:t>
            </w:r>
          </w:p>
        </w:tc>
        <w:tc>
          <w:tcPr>
            <w:tcW w:w="1329" w:type="dxa"/>
            <w:vAlign w:val="center"/>
          </w:tcPr>
          <w:p w14:paraId="1B4245BB" w14:textId="77777777" w:rsidR="0057201B" w:rsidRPr="00AE3A84" w:rsidRDefault="0057201B">
            <w:pPr>
              <w:pStyle w:val="BodyText"/>
              <w:rPr>
                <w:lang w:val="es-ES"/>
              </w:rPr>
            </w:pPr>
            <w:r w:rsidRPr="00AE3A84">
              <w:rPr>
                <w:spacing w:val="-1"/>
              </w:rPr>
              <w:t>1274-12</w:t>
            </w:r>
          </w:p>
        </w:tc>
        <w:tc>
          <w:tcPr>
            <w:tcW w:w="1350" w:type="dxa"/>
            <w:vAlign w:val="center"/>
          </w:tcPr>
          <w:p w14:paraId="5879DB44" w14:textId="77777777" w:rsidR="0057201B" w:rsidRPr="00AE3A84" w:rsidRDefault="0057201B">
            <w:pPr>
              <w:pStyle w:val="BodyText"/>
              <w:rPr>
                <w:lang w:val="es-ES"/>
              </w:rPr>
            </w:pPr>
            <w:r w:rsidRPr="00AE3A84">
              <w:rPr>
                <w:spacing w:val="-1"/>
              </w:rPr>
              <w:t>14.961</w:t>
            </w:r>
          </w:p>
        </w:tc>
      </w:tr>
      <w:tr w:rsidR="0057201B" w:rsidRPr="00AE3A84" w14:paraId="183638EA" w14:textId="77777777">
        <w:tc>
          <w:tcPr>
            <w:tcW w:w="534" w:type="dxa"/>
            <w:vAlign w:val="center"/>
          </w:tcPr>
          <w:p w14:paraId="351E0FB7" w14:textId="77777777" w:rsidR="0057201B" w:rsidRPr="00AE3A84" w:rsidRDefault="0057201B" w:rsidP="00933F91">
            <w:pPr>
              <w:pStyle w:val="BodyText"/>
              <w:widowControl/>
              <w:numPr>
                <w:ilvl w:val="0"/>
                <w:numId w:val="57"/>
              </w:numPr>
              <w:rPr>
                <w:lang w:val="es-ES"/>
              </w:rPr>
            </w:pPr>
          </w:p>
        </w:tc>
        <w:tc>
          <w:tcPr>
            <w:tcW w:w="2953" w:type="dxa"/>
            <w:vAlign w:val="center"/>
          </w:tcPr>
          <w:p w14:paraId="5D4DB546" w14:textId="77777777" w:rsidR="0057201B" w:rsidRPr="00AE3A84" w:rsidRDefault="0057201B">
            <w:pPr>
              <w:pStyle w:val="BodyText"/>
              <w:rPr>
                <w:lang w:val="es-ES"/>
              </w:rPr>
            </w:pPr>
            <w:r w:rsidRPr="00AE3A84">
              <w:rPr>
                <w:spacing w:val="-1"/>
                <w:lang w:val="es-AR"/>
              </w:rPr>
              <w:t>Rubén</w:t>
            </w:r>
            <w:r w:rsidRPr="00AE3A84">
              <w:rPr>
                <w:spacing w:val="-5"/>
                <w:lang w:val="es-AR"/>
              </w:rPr>
              <w:t xml:space="preserve"> </w:t>
            </w:r>
            <w:r w:rsidRPr="00AE3A84">
              <w:rPr>
                <w:spacing w:val="-1"/>
                <w:lang w:val="es-AR"/>
              </w:rPr>
              <w:t>Darío</w:t>
            </w:r>
            <w:r w:rsidRPr="00AE3A84">
              <w:rPr>
                <w:spacing w:val="-6"/>
                <w:lang w:val="es-AR"/>
              </w:rPr>
              <w:t xml:space="preserve"> </w:t>
            </w:r>
            <w:r w:rsidRPr="00AE3A84">
              <w:rPr>
                <w:spacing w:val="-1"/>
                <w:lang w:val="es-AR"/>
              </w:rPr>
              <w:t>Pérez</w:t>
            </w:r>
            <w:r w:rsidRPr="00AE3A84">
              <w:rPr>
                <w:spacing w:val="-5"/>
                <w:lang w:val="es-AR"/>
              </w:rPr>
              <w:t xml:space="preserve"> </w:t>
            </w:r>
            <w:r w:rsidRPr="00AE3A84">
              <w:rPr>
                <w:spacing w:val="-1"/>
                <w:lang w:val="es-AR"/>
              </w:rPr>
              <w:t>Ocampo</w:t>
            </w:r>
            <w:r w:rsidRPr="00AE3A84">
              <w:rPr>
                <w:spacing w:val="-5"/>
                <w:lang w:val="es-AR"/>
              </w:rPr>
              <w:t xml:space="preserve"> </w:t>
            </w:r>
            <w:r>
              <w:rPr>
                <w:lang w:val="es-AR"/>
              </w:rPr>
              <w:t>and Family</w:t>
            </w:r>
          </w:p>
        </w:tc>
        <w:tc>
          <w:tcPr>
            <w:tcW w:w="1119" w:type="dxa"/>
            <w:vAlign w:val="center"/>
          </w:tcPr>
          <w:p w14:paraId="09301773" w14:textId="77777777" w:rsidR="0057201B" w:rsidRPr="00AE3A84" w:rsidRDefault="0057201B">
            <w:pPr>
              <w:pStyle w:val="BodyText"/>
              <w:rPr>
                <w:lang w:val="es-ES"/>
              </w:rPr>
            </w:pPr>
            <w:r w:rsidRPr="00AE3A84">
              <w:rPr>
                <w:spacing w:val="-1"/>
              </w:rPr>
              <w:t>Colombia</w:t>
            </w:r>
          </w:p>
        </w:tc>
        <w:tc>
          <w:tcPr>
            <w:tcW w:w="1141" w:type="dxa"/>
            <w:vAlign w:val="center"/>
          </w:tcPr>
          <w:p w14:paraId="1500422A" w14:textId="77777777" w:rsidR="0057201B" w:rsidRPr="00AE3A84" w:rsidRDefault="0057201B">
            <w:pPr>
              <w:pStyle w:val="BodyText"/>
              <w:jc w:val="center"/>
              <w:rPr>
                <w:spacing w:val="-1"/>
              </w:rPr>
            </w:pPr>
            <w:r w:rsidRPr="00901280">
              <w:rPr>
                <w:spacing w:val="-1"/>
              </w:rPr>
              <w:t>75/22</w:t>
            </w:r>
          </w:p>
        </w:tc>
        <w:tc>
          <w:tcPr>
            <w:tcW w:w="1289" w:type="dxa"/>
            <w:vAlign w:val="center"/>
          </w:tcPr>
          <w:p w14:paraId="45F6FF41" w14:textId="77777777" w:rsidR="0057201B" w:rsidRPr="00AE3A84" w:rsidRDefault="0057201B">
            <w:pPr>
              <w:pStyle w:val="BodyText"/>
              <w:rPr>
                <w:lang w:val="es-ES"/>
              </w:rPr>
            </w:pPr>
            <w:r w:rsidRPr="00AE3A84">
              <w:rPr>
                <w:spacing w:val="-1"/>
              </w:rPr>
              <w:t>4/30/2022</w:t>
            </w:r>
          </w:p>
        </w:tc>
        <w:tc>
          <w:tcPr>
            <w:tcW w:w="1329" w:type="dxa"/>
            <w:vAlign w:val="center"/>
          </w:tcPr>
          <w:p w14:paraId="2FAB2AB8" w14:textId="77777777" w:rsidR="0057201B" w:rsidRPr="00AE3A84" w:rsidRDefault="0057201B">
            <w:pPr>
              <w:pStyle w:val="BodyText"/>
              <w:rPr>
                <w:lang w:val="es-ES"/>
              </w:rPr>
            </w:pPr>
            <w:r w:rsidRPr="00AE3A84">
              <w:rPr>
                <w:spacing w:val="-1"/>
              </w:rPr>
              <w:t>593-12</w:t>
            </w:r>
          </w:p>
        </w:tc>
        <w:tc>
          <w:tcPr>
            <w:tcW w:w="1350" w:type="dxa"/>
            <w:vAlign w:val="center"/>
          </w:tcPr>
          <w:p w14:paraId="5492A0F8" w14:textId="77777777" w:rsidR="0057201B" w:rsidRPr="00AE3A84" w:rsidRDefault="0057201B">
            <w:pPr>
              <w:pStyle w:val="BodyText"/>
              <w:rPr>
                <w:lang w:val="es-ES"/>
              </w:rPr>
            </w:pPr>
            <w:r w:rsidRPr="00AE3A84">
              <w:rPr>
                <w:spacing w:val="-1"/>
              </w:rPr>
              <w:t>14.941</w:t>
            </w:r>
          </w:p>
        </w:tc>
      </w:tr>
      <w:tr w:rsidR="0057201B" w:rsidRPr="00AE3A84" w14:paraId="3381A008" w14:textId="77777777">
        <w:tc>
          <w:tcPr>
            <w:tcW w:w="534" w:type="dxa"/>
            <w:vAlign w:val="center"/>
          </w:tcPr>
          <w:p w14:paraId="73323548" w14:textId="77777777" w:rsidR="0057201B" w:rsidRPr="00AE3A84" w:rsidRDefault="0057201B" w:rsidP="00933F91">
            <w:pPr>
              <w:pStyle w:val="BodyText"/>
              <w:widowControl/>
              <w:numPr>
                <w:ilvl w:val="0"/>
                <w:numId w:val="57"/>
              </w:numPr>
              <w:rPr>
                <w:lang w:val="es-ES"/>
              </w:rPr>
            </w:pPr>
          </w:p>
        </w:tc>
        <w:tc>
          <w:tcPr>
            <w:tcW w:w="2953" w:type="dxa"/>
            <w:vAlign w:val="center"/>
          </w:tcPr>
          <w:p w14:paraId="683307E9" w14:textId="77777777" w:rsidR="0057201B" w:rsidRPr="00AE3A84" w:rsidRDefault="0057201B">
            <w:pPr>
              <w:pStyle w:val="BodyText"/>
              <w:rPr>
                <w:lang w:val="es-ES"/>
              </w:rPr>
            </w:pPr>
            <w:r w:rsidRPr="00AE3A84">
              <w:rPr>
                <w:spacing w:val="-1"/>
              </w:rPr>
              <w:t>Pichilín</w:t>
            </w:r>
            <w:r>
              <w:rPr>
                <w:spacing w:val="-1"/>
              </w:rPr>
              <w:t xml:space="preserve"> Massacre</w:t>
            </w:r>
          </w:p>
        </w:tc>
        <w:tc>
          <w:tcPr>
            <w:tcW w:w="1119" w:type="dxa"/>
            <w:vAlign w:val="center"/>
          </w:tcPr>
          <w:p w14:paraId="08C3601F" w14:textId="77777777" w:rsidR="0057201B" w:rsidRPr="00AE3A84" w:rsidRDefault="0057201B">
            <w:pPr>
              <w:pStyle w:val="BodyText"/>
              <w:rPr>
                <w:lang w:val="es-ES"/>
              </w:rPr>
            </w:pPr>
            <w:r w:rsidRPr="00AE3A84">
              <w:rPr>
                <w:spacing w:val="-1"/>
              </w:rPr>
              <w:t>Colombia</w:t>
            </w:r>
          </w:p>
        </w:tc>
        <w:tc>
          <w:tcPr>
            <w:tcW w:w="1141" w:type="dxa"/>
            <w:vAlign w:val="center"/>
          </w:tcPr>
          <w:p w14:paraId="4A4B3D02" w14:textId="77777777" w:rsidR="0057201B" w:rsidRPr="00AE3A84" w:rsidRDefault="0057201B">
            <w:pPr>
              <w:pStyle w:val="BodyText"/>
              <w:jc w:val="center"/>
              <w:rPr>
                <w:spacing w:val="-1"/>
              </w:rPr>
            </w:pPr>
            <w:r w:rsidRPr="00901280">
              <w:rPr>
                <w:spacing w:val="-1"/>
              </w:rPr>
              <w:t>76/22</w:t>
            </w:r>
          </w:p>
        </w:tc>
        <w:tc>
          <w:tcPr>
            <w:tcW w:w="1289" w:type="dxa"/>
            <w:vAlign w:val="center"/>
          </w:tcPr>
          <w:p w14:paraId="437054F6" w14:textId="77777777" w:rsidR="0057201B" w:rsidRPr="00AE3A84" w:rsidRDefault="0057201B">
            <w:pPr>
              <w:pStyle w:val="BodyText"/>
              <w:rPr>
                <w:lang w:val="es-ES"/>
              </w:rPr>
            </w:pPr>
            <w:r w:rsidRPr="00AE3A84">
              <w:rPr>
                <w:spacing w:val="-1"/>
              </w:rPr>
              <w:t>4/24/2022</w:t>
            </w:r>
          </w:p>
        </w:tc>
        <w:tc>
          <w:tcPr>
            <w:tcW w:w="1329" w:type="dxa"/>
            <w:vAlign w:val="center"/>
          </w:tcPr>
          <w:p w14:paraId="47783609" w14:textId="77777777" w:rsidR="0057201B" w:rsidRPr="00AE3A84" w:rsidRDefault="0057201B">
            <w:pPr>
              <w:pStyle w:val="BodyText"/>
              <w:rPr>
                <w:lang w:val="es-ES"/>
              </w:rPr>
            </w:pPr>
            <w:r w:rsidRPr="00AE3A84">
              <w:rPr>
                <w:spacing w:val="-1"/>
              </w:rPr>
              <w:t>1721-12</w:t>
            </w:r>
          </w:p>
        </w:tc>
        <w:tc>
          <w:tcPr>
            <w:tcW w:w="1350" w:type="dxa"/>
            <w:vAlign w:val="center"/>
          </w:tcPr>
          <w:p w14:paraId="69BDDAD9" w14:textId="77777777" w:rsidR="0057201B" w:rsidRPr="00AE3A84" w:rsidRDefault="0057201B">
            <w:pPr>
              <w:pStyle w:val="BodyText"/>
              <w:rPr>
                <w:lang w:val="es-ES"/>
              </w:rPr>
            </w:pPr>
            <w:r w:rsidRPr="00AE3A84">
              <w:rPr>
                <w:spacing w:val="-1"/>
              </w:rPr>
              <w:t>14.965</w:t>
            </w:r>
          </w:p>
        </w:tc>
      </w:tr>
      <w:tr w:rsidR="0057201B" w:rsidRPr="00AE3A84" w14:paraId="0538E197" w14:textId="77777777">
        <w:tc>
          <w:tcPr>
            <w:tcW w:w="534" w:type="dxa"/>
            <w:vAlign w:val="center"/>
          </w:tcPr>
          <w:p w14:paraId="0EE52DA6" w14:textId="77777777" w:rsidR="0057201B" w:rsidRPr="00AE3A84" w:rsidRDefault="0057201B" w:rsidP="00933F91">
            <w:pPr>
              <w:pStyle w:val="BodyText"/>
              <w:widowControl/>
              <w:numPr>
                <w:ilvl w:val="0"/>
                <w:numId w:val="57"/>
              </w:numPr>
              <w:rPr>
                <w:lang w:val="es-ES"/>
              </w:rPr>
            </w:pPr>
          </w:p>
        </w:tc>
        <w:tc>
          <w:tcPr>
            <w:tcW w:w="2953" w:type="dxa"/>
            <w:vAlign w:val="center"/>
          </w:tcPr>
          <w:p w14:paraId="0914EB83" w14:textId="77777777" w:rsidR="0057201B" w:rsidRPr="00AE3A84" w:rsidRDefault="0057201B">
            <w:pPr>
              <w:pStyle w:val="BodyText"/>
              <w:rPr>
                <w:lang w:val="es-ES"/>
              </w:rPr>
            </w:pPr>
            <w:r w:rsidRPr="00AE3A84">
              <w:rPr>
                <w:spacing w:val="-1"/>
              </w:rPr>
              <w:t>Zaida</w:t>
            </w:r>
            <w:r w:rsidRPr="00AE3A84">
              <w:rPr>
                <w:spacing w:val="-6"/>
              </w:rPr>
              <w:t xml:space="preserve"> </w:t>
            </w:r>
            <w:r w:rsidRPr="00AE3A84">
              <w:rPr>
                <w:spacing w:val="-1"/>
              </w:rPr>
              <w:t>Torres</w:t>
            </w:r>
            <w:r w:rsidRPr="00AE3A84">
              <w:rPr>
                <w:spacing w:val="-5"/>
              </w:rPr>
              <w:t xml:space="preserve"> </w:t>
            </w:r>
            <w:r>
              <w:t>and Others</w:t>
            </w:r>
          </w:p>
        </w:tc>
        <w:tc>
          <w:tcPr>
            <w:tcW w:w="1119" w:type="dxa"/>
            <w:vAlign w:val="center"/>
          </w:tcPr>
          <w:p w14:paraId="029BA888" w14:textId="77777777" w:rsidR="0057201B" w:rsidRPr="00AE3A84" w:rsidRDefault="0057201B">
            <w:pPr>
              <w:pStyle w:val="BodyText"/>
              <w:rPr>
                <w:lang w:val="es-ES"/>
              </w:rPr>
            </w:pPr>
            <w:r>
              <w:rPr>
                <w:spacing w:val="-1"/>
              </w:rPr>
              <w:t>United States</w:t>
            </w:r>
          </w:p>
        </w:tc>
        <w:tc>
          <w:tcPr>
            <w:tcW w:w="1141" w:type="dxa"/>
            <w:vAlign w:val="center"/>
          </w:tcPr>
          <w:p w14:paraId="289D15C4" w14:textId="77777777" w:rsidR="0057201B" w:rsidRPr="00AE3A84" w:rsidRDefault="0057201B">
            <w:pPr>
              <w:pStyle w:val="BodyText"/>
              <w:jc w:val="center"/>
              <w:rPr>
                <w:spacing w:val="-1"/>
              </w:rPr>
            </w:pPr>
            <w:r w:rsidRPr="00901280">
              <w:rPr>
                <w:spacing w:val="-1"/>
              </w:rPr>
              <w:t>77/22</w:t>
            </w:r>
          </w:p>
        </w:tc>
        <w:tc>
          <w:tcPr>
            <w:tcW w:w="1289" w:type="dxa"/>
            <w:vAlign w:val="center"/>
          </w:tcPr>
          <w:p w14:paraId="2D58C810" w14:textId="77777777" w:rsidR="0057201B" w:rsidRPr="00AE3A84" w:rsidRDefault="0057201B">
            <w:pPr>
              <w:pStyle w:val="BodyText"/>
              <w:rPr>
                <w:lang w:val="es-ES"/>
              </w:rPr>
            </w:pPr>
            <w:r w:rsidRPr="00AE3A84">
              <w:rPr>
                <w:spacing w:val="-1"/>
              </w:rPr>
              <w:t>4/5/2022</w:t>
            </w:r>
          </w:p>
        </w:tc>
        <w:tc>
          <w:tcPr>
            <w:tcW w:w="1329" w:type="dxa"/>
            <w:vAlign w:val="center"/>
          </w:tcPr>
          <w:p w14:paraId="41FFDFB6" w14:textId="77777777" w:rsidR="0057201B" w:rsidRPr="00AE3A84" w:rsidRDefault="0057201B">
            <w:pPr>
              <w:pStyle w:val="BodyText"/>
              <w:rPr>
                <w:lang w:val="es-ES"/>
              </w:rPr>
            </w:pPr>
            <w:r w:rsidRPr="00AE3A84">
              <w:rPr>
                <w:spacing w:val="-1"/>
              </w:rPr>
              <w:t>1561-13</w:t>
            </w:r>
          </w:p>
        </w:tc>
        <w:tc>
          <w:tcPr>
            <w:tcW w:w="1350" w:type="dxa"/>
            <w:vAlign w:val="center"/>
          </w:tcPr>
          <w:p w14:paraId="1036110D" w14:textId="77777777" w:rsidR="0057201B" w:rsidRPr="00AE3A84" w:rsidRDefault="0057201B">
            <w:pPr>
              <w:pStyle w:val="BodyText"/>
              <w:rPr>
                <w:lang w:val="es-ES"/>
              </w:rPr>
            </w:pPr>
            <w:r w:rsidRPr="00AE3A84">
              <w:rPr>
                <w:spacing w:val="-1"/>
              </w:rPr>
              <w:t>14.962</w:t>
            </w:r>
          </w:p>
        </w:tc>
      </w:tr>
      <w:tr w:rsidR="0057201B" w:rsidRPr="00AE3A84" w14:paraId="528177BC" w14:textId="77777777">
        <w:tc>
          <w:tcPr>
            <w:tcW w:w="534" w:type="dxa"/>
            <w:vAlign w:val="center"/>
          </w:tcPr>
          <w:p w14:paraId="7233045E" w14:textId="77777777" w:rsidR="0057201B" w:rsidRPr="00AE3A84" w:rsidRDefault="0057201B" w:rsidP="00933F91">
            <w:pPr>
              <w:pStyle w:val="BodyText"/>
              <w:widowControl/>
              <w:numPr>
                <w:ilvl w:val="0"/>
                <w:numId w:val="57"/>
              </w:numPr>
              <w:rPr>
                <w:lang w:val="es-ES"/>
              </w:rPr>
            </w:pPr>
          </w:p>
        </w:tc>
        <w:tc>
          <w:tcPr>
            <w:tcW w:w="2953" w:type="dxa"/>
            <w:vAlign w:val="center"/>
          </w:tcPr>
          <w:p w14:paraId="2A3B71ED" w14:textId="77777777" w:rsidR="0057201B" w:rsidRPr="00AE3A84" w:rsidRDefault="0057201B">
            <w:pPr>
              <w:pStyle w:val="BodyText"/>
              <w:rPr>
                <w:lang w:val="es-ES"/>
              </w:rPr>
            </w:pPr>
            <w:r w:rsidRPr="00AE3A84">
              <w:rPr>
                <w:spacing w:val="-1"/>
              </w:rPr>
              <w:t>Anthony</w:t>
            </w:r>
            <w:r w:rsidRPr="00AE3A84">
              <w:rPr>
                <w:spacing w:val="-5"/>
              </w:rPr>
              <w:t xml:space="preserve"> </w:t>
            </w:r>
            <w:r w:rsidRPr="00AE3A84">
              <w:rPr>
                <w:spacing w:val="-1"/>
              </w:rPr>
              <w:t>Scott</w:t>
            </w:r>
            <w:r w:rsidRPr="00AE3A84">
              <w:rPr>
                <w:spacing w:val="-5"/>
              </w:rPr>
              <w:t xml:space="preserve"> </w:t>
            </w:r>
            <w:r w:rsidRPr="00AE3A84">
              <w:rPr>
                <w:spacing w:val="-1"/>
              </w:rPr>
              <w:t>and</w:t>
            </w:r>
            <w:r w:rsidRPr="00AE3A84">
              <w:rPr>
                <w:spacing w:val="-6"/>
              </w:rPr>
              <w:t xml:space="preserve"> </w:t>
            </w:r>
            <w:r>
              <w:rPr>
                <w:spacing w:val="-1"/>
              </w:rPr>
              <w:t>F</w:t>
            </w:r>
            <w:r w:rsidRPr="00AE3A84">
              <w:rPr>
                <w:spacing w:val="-1"/>
              </w:rPr>
              <w:t>amily</w:t>
            </w:r>
          </w:p>
        </w:tc>
        <w:tc>
          <w:tcPr>
            <w:tcW w:w="1119" w:type="dxa"/>
            <w:vAlign w:val="center"/>
          </w:tcPr>
          <w:p w14:paraId="458E5A9A" w14:textId="77777777" w:rsidR="0057201B" w:rsidRPr="00AE3A84" w:rsidRDefault="0057201B">
            <w:pPr>
              <w:pStyle w:val="BodyText"/>
              <w:rPr>
                <w:lang w:val="es-ES"/>
              </w:rPr>
            </w:pPr>
            <w:r w:rsidRPr="00AE3A84">
              <w:rPr>
                <w:spacing w:val="-1"/>
              </w:rPr>
              <w:t>Jamaica</w:t>
            </w:r>
          </w:p>
        </w:tc>
        <w:tc>
          <w:tcPr>
            <w:tcW w:w="1141" w:type="dxa"/>
            <w:vAlign w:val="center"/>
          </w:tcPr>
          <w:p w14:paraId="0136A70E" w14:textId="77777777" w:rsidR="0057201B" w:rsidRPr="00AE3A84" w:rsidRDefault="0057201B">
            <w:pPr>
              <w:pStyle w:val="BodyText"/>
              <w:jc w:val="center"/>
              <w:rPr>
                <w:spacing w:val="-1"/>
              </w:rPr>
            </w:pPr>
            <w:r w:rsidRPr="00901280">
              <w:rPr>
                <w:spacing w:val="-1"/>
              </w:rPr>
              <w:t>78/22</w:t>
            </w:r>
          </w:p>
        </w:tc>
        <w:tc>
          <w:tcPr>
            <w:tcW w:w="1289" w:type="dxa"/>
            <w:vAlign w:val="center"/>
          </w:tcPr>
          <w:p w14:paraId="28B38726" w14:textId="77777777" w:rsidR="0057201B" w:rsidRPr="00AE3A84" w:rsidRDefault="0057201B">
            <w:pPr>
              <w:pStyle w:val="BodyText"/>
              <w:rPr>
                <w:lang w:val="es-ES"/>
              </w:rPr>
            </w:pPr>
            <w:r w:rsidRPr="00AE3A84">
              <w:rPr>
                <w:spacing w:val="-1"/>
              </w:rPr>
              <w:t>4/15/2022</w:t>
            </w:r>
          </w:p>
        </w:tc>
        <w:tc>
          <w:tcPr>
            <w:tcW w:w="1329" w:type="dxa"/>
            <w:vAlign w:val="center"/>
          </w:tcPr>
          <w:p w14:paraId="0A548617" w14:textId="77777777" w:rsidR="0057201B" w:rsidRPr="00AE3A84" w:rsidRDefault="0057201B">
            <w:pPr>
              <w:pStyle w:val="BodyText"/>
              <w:rPr>
                <w:lang w:val="es-ES"/>
              </w:rPr>
            </w:pPr>
            <w:r w:rsidRPr="00AE3A84">
              <w:rPr>
                <w:spacing w:val="-1"/>
              </w:rPr>
              <w:t>1082-14</w:t>
            </w:r>
          </w:p>
        </w:tc>
        <w:tc>
          <w:tcPr>
            <w:tcW w:w="1350" w:type="dxa"/>
            <w:vAlign w:val="center"/>
          </w:tcPr>
          <w:p w14:paraId="67A8D1B2" w14:textId="77777777" w:rsidR="0057201B" w:rsidRPr="00AE3A84" w:rsidRDefault="0057201B">
            <w:pPr>
              <w:pStyle w:val="BodyText"/>
              <w:rPr>
                <w:lang w:val="es-ES"/>
              </w:rPr>
            </w:pPr>
            <w:r w:rsidRPr="00AE3A84">
              <w:rPr>
                <w:spacing w:val="-1"/>
              </w:rPr>
              <w:t>14.963</w:t>
            </w:r>
          </w:p>
        </w:tc>
      </w:tr>
      <w:tr w:rsidR="0057201B" w:rsidRPr="00AE3A84" w14:paraId="4CBB21AB" w14:textId="77777777">
        <w:tc>
          <w:tcPr>
            <w:tcW w:w="534" w:type="dxa"/>
            <w:vAlign w:val="center"/>
          </w:tcPr>
          <w:p w14:paraId="4BDB5631" w14:textId="77777777" w:rsidR="0057201B" w:rsidRPr="00AE3A84" w:rsidRDefault="0057201B" w:rsidP="00933F91">
            <w:pPr>
              <w:pStyle w:val="BodyText"/>
              <w:widowControl/>
              <w:numPr>
                <w:ilvl w:val="0"/>
                <w:numId w:val="57"/>
              </w:numPr>
              <w:rPr>
                <w:lang w:val="es-ES"/>
              </w:rPr>
            </w:pPr>
          </w:p>
        </w:tc>
        <w:tc>
          <w:tcPr>
            <w:tcW w:w="2953" w:type="dxa"/>
            <w:vAlign w:val="center"/>
          </w:tcPr>
          <w:p w14:paraId="3886690C" w14:textId="77777777" w:rsidR="0057201B" w:rsidRPr="00AE3A84" w:rsidRDefault="0057201B">
            <w:pPr>
              <w:pStyle w:val="BodyText"/>
              <w:rPr>
                <w:lang w:val="es-ES"/>
              </w:rPr>
            </w:pPr>
            <w:r w:rsidRPr="00AE3A84">
              <w:rPr>
                <w:spacing w:val="-1"/>
              </w:rPr>
              <w:t>Wilian</w:t>
            </w:r>
            <w:r w:rsidRPr="00AE3A84">
              <w:rPr>
                <w:spacing w:val="-7"/>
              </w:rPr>
              <w:t xml:space="preserve"> </w:t>
            </w:r>
            <w:r w:rsidRPr="00AE3A84">
              <w:rPr>
                <w:spacing w:val="-1"/>
              </w:rPr>
              <w:t>Walter</w:t>
            </w:r>
            <w:r w:rsidRPr="00AE3A84">
              <w:rPr>
                <w:spacing w:val="-6"/>
              </w:rPr>
              <w:t xml:space="preserve"> </w:t>
            </w:r>
            <w:r w:rsidRPr="00AE3A84">
              <w:rPr>
                <w:spacing w:val="-1"/>
              </w:rPr>
              <w:t>Vargas</w:t>
            </w:r>
            <w:r w:rsidRPr="00AE3A84">
              <w:rPr>
                <w:spacing w:val="-8"/>
              </w:rPr>
              <w:t xml:space="preserve"> </w:t>
            </w:r>
            <w:r w:rsidRPr="00AE3A84">
              <w:rPr>
                <w:spacing w:val="-1"/>
              </w:rPr>
              <w:t>Gonzalez</w:t>
            </w:r>
          </w:p>
        </w:tc>
        <w:tc>
          <w:tcPr>
            <w:tcW w:w="1119" w:type="dxa"/>
            <w:vAlign w:val="center"/>
          </w:tcPr>
          <w:p w14:paraId="1778C3A2" w14:textId="77777777" w:rsidR="0057201B" w:rsidRPr="00AE3A84" w:rsidRDefault="0057201B">
            <w:pPr>
              <w:pStyle w:val="BodyText"/>
              <w:rPr>
                <w:lang w:val="es-ES"/>
              </w:rPr>
            </w:pPr>
            <w:r w:rsidRPr="00AE3A84">
              <w:rPr>
                <w:spacing w:val="-1"/>
              </w:rPr>
              <w:t>Argentina</w:t>
            </w:r>
          </w:p>
        </w:tc>
        <w:tc>
          <w:tcPr>
            <w:tcW w:w="1141" w:type="dxa"/>
            <w:vAlign w:val="center"/>
          </w:tcPr>
          <w:p w14:paraId="0EF5E244" w14:textId="77777777" w:rsidR="0057201B" w:rsidRPr="00AE3A84" w:rsidRDefault="0057201B">
            <w:pPr>
              <w:pStyle w:val="BodyText"/>
              <w:jc w:val="center"/>
              <w:rPr>
                <w:spacing w:val="-1"/>
              </w:rPr>
            </w:pPr>
            <w:r w:rsidRPr="00901280">
              <w:rPr>
                <w:spacing w:val="-1"/>
              </w:rPr>
              <w:t>79/22</w:t>
            </w:r>
          </w:p>
        </w:tc>
        <w:tc>
          <w:tcPr>
            <w:tcW w:w="1289" w:type="dxa"/>
            <w:vAlign w:val="center"/>
          </w:tcPr>
          <w:p w14:paraId="09F5F7F7" w14:textId="77777777" w:rsidR="0057201B" w:rsidRPr="00AE3A84" w:rsidRDefault="0057201B">
            <w:pPr>
              <w:pStyle w:val="BodyText"/>
              <w:rPr>
                <w:lang w:val="es-ES"/>
              </w:rPr>
            </w:pPr>
            <w:r w:rsidRPr="00AE3A84">
              <w:rPr>
                <w:spacing w:val="-1"/>
              </w:rPr>
              <w:t>4/24/2022</w:t>
            </w:r>
          </w:p>
        </w:tc>
        <w:tc>
          <w:tcPr>
            <w:tcW w:w="1329" w:type="dxa"/>
            <w:vAlign w:val="center"/>
          </w:tcPr>
          <w:p w14:paraId="3C36671E" w14:textId="77777777" w:rsidR="0057201B" w:rsidRPr="00AE3A84" w:rsidRDefault="0057201B">
            <w:pPr>
              <w:pStyle w:val="BodyText"/>
              <w:rPr>
                <w:lang w:val="es-ES"/>
              </w:rPr>
            </w:pPr>
            <w:r w:rsidRPr="00AE3A84">
              <w:rPr>
                <w:spacing w:val="-1"/>
              </w:rPr>
              <w:t>651-18</w:t>
            </w:r>
          </w:p>
        </w:tc>
        <w:tc>
          <w:tcPr>
            <w:tcW w:w="1350" w:type="dxa"/>
            <w:vAlign w:val="center"/>
          </w:tcPr>
          <w:p w14:paraId="0E1EC012" w14:textId="77777777" w:rsidR="0057201B" w:rsidRPr="00AE3A84" w:rsidRDefault="0057201B">
            <w:pPr>
              <w:pStyle w:val="BodyText"/>
              <w:rPr>
                <w:lang w:val="es-ES"/>
              </w:rPr>
            </w:pPr>
            <w:r w:rsidRPr="00AE3A84">
              <w:rPr>
                <w:spacing w:val="-1"/>
              </w:rPr>
              <w:t>14.942</w:t>
            </w:r>
          </w:p>
        </w:tc>
      </w:tr>
      <w:tr w:rsidR="0057201B" w:rsidRPr="00AE3A84" w14:paraId="4628FCAA" w14:textId="77777777">
        <w:tc>
          <w:tcPr>
            <w:tcW w:w="534" w:type="dxa"/>
            <w:vAlign w:val="center"/>
          </w:tcPr>
          <w:p w14:paraId="420780A0" w14:textId="77777777" w:rsidR="0057201B" w:rsidRPr="00AE3A84" w:rsidRDefault="0057201B" w:rsidP="00933F91">
            <w:pPr>
              <w:pStyle w:val="BodyText"/>
              <w:widowControl/>
              <w:numPr>
                <w:ilvl w:val="0"/>
                <w:numId w:val="57"/>
              </w:numPr>
              <w:rPr>
                <w:lang w:val="es-ES"/>
              </w:rPr>
            </w:pPr>
          </w:p>
        </w:tc>
        <w:tc>
          <w:tcPr>
            <w:tcW w:w="2953" w:type="dxa"/>
            <w:vAlign w:val="center"/>
          </w:tcPr>
          <w:p w14:paraId="34DE5C5B" w14:textId="77777777" w:rsidR="0057201B" w:rsidRPr="00137ACB" w:rsidRDefault="0057201B">
            <w:pPr>
              <w:pStyle w:val="BodyText"/>
            </w:pPr>
            <w:r w:rsidRPr="00137ACB">
              <w:rPr>
                <w:spacing w:val="-1"/>
              </w:rPr>
              <w:t>Quilombola</w:t>
            </w:r>
            <w:r w:rsidRPr="00137ACB">
              <w:rPr>
                <w:spacing w:val="-7"/>
              </w:rPr>
              <w:t xml:space="preserve"> Community of </w:t>
            </w:r>
            <w:r w:rsidRPr="00137ACB">
              <w:rPr>
                <w:spacing w:val="-1"/>
              </w:rPr>
              <w:t>Marambaia</w:t>
            </w:r>
            <w:r w:rsidRPr="00137ACB">
              <w:rPr>
                <w:spacing w:val="-7"/>
              </w:rPr>
              <w:t xml:space="preserve"> Island </w:t>
            </w:r>
          </w:p>
        </w:tc>
        <w:tc>
          <w:tcPr>
            <w:tcW w:w="1119" w:type="dxa"/>
            <w:vAlign w:val="center"/>
          </w:tcPr>
          <w:p w14:paraId="5189EDEB" w14:textId="77777777" w:rsidR="0057201B" w:rsidRPr="00AE3A84" w:rsidRDefault="0057201B">
            <w:pPr>
              <w:pStyle w:val="BodyText"/>
              <w:rPr>
                <w:lang w:val="es-ES"/>
              </w:rPr>
            </w:pPr>
            <w:r w:rsidRPr="00AE3A84">
              <w:rPr>
                <w:spacing w:val="-1"/>
              </w:rPr>
              <w:t>Bra</w:t>
            </w:r>
            <w:r>
              <w:rPr>
                <w:spacing w:val="-1"/>
              </w:rPr>
              <w:t>z</w:t>
            </w:r>
            <w:r w:rsidRPr="00AE3A84">
              <w:rPr>
                <w:spacing w:val="-1"/>
              </w:rPr>
              <w:t>il</w:t>
            </w:r>
          </w:p>
        </w:tc>
        <w:tc>
          <w:tcPr>
            <w:tcW w:w="1141" w:type="dxa"/>
            <w:vAlign w:val="center"/>
          </w:tcPr>
          <w:p w14:paraId="33792890" w14:textId="77777777" w:rsidR="0057201B" w:rsidRPr="00AE3A84" w:rsidRDefault="0057201B">
            <w:pPr>
              <w:pStyle w:val="BodyText"/>
              <w:jc w:val="center"/>
              <w:rPr>
                <w:spacing w:val="-1"/>
              </w:rPr>
            </w:pPr>
            <w:r w:rsidRPr="00901280">
              <w:rPr>
                <w:spacing w:val="-1"/>
              </w:rPr>
              <w:t>81/22</w:t>
            </w:r>
          </w:p>
        </w:tc>
        <w:tc>
          <w:tcPr>
            <w:tcW w:w="1289" w:type="dxa"/>
            <w:vAlign w:val="center"/>
          </w:tcPr>
          <w:p w14:paraId="4A15EE22" w14:textId="77777777" w:rsidR="0057201B" w:rsidRPr="00AE3A84" w:rsidRDefault="0057201B">
            <w:pPr>
              <w:pStyle w:val="BodyText"/>
              <w:rPr>
                <w:lang w:val="es-ES"/>
              </w:rPr>
            </w:pPr>
            <w:r w:rsidRPr="00AE3A84">
              <w:rPr>
                <w:spacing w:val="-1"/>
              </w:rPr>
              <w:t>5/8/2022</w:t>
            </w:r>
          </w:p>
        </w:tc>
        <w:tc>
          <w:tcPr>
            <w:tcW w:w="1329" w:type="dxa"/>
            <w:vAlign w:val="center"/>
          </w:tcPr>
          <w:p w14:paraId="465D75AD" w14:textId="77777777" w:rsidR="0057201B" w:rsidRPr="00AE3A84" w:rsidRDefault="0057201B">
            <w:pPr>
              <w:pStyle w:val="BodyText"/>
              <w:rPr>
                <w:lang w:val="es-ES"/>
              </w:rPr>
            </w:pPr>
            <w:r w:rsidRPr="00AE3A84">
              <w:rPr>
                <w:spacing w:val="-1"/>
              </w:rPr>
              <w:t>1450-09</w:t>
            </w:r>
          </w:p>
        </w:tc>
        <w:tc>
          <w:tcPr>
            <w:tcW w:w="1350" w:type="dxa"/>
            <w:vAlign w:val="center"/>
          </w:tcPr>
          <w:p w14:paraId="0A785A33" w14:textId="77777777" w:rsidR="0057201B" w:rsidRPr="00AE3A84" w:rsidRDefault="0057201B">
            <w:pPr>
              <w:pStyle w:val="BodyText"/>
              <w:rPr>
                <w:lang w:val="es-ES"/>
              </w:rPr>
            </w:pPr>
            <w:r w:rsidRPr="00AE3A84">
              <w:rPr>
                <w:spacing w:val="-1"/>
              </w:rPr>
              <w:t>14.969</w:t>
            </w:r>
          </w:p>
        </w:tc>
      </w:tr>
      <w:tr w:rsidR="0057201B" w:rsidRPr="00AE3A84" w14:paraId="570C1F0A" w14:textId="77777777">
        <w:tc>
          <w:tcPr>
            <w:tcW w:w="534" w:type="dxa"/>
            <w:vAlign w:val="center"/>
          </w:tcPr>
          <w:p w14:paraId="2D71F10E" w14:textId="77777777" w:rsidR="0057201B" w:rsidRPr="00AE3A84" w:rsidRDefault="0057201B" w:rsidP="00933F91">
            <w:pPr>
              <w:pStyle w:val="BodyText"/>
              <w:widowControl/>
              <w:numPr>
                <w:ilvl w:val="0"/>
                <w:numId w:val="57"/>
              </w:numPr>
              <w:rPr>
                <w:lang w:val="es-ES"/>
              </w:rPr>
            </w:pPr>
          </w:p>
        </w:tc>
        <w:tc>
          <w:tcPr>
            <w:tcW w:w="2953" w:type="dxa"/>
            <w:vAlign w:val="center"/>
          </w:tcPr>
          <w:p w14:paraId="07398420" w14:textId="77777777" w:rsidR="0057201B" w:rsidRPr="00AE3A84" w:rsidRDefault="0057201B">
            <w:pPr>
              <w:pStyle w:val="BodyText"/>
              <w:rPr>
                <w:lang w:val="es-ES"/>
              </w:rPr>
            </w:pPr>
            <w:r w:rsidRPr="000E5866">
              <w:rPr>
                <w:spacing w:val="-1"/>
                <w:lang w:val="es-CO"/>
              </w:rPr>
              <w:t>Manuel</w:t>
            </w:r>
            <w:r w:rsidRPr="000E5866">
              <w:rPr>
                <w:spacing w:val="-5"/>
                <w:lang w:val="es-CO"/>
              </w:rPr>
              <w:t xml:space="preserve"> </w:t>
            </w:r>
            <w:r w:rsidRPr="000E5866">
              <w:rPr>
                <w:spacing w:val="-1"/>
                <w:lang w:val="es-CO"/>
              </w:rPr>
              <w:t>Vitalino</w:t>
            </w:r>
            <w:r w:rsidRPr="000E5866">
              <w:rPr>
                <w:spacing w:val="-6"/>
                <w:lang w:val="es-CO"/>
              </w:rPr>
              <w:t xml:space="preserve"> </w:t>
            </w:r>
            <w:r w:rsidRPr="000E5866">
              <w:rPr>
                <w:spacing w:val="-1"/>
                <w:lang w:val="es-CO"/>
              </w:rPr>
              <w:t>Borja</w:t>
            </w:r>
            <w:r w:rsidRPr="000E5866">
              <w:rPr>
                <w:spacing w:val="-6"/>
                <w:lang w:val="es-CO"/>
              </w:rPr>
              <w:t xml:space="preserve"> </w:t>
            </w:r>
            <w:r w:rsidRPr="000E5866">
              <w:rPr>
                <w:spacing w:val="-1"/>
                <w:lang w:val="es-CO"/>
              </w:rPr>
              <w:t>Palacios</w:t>
            </w:r>
            <w:r>
              <w:rPr>
                <w:lang w:val="es-CO"/>
              </w:rPr>
              <w:t xml:space="preserve"> and Family</w:t>
            </w:r>
          </w:p>
        </w:tc>
        <w:tc>
          <w:tcPr>
            <w:tcW w:w="1119" w:type="dxa"/>
            <w:vAlign w:val="center"/>
          </w:tcPr>
          <w:p w14:paraId="448E7187" w14:textId="77777777" w:rsidR="0057201B" w:rsidRPr="00AE3A84" w:rsidRDefault="0057201B">
            <w:pPr>
              <w:pStyle w:val="BodyText"/>
              <w:rPr>
                <w:lang w:val="es-ES"/>
              </w:rPr>
            </w:pPr>
            <w:r w:rsidRPr="00AE3A84">
              <w:rPr>
                <w:spacing w:val="-1"/>
              </w:rPr>
              <w:t>Colombia</w:t>
            </w:r>
          </w:p>
        </w:tc>
        <w:tc>
          <w:tcPr>
            <w:tcW w:w="1141" w:type="dxa"/>
            <w:vAlign w:val="center"/>
          </w:tcPr>
          <w:p w14:paraId="27A620D6" w14:textId="77777777" w:rsidR="0057201B" w:rsidRPr="00AE3A84" w:rsidRDefault="0057201B">
            <w:pPr>
              <w:pStyle w:val="BodyText"/>
              <w:jc w:val="center"/>
              <w:rPr>
                <w:spacing w:val="-1"/>
              </w:rPr>
            </w:pPr>
            <w:r w:rsidRPr="00901280">
              <w:rPr>
                <w:spacing w:val="-1"/>
              </w:rPr>
              <w:t>82/22</w:t>
            </w:r>
          </w:p>
        </w:tc>
        <w:tc>
          <w:tcPr>
            <w:tcW w:w="1289" w:type="dxa"/>
            <w:vAlign w:val="center"/>
          </w:tcPr>
          <w:p w14:paraId="2B466E96" w14:textId="77777777" w:rsidR="0057201B" w:rsidRPr="00AE3A84" w:rsidRDefault="0057201B">
            <w:pPr>
              <w:pStyle w:val="BodyText"/>
              <w:rPr>
                <w:lang w:val="es-ES"/>
              </w:rPr>
            </w:pPr>
            <w:r w:rsidRPr="00AE3A84">
              <w:rPr>
                <w:spacing w:val="-1"/>
              </w:rPr>
              <w:t>3/22/2022</w:t>
            </w:r>
          </w:p>
        </w:tc>
        <w:tc>
          <w:tcPr>
            <w:tcW w:w="1329" w:type="dxa"/>
            <w:vAlign w:val="center"/>
          </w:tcPr>
          <w:p w14:paraId="480D36DA" w14:textId="77777777" w:rsidR="0057201B" w:rsidRPr="00AE3A84" w:rsidRDefault="0057201B">
            <w:pPr>
              <w:pStyle w:val="BodyText"/>
              <w:rPr>
                <w:lang w:val="es-ES"/>
              </w:rPr>
            </w:pPr>
            <w:r w:rsidRPr="00AE3A84">
              <w:rPr>
                <w:spacing w:val="-1"/>
              </w:rPr>
              <w:t>1268-12</w:t>
            </w:r>
          </w:p>
        </w:tc>
        <w:tc>
          <w:tcPr>
            <w:tcW w:w="1350" w:type="dxa"/>
            <w:vAlign w:val="center"/>
          </w:tcPr>
          <w:p w14:paraId="3DFE122D" w14:textId="77777777" w:rsidR="0057201B" w:rsidRPr="00AE3A84" w:rsidRDefault="0057201B">
            <w:pPr>
              <w:pStyle w:val="BodyText"/>
              <w:rPr>
                <w:lang w:val="es-ES"/>
              </w:rPr>
            </w:pPr>
            <w:r w:rsidRPr="00AE3A84">
              <w:rPr>
                <w:spacing w:val="-1"/>
              </w:rPr>
              <w:t>14.943</w:t>
            </w:r>
          </w:p>
        </w:tc>
      </w:tr>
      <w:tr w:rsidR="0057201B" w:rsidRPr="00AE3A84" w14:paraId="2A38BFD8" w14:textId="77777777">
        <w:tc>
          <w:tcPr>
            <w:tcW w:w="534" w:type="dxa"/>
            <w:vAlign w:val="center"/>
          </w:tcPr>
          <w:p w14:paraId="070FA28B" w14:textId="77777777" w:rsidR="0057201B" w:rsidRPr="00AE3A84" w:rsidRDefault="0057201B" w:rsidP="00933F91">
            <w:pPr>
              <w:pStyle w:val="BodyText"/>
              <w:widowControl/>
              <w:numPr>
                <w:ilvl w:val="0"/>
                <w:numId w:val="57"/>
              </w:numPr>
              <w:rPr>
                <w:lang w:val="es-ES"/>
              </w:rPr>
            </w:pPr>
          </w:p>
        </w:tc>
        <w:tc>
          <w:tcPr>
            <w:tcW w:w="2953" w:type="dxa"/>
            <w:vAlign w:val="center"/>
          </w:tcPr>
          <w:p w14:paraId="7DDB7526" w14:textId="77777777" w:rsidR="0057201B" w:rsidRPr="00452D6A" w:rsidRDefault="0057201B">
            <w:pPr>
              <w:pStyle w:val="BodyText"/>
            </w:pPr>
            <w:r w:rsidRPr="00452D6A">
              <w:rPr>
                <w:spacing w:val="-1"/>
              </w:rPr>
              <w:t>María</w:t>
            </w:r>
            <w:r w:rsidRPr="00452D6A">
              <w:rPr>
                <w:spacing w:val="-7"/>
              </w:rPr>
              <w:t xml:space="preserve"> </w:t>
            </w:r>
            <w:r w:rsidRPr="00452D6A">
              <w:rPr>
                <w:spacing w:val="-1"/>
              </w:rPr>
              <w:t>Berenice</w:t>
            </w:r>
            <w:r w:rsidRPr="00452D6A">
              <w:rPr>
                <w:spacing w:val="-6"/>
              </w:rPr>
              <w:t xml:space="preserve"> </w:t>
            </w:r>
            <w:r w:rsidRPr="00452D6A">
              <w:rPr>
                <w:spacing w:val="-1"/>
              </w:rPr>
              <w:t>Martínez</w:t>
            </w:r>
            <w:r w:rsidRPr="00452D6A">
              <w:rPr>
                <w:spacing w:val="-6"/>
              </w:rPr>
              <w:t xml:space="preserve"> </w:t>
            </w:r>
            <w:r w:rsidRPr="00452D6A">
              <w:rPr>
                <w:spacing w:val="-1"/>
              </w:rPr>
              <w:t>Hernandez</w:t>
            </w:r>
            <w:r w:rsidRPr="00452D6A">
              <w:rPr>
                <w:spacing w:val="-5"/>
              </w:rPr>
              <w:t xml:space="preserve"> </w:t>
            </w:r>
            <w:r w:rsidRPr="00452D6A">
              <w:t xml:space="preserve">and </w:t>
            </w:r>
            <w:r>
              <w:t>Relatives</w:t>
            </w:r>
          </w:p>
        </w:tc>
        <w:tc>
          <w:tcPr>
            <w:tcW w:w="1119" w:type="dxa"/>
            <w:vAlign w:val="center"/>
          </w:tcPr>
          <w:p w14:paraId="672A3E05" w14:textId="77777777" w:rsidR="0057201B" w:rsidRPr="00AE3A84" w:rsidRDefault="0057201B">
            <w:pPr>
              <w:pStyle w:val="BodyText"/>
              <w:rPr>
                <w:lang w:val="es-ES"/>
              </w:rPr>
            </w:pPr>
            <w:r w:rsidRPr="00AE3A84">
              <w:rPr>
                <w:spacing w:val="-1"/>
              </w:rPr>
              <w:t>Colombia</w:t>
            </w:r>
          </w:p>
        </w:tc>
        <w:tc>
          <w:tcPr>
            <w:tcW w:w="1141" w:type="dxa"/>
            <w:vAlign w:val="center"/>
          </w:tcPr>
          <w:p w14:paraId="5A9A3289" w14:textId="77777777" w:rsidR="0057201B" w:rsidRPr="00AE3A84" w:rsidRDefault="0057201B">
            <w:pPr>
              <w:pStyle w:val="BodyText"/>
              <w:jc w:val="center"/>
              <w:rPr>
                <w:spacing w:val="-1"/>
              </w:rPr>
            </w:pPr>
            <w:r w:rsidRPr="00901280">
              <w:rPr>
                <w:spacing w:val="-1"/>
              </w:rPr>
              <w:t>83/22</w:t>
            </w:r>
          </w:p>
        </w:tc>
        <w:tc>
          <w:tcPr>
            <w:tcW w:w="1289" w:type="dxa"/>
            <w:vAlign w:val="center"/>
          </w:tcPr>
          <w:p w14:paraId="6891A11C" w14:textId="77777777" w:rsidR="0057201B" w:rsidRPr="00AE3A84" w:rsidRDefault="0057201B">
            <w:pPr>
              <w:pStyle w:val="BodyText"/>
              <w:rPr>
                <w:lang w:val="es-ES"/>
              </w:rPr>
            </w:pPr>
            <w:r w:rsidRPr="00AE3A84">
              <w:rPr>
                <w:spacing w:val="-1"/>
              </w:rPr>
              <w:t>3/28/2022</w:t>
            </w:r>
          </w:p>
        </w:tc>
        <w:tc>
          <w:tcPr>
            <w:tcW w:w="1329" w:type="dxa"/>
            <w:vAlign w:val="center"/>
          </w:tcPr>
          <w:p w14:paraId="35DEAC3A" w14:textId="77777777" w:rsidR="0057201B" w:rsidRPr="00AE3A84" w:rsidRDefault="0057201B">
            <w:pPr>
              <w:pStyle w:val="BodyText"/>
              <w:rPr>
                <w:lang w:val="es-ES"/>
              </w:rPr>
            </w:pPr>
            <w:r w:rsidRPr="00AE3A84">
              <w:rPr>
                <w:spacing w:val="-1"/>
              </w:rPr>
              <w:t>429-15</w:t>
            </w:r>
          </w:p>
        </w:tc>
        <w:tc>
          <w:tcPr>
            <w:tcW w:w="1350" w:type="dxa"/>
            <w:vAlign w:val="center"/>
          </w:tcPr>
          <w:p w14:paraId="3A820CFB" w14:textId="77777777" w:rsidR="0057201B" w:rsidRPr="00AE3A84" w:rsidRDefault="0057201B">
            <w:pPr>
              <w:pStyle w:val="BodyText"/>
              <w:rPr>
                <w:lang w:val="es-ES"/>
              </w:rPr>
            </w:pPr>
            <w:r w:rsidRPr="00AE3A84">
              <w:rPr>
                <w:spacing w:val="-1"/>
              </w:rPr>
              <w:t>14.944</w:t>
            </w:r>
          </w:p>
        </w:tc>
      </w:tr>
      <w:tr w:rsidR="0057201B" w:rsidRPr="00AE3A84" w14:paraId="2B510F28" w14:textId="77777777">
        <w:tc>
          <w:tcPr>
            <w:tcW w:w="534" w:type="dxa"/>
            <w:vAlign w:val="center"/>
          </w:tcPr>
          <w:p w14:paraId="5E247FF5" w14:textId="77777777" w:rsidR="0057201B" w:rsidRPr="00AE3A84" w:rsidRDefault="0057201B" w:rsidP="00933F91">
            <w:pPr>
              <w:pStyle w:val="BodyText"/>
              <w:widowControl/>
              <w:numPr>
                <w:ilvl w:val="0"/>
                <w:numId w:val="57"/>
              </w:numPr>
              <w:rPr>
                <w:lang w:val="es-ES"/>
              </w:rPr>
            </w:pPr>
          </w:p>
        </w:tc>
        <w:tc>
          <w:tcPr>
            <w:tcW w:w="2953" w:type="dxa"/>
            <w:vAlign w:val="center"/>
          </w:tcPr>
          <w:p w14:paraId="394DC693" w14:textId="77777777" w:rsidR="0057201B" w:rsidRPr="00AE3A84" w:rsidRDefault="0057201B">
            <w:pPr>
              <w:pStyle w:val="BodyText"/>
              <w:rPr>
                <w:lang w:val="es-ES"/>
              </w:rPr>
            </w:pPr>
            <w:r w:rsidRPr="00AE3A84">
              <w:rPr>
                <w:spacing w:val="-1"/>
                <w:lang w:val="es-AR"/>
              </w:rPr>
              <w:t>Gustavo</w:t>
            </w:r>
            <w:r w:rsidRPr="00AE3A84">
              <w:rPr>
                <w:spacing w:val="-6"/>
                <w:lang w:val="es-AR"/>
              </w:rPr>
              <w:t xml:space="preserve"> </w:t>
            </w:r>
            <w:r w:rsidRPr="00AE3A84">
              <w:rPr>
                <w:spacing w:val="-1"/>
                <w:lang w:val="es-AR"/>
              </w:rPr>
              <w:t>Rojas</w:t>
            </w:r>
            <w:r w:rsidRPr="00AE3A84">
              <w:rPr>
                <w:spacing w:val="-6"/>
                <w:lang w:val="es-AR"/>
              </w:rPr>
              <w:t xml:space="preserve"> </w:t>
            </w:r>
            <w:r w:rsidRPr="00AE3A84">
              <w:rPr>
                <w:spacing w:val="-1"/>
                <w:lang w:val="es-AR"/>
              </w:rPr>
              <w:t>Vargas</w:t>
            </w:r>
            <w:r w:rsidRPr="00AE3A84">
              <w:rPr>
                <w:spacing w:val="-6"/>
                <w:lang w:val="es-AR"/>
              </w:rPr>
              <w:t xml:space="preserve"> </w:t>
            </w:r>
            <w:r>
              <w:rPr>
                <w:lang w:val="es-AR"/>
              </w:rPr>
              <w:t>and Family</w:t>
            </w:r>
          </w:p>
        </w:tc>
        <w:tc>
          <w:tcPr>
            <w:tcW w:w="1119" w:type="dxa"/>
            <w:vAlign w:val="center"/>
          </w:tcPr>
          <w:p w14:paraId="77C7D6CE" w14:textId="77777777" w:rsidR="0057201B" w:rsidRPr="00AE3A84" w:rsidRDefault="0057201B">
            <w:pPr>
              <w:pStyle w:val="BodyText"/>
              <w:rPr>
                <w:lang w:val="es-ES"/>
              </w:rPr>
            </w:pPr>
            <w:r w:rsidRPr="00AE3A84">
              <w:rPr>
                <w:spacing w:val="-1"/>
              </w:rPr>
              <w:t>Colombia</w:t>
            </w:r>
          </w:p>
        </w:tc>
        <w:tc>
          <w:tcPr>
            <w:tcW w:w="1141" w:type="dxa"/>
            <w:vAlign w:val="center"/>
          </w:tcPr>
          <w:p w14:paraId="4888A222" w14:textId="77777777" w:rsidR="0057201B" w:rsidRPr="00AE3A84" w:rsidRDefault="0057201B">
            <w:pPr>
              <w:pStyle w:val="BodyText"/>
              <w:jc w:val="center"/>
              <w:rPr>
                <w:spacing w:val="-1"/>
              </w:rPr>
            </w:pPr>
            <w:r w:rsidRPr="00901280">
              <w:rPr>
                <w:spacing w:val="-1"/>
              </w:rPr>
              <w:t>85/22</w:t>
            </w:r>
          </w:p>
        </w:tc>
        <w:tc>
          <w:tcPr>
            <w:tcW w:w="1289" w:type="dxa"/>
            <w:vAlign w:val="center"/>
          </w:tcPr>
          <w:p w14:paraId="3CC0D196" w14:textId="77777777" w:rsidR="0057201B" w:rsidRPr="00AE3A84" w:rsidRDefault="0057201B">
            <w:pPr>
              <w:pStyle w:val="BodyText"/>
              <w:rPr>
                <w:lang w:val="es-ES"/>
              </w:rPr>
            </w:pPr>
            <w:r w:rsidRPr="00AE3A84">
              <w:rPr>
                <w:spacing w:val="-1"/>
              </w:rPr>
              <w:t>4/24/2022</w:t>
            </w:r>
          </w:p>
        </w:tc>
        <w:tc>
          <w:tcPr>
            <w:tcW w:w="1329" w:type="dxa"/>
            <w:vAlign w:val="center"/>
          </w:tcPr>
          <w:p w14:paraId="4C353C29" w14:textId="77777777" w:rsidR="0057201B" w:rsidRPr="00AE3A84" w:rsidRDefault="0057201B">
            <w:pPr>
              <w:pStyle w:val="BodyText"/>
              <w:rPr>
                <w:lang w:val="es-ES"/>
              </w:rPr>
            </w:pPr>
            <w:r w:rsidRPr="00AE3A84">
              <w:rPr>
                <w:spacing w:val="-1"/>
              </w:rPr>
              <w:t>925-09</w:t>
            </w:r>
          </w:p>
        </w:tc>
        <w:tc>
          <w:tcPr>
            <w:tcW w:w="1350" w:type="dxa"/>
            <w:vAlign w:val="center"/>
          </w:tcPr>
          <w:p w14:paraId="3151D47A" w14:textId="77777777" w:rsidR="0057201B" w:rsidRPr="00AE3A84" w:rsidRDefault="0057201B">
            <w:pPr>
              <w:pStyle w:val="BodyText"/>
              <w:rPr>
                <w:lang w:val="es-ES"/>
              </w:rPr>
            </w:pPr>
            <w:r w:rsidRPr="00AE3A84">
              <w:rPr>
                <w:spacing w:val="-1"/>
              </w:rPr>
              <w:t>14.945</w:t>
            </w:r>
          </w:p>
        </w:tc>
      </w:tr>
      <w:tr w:rsidR="0057201B" w:rsidRPr="00AE3A84" w14:paraId="281FC847" w14:textId="77777777">
        <w:tc>
          <w:tcPr>
            <w:tcW w:w="534" w:type="dxa"/>
            <w:vAlign w:val="center"/>
          </w:tcPr>
          <w:p w14:paraId="5FBF4C45" w14:textId="77777777" w:rsidR="0057201B" w:rsidRPr="00AE3A84" w:rsidRDefault="0057201B" w:rsidP="00933F91">
            <w:pPr>
              <w:pStyle w:val="BodyText"/>
              <w:widowControl/>
              <w:numPr>
                <w:ilvl w:val="0"/>
                <w:numId w:val="57"/>
              </w:numPr>
              <w:rPr>
                <w:lang w:val="es-ES"/>
              </w:rPr>
            </w:pPr>
          </w:p>
        </w:tc>
        <w:tc>
          <w:tcPr>
            <w:tcW w:w="2953" w:type="dxa"/>
            <w:vAlign w:val="center"/>
          </w:tcPr>
          <w:p w14:paraId="48DDCBA2" w14:textId="77777777" w:rsidR="0057201B" w:rsidRPr="00137ACB" w:rsidRDefault="0057201B">
            <w:pPr>
              <w:pStyle w:val="BodyText"/>
              <w:rPr>
                <w:lang w:val="fr-CA"/>
              </w:rPr>
            </w:pPr>
            <w:r w:rsidRPr="00137ACB">
              <w:rPr>
                <w:spacing w:val="-1"/>
                <w:lang w:val="fr-CA"/>
              </w:rPr>
              <w:t>Blanca</w:t>
            </w:r>
            <w:r w:rsidRPr="00137ACB">
              <w:rPr>
                <w:spacing w:val="-6"/>
                <w:lang w:val="fr-CA"/>
              </w:rPr>
              <w:t xml:space="preserve"> </w:t>
            </w:r>
            <w:r w:rsidRPr="00137ACB">
              <w:rPr>
                <w:spacing w:val="-1"/>
                <w:lang w:val="fr-CA"/>
              </w:rPr>
              <w:t>Inés</w:t>
            </w:r>
            <w:r w:rsidRPr="00137ACB">
              <w:rPr>
                <w:spacing w:val="-5"/>
                <w:lang w:val="fr-CA"/>
              </w:rPr>
              <w:t xml:space="preserve"> </w:t>
            </w:r>
            <w:r w:rsidRPr="00137ACB">
              <w:rPr>
                <w:spacing w:val="-1"/>
                <w:lang w:val="fr-CA"/>
              </w:rPr>
              <w:t>López</w:t>
            </w:r>
            <w:r w:rsidRPr="00137ACB">
              <w:rPr>
                <w:spacing w:val="-5"/>
                <w:lang w:val="fr-CA"/>
              </w:rPr>
              <w:t xml:space="preserve"> </w:t>
            </w:r>
            <w:r w:rsidRPr="00137ACB">
              <w:rPr>
                <w:spacing w:val="-1"/>
                <w:lang w:val="fr-CA"/>
              </w:rPr>
              <w:t>Ramírez</w:t>
            </w:r>
            <w:r w:rsidRPr="00137ACB">
              <w:rPr>
                <w:spacing w:val="-4"/>
                <w:lang w:val="fr-CA"/>
              </w:rPr>
              <w:t xml:space="preserve"> </w:t>
            </w:r>
            <w:r w:rsidRPr="00137ACB">
              <w:rPr>
                <w:lang w:val="fr-CA"/>
              </w:rPr>
              <w:t>et al.</w:t>
            </w:r>
          </w:p>
        </w:tc>
        <w:tc>
          <w:tcPr>
            <w:tcW w:w="1119" w:type="dxa"/>
            <w:vAlign w:val="center"/>
          </w:tcPr>
          <w:p w14:paraId="7FD9D426" w14:textId="77777777" w:rsidR="0057201B" w:rsidRPr="00AE3A84" w:rsidRDefault="0057201B">
            <w:pPr>
              <w:pStyle w:val="BodyText"/>
              <w:rPr>
                <w:lang w:val="es-ES"/>
              </w:rPr>
            </w:pPr>
            <w:r w:rsidRPr="00AE3A84">
              <w:rPr>
                <w:spacing w:val="-1"/>
              </w:rPr>
              <w:t>Colombia</w:t>
            </w:r>
          </w:p>
        </w:tc>
        <w:tc>
          <w:tcPr>
            <w:tcW w:w="1141" w:type="dxa"/>
            <w:vAlign w:val="center"/>
          </w:tcPr>
          <w:p w14:paraId="62ACAEE3" w14:textId="77777777" w:rsidR="0057201B" w:rsidRPr="00AE3A84" w:rsidRDefault="0057201B">
            <w:pPr>
              <w:pStyle w:val="BodyText"/>
              <w:jc w:val="center"/>
              <w:rPr>
                <w:spacing w:val="-1"/>
              </w:rPr>
            </w:pPr>
            <w:r w:rsidRPr="00901280">
              <w:rPr>
                <w:spacing w:val="-1"/>
              </w:rPr>
              <w:t>86/22</w:t>
            </w:r>
          </w:p>
        </w:tc>
        <w:tc>
          <w:tcPr>
            <w:tcW w:w="1289" w:type="dxa"/>
            <w:vAlign w:val="center"/>
          </w:tcPr>
          <w:p w14:paraId="15BE28B0" w14:textId="77777777" w:rsidR="0057201B" w:rsidRPr="00AE3A84" w:rsidRDefault="0057201B">
            <w:pPr>
              <w:pStyle w:val="BodyText"/>
              <w:rPr>
                <w:lang w:val="es-ES"/>
              </w:rPr>
            </w:pPr>
            <w:r w:rsidRPr="00AE3A84">
              <w:rPr>
                <w:spacing w:val="-1"/>
              </w:rPr>
              <w:t>4/24/2022</w:t>
            </w:r>
          </w:p>
        </w:tc>
        <w:tc>
          <w:tcPr>
            <w:tcW w:w="1329" w:type="dxa"/>
            <w:vAlign w:val="center"/>
          </w:tcPr>
          <w:p w14:paraId="3B2BA2D5" w14:textId="77777777" w:rsidR="0057201B" w:rsidRPr="00AE3A84" w:rsidRDefault="0057201B">
            <w:pPr>
              <w:pStyle w:val="BodyText"/>
              <w:rPr>
                <w:lang w:val="es-ES"/>
              </w:rPr>
            </w:pPr>
            <w:r w:rsidRPr="00AE3A84">
              <w:rPr>
                <w:spacing w:val="-1"/>
              </w:rPr>
              <w:t>2125-12</w:t>
            </w:r>
          </w:p>
        </w:tc>
        <w:tc>
          <w:tcPr>
            <w:tcW w:w="1350" w:type="dxa"/>
            <w:vAlign w:val="center"/>
          </w:tcPr>
          <w:p w14:paraId="14129661" w14:textId="77777777" w:rsidR="0057201B" w:rsidRPr="00AE3A84" w:rsidRDefault="0057201B">
            <w:pPr>
              <w:pStyle w:val="BodyText"/>
              <w:rPr>
                <w:lang w:val="es-ES"/>
              </w:rPr>
            </w:pPr>
            <w:r w:rsidRPr="00AE3A84">
              <w:rPr>
                <w:spacing w:val="-1"/>
              </w:rPr>
              <w:t>14.946</w:t>
            </w:r>
          </w:p>
        </w:tc>
      </w:tr>
      <w:tr w:rsidR="0057201B" w:rsidRPr="00AE3A84" w14:paraId="3BD712EC" w14:textId="77777777">
        <w:tc>
          <w:tcPr>
            <w:tcW w:w="534" w:type="dxa"/>
            <w:vAlign w:val="center"/>
          </w:tcPr>
          <w:p w14:paraId="665318BE" w14:textId="77777777" w:rsidR="0057201B" w:rsidRPr="00AE3A84" w:rsidRDefault="0057201B" w:rsidP="00933F91">
            <w:pPr>
              <w:pStyle w:val="BodyText"/>
              <w:widowControl/>
              <w:numPr>
                <w:ilvl w:val="0"/>
                <w:numId w:val="57"/>
              </w:numPr>
              <w:rPr>
                <w:lang w:val="es-ES"/>
              </w:rPr>
            </w:pPr>
          </w:p>
        </w:tc>
        <w:tc>
          <w:tcPr>
            <w:tcW w:w="2953" w:type="dxa"/>
            <w:vAlign w:val="center"/>
          </w:tcPr>
          <w:p w14:paraId="1CE91FC5" w14:textId="77777777" w:rsidR="0057201B" w:rsidRPr="00AE3A84" w:rsidRDefault="0057201B">
            <w:pPr>
              <w:pStyle w:val="BodyText"/>
              <w:rPr>
                <w:lang w:val="es-ES"/>
              </w:rPr>
            </w:pPr>
            <w:r w:rsidRPr="00AE3A84">
              <w:rPr>
                <w:spacing w:val="-1"/>
                <w:lang w:val="es-AR"/>
              </w:rPr>
              <w:t>Francy</w:t>
            </w:r>
            <w:r w:rsidRPr="00AE3A84">
              <w:rPr>
                <w:spacing w:val="-4"/>
                <w:lang w:val="es-AR"/>
              </w:rPr>
              <w:t xml:space="preserve"> </w:t>
            </w:r>
            <w:r w:rsidRPr="00AE3A84">
              <w:rPr>
                <w:spacing w:val="-1"/>
                <w:lang w:val="es-AR"/>
              </w:rPr>
              <w:t>Omitar</w:t>
            </w:r>
            <w:r w:rsidRPr="00AE3A84">
              <w:rPr>
                <w:spacing w:val="-5"/>
                <w:lang w:val="es-AR"/>
              </w:rPr>
              <w:t xml:space="preserve"> </w:t>
            </w:r>
            <w:r w:rsidRPr="00AE3A84">
              <w:rPr>
                <w:spacing w:val="-1"/>
                <w:lang w:val="es-AR"/>
              </w:rPr>
              <w:t>Tamayo</w:t>
            </w:r>
            <w:r w:rsidRPr="00AE3A84">
              <w:rPr>
                <w:spacing w:val="-6"/>
                <w:lang w:val="es-AR"/>
              </w:rPr>
              <w:t xml:space="preserve"> </w:t>
            </w:r>
            <w:r>
              <w:rPr>
                <w:lang w:val="es-AR"/>
              </w:rPr>
              <w:t>et al.</w:t>
            </w:r>
          </w:p>
        </w:tc>
        <w:tc>
          <w:tcPr>
            <w:tcW w:w="1119" w:type="dxa"/>
            <w:vAlign w:val="center"/>
          </w:tcPr>
          <w:p w14:paraId="36748DE0" w14:textId="77777777" w:rsidR="0057201B" w:rsidRPr="00AE3A84" w:rsidRDefault="0057201B">
            <w:pPr>
              <w:pStyle w:val="BodyText"/>
              <w:rPr>
                <w:lang w:val="es-ES"/>
              </w:rPr>
            </w:pPr>
            <w:r w:rsidRPr="00AE3A84">
              <w:rPr>
                <w:spacing w:val="-1"/>
              </w:rPr>
              <w:t>Ecuador</w:t>
            </w:r>
          </w:p>
        </w:tc>
        <w:tc>
          <w:tcPr>
            <w:tcW w:w="1141" w:type="dxa"/>
            <w:vAlign w:val="center"/>
          </w:tcPr>
          <w:p w14:paraId="3073A4E4" w14:textId="77777777" w:rsidR="0057201B" w:rsidRPr="00AE3A84" w:rsidRDefault="0057201B">
            <w:pPr>
              <w:pStyle w:val="BodyText"/>
              <w:jc w:val="center"/>
              <w:rPr>
                <w:spacing w:val="-1"/>
              </w:rPr>
            </w:pPr>
            <w:r w:rsidRPr="00901280">
              <w:rPr>
                <w:spacing w:val="-1"/>
              </w:rPr>
              <w:t>87/22</w:t>
            </w:r>
          </w:p>
        </w:tc>
        <w:tc>
          <w:tcPr>
            <w:tcW w:w="1289" w:type="dxa"/>
            <w:vAlign w:val="center"/>
          </w:tcPr>
          <w:p w14:paraId="5F89827D" w14:textId="77777777" w:rsidR="0057201B" w:rsidRPr="00AE3A84" w:rsidRDefault="0057201B">
            <w:pPr>
              <w:pStyle w:val="BodyText"/>
              <w:rPr>
                <w:lang w:val="es-ES"/>
              </w:rPr>
            </w:pPr>
            <w:r w:rsidRPr="00AE3A84">
              <w:rPr>
                <w:spacing w:val="-1"/>
              </w:rPr>
              <w:t>4/12/2022</w:t>
            </w:r>
          </w:p>
        </w:tc>
        <w:tc>
          <w:tcPr>
            <w:tcW w:w="1329" w:type="dxa"/>
            <w:vAlign w:val="center"/>
          </w:tcPr>
          <w:p w14:paraId="395FD013" w14:textId="77777777" w:rsidR="0057201B" w:rsidRPr="00AE3A84" w:rsidRDefault="0057201B">
            <w:pPr>
              <w:pStyle w:val="BodyText"/>
              <w:rPr>
                <w:lang w:val="es-ES"/>
              </w:rPr>
            </w:pPr>
            <w:r w:rsidRPr="00AE3A84">
              <w:rPr>
                <w:spacing w:val="-1"/>
              </w:rPr>
              <w:t>678-13</w:t>
            </w:r>
            <w:r w:rsidRPr="00AE3A84">
              <w:rPr>
                <w:spacing w:val="-7"/>
              </w:rPr>
              <w:t xml:space="preserve"> </w:t>
            </w:r>
            <w:r>
              <w:t>and</w:t>
            </w:r>
            <w:r w:rsidRPr="00AE3A84">
              <w:rPr>
                <w:spacing w:val="-4"/>
              </w:rPr>
              <w:t xml:space="preserve"> </w:t>
            </w:r>
            <w:r w:rsidRPr="00AE3A84">
              <w:rPr>
                <w:spacing w:val="-1"/>
              </w:rPr>
              <w:t>762-13</w:t>
            </w:r>
          </w:p>
        </w:tc>
        <w:tc>
          <w:tcPr>
            <w:tcW w:w="1350" w:type="dxa"/>
            <w:vAlign w:val="center"/>
          </w:tcPr>
          <w:p w14:paraId="2BBE3A80" w14:textId="77777777" w:rsidR="0057201B" w:rsidRPr="00AE3A84" w:rsidRDefault="0057201B">
            <w:pPr>
              <w:pStyle w:val="BodyText"/>
              <w:rPr>
                <w:lang w:val="es-ES"/>
              </w:rPr>
            </w:pPr>
            <w:r w:rsidRPr="00AE3A84">
              <w:rPr>
                <w:spacing w:val="-1"/>
              </w:rPr>
              <w:t>14.964</w:t>
            </w:r>
          </w:p>
        </w:tc>
      </w:tr>
      <w:tr w:rsidR="0057201B" w:rsidRPr="00AE3A84" w14:paraId="53DDDF27" w14:textId="77777777">
        <w:tc>
          <w:tcPr>
            <w:tcW w:w="534" w:type="dxa"/>
            <w:vAlign w:val="center"/>
          </w:tcPr>
          <w:p w14:paraId="44FDBA15" w14:textId="77777777" w:rsidR="0057201B" w:rsidRPr="00AE3A84" w:rsidRDefault="0057201B" w:rsidP="00933F91">
            <w:pPr>
              <w:pStyle w:val="BodyText"/>
              <w:widowControl/>
              <w:numPr>
                <w:ilvl w:val="0"/>
                <w:numId w:val="57"/>
              </w:numPr>
              <w:rPr>
                <w:lang w:val="es-ES"/>
              </w:rPr>
            </w:pPr>
          </w:p>
        </w:tc>
        <w:tc>
          <w:tcPr>
            <w:tcW w:w="2953" w:type="dxa"/>
            <w:vAlign w:val="center"/>
          </w:tcPr>
          <w:p w14:paraId="54D88301" w14:textId="77777777" w:rsidR="0057201B" w:rsidRPr="00AE3A84" w:rsidRDefault="0057201B">
            <w:pPr>
              <w:pStyle w:val="BodyText"/>
              <w:rPr>
                <w:lang w:val="es-ES"/>
              </w:rPr>
            </w:pPr>
            <w:r w:rsidRPr="00AE3A84">
              <w:rPr>
                <w:spacing w:val="-1"/>
              </w:rPr>
              <w:t>Angel</w:t>
            </w:r>
            <w:r w:rsidRPr="00AE3A84">
              <w:rPr>
                <w:spacing w:val="-6"/>
              </w:rPr>
              <w:t xml:space="preserve"> </w:t>
            </w:r>
            <w:r w:rsidRPr="00AE3A84">
              <w:rPr>
                <w:spacing w:val="-1"/>
              </w:rPr>
              <w:t>Humberto</w:t>
            </w:r>
            <w:r w:rsidRPr="00AE3A84">
              <w:rPr>
                <w:spacing w:val="-7"/>
              </w:rPr>
              <w:t xml:space="preserve"> </w:t>
            </w:r>
            <w:r w:rsidRPr="00AE3A84">
              <w:rPr>
                <w:spacing w:val="-1"/>
              </w:rPr>
              <w:t>Puente</w:t>
            </w:r>
            <w:r w:rsidRPr="00AE3A84">
              <w:rPr>
                <w:spacing w:val="-5"/>
              </w:rPr>
              <w:t xml:space="preserve"> </w:t>
            </w:r>
            <w:r w:rsidRPr="00AE3A84">
              <w:rPr>
                <w:spacing w:val="-1"/>
              </w:rPr>
              <w:t>Viteri</w:t>
            </w:r>
          </w:p>
        </w:tc>
        <w:tc>
          <w:tcPr>
            <w:tcW w:w="1119" w:type="dxa"/>
            <w:vAlign w:val="center"/>
          </w:tcPr>
          <w:p w14:paraId="1126B33B" w14:textId="77777777" w:rsidR="0057201B" w:rsidRPr="00AE3A84" w:rsidRDefault="0057201B">
            <w:pPr>
              <w:pStyle w:val="BodyText"/>
              <w:rPr>
                <w:lang w:val="es-ES"/>
              </w:rPr>
            </w:pPr>
            <w:r w:rsidRPr="00AE3A84">
              <w:rPr>
                <w:spacing w:val="-1"/>
              </w:rPr>
              <w:t>Ecuador</w:t>
            </w:r>
          </w:p>
        </w:tc>
        <w:tc>
          <w:tcPr>
            <w:tcW w:w="1141" w:type="dxa"/>
            <w:vAlign w:val="center"/>
          </w:tcPr>
          <w:p w14:paraId="14B68733" w14:textId="77777777" w:rsidR="0057201B" w:rsidRPr="00AE3A84" w:rsidRDefault="0057201B">
            <w:pPr>
              <w:pStyle w:val="BodyText"/>
              <w:jc w:val="center"/>
              <w:rPr>
                <w:spacing w:val="-1"/>
              </w:rPr>
            </w:pPr>
            <w:r w:rsidRPr="00901280">
              <w:rPr>
                <w:spacing w:val="-1"/>
              </w:rPr>
              <w:t>88/22</w:t>
            </w:r>
          </w:p>
        </w:tc>
        <w:tc>
          <w:tcPr>
            <w:tcW w:w="1289" w:type="dxa"/>
            <w:vAlign w:val="center"/>
          </w:tcPr>
          <w:p w14:paraId="396D5BD0" w14:textId="77777777" w:rsidR="0057201B" w:rsidRPr="00AE3A84" w:rsidRDefault="0057201B">
            <w:pPr>
              <w:pStyle w:val="BodyText"/>
              <w:rPr>
                <w:lang w:val="es-ES"/>
              </w:rPr>
            </w:pPr>
            <w:r w:rsidRPr="00AE3A84">
              <w:rPr>
                <w:spacing w:val="-1"/>
              </w:rPr>
              <w:t>4/12/2022</w:t>
            </w:r>
          </w:p>
        </w:tc>
        <w:tc>
          <w:tcPr>
            <w:tcW w:w="1329" w:type="dxa"/>
            <w:vAlign w:val="center"/>
          </w:tcPr>
          <w:p w14:paraId="3367FB74" w14:textId="77777777" w:rsidR="0057201B" w:rsidRPr="00AE3A84" w:rsidRDefault="0057201B">
            <w:pPr>
              <w:pStyle w:val="BodyText"/>
              <w:rPr>
                <w:lang w:val="es-ES"/>
              </w:rPr>
            </w:pPr>
            <w:r w:rsidRPr="00AE3A84">
              <w:rPr>
                <w:spacing w:val="-1"/>
              </w:rPr>
              <w:t>1302-13</w:t>
            </w:r>
          </w:p>
        </w:tc>
        <w:tc>
          <w:tcPr>
            <w:tcW w:w="1350" w:type="dxa"/>
            <w:vAlign w:val="center"/>
          </w:tcPr>
          <w:p w14:paraId="37265028" w14:textId="77777777" w:rsidR="0057201B" w:rsidRPr="00AE3A84" w:rsidRDefault="0057201B">
            <w:pPr>
              <w:pStyle w:val="BodyText"/>
              <w:rPr>
                <w:lang w:val="es-ES"/>
              </w:rPr>
            </w:pPr>
            <w:r w:rsidRPr="00AE3A84">
              <w:rPr>
                <w:spacing w:val="-1"/>
              </w:rPr>
              <w:t>14.947</w:t>
            </w:r>
          </w:p>
        </w:tc>
      </w:tr>
      <w:tr w:rsidR="0057201B" w:rsidRPr="00AE3A84" w14:paraId="70F0ED51" w14:textId="77777777">
        <w:tc>
          <w:tcPr>
            <w:tcW w:w="534" w:type="dxa"/>
            <w:vAlign w:val="center"/>
          </w:tcPr>
          <w:p w14:paraId="01C6C618" w14:textId="77777777" w:rsidR="0057201B" w:rsidRPr="00AE3A84" w:rsidRDefault="0057201B" w:rsidP="00933F91">
            <w:pPr>
              <w:pStyle w:val="BodyText"/>
              <w:widowControl/>
              <w:numPr>
                <w:ilvl w:val="0"/>
                <w:numId w:val="57"/>
              </w:numPr>
              <w:rPr>
                <w:lang w:val="es-ES"/>
              </w:rPr>
            </w:pPr>
          </w:p>
        </w:tc>
        <w:tc>
          <w:tcPr>
            <w:tcW w:w="2953" w:type="dxa"/>
            <w:vAlign w:val="center"/>
          </w:tcPr>
          <w:p w14:paraId="41AA41EA" w14:textId="77777777" w:rsidR="0057201B" w:rsidRPr="00AE3A84" w:rsidRDefault="0057201B">
            <w:pPr>
              <w:pStyle w:val="BodyText"/>
              <w:rPr>
                <w:lang w:val="es-ES"/>
              </w:rPr>
            </w:pPr>
            <w:r w:rsidRPr="00AE3A84">
              <w:rPr>
                <w:spacing w:val="-1"/>
              </w:rPr>
              <w:t>Francisco</w:t>
            </w:r>
            <w:r w:rsidRPr="00AE3A84">
              <w:rPr>
                <w:spacing w:val="-9"/>
              </w:rPr>
              <w:t xml:space="preserve"> </w:t>
            </w:r>
            <w:r w:rsidRPr="00AE3A84">
              <w:rPr>
                <w:spacing w:val="-1"/>
              </w:rPr>
              <w:t>Trujillo</w:t>
            </w:r>
            <w:r w:rsidRPr="00AE3A84">
              <w:rPr>
                <w:spacing w:val="-9"/>
              </w:rPr>
              <w:t xml:space="preserve"> </w:t>
            </w:r>
            <w:r w:rsidRPr="00AE3A84">
              <w:rPr>
                <w:spacing w:val="-1"/>
              </w:rPr>
              <w:t>Paredes</w:t>
            </w:r>
          </w:p>
        </w:tc>
        <w:tc>
          <w:tcPr>
            <w:tcW w:w="1119" w:type="dxa"/>
            <w:vAlign w:val="center"/>
          </w:tcPr>
          <w:p w14:paraId="3BAF7485" w14:textId="77777777" w:rsidR="0057201B" w:rsidRPr="00AE3A84" w:rsidRDefault="0057201B">
            <w:pPr>
              <w:pStyle w:val="BodyText"/>
              <w:rPr>
                <w:lang w:val="es-ES"/>
              </w:rPr>
            </w:pPr>
            <w:r w:rsidRPr="00AE3A84">
              <w:rPr>
                <w:spacing w:val="-1"/>
              </w:rPr>
              <w:t>Ecuador</w:t>
            </w:r>
          </w:p>
        </w:tc>
        <w:tc>
          <w:tcPr>
            <w:tcW w:w="1141" w:type="dxa"/>
            <w:vAlign w:val="center"/>
          </w:tcPr>
          <w:p w14:paraId="5515D9DF" w14:textId="77777777" w:rsidR="0057201B" w:rsidRPr="00AE3A84" w:rsidRDefault="0057201B">
            <w:pPr>
              <w:pStyle w:val="BodyText"/>
              <w:jc w:val="center"/>
              <w:rPr>
                <w:spacing w:val="-1"/>
              </w:rPr>
            </w:pPr>
            <w:r w:rsidRPr="00901280">
              <w:rPr>
                <w:spacing w:val="-1"/>
              </w:rPr>
              <w:t>90/22</w:t>
            </w:r>
          </w:p>
        </w:tc>
        <w:tc>
          <w:tcPr>
            <w:tcW w:w="1289" w:type="dxa"/>
            <w:vAlign w:val="center"/>
          </w:tcPr>
          <w:p w14:paraId="42542BC2" w14:textId="77777777" w:rsidR="0057201B" w:rsidRPr="00AE3A84" w:rsidRDefault="0057201B">
            <w:pPr>
              <w:pStyle w:val="BodyText"/>
              <w:rPr>
                <w:lang w:val="es-ES"/>
              </w:rPr>
            </w:pPr>
            <w:r w:rsidRPr="00AE3A84">
              <w:rPr>
                <w:spacing w:val="-1"/>
              </w:rPr>
              <w:t>4/24/2022</w:t>
            </w:r>
          </w:p>
        </w:tc>
        <w:tc>
          <w:tcPr>
            <w:tcW w:w="1329" w:type="dxa"/>
            <w:vAlign w:val="center"/>
          </w:tcPr>
          <w:p w14:paraId="321F92F6" w14:textId="77777777" w:rsidR="0057201B" w:rsidRPr="00AE3A84" w:rsidRDefault="0057201B">
            <w:pPr>
              <w:pStyle w:val="BodyText"/>
              <w:rPr>
                <w:lang w:val="es-ES"/>
              </w:rPr>
            </w:pPr>
            <w:r w:rsidRPr="00AE3A84">
              <w:rPr>
                <w:spacing w:val="-1"/>
              </w:rPr>
              <w:t>402-13</w:t>
            </w:r>
          </w:p>
        </w:tc>
        <w:tc>
          <w:tcPr>
            <w:tcW w:w="1350" w:type="dxa"/>
            <w:vAlign w:val="center"/>
          </w:tcPr>
          <w:p w14:paraId="0055A6E9" w14:textId="77777777" w:rsidR="0057201B" w:rsidRPr="00AE3A84" w:rsidRDefault="0057201B">
            <w:pPr>
              <w:pStyle w:val="BodyText"/>
              <w:rPr>
                <w:lang w:val="es-ES"/>
              </w:rPr>
            </w:pPr>
            <w:r w:rsidRPr="00AE3A84">
              <w:rPr>
                <w:spacing w:val="-1"/>
              </w:rPr>
              <w:t>14.966</w:t>
            </w:r>
          </w:p>
        </w:tc>
      </w:tr>
      <w:tr w:rsidR="0057201B" w:rsidRPr="00AE3A84" w14:paraId="69EEE657" w14:textId="77777777">
        <w:tc>
          <w:tcPr>
            <w:tcW w:w="534" w:type="dxa"/>
            <w:vAlign w:val="center"/>
          </w:tcPr>
          <w:p w14:paraId="65CD30DD" w14:textId="77777777" w:rsidR="0057201B" w:rsidRPr="00AE3A84" w:rsidRDefault="0057201B" w:rsidP="00933F91">
            <w:pPr>
              <w:pStyle w:val="BodyText"/>
              <w:widowControl/>
              <w:numPr>
                <w:ilvl w:val="0"/>
                <w:numId w:val="57"/>
              </w:numPr>
              <w:rPr>
                <w:lang w:val="es-ES"/>
              </w:rPr>
            </w:pPr>
          </w:p>
        </w:tc>
        <w:tc>
          <w:tcPr>
            <w:tcW w:w="2953" w:type="dxa"/>
            <w:vAlign w:val="center"/>
          </w:tcPr>
          <w:p w14:paraId="0BD880DB" w14:textId="77777777" w:rsidR="0057201B" w:rsidRPr="00AE3A84" w:rsidRDefault="0057201B">
            <w:pPr>
              <w:pStyle w:val="BodyText"/>
              <w:rPr>
                <w:lang w:val="es-ES"/>
              </w:rPr>
            </w:pPr>
            <w:r w:rsidRPr="00AE3A84">
              <w:rPr>
                <w:spacing w:val="-1"/>
              </w:rPr>
              <w:t>Arturo</w:t>
            </w:r>
            <w:r w:rsidRPr="00AE3A84">
              <w:rPr>
                <w:spacing w:val="-7"/>
              </w:rPr>
              <w:t xml:space="preserve"> </w:t>
            </w:r>
            <w:r w:rsidRPr="00AE3A84">
              <w:rPr>
                <w:spacing w:val="-1"/>
              </w:rPr>
              <w:t>Jaime</w:t>
            </w:r>
            <w:r w:rsidRPr="00AE3A84">
              <w:rPr>
                <w:spacing w:val="-5"/>
              </w:rPr>
              <w:t xml:space="preserve"> </w:t>
            </w:r>
            <w:r w:rsidRPr="00AE3A84">
              <w:rPr>
                <w:spacing w:val="-1"/>
              </w:rPr>
              <w:t>Muro</w:t>
            </w:r>
          </w:p>
        </w:tc>
        <w:tc>
          <w:tcPr>
            <w:tcW w:w="1119" w:type="dxa"/>
            <w:vAlign w:val="center"/>
          </w:tcPr>
          <w:p w14:paraId="0BD3FA9F"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5E426DEB" w14:textId="77777777" w:rsidR="0057201B" w:rsidRPr="00AE3A84" w:rsidRDefault="0057201B">
            <w:pPr>
              <w:pStyle w:val="BodyText"/>
              <w:jc w:val="center"/>
              <w:rPr>
                <w:spacing w:val="-1"/>
              </w:rPr>
            </w:pPr>
            <w:r w:rsidRPr="00901280">
              <w:rPr>
                <w:spacing w:val="-1"/>
              </w:rPr>
              <w:t>91/22</w:t>
            </w:r>
          </w:p>
        </w:tc>
        <w:tc>
          <w:tcPr>
            <w:tcW w:w="1289" w:type="dxa"/>
            <w:vAlign w:val="center"/>
          </w:tcPr>
          <w:p w14:paraId="357FA724" w14:textId="77777777" w:rsidR="0057201B" w:rsidRPr="00AE3A84" w:rsidRDefault="0057201B">
            <w:pPr>
              <w:pStyle w:val="BodyText"/>
              <w:rPr>
                <w:lang w:val="es-ES"/>
              </w:rPr>
            </w:pPr>
            <w:r w:rsidRPr="00AE3A84">
              <w:rPr>
                <w:spacing w:val="-1"/>
              </w:rPr>
              <w:t>3/22/2022</w:t>
            </w:r>
          </w:p>
        </w:tc>
        <w:tc>
          <w:tcPr>
            <w:tcW w:w="1329" w:type="dxa"/>
            <w:vAlign w:val="center"/>
          </w:tcPr>
          <w:p w14:paraId="7D3BD097" w14:textId="77777777" w:rsidR="0057201B" w:rsidRPr="00AE3A84" w:rsidRDefault="0057201B">
            <w:pPr>
              <w:pStyle w:val="BodyText"/>
              <w:rPr>
                <w:lang w:val="es-ES"/>
              </w:rPr>
            </w:pPr>
            <w:r w:rsidRPr="00AE3A84">
              <w:rPr>
                <w:spacing w:val="-1"/>
              </w:rPr>
              <w:t>84-13</w:t>
            </w:r>
          </w:p>
        </w:tc>
        <w:tc>
          <w:tcPr>
            <w:tcW w:w="1350" w:type="dxa"/>
            <w:vAlign w:val="center"/>
          </w:tcPr>
          <w:p w14:paraId="7ABE19C0" w14:textId="77777777" w:rsidR="0057201B" w:rsidRPr="00AE3A84" w:rsidRDefault="0057201B">
            <w:pPr>
              <w:pStyle w:val="BodyText"/>
              <w:rPr>
                <w:lang w:val="es-ES"/>
              </w:rPr>
            </w:pPr>
            <w:r w:rsidRPr="00AE3A84">
              <w:rPr>
                <w:spacing w:val="-1"/>
              </w:rPr>
              <w:t>14.948</w:t>
            </w:r>
          </w:p>
        </w:tc>
      </w:tr>
      <w:tr w:rsidR="0057201B" w:rsidRPr="00AE3A84" w14:paraId="09AD4D71" w14:textId="77777777">
        <w:tc>
          <w:tcPr>
            <w:tcW w:w="534" w:type="dxa"/>
            <w:vAlign w:val="center"/>
          </w:tcPr>
          <w:p w14:paraId="0D0780BC" w14:textId="77777777" w:rsidR="0057201B" w:rsidRPr="00AE3A84" w:rsidRDefault="0057201B" w:rsidP="00933F91">
            <w:pPr>
              <w:pStyle w:val="BodyText"/>
              <w:widowControl/>
              <w:numPr>
                <w:ilvl w:val="0"/>
                <w:numId w:val="57"/>
              </w:numPr>
              <w:rPr>
                <w:lang w:val="es-ES"/>
              </w:rPr>
            </w:pPr>
          </w:p>
        </w:tc>
        <w:tc>
          <w:tcPr>
            <w:tcW w:w="2953" w:type="dxa"/>
            <w:vAlign w:val="center"/>
          </w:tcPr>
          <w:p w14:paraId="73E259B3" w14:textId="77777777" w:rsidR="0057201B" w:rsidRPr="00AE3A84" w:rsidRDefault="0057201B">
            <w:pPr>
              <w:pStyle w:val="BodyText"/>
              <w:rPr>
                <w:lang w:val="es-ES"/>
              </w:rPr>
            </w:pPr>
            <w:r w:rsidRPr="00AE3A84">
              <w:rPr>
                <w:spacing w:val="-1"/>
              </w:rPr>
              <w:t>Manue</w:t>
            </w:r>
            <w:r w:rsidRPr="00AE3A84">
              <w:rPr>
                <w:spacing w:val="-8"/>
              </w:rPr>
              <w:t xml:space="preserve"> </w:t>
            </w:r>
            <w:r w:rsidRPr="00AE3A84">
              <w:rPr>
                <w:spacing w:val="-1"/>
              </w:rPr>
              <w:t>Ramírez</w:t>
            </w:r>
            <w:r w:rsidRPr="00AE3A84">
              <w:rPr>
                <w:spacing w:val="-8"/>
              </w:rPr>
              <w:t xml:space="preserve"> </w:t>
            </w:r>
            <w:r w:rsidRPr="00AE3A84">
              <w:rPr>
                <w:spacing w:val="-1"/>
              </w:rPr>
              <w:t>Valdovinos</w:t>
            </w:r>
          </w:p>
        </w:tc>
        <w:tc>
          <w:tcPr>
            <w:tcW w:w="1119" w:type="dxa"/>
            <w:vAlign w:val="center"/>
          </w:tcPr>
          <w:p w14:paraId="4D982B14"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61B96C44" w14:textId="77777777" w:rsidR="0057201B" w:rsidRPr="00AE3A84" w:rsidRDefault="0057201B">
            <w:pPr>
              <w:pStyle w:val="BodyText"/>
              <w:jc w:val="center"/>
              <w:rPr>
                <w:spacing w:val="-1"/>
              </w:rPr>
            </w:pPr>
            <w:r w:rsidRPr="00901280">
              <w:rPr>
                <w:spacing w:val="-1"/>
              </w:rPr>
              <w:t>92/22</w:t>
            </w:r>
          </w:p>
        </w:tc>
        <w:tc>
          <w:tcPr>
            <w:tcW w:w="1289" w:type="dxa"/>
            <w:vAlign w:val="center"/>
          </w:tcPr>
          <w:p w14:paraId="217B49EB" w14:textId="77777777" w:rsidR="0057201B" w:rsidRPr="00AE3A84" w:rsidRDefault="0057201B">
            <w:pPr>
              <w:pStyle w:val="BodyText"/>
              <w:rPr>
                <w:lang w:val="es-ES"/>
              </w:rPr>
            </w:pPr>
            <w:r w:rsidRPr="00AE3A84">
              <w:rPr>
                <w:spacing w:val="-1"/>
              </w:rPr>
              <w:t>3/28/2022</w:t>
            </w:r>
          </w:p>
        </w:tc>
        <w:tc>
          <w:tcPr>
            <w:tcW w:w="1329" w:type="dxa"/>
            <w:vAlign w:val="center"/>
          </w:tcPr>
          <w:p w14:paraId="11CF6E5A" w14:textId="77777777" w:rsidR="0057201B" w:rsidRPr="00AE3A84" w:rsidRDefault="0057201B">
            <w:pPr>
              <w:pStyle w:val="BodyText"/>
              <w:rPr>
                <w:lang w:val="es-ES"/>
              </w:rPr>
            </w:pPr>
            <w:r w:rsidRPr="00AE3A84">
              <w:rPr>
                <w:spacing w:val="-1"/>
              </w:rPr>
              <w:t>262-13</w:t>
            </w:r>
          </w:p>
        </w:tc>
        <w:tc>
          <w:tcPr>
            <w:tcW w:w="1350" w:type="dxa"/>
            <w:vAlign w:val="center"/>
          </w:tcPr>
          <w:p w14:paraId="5DC92C17" w14:textId="77777777" w:rsidR="0057201B" w:rsidRPr="00AE3A84" w:rsidRDefault="0057201B">
            <w:pPr>
              <w:pStyle w:val="BodyText"/>
              <w:rPr>
                <w:lang w:val="es-ES"/>
              </w:rPr>
            </w:pPr>
            <w:r w:rsidRPr="00AE3A84">
              <w:rPr>
                <w:spacing w:val="-1"/>
              </w:rPr>
              <w:t>14.949</w:t>
            </w:r>
          </w:p>
        </w:tc>
      </w:tr>
      <w:tr w:rsidR="0057201B" w:rsidRPr="00AE3A84" w14:paraId="09B831B9" w14:textId="77777777">
        <w:tc>
          <w:tcPr>
            <w:tcW w:w="534" w:type="dxa"/>
            <w:vAlign w:val="center"/>
          </w:tcPr>
          <w:p w14:paraId="5880AEC8" w14:textId="77777777" w:rsidR="0057201B" w:rsidRPr="00AE3A84" w:rsidRDefault="0057201B" w:rsidP="00933F91">
            <w:pPr>
              <w:pStyle w:val="BodyText"/>
              <w:widowControl/>
              <w:numPr>
                <w:ilvl w:val="0"/>
                <w:numId w:val="57"/>
              </w:numPr>
              <w:rPr>
                <w:lang w:val="es-ES"/>
              </w:rPr>
            </w:pPr>
          </w:p>
        </w:tc>
        <w:tc>
          <w:tcPr>
            <w:tcW w:w="2953" w:type="dxa"/>
            <w:vAlign w:val="center"/>
          </w:tcPr>
          <w:p w14:paraId="5BBE1A7A" w14:textId="77777777" w:rsidR="0057201B" w:rsidRPr="00AE3A84" w:rsidRDefault="0057201B">
            <w:pPr>
              <w:pStyle w:val="BodyText"/>
              <w:rPr>
                <w:lang w:val="es-ES"/>
              </w:rPr>
            </w:pPr>
            <w:r w:rsidRPr="000E5866">
              <w:rPr>
                <w:spacing w:val="-1"/>
                <w:lang w:val="es-CO"/>
              </w:rPr>
              <w:t>Yolanda</w:t>
            </w:r>
            <w:r w:rsidRPr="000E5866">
              <w:rPr>
                <w:spacing w:val="-7"/>
                <w:lang w:val="es-CO"/>
              </w:rPr>
              <w:t xml:space="preserve"> </w:t>
            </w:r>
            <w:r w:rsidRPr="000E5866">
              <w:rPr>
                <w:spacing w:val="-1"/>
                <w:lang w:val="es-CO"/>
              </w:rPr>
              <w:t>Guerrero</w:t>
            </w:r>
            <w:r w:rsidRPr="000E5866">
              <w:rPr>
                <w:spacing w:val="-6"/>
                <w:lang w:val="es-CO"/>
              </w:rPr>
              <w:t xml:space="preserve"> </w:t>
            </w:r>
            <w:r w:rsidRPr="000E5866">
              <w:rPr>
                <w:spacing w:val="-1"/>
                <w:lang w:val="es-CO"/>
              </w:rPr>
              <w:t>Caballero,</w:t>
            </w:r>
            <w:r w:rsidRPr="000E5866">
              <w:rPr>
                <w:spacing w:val="-5"/>
                <w:lang w:val="es-CO"/>
              </w:rPr>
              <w:t xml:space="preserve"> </w:t>
            </w:r>
            <w:r w:rsidRPr="000E5866">
              <w:rPr>
                <w:spacing w:val="-1"/>
                <w:lang w:val="es-CO"/>
              </w:rPr>
              <w:t>María</w:t>
            </w:r>
            <w:r w:rsidRPr="000E5866">
              <w:rPr>
                <w:spacing w:val="-7"/>
                <w:lang w:val="es-CO"/>
              </w:rPr>
              <w:t xml:space="preserve"> </w:t>
            </w:r>
            <w:r w:rsidRPr="000E5866">
              <w:rPr>
                <w:spacing w:val="-1"/>
                <w:lang w:val="es-CO"/>
              </w:rPr>
              <w:t>de</w:t>
            </w:r>
            <w:r w:rsidRPr="000E5866">
              <w:rPr>
                <w:spacing w:val="-4"/>
                <w:lang w:val="es-CO"/>
              </w:rPr>
              <w:t xml:space="preserve"> </w:t>
            </w:r>
            <w:r w:rsidRPr="000E5866">
              <w:rPr>
                <w:spacing w:val="-1"/>
                <w:lang w:val="es-CO"/>
              </w:rPr>
              <w:t>Lourdes</w:t>
            </w:r>
            <w:r w:rsidRPr="000E5866">
              <w:rPr>
                <w:spacing w:val="-6"/>
                <w:lang w:val="es-CO"/>
              </w:rPr>
              <w:t xml:space="preserve"> </w:t>
            </w:r>
            <w:r w:rsidRPr="000E5866">
              <w:rPr>
                <w:spacing w:val="-1"/>
                <w:lang w:val="es-CO"/>
              </w:rPr>
              <w:t>Walkup</w:t>
            </w:r>
            <w:r w:rsidRPr="000E5866">
              <w:rPr>
                <w:spacing w:val="-6"/>
                <w:lang w:val="es-CO"/>
              </w:rPr>
              <w:t xml:space="preserve"> </w:t>
            </w:r>
            <w:r w:rsidRPr="000E5866">
              <w:rPr>
                <w:spacing w:val="-1"/>
                <w:lang w:val="es-CO"/>
              </w:rPr>
              <w:t>Mentado</w:t>
            </w:r>
            <w:r>
              <w:rPr>
                <w:spacing w:val="-1"/>
                <w:lang w:val="es-CO"/>
              </w:rPr>
              <w:t>, and</w:t>
            </w:r>
            <w:r w:rsidRPr="000E5866">
              <w:rPr>
                <w:spacing w:val="57"/>
                <w:w w:val="99"/>
                <w:lang w:val="es-CO"/>
              </w:rPr>
              <w:t xml:space="preserve"> </w:t>
            </w:r>
            <w:r w:rsidRPr="000E5866">
              <w:rPr>
                <w:spacing w:val="-1"/>
                <w:lang w:val="es-CO"/>
              </w:rPr>
              <w:t>Rodolfo</w:t>
            </w:r>
            <w:r w:rsidRPr="000E5866">
              <w:rPr>
                <w:spacing w:val="-9"/>
                <w:lang w:val="es-CO"/>
              </w:rPr>
              <w:t xml:space="preserve"> </w:t>
            </w:r>
            <w:r w:rsidRPr="000E5866">
              <w:rPr>
                <w:spacing w:val="-1"/>
                <w:lang w:val="es-CO"/>
              </w:rPr>
              <w:t>Ondarza</w:t>
            </w:r>
            <w:r w:rsidRPr="000E5866">
              <w:rPr>
                <w:spacing w:val="-8"/>
                <w:lang w:val="es-CO"/>
              </w:rPr>
              <w:t xml:space="preserve"> </w:t>
            </w:r>
            <w:r w:rsidRPr="000E5866">
              <w:rPr>
                <w:lang w:val="es-CO"/>
              </w:rPr>
              <w:t>Rovira</w:t>
            </w:r>
          </w:p>
        </w:tc>
        <w:tc>
          <w:tcPr>
            <w:tcW w:w="1119" w:type="dxa"/>
            <w:vAlign w:val="center"/>
          </w:tcPr>
          <w:p w14:paraId="270AA2C6"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5E134159" w14:textId="77777777" w:rsidR="0057201B" w:rsidRPr="00AE3A84" w:rsidRDefault="0057201B">
            <w:pPr>
              <w:pStyle w:val="BodyText"/>
              <w:jc w:val="center"/>
              <w:rPr>
                <w:spacing w:val="-1"/>
              </w:rPr>
            </w:pPr>
            <w:r w:rsidRPr="00901280">
              <w:rPr>
                <w:spacing w:val="-1"/>
              </w:rPr>
              <w:t>93/22</w:t>
            </w:r>
          </w:p>
        </w:tc>
        <w:tc>
          <w:tcPr>
            <w:tcW w:w="1289" w:type="dxa"/>
            <w:vAlign w:val="center"/>
          </w:tcPr>
          <w:p w14:paraId="23BECEBF" w14:textId="77777777" w:rsidR="0057201B" w:rsidRPr="00AE3A84" w:rsidRDefault="0057201B">
            <w:pPr>
              <w:pStyle w:val="BodyText"/>
              <w:rPr>
                <w:lang w:val="es-ES"/>
              </w:rPr>
            </w:pPr>
            <w:r w:rsidRPr="00AE3A84">
              <w:rPr>
                <w:spacing w:val="-1"/>
              </w:rPr>
              <w:t>4/6/2022</w:t>
            </w:r>
          </w:p>
        </w:tc>
        <w:tc>
          <w:tcPr>
            <w:tcW w:w="1329" w:type="dxa"/>
            <w:vAlign w:val="center"/>
          </w:tcPr>
          <w:p w14:paraId="6A0E3FF0" w14:textId="77777777" w:rsidR="0057201B" w:rsidRPr="00AE3A84" w:rsidRDefault="0057201B">
            <w:pPr>
              <w:pStyle w:val="BodyText"/>
              <w:rPr>
                <w:lang w:val="es-ES"/>
              </w:rPr>
            </w:pPr>
            <w:r w:rsidRPr="00AE3A84">
              <w:rPr>
                <w:spacing w:val="-1"/>
              </w:rPr>
              <w:t>1316-12</w:t>
            </w:r>
          </w:p>
        </w:tc>
        <w:tc>
          <w:tcPr>
            <w:tcW w:w="1350" w:type="dxa"/>
            <w:vAlign w:val="center"/>
          </w:tcPr>
          <w:p w14:paraId="3FB7D020" w14:textId="77777777" w:rsidR="0057201B" w:rsidRPr="00AE3A84" w:rsidRDefault="0057201B">
            <w:pPr>
              <w:pStyle w:val="BodyText"/>
              <w:rPr>
                <w:lang w:val="es-ES"/>
              </w:rPr>
            </w:pPr>
            <w:r w:rsidRPr="00AE3A84">
              <w:rPr>
                <w:spacing w:val="-1"/>
              </w:rPr>
              <w:t>14.967</w:t>
            </w:r>
          </w:p>
        </w:tc>
      </w:tr>
      <w:tr w:rsidR="0057201B" w:rsidRPr="00AE3A84" w14:paraId="72831771" w14:textId="77777777">
        <w:tc>
          <w:tcPr>
            <w:tcW w:w="534" w:type="dxa"/>
            <w:vAlign w:val="center"/>
          </w:tcPr>
          <w:p w14:paraId="7A582E5E" w14:textId="77777777" w:rsidR="0057201B" w:rsidRPr="00AE3A84" w:rsidRDefault="0057201B" w:rsidP="00933F91">
            <w:pPr>
              <w:pStyle w:val="BodyText"/>
              <w:widowControl/>
              <w:numPr>
                <w:ilvl w:val="0"/>
                <w:numId w:val="57"/>
              </w:numPr>
              <w:rPr>
                <w:lang w:val="es-ES"/>
              </w:rPr>
            </w:pPr>
          </w:p>
        </w:tc>
        <w:tc>
          <w:tcPr>
            <w:tcW w:w="2953" w:type="dxa"/>
            <w:vAlign w:val="center"/>
          </w:tcPr>
          <w:p w14:paraId="23F7B3C7" w14:textId="77777777" w:rsidR="0057201B" w:rsidRPr="00AE3A84" w:rsidRDefault="0057201B">
            <w:pPr>
              <w:pStyle w:val="BodyText"/>
              <w:rPr>
                <w:lang w:val="es-ES"/>
              </w:rPr>
            </w:pPr>
            <w:r w:rsidRPr="00AE3A84">
              <w:rPr>
                <w:spacing w:val="-1"/>
              </w:rPr>
              <w:t>Adalberto</w:t>
            </w:r>
            <w:r w:rsidRPr="00AE3A84">
              <w:rPr>
                <w:spacing w:val="-7"/>
              </w:rPr>
              <w:t xml:space="preserve"> </w:t>
            </w:r>
            <w:r w:rsidRPr="00AE3A84">
              <w:rPr>
                <w:spacing w:val="-1"/>
              </w:rPr>
              <w:t>Araújo</w:t>
            </w:r>
            <w:r w:rsidRPr="00AE3A84">
              <w:rPr>
                <w:spacing w:val="-6"/>
              </w:rPr>
              <w:t xml:space="preserve"> </w:t>
            </w:r>
            <w:r>
              <w:t>et al.</w:t>
            </w:r>
          </w:p>
        </w:tc>
        <w:tc>
          <w:tcPr>
            <w:tcW w:w="1119" w:type="dxa"/>
            <w:vAlign w:val="center"/>
          </w:tcPr>
          <w:p w14:paraId="70B894DC" w14:textId="77777777" w:rsidR="0057201B" w:rsidRPr="00AE3A84" w:rsidRDefault="0057201B">
            <w:pPr>
              <w:pStyle w:val="BodyText"/>
              <w:rPr>
                <w:lang w:val="es-ES"/>
              </w:rPr>
            </w:pPr>
            <w:r w:rsidRPr="00AE3A84">
              <w:rPr>
                <w:spacing w:val="-1"/>
              </w:rPr>
              <w:t>Bra</w:t>
            </w:r>
            <w:r>
              <w:rPr>
                <w:spacing w:val="-1"/>
              </w:rPr>
              <w:t>z</w:t>
            </w:r>
            <w:r w:rsidRPr="00AE3A84">
              <w:rPr>
                <w:spacing w:val="-1"/>
              </w:rPr>
              <w:t>il</w:t>
            </w:r>
          </w:p>
        </w:tc>
        <w:tc>
          <w:tcPr>
            <w:tcW w:w="1141" w:type="dxa"/>
            <w:vAlign w:val="center"/>
          </w:tcPr>
          <w:p w14:paraId="7433A545" w14:textId="77777777" w:rsidR="0057201B" w:rsidRPr="00AE3A84" w:rsidRDefault="0057201B">
            <w:pPr>
              <w:pStyle w:val="BodyText"/>
              <w:jc w:val="center"/>
              <w:rPr>
                <w:spacing w:val="-1"/>
              </w:rPr>
            </w:pPr>
            <w:r w:rsidRPr="00531148">
              <w:rPr>
                <w:spacing w:val="-1"/>
              </w:rPr>
              <w:t>106/2</w:t>
            </w:r>
            <w:r>
              <w:rPr>
                <w:spacing w:val="-1"/>
              </w:rPr>
              <w:t>2</w:t>
            </w:r>
          </w:p>
        </w:tc>
        <w:tc>
          <w:tcPr>
            <w:tcW w:w="1289" w:type="dxa"/>
            <w:vAlign w:val="center"/>
          </w:tcPr>
          <w:p w14:paraId="7C5830E3" w14:textId="77777777" w:rsidR="0057201B" w:rsidRPr="00AE3A84" w:rsidRDefault="0057201B">
            <w:pPr>
              <w:pStyle w:val="BodyText"/>
              <w:rPr>
                <w:lang w:val="es-ES"/>
              </w:rPr>
            </w:pPr>
            <w:r w:rsidRPr="00AE3A84">
              <w:rPr>
                <w:spacing w:val="-1"/>
              </w:rPr>
              <w:t>5/10/2022</w:t>
            </w:r>
          </w:p>
        </w:tc>
        <w:tc>
          <w:tcPr>
            <w:tcW w:w="1329" w:type="dxa"/>
            <w:vAlign w:val="center"/>
          </w:tcPr>
          <w:p w14:paraId="5E587929" w14:textId="77777777" w:rsidR="0057201B" w:rsidRPr="00AE3A84" w:rsidRDefault="0057201B">
            <w:pPr>
              <w:pStyle w:val="BodyText"/>
              <w:rPr>
                <w:lang w:val="es-ES"/>
              </w:rPr>
            </w:pPr>
            <w:r w:rsidRPr="00AE3A84">
              <w:rPr>
                <w:spacing w:val="-1"/>
              </w:rPr>
              <w:t>2179-12</w:t>
            </w:r>
          </w:p>
        </w:tc>
        <w:tc>
          <w:tcPr>
            <w:tcW w:w="1350" w:type="dxa"/>
            <w:vAlign w:val="center"/>
          </w:tcPr>
          <w:p w14:paraId="032D0E1D" w14:textId="77777777" w:rsidR="0057201B" w:rsidRPr="00AE3A84" w:rsidRDefault="0057201B">
            <w:pPr>
              <w:pStyle w:val="BodyText"/>
              <w:rPr>
                <w:lang w:val="es-ES"/>
              </w:rPr>
            </w:pPr>
            <w:r w:rsidRPr="00AE3A84">
              <w:rPr>
                <w:spacing w:val="-1"/>
              </w:rPr>
              <w:t>15.011</w:t>
            </w:r>
          </w:p>
        </w:tc>
      </w:tr>
      <w:tr w:rsidR="0057201B" w:rsidRPr="00AE3A84" w14:paraId="796B0687" w14:textId="77777777">
        <w:tc>
          <w:tcPr>
            <w:tcW w:w="534" w:type="dxa"/>
            <w:vAlign w:val="center"/>
          </w:tcPr>
          <w:p w14:paraId="2A275100" w14:textId="77777777" w:rsidR="0057201B" w:rsidRPr="00AE3A84" w:rsidRDefault="0057201B" w:rsidP="00933F91">
            <w:pPr>
              <w:pStyle w:val="BodyText"/>
              <w:widowControl/>
              <w:numPr>
                <w:ilvl w:val="0"/>
                <w:numId w:val="57"/>
              </w:numPr>
              <w:rPr>
                <w:lang w:val="es-ES"/>
              </w:rPr>
            </w:pPr>
          </w:p>
        </w:tc>
        <w:tc>
          <w:tcPr>
            <w:tcW w:w="2953" w:type="dxa"/>
            <w:vAlign w:val="center"/>
          </w:tcPr>
          <w:p w14:paraId="415B3CA6" w14:textId="77777777" w:rsidR="0057201B" w:rsidRPr="00137ACB" w:rsidRDefault="0057201B">
            <w:pPr>
              <w:pStyle w:val="BodyText"/>
              <w:rPr>
                <w:lang w:val="pt-BR"/>
              </w:rPr>
            </w:pPr>
            <w:r w:rsidRPr="00137ACB">
              <w:rPr>
                <w:lang w:val="pt-BR"/>
              </w:rPr>
              <w:t>Álvaro</w:t>
            </w:r>
            <w:r w:rsidRPr="00137ACB">
              <w:rPr>
                <w:spacing w:val="-7"/>
                <w:lang w:val="pt-BR"/>
              </w:rPr>
              <w:t xml:space="preserve"> </w:t>
            </w:r>
            <w:r w:rsidRPr="00137ACB">
              <w:rPr>
                <w:spacing w:val="-1"/>
                <w:lang w:val="pt-BR"/>
              </w:rPr>
              <w:t>Araújo</w:t>
            </w:r>
            <w:r w:rsidRPr="00137ACB">
              <w:rPr>
                <w:spacing w:val="-6"/>
                <w:lang w:val="pt-BR"/>
              </w:rPr>
              <w:t xml:space="preserve"> </w:t>
            </w:r>
            <w:r w:rsidRPr="00137ACB">
              <w:rPr>
                <w:spacing w:val="-1"/>
                <w:lang w:val="pt-BR"/>
              </w:rPr>
              <w:t>Castro</w:t>
            </w:r>
            <w:r w:rsidRPr="00137ACB">
              <w:rPr>
                <w:spacing w:val="-6"/>
                <w:lang w:val="pt-BR"/>
              </w:rPr>
              <w:t xml:space="preserve"> </w:t>
            </w:r>
            <w:r w:rsidRPr="00137ACB">
              <w:rPr>
                <w:lang w:val="pt-BR"/>
              </w:rPr>
              <w:t>and Relatives</w:t>
            </w:r>
          </w:p>
        </w:tc>
        <w:tc>
          <w:tcPr>
            <w:tcW w:w="1119" w:type="dxa"/>
            <w:vAlign w:val="center"/>
          </w:tcPr>
          <w:p w14:paraId="6432895D" w14:textId="77777777" w:rsidR="0057201B" w:rsidRPr="00AE3A84" w:rsidRDefault="0057201B">
            <w:pPr>
              <w:pStyle w:val="BodyText"/>
              <w:rPr>
                <w:lang w:val="es-ES"/>
              </w:rPr>
            </w:pPr>
            <w:r w:rsidRPr="00AE3A84">
              <w:rPr>
                <w:spacing w:val="-1"/>
              </w:rPr>
              <w:t>Colombia</w:t>
            </w:r>
          </w:p>
        </w:tc>
        <w:tc>
          <w:tcPr>
            <w:tcW w:w="1141" w:type="dxa"/>
            <w:vAlign w:val="center"/>
          </w:tcPr>
          <w:p w14:paraId="01CCA58E" w14:textId="77777777" w:rsidR="0057201B" w:rsidRPr="00AE3A84" w:rsidRDefault="0057201B">
            <w:pPr>
              <w:pStyle w:val="BodyText"/>
              <w:jc w:val="center"/>
              <w:rPr>
                <w:spacing w:val="-1"/>
              </w:rPr>
            </w:pPr>
            <w:r w:rsidRPr="00531148">
              <w:rPr>
                <w:spacing w:val="-1"/>
              </w:rPr>
              <w:t>109/22</w:t>
            </w:r>
          </w:p>
        </w:tc>
        <w:tc>
          <w:tcPr>
            <w:tcW w:w="1289" w:type="dxa"/>
            <w:vAlign w:val="center"/>
          </w:tcPr>
          <w:p w14:paraId="22F7FA3A" w14:textId="77777777" w:rsidR="0057201B" w:rsidRPr="00AE3A84" w:rsidRDefault="0057201B">
            <w:pPr>
              <w:pStyle w:val="BodyText"/>
              <w:rPr>
                <w:lang w:val="es-ES"/>
              </w:rPr>
            </w:pPr>
            <w:r w:rsidRPr="00AE3A84">
              <w:rPr>
                <w:spacing w:val="-1"/>
              </w:rPr>
              <w:t>5/9/2022</w:t>
            </w:r>
          </w:p>
        </w:tc>
        <w:tc>
          <w:tcPr>
            <w:tcW w:w="1329" w:type="dxa"/>
            <w:vAlign w:val="center"/>
          </w:tcPr>
          <w:p w14:paraId="1E473B0C" w14:textId="77777777" w:rsidR="0057201B" w:rsidRPr="00AE3A84" w:rsidRDefault="0057201B">
            <w:pPr>
              <w:pStyle w:val="BodyText"/>
              <w:rPr>
                <w:lang w:val="es-ES"/>
              </w:rPr>
            </w:pPr>
            <w:r w:rsidRPr="00AE3A84">
              <w:rPr>
                <w:spacing w:val="-1"/>
              </w:rPr>
              <w:t>379-11</w:t>
            </w:r>
          </w:p>
        </w:tc>
        <w:tc>
          <w:tcPr>
            <w:tcW w:w="1350" w:type="dxa"/>
            <w:vAlign w:val="center"/>
          </w:tcPr>
          <w:p w14:paraId="2DB0F9C7" w14:textId="77777777" w:rsidR="0057201B" w:rsidRPr="00AE3A84" w:rsidRDefault="0057201B">
            <w:pPr>
              <w:pStyle w:val="BodyText"/>
              <w:rPr>
                <w:lang w:val="es-ES"/>
              </w:rPr>
            </w:pPr>
            <w:r w:rsidRPr="00AE3A84">
              <w:rPr>
                <w:spacing w:val="-1"/>
              </w:rPr>
              <w:t>14.977</w:t>
            </w:r>
          </w:p>
        </w:tc>
      </w:tr>
      <w:tr w:rsidR="0057201B" w:rsidRPr="00AE3A84" w14:paraId="037360BD" w14:textId="77777777">
        <w:tc>
          <w:tcPr>
            <w:tcW w:w="534" w:type="dxa"/>
            <w:vAlign w:val="center"/>
          </w:tcPr>
          <w:p w14:paraId="19E674F0" w14:textId="77777777" w:rsidR="0057201B" w:rsidRPr="00AE3A84" w:rsidRDefault="0057201B" w:rsidP="00933F91">
            <w:pPr>
              <w:pStyle w:val="BodyText"/>
              <w:widowControl/>
              <w:numPr>
                <w:ilvl w:val="0"/>
                <w:numId w:val="57"/>
              </w:numPr>
              <w:rPr>
                <w:lang w:val="es-ES"/>
              </w:rPr>
            </w:pPr>
          </w:p>
        </w:tc>
        <w:tc>
          <w:tcPr>
            <w:tcW w:w="2953" w:type="dxa"/>
            <w:vAlign w:val="center"/>
          </w:tcPr>
          <w:p w14:paraId="3920D376" w14:textId="77777777" w:rsidR="0057201B" w:rsidRPr="00AE3A84" w:rsidRDefault="0057201B">
            <w:pPr>
              <w:pStyle w:val="BodyText"/>
              <w:rPr>
                <w:lang w:val="es-ES"/>
              </w:rPr>
            </w:pPr>
            <w:r w:rsidRPr="00AE3A84">
              <w:rPr>
                <w:spacing w:val="-1"/>
              </w:rPr>
              <w:t>Daniel</w:t>
            </w:r>
            <w:r w:rsidRPr="00AE3A84">
              <w:rPr>
                <w:spacing w:val="-10"/>
              </w:rPr>
              <w:t xml:space="preserve"> </w:t>
            </w:r>
            <w:r w:rsidRPr="00AE3A84">
              <w:rPr>
                <w:spacing w:val="-1"/>
              </w:rPr>
              <w:t>Marcenaro</w:t>
            </w:r>
          </w:p>
        </w:tc>
        <w:tc>
          <w:tcPr>
            <w:tcW w:w="1119" w:type="dxa"/>
            <w:vAlign w:val="center"/>
          </w:tcPr>
          <w:p w14:paraId="3B5D1927" w14:textId="77777777" w:rsidR="0057201B" w:rsidRPr="00AE3A84" w:rsidRDefault="0057201B">
            <w:pPr>
              <w:pStyle w:val="BodyText"/>
              <w:rPr>
                <w:lang w:val="es-ES"/>
              </w:rPr>
            </w:pPr>
            <w:r w:rsidRPr="00AE3A84">
              <w:rPr>
                <w:spacing w:val="-1"/>
              </w:rPr>
              <w:t>Argentina</w:t>
            </w:r>
          </w:p>
        </w:tc>
        <w:tc>
          <w:tcPr>
            <w:tcW w:w="1141" w:type="dxa"/>
            <w:vAlign w:val="center"/>
          </w:tcPr>
          <w:p w14:paraId="7D9ACB59" w14:textId="77777777" w:rsidR="0057201B" w:rsidRPr="00AE3A84" w:rsidRDefault="0057201B">
            <w:pPr>
              <w:pStyle w:val="BodyText"/>
              <w:jc w:val="center"/>
              <w:rPr>
                <w:spacing w:val="-1"/>
              </w:rPr>
            </w:pPr>
            <w:r w:rsidRPr="00531148">
              <w:rPr>
                <w:spacing w:val="-1"/>
              </w:rPr>
              <w:t>110/22</w:t>
            </w:r>
          </w:p>
        </w:tc>
        <w:tc>
          <w:tcPr>
            <w:tcW w:w="1289" w:type="dxa"/>
            <w:vAlign w:val="center"/>
          </w:tcPr>
          <w:p w14:paraId="367821E6" w14:textId="77777777" w:rsidR="0057201B" w:rsidRPr="00AE3A84" w:rsidRDefault="0057201B">
            <w:pPr>
              <w:pStyle w:val="BodyText"/>
              <w:rPr>
                <w:lang w:val="es-ES"/>
              </w:rPr>
            </w:pPr>
            <w:r w:rsidRPr="00AE3A84">
              <w:rPr>
                <w:spacing w:val="-1"/>
              </w:rPr>
              <w:t>5/10/2022</w:t>
            </w:r>
          </w:p>
        </w:tc>
        <w:tc>
          <w:tcPr>
            <w:tcW w:w="1329" w:type="dxa"/>
            <w:vAlign w:val="center"/>
          </w:tcPr>
          <w:p w14:paraId="39B9451A" w14:textId="77777777" w:rsidR="0057201B" w:rsidRPr="00AE3A84" w:rsidRDefault="0057201B">
            <w:pPr>
              <w:pStyle w:val="BodyText"/>
              <w:rPr>
                <w:lang w:val="es-ES"/>
              </w:rPr>
            </w:pPr>
            <w:r w:rsidRPr="00AE3A84">
              <w:rPr>
                <w:spacing w:val="-1"/>
              </w:rPr>
              <w:t>311-09</w:t>
            </w:r>
          </w:p>
        </w:tc>
        <w:tc>
          <w:tcPr>
            <w:tcW w:w="1350" w:type="dxa"/>
            <w:vAlign w:val="center"/>
          </w:tcPr>
          <w:p w14:paraId="139CDA67" w14:textId="77777777" w:rsidR="0057201B" w:rsidRPr="00AE3A84" w:rsidRDefault="0057201B">
            <w:pPr>
              <w:pStyle w:val="BodyText"/>
              <w:rPr>
                <w:lang w:val="es-ES"/>
              </w:rPr>
            </w:pPr>
            <w:r w:rsidRPr="00AE3A84">
              <w:rPr>
                <w:spacing w:val="-1"/>
              </w:rPr>
              <w:t>14.989</w:t>
            </w:r>
          </w:p>
        </w:tc>
      </w:tr>
      <w:tr w:rsidR="0057201B" w:rsidRPr="00AE3A84" w14:paraId="67D3E14C" w14:textId="77777777">
        <w:tc>
          <w:tcPr>
            <w:tcW w:w="534" w:type="dxa"/>
            <w:vAlign w:val="center"/>
          </w:tcPr>
          <w:p w14:paraId="7C52D26D" w14:textId="77777777" w:rsidR="0057201B" w:rsidRPr="00AE3A84" w:rsidRDefault="0057201B" w:rsidP="00933F91">
            <w:pPr>
              <w:pStyle w:val="BodyText"/>
              <w:widowControl/>
              <w:numPr>
                <w:ilvl w:val="0"/>
                <w:numId w:val="57"/>
              </w:numPr>
              <w:rPr>
                <w:lang w:val="es-ES"/>
              </w:rPr>
            </w:pPr>
          </w:p>
        </w:tc>
        <w:tc>
          <w:tcPr>
            <w:tcW w:w="2953" w:type="dxa"/>
            <w:vAlign w:val="center"/>
          </w:tcPr>
          <w:p w14:paraId="105FA067" w14:textId="77777777" w:rsidR="0057201B" w:rsidRPr="00AE3A84" w:rsidRDefault="0057201B">
            <w:pPr>
              <w:pStyle w:val="BodyText"/>
              <w:rPr>
                <w:lang w:val="es-ES"/>
              </w:rPr>
            </w:pPr>
            <w:r w:rsidRPr="00AE3A84">
              <w:rPr>
                <w:spacing w:val="-1"/>
                <w:lang w:val="es-AR"/>
              </w:rPr>
              <w:t>Ana</w:t>
            </w:r>
            <w:r w:rsidRPr="00AE3A84">
              <w:rPr>
                <w:spacing w:val="-7"/>
                <w:lang w:val="es-AR"/>
              </w:rPr>
              <w:t xml:space="preserve"> </w:t>
            </w:r>
            <w:r w:rsidRPr="00AE3A84">
              <w:rPr>
                <w:spacing w:val="-1"/>
                <w:lang w:val="es-AR"/>
              </w:rPr>
              <w:t>Morelia</w:t>
            </w:r>
            <w:r w:rsidRPr="00AE3A84">
              <w:rPr>
                <w:spacing w:val="-6"/>
                <w:lang w:val="es-AR"/>
              </w:rPr>
              <w:t xml:space="preserve"> </w:t>
            </w:r>
            <w:r w:rsidRPr="00AE3A84">
              <w:rPr>
                <w:spacing w:val="-1"/>
                <w:lang w:val="es-AR"/>
              </w:rPr>
              <w:t>Rodríguez</w:t>
            </w:r>
            <w:r w:rsidRPr="00AE3A84">
              <w:rPr>
                <w:spacing w:val="-6"/>
                <w:lang w:val="es-AR"/>
              </w:rPr>
              <w:t xml:space="preserve"> </w:t>
            </w:r>
            <w:r w:rsidRPr="00AE3A84">
              <w:rPr>
                <w:spacing w:val="-1"/>
                <w:lang w:val="es-AR"/>
              </w:rPr>
              <w:t>Rueda</w:t>
            </w:r>
            <w:r w:rsidRPr="00AE3A84">
              <w:rPr>
                <w:spacing w:val="-6"/>
                <w:lang w:val="es-AR"/>
              </w:rPr>
              <w:t xml:space="preserve"> </w:t>
            </w:r>
            <w:r>
              <w:rPr>
                <w:lang w:val="es-AR"/>
              </w:rPr>
              <w:t>and</w:t>
            </w:r>
            <w:r w:rsidRPr="00AE3A84">
              <w:rPr>
                <w:spacing w:val="-4"/>
                <w:lang w:val="es-AR"/>
              </w:rPr>
              <w:t xml:space="preserve"> </w:t>
            </w:r>
            <w:r w:rsidRPr="00AE3A84">
              <w:rPr>
                <w:spacing w:val="-1"/>
                <w:lang w:val="es-AR"/>
              </w:rPr>
              <w:t>Claudia</w:t>
            </w:r>
            <w:r w:rsidRPr="00AE3A84">
              <w:rPr>
                <w:spacing w:val="-7"/>
                <w:lang w:val="es-AR"/>
              </w:rPr>
              <w:t xml:space="preserve"> </w:t>
            </w:r>
            <w:r w:rsidRPr="00AE3A84">
              <w:rPr>
                <w:spacing w:val="-1"/>
                <w:lang w:val="es-AR"/>
              </w:rPr>
              <w:t>Patricia</w:t>
            </w:r>
            <w:r w:rsidRPr="00AE3A84">
              <w:rPr>
                <w:spacing w:val="-6"/>
                <w:lang w:val="es-AR"/>
              </w:rPr>
              <w:t xml:space="preserve"> </w:t>
            </w:r>
            <w:r w:rsidRPr="00AE3A84">
              <w:rPr>
                <w:spacing w:val="-1"/>
                <w:lang w:val="es-AR"/>
              </w:rPr>
              <w:t>Castañeda</w:t>
            </w:r>
          </w:p>
        </w:tc>
        <w:tc>
          <w:tcPr>
            <w:tcW w:w="1119" w:type="dxa"/>
            <w:vAlign w:val="center"/>
          </w:tcPr>
          <w:p w14:paraId="3F994C2F" w14:textId="77777777" w:rsidR="0057201B" w:rsidRPr="00AE3A84" w:rsidRDefault="0057201B">
            <w:pPr>
              <w:pStyle w:val="BodyText"/>
              <w:rPr>
                <w:lang w:val="es-ES"/>
              </w:rPr>
            </w:pPr>
            <w:r w:rsidRPr="00AE3A84">
              <w:rPr>
                <w:spacing w:val="-1"/>
              </w:rPr>
              <w:t>Colombia</w:t>
            </w:r>
          </w:p>
        </w:tc>
        <w:tc>
          <w:tcPr>
            <w:tcW w:w="1141" w:type="dxa"/>
            <w:vAlign w:val="center"/>
          </w:tcPr>
          <w:p w14:paraId="770C8CD3" w14:textId="77777777" w:rsidR="0057201B" w:rsidRPr="00AE3A84" w:rsidRDefault="0057201B">
            <w:pPr>
              <w:pStyle w:val="BodyText"/>
              <w:jc w:val="center"/>
              <w:rPr>
                <w:spacing w:val="-1"/>
              </w:rPr>
            </w:pPr>
            <w:r w:rsidRPr="00531148">
              <w:rPr>
                <w:spacing w:val="-1"/>
              </w:rPr>
              <w:t>112/22</w:t>
            </w:r>
          </w:p>
        </w:tc>
        <w:tc>
          <w:tcPr>
            <w:tcW w:w="1289" w:type="dxa"/>
            <w:vAlign w:val="center"/>
          </w:tcPr>
          <w:p w14:paraId="37836E1E" w14:textId="77777777" w:rsidR="0057201B" w:rsidRPr="00AE3A84" w:rsidRDefault="0057201B">
            <w:pPr>
              <w:pStyle w:val="BodyText"/>
              <w:rPr>
                <w:lang w:val="es-ES"/>
              </w:rPr>
            </w:pPr>
            <w:r w:rsidRPr="00AE3A84">
              <w:rPr>
                <w:spacing w:val="-1"/>
              </w:rPr>
              <w:t>5/17/2022</w:t>
            </w:r>
          </w:p>
        </w:tc>
        <w:tc>
          <w:tcPr>
            <w:tcW w:w="1329" w:type="dxa"/>
            <w:vAlign w:val="center"/>
          </w:tcPr>
          <w:p w14:paraId="48244B4A" w14:textId="77777777" w:rsidR="0057201B" w:rsidRPr="00AE3A84" w:rsidRDefault="0057201B">
            <w:pPr>
              <w:pStyle w:val="BodyText"/>
              <w:rPr>
                <w:lang w:val="es-ES"/>
              </w:rPr>
            </w:pPr>
            <w:r w:rsidRPr="00AE3A84">
              <w:rPr>
                <w:spacing w:val="-1"/>
              </w:rPr>
              <w:t>760-14</w:t>
            </w:r>
          </w:p>
        </w:tc>
        <w:tc>
          <w:tcPr>
            <w:tcW w:w="1350" w:type="dxa"/>
            <w:vAlign w:val="center"/>
          </w:tcPr>
          <w:p w14:paraId="33694048" w14:textId="77777777" w:rsidR="0057201B" w:rsidRPr="00AE3A84" w:rsidRDefault="0057201B">
            <w:pPr>
              <w:pStyle w:val="BodyText"/>
              <w:rPr>
                <w:lang w:val="es-ES"/>
              </w:rPr>
            </w:pPr>
            <w:r w:rsidRPr="00AE3A84">
              <w:rPr>
                <w:spacing w:val="-1"/>
              </w:rPr>
              <w:t>14.978</w:t>
            </w:r>
          </w:p>
        </w:tc>
      </w:tr>
      <w:tr w:rsidR="0057201B" w:rsidRPr="00AE3A84" w14:paraId="3A42FF13" w14:textId="77777777">
        <w:tc>
          <w:tcPr>
            <w:tcW w:w="534" w:type="dxa"/>
            <w:vAlign w:val="center"/>
          </w:tcPr>
          <w:p w14:paraId="467703F7" w14:textId="77777777" w:rsidR="0057201B" w:rsidRPr="00AE3A84" w:rsidRDefault="0057201B" w:rsidP="00933F91">
            <w:pPr>
              <w:pStyle w:val="BodyText"/>
              <w:widowControl/>
              <w:numPr>
                <w:ilvl w:val="0"/>
                <w:numId w:val="57"/>
              </w:numPr>
              <w:rPr>
                <w:lang w:val="es-ES"/>
              </w:rPr>
            </w:pPr>
          </w:p>
        </w:tc>
        <w:tc>
          <w:tcPr>
            <w:tcW w:w="2953" w:type="dxa"/>
            <w:vAlign w:val="center"/>
          </w:tcPr>
          <w:p w14:paraId="5EDFEF06" w14:textId="77777777" w:rsidR="0057201B" w:rsidRPr="00AE3A84" w:rsidRDefault="0057201B">
            <w:pPr>
              <w:pStyle w:val="BodyText"/>
              <w:rPr>
                <w:lang w:val="es-ES"/>
              </w:rPr>
            </w:pPr>
            <w:r w:rsidRPr="00AE3A84">
              <w:rPr>
                <w:spacing w:val="-1"/>
              </w:rPr>
              <w:t>María</w:t>
            </w:r>
            <w:r w:rsidRPr="00AE3A84">
              <w:rPr>
                <w:spacing w:val="-7"/>
              </w:rPr>
              <w:t xml:space="preserve"> </w:t>
            </w:r>
            <w:r w:rsidRPr="00AE3A84">
              <w:rPr>
                <w:spacing w:val="-1"/>
              </w:rPr>
              <w:t>Soraya</w:t>
            </w:r>
            <w:r w:rsidRPr="00AE3A84">
              <w:rPr>
                <w:spacing w:val="-7"/>
              </w:rPr>
              <w:t xml:space="preserve"> </w:t>
            </w:r>
            <w:r w:rsidRPr="00AE3A84">
              <w:rPr>
                <w:spacing w:val="-1"/>
              </w:rPr>
              <w:t>Neira</w:t>
            </w:r>
            <w:r w:rsidRPr="00AE3A84">
              <w:rPr>
                <w:spacing w:val="-7"/>
              </w:rPr>
              <w:t xml:space="preserve"> </w:t>
            </w:r>
            <w:r w:rsidRPr="00AE3A84">
              <w:rPr>
                <w:spacing w:val="-1"/>
              </w:rPr>
              <w:t>Estrada</w:t>
            </w:r>
          </w:p>
        </w:tc>
        <w:tc>
          <w:tcPr>
            <w:tcW w:w="1119" w:type="dxa"/>
            <w:vAlign w:val="center"/>
          </w:tcPr>
          <w:p w14:paraId="4FE1A048" w14:textId="77777777" w:rsidR="0057201B" w:rsidRPr="00AE3A84" w:rsidRDefault="0057201B">
            <w:pPr>
              <w:pStyle w:val="BodyText"/>
              <w:rPr>
                <w:lang w:val="es-ES"/>
              </w:rPr>
            </w:pPr>
            <w:r w:rsidRPr="00AE3A84">
              <w:rPr>
                <w:spacing w:val="-1"/>
              </w:rPr>
              <w:t>Ecuador</w:t>
            </w:r>
          </w:p>
        </w:tc>
        <w:tc>
          <w:tcPr>
            <w:tcW w:w="1141" w:type="dxa"/>
            <w:vAlign w:val="center"/>
          </w:tcPr>
          <w:p w14:paraId="1DCEC19A" w14:textId="77777777" w:rsidR="0057201B" w:rsidRPr="00AE3A84" w:rsidRDefault="0057201B">
            <w:pPr>
              <w:pStyle w:val="BodyText"/>
              <w:jc w:val="center"/>
              <w:rPr>
                <w:spacing w:val="-1"/>
              </w:rPr>
            </w:pPr>
            <w:r w:rsidRPr="00531148">
              <w:rPr>
                <w:spacing w:val="-1"/>
              </w:rPr>
              <w:t>113/22</w:t>
            </w:r>
          </w:p>
        </w:tc>
        <w:tc>
          <w:tcPr>
            <w:tcW w:w="1289" w:type="dxa"/>
            <w:vAlign w:val="center"/>
          </w:tcPr>
          <w:p w14:paraId="1FE5E373" w14:textId="77777777" w:rsidR="0057201B" w:rsidRPr="00AE3A84" w:rsidRDefault="0057201B">
            <w:pPr>
              <w:pStyle w:val="BodyText"/>
              <w:rPr>
                <w:lang w:val="es-ES"/>
              </w:rPr>
            </w:pPr>
            <w:r w:rsidRPr="00AE3A84">
              <w:rPr>
                <w:spacing w:val="-1"/>
              </w:rPr>
              <w:t>5/17/2022</w:t>
            </w:r>
          </w:p>
        </w:tc>
        <w:tc>
          <w:tcPr>
            <w:tcW w:w="1329" w:type="dxa"/>
            <w:vAlign w:val="center"/>
          </w:tcPr>
          <w:p w14:paraId="51537696" w14:textId="77777777" w:rsidR="0057201B" w:rsidRPr="00AE3A84" w:rsidRDefault="0057201B">
            <w:pPr>
              <w:pStyle w:val="BodyText"/>
              <w:rPr>
                <w:lang w:val="es-ES"/>
              </w:rPr>
            </w:pPr>
            <w:r w:rsidRPr="00AE3A84">
              <w:rPr>
                <w:spacing w:val="-1"/>
              </w:rPr>
              <w:t>563-12</w:t>
            </w:r>
          </w:p>
        </w:tc>
        <w:tc>
          <w:tcPr>
            <w:tcW w:w="1350" w:type="dxa"/>
            <w:vAlign w:val="center"/>
          </w:tcPr>
          <w:p w14:paraId="09F94119" w14:textId="77777777" w:rsidR="0057201B" w:rsidRPr="00AE3A84" w:rsidRDefault="0057201B">
            <w:pPr>
              <w:pStyle w:val="BodyText"/>
              <w:rPr>
                <w:lang w:val="es-ES"/>
              </w:rPr>
            </w:pPr>
            <w:r w:rsidRPr="00AE3A84">
              <w:rPr>
                <w:spacing w:val="-1"/>
              </w:rPr>
              <w:t>14.984</w:t>
            </w:r>
          </w:p>
        </w:tc>
      </w:tr>
      <w:tr w:rsidR="0057201B" w:rsidRPr="00AE3A84" w14:paraId="7139B9D5" w14:textId="77777777">
        <w:tc>
          <w:tcPr>
            <w:tcW w:w="534" w:type="dxa"/>
            <w:vAlign w:val="center"/>
          </w:tcPr>
          <w:p w14:paraId="37404F13" w14:textId="77777777" w:rsidR="0057201B" w:rsidRPr="00AE3A84" w:rsidRDefault="0057201B" w:rsidP="00933F91">
            <w:pPr>
              <w:pStyle w:val="BodyText"/>
              <w:widowControl/>
              <w:numPr>
                <w:ilvl w:val="0"/>
                <w:numId w:val="57"/>
              </w:numPr>
              <w:rPr>
                <w:lang w:val="es-ES"/>
              </w:rPr>
            </w:pPr>
          </w:p>
        </w:tc>
        <w:tc>
          <w:tcPr>
            <w:tcW w:w="2953" w:type="dxa"/>
            <w:vAlign w:val="center"/>
          </w:tcPr>
          <w:p w14:paraId="39265735" w14:textId="77777777" w:rsidR="0057201B" w:rsidRPr="00AE3A84" w:rsidRDefault="0057201B">
            <w:pPr>
              <w:pStyle w:val="BodyText"/>
              <w:rPr>
                <w:lang w:val="es-ES"/>
              </w:rPr>
            </w:pPr>
            <w:r w:rsidRPr="00AE3A84">
              <w:rPr>
                <w:spacing w:val="-1"/>
              </w:rPr>
              <w:t>José</w:t>
            </w:r>
            <w:r w:rsidRPr="00AE3A84">
              <w:rPr>
                <w:spacing w:val="-6"/>
              </w:rPr>
              <w:t xml:space="preserve"> </w:t>
            </w:r>
            <w:r w:rsidRPr="00AE3A84">
              <w:rPr>
                <w:spacing w:val="-1"/>
              </w:rPr>
              <w:t>María</w:t>
            </w:r>
            <w:r w:rsidRPr="00AE3A84">
              <w:rPr>
                <w:spacing w:val="-7"/>
              </w:rPr>
              <w:t xml:space="preserve"> </w:t>
            </w:r>
            <w:r w:rsidRPr="00AE3A84">
              <w:rPr>
                <w:spacing w:val="-1"/>
              </w:rPr>
              <w:t>Imbett</w:t>
            </w:r>
            <w:r w:rsidRPr="00AE3A84">
              <w:rPr>
                <w:spacing w:val="-6"/>
              </w:rPr>
              <w:t xml:space="preserve"> </w:t>
            </w:r>
            <w:r w:rsidRPr="00AE3A84">
              <w:rPr>
                <w:spacing w:val="-1"/>
              </w:rPr>
              <w:t>Bermúdez</w:t>
            </w:r>
          </w:p>
        </w:tc>
        <w:tc>
          <w:tcPr>
            <w:tcW w:w="1119" w:type="dxa"/>
            <w:vAlign w:val="center"/>
          </w:tcPr>
          <w:p w14:paraId="0EEC54CA" w14:textId="77777777" w:rsidR="0057201B" w:rsidRPr="00AE3A84" w:rsidRDefault="0057201B">
            <w:pPr>
              <w:pStyle w:val="BodyText"/>
              <w:rPr>
                <w:lang w:val="es-ES"/>
              </w:rPr>
            </w:pPr>
            <w:r w:rsidRPr="00AE3A84">
              <w:rPr>
                <w:spacing w:val="-1"/>
              </w:rPr>
              <w:t>Colombia</w:t>
            </w:r>
          </w:p>
        </w:tc>
        <w:tc>
          <w:tcPr>
            <w:tcW w:w="1141" w:type="dxa"/>
            <w:vAlign w:val="center"/>
          </w:tcPr>
          <w:p w14:paraId="1B7D7644" w14:textId="77777777" w:rsidR="0057201B" w:rsidRPr="00AE3A84" w:rsidRDefault="0057201B">
            <w:pPr>
              <w:pStyle w:val="BodyText"/>
              <w:jc w:val="center"/>
              <w:rPr>
                <w:spacing w:val="-1"/>
              </w:rPr>
            </w:pPr>
            <w:r w:rsidRPr="00531148">
              <w:rPr>
                <w:spacing w:val="-1"/>
              </w:rPr>
              <w:t>114/22</w:t>
            </w:r>
          </w:p>
        </w:tc>
        <w:tc>
          <w:tcPr>
            <w:tcW w:w="1289" w:type="dxa"/>
            <w:vAlign w:val="center"/>
          </w:tcPr>
          <w:p w14:paraId="372EE0FA" w14:textId="77777777" w:rsidR="0057201B" w:rsidRPr="00AE3A84" w:rsidRDefault="0057201B">
            <w:pPr>
              <w:pStyle w:val="BodyText"/>
              <w:rPr>
                <w:lang w:val="es-ES"/>
              </w:rPr>
            </w:pPr>
            <w:r w:rsidRPr="00AE3A84">
              <w:rPr>
                <w:spacing w:val="-1"/>
              </w:rPr>
              <w:t>5/17/2022</w:t>
            </w:r>
          </w:p>
        </w:tc>
        <w:tc>
          <w:tcPr>
            <w:tcW w:w="1329" w:type="dxa"/>
            <w:vAlign w:val="center"/>
          </w:tcPr>
          <w:p w14:paraId="1C799B3B" w14:textId="77777777" w:rsidR="0057201B" w:rsidRPr="00AE3A84" w:rsidRDefault="0057201B">
            <w:pPr>
              <w:pStyle w:val="BodyText"/>
              <w:rPr>
                <w:lang w:val="es-ES"/>
              </w:rPr>
            </w:pPr>
            <w:r w:rsidRPr="00AE3A84">
              <w:rPr>
                <w:spacing w:val="-1"/>
              </w:rPr>
              <w:t>127-13</w:t>
            </w:r>
          </w:p>
        </w:tc>
        <w:tc>
          <w:tcPr>
            <w:tcW w:w="1350" w:type="dxa"/>
            <w:vAlign w:val="center"/>
          </w:tcPr>
          <w:p w14:paraId="0044FA0F" w14:textId="77777777" w:rsidR="0057201B" w:rsidRPr="00AE3A84" w:rsidRDefault="0057201B">
            <w:pPr>
              <w:pStyle w:val="BodyText"/>
              <w:rPr>
                <w:lang w:val="es-ES"/>
              </w:rPr>
            </w:pPr>
            <w:r w:rsidRPr="00AE3A84">
              <w:rPr>
                <w:spacing w:val="-1"/>
              </w:rPr>
              <w:t>14.979</w:t>
            </w:r>
          </w:p>
        </w:tc>
      </w:tr>
      <w:tr w:rsidR="0057201B" w:rsidRPr="00AE3A84" w14:paraId="48774FAE" w14:textId="77777777">
        <w:tc>
          <w:tcPr>
            <w:tcW w:w="534" w:type="dxa"/>
            <w:vAlign w:val="center"/>
          </w:tcPr>
          <w:p w14:paraId="4E9B1CE9" w14:textId="77777777" w:rsidR="0057201B" w:rsidRPr="00AE3A84" w:rsidRDefault="0057201B" w:rsidP="00933F91">
            <w:pPr>
              <w:pStyle w:val="BodyText"/>
              <w:widowControl/>
              <w:numPr>
                <w:ilvl w:val="0"/>
                <w:numId w:val="57"/>
              </w:numPr>
              <w:rPr>
                <w:lang w:val="es-ES"/>
              </w:rPr>
            </w:pPr>
          </w:p>
        </w:tc>
        <w:tc>
          <w:tcPr>
            <w:tcW w:w="2953" w:type="dxa"/>
            <w:vAlign w:val="center"/>
          </w:tcPr>
          <w:p w14:paraId="2FB0FA86" w14:textId="77777777" w:rsidR="0057201B" w:rsidRPr="00C70228" w:rsidRDefault="0057201B">
            <w:pPr>
              <w:pStyle w:val="BodyText"/>
            </w:pPr>
            <w:r w:rsidRPr="00C70228">
              <w:rPr>
                <w:spacing w:val="-1"/>
              </w:rPr>
              <w:t>Kofán</w:t>
            </w:r>
            <w:r w:rsidRPr="00C70228">
              <w:rPr>
                <w:spacing w:val="-5"/>
              </w:rPr>
              <w:t xml:space="preserve"> Indigenous Community of</w:t>
            </w:r>
            <w:r w:rsidRPr="00C70228">
              <w:rPr>
                <w:spacing w:val="-3"/>
              </w:rPr>
              <w:t xml:space="preserve"> </w:t>
            </w:r>
            <w:r w:rsidRPr="00C70228">
              <w:rPr>
                <w:spacing w:val="-1"/>
              </w:rPr>
              <w:t>Santa</w:t>
            </w:r>
            <w:r w:rsidRPr="00C70228">
              <w:rPr>
                <w:spacing w:val="-6"/>
              </w:rPr>
              <w:t xml:space="preserve"> </w:t>
            </w:r>
            <w:r w:rsidRPr="00C70228">
              <w:rPr>
                <w:spacing w:val="-1"/>
              </w:rPr>
              <w:t>Rosa</w:t>
            </w:r>
            <w:r w:rsidRPr="00C70228">
              <w:rPr>
                <w:spacing w:val="-5"/>
              </w:rPr>
              <w:t xml:space="preserve"> </w:t>
            </w:r>
            <w:r w:rsidRPr="00C70228">
              <w:rPr>
                <w:spacing w:val="-1"/>
              </w:rPr>
              <w:t>del</w:t>
            </w:r>
            <w:r w:rsidRPr="00C70228">
              <w:rPr>
                <w:spacing w:val="-4"/>
              </w:rPr>
              <w:t xml:space="preserve"> </w:t>
            </w:r>
            <w:r w:rsidRPr="00C70228">
              <w:rPr>
                <w:spacing w:val="-1"/>
              </w:rPr>
              <w:t>Guamuez</w:t>
            </w:r>
            <w:r w:rsidRPr="00C70228">
              <w:rPr>
                <w:spacing w:val="-4"/>
              </w:rPr>
              <w:t xml:space="preserve"> </w:t>
            </w:r>
            <w:r w:rsidRPr="00C70228">
              <w:t>and i</w:t>
            </w:r>
            <w:r>
              <w:t>ts Members</w:t>
            </w:r>
          </w:p>
        </w:tc>
        <w:tc>
          <w:tcPr>
            <w:tcW w:w="1119" w:type="dxa"/>
            <w:vAlign w:val="center"/>
          </w:tcPr>
          <w:p w14:paraId="3387C564" w14:textId="77777777" w:rsidR="0057201B" w:rsidRPr="00AE3A84" w:rsidRDefault="0057201B">
            <w:pPr>
              <w:pStyle w:val="BodyText"/>
              <w:rPr>
                <w:lang w:val="es-ES"/>
              </w:rPr>
            </w:pPr>
            <w:r w:rsidRPr="00AE3A84">
              <w:rPr>
                <w:spacing w:val="-1"/>
              </w:rPr>
              <w:t>Colombia</w:t>
            </w:r>
          </w:p>
        </w:tc>
        <w:tc>
          <w:tcPr>
            <w:tcW w:w="1141" w:type="dxa"/>
            <w:vAlign w:val="center"/>
          </w:tcPr>
          <w:p w14:paraId="7AAC5794" w14:textId="77777777" w:rsidR="0057201B" w:rsidRPr="00AE3A84" w:rsidRDefault="0057201B">
            <w:pPr>
              <w:pStyle w:val="TableParagraph"/>
              <w:jc w:val="center"/>
              <w:rPr>
                <w:rFonts w:ascii="Cambria" w:eastAsia="Times New Roman" w:hAnsi="Cambria" w:cs="Times New Roman"/>
                <w:sz w:val="20"/>
                <w:szCs w:val="20"/>
              </w:rPr>
            </w:pPr>
            <w:r w:rsidRPr="00531148">
              <w:rPr>
                <w:rFonts w:ascii="Cambria" w:hAnsi="Cambria"/>
                <w:spacing w:val="-1"/>
                <w:sz w:val="20"/>
                <w:szCs w:val="20"/>
              </w:rPr>
              <w:t>115/22</w:t>
            </w:r>
          </w:p>
        </w:tc>
        <w:tc>
          <w:tcPr>
            <w:tcW w:w="1289" w:type="dxa"/>
            <w:vAlign w:val="center"/>
          </w:tcPr>
          <w:p w14:paraId="40A8C931" w14:textId="77777777" w:rsidR="0057201B" w:rsidRPr="00AE3A84" w:rsidRDefault="0057201B">
            <w:pPr>
              <w:pStyle w:val="TableParagraph"/>
              <w:rPr>
                <w:rFonts w:ascii="Cambria" w:eastAsia="Times New Roman" w:hAnsi="Cambria" w:cs="Times New Roman"/>
                <w:sz w:val="20"/>
                <w:szCs w:val="20"/>
              </w:rPr>
            </w:pPr>
          </w:p>
          <w:p w14:paraId="263B4388" w14:textId="77777777" w:rsidR="0057201B" w:rsidRPr="00AE3A84" w:rsidRDefault="0057201B">
            <w:pPr>
              <w:pStyle w:val="BodyText"/>
              <w:rPr>
                <w:lang w:val="es-ES"/>
              </w:rPr>
            </w:pPr>
            <w:r w:rsidRPr="00AE3A84">
              <w:rPr>
                <w:spacing w:val="-1"/>
              </w:rPr>
              <w:t>5/17/2022</w:t>
            </w:r>
          </w:p>
        </w:tc>
        <w:tc>
          <w:tcPr>
            <w:tcW w:w="1329" w:type="dxa"/>
            <w:vAlign w:val="center"/>
          </w:tcPr>
          <w:p w14:paraId="4A9A6D01" w14:textId="77777777" w:rsidR="0057201B" w:rsidRPr="00AE3A84" w:rsidRDefault="0057201B">
            <w:pPr>
              <w:pStyle w:val="BodyText"/>
              <w:rPr>
                <w:lang w:val="es-ES"/>
              </w:rPr>
            </w:pPr>
            <w:r w:rsidRPr="00AE3A84">
              <w:rPr>
                <w:spacing w:val="-1"/>
              </w:rPr>
              <w:t>165-13</w:t>
            </w:r>
          </w:p>
        </w:tc>
        <w:tc>
          <w:tcPr>
            <w:tcW w:w="1350" w:type="dxa"/>
            <w:vAlign w:val="center"/>
          </w:tcPr>
          <w:p w14:paraId="2154ACD6" w14:textId="522A3C10" w:rsidR="0057201B" w:rsidRPr="00AE3A84" w:rsidRDefault="0057201B">
            <w:pPr>
              <w:pStyle w:val="BodyText"/>
              <w:rPr>
                <w:lang w:val="es-ES"/>
              </w:rPr>
            </w:pPr>
            <w:r w:rsidRPr="00AE3A84">
              <w:rPr>
                <w:spacing w:val="-1"/>
              </w:rPr>
              <w:t>14.98</w:t>
            </w:r>
            <w:r w:rsidR="00676858">
              <w:rPr>
                <w:spacing w:val="-1"/>
              </w:rPr>
              <w:t>0</w:t>
            </w:r>
          </w:p>
        </w:tc>
      </w:tr>
      <w:tr w:rsidR="0057201B" w:rsidRPr="00AE3A84" w14:paraId="729347B2" w14:textId="77777777">
        <w:tc>
          <w:tcPr>
            <w:tcW w:w="534" w:type="dxa"/>
            <w:vAlign w:val="center"/>
          </w:tcPr>
          <w:p w14:paraId="24389A0F" w14:textId="77777777" w:rsidR="0057201B" w:rsidRPr="00AE3A84" w:rsidRDefault="0057201B" w:rsidP="00933F91">
            <w:pPr>
              <w:pStyle w:val="BodyText"/>
              <w:widowControl/>
              <w:numPr>
                <w:ilvl w:val="0"/>
                <w:numId w:val="57"/>
              </w:numPr>
              <w:rPr>
                <w:lang w:val="es-ES"/>
              </w:rPr>
            </w:pPr>
          </w:p>
        </w:tc>
        <w:tc>
          <w:tcPr>
            <w:tcW w:w="2953" w:type="dxa"/>
            <w:vAlign w:val="center"/>
          </w:tcPr>
          <w:p w14:paraId="2A7AEEBE" w14:textId="77777777" w:rsidR="0057201B" w:rsidRPr="00AE3A84" w:rsidRDefault="0057201B">
            <w:pPr>
              <w:pStyle w:val="BodyText"/>
              <w:rPr>
                <w:lang w:val="es-ES"/>
              </w:rPr>
            </w:pPr>
            <w:r w:rsidRPr="00AE3A84">
              <w:rPr>
                <w:spacing w:val="-1"/>
              </w:rPr>
              <w:t>Luis</w:t>
            </w:r>
            <w:r w:rsidRPr="00AE3A84">
              <w:rPr>
                <w:spacing w:val="-6"/>
              </w:rPr>
              <w:t xml:space="preserve"> </w:t>
            </w:r>
            <w:r w:rsidRPr="00AE3A84">
              <w:rPr>
                <w:spacing w:val="-1"/>
              </w:rPr>
              <w:t>Alberto</w:t>
            </w:r>
            <w:r w:rsidRPr="00AE3A84">
              <w:rPr>
                <w:spacing w:val="-6"/>
              </w:rPr>
              <w:t xml:space="preserve"> </w:t>
            </w:r>
            <w:r w:rsidRPr="00AE3A84">
              <w:rPr>
                <w:spacing w:val="-1"/>
              </w:rPr>
              <w:t>Gil</w:t>
            </w:r>
            <w:r w:rsidRPr="00AE3A84">
              <w:rPr>
                <w:spacing w:val="-5"/>
              </w:rPr>
              <w:t xml:space="preserve"> </w:t>
            </w:r>
            <w:r w:rsidRPr="00AE3A84">
              <w:rPr>
                <w:spacing w:val="-1"/>
              </w:rPr>
              <w:t>Castillo</w:t>
            </w:r>
          </w:p>
        </w:tc>
        <w:tc>
          <w:tcPr>
            <w:tcW w:w="1119" w:type="dxa"/>
            <w:vAlign w:val="center"/>
          </w:tcPr>
          <w:p w14:paraId="4925B8D4" w14:textId="77777777" w:rsidR="0057201B" w:rsidRPr="00AE3A84" w:rsidRDefault="0057201B">
            <w:pPr>
              <w:pStyle w:val="BodyText"/>
              <w:rPr>
                <w:lang w:val="es-ES"/>
              </w:rPr>
            </w:pPr>
            <w:r w:rsidRPr="00AE3A84">
              <w:rPr>
                <w:spacing w:val="-1"/>
              </w:rPr>
              <w:t>Colombia</w:t>
            </w:r>
          </w:p>
        </w:tc>
        <w:tc>
          <w:tcPr>
            <w:tcW w:w="1141" w:type="dxa"/>
            <w:vAlign w:val="center"/>
          </w:tcPr>
          <w:p w14:paraId="473073A2" w14:textId="77777777" w:rsidR="0057201B" w:rsidRPr="00AE3A84" w:rsidRDefault="0057201B">
            <w:pPr>
              <w:pStyle w:val="BodyText"/>
              <w:jc w:val="center"/>
              <w:rPr>
                <w:spacing w:val="-1"/>
              </w:rPr>
            </w:pPr>
            <w:r w:rsidRPr="00531148">
              <w:rPr>
                <w:spacing w:val="-1"/>
              </w:rPr>
              <w:t>116/22</w:t>
            </w:r>
          </w:p>
        </w:tc>
        <w:tc>
          <w:tcPr>
            <w:tcW w:w="1289" w:type="dxa"/>
            <w:vAlign w:val="center"/>
          </w:tcPr>
          <w:p w14:paraId="28D0E6CB" w14:textId="77777777" w:rsidR="0057201B" w:rsidRPr="00AE3A84" w:rsidRDefault="0057201B">
            <w:pPr>
              <w:pStyle w:val="BodyText"/>
              <w:rPr>
                <w:lang w:val="es-ES"/>
              </w:rPr>
            </w:pPr>
            <w:r w:rsidRPr="00AE3A84">
              <w:rPr>
                <w:spacing w:val="-1"/>
              </w:rPr>
              <w:t>5/17/2022</w:t>
            </w:r>
          </w:p>
        </w:tc>
        <w:tc>
          <w:tcPr>
            <w:tcW w:w="1329" w:type="dxa"/>
            <w:vAlign w:val="center"/>
          </w:tcPr>
          <w:p w14:paraId="7132C486" w14:textId="77777777" w:rsidR="0057201B" w:rsidRPr="00AE3A84" w:rsidRDefault="0057201B">
            <w:pPr>
              <w:pStyle w:val="BodyText"/>
              <w:rPr>
                <w:lang w:val="es-ES"/>
              </w:rPr>
            </w:pPr>
            <w:r w:rsidRPr="00AE3A84">
              <w:rPr>
                <w:spacing w:val="-1"/>
              </w:rPr>
              <w:t>50-13</w:t>
            </w:r>
          </w:p>
        </w:tc>
        <w:tc>
          <w:tcPr>
            <w:tcW w:w="1350" w:type="dxa"/>
            <w:vAlign w:val="center"/>
          </w:tcPr>
          <w:p w14:paraId="43AA2D29" w14:textId="77777777" w:rsidR="0057201B" w:rsidRPr="00AE3A84" w:rsidRDefault="0057201B">
            <w:pPr>
              <w:pStyle w:val="BodyText"/>
              <w:rPr>
                <w:lang w:val="es-ES"/>
              </w:rPr>
            </w:pPr>
            <w:r w:rsidRPr="00AE3A84">
              <w:rPr>
                <w:spacing w:val="-1"/>
              </w:rPr>
              <w:t>14.981</w:t>
            </w:r>
          </w:p>
        </w:tc>
      </w:tr>
      <w:tr w:rsidR="0057201B" w:rsidRPr="00AE3A84" w14:paraId="357258CC" w14:textId="77777777">
        <w:tc>
          <w:tcPr>
            <w:tcW w:w="534" w:type="dxa"/>
            <w:vAlign w:val="center"/>
          </w:tcPr>
          <w:p w14:paraId="173274A6" w14:textId="77777777" w:rsidR="0057201B" w:rsidRPr="00AE3A84" w:rsidRDefault="0057201B" w:rsidP="00933F91">
            <w:pPr>
              <w:pStyle w:val="BodyText"/>
              <w:widowControl/>
              <w:numPr>
                <w:ilvl w:val="0"/>
                <w:numId w:val="57"/>
              </w:numPr>
              <w:rPr>
                <w:lang w:val="es-ES"/>
              </w:rPr>
            </w:pPr>
          </w:p>
        </w:tc>
        <w:tc>
          <w:tcPr>
            <w:tcW w:w="2953" w:type="dxa"/>
            <w:vAlign w:val="center"/>
          </w:tcPr>
          <w:p w14:paraId="05B1B6E3" w14:textId="77777777" w:rsidR="0057201B" w:rsidRPr="00137ACB" w:rsidRDefault="0057201B">
            <w:pPr>
              <w:pStyle w:val="BodyText"/>
              <w:rPr>
                <w:lang w:val="pt-BR"/>
              </w:rPr>
            </w:pPr>
            <w:r w:rsidRPr="00137ACB">
              <w:rPr>
                <w:spacing w:val="-1"/>
                <w:lang w:val="pt-BR"/>
              </w:rPr>
              <w:t>Leonardo</w:t>
            </w:r>
            <w:r w:rsidRPr="00137ACB">
              <w:rPr>
                <w:spacing w:val="-8"/>
                <w:lang w:val="pt-BR"/>
              </w:rPr>
              <w:t xml:space="preserve"> </w:t>
            </w:r>
            <w:r w:rsidRPr="00137ACB">
              <w:rPr>
                <w:spacing w:val="-1"/>
                <w:lang w:val="pt-BR"/>
              </w:rPr>
              <w:t>Hernández</w:t>
            </w:r>
            <w:r w:rsidRPr="00137ACB">
              <w:rPr>
                <w:spacing w:val="-6"/>
                <w:lang w:val="pt-BR"/>
              </w:rPr>
              <w:t xml:space="preserve"> </w:t>
            </w:r>
            <w:r w:rsidRPr="00137ACB">
              <w:rPr>
                <w:spacing w:val="-1"/>
                <w:lang w:val="pt-BR"/>
              </w:rPr>
              <w:t>Aguirre</w:t>
            </w:r>
            <w:r w:rsidRPr="00137ACB">
              <w:rPr>
                <w:spacing w:val="-6"/>
                <w:lang w:val="pt-BR"/>
              </w:rPr>
              <w:t xml:space="preserve"> </w:t>
            </w:r>
            <w:r w:rsidRPr="00137ACB">
              <w:rPr>
                <w:lang w:val="pt-BR"/>
              </w:rPr>
              <w:t>and Relatives</w:t>
            </w:r>
          </w:p>
        </w:tc>
        <w:tc>
          <w:tcPr>
            <w:tcW w:w="1119" w:type="dxa"/>
            <w:vAlign w:val="center"/>
          </w:tcPr>
          <w:p w14:paraId="0DC1C6E2" w14:textId="77777777" w:rsidR="0057201B" w:rsidRPr="00AE3A84" w:rsidRDefault="0057201B">
            <w:pPr>
              <w:pStyle w:val="BodyText"/>
              <w:rPr>
                <w:lang w:val="es-ES"/>
              </w:rPr>
            </w:pPr>
            <w:r w:rsidRPr="00AE3A84">
              <w:rPr>
                <w:spacing w:val="-1"/>
              </w:rPr>
              <w:t>Colombia</w:t>
            </w:r>
          </w:p>
        </w:tc>
        <w:tc>
          <w:tcPr>
            <w:tcW w:w="1141" w:type="dxa"/>
            <w:vAlign w:val="center"/>
          </w:tcPr>
          <w:p w14:paraId="5DF78A37" w14:textId="77777777" w:rsidR="0057201B" w:rsidRPr="00AE3A84" w:rsidRDefault="0057201B">
            <w:pPr>
              <w:pStyle w:val="BodyText"/>
              <w:jc w:val="center"/>
              <w:rPr>
                <w:spacing w:val="-1"/>
              </w:rPr>
            </w:pPr>
            <w:r w:rsidRPr="00531148">
              <w:rPr>
                <w:spacing w:val="-1"/>
              </w:rPr>
              <w:t>117/22</w:t>
            </w:r>
          </w:p>
        </w:tc>
        <w:tc>
          <w:tcPr>
            <w:tcW w:w="1289" w:type="dxa"/>
            <w:vAlign w:val="center"/>
          </w:tcPr>
          <w:p w14:paraId="7C7E5012" w14:textId="77777777" w:rsidR="0057201B" w:rsidRPr="00AE3A84" w:rsidRDefault="0057201B">
            <w:pPr>
              <w:pStyle w:val="BodyText"/>
              <w:rPr>
                <w:lang w:val="es-ES"/>
              </w:rPr>
            </w:pPr>
            <w:r w:rsidRPr="00AE3A84">
              <w:rPr>
                <w:spacing w:val="-1"/>
              </w:rPr>
              <w:t>5/17/2022</w:t>
            </w:r>
          </w:p>
        </w:tc>
        <w:tc>
          <w:tcPr>
            <w:tcW w:w="1329" w:type="dxa"/>
            <w:vAlign w:val="center"/>
          </w:tcPr>
          <w:p w14:paraId="14D2B88E" w14:textId="77777777" w:rsidR="0057201B" w:rsidRPr="00AE3A84" w:rsidRDefault="0057201B">
            <w:pPr>
              <w:pStyle w:val="BodyText"/>
              <w:rPr>
                <w:lang w:val="es-ES"/>
              </w:rPr>
            </w:pPr>
            <w:r w:rsidRPr="00AE3A84">
              <w:rPr>
                <w:spacing w:val="-1"/>
              </w:rPr>
              <w:t>239-13</w:t>
            </w:r>
          </w:p>
        </w:tc>
        <w:tc>
          <w:tcPr>
            <w:tcW w:w="1350" w:type="dxa"/>
            <w:vAlign w:val="center"/>
          </w:tcPr>
          <w:p w14:paraId="72FED65B" w14:textId="77777777" w:rsidR="0057201B" w:rsidRPr="00AE3A84" w:rsidRDefault="0057201B">
            <w:pPr>
              <w:pStyle w:val="BodyText"/>
              <w:rPr>
                <w:lang w:val="es-ES"/>
              </w:rPr>
            </w:pPr>
            <w:r w:rsidRPr="00AE3A84">
              <w:rPr>
                <w:spacing w:val="-1"/>
              </w:rPr>
              <w:t>14.994</w:t>
            </w:r>
          </w:p>
        </w:tc>
      </w:tr>
      <w:tr w:rsidR="0057201B" w:rsidRPr="00AE3A84" w14:paraId="58765979" w14:textId="77777777">
        <w:tc>
          <w:tcPr>
            <w:tcW w:w="534" w:type="dxa"/>
            <w:vAlign w:val="center"/>
          </w:tcPr>
          <w:p w14:paraId="7EC547C6" w14:textId="77777777" w:rsidR="0057201B" w:rsidRPr="00AE3A84" w:rsidRDefault="0057201B" w:rsidP="00933F91">
            <w:pPr>
              <w:pStyle w:val="BodyText"/>
              <w:widowControl/>
              <w:numPr>
                <w:ilvl w:val="0"/>
                <w:numId w:val="57"/>
              </w:numPr>
              <w:rPr>
                <w:lang w:val="es-ES"/>
              </w:rPr>
            </w:pPr>
          </w:p>
        </w:tc>
        <w:tc>
          <w:tcPr>
            <w:tcW w:w="2953" w:type="dxa"/>
            <w:vAlign w:val="center"/>
          </w:tcPr>
          <w:p w14:paraId="715F6393" w14:textId="77777777" w:rsidR="0057201B" w:rsidRPr="00AE3A84" w:rsidRDefault="0057201B">
            <w:pPr>
              <w:pStyle w:val="BodyText"/>
              <w:rPr>
                <w:lang w:val="es-ES"/>
              </w:rPr>
            </w:pPr>
            <w:r w:rsidRPr="00AE3A84">
              <w:t>Ovidio</w:t>
            </w:r>
            <w:r w:rsidRPr="00AE3A84">
              <w:rPr>
                <w:spacing w:val="-8"/>
              </w:rPr>
              <w:t xml:space="preserve"> </w:t>
            </w:r>
            <w:r w:rsidRPr="00AE3A84">
              <w:rPr>
                <w:spacing w:val="-1"/>
              </w:rPr>
              <w:t>Londoño</w:t>
            </w:r>
            <w:r w:rsidRPr="00AE3A84">
              <w:rPr>
                <w:spacing w:val="-8"/>
              </w:rPr>
              <w:t xml:space="preserve"> </w:t>
            </w:r>
            <w:r w:rsidRPr="00AE3A84">
              <w:t>Arce</w:t>
            </w:r>
          </w:p>
        </w:tc>
        <w:tc>
          <w:tcPr>
            <w:tcW w:w="1119" w:type="dxa"/>
            <w:vAlign w:val="center"/>
          </w:tcPr>
          <w:p w14:paraId="737BE6ED" w14:textId="77777777" w:rsidR="0057201B" w:rsidRPr="00AE3A84" w:rsidRDefault="0057201B">
            <w:pPr>
              <w:pStyle w:val="BodyText"/>
              <w:rPr>
                <w:lang w:val="es-ES"/>
              </w:rPr>
            </w:pPr>
            <w:r w:rsidRPr="00AE3A84">
              <w:rPr>
                <w:spacing w:val="-1"/>
              </w:rPr>
              <w:t>Colombia</w:t>
            </w:r>
          </w:p>
        </w:tc>
        <w:tc>
          <w:tcPr>
            <w:tcW w:w="1141" w:type="dxa"/>
            <w:vAlign w:val="center"/>
          </w:tcPr>
          <w:p w14:paraId="7356FAEB" w14:textId="77777777" w:rsidR="0057201B" w:rsidRPr="00AE3A84" w:rsidRDefault="0057201B">
            <w:pPr>
              <w:pStyle w:val="BodyText"/>
              <w:jc w:val="center"/>
              <w:rPr>
                <w:spacing w:val="-1"/>
              </w:rPr>
            </w:pPr>
            <w:r w:rsidRPr="00531148">
              <w:rPr>
                <w:spacing w:val="-1"/>
              </w:rPr>
              <w:t>118/22</w:t>
            </w:r>
          </w:p>
        </w:tc>
        <w:tc>
          <w:tcPr>
            <w:tcW w:w="1289" w:type="dxa"/>
            <w:vAlign w:val="center"/>
          </w:tcPr>
          <w:p w14:paraId="6AE50E11" w14:textId="77777777" w:rsidR="0057201B" w:rsidRPr="00AE3A84" w:rsidRDefault="0057201B">
            <w:pPr>
              <w:pStyle w:val="BodyText"/>
              <w:rPr>
                <w:lang w:val="es-ES"/>
              </w:rPr>
            </w:pPr>
            <w:r w:rsidRPr="00AE3A84">
              <w:rPr>
                <w:spacing w:val="-1"/>
              </w:rPr>
              <w:t>5/17/2022</w:t>
            </w:r>
          </w:p>
        </w:tc>
        <w:tc>
          <w:tcPr>
            <w:tcW w:w="1329" w:type="dxa"/>
            <w:vAlign w:val="center"/>
          </w:tcPr>
          <w:p w14:paraId="70599663" w14:textId="77777777" w:rsidR="0057201B" w:rsidRPr="00AE3A84" w:rsidRDefault="0057201B">
            <w:pPr>
              <w:pStyle w:val="BodyText"/>
              <w:rPr>
                <w:lang w:val="es-ES"/>
              </w:rPr>
            </w:pPr>
            <w:r w:rsidRPr="00AE3A84">
              <w:rPr>
                <w:spacing w:val="-1"/>
              </w:rPr>
              <w:t>300-15</w:t>
            </w:r>
          </w:p>
        </w:tc>
        <w:tc>
          <w:tcPr>
            <w:tcW w:w="1350" w:type="dxa"/>
            <w:vAlign w:val="center"/>
          </w:tcPr>
          <w:p w14:paraId="37EB49AE" w14:textId="77777777" w:rsidR="0057201B" w:rsidRPr="00AE3A84" w:rsidRDefault="0057201B">
            <w:pPr>
              <w:pStyle w:val="BodyText"/>
              <w:rPr>
                <w:lang w:val="es-ES"/>
              </w:rPr>
            </w:pPr>
            <w:r w:rsidRPr="00AE3A84">
              <w:rPr>
                <w:spacing w:val="-1"/>
              </w:rPr>
              <w:t>14.995</w:t>
            </w:r>
          </w:p>
        </w:tc>
      </w:tr>
      <w:tr w:rsidR="0057201B" w:rsidRPr="00AE3A84" w14:paraId="0A00D16A" w14:textId="77777777">
        <w:tc>
          <w:tcPr>
            <w:tcW w:w="534" w:type="dxa"/>
            <w:vAlign w:val="center"/>
          </w:tcPr>
          <w:p w14:paraId="4F5358D0" w14:textId="77777777" w:rsidR="0057201B" w:rsidRPr="00AE3A84" w:rsidRDefault="0057201B" w:rsidP="00933F91">
            <w:pPr>
              <w:pStyle w:val="BodyText"/>
              <w:widowControl/>
              <w:numPr>
                <w:ilvl w:val="0"/>
                <w:numId w:val="57"/>
              </w:numPr>
              <w:rPr>
                <w:lang w:val="es-ES"/>
              </w:rPr>
            </w:pPr>
          </w:p>
        </w:tc>
        <w:tc>
          <w:tcPr>
            <w:tcW w:w="2953" w:type="dxa"/>
            <w:vAlign w:val="center"/>
          </w:tcPr>
          <w:p w14:paraId="4B8305F1" w14:textId="77777777" w:rsidR="0057201B" w:rsidRPr="00AE3A84" w:rsidRDefault="0057201B">
            <w:pPr>
              <w:pStyle w:val="BodyText"/>
              <w:rPr>
                <w:lang w:val="es-ES"/>
              </w:rPr>
            </w:pPr>
            <w:r w:rsidRPr="00AE3A84">
              <w:rPr>
                <w:spacing w:val="-1"/>
              </w:rPr>
              <w:t>Héctor</w:t>
            </w:r>
            <w:r w:rsidRPr="00AE3A84">
              <w:rPr>
                <w:spacing w:val="-6"/>
              </w:rPr>
              <w:t xml:space="preserve"> </w:t>
            </w:r>
            <w:r w:rsidRPr="00AE3A84">
              <w:rPr>
                <w:spacing w:val="-1"/>
              </w:rPr>
              <w:t>José</w:t>
            </w:r>
            <w:r w:rsidRPr="00AE3A84">
              <w:rPr>
                <w:spacing w:val="-5"/>
              </w:rPr>
              <w:t xml:space="preserve"> </w:t>
            </w:r>
            <w:r w:rsidRPr="00AE3A84">
              <w:rPr>
                <w:spacing w:val="-1"/>
              </w:rPr>
              <w:t>Ospina</w:t>
            </w:r>
            <w:r w:rsidRPr="00AE3A84">
              <w:rPr>
                <w:spacing w:val="-6"/>
              </w:rPr>
              <w:t xml:space="preserve"> </w:t>
            </w:r>
            <w:r w:rsidRPr="00AE3A84">
              <w:t>Avilés</w:t>
            </w:r>
          </w:p>
        </w:tc>
        <w:tc>
          <w:tcPr>
            <w:tcW w:w="1119" w:type="dxa"/>
            <w:vAlign w:val="center"/>
          </w:tcPr>
          <w:p w14:paraId="7C87DB58" w14:textId="77777777" w:rsidR="0057201B" w:rsidRPr="00AE3A84" w:rsidRDefault="0057201B">
            <w:pPr>
              <w:pStyle w:val="BodyText"/>
              <w:rPr>
                <w:lang w:val="es-ES"/>
              </w:rPr>
            </w:pPr>
            <w:r w:rsidRPr="00AE3A84">
              <w:rPr>
                <w:spacing w:val="-1"/>
              </w:rPr>
              <w:t>Colombia</w:t>
            </w:r>
          </w:p>
        </w:tc>
        <w:tc>
          <w:tcPr>
            <w:tcW w:w="1141" w:type="dxa"/>
            <w:vAlign w:val="center"/>
          </w:tcPr>
          <w:p w14:paraId="02F6B549" w14:textId="77777777" w:rsidR="0057201B" w:rsidRPr="00AE3A84" w:rsidRDefault="0057201B">
            <w:pPr>
              <w:pStyle w:val="BodyText"/>
              <w:jc w:val="center"/>
              <w:rPr>
                <w:spacing w:val="-1"/>
              </w:rPr>
            </w:pPr>
            <w:r w:rsidRPr="00531148">
              <w:rPr>
                <w:spacing w:val="-1"/>
              </w:rPr>
              <w:t>121/22</w:t>
            </w:r>
          </w:p>
        </w:tc>
        <w:tc>
          <w:tcPr>
            <w:tcW w:w="1289" w:type="dxa"/>
            <w:vAlign w:val="center"/>
          </w:tcPr>
          <w:p w14:paraId="4D955DCD" w14:textId="77777777" w:rsidR="0057201B" w:rsidRPr="00AE3A84" w:rsidRDefault="0057201B">
            <w:pPr>
              <w:pStyle w:val="BodyText"/>
              <w:rPr>
                <w:lang w:val="es-ES"/>
              </w:rPr>
            </w:pPr>
            <w:r w:rsidRPr="00AE3A84">
              <w:rPr>
                <w:spacing w:val="-1"/>
              </w:rPr>
              <w:t>5/17/2022</w:t>
            </w:r>
          </w:p>
        </w:tc>
        <w:tc>
          <w:tcPr>
            <w:tcW w:w="1329" w:type="dxa"/>
            <w:vAlign w:val="center"/>
          </w:tcPr>
          <w:p w14:paraId="763C68B9" w14:textId="77777777" w:rsidR="0057201B" w:rsidRPr="00AE3A84" w:rsidRDefault="0057201B">
            <w:pPr>
              <w:pStyle w:val="BodyText"/>
              <w:rPr>
                <w:lang w:val="es-ES"/>
              </w:rPr>
            </w:pPr>
            <w:r w:rsidRPr="00AE3A84">
              <w:rPr>
                <w:spacing w:val="-1"/>
              </w:rPr>
              <w:t>1165-12</w:t>
            </w:r>
          </w:p>
        </w:tc>
        <w:tc>
          <w:tcPr>
            <w:tcW w:w="1350" w:type="dxa"/>
            <w:vAlign w:val="center"/>
          </w:tcPr>
          <w:p w14:paraId="068A7D98" w14:textId="77777777" w:rsidR="0057201B" w:rsidRPr="00AE3A84" w:rsidRDefault="0057201B">
            <w:pPr>
              <w:pStyle w:val="BodyText"/>
              <w:rPr>
                <w:lang w:val="es-ES"/>
              </w:rPr>
            </w:pPr>
            <w:r w:rsidRPr="00AE3A84">
              <w:rPr>
                <w:spacing w:val="-1"/>
              </w:rPr>
              <w:t>14.996</w:t>
            </w:r>
          </w:p>
        </w:tc>
      </w:tr>
      <w:tr w:rsidR="0057201B" w:rsidRPr="00AE3A84" w14:paraId="770F20B2" w14:textId="77777777">
        <w:tc>
          <w:tcPr>
            <w:tcW w:w="534" w:type="dxa"/>
            <w:vAlign w:val="center"/>
          </w:tcPr>
          <w:p w14:paraId="5C6E94E4" w14:textId="77777777" w:rsidR="0057201B" w:rsidRPr="00AE3A84" w:rsidRDefault="0057201B" w:rsidP="00933F91">
            <w:pPr>
              <w:pStyle w:val="BodyText"/>
              <w:widowControl/>
              <w:numPr>
                <w:ilvl w:val="0"/>
                <w:numId w:val="57"/>
              </w:numPr>
              <w:rPr>
                <w:lang w:val="es-ES"/>
              </w:rPr>
            </w:pPr>
          </w:p>
        </w:tc>
        <w:tc>
          <w:tcPr>
            <w:tcW w:w="2953" w:type="dxa"/>
            <w:vAlign w:val="center"/>
          </w:tcPr>
          <w:p w14:paraId="1952D050" w14:textId="77777777" w:rsidR="0057201B" w:rsidRPr="00AE3A84" w:rsidRDefault="0057201B">
            <w:pPr>
              <w:pStyle w:val="BodyText"/>
              <w:rPr>
                <w:lang w:val="es-ES"/>
              </w:rPr>
            </w:pPr>
            <w:r w:rsidRPr="00AE3A84">
              <w:rPr>
                <w:spacing w:val="-1"/>
              </w:rPr>
              <w:t>Javier</w:t>
            </w:r>
            <w:r w:rsidRPr="00AE3A84">
              <w:rPr>
                <w:spacing w:val="-6"/>
              </w:rPr>
              <w:t xml:space="preserve"> </w:t>
            </w:r>
            <w:r w:rsidRPr="00AE3A84">
              <w:rPr>
                <w:spacing w:val="-1"/>
              </w:rPr>
              <w:t>Enrique</w:t>
            </w:r>
            <w:r w:rsidRPr="00AE3A84">
              <w:rPr>
                <w:spacing w:val="-5"/>
              </w:rPr>
              <w:t xml:space="preserve"> </w:t>
            </w:r>
            <w:r w:rsidRPr="00AE3A84">
              <w:rPr>
                <w:spacing w:val="-1"/>
              </w:rPr>
              <w:t>Cáceres</w:t>
            </w:r>
            <w:r w:rsidRPr="00AE3A84">
              <w:rPr>
                <w:spacing w:val="-7"/>
              </w:rPr>
              <w:t xml:space="preserve"> </w:t>
            </w:r>
            <w:r w:rsidRPr="00AE3A84">
              <w:rPr>
                <w:spacing w:val="-1"/>
              </w:rPr>
              <w:t>Leal</w:t>
            </w:r>
          </w:p>
        </w:tc>
        <w:tc>
          <w:tcPr>
            <w:tcW w:w="1119" w:type="dxa"/>
            <w:vAlign w:val="center"/>
          </w:tcPr>
          <w:p w14:paraId="190E4C9B" w14:textId="77777777" w:rsidR="0057201B" w:rsidRPr="00AE3A84" w:rsidRDefault="0057201B">
            <w:pPr>
              <w:pStyle w:val="BodyText"/>
              <w:rPr>
                <w:lang w:val="es-ES"/>
              </w:rPr>
            </w:pPr>
            <w:r w:rsidRPr="00AE3A84">
              <w:rPr>
                <w:spacing w:val="-1"/>
              </w:rPr>
              <w:t>Colombia</w:t>
            </w:r>
          </w:p>
        </w:tc>
        <w:tc>
          <w:tcPr>
            <w:tcW w:w="1141" w:type="dxa"/>
            <w:vAlign w:val="center"/>
          </w:tcPr>
          <w:p w14:paraId="549D8AFB" w14:textId="77777777" w:rsidR="0057201B" w:rsidRPr="00AE3A84" w:rsidRDefault="0057201B">
            <w:pPr>
              <w:pStyle w:val="BodyText"/>
              <w:jc w:val="center"/>
              <w:rPr>
                <w:spacing w:val="-1"/>
              </w:rPr>
            </w:pPr>
            <w:r w:rsidRPr="00531148">
              <w:rPr>
                <w:spacing w:val="-1"/>
              </w:rPr>
              <w:t>122/22</w:t>
            </w:r>
          </w:p>
        </w:tc>
        <w:tc>
          <w:tcPr>
            <w:tcW w:w="1289" w:type="dxa"/>
            <w:vAlign w:val="center"/>
          </w:tcPr>
          <w:p w14:paraId="3AE9B39F" w14:textId="77777777" w:rsidR="0057201B" w:rsidRPr="00AE3A84" w:rsidRDefault="0057201B">
            <w:pPr>
              <w:pStyle w:val="BodyText"/>
              <w:rPr>
                <w:lang w:val="es-ES"/>
              </w:rPr>
            </w:pPr>
            <w:r w:rsidRPr="00AE3A84">
              <w:rPr>
                <w:spacing w:val="-1"/>
              </w:rPr>
              <w:t>5/18/2022</w:t>
            </w:r>
          </w:p>
        </w:tc>
        <w:tc>
          <w:tcPr>
            <w:tcW w:w="1329" w:type="dxa"/>
            <w:vAlign w:val="center"/>
          </w:tcPr>
          <w:p w14:paraId="329CBEF1" w14:textId="77777777" w:rsidR="0057201B" w:rsidRPr="00AE3A84" w:rsidRDefault="0057201B">
            <w:pPr>
              <w:pStyle w:val="BodyText"/>
              <w:rPr>
                <w:lang w:val="es-ES"/>
              </w:rPr>
            </w:pPr>
            <w:r w:rsidRPr="00AE3A84">
              <w:rPr>
                <w:spacing w:val="-1"/>
              </w:rPr>
              <w:t>892-11</w:t>
            </w:r>
          </w:p>
        </w:tc>
        <w:tc>
          <w:tcPr>
            <w:tcW w:w="1350" w:type="dxa"/>
            <w:vAlign w:val="center"/>
          </w:tcPr>
          <w:p w14:paraId="4255F7C5" w14:textId="77777777" w:rsidR="0057201B" w:rsidRPr="00AE3A84" w:rsidRDefault="0057201B">
            <w:pPr>
              <w:pStyle w:val="BodyText"/>
              <w:rPr>
                <w:lang w:val="es-ES"/>
              </w:rPr>
            </w:pPr>
            <w:r w:rsidRPr="00AE3A84">
              <w:rPr>
                <w:spacing w:val="-1"/>
              </w:rPr>
              <w:t>15.003</w:t>
            </w:r>
          </w:p>
        </w:tc>
      </w:tr>
      <w:tr w:rsidR="0057201B" w:rsidRPr="00AE3A84" w14:paraId="479F0728" w14:textId="77777777">
        <w:tc>
          <w:tcPr>
            <w:tcW w:w="534" w:type="dxa"/>
            <w:vAlign w:val="center"/>
          </w:tcPr>
          <w:p w14:paraId="1A664E98" w14:textId="77777777" w:rsidR="0057201B" w:rsidRPr="00AE3A84" w:rsidRDefault="0057201B" w:rsidP="00933F91">
            <w:pPr>
              <w:pStyle w:val="BodyText"/>
              <w:widowControl/>
              <w:numPr>
                <w:ilvl w:val="0"/>
                <w:numId w:val="57"/>
              </w:numPr>
              <w:rPr>
                <w:lang w:val="es-ES"/>
              </w:rPr>
            </w:pPr>
          </w:p>
        </w:tc>
        <w:tc>
          <w:tcPr>
            <w:tcW w:w="2953" w:type="dxa"/>
            <w:vAlign w:val="center"/>
          </w:tcPr>
          <w:p w14:paraId="61E1CF7E" w14:textId="77777777" w:rsidR="0057201B" w:rsidRPr="00AE3A84" w:rsidRDefault="0057201B">
            <w:pPr>
              <w:pStyle w:val="BodyText"/>
              <w:rPr>
                <w:lang w:val="es-ES"/>
              </w:rPr>
            </w:pPr>
            <w:r w:rsidRPr="00AE3A84">
              <w:rPr>
                <w:spacing w:val="-1"/>
                <w:lang w:val="es-AR"/>
              </w:rPr>
              <w:t>Hugo</w:t>
            </w:r>
            <w:r w:rsidRPr="00AE3A84">
              <w:rPr>
                <w:spacing w:val="-6"/>
                <w:lang w:val="es-AR"/>
              </w:rPr>
              <w:t xml:space="preserve"> </w:t>
            </w:r>
            <w:r w:rsidRPr="00AE3A84">
              <w:rPr>
                <w:spacing w:val="-1"/>
                <w:lang w:val="es-AR"/>
              </w:rPr>
              <w:t>Leonel</w:t>
            </w:r>
            <w:r w:rsidRPr="00AE3A84">
              <w:rPr>
                <w:spacing w:val="-4"/>
                <w:lang w:val="es-AR"/>
              </w:rPr>
              <w:t xml:space="preserve"> </w:t>
            </w:r>
            <w:r w:rsidRPr="00AE3A84">
              <w:rPr>
                <w:spacing w:val="-1"/>
                <w:lang w:val="es-AR"/>
              </w:rPr>
              <w:t>Ocampo</w:t>
            </w:r>
            <w:r w:rsidRPr="00AE3A84">
              <w:rPr>
                <w:spacing w:val="-6"/>
                <w:lang w:val="es-AR"/>
              </w:rPr>
              <w:t xml:space="preserve"> </w:t>
            </w:r>
            <w:r w:rsidRPr="00AE3A84">
              <w:rPr>
                <w:spacing w:val="-1"/>
                <w:lang w:val="es-AR"/>
              </w:rPr>
              <w:t>Ortega</w:t>
            </w:r>
            <w:r w:rsidRPr="00AE3A84">
              <w:rPr>
                <w:spacing w:val="-5"/>
                <w:lang w:val="es-AR"/>
              </w:rPr>
              <w:t xml:space="preserve"> </w:t>
            </w:r>
            <w:r>
              <w:rPr>
                <w:lang w:val="es-AR"/>
              </w:rPr>
              <w:t>et al.</w:t>
            </w:r>
          </w:p>
        </w:tc>
        <w:tc>
          <w:tcPr>
            <w:tcW w:w="1119" w:type="dxa"/>
            <w:vAlign w:val="center"/>
          </w:tcPr>
          <w:p w14:paraId="2EE21068" w14:textId="77777777" w:rsidR="0057201B" w:rsidRPr="00AE3A84" w:rsidRDefault="0057201B">
            <w:pPr>
              <w:pStyle w:val="BodyText"/>
              <w:rPr>
                <w:lang w:val="es-ES"/>
              </w:rPr>
            </w:pPr>
            <w:r w:rsidRPr="00AE3A84">
              <w:rPr>
                <w:spacing w:val="-1"/>
              </w:rPr>
              <w:t>Guatemala</w:t>
            </w:r>
          </w:p>
        </w:tc>
        <w:tc>
          <w:tcPr>
            <w:tcW w:w="1141" w:type="dxa"/>
            <w:vAlign w:val="center"/>
          </w:tcPr>
          <w:p w14:paraId="319C3462" w14:textId="77777777" w:rsidR="0057201B" w:rsidRPr="00AE3A84" w:rsidRDefault="0057201B">
            <w:pPr>
              <w:pStyle w:val="BodyText"/>
              <w:jc w:val="center"/>
              <w:rPr>
                <w:spacing w:val="-1"/>
              </w:rPr>
            </w:pPr>
            <w:r w:rsidRPr="00531148">
              <w:rPr>
                <w:spacing w:val="-1"/>
              </w:rPr>
              <w:t>123/22</w:t>
            </w:r>
          </w:p>
        </w:tc>
        <w:tc>
          <w:tcPr>
            <w:tcW w:w="1289" w:type="dxa"/>
            <w:vAlign w:val="center"/>
          </w:tcPr>
          <w:p w14:paraId="50925BD5" w14:textId="77777777" w:rsidR="0057201B" w:rsidRPr="00AE3A84" w:rsidRDefault="0057201B">
            <w:pPr>
              <w:pStyle w:val="BodyText"/>
              <w:rPr>
                <w:lang w:val="es-ES"/>
              </w:rPr>
            </w:pPr>
            <w:r w:rsidRPr="00AE3A84">
              <w:rPr>
                <w:spacing w:val="-1"/>
              </w:rPr>
              <w:t>5/17/2022</w:t>
            </w:r>
          </w:p>
        </w:tc>
        <w:tc>
          <w:tcPr>
            <w:tcW w:w="1329" w:type="dxa"/>
            <w:vAlign w:val="center"/>
          </w:tcPr>
          <w:p w14:paraId="19D9D81E" w14:textId="77777777" w:rsidR="0057201B" w:rsidRPr="00AE3A84" w:rsidRDefault="0057201B">
            <w:pPr>
              <w:pStyle w:val="BodyText"/>
              <w:rPr>
                <w:lang w:val="es-ES"/>
              </w:rPr>
            </w:pPr>
            <w:r w:rsidRPr="00AE3A84">
              <w:rPr>
                <w:spacing w:val="-1"/>
              </w:rPr>
              <w:t>242-13</w:t>
            </w:r>
          </w:p>
        </w:tc>
        <w:tc>
          <w:tcPr>
            <w:tcW w:w="1350" w:type="dxa"/>
            <w:vAlign w:val="center"/>
          </w:tcPr>
          <w:p w14:paraId="5544B34A" w14:textId="77777777" w:rsidR="0057201B" w:rsidRPr="00AE3A84" w:rsidRDefault="0057201B">
            <w:pPr>
              <w:pStyle w:val="BodyText"/>
              <w:rPr>
                <w:lang w:val="es-ES"/>
              </w:rPr>
            </w:pPr>
            <w:r w:rsidRPr="00AE3A84">
              <w:rPr>
                <w:spacing w:val="-1"/>
              </w:rPr>
              <w:t>14.987</w:t>
            </w:r>
          </w:p>
        </w:tc>
      </w:tr>
      <w:tr w:rsidR="0057201B" w:rsidRPr="00AE3A84" w14:paraId="3E66E267" w14:textId="77777777">
        <w:tc>
          <w:tcPr>
            <w:tcW w:w="534" w:type="dxa"/>
            <w:vAlign w:val="center"/>
          </w:tcPr>
          <w:p w14:paraId="3AE26B3D" w14:textId="77777777" w:rsidR="0057201B" w:rsidRPr="00AE3A84" w:rsidRDefault="0057201B" w:rsidP="00933F91">
            <w:pPr>
              <w:pStyle w:val="BodyText"/>
              <w:widowControl/>
              <w:numPr>
                <w:ilvl w:val="0"/>
                <w:numId w:val="57"/>
              </w:numPr>
              <w:rPr>
                <w:lang w:val="es-ES"/>
              </w:rPr>
            </w:pPr>
          </w:p>
        </w:tc>
        <w:tc>
          <w:tcPr>
            <w:tcW w:w="2953" w:type="dxa"/>
            <w:vAlign w:val="center"/>
          </w:tcPr>
          <w:p w14:paraId="1B38D79B" w14:textId="77777777" w:rsidR="0057201B" w:rsidRPr="00AE3A84" w:rsidRDefault="0057201B">
            <w:pPr>
              <w:pStyle w:val="BodyText"/>
              <w:rPr>
                <w:lang w:val="es-ES"/>
              </w:rPr>
            </w:pPr>
            <w:r w:rsidRPr="00AE3A84">
              <w:rPr>
                <w:spacing w:val="-1"/>
              </w:rPr>
              <w:t>Elmar</w:t>
            </w:r>
            <w:r w:rsidRPr="00AE3A84">
              <w:rPr>
                <w:spacing w:val="-5"/>
              </w:rPr>
              <w:t xml:space="preserve"> </w:t>
            </w:r>
            <w:r w:rsidRPr="00AE3A84">
              <w:rPr>
                <w:spacing w:val="-1"/>
              </w:rPr>
              <w:t>Bones</w:t>
            </w:r>
            <w:r w:rsidRPr="00AE3A84">
              <w:rPr>
                <w:spacing w:val="-6"/>
              </w:rPr>
              <w:t xml:space="preserve"> </w:t>
            </w:r>
            <w:r w:rsidRPr="00AE3A84">
              <w:rPr>
                <w:spacing w:val="-1"/>
              </w:rPr>
              <w:t>da</w:t>
            </w:r>
            <w:r w:rsidRPr="00AE3A84">
              <w:rPr>
                <w:spacing w:val="-6"/>
              </w:rPr>
              <w:t xml:space="preserve"> </w:t>
            </w:r>
            <w:r w:rsidRPr="00AE3A84">
              <w:rPr>
                <w:spacing w:val="-2"/>
              </w:rPr>
              <w:t>Costa</w:t>
            </w:r>
          </w:p>
        </w:tc>
        <w:tc>
          <w:tcPr>
            <w:tcW w:w="1119" w:type="dxa"/>
            <w:vAlign w:val="center"/>
          </w:tcPr>
          <w:p w14:paraId="6EB423FB" w14:textId="77777777" w:rsidR="0057201B" w:rsidRPr="00AE3A84" w:rsidRDefault="0057201B">
            <w:pPr>
              <w:pStyle w:val="BodyText"/>
              <w:rPr>
                <w:lang w:val="es-ES"/>
              </w:rPr>
            </w:pPr>
            <w:r w:rsidRPr="00AE3A84">
              <w:rPr>
                <w:spacing w:val="-1"/>
              </w:rPr>
              <w:t>Bra</w:t>
            </w:r>
            <w:r>
              <w:rPr>
                <w:spacing w:val="-1"/>
              </w:rPr>
              <w:t>z</w:t>
            </w:r>
            <w:r w:rsidRPr="00AE3A84">
              <w:rPr>
                <w:spacing w:val="-1"/>
              </w:rPr>
              <w:t>il</w:t>
            </w:r>
          </w:p>
        </w:tc>
        <w:tc>
          <w:tcPr>
            <w:tcW w:w="1141" w:type="dxa"/>
            <w:vAlign w:val="center"/>
          </w:tcPr>
          <w:p w14:paraId="0FD549C0" w14:textId="77777777" w:rsidR="0057201B" w:rsidRPr="00AE3A84" w:rsidRDefault="0057201B">
            <w:pPr>
              <w:pStyle w:val="BodyText"/>
              <w:jc w:val="center"/>
              <w:rPr>
                <w:spacing w:val="-1"/>
              </w:rPr>
            </w:pPr>
            <w:r w:rsidRPr="00531148">
              <w:rPr>
                <w:spacing w:val="-1"/>
              </w:rPr>
              <w:t>124/22</w:t>
            </w:r>
          </w:p>
        </w:tc>
        <w:tc>
          <w:tcPr>
            <w:tcW w:w="1289" w:type="dxa"/>
            <w:vAlign w:val="center"/>
          </w:tcPr>
          <w:p w14:paraId="047AFE14" w14:textId="77777777" w:rsidR="0057201B" w:rsidRPr="00AE3A84" w:rsidRDefault="0057201B">
            <w:pPr>
              <w:pStyle w:val="BodyText"/>
              <w:rPr>
                <w:lang w:val="es-ES"/>
              </w:rPr>
            </w:pPr>
            <w:r w:rsidRPr="00AE3A84">
              <w:rPr>
                <w:spacing w:val="-1"/>
              </w:rPr>
              <w:t>5/17/2022</w:t>
            </w:r>
          </w:p>
        </w:tc>
        <w:tc>
          <w:tcPr>
            <w:tcW w:w="1329" w:type="dxa"/>
            <w:vAlign w:val="center"/>
          </w:tcPr>
          <w:p w14:paraId="7D7208FF" w14:textId="77777777" w:rsidR="0057201B" w:rsidRPr="00AE3A84" w:rsidRDefault="0057201B">
            <w:pPr>
              <w:pStyle w:val="BodyText"/>
              <w:rPr>
                <w:lang w:val="es-ES"/>
              </w:rPr>
            </w:pPr>
            <w:r w:rsidRPr="00AE3A84">
              <w:rPr>
                <w:spacing w:val="-1"/>
              </w:rPr>
              <w:t>1657-13</w:t>
            </w:r>
          </w:p>
        </w:tc>
        <w:tc>
          <w:tcPr>
            <w:tcW w:w="1350" w:type="dxa"/>
            <w:vAlign w:val="center"/>
          </w:tcPr>
          <w:p w14:paraId="1AD026A2" w14:textId="77777777" w:rsidR="0057201B" w:rsidRPr="00AE3A84" w:rsidRDefault="0057201B">
            <w:pPr>
              <w:pStyle w:val="BodyText"/>
              <w:rPr>
                <w:lang w:val="es-ES"/>
              </w:rPr>
            </w:pPr>
            <w:r w:rsidRPr="00AE3A84">
              <w:rPr>
                <w:spacing w:val="-1"/>
              </w:rPr>
              <w:t>15.012</w:t>
            </w:r>
          </w:p>
        </w:tc>
      </w:tr>
      <w:tr w:rsidR="0057201B" w:rsidRPr="00AE3A84" w14:paraId="553202E5" w14:textId="77777777">
        <w:tc>
          <w:tcPr>
            <w:tcW w:w="534" w:type="dxa"/>
            <w:vAlign w:val="center"/>
          </w:tcPr>
          <w:p w14:paraId="0C086330" w14:textId="77777777" w:rsidR="0057201B" w:rsidRPr="00AE3A84" w:rsidRDefault="0057201B" w:rsidP="00933F91">
            <w:pPr>
              <w:pStyle w:val="BodyText"/>
              <w:widowControl/>
              <w:numPr>
                <w:ilvl w:val="0"/>
                <w:numId w:val="57"/>
              </w:numPr>
              <w:rPr>
                <w:lang w:val="es-ES"/>
              </w:rPr>
            </w:pPr>
          </w:p>
        </w:tc>
        <w:tc>
          <w:tcPr>
            <w:tcW w:w="2953" w:type="dxa"/>
            <w:vAlign w:val="center"/>
          </w:tcPr>
          <w:p w14:paraId="38D1CCC7" w14:textId="77777777" w:rsidR="0057201B" w:rsidRPr="00AE3A84" w:rsidRDefault="0057201B">
            <w:pPr>
              <w:pStyle w:val="BodyText"/>
              <w:rPr>
                <w:lang w:val="es-ES"/>
              </w:rPr>
            </w:pPr>
            <w:r w:rsidRPr="00AE3A84">
              <w:rPr>
                <w:spacing w:val="-1"/>
                <w:lang w:val="es-AR"/>
              </w:rPr>
              <w:t>Manuel</w:t>
            </w:r>
            <w:r w:rsidRPr="00AE3A84">
              <w:rPr>
                <w:spacing w:val="-5"/>
                <w:lang w:val="es-AR"/>
              </w:rPr>
              <w:t xml:space="preserve"> </w:t>
            </w:r>
            <w:r w:rsidRPr="00AE3A84">
              <w:rPr>
                <w:spacing w:val="-1"/>
                <w:lang w:val="es-AR"/>
              </w:rPr>
              <w:t>Ángel</w:t>
            </w:r>
            <w:r w:rsidRPr="00AE3A84">
              <w:rPr>
                <w:spacing w:val="-4"/>
                <w:lang w:val="es-AR"/>
              </w:rPr>
              <w:t xml:space="preserve"> </w:t>
            </w:r>
            <w:r w:rsidRPr="00AE3A84">
              <w:rPr>
                <w:spacing w:val="-1"/>
                <w:lang w:val="es-AR"/>
              </w:rPr>
              <w:t>Tabares</w:t>
            </w:r>
            <w:r w:rsidRPr="00AE3A84">
              <w:rPr>
                <w:spacing w:val="-6"/>
                <w:lang w:val="es-AR"/>
              </w:rPr>
              <w:t xml:space="preserve"> </w:t>
            </w:r>
            <w:r w:rsidRPr="00AE3A84">
              <w:rPr>
                <w:spacing w:val="-1"/>
                <w:lang w:val="es-AR"/>
              </w:rPr>
              <w:t>Calderón</w:t>
            </w:r>
            <w:r w:rsidRPr="00AE3A84">
              <w:rPr>
                <w:spacing w:val="-6"/>
                <w:lang w:val="es-AR"/>
              </w:rPr>
              <w:t xml:space="preserve"> </w:t>
            </w:r>
            <w:r>
              <w:rPr>
                <w:lang w:val="es-AR"/>
              </w:rPr>
              <w:t>and Family</w:t>
            </w:r>
          </w:p>
        </w:tc>
        <w:tc>
          <w:tcPr>
            <w:tcW w:w="1119" w:type="dxa"/>
            <w:vAlign w:val="center"/>
          </w:tcPr>
          <w:p w14:paraId="63A9CBCD" w14:textId="77777777" w:rsidR="0057201B" w:rsidRPr="00AE3A84" w:rsidRDefault="0057201B">
            <w:pPr>
              <w:pStyle w:val="BodyText"/>
              <w:rPr>
                <w:lang w:val="es-ES"/>
              </w:rPr>
            </w:pPr>
            <w:r w:rsidRPr="00AE3A84">
              <w:rPr>
                <w:spacing w:val="-1"/>
              </w:rPr>
              <w:t>Colombia</w:t>
            </w:r>
          </w:p>
        </w:tc>
        <w:tc>
          <w:tcPr>
            <w:tcW w:w="1141" w:type="dxa"/>
            <w:vAlign w:val="center"/>
          </w:tcPr>
          <w:p w14:paraId="03FC6BB1" w14:textId="77777777" w:rsidR="0057201B" w:rsidRPr="00AE3A84" w:rsidRDefault="0057201B">
            <w:pPr>
              <w:pStyle w:val="BodyText"/>
              <w:jc w:val="center"/>
              <w:rPr>
                <w:spacing w:val="-1"/>
              </w:rPr>
            </w:pPr>
            <w:r w:rsidRPr="00531148">
              <w:rPr>
                <w:spacing w:val="-1"/>
              </w:rPr>
              <w:t>125/22</w:t>
            </w:r>
          </w:p>
        </w:tc>
        <w:tc>
          <w:tcPr>
            <w:tcW w:w="1289" w:type="dxa"/>
            <w:vAlign w:val="center"/>
          </w:tcPr>
          <w:p w14:paraId="05BC0E37" w14:textId="77777777" w:rsidR="0057201B" w:rsidRPr="00AE3A84" w:rsidRDefault="0057201B">
            <w:pPr>
              <w:pStyle w:val="BodyText"/>
              <w:rPr>
                <w:lang w:val="es-ES"/>
              </w:rPr>
            </w:pPr>
            <w:r w:rsidRPr="00AE3A84">
              <w:rPr>
                <w:spacing w:val="-1"/>
              </w:rPr>
              <w:t>6/6/2022</w:t>
            </w:r>
          </w:p>
        </w:tc>
        <w:tc>
          <w:tcPr>
            <w:tcW w:w="1329" w:type="dxa"/>
            <w:vAlign w:val="center"/>
          </w:tcPr>
          <w:p w14:paraId="1A7A0E34" w14:textId="77777777" w:rsidR="0057201B" w:rsidRPr="00AE3A84" w:rsidRDefault="0057201B">
            <w:pPr>
              <w:pStyle w:val="BodyText"/>
              <w:rPr>
                <w:lang w:val="es-ES"/>
              </w:rPr>
            </w:pPr>
            <w:r w:rsidRPr="00AE3A84">
              <w:rPr>
                <w:spacing w:val="-1"/>
              </w:rPr>
              <w:t>699-09</w:t>
            </w:r>
          </w:p>
        </w:tc>
        <w:tc>
          <w:tcPr>
            <w:tcW w:w="1350" w:type="dxa"/>
            <w:vAlign w:val="center"/>
          </w:tcPr>
          <w:p w14:paraId="577F9989" w14:textId="77777777" w:rsidR="0057201B" w:rsidRPr="00AE3A84" w:rsidRDefault="0057201B">
            <w:pPr>
              <w:pStyle w:val="BodyText"/>
              <w:rPr>
                <w:lang w:val="es-ES"/>
              </w:rPr>
            </w:pPr>
            <w:r w:rsidRPr="00AE3A84">
              <w:rPr>
                <w:spacing w:val="-1"/>
              </w:rPr>
              <w:t>14.997</w:t>
            </w:r>
          </w:p>
        </w:tc>
      </w:tr>
      <w:tr w:rsidR="0057201B" w:rsidRPr="00AE3A84" w14:paraId="2EB5B607" w14:textId="77777777">
        <w:tc>
          <w:tcPr>
            <w:tcW w:w="534" w:type="dxa"/>
            <w:vAlign w:val="center"/>
          </w:tcPr>
          <w:p w14:paraId="7AA5FB22" w14:textId="77777777" w:rsidR="0057201B" w:rsidRPr="00AE3A84" w:rsidRDefault="0057201B" w:rsidP="00933F91">
            <w:pPr>
              <w:pStyle w:val="BodyText"/>
              <w:widowControl/>
              <w:numPr>
                <w:ilvl w:val="0"/>
                <w:numId w:val="57"/>
              </w:numPr>
              <w:rPr>
                <w:lang w:val="es-ES"/>
              </w:rPr>
            </w:pPr>
          </w:p>
        </w:tc>
        <w:tc>
          <w:tcPr>
            <w:tcW w:w="2953" w:type="dxa"/>
            <w:vAlign w:val="center"/>
          </w:tcPr>
          <w:p w14:paraId="4CA02F6D" w14:textId="77777777" w:rsidR="0057201B" w:rsidRPr="00AE3A84" w:rsidRDefault="0057201B">
            <w:pPr>
              <w:pStyle w:val="BodyText"/>
              <w:rPr>
                <w:lang w:val="es-ES"/>
              </w:rPr>
            </w:pPr>
            <w:r w:rsidRPr="00AE3A84">
              <w:rPr>
                <w:spacing w:val="-1"/>
              </w:rPr>
              <w:t>Eduardo</w:t>
            </w:r>
            <w:r w:rsidRPr="00AE3A84">
              <w:rPr>
                <w:spacing w:val="-8"/>
              </w:rPr>
              <w:t xml:space="preserve"> </w:t>
            </w:r>
            <w:r w:rsidRPr="00AE3A84">
              <w:rPr>
                <w:spacing w:val="-1"/>
              </w:rPr>
              <w:t>Franco</w:t>
            </w:r>
            <w:r w:rsidRPr="00AE3A84">
              <w:rPr>
                <w:spacing w:val="-8"/>
              </w:rPr>
              <w:t xml:space="preserve"> </w:t>
            </w:r>
            <w:r w:rsidRPr="00AE3A84">
              <w:rPr>
                <w:spacing w:val="-1"/>
              </w:rPr>
              <w:t>Loor</w:t>
            </w:r>
          </w:p>
        </w:tc>
        <w:tc>
          <w:tcPr>
            <w:tcW w:w="1119" w:type="dxa"/>
            <w:vAlign w:val="center"/>
          </w:tcPr>
          <w:p w14:paraId="38484DFA" w14:textId="77777777" w:rsidR="0057201B" w:rsidRPr="00AE3A84" w:rsidRDefault="0057201B">
            <w:pPr>
              <w:pStyle w:val="BodyText"/>
              <w:rPr>
                <w:lang w:val="es-ES"/>
              </w:rPr>
            </w:pPr>
            <w:r w:rsidRPr="00AE3A84">
              <w:rPr>
                <w:spacing w:val="-1"/>
              </w:rPr>
              <w:t>Ecuador</w:t>
            </w:r>
          </w:p>
        </w:tc>
        <w:tc>
          <w:tcPr>
            <w:tcW w:w="1141" w:type="dxa"/>
            <w:vAlign w:val="center"/>
          </w:tcPr>
          <w:p w14:paraId="48E44071" w14:textId="77777777" w:rsidR="0057201B" w:rsidRPr="00AE3A84" w:rsidRDefault="0057201B">
            <w:pPr>
              <w:pStyle w:val="BodyText"/>
              <w:jc w:val="center"/>
              <w:rPr>
                <w:spacing w:val="-1"/>
              </w:rPr>
            </w:pPr>
            <w:r w:rsidRPr="00531148">
              <w:rPr>
                <w:spacing w:val="-1"/>
              </w:rPr>
              <w:t>127/22</w:t>
            </w:r>
          </w:p>
        </w:tc>
        <w:tc>
          <w:tcPr>
            <w:tcW w:w="1289" w:type="dxa"/>
            <w:vAlign w:val="center"/>
          </w:tcPr>
          <w:p w14:paraId="778919F8" w14:textId="77777777" w:rsidR="0057201B" w:rsidRPr="00AE3A84" w:rsidRDefault="0057201B">
            <w:pPr>
              <w:pStyle w:val="BodyText"/>
              <w:rPr>
                <w:lang w:val="es-ES"/>
              </w:rPr>
            </w:pPr>
            <w:r w:rsidRPr="00AE3A84">
              <w:rPr>
                <w:spacing w:val="-1"/>
              </w:rPr>
              <w:t>6/6/2022</w:t>
            </w:r>
          </w:p>
        </w:tc>
        <w:tc>
          <w:tcPr>
            <w:tcW w:w="1329" w:type="dxa"/>
            <w:vAlign w:val="center"/>
          </w:tcPr>
          <w:p w14:paraId="61B64703" w14:textId="77777777" w:rsidR="0057201B" w:rsidRPr="00AE3A84" w:rsidRDefault="0057201B">
            <w:pPr>
              <w:pStyle w:val="BodyText"/>
              <w:rPr>
                <w:lang w:val="es-ES"/>
              </w:rPr>
            </w:pPr>
            <w:r w:rsidRPr="00AE3A84">
              <w:rPr>
                <w:spacing w:val="-1"/>
              </w:rPr>
              <w:t>1288-13</w:t>
            </w:r>
          </w:p>
        </w:tc>
        <w:tc>
          <w:tcPr>
            <w:tcW w:w="1350" w:type="dxa"/>
            <w:vAlign w:val="center"/>
          </w:tcPr>
          <w:p w14:paraId="28CF2B1D" w14:textId="77777777" w:rsidR="0057201B" w:rsidRPr="00AE3A84" w:rsidRDefault="0057201B">
            <w:pPr>
              <w:pStyle w:val="BodyText"/>
              <w:rPr>
                <w:lang w:val="es-ES"/>
              </w:rPr>
            </w:pPr>
            <w:r w:rsidRPr="00AE3A84">
              <w:rPr>
                <w:spacing w:val="-1"/>
              </w:rPr>
              <w:t>14.986</w:t>
            </w:r>
          </w:p>
        </w:tc>
      </w:tr>
      <w:tr w:rsidR="0057201B" w:rsidRPr="00AE3A84" w14:paraId="64F8CD97" w14:textId="77777777">
        <w:tc>
          <w:tcPr>
            <w:tcW w:w="534" w:type="dxa"/>
            <w:vAlign w:val="center"/>
          </w:tcPr>
          <w:p w14:paraId="0C14F0C1" w14:textId="77777777" w:rsidR="0057201B" w:rsidRPr="00AE3A84" w:rsidRDefault="0057201B" w:rsidP="00933F91">
            <w:pPr>
              <w:pStyle w:val="BodyText"/>
              <w:widowControl/>
              <w:numPr>
                <w:ilvl w:val="0"/>
                <w:numId w:val="57"/>
              </w:numPr>
              <w:rPr>
                <w:lang w:val="es-ES"/>
              </w:rPr>
            </w:pPr>
          </w:p>
        </w:tc>
        <w:tc>
          <w:tcPr>
            <w:tcW w:w="2953" w:type="dxa"/>
            <w:vAlign w:val="center"/>
          </w:tcPr>
          <w:p w14:paraId="1A64D729" w14:textId="77777777" w:rsidR="0057201B" w:rsidRPr="00AE3A84" w:rsidRDefault="0057201B">
            <w:pPr>
              <w:pStyle w:val="BodyText"/>
              <w:rPr>
                <w:lang w:val="es-ES"/>
              </w:rPr>
            </w:pPr>
            <w:r w:rsidRPr="00AE3A84">
              <w:rPr>
                <w:spacing w:val="-1"/>
              </w:rPr>
              <w:t>Hernán</w:t>
            </w:r>
            <w:r w:rsidRPr="00AE3A84">
              <w:rPr>
                <w:spacing w:val="-7"/>
              </w:rPr>
              <w:t xml:space="preserve"> </w:t>
            </w:r>
            <w:r w:rsidRPr="00AE3A84">
              <w:rPr>
                <w:spacing w:val="-1"/>
              </w:rPr>
              <w:t>Arturo</w:t>
            </w:r>
            <w:r w:rsidRPr="00AE3A84">
              <w:rPr>
                <w:spacing w:val="-8"/>
              </w:rPr>
              <w:t xml:space="preserve"> </w:t>
            </w:r>
            <w:r w:rsidRPr="00AE3A84">
              <w:rPr>
                <w:spacing w:val="-1"/>
              </w:rPr>
              <w:t>Rueda</w:t>
            </w:r>
            <w:r w:rsidRPr="00AE3A84">
              <w:rPr>
                <w:spacing w:val="-8"/>
              </w:rPr>
              <w:t xml:space="preserve"> </w:t>
            </w:r>
            <w:r w:rsidRPr="00AE3A84">
              <w:rPr>
                <w:spacing w:val="-1"/>
              </w:rPr>
              <w:t>Mosquera</w:t>
            </w:r>
          </w:p>
        </w:tc>
        <w:tc>
          <w:tcPr>
            <w:tcW w:w="1119" w:type="dxa"/>
            <w:vAlign w:val="center"/>
          </w:tcPr>
          <w:p w14:paraId="299EF878" w14:textId="77777777" w:rsidR="0057201B" w:rsidRPr="00AE3A84" w:rsidRDefault="0057201B">
            <w:pPr>
              <w:pStyle w:val="BodyText"/>
              <w:rPr>
                <w:lang w:val="es-ES"/>
              </w:rPr>
            </w:pPr>
            <w:r w:rsidRPr="00AE3A84">
              <w:rPr>
                <w:spacing w:val="-1"/>
              </w:rPr>
              <w:t>Ecuador</w:t>
            </w:r>
          </w:p>
        </w:tc>
        <w:tc>
          <w:tcPr>
            <w:tcW w:w="1141" w:type="dxa"/>
            <w:vAlign w:val="center"/>
          </w:tcPr>
          <w:p w14:paraId="52AECC63" w14:textId="77777777" w:rsidR="0057201B" w:rsidRPr="00AE3A84" w:rsidRDefault="0057201B">
            <w:pPr>
              <w:pStyle w:val="BodyText"/>
              <w:jc w:val="center"/>
              <w:rPr>
                <w:spacing w:val="-1"/>
              </w:rPr>
            </w:pPr>
            <w:r w:rsidRPr="00531148">
              <w:rPr>
                <w:spacing w:val="-1"/>
              </w:rPr>
              <w:t>128/22</w:t>
            </w:r>
          </w:p>
        </w:tc>
        <w:tc>
          <w:tcPr>
            <w:tcW w:w="1289" w:type="dxa"/>
            <w:vAlign w:val="center"/>
          </w:tcPr>
          <w:p w14:paraId="16E3E608" w14:textId="77777777" w:rsidR="0057201B" w:rsidRPr="00AE3A84" w:rsidRDefault="0057201B">
            <w:pPr>
              <w:pStyle w:val="BodyText"/>
              <w:rPr>
                <w:lang w:val="es-ES"/>
              </w:rPr>
            </w:pPr>
            <w:r w:rsidRPr="00AE3A84">
              <w:rPr>
                <w:spacing w:val="-1"/>
              </w:rPr>
              <w:t>6/6/2022</w:t>
            </w:r>
          </w:p>
        </w:tc>
        <w:tc>
          <w:tcPr>
            <w:tcW w:w="1329" w:type="dxa"/>
            <w:vAlign w:val="center"/>
          </w:tcPr>
          <w:p w14:paraId="3FFC823E" w14:textId="77777777" w:rsidR="0057201B" w:rsidRPr="00AE3A84" w:rsidRDefault="0057201B">
            <w:pPr>
              <w:pStyle w:val="BodyText"/>
              <w:rPr>
                <w:lang w:val="es-ES"/>
              </w:rPr>
            </w:pPr>
            <w:r w:rsidRPr="00AE3A84">
              <w:rPr>
                <w:spacing w:val="-1"/>
              </w:rPr>
              <w:t>2170-15</w:t>
            </w:r>
          </w:p>
        </w:tc>
        <w:tc>
          <w:tcPr>
            <w:tcW w:w="1350" w:type="dxa"/>
            <w:vAlign w:val="center"/>
          </w:tcPr>
          <w:p w14:paraId="551D6D59" w14:textId="77777777" w:rsidR="0057201B" w:rsidRPr="00AE3A84" w:rsidRDefault="0057201B">
            <w:pPr>
              <w:pStyle w:val="BodyText"/>
              <w:rPr>
                <w:lang w:val="es-ES"/>
              </w:rPr>
            </w:pPr>
            <w:r w:rsidRPr="00AE3A84">
              <w:rPr>
                <w:spacing w:val="-1"/>
              </w:rPr>
              <w:t>14.982</w:t>
            </w:r>
          </w:p>
        </w:tc>
      </w:tr>
      <w:tr w:rsidR="0057201B" w:rsidRPr="00AE3A84" w14:paraId="39F35F2B" w14:textId="77777777">
        <w:tc>
          <w:tcPr>
            <w:tcW w:w="534" w:type="dxa"/>
            <w:vAlign w:val="center"/>
          </w:tcPr>
          <w:p w14:paraId="37F40707" w14:textId="77777777" w:rsidR="0057201B" w:rsidRPr="00AE3A84" w:rsidRDefault="0057201B" w:rsidP="00933F91">
            <w:pPr>
              <w:pStyle w:val="BodyText"/>
              <w:widowControl/>
              <w:numPr>
                <w:ilvl w:val="0"/>
                <w:numId w:val="57"/>
              </w:numPr>
              <w:rPr>
                <w:lang w:val="es-ES"/>
              </w:rPr>
            </w:pPr>
          </w:p>
        </w:tc>
        <w:tc>
          <w:tcPr>
            <w:tcW w:w="2953" w:type="dxa"/>
            <w:vAlign w:val="center"/>
          </w:tcPr>
          <w:p w14:paraId="27BE63F9" w14:textId="77777777" w:rsidR="0057201B" w:rsidRPr="00AE3A84" w:rsidRDefault="0057201B">
            <w:pPr>
              <w:pStyle w:val="BodyText"/>
              <w:rPr>
                <w:lang w:val="es-ES"/>
              </w:rPr>
            </w:pPr>
            <w:r w:rsidRPr="00AE3A84">
              <w:rPr>
                <w:spacing w:val="-1"/>
              </w:rPr>
              <w:t>Marianna</w:t>
            </w:r>
            <w:r w:rsidRPr="00AE3A84">
              <w:rPr>
                <w:spacing w:val="-7"/>
              </w:rPr>
              <w:t xml:space="preserve"> </w:t>
            </w:r>
            <w:r w:rsidRPr="00AE3A84">
              <w:rPr>
                <w:spacing w:val="-1"/>
              </w:rPr>
              <w:t>Belalba</w:t>
            </w:r>
            <w:r w:rsidRPr="00AE3A84">
              <w:rPr>
                <w:spacing w:val="-6"/>
              </w:rPr>
              <w:t xml:space="preserve"> </w:t>
            </w:r>
            <w:r>
              <w:t>et al.</w:t>
            </w:r>
          </w:p>
        </w:tc>
        <w:tc>
          <w:tcPr>
            <w:tcW w:w="1119" w:type="dxa"/>
            <w:vAlign w:val="center"/>
          </w:tcPr>
          <w:p w14:paraId="4E0E056C" w14:textId="77777777" w:rsidR="0057201B" w:rsidRPr="00AE3A84" w:rsidRDefault="0057201B">
            <w:pPr>
              <w:pStyle w:val="BodyText"/>
              <w:rPr>
                <w:lang w:val="es-ES"/>
              </w:rPr>
            </w:pPr>
            <w:r w:rsidRPr="00AE3A84">
              <w:rPr>
                <w:spacing w:val="-1"/>
              </w:rPr>
              <w:t>Venezuela</w:t>
            </w:r>
          </w:p>
        </w:tc>
        <w:tc>
          <w:tcPr>
            <w:tcW w:w="1141" w:type="dxa"/>
            <w:vAlign w:val="center"/>
          </w:tcPr>
          <w:p w14:paraId="0AF2E265" w14:textId="77777777" w:rsidR="0057201B" w:rsidRPr="00AE3A84" w:rsidRDefault="0057201B">
            <w:pPr>
              <w:pStyle w:val="BodyText"/>
              <w:jc w:val="center"/>
              <w:rPr>
                <w:spacing w:val="-1"/>
              </w:rPr>
            </w:pPr>
            <w:r w:rsidRPr="00531148">
              <w:rPr>
                <w:spacing w:val="-1"/>
              </w:rPr>
              <w:t>129/22</w:t>
            </w:r>
          </w:p>
        </w:tc>
        <w:tc>
          <w:tcPr>
            <w:tcW w:w="1289" w:type="dxa"/>
            <w:vAlign w:val="center"/>
          </w:tcPr>
          <w:p w14:paraId="22E3EE39" w14:textId="77777777" w:rsidR="0057201B" w:rsidRPr="00AE3A84" w:rsidRDefault="0057201B">
            <w:pPr>
              <w:pStyle w:val="BodyText"/>
              <w:rPr>
                <w:lang w:val="es-ES"/>
              </w:rPr>
            </w:pPr>
            <w:r w:rsidRPr="00AE3A84">
              <w:rPr>
                <w:spacing w:val="-1"/>
              </w:rPr>
              <w:t>6/6/2022</w:t>
            </w:r>
          </w:p>
        </w:tc>
        <w:tc>
          <w:tcPr>
            <w:tcW w:w="1329" w:type="dxa"/>
            <w:vAlign w:val="center"/>
          </w:tcPr>
          <w:p w14:paraId="1D36B6A8" w14:textId="77777777" w:rsidR="0057201B" w:rsidRPr="00AE3A84" w:rsidRDefault="0057201B">
            <w:pPr>
              <w:pStyle w:val="BodyText"/>
              <w:rPr>
                <w:lang w:val="es-ES"/>
              </w:rPr>
            </w:pPr>
            <w:r w:rsidRPr="00AE3A84">
              <w:rPr>
                <w:spacing w:val="-1"/>
              </w:rPr>
              <w:t>23-11,</w:t>
            </w:r>
            <w:r w:rsidRPr="00AE3A84">
              <w:rPr>
                <w:spacing w:val="-5"/>
              </w:rPr>
              <w:t xml:space="preserve"> </w:t>
            </w:r>
            <w:r w:rsidRPr="00AE3A84">
              <w:rPr>
                <w:spacing w:val="-1"/>
              </w:rPr>
              <w:t>53-11</w:t>
            </w:r>
            <w:r w:rsidRPr="00AE3A84">
              <w:rPr>
                <w:spacing w:val="-6"/>
              </w:rPr>
              <w:t xml:space="preserve"> </w:t>
            </w:r>
            <w:r>
              <w:t>and</w:t>
            </w:r>
            <w:r w:rsidRPr="00AE3A84">
              <w:rPr>
                <w:spacing w:val="-4"/>
              </w:rPr>
              <w:t xml:space="preserve"> </w:t>
            </w:r>
            <w:r w:rsidRPr="00AE3A84">
              <w:rPr>
                <w:spacing w:val="-1"/>
              </w:rPr>
              <w:t>575-13</w:t>
            </w:r>
          </w:p>
        </w:tc>
        <w:tc>
          <w:tcPr>
            <w:tcW w:w="1350" w:type="dxa"/>
            <w:vAlign w:val="center"/>
          </w:tcPr>
          <w:p w14:paraId="570A1C7A" w14:textId="77777777" w:rsidR="0057201B" w:rsidRPr="00AE3A84" w:rsidRDefault="0057201B">
            <w:pPr>
              <w:pStyle w:val="BodyText"/>
              <w:rPr>
                <w:lang w:val="es-ES"/>
              </w:rPr>
            </w:pPr>
            <w:r w:rsidRPr="00AE3A84">
              <w:rPr>
                <w:spacing w:val="-1"/>
              </w:rPr>
              <w:t>15.013</w:t>
            </w:r>
          </w:p>
        </w:tc>
      </w:tr>
      <w:tr w:rsidR="0057201B" w:rsidRPr="00AE3A84" w14:paraId="67A24864" w14:textId="77777777">
        <w:tc>
          <w:tcPr>
            <w:tcW w:w="534" w:type="dxa"/>
            <w:vAlign w:val="center"/>
          </w:tcPr>
          <w:p w14:paraId="4896CF36" w14:textId="77777777" w:rsidR="0057201B" w:rsidRPr="00AE3A84" w:rsidRDefault="0057201B" w:rsidP="00933F91">
            <w:pPr>
              <w:pStyle w:val="BodyText"/>
              <w:widowControl/>
              <w:numPr>
                <w:ilvl w:val="0"/>
                <w:numId w:val="57"/>
              </w:numPr>
              <w:rPr>
                <w:lang w:val="es-ES"/>
              </w:rPr>
            </w:pPr>
          </w:p>
        </w:tc>
        <w:tc>
          <w:tcPr>
            <w:tcW w:w="2953" w:type="dxa"/>
            <w:vAlign w:val="center"/>
          </w:tcPr>
          <w:p w14:paraId="5C98153F" w14:textId="77777777" w:rsidR="0057201B" w:rsidRPr="00AE3A84" w:rsidRDefault="0057201B">
            <w:pPr>
              <w:pStyle w:val="BodyText"/>
              <w:rPr>
                <w:lang w:val="es-ES"/>
              </w:rPr>
            </w:pPr>
            <w:r w:rsidRPr="00AE3A84">
              <w:rPr>
                <w:spacing w:val="-1"/>
                <w:lang w:val="es-AR"/>
              </w:rPr>
              <w:t>Gloria</w:t>
            </w:r>
            <w:r w:rsidRPr="00AE3A84">
              <w:rPr>
                <w:spacing w:val="-6"/>
                <w:lang w:val="es-AR"/>
              </w:rPr>
              <w:t xml:space="preserve"> </w:t>
            </w:r>
            <w:r w:rsidRPr="00AE3A84">
              <w:rPr>
                <w:spacing w:val="-1"/>
                <w:lang w:val="es-AR"/>
              </w:rPr>
              <w:t>Segarra</w:t>
            </w:r>
            <w:r w:rsidRPr="00AE3A84">
              <w:rPr>
                <w:spacing w:val="-6"/>
                <w:lang w:val="es-AR"/>
              </w:rPr>
              <w:t xml:space="preserve"> </w:t>
            </w:r>
            <w:r w:rsidRPr="00AE3A84">
              <w:rPr>
                <w:spacing w:val="-1"/>
                <w:lang w:val="es-AR"/>
              </w:rPr>
              <w:t>León</w:t>
            </w:r>
            <w:r w:rsidRPr="00AE3A84">
              <w:rPr>
                <w:spacing w:val="-4"/>
                <w:lang w:val="es-AR"/>
              </w:rPr>
              <w:t xml:space="preserve"> </w:t>
            </w:r>
            <w:r>
              <w:rPr>
                <w:lang w:val="es-AR"/>
              </w:rPr>
              <w:t>and Family</w:t>
            </w:r>
          </w:p>
        </w:tc>
        <w:tc>
          <w:tcPr>
            <w:tcW w:w="1119" w:type="dxa"/>
            <w:vAlign w:val="center"/>
          </w:tcPr>
          <w:p w14:paraId="5173E86E" w14:textId="77777777" w:rsidR="0057201B" w:rsidRPr="00AE3A84" w:rsidRDefault="0057201B">
            <w:pPr>
              <w:pStyle w:val="BodyText"/>
              <w:rPr>
                <w:lang w:val="es-ES"/>
              </w:rPr>
            </w:pPr>
            <w:r w:rsidRPr="00AE3A84">
              <w:rPr>
                <w:spacing w:val="-1"/>
              </w:rPr>
              <w:t>Ecuador</w:t>
            </w:r>
          </w:p>
        </w:tc>
        <w:tc>
          <w:tcPr>
            <w:tcW w:w="1141" w:type="dxa"/>
            <w:vAlign w:val="center"/>
          </w:tcPr>
          <w:p w14:paraId="66A895EE" w14:textId="77777777" w:rsidR="0057201B" w:rsidRPr="00AE3A84" w:rsidRDefault="0057201B">
            <w:pPr>
              <w:pStyle w:val="BodyText"/>
              <w:jc w:val="center"/>
              <w:rPr>
                <w:spacing w:val="-1"/>
              </w:rPr>
            </w:pPr>
            <w:r w:rsidRPr="00531148">
              <w:rPr>
                <w:spacing w:val="-1"/>
              </w:rPr>
              <w:t>130/22</w:t>
            </w:r>
          </w:p>
        </w:tc>
        <w:tc>
          <w:tcPr>
            <w:tcW w:w="1289" w:type="dxa"/>
            <w:vAlign w:val="center"/>
          </w:tcPr>
          <w:p w14:paraId="6C8CC0B9" w14:textId="77777777" w:rsidR="0057201B" w:rsidRPr="00AE3A84" w:rsidRDefault="0057201B">
            <w:pPr>
              <w:pStyle w:val="BodyText"/>
              <w:rPr>
                <w:lang w:val="es-ES"/>
              </w:rPr>
            </w:pPr>
            <w:r w:rsidRPr="00AE3A84">
              <w:rPr>
                <w:spacing w:val="-1"/>
              </w:rPr>
              <w:t>6/6/2022</w:t>
            </w:r>
          </w:p>
        </w:tc>
        <w:tc>
          <w:tcPr>
            <w:tcW w:w="1329" w:type="dxa"/>
            <w:vAlign w:val="center"/>
          </w:tcPr>
          <w:p w14:paraId="6ECA5D4F" w14:textId="77777777" w:rsidR="0057201B" w:rsidRPr="00AE3A84" w:rsidRDefault="0057201B">
            <w:pPr>
              <w:pStyle w:val="BodyText"/>
              <w:rPr>
                <w:lang w:val="es-ES"/>
              </w:rPr>
            </w:pPr>
            <w:r w:rsidRPr="00AE3A84">
              <w:rPr>
                <w:spacing w:val="-1"/>
              </w:rPr>
              <w:t>456-14</w:t>
            </w:r>
          </w:p>
        </w:tc>
        <w:tc>
          <w:tcPr>
            <w:tcW w:w="1350" w:type="dxa"/>
            <w:vAlign w:val="center"/>
          </w:tcPr>
          <w:p w14:paraId="646A9350" w14:textId="77777777" w:rsidR="0057201B" w:rsidRPr="00AE3A84" w:rsidRDefault="0057201B">
            <w:pPr>
              <w:pStyle w:val="BodyText"/>
              <w:rPr>
                <w:lang w:val="es-ES"/>
              </w:rPr>
            </w:pPr>
            <w:r w:rsidRPr="00AE3A84">
              <w:rPr>
                <w:spacing w:val="-1"/>
              </w:rPr>
              <w:t>14.985</w:t>
            </w:r>
          </w:p>
        </w:tc>
      </w:tr>
      <w:tr w:rsidR="0057201B" w:rsidRPr="00AE3A84" w14:paraId="2CF81A2E" w14:textId="77777777">
        <w:tc>
          <w:tcPr>
            <w:tcW w:w="534" w:type="dxa"/>
            <w:vAlign w:val="center"/>
          </w:tcPr>
          <w:p w14:paraId="57C0067C" w14:textId="77777777" w:rsidR="0057201B" w:rsidRPr="00AE3A84" w:rsidRDefault="0057201B" w:rsidP="00933F91">
            <w:pPr>
              <w:pStyle w:val="BodyText"/>
              <w:widowControl/>
              <w:numPr>
                <w:ilvl w:val="0"/>
                <w:numId w:val="57"/>
              </w:numPr>
              <w:rPr>
                <w:lang w:val="es-ES"/>
              </w:rPr>
            </w:pPr>
          </w:p>
        </w:tc>
        <w:tc>
          <w:tcPr>
            <w:tcW w:w="2953" w:type="dxa"/>
            <w:vAlign w:val="center"/>
          </w:tcPr>
          <w:p w14:paraId="7CC59AEF" w14:textId="77777777" w:rsidR="0057201B" w:rsidRPr="00AE3A84" w:rsidRDefault="0057201B">
            <w:pPr>
              <w:pStyle w:val="BodyText"/>
              <w:rPr>
                <w:lang w:val="es-ES"/>
              </w:rPr>
            </w:pPr>
            <w:r w:rsidRPr="00AE3A84">
              <w:rPr>
                <w:spacing w:val="-1"/>
              </w:rPr>
              <w:t>Getúlio</w:t>
            </w:r>
            <w:r w:rsidRPr="00AE3A84">
              <w:rPr>
                <w:spacing w:val="-6"/>
              </w:rPr>
              <w:t xml:space="preserve"> </w:t>
            </w:r>
            <w:r w:rsidRPr="00AE3A84">
              <w:rPr>
                <w:spacing w:val="-1"/>
              </w:rPr>
              <w:t>Garcia</w:t>
            </w:r>
            <w:r w:rsidRPr="00AE3A84">
              <w:rPr>
                <w:spacing w:val="-6"/>
              </w:rPr>
              <w:t xml:space="preserve"> </w:t>
            </w:r>
            <w:r>
              <w:t>et al.</w:t>
            </w:r>
          </w:p>
        </w:tc>
        <w:tc>
          <w:tcPr>
            <w:tcW w:w="1119" w:type="dxa"/>
            <w:vAlign w:val="center"/>
          </w:tcPr>
          <w:p w14:paraId="43D5C580" w14:textId="77777777" w:rsidR="0057201B" w:rsidRPr="00AE3A84" w:rsidRDefault="0057201B">
            <w:pPr>
              <w:pStyle w:val="BodyText"/>
              <w:rPr>
                <w:lang w:val="es-ES"/>
              </w:rPr>
            </w:pPr>
            <w:r w:rsidRPr="00AE3A84">
              <w:rPr>
                <w:spacing w:val="-1"/>
              </w:rPr>
              <w:t>Bra</w:t>
            </w:r>
            <w:r>
              <w:rPr>
                <w:spacing w:val="-1"/>
              </w:rPr>
              <w:t>z</w:t>
            </w:r>
            <w:r w:rsidRPr="00AE3A84">
              <w:rPr>
                <w:spacing w:val="-1"/>
              </w:rPr>
              <w:t>il</w:t>
            </w:r>
          </w:p>
        </w:tc>
        <w:tc>
          <w:tcPr>
            <w:tcW w:w="1141" w:type="dxa"/>
            <w:vAlign w:val="center"/>
          </w:tcPr>
          <w:p w14:paraId="7B0690F2" w14:textId="77777777" w:rsidR="0057201B" w:rsidRPr="00AE3A84" w:rsidRDefault="0057201B">
            <w:pPr>
              <w:pStyle w:val="BodyText"/>
              <w:jc w:val="center"/>
              <w:rPr>
                <w:spacing w:val="-1"/>
              </w:rPr>
            </w:pPr>
            <w:r w:rsidRPr="009E06EB">
              <w:rPr>
                <w:spacing w:val="-1"/>
              </w:rPr>
              <w:t>132/22</w:t>
            </w:r>
          </w:p>
        </w:tc>
        <w:tc>
          <w:tcPr>
            <w:tcW w:w="1289" w:type="dxa"/>
            <w:vAlign w:val="center"/>
          </w:tcPr>
          <w:p w14:paraId="45F37EC3" w14:textId="77777777" w:rsidR="0057201B" w:rsidRPr="00AE3A84" w:rsidRDefault="0057201B">
            <w:pPr>
              <w:pStyle w:val="BodyText"/>
              <w:rPr>
                <w:lang w:val="es-ES"/>
              </w:rPr>
            </w:pPr>
            <w:r w:rsidRPr="00AE3A84">
              <w:rPr>
                <w:spacing w:val="-1"/>
              </w:rPr>
              <w:t>6/6/2022</w:t>
            </w:r>
          </w:p>
        </w:tc>
        <w:tc>
          <w:tcPr>
            <w:tcW w:w="1329" w:type="dxa"/>
            <w:vAlign w:val="center"/>
          </w:tcPr>
          <w:p w14:paraId="2952D994" w14:textId="77777777" w:rsidR="0057201B" w:rsidRPr="00AE3A84" w:rsidRDefault="0057201B">
            <w:pPr>
              <w:pStyle w:val="BodyText"/>
              <w:rPr>
                <w:lang w:val="es-ES"/>
              </w:rPr>
            </w:pPr>
            <w:r w:rsidRPr="00AE3A84">
              <w:rPr>
                <w:spacing w:val="-1"/>
              </w:rPr>
              <w:t>1789-10</w:t>
            </w:r>
          </w:p>
        </w:tc>
        <w:tc>
          <w:tcPr>
            <w:tcW w:w="1350" w:type="dxa"/>
            <w:vAlign w:val="center"/>
          </w:tcPr>
          <w:p w14:paraId="6A71DB54" w14:textId="77777777" w:rsidR="0057201B" w:rsidRPr="00AE3A84" w:rsidRDefault="0057201B">
            <w:pPr>
              <w:pStyle w:val="BodyText"/>
              <w:rPr>
                <w:lang w:val="es-ES"/>
              </w:rPr>
            </w:pPr>
            <w:r w:rsidRPr="00AE3A84">
              <w:rPr>
                <w:spacing w:val="-1"/>
              </w:rPr>
              <w:t>15.133</w:t>
            </w:r>
          </w:p>
        </w:tc>
      </w:tr>
      <w:tr w:rsidR="0057201B" w:rsidRPr="00AE3A84" w14:paraId="53038047" w14:textId="77777777">
        <w:tc>
          <w:tcPr>
            <w:tcW w:w="534" w:type="dxa"/>
            <w:vAlign w:val="center"/>
          </w:tcPr>
          <w:p w14:paraId="4511296F" w14:textId="77777777" w:rsidR="0057201B" w:rsidRPr="00AE3A84" w:rsidRDefault="0057201B" w:rsidP="00933F91">
            <w:pPr>
              <w:pStyle w:val="BodyText"/>
              <w:widowControl/>
              <w:numPr>
                <w:ilvl w:val="0"/>
                <w:numId w:val="57"/>
              </w:numPr>
              <w:rPr>
                <w:lang w:val="es-ES"/>
              </w:rPr>
            </w:pPr>
          </w:p>
        </w:tc>
        <w:tc>
          <w:tcPr>
            <w:tcW w:w="2953" w:type="dxa"/>
            <w:vAlign w:val="center"/>
          </w:tcPr>
          <w:p w14:paraId="3E6F4F2E" w14:textId="77777777" w:rsidR="0057201B" w:rsidRPr="00AE3A84" w:rsidRDefault="0057201B">
            <w:pPr>
              <w:pStyle w:val="BodyText"/>
              <w:rPr>
                <w:lang w:val="es-ES"/>
              </w:rPr>
            </w:pPr>
            <w:r w:rsidRPr="00AE3A84">
              <w:rPr>
                <w:spacing w:val="-1"/>
              </w:rPr>
              <w:t>Fidel</w:t>
            </w:r>
            <w:r w:rsidRPr="00AE3A84">
              <w:rPr>
                <w:spacing w:val="-5"/>
              </w:rPr>
              <w:t xml:space="preserve"> </w:t>
            </w:r>
            <w:r w:rsidRPr="00AE3A84">
              <w:rPr>
                <w:spacing w:val="-1"/>
              </w:rPr>
              <w:t>Hernando</w:t>
            </w:r>
            <w:r w:rsidRPr="00AE3A84">
              <w:rPr>
                <w:spacing w:val="-7"/>
              </w:rPr>
              <w:t xml:space="preserve"> </w:t>
            </w:r>
            <w:r w:rsidRPr="00AE3A84">
              <w:rPr>
                <w:spacing w:val="-1"/>
              </w:rPr>
              <w:t>Parra</w:t>
            </w:r>
            <w:r w:rsidRPr="00AE3A84">
              <w:rPr>
                <w:spacing w:val="-7"/>
              </w:rPr>
              <w:t xml:space="preserve"> </w:t>
            </w:r>
            <w:r w:rsidRPr="00AE3A84">
              <w:rPr>
                <w:spacing w:val="-1"/>
              </w:rPr>
              <w:t>Mesa</w:t>
            </w:r>
          </w:p>
        </w:tc>
        <w:tc>
          <w:tcPr>
            <w:tcW w:w="1119" w:type="dxa"/>
            <w:vAlign w:val="center"/>
          </w:tcPr>
          <w:p w14:paraId="4F3D78F8" w14:textId="77777777" w:rsidR="0057201B" w:rsidRPr="00AE3A84" w:rsidRDefault="0057201B">
            <w:pPr>
              <w:pStyle w:val="BodyText"/>
              <w:rPr>
                <w:lang w:val="es-ES"/>
              </w:rPr>
            </w:pPr>
            <w:r w:rsidRPr="00AE3A84">
              <w:rPr>
                <w:spacing w:val="-1"/>
              </w:rPr>
              <w:t>Colombia</w:t>
            </w:r>
          </w:p>
        </w:tc>
        <w:tc>
          <w:tcPr>
            <w:tcW w:w="1141" w:type="dxa"/>
            <w:vAlign w:val="center"/>
          </w:tcPr>
          <w:p w14:paraId="04569318" w14:textId="77777777" w:rsidR="0057201B" w:rsidRPr="00AE3A84" w:rsidRDefault="0057201B">
            <w:pPr>
              <w:pStyle w:val="BodyText"/>
              <w:jc w:val="center"/>
              <w:rPr>
                <w:spacing w:val="-1"/>
              </w:rPr>
            </w:pPr>
            <w:r w:rsidRPr="009E06EB">
              <w:rPr>
                <w:spacing w:val="-1"/>
              </w:rPr>
              <w:t>134/22</w:t>
            </w:r>
          </w:p>
        </w:tc>
        <w:tc>
          <w:tcPr>
            <w:tcW w:w="1289" w:type="dxa"/>
            <w:vAlign w:val="center"/>
          </w:tcPr>
          <w:p w14:paraId="0855C0C3" w14:textId="77777777" w:rsidR="0057201B" w:rsidRPr="00AE3A84" w:rsidRDefault="0057201B">
            <w:pPr>
              <w:pStyle w:val="BodyText"/>
              <w:rPr>
                <w:lang w:val="es-ES"/>
              </w:rPr>
            </w:pPr>
            <w:r w:rsidRPr="00AE3A84">
              <w:rPr>
                <w:spacing w:val="-1"/>
              </w:rPr>
              <w:t>6/6/2022</w:t>
            </w:r>
          </w:p>
        </w:tc>
        <w:tc>
          <w:tcPr>
            <w:tcW w:w="1329" w:type="dxa"/>
            <w:vAlign w:val="center"/>
          </w:tcPr>
          <w:p w14:paraId="5CD09F6D" w14:textId="77777777" w:rsidR="0057201B" w:rsidRPr="00AE3A84" w:rsidRDefault="0057201B">
            <w:pPr>
              <w:pStyle w:val="BodyText"/>
              <w:rPr>
                <w:lang w:val="es-ES"/>
              </w:rPr>
            </w:pPr>
            <w:r w:rsidRPr="00AE3A84">
              <w:rPr>
                <w:spacing w:val="-1"/>
              </w:rPr>
              <w:t>1874-12</w:t>
            </w:r>
          </w:p>
        </w:tc>
        <w:tc>
          <w:tcPr>
            <w:tcW w:w="1350" w:type="dxa"/>
            <w:vAlign w:val="center"/>
          </w:tcPr>
          <w:p w14:paraId="4A810757" w14:textId="77777777" w:rsidR="0057201B" w:rsidRPr="00AE3A84" w:rsidRDefault="0057201B">
            <w:pPr>
              <w:pStyle w:val="BodyText"/>
              <w:rPr>
                <w:lang w:val="es-ES"/>
              </w:rPr>
            </w:pPr>
            <w:r w:rsidRPr="00AE3A84">
              <w:rPr>
                <w:spacing w:val="-1"/>
              </w:rPr>
              <w:t>14.998</w:t>
            </w:r>
          </w:p>
        </w:tc>
      </w:tr>
      <w:tr w:rsidR="0057201B" w:rsidRPr="00AE3A84" w14:paraId="62630E00" w14:textId="77777777">
        <w:tc>
          <w:tcPr>
            <w:tcW w:w="534" w:type="dxa"/>
            <w:vAlign w:val="center"/>
          </w:tcPr>
          <w:p w14:paraId="485CFE4E" w14:textId="77777777" w:rsidR="0057201B" w:rsidRPr="00AE3A84" w:rsidRDefault="0057201B" w:rsidP="00933F91">
            <w:pPr>
              <w:pStyle w:val="BodyText"/>
              <w:widowControl/>
              <w:numPr>
                <w:ilvl w:val="0"/>
                <w:numId w:val="57"/>
              </w:numPr>
              <w:rPr>
                <w:lang w:val="es-ES"/>
              </w:rPr>
            </w:pPr>
          </w:p>
        </w:tc>
        <w:tc>
          <w:tcPr>
            <w:tcW w:w="2953" w:type="dxa"/>
            <w:vAlign w:val="center"/>
          </w:tcPr>
          <w:p w14:paraId="3294E05C" w14:textId="77777777" w:rsidR="0057201B" w:rsidRPr="00AE3A84" w:rsidRDefault="0057201B">
            <w:pPr>
              <w:pStyle w:val="BodyText"/>
              <w:rPr>
                <w:lang w:val="es-ES"/>
              </w:rPr>
            </w:pPr>
            <w:r w:rsidRPr="00AE3A84">
              <w:rPr>
                <w:spacing w:val="-1"/>
                <w:lang w:val="es-AR"/>
              </w:rPr>
              <w:t>Ramón</w:t>
            </w:r>
            <w:r w:rsidRPr="00AE3A84">
              <w:rPr>
                <w:spacing w:val="-5"/>
                <w:lang w:val="es-AR"/>
              </w:rPr>
              <w:t xml:space="preserve"> </w:t>
            </w:r>
            <w:r w:rsidRPr="00AE3A84">
              <w:rPr>
                <w:spacing w:val="-1"/>
                <w:lang w:val="es-AR"/>
              </w:rPr>
              <w:t>Argüello</w:t>
            </w:r>
            <w:r w:rsidRPr="00AE3A84">
              <w:rPr>
                <w:spacing w:val="-6"/>
                <w:lang w:val="es-AR"/>
              </w:rPr>
              <w:t xml:space="preserve"> </w:t>
            </w:r>
            <w:r w:rsidRPr="00AE3A84">
              <w:rPr>
                <w:spacing w:val="-1"/>
                <w:lang w:val="es-AR"/>
              </w:rPr>
              <w:t>Ortiz</w:t>
            </w:r>
            <w:r w:rsidRPr="00AE3A84">
              <w:rPr>
                <w:spacing w:val="-5"/>
                <w:lang w:val="es-AR"/>
              </w:rPr>
              <w:t xml:space="preserve"> </w:t>
            </w:r>
            <w:r>
              <w:rPr>
                <w:lang w:val="es-AR"/>
              </w:rPr>
              <w:t>and Family</w:t>
            </w:r>
          </w:p>
        </w:tc>
        <w:tc>
          <w:tcPr>
            <w:tcW w:w="1119" w:type="dxa"/>
            <w:vAlign w:val="center"/>
          </w:tcPr>
          <w:p w14:paraId="14700417" w14:textId="77777777" w:rsidR="0057201B" w:rsidRPr="00AE3A84" w:rsidRDefault="0057201B">
            <w:pPr>
              <w:pStyle w:val="BodyText"/>
              <w:rPr>
                <w:lang w:val="es-ES"/>
              </w:rPr>
            </w:pPr>
            <w:r w:rsidRPr="00AE3A84">
              <w:rPr>
                <w:spacing w:val="-1"/>
              </w:rPr>
              <w:t>Colombia</w:t>
            </w:r>
          </w:p>
        </w:tc>
        <w:tc>
          <w:tcPr>
            <w:tcW w:w="1141" w:type="dxa"/>
            <w:vAlign w:val="center"/>
          </w:tcPr>
          <w:p w14:paraId="28599197" w14:textId="77777777" w:rsidR="0057201B" w:rsidRPr="00AE3A84" w:rsidRDefault="0057201B">
            <w:pPr>
              <w:pStyle w:val="BodyText"/>
              <w:jc w:val="center"/>
              <w:rPr>
                <w:spacing w:val="-1"/>
              </w:rPr>
            </w:pPr>
            <w:r w:rsidRPr="009E06EB">
              <w:rPr>
                <w:spacing w:val="-1"/>
              </w:rPr>
              <w:t>137/22</w:t>
            </w:r>
          </w:p>
        </w:tc>
        <w:tc>
          <w:tcPr>
            <w:tcW w:w="1289" w:type="dxa"/>
            <w:vAlign w:val="center"/>
          </w:tcPr>
          <w:p w14:paraId="0F332048" w14:textId="77777777" w:rsidR="0057201B" w:rsidRPr="00AE3A84" w:rsidRDefault="0057201B">
            <w:pPr>
              <w:pStyle w:val="BodyText"/>
              <w:rPr>
                <w:lang w:val="es-ES"/>
              </w:rPr>
            </w:pPr>
            <w:r w:rsidRPr="00AE3A84">
              <w:rPr>
                <w:spacing w:val="-1"/>
              </w:rPr>
              <w:t>6/27/2022</w:t>
            </w:r>
          </w:p>
        </w:tc>
        <w:tc>
          <w:tcPr>
            <w:tcW w:w="1329" w:type="dxa"/>
            <w:vAlign w:val="center"/>
          </w:tcPr>
          <w:p w14:paraId="376A1624" w14:textId="77777777" w:rsidR="0057201B" w:rsidRPr="00AE3A84" w:rsidRDefault="0057201B">
            <w:pPr>
              <w:pStyle w:val="BodyText"/>
              <w:rPr>
                <w:lang w:val="es-ES"/>
              </w:rPr>
            </w:pPr>
            <w:r w:rsidRPr="00AE3A84">
              <w:rPr>
                <w:spacing w:val="-1"/>
              </w:rPr>
              <w:t>1745-12</w:t>
            </w:r>
          </w:p>
        </w:tc>
        <w:tc>
          <w:tcPr>
            <w:tcW w:w="1350" w:type="dxa"/>
            <w:vAlign w:val="center"/>
          </w:tcPr>
          <w:p w14:paraId="7BE02E74" w14:textId="77777777" w:rsidR="0057201B" w:rsidRPr="00AE3A84" w:rsidRDefault="0057201B">
            <w:pPr>
              <w:pStyle w:val="BodyText"/>
              <w:rPr>
                <w:lang w:val="es-ES"/>
              </w:rPr>
            </w:pPr>
            <w:r w:rsidRPr="00AE3A84">
              <w:rPr>
                <w:spacing w:val="-1"/>
              </w:rPr>
              <w:t>15.001</w:t>
            </w:r>
          </w:p>
        </w:tc>
      </w:tr>
      <w:tr w:rsidR="0057201B" w:rsidRPr="00AE3A84" w14:paraId="327B2098" w14:textId="77777777">
        <w:tc>
          <w:tcPr>
            <w:tcW w:w="534" w:type="dxa"/>
            <w:vAlign w:val="center"/>
          </w:tcPr>
          <w:p w14:paraId="0D1D0B91" w14:textId="77777777" w:rsidR="0057201B" w:rsidRPr="00AE3A84" w:rsidRDefault="0057201B" w:rsidP="00933F91">
            <w:pPr>
              <w:pStyle w:val="BodyText"/>
              <w:widowControl/>
              <w:numPr>
                <w:ilvl w:val="0"/>
                <w:numId w:val="57"/>
              </w:numPr>
              <w:rPr>
                <w:lang w:val="es-ES"/>
              </w:rPr>
            </w:pPr>
          </w:p>
        </w:tc>
        <w:tc>
          <w:tcPr>
            <w:tcW w:w="2953" w:type="dxa"/>
            <w:vAlign w:val="center"/>
          </w:tcPr>
          <w:p w14:paraId="2E516CEE" w14:textId="77777777" w:rsidR="0057201B" w:rsidRPr="00AE3A84" w:rsidRDefault="0057201B">
            <w:pPr>
              <w:pStyle w:val="BodyText"/>
              <w:rPr>
                <w:lang w:val="es-ES"/>
              </w:rPr>
            </w:pPr>
            <w:r w:rsidRPr="00AE3A84">
              <w:rPr>
                <w:spacing w:val="-1"/>
                <w:lang w:val="es-AR"/>
              </w:rPr>
              <w:t>Alfredo</w:t>
            </w:r>
            <w:r w:rsidRPr="00AE3A84">
              <w:rPr>
                <w:spacing w:val="-6"/>
                <w:lang w:val="es-AR"/>
              </w:rPr>
              <w:t xml:space="preserve"> </w:t>
            </w:r>
            <w:r w:rsidRPr="00AE3A84">
              <w:rPr>
                <w:spacing w:val="-1"/>
                <w:lang w:val="es-AR"/>
              </w:rPr>
              <w:t>Pacha</w:t>
            </w:r>
            <w:r w:rsidRPr="00AE3A84">
              <w:rPr>
                <w:spacing w:val="-5"/>
                <w:lang w:val="es-AR"/>
              </w:rPr>
              <w:t xml:space="preserve"> </w:t>
            </w:r>
            <w:r w:rsidRPr="00AE3A84">
              <w:rPr>
                <w:spacing w:val="-1"/>
                <w:lang w:val="es-AR"/>
              </w:rPr>
              <w:t>Tixe</w:t>
            </w:r>
            <w:r w:rsidRPr="00AE3A84">
              <w:rPr>
                <w:spacing w:val="-3"/>
                <w:lang w:val="es-AR"/>
              </w:rPr>
              <w:t xml:space="preserve"> </w:t>
            </w:r>
            <w:r>
              <w:rPr>
                <w:lang w:val="es-AR"/>
              </w:rPr>
              <w:t>et al.</w:t>
            </w:r>
          </w:p>
        </w:tc>
        <w:tc>
          <w:tcPr>
            <w:tcW w:w="1119" w:type="dxa"/>
            <w:vAlign w:val="center"/>
          </w:tcPr>
          <w:p w14:paraId="04CCA33B" w14:textId="77777777" w:rsidR="0057201B" w:rsidRPr="00AE3A84" w:rsidRDefault="0057201B">
            <w:pPr>
              <w:pStyle w:val="BodyText"/>
              <w:rPr>
                <w:lang w:val="es-ES"/>
              </w:rPr>
            </w:pPr>
            <w:r w:rsidRPr="00AE3A84">
              <w:rPr>
                <w:spacing w:val="-1"/>
              </w:rPr>
              <w:t>Ecuador</w:t>
            </w:r>
          </w:p>
        </w:tc>
        <w:tc>
          <w:tcPr>
            <w:tcW w:w="1141" w:type="dxa"/>
            <w:vAlign w:val="center"/>
          </w:tcPr>
          <w:p w14:paraId="399ECDD3" w14:textId="77777777" w:rsidR="0057201B" w:rsidRPr="00AE3A84" w:rsidRDefault="0057201B">
            <w:pPr>
              <w:pStyle w:val="BodyText"/>
              <w:jc w:val="center"/>
              <w:rPr>
                <w:spacing w:val="-1"/>
              </w:rPr>
            </w:pPr>
            <w:r w:rsidRPr="009E06EB">
              <w:rPr>
                <w:spacing w:val="-1"/>
              </w:rPr>
              <w:t>138/22</w:t>
            </w:r>
          </w:p>
        </w:tc>
        <w:tc>
          <w:tcPr>
            <w:tcW w:w="1289" w:type="dxa"/>
            <w:vAlign w:val="center"/>
          </w:tcPr>
          <w:p w14:paraId="1C4AE4C2" w14:textId="77777777" w:rsidR="0057201B" w:rsidRPr="00AE3A84" w:rsidRDefault="0057201B">
            <w:pPr>
              <w:pStyle w:val="BodyText"/>
              <w:rPr>
                <w:lang w:val="es-ES"/>
              </w:rPr>
            </w:pPr>
            <w:r w:rsidRPr="00AE3A84">
              <w:rPr>
                <w:spacing w:val="-1"/>
              </w:rPr>
              <w:t>6/27/2022</w:t>
            </w:r>
          </w:p>
        </w:tc>
        <w:tc>
          <w:tcPr>
            <w:tcW w:w="1329" w:type="dxa"/>
            <w:vAlign w:val="center"/>
          </w:tcPr>
          <w:p w14:paraId="0036966F" w14:textId="77777777" w:rsidR="0057201B" w:rsidRPr="00AE3A84" w:rsidRDefault="0057201B">
            <w:pPr>
              <w:pStyle w:val="BodyText"/>
              <w:rPr>
                <w:lang w:val="es-ES"/>
              </w:rPr>
            </w:pPr>
            <w:r w:rsidRPr="00AE3A84">
              <w:rPr>
                <w:spacing w:val="-1"/>
              </w:rPr>
              <w:t>1890-13</w:t>
            </w:r>
          </w:p>
        </w:tc>
        <w:tc>
          <w:tcPr>
            <w:tcW w:w="1350" w:type="dxa"/>
            <w:vAlign w:val="center"/>
          </w:tcPr>
          <w:p w14:paraId="4935DD64" w14:textId="77777777" w:rsidR="0057201B" w:rsidRPr="00AE3A84" w:rsidRDefault="0057201B">
            <w:pPr>
              <w:pStyle w:val="BodyText"/>
              <w:rPr>
                <w:lang w:val="es-ES"/>
              </w:rPr>
            </w:pPr>
            <w:r w:rsidRPr="00AE3A84">
              <w:rPr>
                <w:spacing w:val="-1"/>
              </w:rPr>
              <w:t>14.983</w:t>
            </w:r>
          </w:p>
        </w:tc>
      </w:tr>
      <w:tr w:rsidR="0057201B" w:rsidRPr="00AE3A84" w14:paraId="355F65DD" w14:textId="77777777">
        <w:tc>
          <w:tcPr>
            <w:tcW w:w="534" w:type="dxa"/>
            <w:vAlign w:val="center"/>
          </w:tcPr>
          <w:p w14:paraId="389E3239" w14:textId="77777777" w:rsidR="0057201B" w:rsidRPr="00AE3A84" w:rsidRDefault="0057201B" w:rsidP="00933F91">
            <w:pPr>
              <w:pStyle w:val="BodyText"/>
              <w:widowControl/>
              <w:numPr>
                <w:ilvl w:val="0"/>
                <w:numId w:val="57"/>
              </w:numPr>
              <w:rPr>
                <w:lang w:val="es-ES"/>
              </w:rPr>
            </w:pPr>
          </w:p>
        </w:tc>
        <w:tc>
          <w:tcPr>
            <w:tcW w:w="2953" w:type="dxa"/>
            <w:vAlign w:val="center"/>
          </w:tcPr>
          <w:p w14:paraId="27F987BB" w14:textId="77777777" w:rsidR="0057201B" w:rsidRPr="00AE3A84" w:rsidRDefault="0057201B">
            <w:pPr>
              <w:pStyle w:val="BodyText"/>
              <w:rPr>
                <w:lang w:val="es-ES"/>
              </w:rPr>
            </w:pPr>
            <w:r w:rsidRPr="00AE3A84">
              <w:t>Zvonko</w:t>
            </w:r>
            <w:r w:rsidRPr="00AE3A84">
              <w:rPr>
                <w:spacing w:val="-9"/>
              </w:rPr>
              <w:t xml:space="preserve"> </w:t>
            </w:r>
            <w:r w:rsidRPr="00AE3A84">
              <w:rPr>
                <w:spacing w:val="-1"/>
              </w:rPr>
              <w:t>Matkovic</w:t>
            </w:r>
            <w:r w:rsidRPr="00AE3A84">
              <w:rPr>
                <w:spacing w:val="-6"/>
              </w:rPr>
              <w:t xml:space="preserve"> </w:t>
            </w:r>
            <w:r w:rsidRPr="00AE3A84">
              <w:rPr>
                <w:spacing w:val="-1"/>
              </w:rPr>
              <w:t>Ribera</w:t>
            </w:r>
          </w:p>
        </w:tc>
        <w:tc>
          <w:tcPr>
            <w:tcW w:w="1119" w:type="dxa"/>
            <w:vAlign w:val="center"/>
          </w:tcPr>
          <w:p w14:paraId="2AD8CE4D" w14:textId="77777777" w:rsidR="0057201B" w:rsidRPr="00AE3A84" w:rsidRDefault="0057201B">
            <w:pPr>
              <w:pStyle w:val="BodyText"/>
              <w:rPr>
                <w:lang w:val="es-ES"/>
              </w:rPr>
            </w:pPr>
            <w:r w:rsidRPr="00AE3A84">
              <w:rPr>
                <w:spacing w:val="-1"/>
              </w:rPr>
              <w:t>Bolivia</w:t>
            </w:r>
          </w:p>
        </w:tc>
        <w:tc>
          <w:tcPr>
            <w:tcW w:w="1141" w:type="dxa"/>
            <w:vAlign w:val="center"/>
          </w:tcPr>
          <w:p w14:paraId="5A6F30BE" w14:textId="77777777" w:rsidR="0057201B" w:rsidRPr="00AE3A84" w:rsidRDefault="0057201B">
            <w:pPr>
              <w:pStyle w:val="BodyText"/>
              <w:jc w:val="center"/>
              <w:rPr>
                <w:spacing w:val="-1"/>
              </w:rPr>
            </w:pPr>
            <w:r w:rsidRPr="009E06EB">
              <w:rPr>
                <w:spacing w:val="-1"/>
              </w:rPr>
              <w:t>139/22</w:t>
            </w:r>
          </w:p>
        </w:tc>
        <w:tc>
          <w:tcPr>
            <w:tcW w:w="1289" w:type="dxa"/>
            <w:vAlign w:val="center"/>
          </w:tcPr>
          <w:p w14:paraId="76ADE1E1" w14:textId="77777777" w:rsidR="0057201B" w:rsidRPr="00AE3A84" w:rsidRDefault="0057201B">
            <w:pPr>
              <w:pStyle w:val="BodyText"/>
              <w:rPr>
                <w:lang w:val="es-ES"/>
              </w:rPr>
            </w:pPr>
            <w:r w:rsidRPr="00AE3A84">
              <w:rPr>
                <w:spacing w:val="-1"/>
              </w:rPr>
              <w:t>6/27/2022</w:t>
            </w:r>
          </w:p>
        </w:tc>
        <w:tc>
          <w:tcPr>
            <w:tcW w:w="1329" w:type="dxa"/>
            <w:vAlign w:val="center"/>
          </w:tcPr>
          <w:p w14:paraId="07BF746B" w14:textId="77777777" w:rsidR="0057201B" w:rsidRPr="00AE3A84" w:rsidRDefault="0057201B">
            <w:pPr>
              <w:pStyle w:val="BodyText"/>
              <w:rPr>
                <w:lang w:val="es-ES"/>
              </w:rPr>
            </w:pPr>
            <w:r w:rsidRPr="00AE3A84">
              <w:rPr>
                <w:spacing w:val="-1"/>
              </w:rPr>
              <w:t>2191-15</w:t>
            </w:r>
          </w:p>
        </w:tc>
        <w:tc>
          <w:tcPr>
            <w:tcW w:w="1350" w:type="dxa"/>
            <w:vAlign w:val="center"/>
          </w:tcPr>
          <w:p w14:paraId="56E1F420" w14:textId="77777777" w:rsidR="0057201B" w:rsidRPr="00AE3A84" w:rsidRDefault="0057201B">
            <w:pPr>
              <w:pStyle w:val="BodyText"/>
              <w:rPr>
                <w:lang w:val="es-ES"/>
              </w:rPr>
            </w:pPr>
            <w:r w:rsidRPr="00AE3A84">
              <w:rPr>
                <w:spacing w:val="-1"/>
              </w:rPr>
              <w:t>14.988</w:t>
            </w:r>
          </w:p>
        </w:tc>
      </w:tr>
      <w:tr w:rsidR="0057201B" w:rsidRPr="00AE3A84" w14:paraId="4D0940F1" w14:textId="77777777">
        <w:tc>
          <w:tcPr>
            <w:tcW w:w="534" w:type="dxa"/>
            <w:vAlign w:val="center"/>
          </w:tcPr>
          <w:p w14:paraId="27D39AE4" w14:textId="77777777" w:rsidR="0057201B" w:rsidRPr="00AE3A84" w:rsidRDefault="0057201B" w:rsidP="00933F91">
            <w:pPr>
              <w:pStyle w:val="BodyText"/>
              <w:widowControl/>
              <w:numPr>
                <w:ilvl w:val="0"/>
                <w:numId w:val="57"/>
              </w:numPr>
              <w:rPr>
                <w:lang w:val="es-ES"/>
              </w:rPr>
            </w:pPr>
          </w:p>
        </w:tc>
        <w:tc>
          <w:tcPr>
            <w:tcW w:w="2953" w:type="dxa"/>
            <w:vAlign w:val="center"/>
          </w:tcPr>
          <w:p w14:paraId="7BE9DADE" w14:textId="77777777" w:rsidR="0057201B" w:rsidRPr="00AE3A84" w:rsidRDefault="0057201B">
            <w:pPr>
              <w:pStyle w:val="BodyText"/>
              <w:rPr>
                <w:lang w:val="es-ES"/>
              </w:rPr>
            </w:pPr>
            <w:r w:rsidRPr="00AE3A84">
              <w:rPr>
                <w:spacing w:val="-1"/>
              </w:rPr>
              <w:t>Rocío</w:t>
            </w:r>
            <w:r w:rsidRPr="00AE3A84">
              <w:rPr>
                <w:spacing w:val="-7"/>
              </w:rPr>
              <w:t xml:space="preserve"> </w:t>
            </w:r>
            <w:r w:rsidRPr="00AE3A84">
              <w:rPr>
                <w:spacing w:val="-1"/>
              </w:rPr>
              <w:t>Rosal</w:t>
            </w:r>
            <w:r w:rsidRPr="00AE3A84">
              <w:rPr>
                <w:spacing w:val="-4"/>
              </w:rPr>
              <w:t xml:space="preserve"> </w:t>
            </w:r>
            <w:r w:rsidRPr="00AE3A84">
              <w:rPr>
                <w:spacing w:val="-1"/>
              </w:rPr>
              <w:t>Castilla</w:t>
            </w:r>
            <w:r w:rsidRPr="00AE3A84">
              <w:rPr>
                <w:spacing w:val="-7"/>
              </w:rPr>
              <w:t xml:space="preserve"> </w:t>
            </w:r>
            <w:r w:rsidRPr="00AE3A84">
              <w:rPr>
                <w:spacing w:val="-1"/>
              </w:rPr>
              <w:t>Kross</w:t>
            </w:r>
          </w:p>
        </w:tc>
        <w:tc>
          <w:tcPr>
            <w:tcW w:w="1119" w:type="dxa"/>
            <w:vAlign w:val="center"/>
          </w:tcPr>
          <w:p w14:paraId="557E5FC6"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6C2D02C6" w14:textId="77777777" w:rsidR="0057201B" w:rsidRPr="00AE3A84" w:rsidRDefault="0057201B">
            <w:pPr>
              <w:pStyle w:val="BodyText"/>
              <w:jc w:val="center"/>
              <w:rPr>
                <w:spacing w:val="-1"/>
              </w:rPr>
            </w:pPr>
            <w:r w:rsidRPr="009E06EB">
              <w:rPr>
                <w:spacing w:val="-1"/>
              </w:rPr>
              <w:t>140/22</w:t>
            </w:r>
          </w:p>
        </w:tc>
        <w:tc>
          <w:tcPr>
            <w:tcW w:w="1289" w:type="dxa"/>
            <w:vAlign w:val="center"/>
          </w:tcPr>
          <w:p w14:paraId="15D04996" w14:textId="77777777" w:rsidR="0057201B" w:rsidRPr="00AE3A84" w:rsidRDefault="0057201B">
            <w:pPr>
              <w:pStyle w:val="BodyText"/>
              <w:rPr>
                <w:lang w:val="es-ES"/>
              </w:rPr>
            </w:pPr>
            <w:r w:rsidRPr="00AE3A84">
              <w:rPr>
                <w:spacing w:val="-1"/>
              </w:rPr>
              <w:t>6/27/2022</w:t>
            </w:r>
          </w:p>
        </w:tc>
        <w:tc>
          <w:tcPr>
            <w:tcW w:w="1329" w:type="dxa"/>
            <w:vAlign w:val="center"/>
          </w:tcPr>
          <w:p w14:paraId="72A3C972" w14:textId="77777777" w:rsidR="0057201B" w:rsidRPr="00AE3A84" w:rsidRDefault="0057201B">
            <w:pPr>
              <w:pStyle w:val="BodyText"/>
              <w:rPr>
                <w:lang w:val="es-ES"/>
              </w:rPr>
            </w:pPr>
            <w:r w:rsidRPr="00AE3A84">
              <w:rPr>
                <w:spacing w:val="-1"/>
              </w:rPr>
              <w:t>138-15</w:t>
            </w:r>
          </w:p>
        </w:tc>
        <w:tc>
          <w:tcPr>
            <w:tcW w:w="1350" w:type="dxa"/>
            <w:vAlign w:val="center"/>
          </w:tcPr>
          <w:p w14:paraId="1073FEF9" w14:textId="0A7FDB1E" w:rsidR="0057201B" w:rsidRPr="00AE3A84" w:rsidRDefault="0057201B">
            <w:pPr>
              <w:pStyle w:val="BodyText"/>
              <w:rPr>
                <w:lang w:val="es-ES"/>
              </w:rPr>
            </w:pPr>
            <w:r w:rsidRPr="00AE3A84">
              <w:rPr>
                <w:spacing w:val="-1"/>
              </w:rPr>
              <w:t>14.99</w:t>
            </w:r>
            <w:r w:rsidR="003A04D8">
              <w:rPr>
                <w:spacing w:val="-1"/>
              </w:rPr>
              <w:t>0</w:t>
            </w:r>
          </w:p>
        </w:tc>
      </w:tr>
      <w:tr w:rsidR="0057201B" w:rsidRPr="00AE3A84" w14:paraId="393B36B8" w14:textId="77777777">
        <w:tc>
          <w:tcPr>
            <w:tcW w:w="534" w:type="dxa"/>
            <w:vAlign w:val="center"/>
          </w:tcPr>
          <w:p w14:paraId="770D3703" w14:textId="77777777" w:rsidR="0057201B" w:rsidRPr="00AE3A84" w:rsidRDefault="0057201B" w:rsidP="00933F91">
            <w:pPr>
              <w:pStyle w:val="BodyText"/>
              <w:widowControl/>
              <w:numPr>
                <w:ilvl w:val="0"/>
                <w:numId w:val="57"/>
              </w:numPr>
              <w:rPr>
                <w:lang w:val="es-ES"/>
              </w:rPr>
            </w:pPr>
          </w:p>
        </w:tc>
        <w:tc>
          <w:tcPr>
            <w:tcW w:w="2953" w:type="dxa"/>
            <w:vAlign w:val="center"/>
          </w:tcPr>
          <w:p w14:paraId="510469A5" w14:textId="77777777" w:rsidR="0057201B" w:rsidRPr="00AE3A84" w:rsidRDefault="0057201B">
            <w:pPr>
              <w:pStyle w:val="BodyText"/>
              <w:rPr>
                <w:lang w:val="es-ES"/>
              </w:rPr>
            </w:pPr>
            <w:r>
              <w:rPr>
                <w:spacing w:val="-1"/>
                <w:lang w:val="es-AR"/>
              </w:rPr>
              <w:t>Relatives of</w:t>
            </w:r>
            <w:r w:rsidRPr="00AE3A84">
              <w:rPr>
                <w:spacing w:val="-3"/>
                <w:lang w:val="es-AR"/>
              </w:rPr>
              <w:t xml:space="preserve"> </w:t>
            </w:r>
            <w:r w:rsidRPr="00AE3A84">
              <w:rPr>
                <w:spacing w:val="-1"/>
                <w:lang w:val="es-AR"/>
              </w:rPr>
              <w:t>Eligen</w:t>
            </w:r>
            <w:r w:rsidRPr="00AE3A84">
              <w:rPr>
                <w:spacing w:val="-5"/>
                <w:lang w:val="es-AR"/>
              </w:rPr>
              <w:t xml:space="preserve"> </w:t>
            </w:r>
            <w:r w:rsidRPr="00AE3A84">
              <w:rPr>
                <w:spacing w:val="-1"/>
                <w:lang w:val="es-AR"/>
              </w:rPr>
              <w:t>Ponce</w:t>
            </w:r>
            <w:r w:rsidRPr="00AE3A84">
              <w:rPr>
                <w:spacing w:val="-3"/>
                <w:lang w:val="es-AR"/>
              </w:rPr>
              <w:t xml:space="preserve"> </w:t>
            </w:r>
            <w:r w:rsidRPr="00AE3A84">
              <w:rPr>
                <w:spacing w:val="-1"/>
                <w:lang w:val="es-AR"/>
              </w:rPr>
              <w:t>Arias</w:t>
            </w:r>
            <w:r w:rsidRPr="00AE3A84">
              <w:rPr>
                <w:spacing w:val="-5"/>
                <w:lang w:val="es-AR"/>
              </w:rPr>
              <w:t xml:space="preserve"> </w:t>
            </w:r>
            <w:r>
              <w:rPr>
                <w:lang w:val="es-AR"/>
              </w:rPr>
              <w:t>et al.</w:t>
            </w:r>
          </w:p>
        </w:tc>
        <w:tc>
          <w:tcPr>
            <w:tcW w:w="1119" w:type="dxa"/>
            <w:vAlign w:val="center"/>
          </w:tcPr>
          <w:p w14:paraId="3155CD03" w14:textId="77777777" w:rsidR="0057201B" w:rsidRPr="00AE3A84" w:rsidRDefault="0057201B">
            <w:pPr>
              <w:pStyle w:val="BodyText"/>
              <w:rPr>
                <w:lang w:val="es-ES"/>
              </w:rPr>
            </w:pPr>
            <w:r w:rsidRPr="00AE3A84">
              <w:rPr>
                <w:spacing w:val="-1"/>
              </w:rPr>
              <w:t>Chile</w:t>
            </w:r>
          </w:p>
        </w:tc>
        <w:tc>
          <w:tcPr>
            <w:tcW w:w="1141" w:type="dxa"/>
            <w:vAlign w:val="center"/>
          </w:tcPr>
          <w:p w14:paraId="43A6BF69" w14:textId="77777777" w:rsidR="0057201B" w:rsidRPr="00AE3A84" w:rsidRDefault="0057201B">
            <w:pPr>
              <w:pStyle w:val="BodyText"/>
              <w:jc w:val="center"/>
              <w:rPr>
                <w:spacing w:val="-1"/>
              </w:rPr>
            </w:pPr>
            <w:r w:rsidRPr="009E06EB">
              <w:rPr>
                <w:spacing w:val="-1"/>
              </w:rPr>
              <w:t>142/22</w:t>
            </w:r>
          </w:p>
        </w:tc>
        <w:tc>
          <w:tcPr>
            <w:tcW w:w="1289" w:type="dxa"/>
            <w:vAlign w:val="center"/>
          </w:tcPr>
          <w:p w14:paraId="6F09F862" w14:textId="77777777" w:rsidR="0057201B" w:rsidRPr="00AE3A84" w:rsidRDefault="0057201B">
            <w:pPr>
              <w:pStyle w:val="BodyText"/>
              <w:rPr>
                <w:lang w:val="es-ES"/>
              </w:rPr>
            </w:pPr>
            <w:r w:rsidRPr="00AE3A84">
              <w:rPr>
                <w:spacing w:val="-1"/>
              </w:rPr>
              <w:t>6/27/2022</w:t>
            </w:r>
          </w:p>
        </w:tc>
        <w:tc>
          <w:tcPr>
            <w:tcW w:w="1329" w:type="dxa"/>
            <w:vAlign w:val="center"/>
          </w:tcPr>
          <w:p w14:paraId="6C8AAE40" w14:textId="77777777" w:rsidR="0057201B" w:rsidRPr="00AE3A84" w:rsidRDefault="0057201B">
            <w:pPr>
              <w:pStyle w:val="BodyText"/>
              <w:rPr>
                <w:lang w:val="es-ES"/>
              </w:rPr>
            </w:pPr>
            <w:r w:rsidRPr="00AE3A84">
              <w:rPr>
                <w:spacing w:val="-1"/>
              </w:rPr>
              <w:t>1522-13</w:t>
            </w:r>
          </w:p>
        </w:tc>
        <w:tc>
          <w:tcPr>
            <w:tcW w:w="1350" w:type="dxa"/>
            <w:vAlign w:val="center"/>
          </w:tcPr>
          <w:p w14:paraId="1F4BC7C3" w14:textId="60D2145B" w:rsidR="0057201B" w:rsidRPr="00AE3A84" w:rsidRDefault="0057201B">
            <w:pPr>
              <w:pStyle w:val="BodyText"/>
              <w:rPr>
                <w:lang w:val="es-ES"/>
              </w:rPr>
            </w:pPr>
            <w:r w:rsidRPr="00AE3A84">
              <w:rPr>
                <w:spacing w:val="-1"/>
              </w:rPr>
              <w:t>15</w:t>
            </w:r>
            <w:r w:rsidR="003A04D8">
              <w:rPr>
                <w:spacing w:val="-1"/>
              </w:rPr>
              <w:t>.000</w:t>
            </w:r>
          </w:p>
        </w:tc>
      </w:tr>
      <w:tr w:rsidR="0057201B" w:rsidRPr="00AE3A84" w14:paraId="4970A623" w14:textId="77777777">
        <w:tc>
          <w:tcPr>
            <w:tcW w:w="534" w:type="dxa"/>
            <w:vAlign w:val="center"/>
          </w:tcPr>
          <w:p w14:paraId="2FAEF122" w14:textId="77777777" w:rsidR="0057201B" w:rsidRPr="00AE3A84" w:rsidRDefault="0057201B" w:rsidP="00933F91">
            <w:pPr>
              <w:pStyle w:val="BodyText"/>
              <w:widowControl/>
              <w:numPr>
                <w:ilvl w:val="0"/>
                <w:numId w:val="57"/>
              </w:numPr>
              <w:rPr>
                <w:lang w:val="es-ES"/>
              </w:rPr>
            </w:pPr>
          </w:p>
        </w:tc>
        <w:tc>
          <w:tcPr>
            <w:tcW w:w="2953" w:type="dxa"/>
            <w:vAlign w:val="center"/>
          </w:tcPr>
          <w:p w14:paraId="65657958" w14:textId="77777777" w:rsidR="0057201B" w:rsidRPr="00AE3A84" w:rsidRDefault="0057201B">
            <w:pPr>
              <w:pStyle w:val="BodyText"/>
              <w:rPr>
                <w:lang w:val="es-ES"/>
              </w:rPr>
            </w:pPr>
            <w:r w:rsidRPr="00AE3A84">
              <w:rPr>
                <w:spacing w:val="-1"/>
              </w:rPr>
              <w:t>Luis</w:t>
            </w:r>
            <w:r w:rsidRPr="00AE3A84">
              <w:rPr>
                <w:spacing w:val="-8"/>
              </w:rPr>
              <w:t xml:space="preserve"> </w:t>
            </w:r>
            <w:r w:rsidRPr="00AE3A84">
              <w:rPr>
                <w:spacing w:val="-1"/>
              </w:rPr>
              <w:t>Guillermo</w:t>
            </w:r>
            <w:r w:rsidRPr="00AE3A84">
              <w:rPr>
                <w:spacing w:val="-8"/>
              </w:rPr>
              <w:t xml:space="preserve"> </w:t>
            </w:r>
            <w:r w:rsidRPr="00AE3A84">
              <w:rPr>
                <w:spacing w:val="-1"/>
              </w:rPr>
              <w:t>Catalán</w:t>
            </w:r>
            <w:r w:rsidRPr="00AE3A84">
              <w:rPr>
                <w:spacing w:val="-7"/>
              </w:rPr>
              <w:t xml:space="preserve"> </w:t>
            </w:r>
            <w:r w:rsidRPr="00AE3A84">
              <w:rPr>
                <w:spacing w:val="-1"/>
              </w:rPr>
              <w:t>Arriagada</w:t>
            </w:r>
          </w:p>
        </w:tc>
        <w:tc>
          <w:tcPr>
            <w:tcW w:w="1119" w:type="dxa"/>
            <w:vAlign w:val="center"/>
          </w:tcPr>
          <w:p w14:paraId="00ED1690" w14:textId="77777777" w:rsidR="0057201B" w:rsidRPr="00AE3A84" w:rsidRDefault="0057201B">
            <w:pPr>
              <w:pStyle w:val="BodyText"/>
              <w:rPr>
                <w:lang w:val="es-ES"/>
              </w:rPr>
            </w:pPr>
            <w:r w:rsidRPr="00AE3A84">
              <w:rPr>
                <w:spacing w:val="-1"/>
              </w:rPr>
              <w:t>Chile</w:t>
            </w:r>
          </w:p>
        </w:tc>
        <w:tc>
          <w:tcPr>
            <w:tcW w:w="1141" w:type="dxa"/>
            <w:vAlign w:val="center"/>
          </w:tcPr>
          <w:p w14:paraId="228753E0" w14:textId="77777777" w:rsidR="0057201B" w:rsidRPr="00AE3A84" w:rsidRDefault="0057201B">
            <w:pPr>
              <w:pStyle w:val="BodyText"/>
              <w:jc w:val="center"/>
              <w:rPr>
                <w:spacing w:val="-1"/>
              </w:rPr>
            </w:pPr>
            <w:r w:rsidRPr="009E06EB">
              <w:rPr>
                <w:spacing w:val="-1"/>
              </w:rPr>
              <w:t>143/22</w:t>
            </w:r>
          </w:p>
        </w:tc>
        <w:tc>
          <w:tcPr>
            <w:tcW w:w="1289" w:type="dxa"/>
            <w:vAlign w:val="center"/>
          </w:tcPr>
          <w:p w14:paraId="3CA98FBE" w14:textId="77777777" w:rsidR="0057201B" w:rsidRPr="00AE3A84" w:rsidRDefault="0057201B">
            <w:pPr>
              <w:pStyle w:val="BodyText"/>
              <w:rPr>
                <w:lang w:val="es-ES"/>
              </w:rPr>
            </w:pPr>
            <w:r w:rsidRPr="00AE3A84">
              <w:rPr>
                <w:spacing w:val="-1"/>
              </w:rPr>
              <w:t>6/27/2022</w:t>
            </w:r>
          </w:p>
        </w:tc>
        <w:tc>
          <w:tcPr>
            <w:tcW w:w="1329" w:type="dxa"/>
            <w:vAlign w:val="center"/>
          </w:tcPr>
          <w:p w14:paraId="4FFC496C" w14:textId="77777777" w:rsidR="0057201B" w:rsidRPr="00AE3A84" w:rsidRDefault="0057201B">
            <w:pPr>
              <w:pStyle w:val="BodyText"/>
              <w:rPr>
                <w:lang w:val="es-ES"/>
              </w:rPr>
            </w:pPr>
            <w:r w:rsidRPr="00AE3A84">
              <w:rPr>
                <w:spacing w:val="-1"/>
              </w:rPr>
              <w:t>1350-13</w:t>
            </w:r>
          </w:p>
        </w:tc>
        <w:tc>
          <w:tcPr>
            <w:tcW w:w="1350" w:type="dxa"/>
            <w:vAlign w:val="center"/>
          </w:tcPr>
          <w:p w14:paraId="1C998ADB" w14:textId="77777777" w:rsidR="0057201B" w:rsidRPr="00AE3A84" w:rsidRDefault="0057201B">
            <w:pPr>
              <w:pStyle w:val="BodyText"/>
              <w:rPr>
                <w:lang w:val="es-ES"/>
              </w:rPr>
            </w:pPr>
            <w:r w:rsidRPr="00AE3A84">
              <w:rPr>
                <w:spacing w:val="-1"/>
              </w:rPr>
              <w:t>15.007</w:t>
            </w:r>
          </w:p>
        </w:tc>
      </w:tr>
      <w:tr w:rsidR="0057201B" w:rsidRPr="00AE3A84" w14:paraId="25BA5B0B" w14:textId="77777777">
        <w:tc>
          <w:tcPr>
            <w:tcW w:w="534" w:type="dxa"/>
            <w:vAlign w:val="center"/>
          </w:tcPr>
          <w:p w14:paraId="01A2577F" w14:textId="77777777" w:rsidR="0057201B" w:rsidRPr="00AE3A84" w:rsidRDefault="0057201B" w:rsidP="00933F91">
            <w:pPr>
              <w:pStyle w:val="BodyText"/>
              <w:widowControl/>
              <w:numPr>
                <w:ilvl w:val="0"/>
                <w:numId w:val="57"/>
              </w:numPr>
              <w:rPr>
                <w:lang w:val="es-ES"/>
              </w:rPr>
            </w:pPr>
          </w:p>
        </w:tc>
        <w:tc>
          <w:tcPr>
            <w:tcW w:w="2953" w:type="dxa"/>
            <w:vAlign w:val="center"/>
          </w:tcPr>
          <w:p w14:paraId="4C036140" w14:textId="77777777" w:rsidR="0057201B" w:rsidRPr="00137ACB" w:rsidRDefault="0057201B">
            <w:pPr>
              <w:pStyle w:val="BodyText"/>
            </w:pPr>
            <w:r w:rsidRPr="00137ACB">
              <w:rPr>
                <w:spacing w:val="-1"/>
              </w:rPr>
              <w:t>Vicente</w:t>
            </w:r>
            <w:r w:rsidRPr="00137ACB">
              <w:rPr>
                <w:spacing w:val="-4"/>
              </w:rPr>
              <w:t xml:space="preserve"> </w:t>
            </w:r>
            <w:r w:rsidRPr="00137ACB">
              <w:rPr>
                <w:spacing w:val="-1"/>
              </w:rPr>
              <w:t>Rappaccioli</w:t>
            </w:r>
            <w:r w:rsidRPr="00137ACB">
              <w:rPr>
                <w:spacing w:val="-4"/>
              </w:rPr>
              <w:t xml:space="preserve"> </w:t>
            </w:r>
            <w:r w:rsidRPr="00137ACB">
              <w:rPr>
                <w:spacing w:val="-1"/>
              </w:rPr>
              <w:t>Navas</w:t>
            </w:r>
            <w:r w:rsidRPr="00137ACB">
              <w:rPr>
                <w:spacing w:val="-6"/>
              </w:rPr>
              <w:t xml:space="preserve"> </w:t>
            </w:r>
            <w:r w:rsidRPr="00137ACB">
              <w:t>and Family</w:t>
            </w:r>
          </w:p>
        </w:tc>
        <w:tc>
          <w:tcPr>
            <w:tcW w:w="1119" w:type="dxa"/>
            <w:vAlign w:val="center"/>
          </w:tcPr>
          <w:p w14:paraId="38B6C458" w14:textId="77777777" w:rsidR="0057201B" w:rsidRPr="00AE3A84" w:rsidRDefault="0057201B">
            <w:pPr>
              <w:pStyle w:val="BodyText"/>
              <w:rPr>
                <w:lang w:val="es-ES"/>
              </w:rPr>
            </w:pPr>
            <w:r w:rsidRPr="00AE3A84">
              <w:rPr>
                <w:spacing w:val="-1"/>
              </w:rPr>
              <w:t>Nicaragua</w:t>
            </w:r>
          </w:p>
        </w:tc>
        <w:tc>
          <w:tcPr>
            <w:tcW w:w="1141" w:type="dxa"/>
            <w:vAlign w:val="center"/>
          </w:tcPr>
          <w:p w14:paraId="56973F15" w14:textId="77777777" w:rsidR="0057201B" w:rsidRPr="00AE3A84" w:rsidRDefault="0057201B">
            <w:pPr>
              <w:pStyle w:val="BodyText"/>
              <w:jc w:val="center"/>
              <w:rPr>
                <w:spacing w:val="-1"/>
              </w:rPr>
            </w:pPr>
            <w:r>
              <w:rPr>
                <w:spacing w:val="-1"/>
              </w:rPr>
              <w:t>144/22</w:t>
            </w:r>
          </w:p>
        </w:tc>
        <w:tc>
          <w:tcPr>
            <w:tcW w:w="1289" w:type="dxa"/>
            <w:vAlign w:val="center"/>
          </w:tcPr>
          <w:p w14:paraId="035BDDAD" w14:textId="77777777" w:rsidR="0057201B" w:rsidRPr="00AE3A84" w:rsidRDefault="0057201B">
            <w:pPr>
              <w:pStyle w:val="BodyText"/>
              <w:rPr>
                <w:lang w:val="es-ES"/>
              </w:rPr>
            </w:pPr>
            <w:r w:rsidRPr="00AE3A84">
              <w:rPr>
                <w:spacing w:val="-1"/>
              </w:rPr>
              <w:t>6/27/2022</w:t>
            </w:r>
          </w:p>
        </w:tc>
        <w:tc>
          <w:tcPr>
            <w:tcW w:w="1329" w:type="dxa"/>
            <w:vAlign w:val="center"/>
          </w:tcPr>
          <w:p w14:paraId="7653EF8A" w14:textId="77777777" w:rsidR="0057201B" w:rsidRPr="00AE3A84" w:rsidRDefault="0057201B">
            <w:pPr>
              <w:pStyle w:val="BodyText"/>
              <w:rPr>
                <w:lang w:val="es-ES"/>
              </w:rPr>
            </w:pPr>
            <w:r w:rsidRPr="00AE3A84">
              <w:rPr>
                <w:spacing w:val="-1"/>
              </w:rPr>
              <w:t>2150-18</w:t>
            </w:r>
          </w:p>
        </w:tc>
        <w:tc>
          <w:tcPr>
            <w:tcW w:w="1350" w:type="dxa"/>
            <w:vAlign w:val="center"/>
          </w:tcPr>
          <w:p w14:paraId="0D197C18" w14:textId="77777777" w:rsidR="0057201B" w:rsidRPr="00AE3A84" w:rsidRDefault="0057201B">
            <w:pPr>
              <w:pStyle w:val="BodyText"/>
              <w:rPr>
                <w:lang w:val="es-ES"/>
              </w:rPr>
            </w:pPr>
            <w:r w:rsidRPr="00AE3A84">
              <w:rPr>
                <w:spacing w:val="-1"/>
              </w:rPr>
              <w:t>15.019</w:t>
            </w:r>
          </w:p>
        </w:tc>
      </w:tr>
      <w:tr w:rsidR="0057201B" w:rsidRPr="00AE3A84" w14:paraId="0038CB19" w14:textId="77777777">
        <w:tc>
          <w:tcPr>
            <w:tcW w:w="534" w:type="dxa"/>
            <w:vAlign w:val="center"/>
          </w:tcPr>
          <w:p w14:paraId="794382EB" w14:textId="77777777" w:rsidR="0057201B" w:rsidRPr="00AE3A84" w:rsidRDefault="0057201B" w:rsidP="00933F91">
            <w:pPr>
              <w:pStyle w:val="BodyText"/>
              <w:widowControl/>
              <w:numPr>
                <w:ilvl w:val="0"/>
                <w:numId w:val="57"/>
              </w:numPr>
              <w:rPr>
                <w:lang w:val="es-ES"/>
              </w:rPr>
            </w:pPr>
          </w:p>
        </w:tc>
        <w:tc>
          <w:tcPr>
            <w:tcW w:w="2953" w:type="dxa"/>
            <w:vAlign w:val="center"/>
          </w:tcPr>
          <w:p w14:paraId="2E026DFA" w14:textId="77777777" w:rsidR="0057201B" w:rsidRPr="00AE3A84" w:rsidRDefault="0057201B">
            <w:pPr>
              <w:pStyle w:val="BodyText"/>
              <w:rPr>
                <w:lang w:val="es-ES"/>
              </w:rPr>
            </w:pPr>
            <w:r w:rsidRPr="00AE3A84">
              <w:rPr>
                <w:spacing w:val="-1"/>
              </w:rPr>
              <w:t>Fabián</w:t>
            </w:r>
            <w:r w:rsidRPr="00AE3A84">
              <w:rPr>
                <w:spacing w:val="-10"/>
              </w:rPr>
              <w:t xml:space="preserve"> </w:t>
            </w:r>
            <w:r w:rsidRPr="00AE3A84">
              <w:rPr>
                <w:spacing w:val="-1"/>
              </w:rPr>
              <w:t>Santiago</w:t>
            </w:r>
          </w:p>
        </w:tc>
        <w:tc>
          <w:tcPr>
            <w:tcW w:w="1119" w:type="dxa"/>
            <w:vAlign w:val="center"/>
          </w:tcPr>
          <w:p w14:paraId="2E41EC5C" w14:textId="77777777" w:rsidR="0057201B" w:rsidRPr="00AE3A84" w:rsidRDefault="0057201B">
            <w:pPr>
              <w:pStyle w:val="BodyText"/>
              <w:rPr>
                <w:lang w:val="es-ES"/>
              </w:rPr>
            </w:pPr>
            <w:r>
              <w:rPr>
                <w:spacing w:val="-1"/>
              </w:rPr>
              <w:t>United States</w:t>
            </w:r>
          </w:p>
        </w:tc>
        <w:tc>
          <w:tcPr>
            <w:tcW w:w="1141" w:type="dxa"/>
            <w:vAlign w:val="center"/>
          </w:tcPr>
          <w:p w14:paraId="32154569" w14:textId="77777777" w:rsidR="0057201B" w:rsidRPr="00AE3A84" w:rsidRDefault="0057201B">
            <w:pPr>
              <w:pStyle w:val="BodyText"/>
              <w:jc w:val="center"/>
              <w:rPr>
                <w:spacing w:val="-1"/>
              </w:rPr>
            </w:pPr>
            <w:r w:rsidRPr="00A4608F">
              <w:rPr>
                <w:spacing w:val="-1"/>
              </w:rPr>
              <w:t>145/22</w:t>
            </w:r>
          </w:p>
        </w:tc>
        <w:tc>
          <w:tcPr>
            <w:tcW w:w="1289" w:type="dxa"/>
            <w:vAlign w:val="center"/>
          </w:tcPr>
          <w:p w14:paraId="7514ABA0" w14:textId="77777777" w:rsidR="0057201B" w:rsidRPr="00AE3A84" w:rsidRDefault="0057201B">
            <w:pPr>
              <w:pStyle w:val="BodyText"/>
              <w:rPr>
                <w:lang w:val="es-ES"/>
              </w:rPr>
            </w:pPr>
            <w:r w:rsidRPr="00AE3A84">
              <w:rPr>
                <w:spacing w:val="-1"/>
              </w:rPr>
              <w:t>6/27/2022</w:t>
            </w:r>
          </w:p>
        </w:tc>
        <w:tc>
          <w:tcPr>
            <w:tcW w:w="1329" w:type="dxa"/>
            <w:vAlign w:val="center"/>
          </w:tcPr>
          <w:p w14:paraId="35091B34" w14:textId="77777777" w:rsidR="0057201B" w:rsidRPr="00AE3A84" w:rsidRDefault="0057201B">
            <w:pPr>
              <w:pStyle w:val="BodyText"/>
              <w:rPr>
                <w:lang w:val="es-ES"/>
              </w:rPr>
            </w:pPr>
            <w:r w:rsidRPr="00AE3A84">
              <w:rPr>
                <w:spacing w:val="-1"/>
              </w:rPr>
              <w:t>563-13</w:t>
            </w:r>
          </w:p>
        </w:tc>
        <w:tc>
          <w:tcPr>
            <w:tcW w:w="1350" w:type="dxa"/>
            <w:vAlign w:val="center"/>
          </w:tcPr>
          <w:p w14:paraId="396559F4" w14:textId="3E9E0015" w:rsidR="0057201B" w:rsidRPr="00AE3A84" w:rsidRDefault="0057201B">
            <w:pPr>
              <w:pStyle w:val="BodyText"/>
              <w:rPr>
                <w:lang w:val="es-ES"/>
              </w:rPr>
            </w:pPr>
            <w:r w:rsidRPr="00AE3A84">
              <w:rPr>
                <w:spacing w:val="-1"/>
              </w:rPr>
              <w:t>15.01</w:t>
            </w:r>
            <w:r w:rsidR="00A37DB1">
              <w:rPr>
                <w:spacing w:val="-1"/>
              </w:rPr>
              <w:t>0</w:t>
            </w:r>
          </w:p>
        </w:tc>
      </w:tr>
      <w:tr w:rsidR="0057201B" w:rsidRPr="00AE3A84" w14:paraId="7DA020D8" w14:textId="77777777">
        <w:tc>
          <w:tcPr>
            <w:tcW w:w="534" w:type="dxa"/>
            <w:vAlign w:val="center"/>
          </w:tcPr>
          <w:p w14:paraId="1DD42F50" w14:textId="77777777" w:rsidR="0057201B" w:rsidRPr="00AE3A84" w:rsidRDefault="0057201B" w:rsidP="00933F91">
            <w:pPr>
              <w:pStyle w:val="BodyText"/>
              <w:widowControl/>
              <w:numPr>
                <w:ilvl w:val="0"/>
                <w:numId w:val="57"/>
              </w:numPr>
              <w:rPr>
                <w:lang w:val="es-ES"/>
              </w:rPr>
            </w:pPr>
          </w:p>
        </w:tc>
        <w:tc>
          <w:tcPr>
            <w:tcW w:w="2953" w:type="dxa"/>
            <w:vAlign w:val="center"/>
          </w:tcPr>
          <w:p w14:paraId="7027D080" w14:textId="77777777" w:rsidR="0057201B" w:rsidRPr="00AE3A84" w:rsidRDefault="0057201B">
            <w:pPr>
              <w:pStyle w:val="BodyText"/>
              <w:rPr>
                <w:lang w:val="es-ES"/>
              </w:rPr>
            </w:pPr>
            <w:r w:rsidRPr="00AE3A84">
              <w:rPr>
                <w:spacing w:val="-1"/>
              </w:rPr>
              <w:t>Miguel</w:t>
            </w:r>
            <w:r w:rsidRPr="00AE3A84">
              <w:rPr>
                <w:spacing w:val="-6"/>
              </w:rPr>
              <w:t xml:space="preserve"> </w:t>
            </w:r>
            <w:r w:rsidRPr="00AE3A84">
              <w:rPr>
                <w:spacing w:val="-1"/>
              </w:rPr>
              <w:t>Pinedo</w:t>
            </w:r>
            <w:r w:rsidRPr="00AE3A84">
              <w:rPr>
                <w:spacing w:val="-7"/>
              </w:rPr>
              <w:t xml:space="preserve"> </w:t>
            </w:r>
            <w:r w:rsidRPr="00AE3A84">
              <w:rPr>
                <w:spacing w:val="-1"/>
              </w:rPr>
              <w:t>Vidal</w:t>
            </w:r>
          </w:p>
        </w:tc>
        <w:tc>
          <w:tcPr>
            <w:tcW w:w="1119" w:type="dxa"/>
            <w:vAlign w:val="center"/>
          </w:tcPr>
          <w:p w14:paraId="4276AED1" w14:textId="77777777" w:rsidR="0057201B" w:rsidRPr="00AE3A84" w:rsidRDefault="0057201B">
            <w:pPr>
              <w:pStyle w:val="BodyText"/>
              <w:rPr>
                <w:lang w:val="es-ES"/>
              </w:rPr>
            </w:pPr>
            <w:r w:rsidRPr="00AE3A84">
              <w:rPr>
                <w:spacing w:val="-1"/>
              </w:rPr>
              <w:t>Colombia</w:t>
            </w:r>
          </w:p>
        </w:tc>
        <w:tc>
          <w:tcPr>
            <w:tcW w:w="1141" w:type="dxa"/>
            <w:vAlign w:val="center"/>
          </w:tcPr>
          <w:p w14:paraId="5E1D6C8E" w14:textId="77777777" w:rsidR="0057201B" w:rsidRPr="00AE3A84" w:rsidRDefault="0057201B">
            <w:pPr>
              <w:pStyle w:val="BodyText"/>
              <w:jc w:val="center"/>
              <w:rPr>
                <w:spacing w:val="-1"/>
              </w:rPr>
            </w:pPr>
            <w:r w:rsidRPr="00A4608F">
              <w:rPr>
                <w:spacing w:val="-1"/>
              </w:rPr>
              <w:t>147/22</w:t>
            </w:r>
          </w:p>
        </w:tc>
        <w:tc>
          <w:tcPr>
            <w:tcW w:w="1289" w:type="dxa"/>
            <w:vAlign w:val="center"/>
          </w:tcPr>
          <w:p w14:paraId="29DA5B41" w14:textId="77777777" w:rsidR="0057201B" w:rsidRPr="00AE3A84" w:rsidRDefault="0057201B">
            <w:pPr>
              <w:pStyle w:val="BodyText"/>
              <w:rPr>
                <w:lang w:val="es-ES"/>
              </w:rPr>
            </w:pPr>
            <w:r w:rsidRPr="00AE3A84">
              <w:rPr>
                <w:spacing w:val="-1"/>
              </w:rPr>
              <w:t>6/27/2022</w:t>
            </w:r>
          </w:p>
        </w:tc>
        <w:tc>
          <w:tcPr>
            <w:tcW w:w="1329" w:type="dxa"/>
            <w:vAlign w:val="center"/>
          </w:tcPr>
          <w:p w14:paraId="38EB9405" w14:textId="77777777" w:rsidR="0057201B" w:rsidRPr="00AE3A84" w:rsidRDefault="0057201B">
            <w:pPr>
              <w:pStyle w:val="BodyText"/>
              <w:rPr>
                <w:lang w:val="es-ES"/>
              </w:rPr>
            </w:pPr>
            <w:r w:rsidRPr="00AE3A84">
              <w:rPr>
                <w:spacing w:val="-1"/>
              </w:rPr>
              <w:t>375-13</w:t>
            </w:r>
          </w:p>
        </w:tc>
        <w:tc>
          <w:tcPr>
            <w:tcW w:w="1350" w:type="dxa"/>
            <w:vAlign w:val="center"/>
          </w:tcPr>
          <w:p w14:paraId="409A61A0" w14:textId="77777777" w:rsidR="0057201B" w:rsidRPr="00AE3A84" w:rsidRDefault="0057201B">
            <w:pPr>
              <w:pStyle w:val="BodyText"/>
              <w:rPr>
                <w:lang w:val="es-ES"/>
              </w:rPr>
            </w:pPr>
            <w:r w:rsidRPr="00AE3A84">
              <w:rPr>
                <w:spacing w:val="-1"/>
              </w:rPr>
              <w:t>15.002</w:t>
            </w:r>
          </w:p>
        </w:tc>
      </w:tr>
      <w:tr w:rsidR="0057201B" w:rsidRPr="00AE3A84" w14:paraId="6982A2BB" w14:textId="77777777">
        <w:tc>
          <w:tcPr>
            <w:tcW w:w="534" w:type="dxa"/>
            <w:vAlign w:val="center"/>
          </w:tcPr>
          <w:p w14:paraId="031909FD" w14:textId="77777777" w:rsidR="0057201B" w:rsidRPr="00AE3A84" w:rsidRDefault="0057201B" w:rsidP="00933F91">
            <w:pPr>
              <w:pStyle w:val="BodyText"/>
              <w:widowControl/>
              <w:numPr>
                <w:ilvl w:val="0"/>
                <w:numId w:val="57"/>
              </w:numPr>
              <w:rPr>
                <w:lang w:val="es-ES"/>
              </w:rPr>
            </w:pPr>
          </w:p>
        </w:tc>
        <w:tc>
          <w:tcPr>
            <w:tcW w:w="2953" w:type="dxa"/>
            <w:vAlign w:val="center"/>
          </w:tcPr>
          <w:p w14:paraId="72A0EAC6" w14:textId="77777777" w:rsidR="0057201B" w:rsidRPr="00917976" w:rsidRDefault="0057201B">
            <w:pPr>
              <w:pStyle w:val="BodyText"/>
            </w:pPr>
            <w:r w:rsidRPr="00917976">
              <w:rPr>
                <w:spacing w:val="-1"/>
              </w:rPr>
              <w:t>Martha</w:t>
            </w:r>
            <w:r w:rsidRPr="00917976">
              <w:rPr>
                <w:spacing w:val="-7"/>
              </w:rPr>
              <w:t xml:space="preserve"> </w:t>
            </w:r>
            <w:r w:rsidRPr="00917976">
              <w:rPr>
                <w:spacing w:val="-1"/>
              </w:rPr>
              <w:t>Arteaga</w:t>
            </w:r>
            <w:r w:rsidRPr="00917976">
              <w:rPr>
                <w:spacing w:val="-7"/>
              </w:rPr>
              <w:t xml:space="preserve"> </w:t>
            </w:r>
            <w:r w:rsidRPr="00917976">
              <w:rPr>
                <w:spacing w:val="-1"/>
              </w:rPr>
              <w:t>Escoto</w:t>
            </w:r>
            <w:r w:rsidRPr="00917976">
              <w:rPr>
                <w:spacing w:val="-6"/>
              </w:rPr>
              <w:t xml:space="preserve"> </w:t>
            </w:r>
            <w:r w:rsidRPr="00917976">
              <w:t xml:space="preserve">and </w:t>
            </w:r>
            <w:r>
              <w:t>Relatives</w:t>
            </w:r>
          </w:p>
        </w:tc>
        <w:tc>
          <w:tcPr>
            <w:tcW w:w="1119" w:type="dxa"/>
            <w:vAlign w:val="center"/>
          </w:tcPr>
          <w:p w14:paraId="225BB328" w14:textId="77777777" w:rsidR="0057201B" w:rsidRPr="00AE3A84" w:rsidRDefault="0057201B">
            <w:pPr>
              <w:pStyle w:val="BodyText"/>
              <w:rPr>
                <w:lang w:val="es-ES"/>
              </w:rPr>
            </w:pPr>
            <w:r w:rsidRPr="00AE3A84">
              <w:rPr>
                <w:spacing w:val="-1"/>
              </w:rPr>
              <w:t>Honduras</w:t>
            </w:r>
          </w:p>
        </w:tc>
        <w:tc>
          <w:tcPr>
            <w:tcW w:w="1141" w:type="dxa"/>
            <w:vAlign w:val="center"/>
          </w:tcPr>
          <w:p w14:paraId="32F4CE70" w14:textId="77777777" w:rsidR="0057201B" w:rsidRPr="00AE3A84" w:rsidRDefault="0057201B">
            <w:pPr>
              <w:pStyle w:val="BodyText"/>
              <w:jc w:val="center"/>
              <w:rPr>
                <w:spacing w:val="-1"/>
              </w:rPr>
            </w:pPr>
            <w:r w:rsidRPr="00A4608F">
              <w:rPr>
                <w:spacing w:val="-1"/>
              </w:rPr>
              <w:t>148/22</w:t>
            </w:r>
          </w:p>
        </w:tc>
        <w:tc>
          <w:tcPr>
            <w:tcW w:w="1289" w:type="dxa"/>
            <w:vAlign w:val="center"/>
          </w:tcPr>
          <w:p w14:paraId="74A06E69" w14:textId="77777777" w:rsidR="0057201B" w:rsidRPr="00AE3A84" w:rsidRDefault="0057201B">
            <w:pPr>
              <w:pStyle w:val="BodyText"/>
              <w:rPr>
                <w:lang w:val="es-ES"/>
              </w:rPr>
            </w:pPr>
            <w:r w:rsidRPr="00AE3A84">
              <w:rPr>
                <w:spacing w:val="-1"/>
              </w:rPr>
              <w:t>6/30/2022</w:t>
            </w:r>
          </w:p>
        </w:tc>
        <w:tc>
          <w:tcPr>
            <w:tcW w:w="1329" w:type="dxa"/>
            <w:vAlign w:val="center"/>
          </w:tcPr>
          <w:p w14:paraId="49B8962C" w14:textId="77777777" w:rsidR="0057201B" w:rsidRPr="00AE3A84" w:rsidRDefault="0057201B">
            <w:pPr>
              <w:pStyle w:val="BodyText"/>
              <w:rPr>
                <w:lang w:val="es-ES"/>
              </w:rPr>
            </w:pPr>
            <w:r w:rsidRPr="00AE3A84">
              <w:rPr>
                <w:spacing w:val="-1"/>
              </w:rPr>
              <w:t>1861-14</w:t>
            </w:r>
          </w:p>
        </w:tc>
        <w:tc>
          <w:tcPr>
            <w:tcW w:w="1350" w:type="dxa"/>
            <w:vAlign w:val="center"/>
          </w:tcPr>
          <w:p w14:paraId="496602B4" w14:textId="77777777" w:rsidR="0057201B" w:rsidRPr="00AE3A84" w:rsidRDefault="0057201B">
            <w:pPr>
              <w:pStyle w:val="BodyText"/>
              <w:rPr>
                <w:lang w:val="es-ES"/>
              </w:rPr>
            </w:pPr>
            <w:r w:rsidRPr="00AE3A84">
              <w:rPr>
                <w:spacing w:val="-1"/>
              </w:rPr>
              <w:t>14.993</w:t>
            </w:r>
          </w:p>
        </w:tc>
      </w:tr>
      <w:tr w:rsidR="0057201B" w:rsidRPr="00AE3A84" w14:paraId="7EF7FE94" w14:textId="77777777">
        <w:tc>
          <w:tcPr>
            <w:tcW w:w="534" w:type="dxa"/>
            <w:vAlign w:val="center"/>
          </w:tcPr>
          <w:p w14:paraId="53A9DCFD" w14:textId="77777777" w:rsidR="0057201B" w:rsidRPr="00AE3A84" w:rsidRDefault="0057201B" w:rsidP="00933F91">
            <w:pPr>
              <w:pStyle w:val="BodyText"/>
              <w:widowControl/>
              <w:numPr>
                <w:ilvl w:val="0"/>
                <w:numId w:val="57"/>
              </w:numPr>
              <w:rPr>
                <w:lang w:val="es-ES"/>
              </w:rPr>
            </w:pPr>
          </w:p>
        </w:tc>
        <w:tc>
          <w:tcPr>
            <w:tcW w:w="2953" w:type="dxa"/>
            <w:vAlign w:val="center"/>
          </w:tcPr>
          <w:p w14:paraId="368FB5D2" w14:textId="77777777" w:rsidR="0057201B" w:rsidRPr="00AE3A84" w:rsidRDefault="0057201B">
            <w:pPr>
              <w:pStyle w:val="BodyText"/>
              <w:rPr>
                <w:lang w:val="es-ES"/>
              </w:rPr>
            </w:pPr>
            <w:r w:rsidRPr="00AE3A84">
              <w:rPr>
                <w:spacing w:val="-1"/>
              </w:rPr>
              <w:t>Guillermo</w:t>
            </w:r>
            <w:r w:rsidRPr="00AE3A84">
              <w:rPr>
                <w:spacing w:val="-9"/>
              </w:rPr>
              <w:t xml:space="preserve"> </w:t>
            </w:r>
            <w:r w:rsidRPr="00AE3A84">
              <w:rPr>
                <w:spacing w:val="-1"/>
              </w:rPr>
              <w:t>Eduardo</w:t>
            </w:r>
            <w:r w:rsidRPr="00AE3A84">
              <w:rPr>
                <w:spacing w:val="-8"/>
              </w:rPr>
              <w:t xml:space="preserve"> </w:t>
            </w:r>
            <w:r w:rsidRPr="00AE3A84">
              <w:rPr>
                <w:spacing w:val="-1"/>
              </w:rPr>
              <w:t>Matute</w:t>
            </w:r>
            <w:r w:rsidRPr="00AE3A84">
              <w:rPr>
                <w:spacing w:val="-6"/>
              </w:rPr>
              <w:t xml:space="preserve"> </w:t>
            </w:r>
            <w:r w:rsidRPr="00AE3A84">
              <w:rPr>
                <w:spacing w:val="-1"/>
              </w:rPr>
              <w:t>Cerrato</w:t>
            </w:r>
          </w:p>
        </w:tc>
        <w:tc>
          <w:tcPr>
            <w:tcW w:w="1119" w:type="dxa"/>
            <w:vAlign w:val="center"/>
          </w:tcPr>
          <w:p w14:paraId="423EFFF2" w14:textId="77777777" w:rsidR="0057201B" w:rsidRPr="00AE3A84" w:rsidRDefault="0057201B">
            <w:pPr>
              <w:pStyle w:val="BodyText"/>
              <w:rPr>
                <w:lang w:val="es-ES"/>
              </w:rPr>
            </w:pPr>
            <w:r w:rsidRPr="00AE3A84">
              <w:rPr>
                <w:spacing w:val="-1"/>
              </w:rPr>
              <w:t>Honduras</w:t>
            </w:r>
          </w:p>
        </w:tc>
        <w:tc>
          <w:tcPr>
            <w:tcW w:w="1141" w:type="dxa"/>
            <w:vAlign w:val="center"/>
          </w:tcPr>
          <w:p w14:paraId="05EDCBC5" w14:textId="77777777" w:rsidR="0057201B" w:rsidRPr="00AE3A84" w:rsidRDefault="0057201B">
            <w:pPr>
              <w:pStyle w:val="BodyText"/>
              <w:jc w:val="center"/>
              <w:rPr>
                <w:spacing w:val="-1"/>
              </w:rPr>
            </w:pPr>
            <w:r w:rsidRPr="00A4608F">
              <w:rPr>
                <w:spacing w:val="-1"/>
              </w:rPr>
              <w:t>149/22</w:t>
            </w:r>
          </w:p>
        </w:tc>
        <w:tc>
          <w:tcPr>
            <w:tcW w:w="1289" w:type="dxa"/>
            <w:vAlign w:val="center"/>
          </w:tcPr>
          <w:p w14:paraId="0EAF0AC7" w14:textId="77777777" w:rsidR="0057201B" w:rsidRPr="00AE3A84" w:rsidRDefault="0057201B">
            <w:pPr>
              <w:pStyle w:val="BodyText"/>
              <w:rPr>
                <w:lang w:val="es-ES"/>
              </w:rPr>
            </w:pPr>
            <w:r w:rsidRPr="00AE3A84">
              <w:rPr>
                <w:spacing w:val="-1"/>
              </w:rPr>
              <w:t>6/30/2022</w:t>
            </w:r>
          </w:p>
        </w:tc>
        <w:tc>
          <w:tcPr>
            <w:tcW w:w="1329" w:type="dxa"/>
            <w:vAlign w:val="center"/>
          </w:tcPr>
          <w:p w14:paraId="6C3D2F56" w14:textId="77777777" w:rsidR="0057201B" w:rsidRPr="00AE3A84" w:rsidRDefault="0057201B">
            <w:pPr>
              <w:pStyle w:val="BodyText"/>
              <w:rPr>
                <w:lang w:val="es-ES"/>
              </w:rPr>
            </w:pPr>
            <w:r w:rsidRPr="00AE3A84">
              <w:rPr>
                <w:spacing w:val="-1"/>
              </w:rPr>
              <w:t>708-15</w:t>
            </w:r>
          </w:p>
        </w:tc>
        <w:tc>
          <w:tcPr>
            <w:tcW w:w="1350" w:type="dxa"/>
            <w:vAlign w:val="center"/>
          </w:tcPr>
          <w:p w14:paraId="024DD52E" w14:textId="77777777" w:rsidR="0057201B" w:rsidRPr="00AE3A84" w:rsidRDefault="0057201B">
            <w:pPr>
              <w:pStyle w:val="BodyText"/>
              <w:rPr>
                <w:lang w:val="es-ES"/>
              </w:rPr>
            </w:pPr>
            <w:r w:rsidRPr="00AE3A84">
              <w:rPr>
                <w:spacing w:val="-1"/>
              </w:rPr>
              <w:t>14.991</w:t>
            </w:r>
          </w:p>
        </w:tc>
      </w:tr>
      <w:tr w:rsidR="0057201B" w:rsidRPr="00AE3A84" w14:paraId="6306CCA0" w14:textId="77777777">
        <w:tc>
          <w:tcPr>
            <w:tcW w:w="534" w:type="dxa"/>
            <w:vAlign w:val="center"/>
          </w:tcPr>
          <w:p w14:paraId="0AEE6ECE" w14:textId="77777777" w:rsidR="0057201B" w:rsidRPr="00AE3A84" w:rsidRDefault="0057201B" w:rsidP="00933F91">
            <w:pPr>
              <w:pStyle w:val="BodyText"/>
              <w:widowControl/>
              <w:numPr>
                <w:ilvl w:val="0"/>
                <w:numId w:val="57"/>
              </w:numPr>
              <w:rPr>
                <w:lang w:val="es-ES"/>
              </w:rPr>
            </w:pPr>
          </w:p>
        </w:tc>
        <w:tc>
          <w:tcPr>
            <w:tcW w:w="2953" w:type="dxa"/>
            <w:vAlign w:val="center"/>
          </w:tcPr>
          <w:p w14:paraId="781D82C4" w14:textId="77777777" w:rsidR="0057201B" w:rsidRPr="00AE3A84" w:rsidRDefault="0057201B">
            <w:pPr>
              <w:pStyle w:val="BodyText"/>
              <w:rPr>
                <w:lang w:val="es-ES"/>
              </w:rPr>
            </w:pPr>
            <w:r w:rsidRPr="00AE3A84">
              <w:rPr>
                <w:spacing w:val="-1"/>
              </w:rPr>
              <w:t>Jaime</w:t>
            </w:r>
            <w:r w:rsidRPr="00AE3A84">
              <w:rPr>
                <w:spacing w:val="-7"/>
              </w:rPr>
              <w:t xml:space="preserve"> </w:t>
            </w:r>
            <w:r w:rsidRPr="00AE3A84">
              <w:rPr>
                <w:spacing w:val="-1"/>
              </w:rPr>
              <w:t>Eduardo</w:t>
            </w:r>
            <w:r w:rsidRPr="00AE3A84">
              <w:rPr>
                <w:spacing w:val="-8"/>
              </w:rPr>
              <w:t xml:space="preserve"> </w:t>
            </w:r>
            <w:r w:rsidRPr="00AE3A84">
              <w:rPr>
                <w:spacing w:val="-1"/>
              </w:rPr>
              <w:t>Dongond</w:t>
            </w:r>
            <w:r w:rsidRPr="00AE3A84">
              <w:rPr>
                <w:spacing w:val="-7"/>
              </w:rPr>
              <w:t xml:space="preserve"> </w:t>
            </w:r>
            <w:r w:rsidRPr="00AE3A84">
              <w:rPr>
                <w:spacing w:val="-1"/>
              </w:rPr>
              <w:t>Rodríguez</w:t>
            </w:r>
          </w:p>
        </w:tc>
        <w:tc>
          <w:tcPr>
            <w:tcW w:w="1119" w:type="dxa"/>
            <w:vAlign w:val="center"/>
          </w:tcPr>
          <w:p w14:paraId="1F2E804F" w14:textId="77777777" w:rsidR="0057201B" w:rsidRPr="00AE3A84" w:rsidRDefault="0057201B">
            <w:pPr>
              <w:pStyle w:val="BodyText"/>
              <w:rPr>
                <w:lang w:val="es-ES"/>
              </w:rPr>
            </w:pPr>
            <w:r w:rsidRPr="00AE3A84">
              <w:rPr>
                <w:spacing w:val="-1"/>
              </w:rPr>
              <w:t>Colombia</w:t>
            </w:r>
          </w:p>
        </w:tc>
        <w:tc>
          <w:tcPr>
            <w:tcW w:w="1141" w:type="dxa"/>
            <w:vAlign w:val="center"/>
          </w:tcPr>
          <w:p w14:paraId="55FD07C7" w14:textId="77777777" w:rsidR="0057201B" w:rsidRPr="00AE3A84" w:rsidRDefault="0057201B">
            <w:pPr>
              <w:pStyle w:val="BodyText"/>
              <w:jc w:val="center"/>
              <w:rPr>
                <w:spacing w:val="-1"/>
              </w:rPr>
            </w:pPr>
            <w:r w:rsidRPr="00A4608F">
              <w:rPr>
                <w:spacing w:val="-1"/>
              </w:rPr>
              <w:t>150/22</w:t>
            </w:r>
          </w:p>
        </w:tc>
        <w:tc>
          <w:tcPr>
            <w:tcW w:w="1289" w:type="dxa"/>
            <w:vAlign w:val="center"/>
          </w:tcPr>
          <w:p w14:paraId="67203628" w14:textId="77777777" w:rsidR="0057201B" w:rsidRPr="00AE3A84" w:rsidRDefault="0057201B">
            <w:pPr>
              <w:pStyle w:val="BodyText"/>
              <w:rPr>
                <w:lang w:val="es-ES"/>
              </w:rPr>
            </w:pPr>
            <w:r w:rsidRPr="00AE3A84">
              <w:rPr>
                <w:spacing w:val="-1"/>
              </w:rPr>
              <w:t>6/30/2022</w:t>
            </w:r>
          </w:p>
        </w:tc>
        <w:tc>
          <w:tcPr>
            <w:tcW w:w="1329" w:type="dxa"/>
            <w:vAlign w:val="center"/>
          </w:tcPr>
          <w:p w14:paraId="59CA86B4" w14:textId="77777777" w:rsidR="0057201B" w:rsidRPr="00AE3A84" w:rsidRDefault="0057201B">
            <w:pPr>
              <w:pStyle w:val="BodyText"/>
              <w:rPr>
                <w:lang w:val="es-ES"/>
              </w:rPr>
            </w:pPr>
            <w:r w:rsidRPr="00AE3A84">
              <w:rPr>
                <w:spacing w:val="-1"/>
              </w:rPr>
              <w:t>832-13</w:t>
            </w:r>
          </w:p>
        </w:tc>
        <w:tc>
          <w:tcPr>
            <w:tcW w:w="1350" w:type="dxa"/>
            <w:vAlign w:val="center"/>
          </w:tcPr>
          <w:p w14:paraId="499E8FFE" w14:textId="77777777" w:rsidR="0057201B" w:rsidRPr="00AE3A84" w:rsidRDefault="0057201B">
            <w:pPr>
              <w:pStyle w:val="BodyText"/>
              <w:rPr>
                <w:lang w:val="es-ES"/>
              </w:rPr>
            </w:pPr>
            <w:r w:rsidRPr="00AE3A84">
              <w:rPr>
                <w:spacing w:val="-1"/>
              </w:rPr>
              <w:t>15.005</w:t>
            </w:r>
          </w:p>
        </w:tc>
      </w:tr>
      <w:tr w:rsidR="0057201B" w:rsidRPr="00AE3A84" w14:paraId="4EB8A3EC" w14:textId="77777777">
        <w:tc>
          <w:tcPr>
            <w:tcW w:w="534" w:type="dxa"/>
            <w:vAlign w:val="center"/>
          </w:tcPr>
          <w:p w14:paraId="16E50FA9" w14:textId="77777777" w:rsidR="0057201B" w:rsidRPr="00AE3A84" w:rsidRDefault="0057201B" w:rsidP="00933F91">
            <w:pPr>
              <w:pStyle w:val="BodyText"/>
              <w:widowControl/>
              <w:numPr>
                <w:ilvl w:val="0"/>
                <w:numId w:val="57"/>
              </w:numPr>
              <w:rPr>
                <w:lang w:val="es-ES"/>
              </w:rPr>
            </w:pPr>
          </w:p>
        </w:tc>
        <w:tc>
          <w:tcPr>
            <w:tcW w:w="2953" w:type="dxa"/>
            <w:vAlign w:val="center"/>
          </w:tcPr>
          <w:p w14:paraId="6C9691B2" w14:textId="77777777" w:rsidR="0057201B" w:rsidRPr="00AE3A84" w:rsidRDefault="0057201B">
            <w:pPr>
              <w:pStyle w:val="BodyText"/>
              <w:rPr>
                <w:lang w:val="es-ES"/>
              </w:rPr>
            </w:pPr>
            <w:r w:rsidRPr="00AE3A84">
              <w:rPr>
                <w:spacing w:val="-1"/>
              </w:rPr>
              <w:t>Mercedes</w:t>
            </w:r>
            <w:r w:rsidRPr="00AE3A84">
              <w:rPr>
                <w:spacing w:val="-11"/>
              </w:rPr>
              <w:t xml:space="preserve"> </w:t>
            </w:r>
            <w:r w:rsidRPr="00AE3A84">
              <w:rPr>
                <w:spacing w:val="-1"/>
              </w:rPr>
              <w:t>Montaña</w:t>
            </w:r>
            <w:r w:rsidRPr="00AE3A84">
              <w:rPr>
                <w:spacing w:val="-10"/>
              </w:rPr>
              <w:t xml:space="preserve"> </w:t>
            </w:r>
            <w:r w:rsidRPr="00AE3A84">
              <w:rPr>
                <w:spacing w:val="-1"/>
              </w:rPr>
              <w:t>Rodríguez</w:t>
            </w:r>
          </w:p>
        </w:tc>
        <w:tc>
          <w:tcPr>
            <w:tcW w:w="1119" w:type="dxa"/>
            <w:vAlign w:val="center"/>
          </w:tcPr>
          <w:p w14:paraId="6760488E" w14:textId="77777777" w:rsidR="0057201B" w:rsidRPr="00AE3A84" w:rsidRDefault="0057201B">
            <w:pPr>
              <w:pStyle w:val="BodyText"/>
              <w:rPr>
                <w:lang w:val="es-ES"/>
              </w:rPr>
            </w:pPr>
            <w:r w:rsidRPr="00AE3A84">
              <w:rPr>
                <w:spacing w:val="-1"/>
              </w:rPr>
              <w:t>Colombia</w:t>
            </w:r>
          </w:p>
        </w:tc>
        <w:tc>
          <w:tcPr>
            <w:tcW w:w="1141" w:type="dxa"/>
            <w:vAlign w:val="center"/>
          </w:tcPr>
          <w:p w14:paraId="73CC6931" w14:textId="77777777" w:rsidR="0057201B" w:rsidRPr="00AE3A84" w:rsidRDefault="0057201B">
            <w:pPr>
              <w:pStyle w:val="BodyText"/>
              <w:jc w:val="center"/>
              <w:rPr>
                <w:spacing w:val="-1"/>
              </w:rPr>
            </w:pPr>
            <w:r w:rsidRPr="00A4608F">
              <w:rPr>
                <w:spacing w:val="-1"/>
              </w:rPr>
              <w:t>151/22</w:t>
            </w:r>
          </w:p>
        </w:tc>
        <w:tc>
          <w:tcPr>
            <w:tcW w:w="1289" w:type="dxa"/>
            <w:vAlign w:val="center"/>
          </w:tcPr>
          <w:p w14:paraId="03EC7570" w14:textId="77777777" w:rsidR="0057201B" w:rsidRPr="00AE3A84" w:rsidRDefault="0057201B">
            <w:pPr>
              <w:pStyle w:val="BodyText"/>
              <w:rPr>
                <w:lang w:val="es-ES"/>
              </w:rPr>
            </w:pPr>
            <w:r w:rsidRPr="00AE3A84">
              <w:rPr>
                <w:spacing w:val="-1"/>
              </w:rPr>
              <w:t>6/30/2022</w:t>
            </w:r>
          </w:p>
        </w:tc>
        <w:tc>
          <w:tcPr>
            <w:tcW w:w="1329" w:type="dxa"/>
            <w:vAlign w:val="center"/>
          </w:tcPr>
          <w:p w14:paraId="21620E40" w14:textId="77777777" w:rsidR="0057201B" w:rsidRPr="00AE3A84" w:rsidRDefault="0057201B">
            <w:pPr>
              <w:pStyle w:val="BodyText"/>
              <w:rPr>
                <w:lang w:val="es-ES"/>
              </w:rPr>
            </w:pPr>
            <w:r w:rsidRPr="00AE3A84">
              <w:rPr>
                <w:spacing w:val="-1"/>
              </w:rPr>
              <w:t>1213-08</w:t>
            </w:r>
          </w:p>
        </w:tc>
        <w:tc>
          <w:tcPr>
            <w:tcW w:w="1350" w:type="dxa"/>
            <w:vAlign w:val="center"/>
          </w:tcPr>
          <w:p w14:paraId="49C96871" w14:textId="77777777" w:rsidR="0057201B" w:rsidRPr="00AE3A84" w:rsidRDefault="0057201B">
            <w:pPr>
              <w:pStyle w:val="BodyText"/>
              <w:rPr>
                <w:lang w:val="es-ES"/>
              </w:rPr>
            </w:pPr>
            <w:r w:rsidRPr="00AE3A84">
              <w:rPr>
                <w:spacing w:val="-1"/>
              </w:rPr>
              <w:t>15.004</w:t>
            </w:r>
          </w:p>
        </w:tc>
      </w:tr>
      <w:tr w:rsidR="0057201B" w:rsidRPr="00AE3A84" w14:paraId="551A94AA" w14:textId="77777777">
        <w:tc>
          <w:tcPr>
            <w:tcW w:w="534" w:type="dxa"/>
            <w:vAlign w:val="center"/>
          </w:tcPr>
          <w:p w14:paraId="1C756BA7" w14:textId="77777777" w:rsidR="0057201B" w:rsidRPr="00AE3A84" w:rsidRDefault="0057201B" w:rsidP="00933F91">
            <w:pPr>
              <w:pStyle w:val="BodyText"/>
              <w:widowControl/>
              <w:numPr>
                <w:ilvl w:val="0"/>
                <w:numId w:val="57"/>
              </w:numPr>
              <w:rPr>
                <w:lang w:val="es-ES"/>
              </w:rPr>
            </w:pPr>
          </w:p>
        </w:tc>
        <w:tc>
          <w:tcPr>
            <w:tcW w:w="2953" w:type="dxa"/>
            <w:vAlign w:val="center"/>
          </w:tcPr>
          <w:p w14:paraId="5FAFB41E" w14:textId="77777777" w:rsidR="0057201B" w:rsidRPr="00917976" w:rsidRDefault="0057201B">
            <w:pPr>
              <w:pStyle w:val="BodyText"/>
            </w:pPr>
            <w:r w:rsidRPr="00917976">
              <w:rPr>
                <w:spacing w:val="-1"/>
              </w:rPr>
              <w:t>Martha</w:t>
            </w:r>
            <w:r w:rsidRPr="00917976">
              <w:rPr>
                <w:spacing w:val="-6"/>
              </w:rPr>
              <w:t xml:space="preserve"> </w:t>
            </w:r>
            <w:r w:rsidRPr="00917976">
              <w:t>Silva</w:t>
            </w:r>
            <w:r w:rsidRPr="00917976">
              <w:rPr>
                <w:spacing w:val="-6"/>
              </w:rPr>
              <w:t xml:space="preserve"> </w:t>
            </w:r>
            <w:r w:rsidRPr="00917976">
              <w:rPr>
                <w:spacing w:val="-1"/>
              </w:rPr>
              <w:t>Beltrán</w:t>
            </w:r>
            <w:r w:rsidRPr="00917976">
              <w:rPr>
                <w:spacing w:val="-5"/>
              </w:rPr>
              <w:t xml:space="preserve"> </w:t>
            </w:r>
            <w:r w:rsidRPr="00917976">
              <w:t>and</w:t>
            </w:r>
            <w:r w:rsidRPr="00917976">
              <w:rPr>
                <w:spacing w:val="-4"/>
              </w:rPr>
              <w:t xml:space="preserve"> </w:t>
            </w:r>
            <w:r w:rsidRPr="00917976">
              <w:rPr>
                <w:spacing w:val="-1"/>
              </w:rPr>
              <w:t>A.M.S.B</w:t>
            </w:r>
          </w:p>
        </w:tc>
        <w:tc>
          <w:tcPr>
            <w:tcW w:w="1119" w:type="dxa"/>
            <w:vAlign w:val="center"/>
          </w:tcPr>
          <w:p w14:paraId="729DC38E" w14:textId="77777777" w:rsidR="0057201B" w:rsidRPr="00AE3A84" w:rsidRDefault="0057201B">
            <w:pPr>
              <w:pStyle w:val="BodyText"/>
              <w:rPr>
                <w:lang w:val="es-ES"/>
              </w:rPr>
            </w:pPr>
            <w:r w:rsidRPr="00AE3A84">
              <w:rPr>
                <w:spacing w:val="-1"/>
              </w:rPr>
              <w:t>Colombia</w:t>
            </w:r>
          </w:p>
        </w:tc>
        <w:tc>
          <w:tcPr>
            <w:tcW w:w="1141" w:type="dxa"/>
            <w:vAlign w:val="center"/>
          </w:tcPr>
          <w:p w14:paraId="29640491" w14:textId="77777777" w:rsidR="0057201B" w:rsidRPr="00AE3A84" w:rsidRDefault="0057201B">
            <w:pPr>
              <w:pStyle w:val="BodyText"/>
              <w:jc w:val="center"/>
              <w:rPr>
                <w:spacing w:val="-1"/>
              </w:rPr>
            </w:pPr>
            <w:r w:rsidRPr="00A4608F">
              <w:rPr>
                <w:spacing w:val="-1"/>
              </w:rPr>
              <w:t>152/22</w:t>
            </w:r>
          </w:p>
        </w:tc>
        <w:tc>
          <w:tcPr>
            <w:tcW w:w="1289" w:type="dxa"/>
            <w:vAlign w:val="center"/>
          </w:tcPr>
          <w:p w14:paraId="7D0FEA64" w14:textId="77777777" w:rsidR="0057201B" w:rsidRPr="00AE3A84" w:rsidRDefault="0057201B">
            <w:pPr>
              <w:pStyle w:val="BodyText"/>
              <w:rPr>
                <w:lang w:val="es-ES"/>
              </w:rPr>
            </w:pPr>
            <w:r w:rsidRPr="00AE3A84">
              <w:rPr>
                <w:spacing w:val="-1"/>
              </w:rPr>
              <w:t>6/30/2022</w:t>
            </w:r>
          </w:p>
        </w:tc>
        <w:tc>
          <w:tcPr>
            <w:tcW w:w="1329" w:type="dxa"/>
            <w:vAlign w:val="center"/>
          </w:tcPr>
          <w:p w14:paraId="669FF59D" w14:textId="77777777" w:rsidR="0057201B" w:rsidRPr="00AE3A84" w:rsidRDefault="0057201B">
            <w:pPr>
              <w:pStyle w:val="BodyText"/>
              <w:rPr>
                <w:lang w:val="es-ES"/>
              </w:rPr>
            </w:pPr>
            <w:r w:rsidRPr="00AE3A84">
              <w:rPr>
                <w:spacing w:val="-1"/>
              </w:rPr>
              <w:t>1392-17</w:t>
            </w:r>
          </w:p>
        </w:tc>
        <w:tc>
          <w:tcPr>
            <w:tcW w:w="1350" w:type="dxa"/>
            <w:vAlign w:val="center"/>
          </w:tcPr>
          <w:p w14:paraId="219E6878" w14:textId="77777777" w:rsidR="0057201B" w:rsidRPr="00AE3A84" w:rsidRDefault="0057201B">
            <w:pPr>
              <w:pStyle w:val="BodyText"/>
              <w:rPr>
                <w:lang w:val="es-ES"/>
              </w:rPr>
            </w:pPr>
            <w:r w:rsidRPr="00AE3A84">
              <w:rPr>
                <w:spacing w:val="-1"/>
              </w:rPr>
              <w:t>15.018</w:t>
            </w:r>
          </w:p>
        </w:tc>
      </w:tr>
      <w:tr w:rsidR="0057201B" w:rsidRPr="00AE3A84" w14:paraId="72BF68E2" w14:textId="77777777">
        <w:tc>
          <w:tcPr>
            <w:tcW w:w="534" w:type="dxa"/>
            <w:vAlign w:val="center"/>
          </w:tcPr>
          <w:p w14:paraId="77C62C20" w14:textId="77777777" w:rsidR="0057201B" w:rsidRPr="00AE3A84" w:rsidRDefault="0057201B" w:rsidP="00933F91">
            <w:pPr>
              <w:pStyle w:val="BodyText"/>
              <w:widowControl/>
              <w:numPr>
                <w:ilvl w:val="0"/>
                <w:numId w:val="57"/>
              </w:numPr>
              <w:rPr>
                <w:lang w:val="es-ES"/>
              </w:rPr>
            </w:pPr>
          </w:p>
        </w:tc>
        <w:tc>
          <w:tcPr>
            <w:tcW w:w="2953" w:type="dxa"/>
            <w:vAlign w:val="center"/>
          </w:tcPr>
          <w:p w14:paraId="0897B6D3" w14:textId="77777777" w:rsidR="0057201B" w:rsidRPr="00917976" w:rsidRDefault="0057201B">
            <w:pPr>
              <w:pStyle w:val="BodyText"/>
            </w:pPr>
            <w:r w:rsidRPr="00917976">
              <w:rPr>
                <w:spacing w:val="-1"/>
              </w:rPr>
              <w:t>Jaime</w:t>
            </w:r>
            <w:r w:rsidRPr="00917976">
              <w:rPr>
                <w:spacing w:val="-5"/>
              </w:rPr>
              <w:t xml:space="preserve"> </w:t>
            </w:r>
            <w:r w:rsidRPr="00917976">
              <w:rPr>
                <w:spacing w:val="-1"/>
              </w:rPr>
              <w:t>Hernando</w:t>
            </w:r>
            <w:r w:rsidRPr="00917976">
              <w:rPr>
                <w:spacing w:val="-7"/>
              </w:rPr>
              <w:t xml:space="preserve"> </w:t>
            </w:r>
            <w:r w:rsidRPr="00917976">
              <w:rPr>
                <w:spacing w:val="-1"/>
              </w:rPr>
              <w:t>Garzón</w:t>
            </w:r>
            <w:r w:rsidRPr="00917976">
              <w:rPr>
                <w:spacing w:val="-5"/>
              </w:rPr>
              <w:t xml:space="preserve"> </w:t>
            </w:r>
            <w:r w:rsidRPr="00917976">
              <w:rPr>
                <w:spacing w:val="-1"/>
              </w:rPr>
              <w:t>Forero</w:t>
            </w:r>
            <w:r w:rsidRPr="00917976">
              <w:rPr>
                <w:spacing w:val="-7"/>
              </w:rPr>
              <w:t xml:space="preserve"> </w:t>
            </w:r>
            <w:r w:rsidRPr="00917976">
              <w:t xml:space="preserve">and </w:t>
            </w:r>
            <w:r>
              <w:t>Relatives</w:t>
            </w:r>
          </w:p>
        </w:tc>
        <w:tc>
          <w:tcPr>
            <w:tcW w:w="1119" w:type="dxa"/>
            <w:vAlign w:val="center"/>
          </w:tcPr>
          <w:p w14:paraId="3F4D5F0B" w14:textId="77777777" w:rsidR="0057201B" w:rsidRPr="00AE3A84" w:rsidRDefault="0057201B">
            <w:pPr>
              <w:pStyle w:val="BodyText"/>
              <w:rPr>
                <w:lang w:val="es-ES"/>
              </w:rPr>
            </w:pPr>
            <w:r w:rsidRPr="00AE3A84">
              <w:rPr>
                <w:spacing w:val="-1"/>
              </w:rPr>
              <w:t>Colombia</w:t>
            </w:r>
          </w:p>
        </w:tc>
        <w:tc>
          <w:tcPr>
            <w:tcW w:w="1141" w:type="dxa"/>
            <w:vAlign w:val="center"/>
          </w:tcPr>
          <w:p w14:paraId="16441126" w14:textId="77777777" w:rsidR="0057201B" w:rsidRPr="00AE3A84" w:rsidRDefault="0057201B">
            <w:pPr>
              <w:pStyle w:val="BodyText"/>
              <w:jc w:val="center"/>
              <w:rPr>
                <w:spacing w:val="-1"/>
              </w:rPr>
            </w:pPr>
            <w:r w:rsidRPr="00A4608F">
              <w:rPr>
                <w:spacing w:val="-1"/>
              </w:rPr>
              <w:t>156/22</w:t>
            </w:r>
          </w:p>
        </w:tc>
        <w:tc>
          <w:tcPr>
            <w:tcW w:w="1289" w:type="dxa"/>
            <w:vAlign w:val="center"/>
          </w:tcPr>
          <w:p w14:paraId="4C52A4B6" w14:textId="77777777" w:rsidR="0057201B" w:rsidRPr="00AE3A84" w:rsidRDefault="0057201B">
            <w:pPr>
              <w:pStyle w:val="BodyText"/>
              <w:rPr>
                <w:lang w:val="es-ES"/>
              </w:rPr>
            </w:pPr>
            <w:r w:rsidRPr="00AE3A84">
              <w:rPr>
                <w:spacing w:val="-1"/>
              </w:rPr>
              <w:t>7/5/2022</w:t>
            </w:r>
          </w:p>
        </w:tc>
        <w:tc>
          <w:tcPr>
            <w:tcW w:w="1329" w:type="dxa"/>
            <w:vAlign w:val="center"/>
          </w:tcPr>
          <w:p w14:paraId="1985C604" w14:textId="77777777" w:rsidR="0057201B" w:rsidRPr="00AE3A84" w:rsidRDefault="0057201B">
            <w:pPr>
              <w:pStyle w:val="BodyText"/>
              <w:rPr>
                <w:lang w:val="es-ES"/>
              </w:rPr>
            </w:pPr>
            <w:r w:rsidRPr="00AE3A84">
              <w:rPr>
                <w:spacing w:val="-1"/>
              </w:rPr>
              <w:t>979-11</w:t>
            </w:r>
          </w:p>
        </w:tc>
        <w:tc>
          <w:tcPr>
            <w:tcW w:w="1350" w:type="dxa"/>
            <w:vAlign w:val="center"/>
          </w:tcPr>
          <w:p w14:paraId="3C0A5082" w14:textId="77777777" w:rsidR="0057201B" w:rsidRPr="00AE3A84" w:rsidRDefault="0057201B">
            <w:pPr>
              <w:pStyle w:val="BodyText"/>
              <w:rPr>
                <w:lang w:val="es-ES"/>
              </w:rPr>
            </w:pPr>
            <w:r w:rsidRPr="00AE3A84">
              <w:rPr>
                <w:spacing w:val="-1"/>
              </w:rPr>
              <w:t>15.015</w:t>
            </w:r>
          </w:p>
        </w:tc>
      </w:tr>
      <w:tr w:rsidR="0057201B" w:rsidRPr="00AE3A84" w14:paraId="1D2F33F6" w14:textId="77777777">
        <w:tc>
          <w:tcPr>
            <w:tcW w:w="534" w:type="dxa"/>
            <w:vAlign w:val="center"/>
          </w:tcPr>
          <w:p w14:paraId="3427A841" w14:textId="77777777" w:rsidR="0057201B" w:rsidRPr="00AE3A84" w:rsidRDefault="0057201B" w:rsidP="00933F91">
            <w:pPr>
              <w:pStyle w:val="BodyText"/>
              <w:widowControl/>
              <w:numPr>
                <w:ilvl w:val="0"/>
                <w:numId w:val="57"/>
              </w:numPr>
              <w:rPr>
                <w:lang w:val="es-ES"/>
              </w:rPr>
            </w:pPr>
          </w:p>
        </w:tc>
        <w:tc>
          <w:tcPr>
            <w:tcW w:w="2953" w:type="dxa"/>
            <w:vAlign w:val="center"/>
          </w:tcPr>
          <w:p w14:paraId="706E8CB8" w14:textId="77777777" w:rsidR="0057201B" w:rsidRPr="00917976" w:rsidRDefault="0057201B">
            <w:pPr>
              <w:pStyle w:val="BodyText"/>
            </w:pPr>
            <w:r w:rsidRPr="00917976">
              <w:rPr>
                <w:spacing w:val="-1"/>
              </w:rPr>
              <w:t>Farid</w:t>
            </w:r>
            <w:r w:rsidRPr="00917976">
              <w:rPr>
                <w:spacing w:val="-5"/>
              </w:rPr>
              <w:t xml:space="preserve"> </w:t>
            </w:r>
            <w:r w:rsidRPr="00917976">
              <w:rPr>
                <w:spacing w:val="-1"/>
              </w:rPr>
              <w:t>Saenz</w:t>
            </w:r>
            <w:r w:rsidRPr="00917976">
              <w:rPr>
                <w:spacing w:val="-4"/>
              </w:rPr>
              <w:t xml:space="preserve"> </w:t>
            </w:r>
            <w:r w:rsidRPr="00917976">
              <w:rPr>
                <w:spacing w:val="-1"/>
              </w:rPr>
              <w:t>Chala</w:t>
            </w:r>
            <w:r w:rsidRPr="00917976">
              <w:rPr>
                <w:spacing w:val="-6"/>
              </w:rPr>
              <w:t xml:space="preserve"> </w:t>
            </w:r>
            <w:r w:rsidRPr="00917976">
              <w:t xml:space="preserve">and </w:t>
            </w:r>
            <w:r>
              <w:t>Family</w:t>
            </w:r>
          </w:p>
        </w:tc>
        <w:tc>
          <w:tcPr>
            <w:tcW w:w="1119" w:type="dxa"/>
            <w:vAlign w:val="center"/>
          </w:tcPr>
          <w:p w14:paraId="5C195724" w14:textId="77777777" w:rsidR="0057201B" w:rsidRPr="00AE3A84" w:rsidRDefault="0057201B">
            <w:pPr>
              <w:pStyle w:val="BodyText"/>
              <w:rPr>
                <w:lang w:val="es-ES"/>
              </w:rPr>
            </w:pPr>
            <w:r w:rsidRPr="00AE3A84">
              <w:rPr>
                <w:spacing w:val="-1"/>
              </w:rPr>
              <w:t>Colombia</w:t>
            </w:r>
          </w:p>
        </w:tc>
        <w:tc>
          <w:tcPr>
            <w:tcW w:w="1141" w:type="dxa"/>
            <w:vAlign w:val="center"/>
          </w:tcPr>
          <w:p w14:paraId="5330FA49" w14:textId="77777777" w:rsidR="0057201B" w:rsidRPr="00AE3A84" w:rsidRDefault="0057201B">
            <w:pPr>
              <w:pStyle w:val="BodyText"/>
              <w:jc w:val="center"/>
              <w:rPr>
                <w:spacing w:val="-1"/>
              </w:rPr>
            </w:pPr>
            <w:r w:rsidRPr="00A4608F">
              <w:rPr>
                <w:spacing w:val="-1"/>
              </w:rPr>
              <w:t>157/22</w:t>
            </w:r>
          </w:p>
        </w:tc>
        <w:tc>
          <w:tcPr>
            <w:tcW w:w="1289" w:type="dxa"/>
            <w:vAlign w:val="center"/>
          </w:tcPr>
          <w:p w14:paraId="18FEA62D" w14:textId="77777777" w:rsidR="0057201B" w:rsidRPr="00AE3A84" w:rsidRDefault="0057201B">
            <w:pPr>
              <w:pStyle w:val="BodyText"/>
              <w:rPr>
                <w:lang w:val="es-ES"/>
              </w:rPr>
            </w:pPr>
            <w:r w:rsidRPr="00AE3A84">
              <w:rPr>
                <w:spacing w:val="-1"/>
              </w:rPr>
              <w:t>7/11/2022</w:t>
            </w:r>
          </w:p>
        </w:tc>
        <w:tc>
          <w:tcPr>
            <w:tcW w:w="1329" w:type="dxa"/>
            <w:vAlign w:val="center"/>
          </w:tcPr>
          <w:p w14:paraId="7C39D626" w14:textId="77777777" w:rsidR="0057201B" w:rsidRPr="00AE3A84" w:rsidRDefault="0057201B">
            <w:pPr>
              <w:pStyle w:val="BodyText"/>
              <w:rPr>
                <w:lang w:val="es-ES"/>
              </w:rPr>
            </w:pPr>
            <w:r w:rsidRPr="00AE3A84">
              <w:rPr>
                <w:spacing w:val="-1"/>
              </w:rPr>
              <w:t>893-14</w:t>
            </w:r>
          </w:p>
        </w:tc>
        <w:tc>
          <w:tcPr>
            <w:tcW w:w="1350" w:type="dxa"/>
            <w:vAlign w:val="center"/>
          </w:tcPr>
          <w:p w14:paraId="51D96CC9" w14:textId="77777777" w:rsidR="0057201B" w:rsidRPr="00AE3A84" w:rsidRDefault="0057201B">
            <w:pPr>
              <w:pStyle w:val="BodyText"/>
              <w:rPr>
                <w:lang w:val="es-ES"/>
              </w:rPr>
            </w:pPr>
            <w:r w:rsidRPr="00AE3A84">
              <w:rPr>
                <w:spacing w:val="-1"/>
              </w:rPr>
              <w:t>15.014</w:t>
            </w:r>
          </w:p>
        </w:tc>
      </w:tr>
      <w:tr w:rsidR="0057201B" w:rsidRPr="00AE3A84" w14:paraId="3BE6D9A5" w14:textId="77777777">
        <w:tc>
          <w:tcPr>
            <w:tcW w:w="534" w:type="dxa"/>
            <w:vAlign w:val="center"/>
          </w:tcPr>
          <w:p w14:paraId="36E92F26" w14:textId="77777777" w:rsidR="0057201B" w:rsidRPr="00AE3A84" w:rsidRDefault="0057201B" w:rsidP="00933F91">
            <w:pPr>
              <w:pStyle w:val="BodyText"/>
              <w:widowControl/>
              <w:numPr>
                <w:ilvl w:val="0"/>
                <w:numId w:val="57"/>
              </w:numPr>
              <w:rPr>
                <w:lang w:val="es-ES"/>
              </w:rPr>
            </w:pPr>
          </w:p>
        </w:tc>
        <w:tc>
          <w:tcPr>
            <w:tcW w:w="2953" w:type="dxa"/>
            <w:vAlign w:val="center"/>
          </w:tcPr>
          <w:p w14:paraId="2AC282EC" w14:textId="77777777" w:rsidR="0057201B" w:rsidRPr="00AE3A84" w:rsidRDefault="0057201B">
            <w:pPr>
              <w:pStyle w:val="BodyText"/>
              <w:rPr>
                <w:lang w:val="es-ES"/>
              </w:rPr>
            </w:pPr>
            <w:r w:rsidRPr="000E5866">
              <w:rPr>
                <w:spacing w:val="-1"/>
                <w:lang w:val="es-CO"/>
              </w:rPr>
              <w:t>Giovanna</w:t>
            </w:r>
            <w:r w:rsidRPr="000E5866">
              <w:rPr>
                <w:spacing w:val="-7"/>
                <w:lang w:val="es-CO"/>
              </w:rPr>
              <w:t xml:space="preserve"> </w:t>
            </w:r>
            <w:r w:rsidRPr="000E5866">
              <w:rPr>
                <w:spacing w:val="-1"/>
                <w:lang w:val="es-CO"/>
              </w:rPr>
              <w:t>Paulina</w:t>
            </w:r>
            <w:r w:rsidRPr="000E5866">
              <w:rPr>
                <w:spacing w:val="-6"/>
                <w:lang w:val="es-CO"/>
              </w:rPr>
              <w:t xml:space="preserve"> </w:t>
            </w:r>
            <w:r w:rsidRPr="000E5866">
              <w:rPr>
                <w:spacing w:val="-1"/>
                <w:lang w:val="es-CO"/>
              </w:rPr>
              <w:t>Pérez</w:t>
            </w:r>
            <w:r w:rsidRPr="000E5866">
              <w:rPr>
                <w:spacing w:val="-5"/>
                <w:lang w:val="es-CO"/>
              </w:rPr>
              <w:t xml:space="preserve"> </w:t>
            </w:r>
            <w:r w:rsidRPr="000E5866">
              <w:rPr>
                <w:spacing w:val="-1"/>
                <w:lang w:val="es-CO"/>
              </w:rPr>
              <w:t>Constante</w:t>
            </w:r>
            <w:r w:rsidRPr="000E5866">
              <w:rPr>
                <w:spacing w:val="-5"/>
                <w:lang w:val="es-CO"/>
              </w:rPr>
              <w:t xml:space="preserve"> </w:t>
            </w:r>
            <w:r>
              <w:rPr>
                <w:lang w:val="es-CO"/>
              </w:rPr>
              <w:t>and Family</w:t>
            </w:r>
          </w:p>
        </w:tc>
        <w:tc>
          <w:tcPr>
            <w:tcW w:w="1119" w:type="dxa"/>
            <w:vAlign w:val="center"/>
          </w:tcPr>
          <w:p w14:paraId="03256178" w14:textId="77777777" w:rsidR="0057201B" w:rsidRPr="00AE3A84" w:rsidRDefault="0057201B">
            <w:pPr>
              <w:pStyle w:val="BodyText"/>
              <w:rPr>
                <w:lang w:val="es-ES"/>
              </w:rPr>
            </w:pPr>
            <w:r w:rsidRPr="00AE3A84">
              <w:rPr>
                <w:spacing w:val="-1"/>
              </w:rPr>
              <w:t>Ecuador</w:t>
            </w:r>
          </w:p>
        </w:tc>
        <w:tc>
          <w:tcPr>
            <w:tcW w:w="1141" w:type="dxa"/>
            <w:vAlign w:val="center"/>
          </w:tcPr>
          <w:p w14:paraId="4C18E1E1" w14:textId="77777777" w:rsidR="0057201B" w:rsidRPr="00AE3A84" w:rsidRDefault="0057201B">
            <w:pPr>
              <w:pStyle w:val="BodyText"/>
              <w:jc w:val="center"/>
              <w:rPr>
                <w:spacing w:val="-1"/>
              </w:rPr>
            </w:pPr>
            <w:r w:rsidRPr="00A4608F">
              <w:rPr>
                <w:spacing w:val="-1"/>
              </w:rPr>
              <w:t>158/22</w:t>
            </w:r>
          </w:p>
        </w:tc>
        <w:tc>
          <w:tcPr>
            <w:tcW w:w="1289" w:type="dxa"/>
            <w:vAlign w:val="center"/>
          </w:tcPr>
          <w:p w14:paraId="719E51CD" w14:textId="77777777" w:rsidR="0057201B" w:rsidRPr="00AE3A84" w:rsidRDefault="0057201B">
            <w:pPr>
              <w:pStyle w:val="BodyText"/>
              <w:rPr>
                <w:lang w:val="es-ES"/>
              </w:rPr>
            </w:pPr>
            <w:r w:rsidRPr="00AE3A84">
              <w:rPr>
                <w:spacing w:val="-1"/>
              </w:rPr>
              <w:t>7/7/2022</w:t>
            </w:r>
          </w:p>
        </w:tc>
        <w:tc>
          <w:tcPr>
            <w:tcW w:w="1329" w:type="dxa"/>
            <w:vAlign w:val="center"/>
          </w:tcPr>
          <w:p w14:paraId="61B506E1" w14:textId="77777777" w:rsidR="0057201B" w:rsidRPr="00AE3A84" w:rsidRDefault="0057201B">
            <w:pPr>
              <w:pStyle w:val="BodyText"/>
              <w:rPr>
                <w:lang w:val="es-ES"/>
              </w:rPr>
            </w:pPr>
            <w:r w:rsidRPr="00AE3A84">
              <w:rPr>
                <w:spacing w:val="-1"/>
              </w:rPr>
              <w:t>1882-18</w:t>
            </w:r>
          </w:p>
        </w:tc>
        <w:tc>
          <w:tcPr>
            <w:tcW w:w="1350" w:type="dxa"/>
            <w:vAlign w:val="center"/>
          </w:tcPr>
          <w:p w14:paraId="78D5C4AB" w14:textId="77777777" w:rsidR="0057201B" w:rsidRPr="00AE3A84" w:rsidRDefault="0057201B">
            <w:pPr>
              <w:pStyle w:val="BodyText"/>
              <w:rPr>
                <w:lang w:val="es-ES"/>
              </w:rPr>
            </w:pPr>
            <w:r w:rsidRPr="00AE3A84">
              <w:rPr>
                <w:spacing w:val="-1"/>
              </w:rPr>
              <w:t>14.999</w:t>
            </w:r>
          </w:p>
        </w:tc>
      </w:tr>
      <w:tr w:rsidR="0057201B" w:rsidRPr="00AE3A84" w14:paraId="518B668C" w14:textId="77777777">
        <w:tc>
          <w:tcPr>
            <w:tcW w:w="534" w:type="dxa"/>
            <w:vAlign w:val="center"/>
          </w:tcPr>
          <w:p w14:paraId="22385CCB" w14:textId="77777777" w:rsidR="0057201B" w:rsidRPr="00AE3A84" w:rsidRDefault="0057201B" w:rsidP="00933F91">
            <w:pPr>
              <w:pStyle w:val="BodyText"/>
              <w:widowControl/>
              <w:numPr>
                <w:ilvl w:val="0"/>
                <w:numId w:val="57"/>
              </w:numPr>
              <w:rPr>
                <w:lang w:val="es-ES"/>
              </w:rPr>
            </w:pPr>
          </w:p>
        </w:tc>
        <w:tc>
          <w:tcPr>
            <w:tcW w:w="2953" w:type="dxa"/>
            <w:vAlign w:val="center"/>
          </w:tcPr>
          <w:p w14:paraId="674CA705" w14:textId="77777777" w:rsidR="0057201B" w:rsidRPr="00AE3A84" w:rsidRDefault="0057201B">
            <w:pPr>
              <w:pStyle w:val="BodyText"/>
              <w:rPr>
                <w:lang w:val="es-ES"/>
              </w:rPr>
            </w:pPr>
            <w:r w:rsidRPr="00AE3A84">
              <w:rPr>
                <w:spacing w:val="-1"/>
              </w:rPr>
              <w:t>Hugo</w:t>
            </w:r>
            <w:r w:rsidRPr="00AE3A84">
              <w:rPr>
                <w:spacing w:val="-8"/>
              </w:rPr>
              <w:t xml:space="preserve"> </w:t>
            </w:r>
            <w:r w:rsidRPr="00AE3A84">
              <w:rPr>
                <w:spacing w:val="-1"/>
              </w:rPr>
              <w:t>Emilio</w:t>
            </w:r>
            <w:r w:rsidRPr="00AE3A84">
              <w:rPr>
                <w:spacing w:val="-7"/>
              </w:rPr>
              <w:t xml:space="preserve"> </w:t>
            </w:r>
            <w:r w:rsidRPr="00AE3A84">
              <w:rPr>
                <w:spacing w:val="-1"/>
              </w:rPr>
              <w:t>Sengiali</w:t>
            </w:r>
          </w:p>
        </w:tc>
        <w:tc>
          <w:tcPr>
            <w:tcW w:w="1119" w:type="dxa"/>
            <w:vAlign w:val="center"/>
          </w:tcPr>
          <w:p w14:paraId="02B04B67" w14:textId="77777777" w:rsidR="0057201B" w:rsidRPr="00AE3A84" w:rsidRDefault="0057201B">
            <w:pPr>
              <w:pStyle w:val="BodyText"/>
              <w:rPr>
                <w:lang w:val="es-ES"/>
              </w:rPr>
            </w:pPr>
            <w:r w:rsidRPr="00AE3A84">
              <w:rPr>
                <w:spacing w:val="-1"/>
              </w:rPr>
              <w:t>Argentina</w:t>
            </w:r>
          </w:p>
        </w:tc>
        <w:tc>
          <w:tcPr>
            <w:tcW w:w="1141" w:type="dxa"/>
            <w:vAlign w:val="center"/>
          </w:tcPr>
          <w:p w14:paraId="40496710" w14:textId="77777777" w:rsidR="0057201B" w:rsidRPr="00AE3A84" w:rsidRDefault="0057201B">
            <w:pPr>
              <w:pStyle w:val="BodyText"/>
              <w:jc w:val="center"/>
              <w:rPr>
                <w:spacing w:val="-1"/>
              </w:rPr>
            </w:pPr>
            <w:r w:rsidRPr="00A4608F">
              <w:rPr>
                <w:spacing w:val="-1"/>
              </w:rPr>
              <w:t>159/22</w:t>
            </w:r>
          </w:p>
        </w:tc>
        <w:tc>
          <w:tcPr>
            <w:tcW w:w="1289" w:type="dxa"/>
            <w:vAlign w:val="center"/>
          </w:tcPr>
          <w:p w14:paraId="5B03B6F1" w14:textId="77777777" w:rsidR="0057201B" w:rsidRPr="00AE3A84" w:rsidRDefault="0057201B">
            <w:pPr>
              <w:pStyle w:val="BodyText"/>
              <w:rPr>
                <w:lang w:val="es-ES"/>
              </w:rPr>
            </w:pPr>
            <w:r w:rsidRPr="00AE3A84">
              <w:rPr>
                <w:spacing w:val="-1"/>
              </w:rPr>
              <w:t>7/7/2022</w:t>
            </w:r>
          </w:p>
        </w:tc>
        <w:tc>
          <w:tcPr>
            <w:tcW w:w="1329" w:type="dxa"/>
            <w:vAlign w:val="center"/>
          </w:tcPr>
          <w:p w14:paraId="388E1C22" w14:textId="77777777" w:rsidR="0057201B" w:rsidRPr="00AE3A84" w:rsidRDefault="0057201B">
            <w:pPr>
              <w:pStyle w:val="BodyText"/>
              <w:rPr>
                <w:lang w:val="es-ES"/>
              </w:rPr>
            </w:pPr>
            <w:r w:rsidRPr="00AE3A84">
              <w:rPr>
                <w:spacing w:val="-1"/>
              </w:rPr>
              <w:t>927-14</w:t>
            </w:r>
          </w:p>
        </w:tc>
        <w:tc>
          <w:tcPr>
            <w:tcW w:w="1350" w:type="dxa"/>
            <w:vAlign w:val="center"/>
          </w:tcPr>
          <w:p w14:paraId="3EDA235C" w14:textId="4E75EBB0" w:rsidR="0057201B" w:rsidRPr="00AE3A84" w:rsidRDefault="0057201B">
            <w:pPr>
              <w:pStyle w:val="BodyText"/>
              <w:rPr>
                <w:lang w:val="es-ES"/>
              </w:rPr>
            </w:pPr>
            <w:r w:rsidRPr="00AE3A84">
              <w:rPr>
                <w:spacing w:val="-1"/>
              </w:rPr>
              <w:t>15.02</w:t>
            </w:r>
            <w:r w:rsidR="00A37DB1">
              <w:rPr>
                <w:spacing w:val="-1"/>
              </w:rPr>
              <w:t>0</w:t>
            </w:r>
          </w:p>
        </w:tc>
      </w:tr>
      <w:tr w:rsidR="0057201B" w:rsidRPr="00AE3A84" w14:paraId="2D0B8A50" w14:textId="77777777">
        <w:tc>
          <w:tcPr>
            <w:tcW w:w="534" w:type="dxa"/>
            <w:vAlign w:val="center"/>
          </w:tcPr>
          <w:p w14:paraId="6BE9F8CD" w14:textId="77777777" w:rsidR="0057201B" w:rsidRPr="00AE3A84" w:rsidRDefault="0057201B" w:rsidP="00933F91">
            <w:pPr>
              <w:pStyle w:val="BodyText"/>
              <w:widowControl/>
              <w:numPr>
                <w:ilvl w:val="0"/>
                <w:numId w:val="57"/>
              </w:numPr>
              <w:rPr>
                <w:lang w:val="es-ES"/>
              </w:rPr>
            </w:pPr>
          </w:p>
        </w:tc>
        <w:tc>
          <w:tcPr>
            <w:tcW w:w="2953" w:type="dxa"/>
            <w:vAlign w:val="center"/>
          </w:tcPr>
          <w:p w14:paraId="09FAB88D" w14:textId="77777777" w:rsidR="0057201B" w:rsidRPr="005013E6" w:rsidRDefault="0057201B">
            <w:pPr>
              <w:pStyle w:val="BodyText"/>
            </w:pPr>
            <w:r w:rsidRPr="005013E6">
              <w:t>Eva</w:t>
            </w:r>
            <w:r w:rsidRPr="005013E6">
              <w:rPr>
                <w:spacing w:val="-5"/>
              </w:rPr>
              <w:t xml:space="preserve"> </w:t>
            </w:r>
            <w:r w:rsidRPr="005013E6">
              <w:rPr>
                <w:spacing w:val="-1"/>
              </w:rPr>
              <w:t>Boss</w:t>
            </w:r>
            <w:r>
              <w:rPr>
                <w:spacing w:val="-1"/>
              </w:rPr>
              <w:t>,</w:t>
            </w:r>
            <w:r w:rsidRPr="005013E6">
              <w:rPr>
                <w:spacing w:val="-4"/>
              </w:rPr>
              <w:t xml:space="preserve"> </w:t>
            </w:r>
            <w:r>
              <w:rPr>
                <w:spacing w:val="-1"/>
              </w:rPr>
              <w:t>W</w:t>
            </w:r>
            <w:r w:rsidRPr="005013E6">
              <w:rPr>
                <w:spacing w:val="-1"/>
              </w:rPr>
              <w:t>idow of</w:t>
            </w:r>
            <w:r w:rsidRPr="005013E6">
              <w:rPr>
                <w:spacing w:val="-2"/>
              </w:rPr>
              <w:t xml:space="preserve"> </w:t>
            </w:r>
            <w:r w:rsidRPr="005013E6">
              <w:rPr>
                <w:spacing w:val="-1"/>
              </w:rPr>
              <w:t>Raffo</w:t>
            </w:r>
            <w:r>
              <w:rPr>
                <w:spacing w:val="-1"/>
              </w:rPr>
              <w:t>,</w:t>
            </w:r>
            <w:r w:rsidRPr="005013E6">
              <w:rPr>
                <w:spacing w:val="-5"/>
              </w:rPr>
              <w:t xml:space="preserve"> </w:t>
            </w:r>
            <w:r w:rsidRPr="005013E6">
              <w:t xml:space="preserve">and </w:t>
            </w:r>
            <w:r>
              <w:t>S</w:t>
            </w:r>
            <w:r w:rsidRPr="005013E6">
              <w:t>on</w:t>
            </w:r>
          </w:p>
        </w:tc>
        <w:tc>
          <w:tcPr>
            <w:tcW w:w="1119" w:type="dxa"/>
            <w:vAlign w:val="center"/>
          </w:tcPr>
          <w:p w14:paraId="7286B83C" w14:textId="77777777" w:rsidR="0057201B" w:rsidRPr="00AE3A84" w:rsidRDefault="0057201B">
            <w:pPr>
              <w:pStyle w:val="BodyText"/>
              <w:rPr>
                <w:lang w:val="es-ES"/>
              </w:rPr>
            </w:pPr>
            <w:r w:rsidRPr="00AE3A84">
              <w:rPr>
                <w:spacing w:val="-1"/>
              </w:rPr>
              <w:t>Argentina</w:t>
            </w:r>
          </w:p>
        </w:tc>
        <w:tc>
          <w:tcPr>
            <w:tcW w:w="1141" w:type="dxa"/>
            <w:vAlign w:val="center"/>
          </w:tcPr>
          <w:p w14:paraId="3556CCC9" w14:textId="77777777" w:rsidR="0057201B" w:rsidRPr="00AE3A84" w:rsidRDefault="0057201B">
            <w:pPr>
              <w:pStyle w:val="BodyText"/>
              <w:jc w:val="center"/>
              <w:rPr>
                <w:spacing w:val="-1"/>
              </w:rPr>
            </w:pPr>
            <w:r w:rsidRPr="00A4608F">
              <w:rPr>
                <w:spacing w:val="-1"/>
              </w:rPr>
              <w:t>160/22</w:t>
            </w:r>
          </w:p>
        </w:tc>
        <w:tc>
          <w:tcPr>
            <w:tcW w:w="1289" w:type="dxa"/>
            <w:vAlign w:val="center"/>
          </w:tcPr>
          <w:p w14:paraId="5DFAFF94" w14:textId="77777777" w:rsidR="0057201B" w:rsidRPr="00AE3A84" w:rsidRDefault="0057201B">
            <w:pPr>
              <w:pStyle w:val="BodyText"/>
              <w:rPr>
                <w:lang w:val="es-ES"/>
              </w:rPr>
            </w:pPr>
            <w:r w:rsidRPr="00AE3A84">
              <w:rPr>
                <w:spacing w:val="-1"/>
              </w:rPr>
              <w:t>7/7/2022</w:t>
            </w:r>
          </w:p>
        </w:tc>
        <w:tc>
          <w:tcPr>
            <w:tcW w:w="1329" w:type="dxa"/>
            <w:vAlign w:val="center"/>
          </w:tcPr>
          <w:p w14:paraId="012BB254" w14:textId="77777777" w:rsidR="0057201B" w:rsidRPr="00AE3A84" w:rsidRDefault="0057201B">
            <w:pPr>
              <w:pStyle w:val="BodyText"/>
              <w:rPr>
                <w:lang w:val="es-ES"/>
              </w:rPr>
            </w:pPr>
            <w:r w:rsidRPr="00AE3A84">
              <w:rPr>
                <w:spacing w:val="-1"/>
              </w:rPr>
              <w:t>155-15</w:t>
            </w:r>
          </w:p>
        </w:tc>
        <w:tc>
          <w:tcPr>
            <w:tcW w:w="1350" w:type="dxa"/>
            <w:vAlign w:val="center"/>
          </w:tcPr>
          <w:p w14:paraId="0464E0AA" w14:textId="77777777" w:rsidR="0057201B" w:rsidRPr="00AE3A84" w:rsidRDefault="0057201B">
            <w:pPr>
              <w:pStyle w:val="BodyText"/>
              <w:rPr>
                <w:lang w:val="es-ES"/>
              </w:rPr>
            </w:pPr>
            <w:r w:rsidRPr="00AE3A84">
              <w:rPr>
                <w:spacing w:val="-1"/>
              </w:rPr>
              <w:t>15.006</w:t>
            </w:r>
          </w:p>
        </w:tc>
      </w:tr>
      <w:tr w:rsidR="0057201B" w:rsidRPr="00AE3A84" w14:paraId="4140C8F5" w14:textId="77777777">
        <w:tc>
          <w:tcPr>
            <w:tcW w:w="534" w:type="dxa"/>
            <w:vAlign w:val="center"/>
          </w:tcPr>
          <w:p w14:paraId="2EC5F903" w14:textId="77777777" w:rsidR="0057201B" w:rsidRPr="00AE3A84" w:rsidRDefault="0057201B" w:rsidP="00933F91">
            <w:pPr>
              <w:pStyle w:val="BodyText"/>
              <w:widowControl/>
              <w:numPr>
                <w:ilvl w:val="0"/>
                <w:numId w:val="57"/>
              </w:numPr>
              <w:rPr>
                <w:lang w:val="es-ES"/>
              </w:rPr>
            </w:pPr>
          </w:p>
        </w:tc>
        <w:tc>
          <w:tcPr>
            <w:tcW w:w="2953" w:type="dxa"/>
            <w:vAlign w:val="center"/>
          </w:tcPr>
          <w:p w14:paraId="7BEEA963" w14:textId="77777777" w:rsidR="0057201B" w:rsidRPr="005013E6" w:rsidRDefault="0057201B">
            <w:pPr>
              <w:pStyle w:val="BodyText"/>
            </w:pPr>
            <w:r w:rsidRPr="005013E6">
              <w:rPr>
                <w:spacing w:val="-1"/>
              </w:rPr>
              <w:t>René</w:t>
            </w:r>
            <w:r w:rsidRPr="005013E6">
              <w:rPr>
                <w:spacing w:val="-4"/>
              </w:rPr>
              <w:t xml:space="preserve"> </w:t>
            </w:r>
            <w:r w:rsidRPr="005013E6">
              <w:rPr>
                <w:spacing w:val="-1"/>
              </w:rPr>
              <w:t>Alexis</w:t>
            </w:r>
            <w:r w:rsidRPr="005013E6">
              <w:rPr>
                <w:spacing w:val="-6"/>
              </w:rPr>
              <w:t xml:space="preserve"> </w:t>
            </w:r>
            <w:r w:rsidRPr="005013E6">
              <w:t>Reyes</w:t>
            </w:r>
            <w:r w:rsidRPr="005013E6">
              <w:rPr>
                <w:spacing w:val="-5"/>
              </w:rPr>
              <w:t xml:space="preserve"> </w:t>
            </w:r>
            <w:r w:rsidRPr="005013E6">
              <w:rPr>
                <w:spacing w:val="-1"/>
              </w:rPr>
              <w:t>Ramírez</w:t>
            </w:r>
            <w:r w:rsidRPr="005013E6">
              <w:rPr>
                <w:spacing w:val="-5"/>
              </w:rPr>
              <w:t xml:space="preserve"> </w:t>
            </w:r>
            <w:r w:rsidRPr="005013E6">
              <w:t xml:space="preserve">and </w:t>
            </w:r>
            <w:r>
              <w:t>Family</w:t>
            </w:r>
          </w:p>
        </w:tc>
        <w:tc>
          <w:tcPr>
            <w:tcW w:w="1119" w:type="dxa"/>
            <w:vAlign w:val="center"/>
          </w:tcPr>
          <w:p w14:paraId="0DE5337E" w14:textId="77777777" w:rsidR="0057201B" w:rsidRPr="00AE3A84" w:rsidRDefault="0057201B">
            <w:pPr>
              <w:pStyle w:val="BodyText"/>
              <w:rPr>
                <w:lang w:val="es-ES"/>
              </w:rPr>
            </w:pPr>
            <w:r w:rsidRPr="00AE3A84">
              <w:rPr>
                <w:spacing w:val="-1"/>
              </w:rPr>
              <w:t>Honduras</w:t>
            </w:r>
          </w:p>
        </w:tc>
        <w:tc>
          <w:tcPr>
            <w:tcW w:w="1141" w:type="dxa"/>
            <w:vAlign w:val="center"/>
          </w:tcPr>
          <w:p w14:paraId="2CF50FAA" w14:textId="77777777" w:rsidR="0057201B" w:rsidRPr="00AE3A84" w:rsidRDefault="0057201B">
            <w:pPr>
              <w:pStyle w:val="BodyText"/>
              <w:jc w:val="center"/>
              <w:rPr>
                <w:spacing w:val="-1"/>
              </w:rPr>
            </w:pPr>
            <w:r w:rsidRPr="00A4608F">
              <w:rPr>
                <w:spacing w:val="-1"/>
              </w:rPr>
              <w:t>161/22</w:t>
            </w:r>
          </w:p>
        </w:tc>
        <w:tc>
          <w:tcPr>
            <w:tcW w:w="1289" w:type="dxa"/>
            <w:vAlign w:val="center"/>
          </w:tcPr>
          <w:p w14:paraId="5066AAA6" w14:textId="77777777" w:rsidR="0057201B" w:rsidRPr="00AE3A84" w:rsidRDefault="0057201B">
            <w:pPr>
              <w:pStyle w:val="BodyText"/>
              <w:rPr>
                <w:lang w:val="es-ES"/>
              </w:rPr>
            </w:pPr>
            <w:r w:rsidRPr="00AE3A84">
              <w:rPr>
                <w:spacing w:val="-1"/>
              </w:rPr>
              <w:t>7/7/2022</w:t>
            </w:r>
          </w:p>
        </w:tc>
        <w:tc>
          <w:tcPr>
            <w:tcW w:w="1329" w:type="dxa"/>
            <w:vAlign w:val="center"/>
          </w:tcPr>
          <w:p w14:paraId="0DAD7D7F" w14:textId="77777777" w:rsidR="0057201B" w:rsidRPr="00AE3A84" w:rsidRDefault="0057201B">
            <w:pPr>
              <w:pStyle w:val="BodyText"/>
              <w:rPr>
                <w:lang w:val="es-ES"/>
              </w:rPr>
            </w:pPr>
            <w:r w:rsidRPr="00AE3A84">
              <w:rPr>
                <w:spacing w:val="-1"/>
              </w:rPr>
              <w:t>876-08</w:t>
            </w:r>
          </w:p>
        </w:tc>
        <w:tc>
          <w:tcPr>
            <w:tcW w:w="1350" w:type="dxa"/>
            <w:vAlign w:val="center"/>
          </w:tcPr>
          <w:p w14:paraId="53B426C9" w14:textId="77777777" w:rsidR="0057201B" w:rsidRPr="00AE3A84" w:rsidRDefault="0057201B">
            <w:pPr>
              <w:pStyle w:val="BodyText"/>
              <w:rPr>
                <w:lang w:val="es-ES"/>
              </w:rPr>
            </w:pPr>
            <w:r w:rsidRPr="00AE3A84">
              <w:rPr>
                <w:spacing w:val="-1"/>
              </w:rPr>
              <w:t>14.992</w:t>
            </w:r>
          </w:p>
        </w:tc>
      </w:tr>
      <w:tr w:rsidR="0057201B" w:rsidRPr="00AE3A84" w14:paraId="589CDA07" w14:textId="77777777">
        <w:tc>
          <w:tcPr>
            <w:tcW w:w="534" w:type="dxa"/>
            <w:vAlign w:val="center"/>
          </w:tcPr>
          <w:p w14:paraId="6D6A33F8" w14:textId="77777777" w:rsidR="0057201B" w:rsidRPr="00AE3A84" w:rsidRDefault="0057201B" w:rsidP="00933F91">
            <w:pPr>
              <w:pStyle w:val="BodyText"/>
              <w:widowControl/>
              <w:numPr>
                <w:ilvl w:val="0"/>
                <w:numId w:val="57"/>
              </w:numPr>
              <w:rPr>
                <w:lang w:val="es-ES"/>
              </w:rPr>
            </w:pPr>
          </w:p>
        </w:tc>
        <w:tc>
          <w:tcPr>
            <w:tcW w:w="2953" w:type="dxa"/>
            <w:vAlign w:val="center"/>
          </w:tcPr>
          <w:p w14:paraId="1E58B08D" w14:textId="77777777" w:rsidR="0057201B" w:rsidRPr="00AE3A84" w:rsidRDefault="0057201B">
            <w:pPr>
              <w:pStyle w:val="BodyText"/>
              <w:rPr>
                <w:lang w:val="es-ES"/>
              </w:rPr>
            </w:pPr>
            <w:r w:rsidRPr="000E5866">
              <w:rPr>
                <w:spacing w:val="-1"/>
                <w:lang w:val="es-CO"/>
              </w:rPr>
              <w:t>Oscar</w:t>
            </w:r>
            <w:r w:rsidRPr="000E5866">
              <w:rPr>
                <w:spacing w:val="-5"/>
                <w:lang w:val="es-CO"/>
              </w:rPr>
              <w:t xml:space="preserve"> </w:t>
            </w:r>
            <w:r w:rsidRPr="000E5866">
              <w:rPr>
                <w:spacing w:val="-1"/>
                <w:lang w:val="es-CO"/>
              </w:rPr>
              <w:t>de</w:t>
            </w:r>
            <w:r w:rsidRPr="000E5866">
              <w:rPr>
                <w:spacing w:val="-4"/>
                <w:lang w:val="es-CO"/>
              </w:rPr>
              <w:t xml:space="preserve"> </w:t>
            </w:r>
            <w:r w:rsidRPr="000E5866">
              <w:rPr>
                <w:spacing w:val="-1"/>
                <w:lang w:val="es-CO"/>
              </w:rPr>
              <w:t>Jesús</w:t>
            </w:r>
            <w:r w:rsidRPr="000E5866">
              <w:rPr>
                <w:spacing w:val="-6"/>
                <w:lang w:val="es-CO"/>
              </w:rPr>
              <w:t xml:space="preserve"> </w:t>
            </w:r>
            <w:r w:rsidRPr="000E5866">
              <w:rPr>
                <w:spacing w:val="-1"/>
                <w:lang w:val="es-CO"/>
              </w:rPr>
              <w:t>Rendó</w:t>
            </w:r>
            <w:r w:rsidRPr="000E5866">
              <w:rPr>
                <w:spacing w:val="-6"/>
                <w:lang w:val="es-CO"/>
              </w:rPr>
              <w:t xml:space="preserve"> </w:t>
            </w:r>
            <w:r w:rsidRPr="000E5866">
              <w:rPr>
                <w:spacing w:val="-1"/>
                <w:lang w:val="es-CO"/>
              </w:rPr>
              <w:t>Vergara</w:t>
            </w:r>
          </w:p>
        </w:tc>
        <w:tc>
          <w:tcPr>
            <w:tcW w:w="1119" w:type="dxa"/>
            <w:vAlign w:val="center"/>
          </w:tcPr>
          <w:p w14:paraId="4B79C3A6" w14:textId="77777777" w:rsidR="0057201B" w:rsidRPr="00AE3A84" w:rsidRDefault="0057201B">
            <w:pPr>
              <w:pStyle w:val="BodyText"/>
              <w:rPr>
                <w:lang w:val="es-ES"/>
              </w:rPr>
            </w:pPr>
            <w:r w:rsidRPr="00AE3A84">
              <w:rPr>
                <w:spacing w:val="-1"/>
              </w:rPr>
              <w:t>Colombia</w:t>
            </w:r>
          </w:p>
        </w:tc>
        <w:tc>
          <w:tcPr>
            <w:tcW w:w="1141" w:type="dxa"/>
            <w:vAlign w:val="center"/>
          </w:tcPr>
          <w:p w14:paraId="19539A83" w14:textId="77777777" w:rsidR="0057201B" w:rsidRPr="00AE3A84" w:rsidRDefault="0057201B">
            <w:pPr>
              <w:pStyle w:val="BodyText"/>
              <w:jc w:val="center"/>
              <w:rPr>
                <w:spacing w:val="-1"/>
              </w:rPr>
            </w:pPr>
            <w:r w:rsidRPr="00A4608F">
              <w:rPr>
                <w:spacing w:val="-1"/>
              </w:rPr>
              <w:t>162/22</w:t>
            </w:r>
          </w:p>
        </w:tc>
        <w:tc>
          <w:tcPr>
            <w:tcW w:w="1289" w:type="dxa"/>
            <w:vAlign w:val="center"/>
          </w:tcPr>
          <w:p w14:paraId="375B59F3" w14:textId="77777777" w:rsidR="0057201B" w:rsidRPr="00AE3A84" w:rsidRDefault="0057201B">
            <w:pPr>
              <w:pStyle w:val="BodyText"/>
              <w:rPr>
                <w:lang w:val="es-ES"/>
              </w:rPr>
            </w:pPr>
            <w:r w:rsidRPr="00AE3A84">
              <w:rPr>
                <w:spacing w:val="-1"/>
              </w:rPr>
              <w:t>7/8/2022</w:t>
            </w:r>
          </w:p>
        </w:tc>
        <w:tc>
          <w:tcPr>
            <w:tcW w:w="1329" w:type="dxa"/>
            <w:vAlign w:val="center"/>
          </w:tcPr>
          <w:p w14:paraId="46968842" w14:textId="77777777" w:rsidR="0057201B" w:rsidRPr="00AE3A84" w:rsidRDefault="0057201B">
            <w:pPr>
              <w:pStyle w:val="BodyText"/>
              <w:rPr>
                <w:lang w:val="es-ES"/>
              </w:rPr>
            </w:pPr>
            <w:r w:rsidRPr="00AE3A84">
              <w:rPr>
                <w:spacing w:val="-1"/>
              </w:rPr>
              <w:t>96-14</w:t>
            </w:r>
          </w:p>
        </w:tc>
        <w:tc>
          <w:tcPr>
            <w:tcW w:w="1350" w:type="dxa"/>
            <w:vAlign w:val="center"/>
          </w:tcPr>
          <w:p w14:paraId="17F622AC" w14:textId="77777777" w:rsidR="0057201B" w:rsidRPr="00AE3A84" w:rsidRDefault="0057201B">
            <w:pPr>
              <w:pStyle w:val="BodyText"/>
              <w:rPr>
                <w:lang w:val="es-ES"/>
              </w:rPr>
            </w:pPr>
            <w:r w:rsidRPr="00AE3A84">
              <w:rPr>
                <w:spacing w:val="-1"/>
              </w:rPr>
              <w:t>15.017</w:t>
            </w:r>
          </w:p>
        </w:tc>
      </w:tr>
      <w:tr w:rsidR="0057201B" w:rsidRPr="00AE3A84" w14:paraId="2B6E6EC4" w14:textId="77777777">
        <w:tc>
          <w:tcPr>
            <w:tcW w:w="534" w:type="dxa"/>
            <w:vAlign w:val="center"/>
          </w:tcPr>
          <w:p w14:paraId="14652B91" w14:textId="77777777" w:rsidR="0057201B" w:rsidRPr="00AE3A84" w:rsidRDefault="0057201B" w:rsidP="00933F91">
            <w:pPr>
              <w:pStyle w:val="BodyText"/>
              <w:widowControl/>
              <w:numPr>
                <w:ilvl w:val="0"/>
                <w:numId w:val="57"/>
              </w:numPr>
              <w:rPr>
                <w:lang w:val="es-ES"/>
              </w:rPr>
            </w:pPr>
          </w:p>
        </w:tc>
        <w:tc>
          <w:tcPr>
            <w:tcW w:w="2953" w:type="dxa"/>
            <w:vAlign w:val="center"/>
          </w:tcPr>
          <w:p w14:paraId="0845182B" w14:textId="77777777" w:rsidR="0057201B" w:rsidRPr="00AE3A84" w:rsidRDefault="0057201B">
            <w:pPr>
              <w:pStyle w:val="BodyText"/>
              <w:rPr>
                <w:lang w:val="es-ES"/>
              </w:rPr>
            </w:pPr>
            <w:r w:rsidRPr="00AE3A84">
              <w:rPr>
                <w:spacing w:val="-1"/>
              </w:rPr>
              <w:t>Jorge</w:t>
            </w:r>
            <w:r w:rsidRPr="00AE3A84">
              <w:rPr>
                <w:spacing w:val="-5"/>
              </w:rPr>
              <w:t xml:space="preserve"> </w:t>
            </w:r>
            <w:r w:rsidRPr="00AE3A84">
              <w:rPr>
                <w:spacing w:val="-1"/>
              </w:rPr>
              <w:t>Tadeo</w:t>
            </w:r>
            <w:r w:rsidRPr="00AE3A84">
              <w:rPr>
                <w:spacing w:val="-6"/>
              </w:rPr>
              <w:t xml:space="preserve"> </w:t>
            </w:r>
            <w:r w:rsidRPr="00AE3A84">
              <w:t>Mayo</w:t>
            </w:r>
            <w:r w:rsidRPr="00AE3A84">
              <w:rPr>
                <w:spacing w:val="-7"/>
              </w:rPr>
              <w:t xml:space="preserve"> </w:t>
            </w:r>
            <w:r w:rsidRPr="00AE3A84">
              <w:rPr>
                <w:spacing w:val="-1"/>
              </w:rPr>
              <w:t>Castro</w:t>
            </w:r>
          </w:p>
        </w:tc>
        <w:tc>
          <w:tcPr>
            <w:tcW w:w="1119" w:type="dxa"/>
            <w:vAlign w:val="center"/>
          </w:tcPr>
          <w:p w14:paraId="5DBCEFD4" w14:textId="77777777" w:rsidR="0057201B" w:rsidRPr="00AE3A84" w:rsidRDefault="0057201B">
            <w:pPr>
              <w:pStyle w:val="BodyText"/>
              <w:rPr>
                <w:lang w:val="es-ES"/>
              </w:rPr>
            </w:pPr>
            <w:r w:rsidRPr="00AE3A84">
              <w:rPr>
                <w:spacing w:val="-1"/>
              </w:rPr>
              <w:t>Colombia</w:t>
            </w:r>
          </w:p>
        </w:tc>
        <w:tc>
          <w:tcPr>
            <w:tcW w:w="1141" w:type="dxa"/>
            <w:vAlign w:val="center"/>
          </w:tcPr>
          <w:p w14:paraId="3449796C" w14:textId="77777777" w:rsidR="0057201B" w:rsidRPr="00AE3A84" w:rsidRDefault="0057201B">
            <w:pPr>
              <w:pStyle w:val="BodyText"/>
              <w:jc w:val="center"/>
              <w:rPr>
                <w:spacing w:val="-1"/>
              </w:rPr>
            </w:pPr>
            <w:r w:rsidRPr="00A4608F">
              <w:rPr>
                <w:spacing w:val="-1"/>
              </w:rPr>
              <w:t>163/22</w:t>
            </w:r>
          </w:p>
        </w:tc>
        <w:tc>
          <w:tcPr>
            <w:tcW w:w="1289" w:type="dxa"/>
            <w:vAlign w:val="center"/>
          </w:tcPr>
          <w:p w14:paraId="01C4032C" w14:textId="77777777" w:rsidR="0057201B" w:rsidRPr="00AE3A84" w:rsidRDefault="0057201B">
            <w:pPr>
              <w:pStyle w:val="BodyText"/>
              <w:rPr>
                <w:lang w:val="es-ES"/>
              </w:rPr>
            </w:pPr>
            <w:r w:rsidRPr="00AE3A84">
              <w:rPr>
                <w:spacing w:val="-1"/>
              </w:rPr>
              <w:t>7/8/2022</w:t>
            </w:r>
          </w:p>
        </w:tc>
        <w:tc>
          <w:tcPr>
            <w:tcW w:w="1329" w:type="dxa"/>
            <w:vAlign w:val="center"/>
          </w:tcPr>
          <w:p w14:paraId="57BA67C7" w14:textId="77777777" w:rsidR="0057201B" w:rsidRPr="00AE3A84" w:rsidRDefault="0057201B">
            <w:pPr>
              <w:pStyle w:val="BodyText"/>
              <w:rPr>
                <w:lang w:val="es-ES"/>
              </w:rPr>
            </w:pPr>
            <w:r w:rsidRPr="00AE3A84">
              <w:rPr>
                <w:spacing w:val="-1"/>
              </w:rPr>
              <w:t>397-13</w:t>
            </w:r>
          </w:p>
        </w:tc>
        <w:tc>
          <w:tcPr>
            <w:tcW w:w="1350" w:type="dxa"/>
            <w:vAlign w:val="center"/>
          </w:tcPr>
          <w:p w14:paraId="252C315C" w14:textId="77777777" w:rsidR="0057201B" w:rsidRPr="00AE3A84" w:rsidRDefault="0057201B">
            <w:pPr>
              <w:pStyle w:val="BodyText"/>
              <w:rPr>
                <w:lang w:val="es-ES"/>
              </w:rPr>
            </w:pPr>
            <w:r w:rsidRPr="00AE3A84">
              <w:rPr>
                <w:spacing w:val="-1"/>
              </w:rPr>
              <w:t>15.016</w:t>
            </w:r>
          </w:p>
        </w:tc>
      </w:tr>
      <w:tr w:rsidR="0057201B" w:rsidRPr="00AE3A84" w14:paraId="06CDC664" w14:textId="77777777">
        <w:tc>
          <w:tcPr>
            <w:tcW w:w="534" w:type="dxa"/>
            <w:vAlign w:val="center"/>
          </w:tcPr>
          <w:p w14:paraId="469C0E99" w14:textId="77777777" w:rsidR="0057201B" w:rsidRPr="00AE3A84" w:rsidRDefault="0057201B" w:rsidP="00933F91">
            <w:pPr>
              <w:pStyle w:val="BodyText"/>
              <w:widowControl/>
              <w:numPr>
                <w:ilvl w:val="0"/>
                <w:numId w:val="57"/>
              </w:numPr>
              <w:rPr>
                <w:lang w:val="es-ES"/>
              </w:rPr>
            </w:pPr>
          </w:p>
        </w:tc>
        <w:tc>
          <w:tcPr>
            <w:tcW w:w="2953" w:type="dxa"/>
            <w:vAlign w:val="center"/>
          </w:tcPr>
          <w:p w14:paraId="6BE8E2AA" w14:textId="77777777" w:rsidR="0057201B" w:rsidRPr="00AE3A84" w:rsidRDefault="0057201B">
            <w:pPr>
              <w:pStyle w:val="BodyText"/>
              <w:rPr>
                <w:lang w:val="es-ES"/>
              </w:rPr>
            </w:pPr>
            <w:r w:rsidRPr="00AE3A84">
              <w:rPr>
                <w:spacing w:val="-1"/>
              </w:rPr>
              <w:t>Zaida</w:t>
            </w:r>
            <w:r w:rsidRPr="00AE3A84">
              <w:rPr>
                <w:spacing w:val="-8"/>
              </w:rPr>
              <w:t xml:space="preserve"> </w:t>
            </w:r>
            <w:r w:rsidRPr="00AE3A84">
              <w:rPr>
                <w:spacing w:val="-1"/>
              </w:rPr>
              <w:t>Mariaca</w:t>
            </w:r>
            <w:r w:rsidRPr="00AE3A84">
              <w:rPr>
                <w:spacing w:val="-7"/>
              </w:rPr>
              <w:t xml:space="preserve"> </w:t>
            </w:r>
            <w:r w:rsidRPr="00AE3A84">
              <w:rPr>
                <w:spacing w:val="-1"/>
              </w:rPr>
              <w:t>Rada</w:t>
            </w:r>
          </w:p>
        </w:tc>
        <w:tc>
          <w:tcPr>
            <w:tcW w:w="1119" w:type="dxa"/>
            <w:vAlign w:val="center"/>
          </w:tcPr>
          <w:p w14:paraId="604C80DA" w14:textId="77777777" w:rsidR="0057201B" w:rsidRPr="00AE3A84" w:rsidRDefault="0057201B">
            <w:pPr>
              <w:pStyle w:val="BodyText"/>
              <w:rPr>
                <w:lang w:val="es-ES"/>
              </w:rPr>
            </w:pPr>
            <w:r w:rsidRPr="00AE3A84">
              <w:rPr>
                <w:spacing w:val="-1"/>
              </w:rPr>
              <w:t>Bolivia</w:t>
            </w:r>
          </w:p>
        </w:tc>
        <w:tc>
          <w:tcPr>
            <w:tcW w:w="1141" w:type="dxa"/>
            <w:vAlign w:val="center"/>
          </w:tcPr>
          <w:p w14:paraId="71F81704" w14:textId="77777777" w:rsidR="0057201B" w:rsidRPr="00AE3A84" w:rsidRDefault="0057201B">
            <w:pPr>
              <w:pStyle w:val="BodyText"/>
              <w:jc w:val="center"/>
              <w:rPr>
                <w:spacing w:val="-1"/>
              </w:rPr>
            </w:pPr>
            <w:r w:rsidRPr="00A4608F">
              <w:rPr>
                <w:spacing w:val="-1"/>
              </w:rPr>
              <w:t>164/22</w:t>
            </w:r>
          </w:p>
        </w:tc>
        <w:tc>
          <w:tcPr>
            <w:tcW w:w="1289" w:type="dxa"/>
            <w:vAlign w:val="center"/>
          </w:tcPr>
          <w:p w14:paraId="5597DCE7" w14:textId="77777777" w:rsidR="0057201B" w:rsidRPr="00AE3A84" w:rsidRDefault="0057201B">
            <w:pPr>
              <w:pStyle w:val="BodyText"/>
              <w:rPr>
                <w:lang w:val="es-ES"/>
              </w:rPr>
            </w:pPr>
            <w:r w:rsidRPr="00AE3A84">
              <w:rPr>
                <w:spacing w:val="-1"/>
              </w:rPr>
              <w:t>7/13/2022</w:t>
            </w:r>
          </w:p>
        </w:tc>
        <w:tc>
          <w:tcPr>
            <w:tcW w:w="1329" w:type="dxa"/>
            <w:vAlign w:val="center"/>
          </w:tcPr>
          <w:p w14:paraId="3E026BDA" w14:textId="77777777" w:rsidR="0057201B" w:rsidRPr="00AE3A84" w:rsidRDefault="0057201B">
            <w:pPr>
              <w:pStyle w:val="BodyText"/>
              <w:rPr>
                <w:lang w:val="es-ES"/>
              </w:rPr>
            </w:pPr>
            <w:r w:rsidRPr="00AE3A84">
              <w:rPr>
                <w:spacing w:val="-1"/>
              </w:rPr>
              <w:t>2105-13</w:t>
            </w:r>
          </w:p>
        </w:tc>
        <w:tc>
          <w:tcPr>
            <w:tcW w:w="1350" w:type="dxa"/>
            <w:vAlign w:val="center"/>
          </w:tcPr>
          <w:p w14:paraId="7DF04D2E" w14:textId="77777777" w:rsidR="0057201B" w:rsidRPr="00AE3A84" w:rsidRDefault="0057201B">
            <w:pPr>
              <w:pStyle w:val="BodyText"/>
              <w:rPr>
                <w:lang w:val="es-ES"/>
              </w:rPr>
            </w:pPr>
            <w:r w:rsidRPr="00AE3A84">
              <w:rPr>
                <w:spacing w:val="-1"/>
              </w:rPr>
              <w:t>15.009</w:t>
            </w:r>
          </w:p>
        </w:tc>
      </w:tr>
      <w:tr w:rsidR="0057201B" w:rsidRPr="00AE3A84" w14:paraId="4E3894FE" w14:textId="77777777">
        <w:tc>
          <w:tcPr>
            <w:tcW w:w="534" w:type="dxa"/>
            <w:vAlign w:val="center"/>
          </w:tcPr>
          <w:p w14:paraId="1F40945D" w14:textId="77777777" w:rsidR="0057201B" w:rsidRPr="00AE3A84" w:rsidRDefault="0057201B" w:rsidP="00933F91">
            <w:pPr>
              <w:pStyle w:val="BodyText"/>
              <w:widowControl/>
              <w:numPr>
                <w:ilvl w:val="0"/>
                <w:numId w:val="57"/>
              </w:numPr>
              <w:rPr>
                <w:lang w:val="es-ES"/>
              </w:rPr>
            </w:pPr>
          </w:p>
        </w:tc>
        <w:tc>
          <w:tcPr>
            <w:tcW w:w="2953" w:type="dxa"/>
            <w:vAlign w:val="center"/>
          </w:tcPr>
          <w:p w14:paraId="0B8889CE" w14:textId="77777777" w:rsidR="0057201B" w:rsidRPr="000E5866" w:rsidRDefault="0057201B">
            <w:pPr>
              <w:pStyle w:val="BodyText"/>
            </w:pPr>
            <w:r w:rsidRPr="00AE3A84">
              <w:rPr>
                <w:spacing w:val="-1"/>
              </w:rPr>
              <w:t>Jhon</w:t>
            </w:r>
            <w:r w:rsidRPr="00AE3A84">
              <w:rPr>
                <w:spacing w:val="-6"/>
              </w:rPr>
              <w:t xml:space="preserve"> </w:t>
            </w:r>
            <w:r w:rsidRPr="00AE3A84">
              <w:rPr>
                <w:spacing w:val="-1"/>
              </w:rPr>
              <w:t>Freddy</w:t>
            </w:r>
            <w:r w:rsidRPr="00AE3A84">
              <w:rPr>
                <w:spacing w:val="-4"/>
              </w:rPr>
              <w:t xml:space="preserve"> </w:t>
            </w:r>
            <w:r w:rsidRPr="00AE3A84">
              <w:rPr>
                <w:spacing w:val="-1"/>
              </w:rPr>
              <w:t>Betancourt</w:t>
            </w:r>
            <w:r w:rsidRPr="00AE3A84">
              <w:rPr>
                <w:spacing w:val="-6"/>
              </w:rPr>
              <w:t xml:space="preserve"> </w:t>
            </w:r>
            <w:r w:rsidRPr="00AE3A84">
              <w:rPr>
                <w:spacing w:val="-1"/>
              </w:rPr>
              <w:t>Sánchez</w:t>
            </w:r>
            <w:r w:rsidRPr="00AE3A84">
              <w:rPr>
                <w:spacing w:val="-5"/>
              </w:rPr>
              <w:t xml:space="preserve"> </w:t>
            </w:r>
            <w:r>
              <w:t>and Family</w:t>
            </w:r>
          </w:p>
        </w:tc>
        <w:tc>
          <w:tcPr>
            <w:tcW w:w="1119" w:type="dxa"/>
            <w:vAlign w:val="center"/>
          </w:tcPr>
          <w:p w14:paraId="101B6B65" w14:textId="77777777" w:rsidR="0057201B" w:rsidRPr="00AE3A84" w:rsidRDefault="0057201B">
            <w:pPr>
              <w:pStyle w:val="BodyText"/>
              <w:rPr>
                <w:lang w:val="es-ES"/>
              </w:rPr>
            </w:pPr>
            <w:r w:rsidRPr="00AE3A84">
              <w:rPr>
                <w:spacing w:val="-1"/>
              </w:rPr>
              <w:t>Colombia</w:t>
            </w:r>
          </w:p>
        </w:tc>
        <w:tc>
          <w:tcPr>
            <w:tcW w:w="1141" w:type="dxa"/>
            <w:vAlign w:val="center"/>
          </w:tcPr>
          <w:p w14:paraId="06F3C714" w14:textId="77777777" w:rsidR="0057201B" w:rsidRPr="00AE3A84" w:rsidRDefault="0057201B">
            <w:pPr>
              <w:pStyle w:val="BodyText"/>
              <w:jc w:val="center"/>
              <w:rPr>
                <w:spacing w:val="-1"/>
              </w:rPr>
            </w:pPr>
            <w:r w:rsidRPr="00A4608F">
              <w:rPr>
                <w:spacing w:val="-1"/>
              </w:rPr>
              <w:t>165/22</w:t>
            </w:r>
          </w:p>
        </w:tc>
        <w:tc>
          <w:tcPr>
            <w:tcW w:w="1289" w:type="dxa"/>
            <w:vAlign w:val="center"/>
          </w:tcPr>
          <w:p w14:paraId="51290562" w14:textId="77777777" w:rsidR="0057201B" w:rsidRPr="00AE3A84" w:rsidRDefault="0057201B">
            <w:pPr>
              <w:pStyle w:val="BodyText"/>
              <w:rPr>
                <w:lang w:val="es-ES"/>
              </w:rPr>
            </w:pPr>
            <w:r w:rsidRPr="00AE3A84">
              <w:rPr>
                <w:spacing w:val="-1"/>
              </w:rPr>
              <w:t>7/17/2022</w:t>
            </w:r>
          </w:p>
        </w:tc>
        <w:tc>
          <w:tcPr>
            <w:tcW w:w="1329" w:type="dxa"/>
            <w:vAlign w:val="center"/>
          </w:tcPr>
          <w:p w14:paraId="2DC06681" w14:textId="77777777" w:rsidR="0057201B" w:rsidRPr="00AE3A84" w:rsidRDefault="0057201B">
            <w:pPr>
              <w:pStyle w:val="BodyText"/>
              <w:rPr>
                <w:lang w:val="es-ES"/>
              </w:rPr>
            </w:pPr>
            <w:r w:rsidRPr="00AE3A84">
              <w:rPr>
                <w:spacing w:val="-1"/>
              </w:rPr>
              <w:t>135-11</w:t>
            </w:r>
          </w:p>
        </w:tc>
        <w:tc>
          <w:tcPr>
            <w:tcW w:w="1350" w:type="dxa"/>
            <w:vAlign w:val="center"/>
          </w:tcPr>
          <w:p w14:paraId="49293DE7" w14:textId="77777777" w:rsidR="0057201B" w:rsidRPr="00AE3A84" w:rsidRDefault="0057201B">
            <w:pPr>
              <w:pStyle w:val="BodyText"/>
              <w:rPr>
                <w:lang w:val="es-ES"/>
              </w:rPr>
            </w:pPr>
            <w:r w:rsidRPr="00AE3A84">
              <w:rPr>
                <w:spacing w:val="-1"/>
              </w:rPr>
              <w:t>15.055</w:t>
            </w:r>
          </w:p>
        </w:tc>
      </w:tr>
      <w:tr w:rsidR="0057201B" w:rsidRPr="00AE3A84" w14:paraId="57C4A03F" w14:textId="77777777">
        <w:tc>
          <w:tcPr>
            <w:tcW w:w="534" w:type="dxa"/>
            <w:vAlign w:val="center"/>
          </w:tcPr>
          <w:p w14:paraId="6BB8B873" w14:textId="77777777" w:rsidR="0057201B" w:rsidRPr="00AE3A84" w:rsidRDefault="0057201B" w:rsidP="00933F91">
            <w:pPr>
              <w:pStyle w:val="BodyText"/>
              <w:widowControl/>
              <w:numPr>
                <w:ilvl w:val="0"/>
                <w:numId w:val="57"/>
              </w:numPr>
              <w:rPr>
                <w:lang w:val="es-ES"/>
              </w:rPr>
            </w:pPr>
          </w:p>
        </w:tc>
        <w:tc>
          <w:tcPr>
            <w:tcW w:w="2953" w:type="dxa"/>
            <w:vAlign w:val="center"/>
          </w:tcPr>
          <w:p w14:paraId="28890E5D" w14:textId="77777777" w:rsidR="0057201B" w:rsidRPr="00AE3A84" w:rsidRDefault="0057201B">
            <w:pPr>
              <w:pStyle w:val="BodyText"/>
              <w:rPr>
                <w:lang w:val="es-ES"/>
              </w:rPr>
            </w:pPr>
            <w:r w:rsidRPr="00AE3A84">
              <w:rPr>
                <w:spacing w:val="-1"/>
              </w:rPr>
              <w:t>M.T.R.</w:t>
            </w:r>
            <w:r w:rsidRPr="00AE3A84">
              <w:rPr>
                <w:spacing w:val="-5"/>
              </w:rPr>
              <w:t xml:space="preserve"> </w:t>
            </w:r>
            <w:r>
              <w:t>et al.</w:t>
            </w:r>
          </w:p>
        </w:tc>
        <w:tc>
          <w:tcPr>
            <w:tcW w:w="1119" w:type="dxa"/>
            <w:vAlign w:val="center"/>
          </w:tcPr>
          <w:p w14:paraId="2CF8BF8E" w14:textId="77777777" w:rsidR="0057201B" w:rsidRPr="00AE3A84" w:rsidRDefault="0057201B">
            <w:pPr>
              <w:pStyle w:val="BodyText"/>
              <w:rPr>
                <w:lang w:val="es-ES"/>
              </w:rPr>
            </w:pPr>
            <w:r w:rsidRPr="00AE3A84">
              <w:rPr>
                <w:spacing w:val="-1"/>
              </w:rPr>
              <w:t>El</w:t>
            </w:r>
            <w:r w:rsidRPr="00AE3A84">
              <w:rPr>
                <w:spacing w:val="-6"/>
              </w:rPr>
              <w:t xml:space="preserve"> </w:t>
            </w:r>
            <w:r w:rsidRPr="00AE3A84">
              <w:rPr>
                <w:spacing w:val="-1"/>
              </w:rPr>
              <w:lastRenderedPageBreak/>
              <w:t>Salvador</w:t>
            </w:r>
          </w:p>
        </w:tc>
        <w:tc>
          <w:tcPr>
            <w:tcW w:w="1141" w:type="dxa"/>
            <w:vAlign w:val="center"/>
          </w:tcPr>
          <w:p w14:paraId="5DD98626" w14:textId="77777777" w:rsidR="0057201B" w:rsidRPr="00AE3A84" w:rsidRDefault="0057201B">
            <w:pPr>
              <w:pStyle w:val="BodyText"/>
              <w:jc w:val="center"/>
              <w:rPr>
                <w:spacing w:val="-1"/>
              </w:rPr>
            </w:pPr>
            <w:r w:rsidRPr="00A4608F">
              <w:rPr>
                <w:spacing w:val="-1"/>
              </w:rPr>
              <w:lastRenderedPageBreak/>
              <w:t>166/22</w:t>
            </w:r>
          </w:p>
        </w:tc>
        <w:tc>
          <w:tcPr>
            <w:tcW w:w="1289" w:type="dxa"/>
            <w:vAlign w:val="center"/>
          </w:tcPr>
          <w:p w14:paraId="7CFC384B" w14:textId="77777777" w:rsidR="0057201B" w:rsidRPr="00AE3A84" w:rsidRDefault="0057201B">
            <w:pPr>
              <w:pStyle w:val="BodyText"/>
              <w:rPr>
                <w:lang w:val="es-ES"/>
              </w:rPr>
            </w:pPr>
            <w:r w:rsidRPr="00AE3A84">
              <w:rPr>
                <w:spacing w:val="-1"/>
              </w:rPr>
              <w:t>7/11/2022</w:t>
            </w:r>
          </w:p>
        </w:tc>
        <w:tc>
          <w:tcPr>
            <w:tcW w:w="1329" w:type="dxa"/>
            <w:vAlign w:val="center"/>
          </w:tcPr>
          <w:p w14:paraId="730882F0" w14:textId="77777777" w:rsidR="0057201B" w:rsidRPr="00AE3A84" w:rsidRDefault="0057201B">
            <w:pPr>
              <w:pStyle w:val="BodyText"/>
              <w:rPr>
                <w:lang w:val="es-ES"/>
              </w:rPr>
            </w:pPr>
            <w:r w:rsidRPr="00AE3A84">
              <w:rPr>
                <w:spacing w:val="-1"/>
              </w:rPr>
              <w:t>2287-15</w:t>
            </w:r>
          </w:p>
        </w:tc>
        <w:tc>
          <w:tcPr>
            <w:tcW w:w="1350" w:type="dxa"/>
            <w:vAlign w:val="center"/>
          </w:tcPr>
          <w:p w14:paraId="28942E65" w14:textId="77777777" w:rsidR="0057201B" w:rsidRPr="00AE3A84" w:rsidRDefault="0057201B">
            <w:pPr>
              <w:pStyle w:val="BodyText"/>
              <w:rPr>
                <w:lang w:val="es-ES"/>
              </w:rPr>
            </w:pPr>
            <w:r w:rsidRPr="00AE3A84">
              <w:rPr>
                <w:spacing w:val="-1"/>
              </w:rPr>
              <w:t>15.008</w:t>
            </w:r>
          </w:p>
        </w:tc>
      </w:tr>
      <w:tr w:rsidR="0057201B" w:rsidRPr="00AE3A84" w14:paraId="44AE78F0" w14:textId="77777777">
        <w:tc>
          <w:tcPr>
            <w:tcW w:w="534" w:type="dxa"/>
            <w:vAlign w:val="center"/>
          </w:tcPr>
          <w:p w14:paraId="2D447CA3" w14:textId="77777777" w:rsidR="0057201B" w:rsidRPr="00AE3A84" w:rsidRDefault="0057201B" w:rsidP="00933F91">
            <w:pPr>
              <w:pStyle w:val="BodyText"/>
              <w:widowControl/>
              <w:numPr>
                <w:ilvl w:val="0"/>
                <w:numId w:val="57"/>
              </w:numPr>
              <w:rPr>
                <w:lang w:val="es-ES"/>
              </w:rPr>
            </w:pPr>
          </w:p>
        </w:tc>
        <w:tc>
          <w:tcPr>
            <w:tcW w:w="2953" w:type="dxa"/>
            <w:vAlign w:val="center"/>
          </w:tcPr>
          <w:p w14:paraId="376E3456" w14:textId="77777777" w:rsidR="0057201B" w:rsidRPr="005013E6" w:rsidRDefault="0057201B">
            <w:pPr>
              <w:pStyle w:val="BodyText"/>
            </w:pPr>
            <w:r w:rsidRPr="005013E6">
              <w:rPr>
                <w:spacing w:val="-1"/>
              </w:rPr>
              <w:t>Nelton</w:t>
            </w:r>
            <w:r w:rsidRPr="005013E6">
              <w:rPr>
                <w:spacing w:val="-6"/>
              </w:rPr>
              <w:t xml:space="preserve"> </w:t>
            </w:r>
            <w:r w:rsidRPr="005013E6">
              <w:rPr>
                <w:spacing w:val="-1"/>
              </w:rPr>
              <w:t>Ademir</w:t>
            </w:r>
            <w:r w:rsidRPr="005013E6">
              <w:rPr>
                <w:spacing w:val="-5"/>
              </w:rPr>
              <w:t xml:space="preserve"> </w:t>
            </w:r>
            <w:r w:rsidRPr="005013E6">
              <w:rPr>
                <w:spacing w:val="-1"/>
              </w:rPr>
              <w:t>Rodas</w:t>
            </w:r>
            <w:r w:rsidRPr="005013E6">
              <w:rPr>
                <w:spacing w:val="-6"/>
              </w:rPr>
              <w:t xml:space="preserve"> </w:t>
            </w:r>
            <w:r w:rsidRPr="005013E6">
              <w:rPr>
                <w:spacing w:val="-1"/>
              </w:rPr>
              <w:t>Aguirre</w:t>
            </w:r>
            <w:r w:rsidRPr="005013E6">
              <w:rPr>
                <w:spacing w:val="-5"/>
              </w:rPr>
              <w:t xml:space="preserve"> </w:t>
            </w:r>
            <w:r w:rsidRPr="005013E6">
              <w:t xml:space="preserve">and </w:t>
            </w:r>
            <w:r>
              <w:t>Relatives</w:t>
            </w:r>
          </w:p>
        </w:tc>
        <w:tc>
          <w:tcPr>
            <w:tcW w:w="1119" w:type="dxa"/>
            <w:vAlign w:val="center"/>
          </w:tcPr>
          <w:p w14:paraId="19DA86C9" w14:textId="77777777" w:rsidR="0057201B" w:rsidRPr="00AE3A84" w:rsidRDefault="0057201B">
            <w:pPr>
              <w:pStyle w:val="BodyText"/>
              <w:rPr>
                <w:lang w:val="es-ES"/>
              </w:rPr>
            </w:pPr>
            <w:r w:rsidRPr="00AE3A84">
              <w:rPr>
                <w:spacing w:val="-1"/>
              </w:rPr>
              <w:t>Guatemala</w:t>
            </w:r>
          </w:p>
        </w:tc>
        <w:tc>
          <w:tcPr>
            <w:tcW w:w="1141" w:type="dxa"/>
            <w:vAlign w:val="center"/>
          </w:tcPr>
          <w:p w14:paraId="6F7181B1" w14:textId="77777777" w:rsidR="0057201B" w:rsidRPr="00AE3A84" w:rsidRDefault="0057201B">
            <w:pPr>
              <w:pStyle w:val="BodyText"/>
              <w:jc w:val="center"/>
              <w:rPr>
                <w:spacing w:val="-1"/>
              </w:rPr>
            </w:pPr>
            <w:r w:rsidRPr="00A4608F">
              <w:rPr>
                <w:spacing w:val="-1"/>
              </w:rPr>
              <w:t>174/22</w:t>
            </w:r>
          </w:p>
        </w:tc>
        <w:tc>
          <w:tcPr>
            <w:tcW w:w="1289" w:type="dxa"/>
            <w:vAlign w:val="center"/>
          </w:tcPr>
          <w:p w14:paraId="708957BD" w14:textId="77777777" w:rsidR="0057201B" w:rsidRPr="00AE3A84" w:rsidRDefault="0057201B">
            <w:pPr>
              <w:pStyle w:val="BodyText"/>
              <w:rPr>
                <w:lang w:val="es-ES"/>
              </w:rPr>
            </w:pPr>
            <w:r w:rsidRPr="00AE3A84">
              <w:rPr>
                <w:spacing w:val="-1"/>
              </w:rPr>
              <w:t>7/19/2022</w:t>
            </w:r>
          </w:p>
        </w:tc>
        <w:tc>
          <w:tcPr>
            <w:tcW w:w="1329" w:type="dxa"/>
            <w:vAlign w:val="center"/>
          </w:tcPr>
          <w:p w14:paraId="5FF7D1FD" w14:textId="77777777" w:rsidR="0057201B" w:rsidRPr="00AE3A84" w:rsidRDefault="0057201B">
            <w:pPr>
              <w:pStyle w:val="BodyText"/>
              <w:rPr>
                <w:lang w:val="es-ES"/>
              </w:rPr>
            </w:pPr>
            <w:r w:rsidRPr="00AE3A84">
              <w:rPr>
                <w:spacing w:val="-1"/>
              </w:rPr>
              <w:t>2338-12</w:t>
            </w:r>
          </w:p>
        </w:tc>
        <w:tc>
          <w:tcPr>
            <w:tcW w:w="1350" w:type="dxa"/>
            <w:vAlign w:val="center"/>
          </w:tcPr>
          <w:p w14:paraId="413FB924" w14:textId="77777777" w:rsidR="0057201B" w:rsidRPr="00AE3A84" w:rsidRDefault="0057201B">
            <w:pPr>
              <w:pStyle w:val="BodyText"/>
              <w:rPr>
                <w:lang w:val="es-ES"/>
              </w:rPr>
            </w:pPr>
            <w:r w:rsidRPr="00AE3A84">
              <w:rPr>
                <w:spacing w:val="-1"/>
              </w:rPr>
              <w:t>15.021</w:t>
            </w:r>
          </w:p>
        </w:tc>
      </w:tr>
      <w:tr w:rsidR="0057201B" w:rsidRPr="00AE3A84" w14:paraId="7A36CEE9" w14:textId="77777777">
        <w:tc>
          <w:tcPr>
            <w:tcW w:w="534" w:type="dxa"/>
            <w:vAlign w:val="center"/>
          </w:tcPr>
          <w:p w14:paraId="74626760" w14:textId="77777777" w:rsidR="0057201B" w:rsidRPr="00AE3A84" w:rsidRDefault="0057201B" w:rsidP="00933F91">
            <w:pPr>
              <w:pStyle w:val="BodyText"/>
              <w:widowControl/>
              <w:numPr>
                <w:ilvl w:val="0"/>
                <w:numId w:val="57"/>
              </w:numPr>
              <w:rPr>
                <w:lang w:val="es-ES"/>
              </w:rPr>
            </w:pPr>
          </w:p>
        </w:tc>
        <w:tc>
          <w:tcPr>
            <w:tcW w:w="2953" w:type="dxa"/>
            <w:vAlign w:val="center"/>
          </w:tcPr>
          <w:p w14:paraId="7E24C60E" w14:textId="77777777" w:rsidR="0057201B" w:rsidRPr="00AE3A84" w:rsidRDefault="0057201B">
            <w:pPr>
              <w:pStyle w:val="BodyText"/>
              <w:rPr>
                <w:lang w:val="es-ES"/>
              </w:rPr>
            </w:pPr>
            <w:r w:rsidRPr="00AE3A84">
              <w:rPr>
                <w:spacing w:val="-1"/>
              </w:rPr>
              <w:t>César</w:t>
            </w:r>
            <w:r w:rsidRPr="00AE3A84">
              <w:rPr>
                <w:spacing w:val="-7"/>
              </w:rPr>
              <w:t xml:space="preserve"> </w:t>
            </w:r>
            <w:r w:rsidRPr="00AE3A84">
              <w:rPr>
                <w:spacing w:val="-1"/>
              </w:rPr>
              <w:t>Augusto</w:t>
            </w:r>
            <w:r w:rsidRPr="00AE3A84">
              <w:rPr>
                <w:spacing w:val="-7"/>
              </w:rPr>
              <w:t xml:space="preserve"> </w:t>
            </w:r>
            <w:r w:rsidRPr="00AE3A84">
              <w:rPr>
                <w:spacing w:val="-1"/>
              </w:rPr>
              <w:t>Becerra</w:t>
            </w:r>
            <w:r w:rsidRPr="00AE3A84">
              <w:rPr>
                <w:spacing w:val="-7"/>
              </w:rPr>
              <w:t xml:space="preserve"> </w:t>
            </w:r>
            <w:r w:rsidRPr="00AE3A84">
              <w:t>Leyva</w:t>
            </w:r>
          </w:p>
        </w:tc>
        <w:tc>
          <w:tcPr>
            <w:tcW w:w="1119" w:type="dxa"/>
            <w:vAlign w:val="center"/>
          </w:tcPr>
          <w:p w14:paraId="63CF14C6"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1A5CDC5B" w14:textId="77777777" w:rsidR="0057201B" w:rsidRPr="00AE3A84" w:rsidRDefault="0057201B">
            <w:pPr>
              <w:pStyle w:val="BodyText"/>
              <w:jc w:val="center"/>
              <w:rPr>
                <w:spacing w:val="-1"/>
              </w:rPr>
            </w:pPr>
            <w:r w:rsidRPr="00A4608F">
              <w:rPr>
                <w:spacing w:val="-1"/>
              </w:rPr>
              <w:t>176/22</w:t>
            </w:r>
          </w:p>
        </w:tc>
        <w:tc>
          <w:tcPr>
            <w:tcW w:w="1289" w:type="dxa"/>
            <w:vAlign w:val="center"/>
          </w:tcPr>
          <w:p w14:paraId="777E3C2A" w14:textId="77777777" w:rsidR="0057201B" w:rsidRPr="00AE3A84" w:rsidRDefault="0057201B">
            <w:pPr>
              <w:pStyle w:val="BodyText"/>
              <w:rPr>
                <w:lang w:val="es-ES"/>
              </w:rPr>
            </w:pPr>
            <w:r w:rsidRPr="00AE3A84">
              <w:rPr>
                <w:spacing w:val="-1"/>
              </w:rPr>
              <w:t>7/21/2022</w:t>
            </w:r>
          </w:p>
        </w:tc>
        <w:tc>
          <w:tcPr>
            <w:tcW w:w="1329" w:type="dxa"/>
            <w:vAlign w:val="center"/>
          </w:tcPr>
          <w:p w14:paraId="40D6FE6F" w14:textId="77777777" w:rsidR="0057201B" w:rsidRPr="00AE3A84" w:rsidRDefault="0057201B">
            <w:pPr>
              <w:pStyle w:val="BodyText"/>
              <w:rPr>
                <w:lang w:val="es-ES"/>
              </w:rPr>
            </w:pPr>
            <w:r w:rsidRPr="00AE3A84">
              <w:rPr>
                <w:spacing w:val="-1"/>
              </w:rPr>
              <w:t>1156-09</w:t>
            </w:r>
          </w:p>
        </w:tc>
        <w:tc>
          <w:tcPr>
            <w:tcW w:w="1350" w:type="dxa"/>
            <w:vAlign w:val="center"/>
          </w:tcPr>
          <w:p w14:paraId="12EBC6D0" w14:textId="77777777" w:rsidR="0057201B" w:rsidRPr="00AE3A84" w:rsidRDefault="0057201B">
            <w:pPr>
              <w:pStyle w:val="BodyText"/>
              <w:rPr>
                <w:lang w:val="es-ES"/>
              </w:rPr>
            </w:pPr>
            <w:r w:rsidRPr="00AE3A84">
              <w:rPr>
                <w:spacing w:val="-1"/>
              </w:rPr>
              <w:t>15.022</w:t>
            </w:r>
          </w:p>
        </w:tc>
      </w:tr>
      <w:tr w:rsidR="0057201B" w:rsidRPr="00AE3A84" w14:paraId="622358D0" w14:textId="77777777">
        <w:tc>
          <w:tcPr>
            <w:tcW w:w="534" w:type="dxa"/>
            <w:vAlign w:val="center"/>
          </w:tcPr>
          <w:p w14:paraId="23ACA713" w14:textId="77777777" w:rsidR="0057201B" w:rsidRPr="00AE3A84" w:rsidRDefault="0057201B" w:rsidP="00933F91">
            <w:pPr>
              <w:pStyle w:val="BodyText"/>
              <w:widowControl/>
              <w:numPr>
                <w:ilvl w:val="0"/>
                <w:numId w:val="57"/>
              </w:numPr>
              <w:rPr>
                <w:lang w:val="es-ES"/>
              </w:rPr>
            </w:pPr>
          </w:p>
        </w:tc>
        <w:tc>
          <w:tcPr>
            <w:tcW w:w="2953" w:type="dxa"/>
            <w:vAlign w:val="center"/>
          </w:tcPr>
          <w:p w14:paraId="31924311" w14:textId="77777777" w:rsidR="0057201B" w:rsidRPr="005013E6" w:rsidRDefault="0057201B">
            <w:pPr>
              <w:pStyle w:val="BodyText"/>
            </w:pPr>
            <w:r w:rsidRPr="00AE3A84">
              <w:t>Elvis</w:t>
            </w:r>
            <w:r w:rsidRPr="00AE3A84">
              <w:rPr>
                <w:spacing w:val="-6"/>
              </w:rPr>
              <w:t xml:space="preserve"> </w:t>
            </w:r>
            <w:r w:rsidRPr="00AE3A84">
              <w:rPr>
                <w:spacing w:val="-1"/>
              </w:rPr>
              <w:t>King</w:t>
            </w:r>
            <w:r w:rsidRPr="00AE3A84">
              <w:rPr>
                <w:spacing w:val="-5"/>
              </w:rPr>
              <w:t xml:space="preserve"> </w:t>
            </w:r>
            <w:r w:rsidRPr="00AE3A84">
              <w:t>Rivera</w:t>
            </w:r>
            <w:r w:rsidRPr="00AE3A84">
              <w:rPr>
                <w:spacing w:val="-6"/>
              </w:rPr>
              <w:t xml:space="preserve"> </w:t>
            </w:r>
            <w:r w:rsidRPr="00AE3A84">
              <w:rPr>
                <w:spacing w:val="-1"/>
              </w:rPr>
              <w:t>Gamarra</w:t>
            </w:r>
            <w:r w:rsidRPr="00AE3A84">
              <w:rPr>
                <w:spacing w:val="-6"/>
              </w:rPr>
              <w:t xml:space="preserve"> </w:t>
            </w:r>
            <w:r>
              <w:t>and Relatives</w:t>
            </w:r>
          </w:p>
        </w:tc>
        <w:tc>
          <w:tcPr>
            <w:tcW w:w="1119" w:type="dxa"/>
            <w:vAlign w:val="center"/>
          </w:tcPr>
          <w:p w14:paraId="5323C1BC"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1DCC2BFB" w14:textId="77777777" w:rsidR="0057201B" w:rsidRPr="00AE3A84" w:rsidRDefault="0057201B">
            <w:pPr>
              <w:pStyle w:val="BodyText"/>
              <w:jc w:val="center"/>
              <w:rPr>
                <w:spacing w:val="-1"/>
              </w:rPr>
            </w:pPr>
            <w:r w:rsidRPr="00B57CF3">
              <w:rPr>
                <w:spacing w:val="-1"/>
              </w:rPr>
              <w:t>177/22</w:t>
            </w:r>
          </w:p>
        </w:tc>
        <w:tc>
          <w:tcPr>
            <w:tcW w:w="1289" w:type="dxa"/>
            <w:vAlign w:val="center"/>
          </w:tcPr>
          <w:p w14:paraId="3CBFF820" w14:textId="77777777" w:rsidR="0057201B" w:rsidRPr="00AE3A84" w:rsidRDefault="0057201B">
            <w:pPr>
              <w:pStyle w:val="BodyText"/>
              <w:rPr>
                <w:lang w:val="es-ES"/>
              </w:rPr>
            </w:pPr>
            <w:r w:rsidRPr="00AE3A84">
              <w:rPr>
                <w:spacing w:val="-1"/>
              </w:rPr>
              <w:t>7/21/2022</w:t>
            </w:r>
          </w:p>
        </w:tc>
        <w:tc>
          <w:tcPr>
            <w:tcW w:w="1329" w:type="dxa"/>
            <w:vAlign w:val="center"/>
          </w:tcPr>
          <w:p w14:paraId="2B9EC974" w14:textId="77777777" w:rsidR="0057201B" w:rsidRPr="00AE3A84" w:rsidRDefault="0057201B">
            <w:pPr>
              <w:pStyle w:val="BodyText"/>
              <w:rPr>
                <w:lang w:val="es-ES"/>
              </w:rPr>
            </w:pPr>
            <w:r w:rsidRPr="00AE3A84">
              <w:rPr>
                <w:spacing w:val="-1"/>
              </w:rPr>
              <w:t>91-16</w:t>
            </w:r>
          </w:p>
        </w:tc>
        <w:tc>
          <w:tcPr>
            <w:tcW w:w="1350" w:type="dxa"/>
            <w:vAlign w:val="center"/>
          </w:tcPr>
          <w:p w14:paraId="05A33B37" w14:textId="77777777" w:rsidR="0057201B" w:rsidRPr="00AE3A84" w:rsidRDefault="0057201B">
            <w:pPr>
              <w:pStyle w:val="BodyText"/>
              <w:rPr>
                <w:lang w:val="es-ES"/>
              </w:rPr>
            </w:pPr>
            <w:r w:rsidRPr="00AE3A84">
              <w:rPr>
                <w:spacing w:val="-1"/>
              </w:rPr>
              <w:t>15.023</w:t>
            </w:r>
          </w:p>
        </w:tc>
      </w:tr>
      <w:tr w:rsidR="0057201B" w:rsidRPr="00AE3A84" w14:paraId="74774E15" w14:textId="77777777">
        <w:tc>
          <w:tcPr>
            <w:tcW w:w="534" w:type="dxa"/>
            <w:vAlign w:val="center"/>
          </w:tcPr>
          <w:p w14:paraId="0113075F" w14:textId="77777777" w:rsidR="0057201B" w:rsidRPr="00AE3A84" w:rsidRDefault="0057201B" w:rsidP="00933F91">
            <w:pPr>
              <w:pStyle w:val="BodyText"/>
              <w:widowControl/>
              <w:numPr>
                <w:ilvl w:val="0"/>
                <w:numId w:val="57"/>
              </w:numPr>
              <w:rPr>
                <w:lang w:val="es-ES"/>
              </w:rPr>
            </w:pPr>
          </w:p>
        </w:tc>
        <w:tc>
          <w:tcPr>
            <w:tcW w:w="2953" w:type="dxa"/>
            <w:vAlign w:val="center"/>
          </w:tcPr>
          <w:p w14:paraId="520E78E4" w14:textId="77777777" w:rsidR="0057201B" w:rsidRPr="00AE3A84" w:rsidRDefault="0057201B">
            <w:pPr>
              <w:pStyle w:val="BodyText"/>
              <w:rPr>
                <w:lang w:val="es-ES"/>
              </w:rPr>
            </w:pPr>
            <w:r w:rsidRPr="00AE3A84">
              <w:rPr>
                <w:spacing w:val="-1"/>
                <w:lang w:val="es-AR"/>
              </w:rPr>
              <w:t>Raúl</w:t>
            </w:r>
            <w:r w:rsidRPr="00AE3A84">
              <w:rPr>
                <w:spacing w:val="-4"/>
                <w:lang w:val="es-AR"/>
              </w:rPr>
              <w:t xml:space="preserve"> </w:t>
            </w:r>
            <w:r w:rsidRPr="00AE3A84">
              <w:rPr>
                <w:spacing w:val="-1"/>
                <w:lang w:val="es-AR"/>
              </w:rPr>
              <w:t>Fernando</w:t>
            </w:r>
            <w:r w:rsidRPr="00AE3A84">
              <w:rPr>
                <w:spacing w:val="-6"/>
                <w:lang w:val="es-AR"/>
              </w:rPr>
              <w:t xml:space="preserve"> </w:t>
            </w:r>
            <w:r w:rsidRPr="00AE3A84">
              <w:rPr>
                <w:spacing w:val="-1"/>
                <w:lang w:val="es-AR"/>
              </w:rPr>
              <w:t>Córdova</w:t>
            </w:r>
            <w:r w:rsidRPr="00AE3A84">
              <w:rPr>
                <w:spacing w:val="-5"/>
                <w:lang w:val="es-AR"/>
              </w:rPr>
              <w:t xml:space="preserve"> </w:t>
            </w:r>
            <w:r w:rsidRPr="00AE3A84">
              <w:rPr>
                <w:spacing w:val="-1"/>
                <w:lang w:val="es-AR"/>
              </w:rPr>
              <w:t>Dolz</w:t>
            </w:r>
            <w:r w:rsidRPr="00AE3A84">
              <w:rPr>
                <w:spacing w:val="-5"/>
                <w:lang w:val="es-AR"/>
              </w:rPr>
              <w:t xml:space="preserve"> </w:t>
            </w:r>
            <w:r>
              <w:rPr>
                <w:lang w:val="es-AR"/>
              </w:rPr>
              <w:t>et al.</w:t>
            </w:r>
          </w:p>
        </w:tc>
        <w:tc>
          <w:tcPr>
            <w:tcW w:w="1119" w:type="dxa"/>
            <w:vAlign w:val="center"/>
          </w:tcPr>
          <w:p w14:paraId="10409135" w14:textId="77777777" w:rsidR="0057201B" w:rsidRPr="00AE3A84" w:rsidRDefault="0057201B">
            <w:pPr>
              <w:pStyle w:val="BodyText"/>
              <w:rPr>
                <w:lang w:val="es-ES"/>
              </w:rPr>
            </w:pPr>
            <w:r w:rsidRPr="00AE3A84">
              <w:rPr>
                <w:spacing w:val="-1"/>
              </w:rPr>
              <w:t>Chile</w:t>
            </w:r>
          </w:p>
        </w:tc>
        <w:tc>
          <w:tcPr>
            <w:tcW w:w="1141" w:type="dxa"/>
            <w:vAlign w:val="center"/>
          </w:tcPr>
          <w:p w14:paraId="180F5D0C" w14:textId="77777777" w:rsidR="0057201B" w:rsidRPr="00AE3A84" w:rsidRDefault="0057201B">
            <w:pPr>
              <w:pStyle w:val="BodyText"/>
              <w:jc w:val="center"/>
              <w:rPr>
                <w:spacing w:val="-1"/>
              </w:rPr>
            </w:pPr>
            <w:r w:rsidRPr="00B57CF3">
              <w:rPr>
                <w:spacing w:val="-1"/>
              </w:rPr>
              <w:t>180/22</w:t>
            </w:r>
          </w:p>
        </w:tc>
        <w:tc>
          <w:tcPr>
            <w:tcW w:w="1289" w:type="dxa"/>
            <w:vAlign w:val="center"/>
          </w:tcPr>
          <w:p w14:paraId="20715114" w14:textId="77777777" w:rsidR="0057201B" w:rsidRPr="00AE3A84" w:rsidRDefault="0057201B">
            <w:pPr>
              <w:pStyle w:val="BodyText"/>
              <w:rPr>
                <w:lang w:val="es-ES"/>
              </w:rPr>
            </w:pPr>
            <w:r w:rsidRPr="00AE3A84">
              <w:rPr>
                <w:spacing w:val="-1"/>
              </w:rPr>
              <w:t>7/25/2022</w:t>
            </w:r>
          </w:p>
        </w:tc>
        <w:tc>
          <w:tcPr>
            <w:tcW w:w="1329" w:type="dxa"/>
            <w:vAlign w:val="center"/>
          </w:tcPr>
          <w:p w14:paraId="36403D30" w14:textId="77777777" w:rsidR="0057201B" w:rsidRPr="00AE3A84" w:rsidRDefault="0057201B">
            <w:pPr>
              <w:pStyle w:val="BodyText"/>
              <w:rPr>
                <w:lang w:val="es-ES"/>
              </w:rPr>
            </w:pPr>
            <w:r w:rsidRPr="00AE3A84">
              <w:rPr>
                <w:spacing w:val="-1"/>
              </w:rPr>
              <w:t>31-09</w:t>
            </w:r>
          </w:p>
        </w:tc>
        <w:tc>
          <w:tcPr>
            <w:tcW w:w="1350" w:type="dxa"/>
            <w:vAlign w:val="center"/>
          </w:tcPr>
          <w:p w14:paraId="59783ADE" w14:textId="77777777" w:rsidR="0057201B" w:rsidRPr="00AE3A84" w:rsidRDefault="0057201B">
            <w:pPr>
              <w:pStyle w:val="BodyText"/>
              <w:rPr>
                <w:lang w:val="es-ES"/>
              </w:rPr>
            </w:pPr>
            <w:r w:rsidRPr="00AE3A84">
              <w:rPr>
                <w:spacing w:val="-1"/>
              </w:rPr>
              <w:t>15.024</w:t>
            </w:r>
          </w:p>
        </w:tc>
      </w:tr>
      <w:tr w:rsidR="0057201B" w:rsidRPr="00AE3A84" w14:paraId="4ECA0D55" w14:textId="77777777">
        <w:tc>
          <w:tcPr>
            <w:tcW w:w="534" w:type="dxa"/>
            <w:vAlign w:val="center"/>
          </w:tcPr>
          <w:p w14:paraId="1FFB6A00" w14:textId="77777777" w:rsidR="0057201B" w:rsidRPr="00AE3A84" w:rsidRDefault="0057201B" w:rsidP="00933F91">
            <w:pPr>
              <w:pStyle w:val="BodyText"/>
              <w:widowControl/>
              <w:numPr>
                <w:ilvl w:val="0"/>
                <w:numId w:val="57"/>
              </w:numPr>
              <w:rPr>
                <w:lang w:val="es-ES"/>
              </w:rPr>
            </w:pPr>
          </w:p>
        </w:tc>
        <w:tc>
          <w:tcPr>
            <w:tcW w:w="2953" w:type="dxa"/>
            <w:vAlign w:val="center"/>
          </w:tcPr>
          <w:p w14:paraId="0B1E4AE9" w14:textId="77777777" w:rsidR="0057201B" w:rsidRPr="00AE3A84" w:rsidRDefault="0057201B">
            <w:pPr>
              <w:pStyle w:val="BodyText"/>
              <w:rPr>
                <w:lang w:val="es-ES"/>
              </w:rPr>
            </w:pPr>
            <w:r w:rsidRPr="00AE3A84">
              <w:rPr>
                <w:spacing w:val="-1"/>
              </w:rPr>
              <w:t>Glenn</w:t>
            </w:r>
            <w:r w:rsidRPr="00AE3A84">
              <w:rPr>
                <w:spacing w:val="-8"/>
              </w:rPr>
              <w:t xml:space="preserve"> </w:t>
            </w:r>
            <w:r w:rsidRPr="00AE3A84">
              <w:rPr>
                <w:spacing w:val="-1"/>
              </w:rPr>
              <w:t>Spivey</w:t>
            </w:r>
          </w:p>
        </w:tc>
        <w:tc>
          <w:tcPr>
            <w:tcW w:w="1119" w:type="dxa"/>
            <w:vAlign w:val="center"/>
          </w:tcPr>
          <w:p w14:paraId="242C7602" w14:textId="77777777" w:rsidR="0057201B" w:rsidRPr="00AE3A84" w:rsidRDefault="0057201B">
            <w:pPr>
              <w:pStyle w:val="BodyText"/>
              <w:rPr>
                <w:lang w:val="es-ES"/>
              </w:rPr>
            </w:pPr>
            <w:r>
              <w:rPr>
                <w:spacing w:val="-1"/>
              </w:rPr>
              <w:t>United States</w:t>
            </w:r>
          </w:p>
        </w:tc>
        <w:tc>
          <w:tcPr>
            <w:tcW w:w="1141" w:type="dxa"/>
            <w:vAlign w:val="center"/>
          </w:tcPr>
          <w:p w14:paraId="58B7E864" w14:textId="77777777" w:rsidR="0057201B" w:rsidRPr="00AE3A84" w:rsidRDefault="0057201B">
            <w:pPr>
              <w:pStyle w:val="BodyText"/>
              <w:jc w:val="center"/>
              <w:rPr>
                <w:spacing w:val="-1"/>
              </w:rPr>
            </w:pPr>
            <w:r w:rsidRPr="00B57CF3">
              <w:rPr>
                <w:spacing w:val="-1"/>
              </w:rPr>
              <w:t>181/22</w:t>
            </w:r>
          </w:p>
        </w:tc>
        <w:tc>
          <w:tcPr>
            <w:tcW w:w="1289" w:type="dxa"/>
            <w:vAlign w:val="center"/>
          </w:tcPr>
          <w:p w14:paraId="225B30FA" w14:textId="77777777" w:rsidR="0057201B" w:rsidRPr="00AE3A84" w:rsidRDefault="0057201B">
            <w:pPr>
              <w:pStyle w:val="BodyText"/>
              <w:rPr>
                <w:lang w:val="es-ES"/>
              </w:rPr>
            </w:pPr>
            <w:r w:rsidRPr="00AE3A84">
              <w:rPr>
                <w:spacing w:val="-1"/>
              </w:rPr>
              <w:t>7/25/2022</w:t>
            </w:r>
          </w:p>
        </w:tc>
        <w:tc>
          <w:tcPr>
            <w:tcW w:w="1329" w:type="dxa"/>
            <w:vAlign w:val="center"/>
          </w:tcPr>
          <w:p w14:paraId="1F72A8D6" w14:textId="77777777" w:rsidR="0057201B" w:rsidRPr="00AE3A84" w:rsidRDefault="0057201B">
            <w:pPr>
              <w:pStyle w:val="BodyText"/>
              <w:rPr>
                <w:lang w:val="es-ES"/>
              </w:rPr>
            </w:pPr>
            <w:r w:rsidRPr="00AE3A84">
              <w:rPr>
                <w:spacing w:val="-1"/>
              </w:rPr>
              <w:t>397-18</w:t>
            </w:r>
          </w:p>
        </w:tc>
        <w:tc>
          <w:tcPr>
            <w:tcW w:w="1350" w:type="dxa"/>
            <w:vAlign w:val="center"/>
          </w:tcPr>
          <w:p w14:paraId="0CC3CE32" w14:textId="77777777" w:rsidR="0057201B" w:rsidRPr="00AE3A84" w:rsidRDefault="0057201B">
            <w:pPr>
              <w:pStyle w:val="BodyText"/>
              <w:rPr>
                <w:lang w:val="es-ES"/>
              </w:rPr>
            </w:pPr>
            <w:r w:rsidRPr="00AE3A84">
              <w:rPr>
                <w:spacing w:val="-1"/>
              </w:rPr>
              <w:t>15.025</w:t>
            </w:r>
          </w:p>
        </w:tc>
      </w:tr>
      <w:tr w:rsidR="0057201B" w:rsidRPr="00AE3A84" w14:paraId="31270B12" w14:textId="77777777">
        <w:tc>
          <w:tcPr>
            <w:tcW w:w="534" w:type="dxa"/>
            <w:vAlign w:val="center"/>
          </w:tcPr>
          <w:p w14:paraId="386E666C" w14:textId="77777777" w:rsidR="0057201B" w:rsidRPr="00AE3A84" w:rsidRDefault="0057201B" w:rsidP="00933F91">
            <w:pPr>
              <w:pStyle w:val="BodyText"/>
              <w:widowControl/>
              <w:numPr>
                <w:ilvl w:val="0"/>
                <w:numId w:val="57"/>
              </w:numPr>
              <w:rPr>
                <w:lang w:val="es-ES"/>
              </w:rPr>
            </w:pPr>
          </w:p>
        </w:tc>
        <w:tc>
          <w:tcPr>
            <w:tcW w:w="2953" w:type="dxa"/>
            <w:vAlign w:val="center"/>
          </w:tcPr>
          <w:p w14:paraId="7E5C1054" w14:textId="77777777" w:rsidR="0057201B" w:rsidRPr="00AE3A84" w:rsidRDefault="0057201B">
            <w:pPr>
              <w:pStyle w:val="BodyText"/>
              <w:rPr>
                <w:lang w:val="es-ES"/>
              </w:rPr>
            </w:pPr>
            <w:r w:rsidRPr="00AE3A84">
              <w:rPr>
                <w:spacing w:val="-1"/>
              </w:rPr>
              <w:t>G.S.M.E.S.C.</w:t>
            </w:r>
          </w:p>
        </w:tc>
        <w:tc>
          <w:tcPr>
            <w:tcW w:w="1119" w:type="dxa"/>
            <w:vAlign w:val="center"/>
          </w:tcPr>
          <w:p w14:paraId="2CEB5137"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5A9777A1" w14:textId="77777777" w:rsidR="0057201B" w:rsidRPr="00AE3A84" w:rsidRDefault="0057201B">
            <w:pPr>
              <w:pStyle w:val="BodyText"/>
              <w:jc w:val="center"/>
              <w:rPr>
                <w:spacing w:val="-1"/>
              </w:rPr>
            </w:pPr>
            <w:r w:rsidRPr="00B57CF3">
              <w:rPr>
                <w:spacing w:val="-1"/>
              </w:rPr>
              <w:t>187/22</w:t>
            </w:r>
          </w:p>
        </w:tc>
        <w:tc>
          <w:tcPr>
            <w:tcW w:w="1289" w:type="dxa"/>
            <w:vAlign w:val="center"/>
          </w:tcPr>
          <w:p w14:paraId="7FD554B8" w14:textId="77777777" w:rsidR="0057201B" w:rsidRPr="00AE3A84" w:rsidRDefault="0057201B">
            <w:pPr>
              <w:pStyle w:val="BodyText"/>
              <w:rPr>
                <w:lang w:val="es-ES"/>
              </w:rPr>
            </w:pPr>
            <w:r w:rsidRPr="00AE3A84">
              <w:rPr>
                <w:spacing w:val="-1"/>
              </w:rPr>
              <w:t>6/14/2022</w:t>
            </w:r>
          </w:p>
        </w:tc>
        <w:tc>
          <w:tcPr>
            <w:tcW w:w="1329" w:type="dxa"/>
            <w:vAlign w:val="center"/>
          </w:tcPr>
          <w:p w14:paraId="36201300" w14:textId="77777777" w:rsidR="0057201B" w:rsidRPr="00AE3A84" w:rsidRDefault="0057201B">
            <w:pPr>
              <w:pStyle w:val="BodyText"/>
              <w:rPr>
                <w:lang w:val="es-ES"/>
              </w:rPr>
            </w:pPr>
            <w:r w:rsidRPr="00AE3A84">
              <w:rPr>
                <w:spacing w:val="-1"/>
              </w:rPr>
              <w:t>1038-17</w:t>
            </w:r>
          </w:p>
        </w:tc>
        <w:tc>
          <w:tcPr>
            <w:tcW w:w="1350" w:type="dxa"/>
            <w:vAlign w:val="center"/>
          </w:tcPr>
          <w:p w14:paraId="0785C018" w14:textId="77777777" w:rsidR="0057201B" w:rsidRPr="00AE3A84" w:rsidRDefault="0057201B">
            <w:pPr>
              <w:pStyle w:val="BodyText"/>
              <w:rPr>
                <w:lang w:val="es-ES"/>
              </w:rPr>
            </w:pPr>
            <w:r w:rsidRPr="00AE3A84">
              <w:rPr>
                <w:spacing w:val="-1"/>
              </w:rPr>
              <w:t>15.056</w:t>
            </w:r>
          </w:p>
        </w:tc>
      </w:tr>
      <w:tr w:rsidR="0057201B" w:rsidRPr="00AE3A84" w14:paraId="0FE9722D" w14:textId="77777777">
        <w:tc>
          <w:tcPr>
            <w:tcW w:w="534" w:type="dxa"/>
            <w:vAlign w:val="center"/>
          </w:tcPr>
          <w:p w14:paraId="41E08DC7" w14:textId="77777777" w:rsidR="0057201B" w:rsidRPr="00AE3A84" w:rsidRDefault="0057201B" w:rsidP="00933F91">
            <w:pPr>
              <w:pStyle w:val="BodyText"/>
              <w:widowControl/>
              <w:numPr>
                <w:ilvl w:val="0"/>
                <w:numId w:val="57"/>
              </w:numPr>
              <w:rPr>
                <w:lang w:val="es-ES"/>
              </w:rPr>
            </w:pPr>
          </w:p>
        </w:tc>
        <w:tc>
          <w:tcPr>
            <w:tcW w:w="2953" w:type="dxa"/>
            <w:vAlign w:val="center"/>
          </w:tcPr>
          <w:p w14:paraId="5EABD5C5" w14:textId="77777777" w:rsidR="0057201B" w:rsidRPr="00137ACB" w:rsidRDefault="0057201B">
            <w:pPr>
              <w:pStyle w:val="BodyText"/>
              <w:rPr>
                <w:lang w:val="es-ES"/>
              </w:rPr>
            </w:pPr>
            <w:r w:rsidRPr="00137ACB">
              <w:rPr>
                <w:spacing w:val="-1"/>
                <w:lang w:val="es-ES"/>
              </w:rPr>
              <w:t>Hadi</w:t>
            </w:r>
            <w:r w:rsidRPr="00137ACB">
              <w:rPr>
                <w:spacing w:val="-5"/>
                <w:lang w:val="es-ES"/>
              </w:rPr>
              <w:t xml:space="preserve"> </w:t>
            </w:r>
            <w:r w:rsidRPr="00137ACB">
              <w:rPr>
                <w:spacing w:val="-1"/>
                <w:lang w:val="es-ES"/>
              </w:rPr>
              <w:t>Afshar</w:t>
            </w:r>
            <w:r w:rsidRPr="00137ACB">
              <w:rPr>
                <w:spacing w:val="-6"/>
                <w:lang w:val="es-ES"/>
              </w:rPr>
              <w:t xml:space="preserve"> </w:t>
            </w:r>
            <w:r w:rsidRPr="00137ACB">
              <w:rPr>
                <w:spacing w:val="-1"/>
                <w:lang w:val="es-ES"/>
              </w:rPr>
              <w:t>Savojbolaghi</w:t>
            </w:r>
            <w:r w:rsidRPr="00137ACB">
              <w:rPr>
                <w:spacing w:val="-4"/>
                <w:lang w:val="es-ES"/>
              </w:rPr>
              <w:t xml:space="preserve"> </w:t>
            </w:r>
            <w:r w:rsidRPr="00137ACB">
              <w:rPr>
                <w:spacing w:val="-1"/>
                <w:lang w:val="es-ES"/>
              </w:rPr>
              <w:t>(aka</w:t>
            </w:r>
            <w:r w:rsidRPr="00137ACB">
              <w:rPr>
                <w:spacing w:val="-7"/>
                <w:lang w:val="es-ES"/>
              </w:rPr>
              <w:t xml:space="preserve"> </w:t>
            </w:r>
            <w:r w:rsidRPr="00137ACB">
              <w:rPr>
                <w:spacing w:val="-1"/>
                <w:lang w:val="es-ES"/>
              </w:rPr>
              <w:t>Saeid</w:t>
            </w:r>
            <w:r w:rsidRPr="00137ACB">
              <w:rPr>
                <w:spacing w:val="-5"/>
                <w:lang w:val="es-ES"/>
              </w:rPr>
              <w:t xml:space="preserve"> </w:t>
            </w:r>
            <w:r w:rsidRPr="00137ACB">
              <w:rPr>
                <w:spacing w:val="-1"/>
                <w:lang w:val="es-ES"/>
              </w:rPr>
              <w:t>Jamali)</w:t>
            </w:r>
          </w:p>
        </w:tc>
        <w:tc>
          <w:tcPr>
            <w:tcW w:w="1119" w:type="dxa"/>
            <w:vAlign w:val="center"/>
          </w:tcPr>
          <w:p w14:paraId="0134D58A" w14:textId="77777777" w:rsidR="0057201B" w:rsidRPr="00AE3A84" w:rsidRDefault="0057201B">
            <w:pPr>
              <w:pStyle w:val="BodyText"/>
              <w:rPr>
                <w:lang w:val="es-ES"/>
              </w:rPr>
            </w:pPr>
            <w:r>
              <w:rPr>
                <w:spacing w:val="-1"/>
              </w:rPr>
              <w:t>United States</w:t>
            </w:r>
          </w:p>
        </w:tc>
        <w:tc>
          <w:tcPr>
            <w:tcW w:w="1141" w:type="dxa"/>
            <w:vAlign w:val="center"/>
          </w:tcPr>
          <w:p w14:paraId="62F0C2FB" w14:textId="77777777" w:rsidR="0057201B" w:rsidRPr="00AE3A84" w:rsidRDefault="0057201B">
            <w:pPr>
              <w:pStyle w:val="BodyText"/>
              <w:jc w:val="center"/>
              <w:rPr>
                <w:spacing w:val="-1"/>
              </w:rPr>
            </w:pPr>
            <w:r w:rsidRPr="00B57CF3">
              <w:rPr>
                <w:spacing w:val="-1"/>
              </w:rPr>
              <w:t>188/22</w:t>
            </w:r>
          </w:p>
        </w:tc>
        <w:tc>
          <w:tcPr>
            <w:tcW w:w="1289" w:type="dxa"/>
            <w:vAlign w:val="center"/>
          </w:tcPr>
          <w:p w14:paraId="49750BB3" w14:textId="77777777" w:rsidR="0057201B" w:rsidRPr="00AE3A84" w:rsidRDefault="0057201B">
            <w:pPr>
              <w:pStyle w:val="BodyText"/>
              <w:rPr>
                <w:lang w:val="es-ES"/>
              </w:rPr>
            </w:pPr>
            <w:r w:rsidRPr="00AE3A84">
              <w:rPr>
                <w:spacing w:val="-1"/>
              </w:rPr>
              <w:t>8/3/2022</w:t>
            </w:r>
          </w:p>
        </w:tc>
        <w:tc>
          <w:tcPr>
            <w:tcW w:w="1329" w:type="dxa"/>
            <w:vAlign w:val="center"/>
          </w:tcPr>
          <w:p w14:paraId="2A4EA247" w14:textId="77777777" w:rsidR="0057201B" w:rsidRPr="00AE3A84" w:rsidRDefault="0057201B">
            <w:pPr>
              <w:pStyle w:val="BodyText"/>
              <w:rPr>
                <w:lang w:val="es-ES"/>
              </w:rPr>
            </w:pPr>
            <w:r w:rsidRPr="00AE3A84">
              <w:rPr>
                <w:spacing w:val="-1"/>
              </w:rPr>
              <w:t>1407-13</w:t>
            </w:r>
          </w:p>
        </w:tc>
        <w:tc>
          <w:tcPr>
            <w:tcW w:w="1350" w:type="dxa"/>
            <w:vAlign w:val="center"/>
          </w:tcPr>
          <w:p w14:paraId="25B445E0" w14:textId="77777777" w:rsidR="0057201B" w:rsidRPr="00AE3A84" w:rsidRDefault="0057201B">
            <w:pPr>
              <w:pStyle w:val="BodyText"/>
              <w:rPr>
                <w:lang w:val="es-ES"/>
              </w:rPr>
            </w:pPr>
            <w:r w:rsidRPr="00AE3A84">
              <w:rPr>
                <w:spacing w:val="-1"/>
              </w:rPr>
              <w:t>15.057</w:t>
            </w:r>
          </w:p>
        </w:tc>
      </w:tr>
      <w:tr w:rsidR="0057201B" w:rsidRPr="00AE3A84" w14:paraId="082F021C" w14:textId="77777777">
        <w:tc>
          <w:tcPr>
            <w:tcW w:w="534" w:type="dxa"/>
            <w:vAlign w:val="center"/>
          </w:tcPr>
          <w:p w14:paraId="09CDECFC" w14:textId="77777777" w:rsidR="0057201B" w:rsidRPr="00AE3A84" w:rsidRDefault="0057201B" w:rsidP="00933F91">
            <w:pPr>
              <w:pStyle w:val="BodyText"/>
              <w:widowControl/>
              <w:numPr>
                <w:ilvl w:val="0"/>
                <w:numId w:val="57"/>
              </w:numPr>
              <w:rPr>
                <w:lang w:val="es-ES"/>
              </w:rPr>
            </w:pPr>
          </w:p>
        </w:tc>
        <w:tc>
          <w:tcPr>
            <w:tcW w:w="2953" w:type="dxa"/>
            <w:vAlign w:val="center"/>
          </w:tcPr>
          <w:p w14:paraId="3C0941B6" w14:textId="77777777" w:rsidR="0057201B" w:rsidRPr="00AE3A84" w:rsidRDefault="0057201B">
            <w:pPr>
              <w:pStyle w:val="BodyText"/>
              <w:rPr>
                <w:lang w:val="es-ES"/>
              </w:rPr>
            </w:pPr>
            <w:r w:rsidRPr="00AE3A84">
              <w:rPr>
                <w:spacing w:val="-1"/>
                <w:lang w:val="es-AR"/>
              </w:rPr>
              <w:t>Jesús</w:t>
            </w:r>
            <w:r w:rsidRPr="00AE3A84">
              <w:rPr>
                <w:spacing w:val="-6"/>
                <w:lang w:val="es-AR"/>
              </w:rPr>
              <w:t xml:space="preserve"> </w:t>
            </w:r>
            <w:r w:rsidRPr="00AE3A84">
              <w:rPr>
                <w:spacing w:val="-1"/>
                <w:lang w:val="es-AR"/>
              </w:rPr>
              <w:t>Nazareno</w:t>
            </w:r>
            <w:r w:rsidRPr="00AE3A84">
              <w:rPr>
                <w:spacing w:val="-6"/>
                <w:lang w:val="es-AR"/>
              </w:rPr>
              <w:t xml:space="preserve"> </w:t>
            </w:r>
            <w:r w:rsidRPr="00AE3A84">
              <w:rPr>
                <w:lang w:val="es-AR"/>
              </w:rPr>
              <w:t>Rivera</w:t>
            </w:r>
            <w:r w:rsidRPr="00AE3A84">
              <w:rPr>
                <w:spacing w:val="-6"/>
                <w:lang w:val="es-AR"/>
              </w:rPr>
              <w:t xml:space="preserve"> </w:t>
            </w:r>
            <w:r w:rsidRPr="00AE3A84">
              <w:rPr>
                <w:spacing w:val="-1"/>
                <w:lang w:val="es-AR"/>
              </w:rPr>
              <w:t>García</w:t>
            </w:r>
            <w:r w:rsidRPr="00AE3A84">
              <w:rPr>
                <w:spacing w:val="-5"/>
                <w:lang w:val="es-AR"/>
              </w:rPr>
              <w:t xml:space="preserve"> </w:t>
            </w:r>
            <w:r>
              <w:rPr>
                <w:spacing w:val="-5"/>
                <w:lang w:val="es-AR"/>
              </w:rPr>
              <w:t>e</w:t>
            </w:r>
            <w:r>
              <w:rPr>
                <w:lang w:val="es-AR"/>
              </w:rPr>
              <w:t>t al.</w:t>
            </w:r>
          </w:p>
        </w:tc>
        <w:tc>
          <w:tcPr>
            <w:tcW w:w="1119" w:type="dxa"/>
            <w:vAlign w:val="center"/>
          </w:tcPr>
          <w:p w14:paraId="4A2AA581" w14:textId="77777777" w:rsidR="0057201B" w:rsidRPr="00AE3A84" w:rsidRDefault="0057201B">
            <w:pPr>
              <w:pStyle w:val="BodyText"/>
              <w:rPr>
                <w:lang w:val="es-ES"/>
              </w:rPr>
            </w:pPr>
            <w:r w:rsidRPr="00AE3A84">
              <w:rPr>
                <w:spacing w:val="-1"/>
              </w:rPr>
              <w:t>Colombia</w:t>
            </w:r>
          </w:p>
        </w:tc>
        <w:tc>
          <w:tcPr>
            <w:tcW w:w="1141" w:type="dxa"/>
            <w:vAlign w:val="center"/>
          </w:tcPr>
          <w:p w14:paraId="611C1D27" w14:textId="77777777" w:rsidR="0057201B" w:rsidRPr="00AE3A84" w:rsidRDefault="0057201B">
            <w:pPr>
              <w:pStyle w:val="BodyText"/>
              <w:jc w:val="center"/>
              <w:rPr>
                <w:spacing w:val="-1"/>
              </w:rPr>
            </w:pPr>
            <w:r w:rsidRPr="00B57CF3">
              <w:rPr>
                <w:spacing w:val="-1"/>
              </w:rPr>
              <w:t>190/22</w:t>
            </w:r>
          </w:p>
        </w:tc>
        <w:tc>
          <w:tcPr>
            <w:tcW w:w="1289" w:type="dxa"/>
            <w:vAlign w:val="center"/>
          </w:tcPr>
          <w:p w14:paraId="0E975276" w14:textId="77777777" w:rsidR="0057201B" w:rsidRPr="00AE3A84" w:rsidRDefault="0057201B">
            <w:pPr>
              <w:pStyle w:val="BodyText"/>
              <w:rPr>
                <w:lang w:val="es-ES"/>
              </w:rPr>
            </w:pPr>
            <w:r w:rsidRPr="00AE3A84">
              <w:rPr>
                <w:spacing w:val="-1"/>
              </w:rPr>
              <w:t>8/3/2022</w:t>
            </w:r>
          </w:p>
        </w:tc>
        <w:tc>
          <w:tcPr>
            <w:tcW w:w="1329" w:type="dxa"/>
            <w:vAlign w:val="center"/>
          </w:tcPr>
          <w:p w14:paraId="5E4344EB" w14:textId="77777777" w:rsidR="0057201B" w:rsidRPr="00AE3A84" w:rsidRDefault="0057201B">
            <w:pPr>
              <w:pStyle w:val="BodyText"/>
              <w:rPr>
                <w:lang w:val="es-ES"/>
              </w:rPr>
            </w:pPr>
            <w:r w:rsidRPr="00AE3A84">
              <w:rPr>
                <w:spacing w:val="-1"/>
              </w:rPr>
              <w:t>538-15</w:t>
            </w:r>
          </w:p>
        </w:tc>
        <w:tc>
          <w:tcPr>
            <w:tcW w:w="1350" w:type="dxa"/>
            <w:vAlign w:val="center"/>
          </w:tcPr>
          <w:p w14:paraId="55B7D339" w14:textId="77777777" w:rsidR="0057201B" w:rsidRPr="00AE3A84" w:rsidRDefault="0057201B">
            <w:pPr>
              <w:pStyle w:val="BodyText"/>
              <w:rPr>
                <w:lang w:val="es-ES"/>
              </w:rPr>
            </w:pPr>
            <w:r w:rsidRPr="00AE3A84">
              <w:rPr>
                <w:spacing w:val="-1"/>
              </w:rPr>
              <w:t>15.058</w:t>
            </w:r>
          </w:p>
        </w:tc>
      </w:tr>
      <w:tr w:rsidR="0057201B" w:rsidRPr="00AE3A84" w14:paraId="3F520CF2" w14:textId="77777777">
        <w:tc>
          <w:tcPr>
            <w:tcW w:w="534" w:type="dxa"/>
            <w:vAlign w:val="center"/>
          </w:tcPr>
          <w:p w14:paraId="0E709BD4" w14:textId="77777777" w:rsidR="0057201B" w:rsidRPr="00AE3A84" w:rsidRDefault="0057201B" w:rsidP="00933F91">
            <w:pPr>
              <w:pStyle w:val="BodyText"/>
              <w:widowControl/>
              <w:numPr>
                <w:ilvl w:val="0"/>
                <w:numId w:val="57"/>
              </w:numPr>
              <w:rPr>
                <w:lang w:val="es-ES"/>
              </w:rPr>
            </w:pPr>
          </w:p>
        </w:tc>
        <w:tc>
          <w:tcPr>
            <w:tcW w:w="2953" w:type="dxa"/>
            <w:vAlign w:val="center"/>
          </w:tcPr>
          <w:p w14:paraId="1116DB93" w14:textId="77777777" w:rsidR="0057201B" w:rsidRPr="00AE3A84" w:rsidRDefault="0057201B">
            <w:pPr>
              <w:pStyle w:val="BodyText"/>
              <w:rPr>
                <w:lang w:val="es-ES"/>
              </w:rPr>
            </w:pPr>
            <w:r>
              <w:rPr>
                <w:spacing w:val="-1"/>
                <w:lang w:val="es-AR"/>
              </w:rPr>
              <w:t>Former Employees of the</w:t>
            </w:r>
            <w:r w:rsidRPr="00AE3A84">
              <w:rPr>
                <w:spacing w:val="-7"/>
                <w:lang w:val="es-AR"/>
              </w:rPr>
              <w:t xml:space="preserve"> </w:t>
            </w:r>
            <w:r w:rsidRPr="00AE3A84">
              <w:rPr>
                <w:spacing w:val="-1"/>
                <w:lang w:val="es-AR"/>
              </w:rPr>
              <w:t>Banco</w:t>
            </w:r>
            <w:r w:rsidRPr="00AE3A84">
              <w:rPr>
                <w:spacing w:val="-7"/>
                <w:lang w:val="es-AR"/>
              </w:rPr>
              <w:t xml:space="preserve"> </w:t>
            </w:r>
            <w:r w:rsidRPr="00AE3A84">
              <w:rPr>
                <w:spacing w:val="-1"/>
                <w:lang w:val="es-AR"/>
              </w:rPr>
              <w:t>Hipotecario</w:t>
            </w:r>
            <w:r w:rsidRPr="00AE3A84">
              <w:rPr>
                <w:spacing w:val="-7"/>
                <w:lang w:val="es-AR"/>
              </w:rPr>
              <w:t xml:space="preserve"> </w:t>
            </w:r>
            <w:r w:rsidRPr="00AE3A84">
              <w:rPr>
                <w:spacing w:val="-1"/>
                <w:lang w:val="es-AR"/>
              </w:rPr>
              <w:t>Nacional</w:t>
            </w:r>
          </w:p>
        </w:tc>
        <w:tc>
          <w:tcPr>
            <w:tcW w:w="1119" w:type="dxa"/>
            <w:vAlign w:val="center"/>
          </w:tcPr>
          <w:p w14:paraId="34F25BC9" w14:textId="77777777" w:rsidR="0057201B" w:rsidRPr="00AE3A84" w:rsidRDefault="0057201B">
            <w:pPr>
              <w:pStyle w:val="BodyText"/>
              <w:rPr>
                <w:lang w:val="es-ES"/>
              </w:rPr>
            </w:pPr>
            <w:r w:rsidRPr="00AE3A84">
              <w:rPr>
                <w:spacing w:val="-1"/>
              </w:rPr>
              <w:t>Argentina</w:t>
            </w:r>
          </w:p>
        </w:tc>
        <w:tc>
          <w:tcPr>
            <w:tcW w:w="1141" w:type="dxa"/>
            <w:vAlign w:val="center"/>
          </w:tcPr>
          <w:p w14:paraId="50B80F80" w14:textId="77777777" w:rsidR="0057201B" w:rsidRPr="00AE3A84" w:rsidRDefault="0057201B">
            <w:pPr>
              <w:pStyle w:val="BodyText"/>
              <w:jc w:val="center"/>
              <w:rPr>
                <w:spacing w:val="-1"/>
              </w:rPr>
            </w:pPr>
            <w:r w:rsidRPr="00B57CF3">
              <w:rPr>
                <w:spacing w:val="-1"/>
              </w:rPr>
              <w:t>191/22</w:t>
            </w:r>
          </w:p>
        </w:tc>
        <w:tc>
          <w:tcPr>
            <w:tcW w:w="1289" w:type="dxa"/>
            <w:vAlign w:val="center"/>
          </w:tcPr>
          <w:p w14:paraId="40378767" w14:textId="77777777" w:rsidR="0057201B" w:rsidRPr="00AE3A84" w:rsidRDefault="0057201B">
            <w:pPr>
              <w:pStyle w:val="BodyText"/>
              <w:rPr>
                <w:lang w:val="es-ES"/>
              </w:rPr>
            </w:pPr>
            <w:r w:rsidRPr="00AE3A84">
              <w:rPr>
                <w:spacing w:val="-1"/>
              </w:rPr>
              <w:t>8/3/2022</w:t>
            </w:r>
          </w:p>
        </w:tc>
        <w:tc>
          <w:tcPr>
            <w:tcW w:w="1329" w:type="dxa"/>
            <w:vAlign w:val="center"/>
          </w:tcPr>
          <w:p w14:paraId="2D525575" w14:textId="77777777" w:rsidR="0057201B" w:rsidRPr="00AE3A84" w:rsidRDefault="0057201B">
            <w:pPr>
              <w:pStyle w:val="BodyText"/>
              <w:rPr>
                <w:lang w:val="es-ES"/>
              </w:rPr>
            </w:pPr>
            <w:r w:rsidRPr="00AE3A84">
              <w:rPr>
                <w:spacing w:val="-1"/>
              </w:rPr>
              <w:t>1303-09</w:t>
            </w:r>
          </w:p>
        </w:tc>
        <w:tc>
          <w:tcPr>
            <w:tcW w:w="1350" w:type="dxa"/>
            <w:vAlign w:val="center"/>
          </w:tcPr>
          <w:p w14:paraId="4AA53794" w14:textId="77777777" w:rsidR="0057201B" w:rsidRPr="00AE3A84" w:rsidRDefault="0057201B">
            <w:pPr>
              <w:pStyle w:val="BodyText"/>
              <w:rPr>
                <w:lang w:val="es-ES"/>
              </w:rPr>
            </w:pPr>
            <w:r w:rsidRPr="00AE3A84">
              <w:rPr>
                <w:spacing w:val="-1"/>
              </w:rPr>
              <w:t>15.059</w:t>
            </w:r>
          </w:p>
        </w:tc>
      </w:tr>
      <w:tr w:rsidR="0057201B" w:rsidRPr="00AE3A84" w14:paraId="41C81001" w14:textId="77777777">
        <w:tc>
          <w:tcPr>
            <w:tcW w:w="534" w:type="dxa"/>
            <w:vAlign w:val="center"/>
          </w:tcPr>
          <w:p w14:paraId="49C77422" w14:textId="77777777" w:rsidR="0057201B" w:rsidRPr="00AE3A84" w:rsidRDefault="0057201B" w:rsidP="00933F91">
            <w:pPr>
              <w:pStyle w:val="BodyText"/>
              <w:widowControl/>
              <w:numPr>
                <w:ilvl w:val="0"/>
                <w:numId w:val="57"/>
              </w:numPr>
              <w:rPr>
                <w:lang w:val="es-ES"/>
              </w:rPr>
            </w:pPr>
          </w:p>
        </w:tc>
        <w:tc>
          <w:tcPr>
            <w:tcW w:w="2953" w:type="dxa"/>
            <w:vAlign w:val="center"/>
          </w:tcPr>
          <w:p w14:paraId="03BF1C7D" w14:textId="77777777" w:rsidR="0057201B" w:rsidRPr="00AE3A84" w:rsidRDefault="0057201B">
            <w:pPr>
              <w:pStyle w:val="BodyText"/>
              <w:rPr>
                <w:lang w:val="es-ES"/>
              </w:rPr>
            </w:pPr>
            <w:r w:rsidRPr="00AE3A84">
              <w:rPr>
                <w:spacing w:val="-1"/>
                <w:lang w:val="es-AR"/>
              </w:rPr>
              <w:t>María</w:t>
            </w:r>
            <w:r w:rsidRPr="00AE3A84">
              <w:rPr>
                <w:spacing w:val="-7"/>
                <w:lang w:val="es-AR"/>
              </w:rPr>
              <w:t xml:space="preserve"> </w:t>
            </w:r>
            <w:r w:rsidRPr="00AE3A84">
              <w:rPr>
                <w:spacing w:val="-1"/>
                <w:lang w:val="es-AR"/>
              </w:rPr>
              <w:t>Cristina</w:t>
            </w:r>
            <w:r w:rsidRPr="00AE3A84">
              <w:rPr>
                <w:spacing w:val="-7"/>
                <w:lang w:val="es-AR"/>
              </w:rPr>
              <w:t xml:space="preserve"> </w:t>
            </w:r>
            <w:r w:rsidRPr="00AE3A84">
              <w:rPr>
                <w:spacing w:val="-1"/>
                <w:lang w:val="es-AR"/>
              </w:rPr>
              <w:t>del</w:t>
            </w:r>
            <w:r w:rsidRPr="00AE3A84">
              <w:rPr>
                <w:spacing w:val="-5"/>
                <w:lang w:val="es-AR"/>
              </w:rPr>
              <w:t xml:space="preserve"> </w:t>
            </w:r>
            <w:r w:rsidRPr="00AE3A84">
              <w:rPr>
                <w:spacing w:val="-1"/>
                <w:lang w:val="es-AR"/>
              </w:rPr>
              <w:t>Rosario</w:t>
            </w:r>
            <w:r w:rsidRPr="00AE3A84">
              <w:rPr>
                <w:spacing w:val="-6"/>
                <w:lang w:val="es-AR"/>
              </w:rPr>
              <w:t xml:space="preserve"> </w:t>
            </w:r>
            <w:r w:rsidRPr="00AE3A84">
              <w:rPr>
                <w:spacing w:val="-1"/>
                <w:lang w:val="es-AR"/>
              </w:rPr>
              <w:t>Canedo</w:t>
            </w:r>
            <w:r w:rsidRPr="00AE3A84">
              <w:rPr>
                <w:spacing w:val="-7"/>
                <w:lang w:val="es-AR"/>
              </w:rPr>
              <w:t xml:space="preserve"> </w:t>
            </w:r>
            <w:r w:rsidRPr="00AE3A84">
              <w:rPr>
                <w:spacing w:val="-1"/>
                <w:lang w:val="es-AR"/>
              </w:rPr>
              <w:t>Justiniano</w:t>
            </w:r>
          </w:p>
        </w:tc>
        <w:tc>
          <w:tcPr>
            <w:tcW w:w="1119" w:type="dxa"/>
            <w:vAlign w:val="center"/>
          </w:tcPr>
          <w:p w14:paraId="55B49C9C" w14:textId="77777777" w:rsidR="0057201B" w:rsidRPr="00AE3A84" w:rsidRDefault="0057201B">
            <w:pPr>
              <w:pStyle w:val="BodyText"/>
              <w:rPr>
                <w:lang w:val="es-ES"/>
              </w:rPr>
            </w:pPr>
            <w:r w:rsidRPr="00AE3A84">
              <w:rPr>
                <w:spacing w:val="-1"/>
              </w:rPr>
              <w:t>Bolivia</w:t>
            </w:r>
          </w:p>
        </w:tc>
        <w:tc>
          <w:tcPr>
            <w:tcW w:w="1141" w:type="dxa"/>
            <w:vAlign w:val="center"/>
          </w:tcPr>
          <w:p w14:paraId="0CE8E52A" w14:textId="77777777" w:rsidR="0057201B" w:rsidRPr="00AE3A84" w:rsidRDefault="0057201B">
            <w:pPr>
              <w:pStyle w:val="BodyText"/>
              <w:jc w:val="center"/>
              <w:rPr>
                <w:spacing w:val="-1"/>
              </w:rPr>
            </w:pPr>
            <w:r w:rsidRPr="00B57CF3">
              <w:rPr>
                <w:spacing w:val="-1"/>
              </w:rPr>
              <w:t>192/22</w:t>
            </w:r>
          </w:p>
        </w:tc>
        <w:tc>
          <w:tcPr>
            <w:tcW w:w="1289" w:type="dxa"/>
            <w:vAlign w:val="center"/>
          </w:tcPr>
          <w:p w14:paraId="5DAC4397" w14:textId="77777777" w:rsidR="0057201B" w:rsidRPr="00AE3A84" w:rsidRDefault="0057201B">
            <w:pPr>
              <w:pStyle w:val="BodyText"/>
              <w:rPr>
                <w:lang w:val="es-ES"/>
              </w:rPr>
            </w:pPr>
            <w:r w:rsidRPr="00AE3A84">
              <w:rPr>
                <w:spacing w:val="-1"/>
              </w:rPr>
              <w:t>8/3/2022</w:t>
            </w:r>
          </w:p>
        </w:tc>
        <w:tc>
          <w:tcPr>
            <w:tcW w:w="1329" w:type="dxa"/>
            <w:vAlign w:val="center"/>
          </w:tcPr>
          <w:p w14:paraId="34A9CEB3" w14:textId="77777777" w:rsidR="0057201B" w:rsidRPr="00AE3A84" w:rsidRDefault="0057201B">
            <w:pPr>
              <w:pStyle w:val="BodyText"/>
              <w:rPr>
                <w:lang w:val="es-ES"/>
              </w:rPr>
            </w:pPr>
            <w:r w:rsidRPr="00AE3A84">
              <w:rPr>
                <w:spacing w:val="-1"/>
              </w:rPr>
              <w:t>137-08</w:t>
            </w:r>
          </w:p>
        </w:tc>
        <w:tc>
          <w:tcPr>
            <w:tcW w:w="1350" w:type="dxa"/>
            <w:vAlign w:val="center"/>
          </w:tcPr>
          <w:p w14:paraId="716B7082" w14:textId="1CDF9269" w:rsidR="0057201B" w:rsidRPr="00AE3A84" w:rsidRDefault="0057201B">
            <w:pPr>
              <w:pStyle w:val="BodyText"/>
              <w:rPr>
                <w:lang w:val="es-ES"/>
              </w:rPr>
            </w:pPr>
            <w:r w:rsidRPr="00AE3A84">
              <w:rPr>
                <w:spacing w:val="-1"/>
              </w:rPr>
              <w:t>15.06</w:t>
            </w:r>
            <w:r w:rsidR="00A37DB1">
              <w:rPr>
                <w:spacing w:val="-1"/>
              </w:rPr>
              <w:t>0</w:t>
            </w:r>
          </w:p>
        </w:tc>
      </w:tr>
      <w:tr w:rsidR="0057201B" w:rsidRPr="00AE3A84" w14:paraId="13100786" w14:textId="77777777">
        <w:tc>
          <w:tcPr>
            <w:tcW w:w="534" w:type="dxa"/>
            <w:vAlign w:val="center"/>
          </w:tcPr>
          <w:p w14:paraId="331ADC0B" w14:textId="77777777" w:rsidR="0057201B" w:rsidRPr="00AE3A84" w:rsidRDefault="0057201B" w:rsidP="00933F91">
            <w:pPr>
              <w:pStyle w:val="BodyText"/>
              <w:widowControl/>
              <w:numPr>
                <w:ilvl w:val="0"/>
                <w:numId w:val="57"/>
              </w:numPr>
              <w:rPr>
                <w:lang w:val="es-ES"/>
              </w:rPr>
            </w:pPr>
          </w:p>
        </w:tc>
        <w:tc>
          <w:tcPr>
            <w:tcW w:w="2953" w:type="dxa"/>
            <w:vAlign w:val="center"/>
          </w:tcPr>
          <w:p w14:paraId="28785821" w14:textId="77777777" w:rsidR="0057201B" w:rsidRPr="00AE3A84" w:rsidRDefault="0057201B">
            <w:pPr>
              <w:pStyle w:val="BodyText"/>
              <w:rPr>
                <w:lang w:val="es-ES"/>
              </w:rPr>
            </w:pPr>
            <w:r w:rsidRPr="00AE3A84">
              <w:rPr>
                <w:spacing w:val="-1"/>
              </w:rPr>
              <w:t>Darrell</w:t>
            </w:r>
            <w:r w:rsidRPr="00AE3A84">
              <w:rPr>
                <w:spacing w:val="-8"/>
              </w:rPr>
              <w:t xml:space="preserve"> </w:t>
            </w:r>
            <w:r w:rsidRPr="00AE3A84">
              <w:rPr>
                <w:spacing w:val="-1"/>
              </w:rPr>
              <w:t>Farley</w:t>
            </w:r>
          </w:p>
        </w:tc>
        <w:tc>
          <w:tcPr>
            <w:tcW w:w="1119" w:type="dxa"/>
            <w:vAlign w:val="center"/>
          </w:tcPr>
          <w:p w14:paraId="2BD9C46E" w14:textId="77777777" w:rsidR="0057201B" w:rsidRPr="00AE3A84" w:rsidRDefault="0057201B">
            <w:pPr>
              <w:pStyle w:val="BodyText"/>
              <w:rPr>
                <w:lang w:val="es-ES"/>
              </w:rPr>
            </w:pPr>
            <w:r>
              <w:rPr>
                <w:spacing w:val="-1"/>
              </w:rPr>
              <w:t>United States</w:t>
            </w:r>
          </w:p>
        </w:tc>
        <w:tc>
          <w:tcPr>
            <w:tcW w:w="1141" w:type="dxa"/>
            <w:vAlign w:val="center"/>
          </w:tcPr>
          <w:p w14:paraId="5C516CA7" w14:textId="77777777" w:rsidR="0057201B" w:rsidRPr="00AE3A84" w:rsidRDefault="0057201B">
            <w:pPr>
              <w:pStyle w:val="BodyText"/>
              <w:jc w:val="center"/>
              <w:rPr>
                <w:spacing w:val="-1"/>
              </w:rPr>
            </w:pPr>
            <w:r w:rsidRPr="00B57CF3">
              <w:rPr>
                <w:spacing w:val="-1"/>
              </w:rPr>
              <w:t>194/22</w:t>
            </w:r>
          </w:p>
        </w:tc>
        <w:tc>
          <w:tcPr>
            <w:tcW w:w="1289" w:type="dxa"/>
            <w:vAlign w:val="center"/>
          </w:tcPr>
          <w:p w14:paraId="3AC22174" w14:textId="77777777" w:rsidR="0057201B" w:rsidRPr="00AE3A84" w:rsidRDefault="0057201B">
            <w:pPr>
              <w:pStyle w:val="BodyText"/>
              <w:rPr>
                <w:lang w:val="es-ES"/>
              </w:rPr>
            </w:pPr>
            <w:r w:rsidRPr="00AE3A84">
              <w:rPr>
                <w:spacing w:val="-1"/>
              </w:rPr>
              <w:t>8/4/2022</w:t>
            </w:r>
          </w:p>
        </w:tc>
        <w:tc>
          <w:tcPr>
            <w:tcW w:w="1329" w:type="dxa"/>
            <w:vAlign w:val="center"/>
          </w:tcPr>
          <w:p w14:paraId="448A305D" w14:textId="77777777" w:rsidR="0057201B" w:rsidRPr="00AE3A84" w:rsidRDefault="0057201B">
            <w:pPr>
              <w:pStyle w:val="BodyText"/>
              <w:rPr>
                <w:lang w:val="es-ES"/>
              </w:rPr>
            </w:pPr>
            <w:r w:rsidRPr="00AE3A84">
              <w:rPr>
                <w:spacing w:val="-1"/>
              </w:rPr>
              <w:t>937-15</w:t>
            </w:r>
          </w:p>
        </w:tc>
        <w:tc>
          <w:tcPr>
            <w:tcW w:w="1350" w:type="dxa"/>
            <w:vAlign w:val="center"/>
          </w:tcPr>
          <w:p w14:paraId="046E35BB" w14:textId="77777777" w:rsidR="0057201B" w:rsidRPr="00AE3A84" w:rsidRDefault="0057201B">
            <w:pPr>
              <w:pStyle w:val="BodyText"/>
              <w:rPr>
                <w:lang w:val="es-ES"/>
              </w:rPr>
            </w:pPr>
            <w:r w:rsidRPr="00AE3A84">
              <w:rPr>
                <w:spacing w:val="-1"/>
              </w:rPr>
              <w:t>15.027</w:t>
            </w:r>
          </w:p>
        </w:tc>
      </w:tr>
      <w:tr w:rsidR="0057201B" w:rsidRPr="00AE3A84" w14:paraId="41A858F8" w14:textId="77777777">
        <w:tc>
          <w:tcPr>
            <w:tcW w:w="534" w:type="dxa"/>
            <w:vAlign w:val="center"/>
          </w:tcPr>
          <w:p w14:paraId="68FD692F" w14:textId="77777777" w:rsidR="0057201B" w:rsidRPr="00AE3A84" w:rsidRDefault="0057201B" w:rsidP="00933F91">
            <w:pPr>
              <w:pStyle w:val="BodyText"/>
              <w:widowControl/>
              <w:numPr>
                <w:ilvl w:val="0"/>
                <w:numId w:val="57"/>
              </w:numPr>
              <w:rPr>
                <w:lang w:val="es-ES"/>
              </w:rPr>
            </w:pPr>
          </w:p>
        </w:tc>
        <w:tc>
          <w:tcPr>
            <w:tcW w:w="2953" w:type="dxa"/>
            <w:vAlign w:val="center"/>
          </w:tcPr>
          <w:p w14:paraId="5CB9112E" w14:textId="77777777" w:rsidR="0057201B" w:rsidRPr="00F11596" w:rsidRDefault="0057201B">
            <w:pPr>
              <w:pStyle w:val="BodyText"/>
              <w:rPr>
                <w:lang w:val="es-CO"/>
              </w:rPr>
            </w:pPr>
            <w:r w:rsidRPr="00AE3A84">
              <w:rPr>
                <w:spacing w:val="-1"/>
                <w:lang w:val="es-AR"/>
              </w:rPr>
              <w:t>Elba</w:t>
            </w:r>
            <w:r w:rsidRPr="00AE3A84">
              <w:rPr>
                <w:spacing w:val="-7"/>
                <w:lang w:val="es-AR"/>
              </w:rPr>
              <w:t xml:space="preserve"> </w:t>
            </w:r>
            <w:r w:rsidRPr="00AE3A84">
              <w:rPr>
                <w:spacing w:val="-1"/>
                <w:lang w:val="es-AR"/>
              </w:rPr>
              <w:t>Teresa</w:t>
            </w:r>
            <w:r w:rsidRPr="00AE3A84">
              <w:rPr>
                <w:spacing w:val="-6"/>
                <w:lang w:val="es-AR"/>
              </w:rPr>
              <w:t xml:space="preserve"> </w:t>
            </w:r>
            <w:r w:rsidRPr="00AE3A84">
              <w:rPr>
                <w:spacing w:val="-1"/>
                <w:lang w:val="es-AR"/>
              </w:rPr>
              <w:t>Balmaceda</w:t>
            </w:r>
            <w:r w:rsidRPr="00AE3A84">
              <w:rPr>
                <w:spacing w:val="-6"/>
                <w:lang w:val="es-AR"/>
              </w:rPr>
              <w:t xml:space="preserve"> </w:t>
            </w:r>
            <w:r w:rsidRPr="00AE3A84">
              <w:rPr>
                <w:spacing w:val="-1"/>
                <w:lang w:val="es-AR"/>
              </w:rPr>
              <w:t>de</w:t>
            </w:r>
            <w:r w:rsidRPr="00AE3A84">
              <w:rPr>
                <w:spacing w:val="-5"/>
                <w:lang w:val="es-AR"/>
              </w:rPr>
              <w:t xml:space="preserve"> </w:t>
            </w:r>
            <w:r w:rsidRPr="00AE3A84">
              <w:rPr>
                <w:spacing w:val="-1"/>
                <w:lang w:val="es-AR"/>
              </w:rPr>
              <w:t>Glombovsky</w:t>
            </w:r>
            <w:r w:rsidRPr="00AE3A84">
              <w:rPr>
                <w:spacing w:val="-5"/>
                <w:lang w:val="es-AR"/>
              </w:rPr>
              <w:t xml:space="preserve"> </w:t>
            </w:r>
            <w:r>
              <w:rPr>
                <w:lang w:val="es-AR"/>
              </w:rPr>
              <w:t xml:space="preserve">and </w:t>
            </w:r>
            <w:r w:rsidRPr="00F11596">
              <w:rPr>
                <w:lang w:val="es-CO"/>
              </w:rPr>
              <w:t>Relatives</w:t>
            </w:r>
          </w:p>
        </w:tc>
        <w:tc>
          <w:tcPr>
            <w:tcW w:w="1119" w:type="dxa"/>
            <w:vAlign w:val="center"/>
          </w:tcPr>
          <w:p w14:paraId="42D4FB23" w14:textId="77777777" w:rsidR="0057201B" w:rsidRPr="00AE3A84" w:rsidRDefault="0057201B">
            <w:pPr>
              <w:pStyle w:val="BodyText"/>
              <w:rPr>
                <w:lang w:val="es-ES"/>
              </w:rPr>
            </w:pPr>
            <w:r w:rsidRPr="00AE3A84">
              <w:rPr>
                <w:spacing w:val="-1"/>
              </w:rPr>
              <w:t>Argentina</w:t>
            </w:r>
          </w:p>
        </w:tc>
        <w:tc>
          <w:tcPr>
            <w:tcW w:w="1141" w:type="dxa"/>
            <w:vAlign w:val="center"/>
          </w:tcPr>
          <w:p w14:paraId="7FB336FE" w14:textId="77777777" w:rsidR="0057201B" w:rsidRPr="00AE3A84" w:rsidRDefault="0057201B">
            <w:pPr>
              <w:pStyle w:val="BodyText"/>
              <w:jc w:val="center"/>
              <w:rPr>
                <w:spacing w:val="-1"/>
              </w:rPr>
            </w:pPr>
            <w:r>
              <w:rPr>
                <w:spacing w:val="-1"/>
              </w:rPr>
              <w:t>196/22</w:t>
            </w:r>
          </w:p>
        </w:tc>
        <w:tc>
          <w:tcPr>
            <w:tcW w:w="1289" w:type="dxa"/>
            <w:vAlign w:val="center"/>
          </w:tcPr>
          <w:p w14:paraId="1951A0D7" w14:textId="77777777" w:rsidR="0057201B" w:rsidRPr="00AE3A84" w:rsidRDefault="0057201B">
            <w:pPr>
              <w:pStyle w:val="BodyText"/>
              <w:rPr>
                <w:lang w:val="es-ES"/>
              </w:rPr>
            </w:pPr>
            <w:r w:rsidRPr="00AE3A84">
              <w:rPr>
                <w:spacing w:val="-1"/>
              </w:rPr>
              <w:t>8/13/2022</w:t>
            </w:r>
          </w:p>
        </w:tc>
        <w:tc>
          <w:tcPr>
            <w:tcW w:w="1329" w:type="dxa"/>
            <w:vAlign w:val="center"/>
          </w:tcPr>
          <w:p w14:paraId="6B94279A" w14:textId="77777777" w:rsidR="0057201B" w:rsidRPr="00AE3A84" w:rsidRDefault="0057201B">
            <w:pPr>
              <w:pStyle w:val="BodyText"/>
              <w:rPr>
                <w:lang w:val="es-ES"/>
              </w:rPr>
            </w:pPr>
            <w:r w:rsidRPr="00AE3A84">
              <w:rPr>
                <w:spacing w:val="-1"/>
              </w:rPr>
              <w:t>46-09</w:t>
            </w:r>
          </w:p>
        </w:tc>
        <w:tc>
          <w:tcPr>
            <w:tcW w:w="1350" w:type="dxa"/>
            <w:vAlign w:val="center"/>
          </w:tcPr>
          <w:p w14:paraId="2DC0346F" w14:textId="77777777" w:rsidR="0057201B" w:rsidRPr="00AE3A84" w:rsidRDefault="0057201B">
            <w:pPr>
              <w:pStyle w:val="BodyText"/>
              <w:rPr>
                <w:lang w:val="es-ES"/>
              </w:rPr>
            </w:pPr>
            <w:r w:rsidRPr="00AE3A84">
              <w:rPr>
                <w:spacing w:val="-1"/>
              </w:rPr>
              <w:t>15.062</w:t>
            </w:r>
          </w:p>
        </w:tc>
      </w:tr>
      <w:tr w:rsidR="0057201B" w:rsidRPr="00AE3A84" w14:paraId="743CC526" w14:textId="77777777">
        <w:tc>
          <w:tcPr>
            <w:tcW w:w="534" w:type="dxa"/>
            <w:vAlign w:val="center"/>
          </w:tcPr>
          <w:p w14:paraId="726A0958" w14:textId="77777777" w:rsidR="0057201B" w:rsidRPr="00AE3A84" w:rsidRDefault="0057201B" w:rsidP="00933F91">
            <w:pPr>
              <w:pStyle w:val="BodyText"/>
              <w:widowControl/>
              <w:numPr>
                <w:ilvl w:val="0"/>
                <w:numId w:val="57"/>
              </w:numPr>
              <w:rPr>
                <w:lang w:val="es-ES"/>
              </w:rPr>
            </w:pPr>
          </w:p>
        </w:tc>
        <w:tc>
          <w:tcPr>
            <w:tcW w:w="2953" w:type="dxa"/>
            <w:vAlign w:val="center"/>
          </w:tcPr>
          <w:p w14:paraId="68F55A58" w14:textId="77777777" w:rsidR="0057201B" w:rsidRPr="00AE3A84" w:rsidRDefault="0057201B">
            <w:pPr>
              <w:pStyle w:val="BodyText"/>
              <w:rPr>
                <w:lang w:val="es-ES"/>
              </w:rPr>
            </w:pPr>
            <w:r w:rsidRPr="00AE3A84">
              <w:rPr>
                <w:spacing w:val="-1"/>
                <w:lang w:val="es-AR"/>
              </w:rPr>
              <w:t>Joba</w:t>
            </w:r>
            <w:r w:rsidRPr="00AE3A84">
              <w:rPr>
                <w:spacing w:val="-6"/>
                <w:lang w:val="es-AR"/>
              </w:rPr>
              <w:t xml:space="preserve"> </w:t>
            </w:r>
            <w:r w:rsidRPr="00AE3A84">
              <w:rPr>
                <w:spacing w:val="-1"/>
                <w:lang w:val="es-AR"/>
              </w:rPr>
              <w:t>Fonfay</w:t>
            </w:r>
            <w:r w:rsidRPr="00AE3A84">
              <w:rPr>
                <w:spacing w:val="-4"/>
                <w:lang w:val="es-AR"/>
              </w:rPr>
              <w:t xml:space="preserve"> </w:t>
            </w:r>
            <w:r w:rsidRPr="00AE3A84">
              <w:rPr>
                <w:spacing w:val="-1"/>
                <w:lang w:val="es-AR"/>
              </w:rPr>
              <w:t>Vásquez</w:t>
            </w:r>
            <w:r w:rsidRPr="00AE3A84">
              <w:rPr>
                <w:spacing w:val="-4"/>
                <w:lang w:val="es-AR"/>
              </w:rPr>
              <w:t xml:space="preserve"> </w:t>
            </w:r>
            <w:r>
              <w:rPr>
                <w:lang w:val="es-AR"/>
              </w:rPr>
              <w:t>et al.</w:t>
            </w:r>
          </w:p>
        </w:tc>
        <w:tc>
          <w:tcPr>
            <w:tcW w:w="1119" w:type="dxa"/>
            <w:vAlign w:val="center"/>
          </w:tcPr>
          <w:p w14:paraId="2797D908" w14:textId="77777777" w:rsidR="0057201B" w:rsidRPr="00AE3A84" w:rsidRDefault="0057201B">
            <w:pPr>
              <w:pStyle w:val="BodyText"/>
              <w:rPr>
                <w:lang w:val="es-ES"/>
              </w:rPr>
            </w:pPr>
            <w:r w:rsidRPr="00AE3A84">
              <w:rPr>
                <w:spacing w:val="-1"/>
              </w:rPr>
              <w:t>Ecuador</w:t>
            </w:r>
          </w:p>
        </w:tc>
        <w:tc>
          <w:tcPr>
            <w:tcW w:w="1141" w:type="dxa"/>
            <w:vAlign w:val="center"/>
          </w:tcPr>
          <w:p w14:paraId="076DD370" w14:textId="77777777" w:rsidR="0057201B" w:rsidRPr="00AE3A84" w:rsidRDefault="0057201B">
            <w:pPr>
              <w:pStyle w:val="BodyText"/>
              <w:jc w:val="center"/>
              <w:rPr>
                <w:spacing w:val="-1"/>
              </w:rPr>
            </w:pPr>
            <w:r w:rsidRPr="002F54BD">
              <w:rPr>
                <w:spacing w:val="-1"/>
              </w:rPr>
              <w:t>197/22</w:t>
            </w:r>
          </w:p>
        </w:tc>
        <w:tc>
          <w:tcPr>
            <w:tcW w:w="1289" w:type="dxa"/>
            <w:vAlign w:val="center"/>
          </w:tcPr>
          <w:p w14:paraId="1B5526C3" w14:textId="77777777" w:rsidR="0057201B" w:rsidRPr="00AE3A84" w:rsidRDefault="0057201B">
            <w:pPr>
              <w:pStyle w:val="BodyText"/>
              <w:rPr>
                <w:lang w:val="es-ES"/>
              </w:rPr>
            </w:pPr>
            <w:r w:rsidRPr="00AE3A84">
              <w:rPr>
                <w:spacing w:val="-1"/>
              </w:rPr>
              <w:t>8/13/2022</w:t>
            </w:r>
          </w:p>
        </w:tc>
        <w:tc>
          <w:tcPr>
            <w:tcW w:w="1329" w:type="dxa"/>
            <w:vAlign w:val="center"/>
          </w:tcPr>
          <w:p w14:paraId="2CBCCDB9" w14:textId="77777777" w:rsidR="0057201B" w:rsidRPr="00AE3A84" w:rsidRDefault="0057201B">
            <w:pPr>
              <w:pStyle w:val="BodyText"/>
              <w:rPr>
                <w:lang w:val="es-ES"/>
              </w:rPr>
            </w:pPr>
            <w:r w:rsidRPr="00AE3A84">
              <w:rPr>
                <w:spacing w:val="-1"/>
              </w:rPr>
              <w:t>1529-10</w:t>
            </w:r>
          </w:p>
        </w:tc>
        <w:tc>
          <w:tcPr>
            <w:tcW w:w="1350" w:type="dxa"/>
            <w:vAlign w:val="center"/>
          </w:tcPr>
          <w:p w14:paraId="622D059A" w14:textId="77777777" w:rsidR="0057201B" w:rsidRPr="00AE3A84" w:rsidRDefault="0057201B">
            <w:pPr>
              <w:pStyle w:val="BodyText"/>
              <w:rPr>
                <w:lang w:val="es-ES"/>
              </w:rPr>
            </w:pPr>
            <w:r w:rsidRPr="00AE3A84">
              <w:rPr>
                <w:spacing w:val="-1"/>
              </w:rPr>
              <w:t>15.028</w:t>
            </w:r>
          </w:p>
        </w:tc>
      </w:tr>
      <w:tr w:rsidR="0057201B" w:rsidRPr="00AE3A84" w14:paraId="060665CF" w14:textId="77777777">
        <w:tc>
          <w:tcPr>
            <w:tcW w:w="534" w:type="dxa"/>
            <w:vAlign w:val="center"/>
          </w:tcPr>
          <w:p w14:paraId="5A644BB3" w14:textId="77777777" w:rsidR="0057201B" w:rsidRPr="00AE3A84" w:rsidRDefault="0057201B" w:rsidP="00933F91">
            <w:pPr>
              <w:pStyle w:val="BodyText"/>
              <w:widowControl/>
              <w:numPr>
                <w:ilvl w:val="0"/>
                <w:numId w:val="57"/>
              </w:numPr>
              <w:rPr>
                <w:lang w:val="es-ES"/>
              </w:rPr>
            </w:pPr>
          </w:p>
        </w:tc>
        <w:tc>
          <w:tcPr>
            <w:tcW w:w="2953" w:type="dxa"/>
            <w:vAlign w:val="center"/>
          </w:tcPr>
          <w:p w14:paraId="54B8E678" w14:textId="77777777" w:rsidR="0057201B" w:rsidRPr="00137ACB" w:rsidRDefault="0057201B">
            <w:pPr>
              <w:pStyle w:val="BodyText"/>
              <w:rPr>
                <w:lang w:val="pt-BR"/>
              </w:rPr>
            </w:pPr>
            <w:r w:rsidRPr="00137ACB">
              <w:rPr>
                <w:spacing w:val="-1"/>
                <w:lang w:val="pt-BR"/>
              </w:rPr>
              <w:t>Pedro</w:t>
            </w:r>
            <w:r w:rsidRPr="00137ACB">
              <w:rPr>
                <w:spacing w:val="-7"/>
                <w:lang w:val="pt-BR"/>
              </w:rPr>
              <w:t xml:space="preserve"> </w:t>
            </w:r>
            <w:r w:rsidRPr="00137ACB">
              <w:rPr>
                <w:spacing w:val="-1"/>
                <w:lang w:val="pt-BR"/>
              </w:rPr>
              <w:t>Guillermo</w:t>
            </w:r>
            <w:r w:rsidRPr="00137ACB">
              <w:rPr>
                <w:spacing w:val="-6"/>
                <w:lang w:val="pt-BR"/>
              </w:rPr>
              <w:t xml:space="preserve"> </w:t>
            </w:r>
            <w:r w:rsidRPr="00137ACB">
              <w:rPr>
                <w:spacing w:val="-1"/>
                <w:lang w:val="pt-BR"/>
              </w:rPr>
              <w:t>Galván</w:t>
            </w:r>
            <w:r w:rsidRPr="00137ACB">
              <w:rPr>
                <w:spacing w:val="-5"/>
                <w:lang w:val="pt-BR"/>
              </w:rPr>
              <w:t xml:space="preserve"> </w:t>
            </w:r>
            <w:r w:rsidRPr="00137ACB">
              <w:rPr>
                <w:lang w:val="pt-BR"/>
              </w:rPr>
              <w:t>and</w:t>
            </w:r>
            <w:r w:rsidRPr="00137ACB">
              <w:rPr>
                <w:spacing w:val="-5"/>
                <w:lang w:val="pt-BR"/>
              </w:rPr>
              <w:t xml:space="preserve"> </w:t>
            </w:r>
            <w:r w:rsidRPr="00137ACB">
              <w:rPr>
                <w:spacing w:val="-1"/>
                <w:lang w:val="pt-BR"/>
              </w:rPr>
              <w:t>Guillermo</w:t>
            </w:r>
            <w:r w:rsidRPr="00137ACB">
              <w:rPr>
                <w:spacing w:val="-6"/>
                <w:lang w:val="pt-BR"/>
              </w:rPr>
              <w:t xml:space="preserve"> </w:t>
            </w:r>
            <w:r w:rsidRPr="00137ACB">
              <w:rPr>
                <w:spacing w:val="-1"/>
                <w:lang w:val="pt-BR"/>
              </w:rPr>
              <w:t>Pedro</w:t>
            </w:r>
            <w:r w:rsidRPr="00137ACB">
              <w:rPr>
                <w:spacing w:val="-7"/>
                <w:lang w:val="pt-BR"/>
              </w:rPr>
              <w:t xml:space="preserve"> </w:t>
            </w:r>
            <w:r w:rsidRPr="00137ACB">
              <w:rPr>
                <w:spacing w:val="-1"/>
                <w:lang w:val="pt-BR"/>
              </w:rPr>
              <w:t>Galván</w:t>
            </w:r>
          </w:p>
        </w:tc>
        <w:tc>
          <w:tcPr>
            <w:tcW w:w="1119" w:type="dxa"/>
            <w:vAlign w:val="center"/>
          </w:tcPr>
          <w:p w14:paraId="546E7EA1" w14:textId="77777777" w:rsidR="0057201B" w:rsidRPr="00AE3A84" w:rsidRDefault="0057201B">
            <w:pPr>
              <w:pStyle w:val="BodyText"/>
              <w:rPr>
                <w:lang w:val="es-ES"/>
              </w:rPr>
            </w:pPr>
            <w:r w:rsidRPr="00AE3A84">
              <w:rPr>
                <w:spacing w:val="-1"/>
              </w:rPr>
              <w:t>Argentina</w:t>
            </w:r>
          </w:p>
        </w:tc>
        <w:tc>
          <w:tcPr>
            <w:tcW w:w="1141" w:type="dxa"/>
            <w:vAlign w:val="center"/>
          </w:tcPr>
          <w:p w14:paraId="2DFCDC0D" w14:textId="77777777" w:rsidR="0057201B" w:rsidRPr="00AE3A84" w:rsidRDefault="0057201B">
            <w:pPr>
              <w:pStyle w:val="BodyText"/>
              <w:jc w:val="center"/>
              <w:rPr>
                <w:spacing w:val="-1"/>
              </w:rPr>
            </w:pPr>
            <w:r w:rsidRPr="002F54BD">
              <w:rPr>
                <w:spacing w:val="-1"/>
              </w:rPr>
              <w:t>199/2</w:t>
            </w:r>
            <w:r>
              <w:rPr>
                <w:spacing w:val="-1"/>
              </w:rPr>
              <w:t>2</w:t>
            </w:r>
          </w:p>
        </w:tc>
        <w:tc>
          <w:tcPr>
            <w:tcW w:w="1289" w:type="dxa"/>
            <w:vAlign w:val="center"/>
          </w:tcPr>
          <w:p w14:paraId="5892B856" w14:textId="77777777" w:rsidR="0057201B" w:rsidRPr="00AE3A84" w:rsidRDefault="0057201B">
            <w:pPr>
              <w:pStyle w:val="BodyText"/>
              <w:rPr>
                <w:lang w:val="es-ES"/>
              </w:rPr>
            </w:pPr>
            <w:r w:rsidRPr="00AE3A84">
              <w:rPr>
                <w:spacing w:val="-1"/>
              </w:rPr>
              <w:t>8/13/2022</w:t>
            </w:r>
          </w:p>
        </w:tc>
        <w:tc>
          <w:tcPr>
            <w:tcW w:w="1329" w:type="dxa"/>
            <w:vAlign w:val="center"/>
          </w:tcPr>
          <w:p w14:paraId="0FB69E60" w14:textId="77777777" w:rsidR="0057201B" w:rsidRPr="00AE3A84" w:rsidRDefault="0057201B">
            <w:pPr>
              <w:pStyle w:val="BodyText"/>
              <w:rPr>
                <w:lang w:val="es-ES"/>
              </w:rPr>
            </w:pPr>
            <w:r w:rsidRPr="00AE3A84">
              <w:rPr>
                <w:spacing w:val="-1"/>
              </w:rPr>
              <w:t>1271-09</w:t>
            </w:r>
          </w:p>
        </w:tc>
        <w:tc>
          <w:tcPr>
            <w:tcW w:w="1350" w:type="dxa"/>
            <w:vAlign w:val="center"/>
          </w:tcPr>
          <w:p w14:paraId="6BE68843" w14:textId="77777777" w:rsidR="0057201B" w:rsidRPr="00AE3A84" w:rsidRDefault="0057201B">
            <w:pPr>
              <w:pStyle w:val="BodyText"/>
              <w:rPr>
                <w:lang w:val="es-ES"/>
              </w:rPr>
            </w:pPr>
            <w:r w:rsidRPr="00AE3A84">
              <w:rPr>
                <w:spacing w:val="-1"/>
              </w:rPr>
              <w:t>15.029</w:t>
            </w:r>
          </w:p>
        </w:tc>
      </w:tr>
      <w:tr w:rsidR="0057201B" w:rsidRPr="00AE3A84" w14:paraId="6D702922" w14:textId="77777777">
        <w:tc>
          <w:tcPr>
            <w:tcW w:w="534" w:type="dxa"/>
            <w:vAlign w:val="center"/>
          </w:tcPr>
          <w:p w14:paraId="3E7C663B" w14:textId="77777777" w:rsidR="0057201B" w:rsidRPr="00AE3A84" w:rsidRDefault="0057201B" w:rsidP="00933F91">
            <w:pPr>
              <w:pStyle w:val="BodyText"/>
              <w:widowControl/>
              <w:numPr>
                <w:ilvl w:val="0"/>
                <w:numId w:val="57"/>
              </w:numPr>
              <w:rPr>
                <w:lang w:val="es-ES"/>
              </w:rPr>
            </w:pPr>
          </w:p>
        </w:tc>
        <w:tc>
          <w:tcPr>
            <w:tcW w:w="2953" w:type="dxa"/>
            <w:vAlign w:val="center"/>
          </w:tcPr>
          <w:p w14:paraId="456AA978" w14:textId="77777777" w:rsidR="0057201B" w:rsidRPr="00AE3A84" w:rsidRDefault="0057201B">
            <w:pPr>
              <w:pStyle w:val="BodyText"/>
              <w:rPr>
                <w:lang w:val="es-ES"/>
              </w:rPr>
            </w:pPr>
            <w:r w:rsidRPr="00AE3A84">
              <w:rPr>
                <w:spacing w:val="-1"/>
              </w:rPr>
              <w:t>Manuela</w:t>
            </w:r>
            <w:r w:rsidRPr="00AE3A84">
              <w:rPr>
                <w:spacing w:val="-8"/>
              </w:rPr>
              <w:t xml:space="preserve"> </w:t>
            </w:r>
            <w:r w:rsidRPr="00AE3A84">
              <w:rPr>
                <w:spacing w:val="-1"/>
              </w:rPr>
              <w:t>Lavinas</w:t>
            </w:r>
            <w:r w:rsidRPr="00AE3A84">
              <w:rPr>
                <w:spacing w:val="-8"/>
              </w:rPr>
              <w:t xml:space="preserve"> </w:t>
            </w:r>
            <w:r w:rsidRPr="00AE3A84">
              <w:rPr>
                <w:spacing w:val="-1"/>
              </w:rPr>
              <w:t>Picq</w:t>
            </w:r>
          </w:p>
        </w:tc>
        <w:tc>
          <w:tcPr>
            <w:tcW w:w="1119" w:type="dxa"/>
            <w:vAlign w:val="center"/>
          </w:tcPr>
          <w:p w14:paraId="27F437BD" w14:textId="77777777" w:rsidR="0057201B" w:rsidRPr="00AE3A84" w:rsidRDefault="0057201B">
            <w:pPr>
              <w:pStyle w:val="BodyText"/>
              <w:rPr>
                <w:lang w:val="es-ES"/>
              </w:rPr>
            </w:pPr>
            <w:r w:rsidRPr="00AE3A84">
              <w:rPr>
                <w:spacing w:val="-1"/>
              </w:rPr>
              <w:t>Ecuador</w:t>
            </w:r>
          </w:p>
        </w:tc>
        <w:tc>
          <w:tcPr>
            <w:tcW w:w="1141" w:type="dxa"/>
            <w:vAlign w:val="center"/>
          </w:tcPr>
          <w:p w14:paraId="5F0B0AA6" w14:textId="77777777" w:rsidR="0057201B" w:rsidRPr="00AE3A84" w:rsidRDefault="0057201B">
            <w:pPr>
              <w:pStyle w:val="BodyText"/>
              <w:jc w:val="center"/>
              <w:rPr>
                <w:spacing w:val="-1"/>
              </w:rPr>
            </w:pPr>
            <w:r w:rsidRPr="002F54BD">
              <w:rPr>
                <w:spacing w:val="-1"/>
              </w:rPr>
              <w:t>202/22</w:t>
            </w:r>
          </w:p>
        </w:tc>
        <w:tc>
          <w:tcPr>
            <w:tcW w:w="1289" w:type="dxa"/>
            <w:vAlign w:val="center"/>
          </w:tcPr>
          <w:p w14:paraId="45A47CF6" w14:textId="77777777" w:rsidR="0057201B" w:rsidRPr="00AE3A84" w:rsidRDefault="0057201B">
            <w:pPr>
              <w:pStyle w:val="BodyText"/>
              <w:rPr>
                <w:lang w:val="es-ES"/>
              </w:rPr>
            </w:pPr>
            <w:r w:rsidRPr="00AE3A84">
              <w:rPr>
                <w:spacing w:val="-1"/>
              </w:rPr>
              <w:t>8/13/2022</w:t>
            </w:r>
          </w:p>
        </w:tc>
        <w:tc>
          <w:tcPr>
            <w:tcW w:w="1329" w:type="dxa"/>
            <w:vAlign w:val="center"/>
          </w:tcPr>
          <w:p w14:paraId="525AD078" w14:textId="77777777" w:rsidR="0057201B" w:rsidRPr="00AE3A84" w:rsidRDefault="0057201B">
            <w:pPr>
              <w:pStyle w:val="BodyText"/>
              <w:rPr>
                <w:lang w:val="es-ES"/>
              </w:rPr>
            </w:pPr>
            <w:r w:rsidRPr="00AE3A84">
              <w:rPr>
                <w:spacing w:val="-1"/>
              </w:rPr>
              <w:t>1145-15</w:t>
            </w:r>
          </w:p>
        </w:tc>
        <w:tc>
          <w:tcPr>
            <w:tcW w:w="1350" w:type="dxa"/>
            <w:vAlign w:val="center"/>
          </w:tcPr>
          <w:p w14:paraId="00FC630A" w14:textId="480086F5" w:rsidR="0057201B" w:rsidRPr="00AE3A84" w:rsidRDefault="0057201B">
            <w:pPr>
              <w:pStyle w:val="BodyText"/>
              <w:rPr>
                <w:lang w:val="es-ES"/>
              </w:rPr>
            </w:pPr>
            <w:r w:rsidRPr="00AE3A84">
              <w:rPr>
                <w:spacing w:val="-1"/>
              </w:rPr>
              <w:t>15.03</w:t>
            </w:r>
            <w:r w:rsidR="00A37DB1">
              <w:rPr>
                <w:spacing w:val="-1"/>
              </w:rPr>
              <w:t>0</w:t>
            </w:r>
          </w:p>
        </w:tc>
      </w:tr>
      <w:tr w:rsidR="0057201B" w:rsidRPr="00AE3A84" w14:paraId="20C76459" w14:textId="77777777">
        <w:tc>
          <w:tcPr>
            <w:tcW w:w="534" w:type="dxa"/>
            <w:vAlign w:val="center"/>
          </w:tcPr>
          <w:p w14:paraId="02E6E788" w14:textId="77777777" w:rsidR="0057201B" w:rsidRPr="00AE3A84" w:rsidRDefault="0057201B" w:rsidP="00933F91">
            <w:pPr>
              <w:pStyle w:val="BodyText"/>
              <w:widowControl/>
              <w:numPr>
                <w:ilvl w:val="0"/>
                <w:numId w:val="57"/>
              </w:numPr>
              <w:rPr>
                <w:lang w:val="es-ES"/>
              </w:rPr>
            </w:pPr>
          </w:p>
        </w:tc>
        <w:tc>
          <w:tcPr>
            <w:tcW w:w="2953" w:type="dxa"/>
            <w:vAlign w:val="center"/>
          </w:tcPr>
          <w:p w14:paraId="6F4CF3E4" w14:textId="77777777" w:rsidR="0057201B" w:rsidRPr="00AE3A84" w:rsidRDefault="0057201B">
            <w:pPr>
              <w:pStyle w:val="BodyText"/>
              <w:rPr>
                <w:lang w:val="es-ES"/>
              </w:rPr>
            </w:pPr>
            <w:r w:rsidRPr="00AE3A84">
              <w:rPr>
                <w:spacing w:val="-1"/>
              </w:rPr>
              <w:t>Francisco</w:t>
            </w:r>
            <w:r w:rsidRPr="00AE3A84">
              <w:rPr>
                <w:spacing w:val="-9"/>
              </w:rPr>
              <w:t xml:space="preserve"> </w:t>
            </w:r>
            <w:r w:rsidRPr="00AE3A84">
              <w:rPr>
                <w:spacing w:val="-1"/>
              </w:rPr>
              <w:t>Pascual</w:t>
            </w:r>
            <w:r w:rsidRPr="00AE3A84">
              <w:rPr>
                <w:spacing w:val="-6"/>
              </w:rPr>
              <w:t xml:space="preserve"> </w:t>
            </w:r>
            <w:r w:rsidRPr="00AE3A84">
              <w:rPr>
                <w:spacing w:val="-1"/>
              </w:rPr>
              <w:t>López</w:t>
            </w:r>
          </w:p>
        </w:tc>
        <w:tc>
          <w:tcPr>
            <w:tcW w:w="1119" w:type="dxa"/>
            <w:vAlign w:val="center"/>
          </w:tcPr>
          <w:p w14:paraId="76356777" w14:textId="77777777" w:rsidR="0057201B" w:rsidRPr="00AE3A84" w:rsidRDefault="0057201B">
            <w:pPr>
              <w:pStyle w:val="BodyText"/>
              <w:rPr>
                <w:lang w:val="es-ES"/>
              </w:rPr>
            </w:pPr>
            <w:r w:rsidRPr="00AE3A84">
              <w:rPr>
                <w:spacing w:val="-1"/>
              </w:rPr>
              <w:t>Honduras</w:t>
            </w:r>
          </w:p>
        </w:tc>
        <w:tc>
          <w:tcPr>
            <w:tcW w:w="1141" w:type="dxa"/>
            <w:vAlign w:val="center"/>
          </w:tcPr>
          <w:p w14:paraId="79CF37E3" w14:textId="77777777" w:rsidR="0057201B" w:rsidRPr="00AE3A84" w:rsidRDefault="0057201B">
            <w:pPr>
              <w:pStyle w:val="BodyText"/>
              <w:jc w:val="center"/>
              <w:rPr>
                <w:spacing w:val="-1"/>
              </w:rPr>
            </w:pPr>
            <w:r w:rsidRPr="002F54BD">
              <w:rPr>
                <w:spacing w:val="-1"/>
              </w:rPr>
              <w:t>203/22</w:t>
            </w:r>
          </w:p>
        </w:tc>
        <w:tc>
          <w:tcPr>
            <w:tcW w:w="1289" w:type="dxa"/>
            <w:vAlign w:val="center"/>
          </w:tcPr>
          <w:p w14:paraId="1DA002D1" w14:textId="77777777" w:rsidR="0057201B" w:rsidRPr="00AE3A84" w:rsidRDefault="0057201B">
            <w:pPr>
              <w:pStyle w:val="BodyText"/>
              <w:rPr>
                <w:lang w:val="es-ES"/>
              </w:rPr>
            </w:pPr>
            <w:r w:rsidRPr="00AE3A84">
              <w:rPr>
                <w:spacing w:val="-1"/>
              </w:rPr>
              <w:t>8/8/2022</w:t>
            </w:r>
          </w:p>
        </w:tc>
        <w:tc>
          <w:tcPr>
            <w:tcW w:w="1329" w:type="dxa"/>
            <w:vAlign w:val="center"/>
          </w:tcPr>
          <w:p w14:paraId="1E98CF70" w14:textId="77777777" w:rsidR="0057201B" w:rsidRPr="00AE3A84" w:rsidRDefault="0057201B">
            <w:pPr>
              <w:pStyle w:val="BodyText"/>
              <w:rPr>
                <w:lang w:val="es-ES"/>
              </w:rPr>
            </w:pPr>
            <w:r w:rsidRPr="00AE3A84">
              <w:rPr>
                <w:spacing w:val="-1"/>
              </w:rPr>
              <w:t>1881-14</w:t>
            </w:r>
          </w:p>
        </w:tc>
        <w:tc>
          <w:tcPr>
            <w:tcW w:w="1350" w:type="dxa"/>
            <w:vAlign w:val="center"/>
          </w:tcPr>
          <w:p w14:paraId="675AC869" w14:textId="77777777" w:rsidR="0057201B" w:rsidRPr="00AE3A84" w:rsidRDefault="0057201B">
            <w:pPr>
              <w:pStyle w:val="BodyText"/>
              <w:rPr>
                <w:lang w:val="es-ES"/>
              </w:rPr>
            </w:pPr>
            <w:r w:rsidRPr="00AE3A84">
              <w:rPr>
                <w:spacing w:val="-1"/>
              </w:rPr>
              <w:t>15.031</w:t>
            </w:r>
          </w:p>
        </w:tc>
      </w:tr>
      <w:tr w:rsidR="0057201B" w:rsidRPr="00AE3A84" w14:paraId="720FD857" w14:textId="77777777">
        <w:tc>
          <w:tcPr>
            <w:tcW w:w="534" w:type="dxa"/>
            <w:vAlign w:val="center"/>
          </w:tcPr>
          <w:p w14:paraId="1C617C02" w14:textId="77777777" w:rsidR="0057201B" w:rsidRPr="00AE3A84" w:rsidRDefault="0057201B" w:rsidP="00933F91">
            <w:pPr>
              <w:pStyle w:val="BodyText"/>
              <w:widowControl/>
              <w:numPr>
                <w:ilvl w:val="0"/>
                <w:numId w:val="57"/>
              </w:numPr>
              <w:rPr>
                <w:lang w:val="es-ES"/>
              </w:rPr>
            </w:pPr>
          </w:p>
        </w:tc>
        <w:tc>
          <w:tcPr>
            <w:tcW w:w="2953" w:type="dxa"/>
            <w:vAlign w:val="center"/>
          </w:tcPr>
          <w:p w14:paraId="62DF0BC0" w14:textId="77777777" w:rsidR="0057201B" w:rsidRPr="00231096" w:rsidRDefault="0057201B">
            <w:pPr>
              <w:pStyle w:val="BodyText"/>
            </w:pPr>
            <w:r w:rsidRPr="00231096">
              <w:rPr>
                <w:spacing w:val="-1"/>
              </w:rPr>
              <w:t>Alexander</w:t>
            </w:r>
            <w:r w:rsidRPr="00231096">
              <w:rPr>
                <w:spacing w:val="-6"/>
              </w:rPr>
              <w:t xml:space="preserve"> </w:t>
            </w:r>
            <w:r w:rsidRPr="00231096">
              <w:rPr>
                <w:spacing w:val="-1"/>
              </w:rPr>
              <w:t>Montes</w:t>
            </w:r>
            <w:r w:rsidRPr="00231096">
              <w:rPr>
                <w:spacing w:val="-6"/>
              </w:rPr>
              <w:t xml:space="preserve"> </w:t>
            </w:r>
            <w:r w:rsidRPr="00231096">
              <w:rPr>
                <w:spacing w:val="-1"/>
              </w:rPr>
              <w:t>Aguilar</w:t>
            </w:r>
            <w:r w:rsidRPr="00231096">
              <w:rPr>
                <w:spacing w:val="-5"/>
              </w:rPr>
              <w:t xml:space="preserve"> </w:t>
            </w:r>
            <w:r w:rsidRPr="00231096">
              <w:t>and Ot</w:t>
            </w:r>
            <w:r>
              <w:t>hers</w:t>
            </w:r>
          </w:p>
        </w:tc>
        <w:tc>
          <w:tcPr>
            <w:tcW w:w="1119" w:type="dxa"/>
            <w:vAlign w:val="center"/>
          </w:tcPr>
          <w:p w14:paraId="21D2B957" w14:textId="77777777" w:rsidR="0057201B" w:rsidRPr="00AE3A84" w:rsidRDefault="0057201B">
            <w:pPr>
              <w:pStyle w:val="BodyText"/>
              <w:rPr>
                <w:lang w:val="es-ES"/>
              </w:rPr>
            </w:pPr>
            <w:r w:rsidRPr="00AE3A84">
              <w:rPr>
                <w:spacing w:val="-1"/>
              </w:rPr>
              <w:t>Honduras</w:t>
            </w:r>
          </w:p>
        </w:tc>
        <w:tc>
          <w:tcPr>
            <w:tcW w:w="1141" w:type="dxa"/>
            <w:vAlign w:val="center"/>
          </w:tcPr>
          <w:p w14:paraId="2C1D0A5C" w14:textId="77777777" w:rsidR="0057201B" w:rsidRPr="00AE3A84" w:rsidRDefault="0057201B">
            <w:pPr>
              <w:pStyle w:val="BodyText"/>
              <w:jc w:val="center"/>
              <w:rPr>
                <w:spacing w:val="-1"/>
              </w:rPr>
            </w:pPr>
            <w:r w:rsidRPr="002F54BD">
              <w:rPr>
                <w:spacing w:val="-1"/>
              </w:rPr>
              <w:t>204/22</w:t>
            </w:r>
          </w:p>
        </w:tc>
        <w:tc>
          <w:tcPr>
            <w:tcW w:w="1289" w:type="dxa"/>
            <w:vAlign w:val="center"/>
          </w:tcPr>
          <w:p w14:paraId="71233766" w14:textId="77777777" w:rsidR="0057201B" w:rsidRPr="00AE3A84" w:rsidRDefault="0057201B">
            <w:pPr>
              <w:pStyle w:val="BodyText"/>
              <w:rPr>
                <w:lang w:val="es-ES"/>
              </w:rPr>
            </w:pPr>
            <w:r w:rsidRPr="00AE3A84">
              <w:rPr>
                <w:spacing w:val="-1"/>
              </w:rPr>
              <w:t>8/8/2022</w:t>
            </w:r>
          </w:p>
        </w:tc>
        <w:tc>
          <w:tcPr>
            <w:tcW w:w="1329" w:type="dxa"/>
            <w:vAlign w:val="center"/>
          </w:tcPr>
          <w:p w14:paraId="6F1124EF" w14:textId="77777777" w:rsidR="0057201B" w:rsidRPr="00AE3A84" w:rsidRDefault="0057201B">
            <w:pPr>
              <w:pStyle w:val="BodyText"/>
              <w:rPr>
                <w:lang w:val="es-ES"/>
              </w:rPr>
            </w:pPr>
            <w:r w:rsidRPr="00AE3A84">
              <w:rPr>
                <w:spacing w:val="-1"/>
              </w:rPr>
              <w:t>1953-15</w:t>
            </w:r>
          </w:p>
        </w:tc>
        <w:tc>
          <w:tcPr>
            <w:tcW w:w="1350" w:type="dxa"/>
            <w:vAlign w:val="center"/>
          </w:tcPr>
          <w:p w14:paraId="7FC2DFC7" w14:textId="77777777" w:rsidR="0057201B" w:rsidRPr="00AE3A84" w:rsidRDefault="0057201B">
            <w:pPr>
              <w:pStyle w:val="BodyText"/>
              <w:rPr>
                <w:lang w:val="es-ES"/>
              </w:rPr>
            </w:pPr>
            <w:r w:rsidRPr="00AE3A84">
              <w:rPr>
                <w:spacing w:val="-1"/>
              </w:rPr>
              <w:t>15.063</w:t>
            </w:r>
          </w:p>
        </w:tc>
      </w:tr>
      <w:tr w:rsidR="0057201B" w:rsidRPr="00AE3A84" w14:paraId="0438BAB2" w14:textId="77777777">
        <w:tc>
          <w:tcPr>
            <w:tcW w:w="534" w:type="dxa"/>
            <w:vAlign w:val="center"/>
          </w:tcPr>
          <w:p w14:paraId="64EB75F8" w14:textId="77777777" w:rsidR="0057201B" w:rsidRPr="00AE3A84" w:rsidRDefault="0057201B" w:rsidP="00933F91">
            <w:pPr>
              <w:pStyle w:val="BodyText"/>
              <w:widowControl/>
              <w:numPr>
                <w:ilvl w:val="0"/>
                <w:numId w:val="57"/>
              </w:numPr>
              <w:rPr>
                <w:lang w:val="es-ES"/>
              </w:rPr>
            </w:pPr>
          </w:p>
        </w:tc>
        <w:tc>
          <w:tcPr>
            <w:tcW w:w="2953" w:type="dxa"/>
            <w:vAlign w:val="center"/>
          </w:tcPr>
          <w:p w14:paraId="38198861" w14:textId="77777777" w:rsidR="0057201B" w:rsidRPr="00AE3A84" w:rsidRDefault="0057201B">
            <w:pPr>
              <w:pStyle w:val="BodyText"/>
              <w:rPr>
                <w:lang w:val="es-ES"/>
              </w:rPr>
            </w:pPr>
            <w:r w:rsidRPr="00AE3A84">
              <w:rPr>
                <w:spacing w:val="-1"/>
                <w:lang w:val="es-AR"/>
              </w:rPr>
              <w:t>Gustavo</w:t>
            </w:r>
            <w:r w:rsidRPr="00AE3A84">
              <w:rPr>
                <w:spacing w:val="-7"/>
                <w:lang w:val="es-AR"/>
              </w:rPr>
              <w:t xml:space="preserve"> </w:t>
            </w:r>
            <w:r w:rsidRPr="00AE3A84">
              <w:rPr>
                <w:spacing w:val="-1"/>
                <w:lang w:val="es-AR"/>
              </w:rPr>
              <w:t>Salgado</w:t>
            </w:r>
            <w:r w:rsidRPr="00AE3A84">
              <w:rPr>
                <w:spacing w:val="-6"/>
                <w:lang w:val="es-AR"/>
              </w:rPr>
              <w:t xml:space="preserve"> </w:t>
            </w:r>
            <w:r w:rsidRPr="00AE3A84">
              <w:rPr>
                <w:spacing w:val="-1"/>
                <w:lang w:val="es-AR"/>
              </w:rPr>
              <w:t>Delgado</w:t>
            </w:r>
            <w:r w:rsidRPr="00AE3A84">
              <w:rPr>
                <w:spacing w:val="-7"/>
                <w:lang w:val="es-AR"/>
              </w:rPr>
              <w:t xml:space="preserve"> </w:t>
            </w:r>
            <w:r>
              <w:rPr>
                <w:lang w:val="es-AR"/>
              </w:rPr>
              <w:t>and Family</w:t>
            </w:r>
          </w:p>
        </w:tc>
        <w:tc>
          <w:tcPr>
            <w:tcW w:w="1119" w:type="dxa"/>
            <w:vAlign w:val="center"/>
          </w:tcPr>
          <w:p w14:paraId="4691D08C"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62FA667F" w14:textId="77777777" w:rsidR="0057201B" w:rsidRPr="00AE3A84" w:rsidRDefault="0057201B">
            <w:pPr>
              <w:pStyle w:val="BodyText"/>
              <w:jc w:val="center"/>
              <w:rPr>
                <w:spacing w:val="-1"/>
              </w:rPr>
            </w:pPr>
            <w:r w:rsidRPr="002F54BD">
              <w:rPr>
                <w:spacing w:val="-1"/>
              </w:rPr>
              <w:t>205/22</w:t>
            </w:r>
          </w:p>
        </w:tc>
        <w:tc>
          <w:tcPr>
            <w:tcW w:w="1289" w:type="dxa"/>
            <w:vAlign w:val="center"/>
          </w:tcPr>
          <w:p w14:paraId="3B3AF599" w14:textId="77777777" w:rsidR="0057201B" w:rsidRPr="00AE3A84" w:rsidRDefault="0057201B">
            <w:pPr>
              <w:pStyle w:val="BodyText"/>
              <w:rPr>
                <w:lang w:val="es-ES"/>
              </w:rPr>
            </w:pPr>
            <w:r w:rsidRPr="00AE3A84">
              <w:rPr>
                <w:spacing w:val="-1"/>
              </w:rPr>
              <w:t>8/13/2022</w:t>
            </w:r>
          </w:p>
        </w:tc>
        <w:tc>
          <w:tcPr>
            <w:tcW w:w="1329" w:type="dxa"/>
            <w:vAlign w:val="center"/>
          </w:tcPr>
          <w:p w14:paraId="5FECB1CB" w14:textId="77777777" w:rsidR="0057201B" w:rsidRPr="00AE3A84" w:rsidRDefault="0057201B">
            <w:pPr>
              <w:pStyle w:val="BodyText"/>
              <w:rPr>
                <w:lang w:val="es-ES"/>
              </w:rPr>
            </w:pPr>
            <w:r w:rsidRPr="00AE3A84">
              <w:rPr>
                <w:spacing w:val="-1"/>
              </w:rPr>
              <w:t>967-15</w:t>
            </w:r>
          </w:p>
        </w:tc>
        <w:tc>
          <w:tcPr>
            <w:tcW w:w="1350" w:type="dxa"/>
            <w:vAlign w:val="center"/>
          </w:tcPr>
          <w:p w14:paraId="166D8FF7" w14:textId="77777777" w:rsidR="0057201B" w:rsidRPr="00AE3A84" w:rsidRDefault="0057201B">
            <w:pPr>
              <w:pStyle w:val="BodyText"/>
              <w:rPr>
                <w:lang w:val="es-ES"/>
              </w:rPr>
            </w:pPr>
            <w:r w:rsidRPr="00AE3A84">
              <w:rPr>
                <w:spacing w:val="-1"/>
              </w:rPr>
              <w:t>15.032</w:t>
            </w:r>
          </w:p>
        </w:tc>
      </w:tr>
      <w:tr w:rsidR="0057201B" w:rsidRPr="00AE3A84" w14:paraId="6C8D0347" w14:textId="77777777">
        <w:tc>
          <w:tcPr>
            <w:tcW w:w="534" w:type="dxa"/>
            <w:vAlign w:val="center"/>
          </w:tcPr>
          <w:p w14:paraId="0F5EE87A" w14:textId="77777777" w:rsidR="0057201B" w:rsidRPr="00AE3A84" w:rsidRDefault="0057201B" w:rsidP="00933F91">
            <w:pPr>
              <w:pStyle w:val="BodyText"/>
              <w:widowControl/>
              <w:numPr>
                <w:ilvl w:val="0"/>
                <w:numId w:val="57"/>
              </w:numPr>
              <w:rPr>
                <w:lang w:val="es-ES"/>
              </w:rPr>
            </w:pPr>
          </w:p>
        </w:tc>
        <w:tc>
          <w:tcPr>
            <w:tcW w:w="2953" w:type="dxa"/>
            <w:vAlign w:val="center"/>
          </w:tcPr>
          <w:p w14:paraId="4709516F" w14:textId="77777777" w:rsidR="0057201B" w:rsidRPr="00AE3A84" w:rsidRDefault="0057201B">
            <w:pPr>
              <w:pStyle w:val="BodyText"/>
              <w:rPr>
                <w:lang w:val="es-ES"/>
              </w:rPr>
            </w:pPr>
            <w:r w:rsidRPr="00AE3A84">
              <w:rPr>
                <w:spacing w:val="-1"/>
              </w:rPr>
              <w:t>Florindo</w:t>
            </w:r>
            <w:r w:rsidRPr="00AE3A84">
              <w:rPr>
                <w:spacing w:val="-8"/>
              </w:rPr>
              <w:t xml:space="preserve"> </w:t>
            </w:r>
            <w:r w:rsidRPr="00AE3A84">
              <w:rPr>
                <w:spacing w:val="-1"/>
              </w:rPr>
              <w:t>Eleuterio</w:t>
            </w:r>
            <w:r w:rsidRPr="00AE3A84">
              <w:rPr>
                <w:spacing w:val="-7"/>
              </w:rPr>
              <w:t xml:space="preserve"> </w:t>
            </w:r>
            <w:r w:rsidRPr="00AE3A84">
              <w:rPr>
                <w:spacing w:val="-1"/>
              </w:rPr>
              <w:t>Flores</w:t>
            </w:r>
            <w:r w:rsidRPr="00AE3A84">
              <w:rPr>
                <w:spacing w:val="-7"/>
              </w:rPr>
              <w:t xml:space="preserve"> </w:t>
            </w:r>
            <w:r w:rsidRPr="00AE3A84">
              <w:rPr>
                <w:spacing w:val="-1"/>
              </w:rPr>
              <w:t>Hala</w:t>
            </w:r>
          </w:p>
        </w:tc>
        <w:tc>
          <w:tcPr>
            <w:tcW w:w="1119" w:type="dxa"/>
            <w:vAlign w:val="center"/>
          </w:tcPr>
          <w:p w14:paraId="4B85E33E"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6A6BAC25" w14:textId="77777777" w:rsidR="0057201B" w:rsidRPr="00AE3A84" w:rsidRDefault="0057201B">
            <w:pPr>
              <w:pStyle w:val="BodyText"/>
              <w:jc w:val="center"/>
              <w:rPr>
                <w:spacing w:val="-1"/>
              </w:rPr>
            </w:pPr>
            <w:r w:rsidRPr="002F54BD">
              <w:rPr>
                <w:spacing w:val="-1"/>
              </w:rPr>
              <w:t>207/22</w:t>
            </w:r>
          </w:p>
        </w:tc>
        <w:tc>
          <w:tcPr>
            <w:tcW w:w="1289" w:type="dxa"/>
            <w:vAlign w:val="center"/>
          </w:tcPr>
          <w:p w14:paraId="3FB7F37D" w14:textId="77777777" w:rsidR="0057201B" w:rsidRPr="00AE3A84" w:rsidRDefault="0057201B">
            <w:pPr>
              <w:pStyle w:val="BodyText"/>
              <w:rPr>
                <w:lang w:val="es-ES"/>
              </w:rPr>
            </w:pPr>
            <w:r w:rsidRPr="00AE3A84">
              <w:rPr>
                <w:spacing w:val="-1"/>
              </w:rPr>
              <w:t>8/13/2022</w:t>
            </w:r>
          </w:p>
        </w:tc>
        <w:tc>
          <w:tcPr>
            <w:tcW w:w="1329" w:type="dxa"/>
            <w:vAlign w:val="center"/>
          </w:tcPr>
          <w:p w14:paraId="0F04D968" w14:textId="77777777" w:rsidR="0057201B" w:rsidRPr="00AE3A84" w:rsidRDefault="0057201B">
            <w:pPr>
              <w:pStyle w:val="BodyText"/>
              <w:rPr>
                <w:lang w:val="es-ES"/>
              </w:rPr>
            </w:pPr>
            <w:r w:rsidRPr="00AE3A84">
              <w:rPr>
                <w:spacing w:val="-1"/>
              </w:rPr>
              <w:t>1358-15</w:t>
            </w:r>
          </w:p>
        </w:tc>
        <w:tc>
          <w:tcPr>
            <w:tcW w:w="1350" w:type="dxa"/>
            <w:vAlign w:val="center"/>
          </w:tcPr>
          <w:p w14:paraId="481519D6" w14:textId="77777777" w:rsidR="0057201B" w:rsidRPr="00AE3A84" w:rsidRDefault="0057201B">
            <w:pPr>
              <w:pStyle w:val="BodyText"/>
              <w:rPr>
                <w:lang w:val="es-ES"/>
              </w:rPr>
            </w:pPr>
            <w:r w:rsidRPr="00AE3A84">
              <w:rPr>
                <w:spacing w:val="-1"/>
              </w:rPr>
              <w:t>15.064</w:t>
            </w:r>
          </w:p>
        </w:tc>
      </w:tr>
      <w:tr w:rsidR="0057201B" w:rsidRPr="00AE3A84" w14:paraId="15A2EE12" w14:textId="77777777">
        <w:tc>
          <w:tcPr>
            <w:tcW w:w="534" w:type="dxa"/>
            <w:vAlign w:val="center"/>
          </w:tcPr>
          <w:p w14:paraId="78C3A124" w14:textId="77777777" w:rsidR="0057201B" w:rsidRPr="00AE3A84" w:rsidRDefault="0057201B" w:rsidP="00933F91">
            <w:pPr>
              <w:pStyle w:val="BodyText"/>
              <w:widowControl/>
              <w:numPr>
                <w:ilvl w:val="0"/>
                <w:numId w:val="57"/>
              </w:numPr>
              <w:rPr>
                <w:lang w:val="es-ES"/>
              </w:rPr>
            </w:pPr>
          </w:p>
        </w:tc>
        <w:tc>
          <w:tcPr>
            <w:tcW w:w="2953" w:type="dxa"/>
            <w:vAlign w:val="center"/>
          </w:tcPr>
          <w:p w14:paraId="0409E714" w14:textId="77777777" w:rsidR="0057201B" w:rsidRPr="00AE3A84" w:rsidRDefault="0057201B">
            <w:pPr>
              <w:pStyle w:val="BodyText"/>
              <w:rPr>
                <w:lang w:val="es-ES"/>
              </w:rPr>
            </w:pPr>
            <w:r w:rsidRPr="00AE3A84">
              <w:rPr>
                <w:spacing w:val="-1"/>
                <w:lang w:val="es-AR"/>
              </w:rPr>
              <w:t>Juan</w:t>
            </w:r>
            <w:r w:rsidRPr="00AE3A84">
              <w:rPr>
                <w:spacing w:val="-5"/>
                <w:lang w:val="es-AR"/>
              </w:rPr>
              <w:t xml:space="preserve"> </w:t>
            </w:r>
            <w:r w:rsidRPr="00AE3A84">
              <w:rPr>
                <w:spacing w:val="-1"/>
                <w:lang w:val="es-AR"/>
              </w:rPr>
              <w:t>Carlos</w:t>
            </w:r>
            <w:r w:rsidRPr="00AE3A84">
              <w:rPr>
                <w:spacing w:val="-6"/>
                <w:lang w:val="es-AR"/>
              </w:rPr>
              <w:t xml:space="preserve"> </w:t>
            </w:r>
            <w:r w:rsidRPr="00AE3A84">
              <w:rPr>
                <w:spacing w:val="-1"/>
                <w:lang w:val="es-AR"/>
              </w:rPr>
              <w:t>Quiñones</w:t>
            </w:r>
            <w:r w:rsidRPr="00AE3A84">
              <w:rPr>
                <w:spacing w:val="-6"/>
                <w:lang w:val="es-AR"/>
              </w:rPr>
              <w:t xml:space="preserve"> </w:t>
            </w:r>
            <w:r w:rsidRPr="00AE3A84">
              <w:rPr>
                <w:spacing w:val="-1"/>
                <w:lang w:val="es-AR"/>
              </w:rPr>
              <w:t>Jokon</w:t>
            </w:r>
            <w:r w:rsidRPr="00AE3A84">
              <w:rPr>
                <w:spacing w:val="-5"/>
                <w:lang w:val="es-AR"/>
              </w:rPr>
              <w:t xml:space="preserve"> </w:t>
            </w:r>
            <w:r>
              <w:rPr>
                <w:lang w:val="es-AR"/>
              </w:rPr>
              <w:t>and</w:t>
            </w:r>
            <w:r w:rsidRPr="00AE3A84">
              <w:rPr>
                <w:spacing w:val="-4"/>
                <w:lang w:val="es-AR"/>
              </w:rPr>
              <w:t xml:space="preserve"> </w:t>
            </w:r>
            <w:r w:rsidRPr="00AE3A84">
              <w:rPr>
                <w:spacing w:val="-1"/>
                <w:lang w:val="es-AR"/>
              </w:rPr>
              <w:t>Ricardo</w:t>
            </w:r>
            <w:r w:rsidRPr="00AE3A84">
              <w:rPr>
                <w:spacing w:val="-6"/>
                <w:lang w:val="es-AR"/>
              </w:rPr>
              <w:t xml:space="preserve"> </w:t>
            </w:r>
            <w:r w:rsidRPr="00AE3A84">
              <w:rPr>
                <w:spacing w:val="-1"/>
                <w:lang w:val="es-AR"/>
              </w:rPr>
              <w:t>Alfredo</w:t>
            </w:r>
            <w:r w:rsidRPr="00AE3A84">
              <w:rPr>
                <w:spacing w:val="-6"/>
                <w:lang w:val="es-AR"/>
              </w:rPr>
              <w:t xml:space="preserve"> </w:t>
            </w:r>
            <w:r w:rsidRPr="00AE3A84">
              <w:rPr>
                <w:spacing w:val="-1"/>
                <w:lang w:val="es-AR"/>
              </w:rPr>
              <w:t>Rojas</w:t>
            </w:r>
            <w:r w:rsidRPr="00AE3A84">
              <w:rPr>
                <w:spacing w:val="-6"/>
                <w:lang w:val="es-AR"/>
              </w:rPr>
              <w:t xml:space="preserve"> </w:t>
            </w:r>
            <w:r w:rsidRPr="00AE3A84">
              <w:rPr>
                <w:spacing w:val="-1"/>
                <w:lang w:val="es-AR"/>
              </w:rPr>
              <w:t>Cornejo</w:t>
            </w:r>
          </w:p>
        </w:tc>
        <w:tc>
          <w:tcPr>
            <w:tcW w:w="1119" w:type="dxa"/>
            <w:vAlign w:val="center"/>
          </w:tcPr>
          <w:p w14:paraId="0AF2ADA1"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1AFBB848" w14:textId="77777777" w:rsidR="0057201B" w:rsidRPr="00AE3A84" w:rsidRDefault="0057201B">
            <w:pPr>
              <w:pStyle w:val="BodyText"/>
              <w:jc w:val="center"/>
              <w:rPr>
                <w:spacing w:val="-1"/>
              </w:rPr>
            </w:pPr>
            <w:r w:rsidRPr="002F54BD">
              <w:rPr>
                <w:spacing w:val="-1"/>
              </w:rPr>
              <w:t>208/22</w:t>
            </w:r>
          </w:p>
        </w:tc>
        <w:tc>
          <w:tcPr>
            <w:tcW w:w="1289" w:type="dxa"/>
            <w:vAlign w:val="center"/>
          </w:tcPr>
          <w:p w14:paraId="45D95DE0" w14:textId="77777777" w:rsidR="0057201B" w:rsidRPr="00AE3A84" w:rsidRDefault="0057201B">
            <w:pPr>
              <w:pStyle w:val="BodyText"/>
              <w:rPr>
                <w:lang w:val="es-ES"/>
              </w:rPr>
            </w:pPr>
            <w:r w:rsidRPr="00AE3A84">
              <w:rPr>
                <w:spacing w:val="-1"/>
              </w:rPr>
              <w:t>8/13/2022</w:t>
            </w:r>
          </w:p>
        </w:tc>
        <w:tc>
          <w:tcPr>
            <w:tcW w:w="1329" w:type="dxa"/>
            <w:vAlign w:val="center"/>
          </w:tcPr>
          <w:p w14:paraId="3EF32B4C" w14:textId="77777777" w:rsidR="0057201B" w:rsidRPr="00AE3A84" w:rsidRDefault="0057201B">
            <w:pPr>
              <w:pStyle w:val="BodyText"/>
              <w:rPr>
                <w:lang w:val="es-ES"/>
              </w:rPr>
            </w:pPr>
            <w:r w:rsidRPr="00AE3A84">
              <w:rPr>
                <w:spacing w:val="-1"/>
              </w:rPr>
              <w:t>27-13</w:t>
            </w:r>
          </w:p>
        </w:tc>
        <w:tc>
          <w:tcPr>
            <w:tcW w:w="1350" w:type="dxa"/>
            <w:vAlign w:val="center"/>
          </w:tcPr>
          <w:p w14:paraId="11D0E30C" w14:textId="77777777" w:rsidR="0057201B" w:rsidRPr="00AE3A84" w:rsidRDefault="0057201B">
            <w:pPr>
              <w:pStyle w:val="BodyText"/>
              <w:rPr>
                <w:lang w:val="es-ES"/>
              </w:rPr>
            </w:pPr>
            <w:r w:rsidRPr="00AE3A84">
              <w:rPr>
                <w:spacing w:val="-1"/>
              </w:rPr>
              <w:t>15.065</w:t>
            </w:r>
          </w:p>
        </w:tc>
      </w:tr>
      <w:tr w:rsidR="0057201B" w:rsidRPr="00AE3A84" w14:paraId="21BD8AAB" w14:textId="77777777">
        <w:tc>
          <w:tcPr>
            <w:tcW w:w="534" w:type="dxa"/>
            <w:vAlign w:val="center"/>
          </w:tcPr>
          <w:p w14:paraId="2693F08C" w14:textId="77777777" w:rsidR="0057201B" w:rsidRPr="00AE3A84" w:rsidRDefault="0057201B" w:rsidP="00933F91">
            <w:pPr>
              <w:pStyle w:val="BodyText"/>
              <w:widowControl/>
              <w:numPr>
                <w:ilvl w:val="0"/>
                <w:numId w:val="57"/>
              </w:numPr>
              <w:rPr>
                <w:lang w:val="es-ES"/>
              </w:rPr>
            </w:pPr>
          </w:p>
        </w:tc>
        <w:tc>
          <w:tcPr>
            <w:tcW w:w="2953" w:type="dxa"/>
            <w:vAlign w:val="center"/>
          </w:tcPr>
          <w:p w14:paraId="147FF3B1" w14:textId="77777777" w:rsidR="0057201B" w:rsidRPr="00AE3A84" w:rsidRDefault="0057201B">
            <w:pPr>
              <w:pStyle w:val="BodyText"/>
              <w:rPr>
                <w:lang w:val="es-ES"/>
              </w:rPr>
            </w:pPr>
            <w:r w:rsidRPr="00AE3A84">
              <w:rPr>
                <w:spacing w:val="-1"/>
              </w:rPr>
              <w:t>Leopoldo</w:t>
            </w:r>
            <w:r w:rsidRPr="00AE3A84">
              <w:rPr>
                <w:spacing w:val="-10"/>
              </w:rPr>
              <w:t xml:space="preserve"> </w:t>
            </w:r>
            <w:r w:rsidRPr="00AE3A84">
              <w:rPr>
                <w:spacing w:val="-1"/>
              </w:rPr>
              <w:t>Fernández</w:t>
            </w:r>
            <w:r w:rsidRPr="00AE3A84">
              <w:rPr>
                <w:spacing w:val="-9"/>
              </w:rPr>
              <w:t xml:space="preserve"> </w:t>
            </w:r>
            <w:r w:rsidRPr="00AE3A84">
              <w:t>Ferreira</w:t>
            </w:r>
          </w:p>
        </w:tc>
        <w:tc>
          <w:tcPr>
            <w:tcW w:w="1119" w:type="dxa"/>
            <w:vAlign w:val="center"/>
          </w:tcPr>
          <w:p w14:paraId="0BB4960F" w14:textId="77777777" w:rsidR="0057201B" w:rsidRPr="00AE3A84" w:rsidRDefault="0057201B">
            <w:pPr>
              <w:pStyle w:val="BodyText"/>
              <w:rPr>
                <w:lang w:val="es-ES"/>
              </w:rPr>
            </w:pPr>
            <w:r w:rsidRPr="00AE3A84">
              <w:rPr>
                <w:spacing w:val="-1"/>
              </w:rPr>
              <w:t>Bolivia</w:t>
            </w:r>
          </w:p>
        </w:tc>
        <w:tc>
          <w:tcPr>
            <w:tcW w:w="1141" w:type="dxa"/>
            <w:vAlign w:val="center"/>
          </w:tcPr>
          <w:p w14:paraId="29ED7F3D" w14:textId="77777777" w:rsidR="0057201B" w:rsidRPr="00AE3A84" w:rsidRDefault="0057201B">
            <w:pPr>
              <w:pStyle w:val="BodyText"/>
              <w:jc w:val="center"/>
              <w:rPr>
                <w:spacing w:val="-1"/>
              </w:rPr>
            </w:pPr>
            <w:r w:rsidRPr="002F54BD">
              <w:rPr>
                <w:spacing w:val="-1"/>
              </w:rPr>
              <w:t>210/22</w:t>
            </w:r>
          </w:p>
        </w:tc>
        <w:tc>
          <w:tcPr>
            <w:tcW w:w="1289" w:type="dxa"/>
            <w:vAlign w:val="center"/>
          </w:tcPr>
          <w:p w14:paraId="17370D12" w14:textId="77777777" w:rsidR="0057201B" w:rsidRPr="00AE3A84" w:rsidRDefault="0057201B">
            <w:pPr>
              <w:pStyle w:val="BodyText"/>
              <w:rPr>
                <w:lang w:val="es-ES"/>
              </w:rPr>
            </w:pPr>
            <w:r w:rsidRPr="00AE3A84">
              <w:rPr>
                <w:spacing w:val="-1"/>
              </w:rPr>
              <w:t>8/24/2022</w:t>
            </w:r>
          </w:p>
        </w:tc>
        <w:tc>
          <w:tcPr>
            <w:tcW w:w="1329" w:type="dxa"/>
            <w:vAlign w:val="center"/>
          </w:tcPr>
          <w:p w14:paraId="35FD3113" w14:textId="77777777" w:rsidR="0057201B" w:rsidRPr="00AE3A84" w:rsidRDefault="0057201B">
            <w:pPr>
              <w:pStyle w:val="BodyText"/>
              <w:rPr>
                <w:lang w:val="es-ES"/>
              </w:rPr>
            </w:pPr>
            <w:r w:rsidRPr="00AE3A84">
              <w:rPr>
                <w:spacing w:val="-1"/>
              </w:rPr>
              <w:t>115-09</w:t>
            </w:r>
          </w:p>
        </w:tc>
        <w:tc>
          <w:tcPr>
            <w:tcW w:w="1350" w:type="dxa"/>
            <w:vAlign w:val="center"/>
          </w:tcPr>
          <w:p w14:paraId="4D506EF5" w14:textId="77777777" w:rsidR="0057201B" w:rsidRPr="00AE3A84" w:rsidRDefault="0057201B">
            <w:pPr>
              <w:pStyle w:val="BodyText"/>
              <w:rPr>
                <w:lang w:val="es-ES"/>
              </w:rPr>
            </w:pPr>
            <w:r w:rsidRPr="00AE3A84">
              <w:rPr>
                <w:spacing w:val="-1"/>
              </w:rPr>
              <w:t>15.033</w:t>
            </w:r>
          </w:p>
        </w:tc>
      </w:tr>
      <w:tr w:rsidR="0057201B" w:rsidRPr="00AE3A84" w14:paraId="7A353A5C" w14:textId="77777777">
        <w:tc>
          <w:tcPr>
            <w:tcW w:w="534" w:type="dxa"/>
            <w:vAlign w:val="center"/>
          </w:tcPr>
          <w:p w14:paraId="7F7D778B" w14:textId="77777777" w:rsidR="0057201B" w:rsidRPr="00AE3A84" w:rsidRDefault="0057201B" w:rsidP="00933F91">
            <w:pPr>
              <w:pStyle w:val="BodyText"/>
              <w:widowControl/>
              <w:numPr>
                <w:ilvl w:val="0"/>
                <w:numId w:val="57"/>
              </w:numPr>
              <w:rPr>
                <w:lang w:val="es-ES"/>
              </w:rPr>
            </w:pPr>
          </w:p>
        </w:tc>
        <w:tc>
          <w:tcPr>
            <w:tcW w:w="2953" w:type="dxa"/>
            <w:vAlign w:val="center"/>
          </w:tcPr>
          <w:p w14:paraId="0B5FFCE5" w14:textId="77777777" w:rsidR="0057201B" w:rsidRPr="00231096" w:rsidRDefault="0057201B">
            <w:pPr>
              <w:pStyle w:val="BodyText"/>
            </w:pPr>
            <w:r w:rsidRPr="00231096">
              <w:rPr>
                <w:spacing w:val="-1"/>
              </w:rPr>
              <w:t>Sagla</w:t>
            </w:r>
            <w:r w:rsidRPr="00231096">
              <w:rPr>
                <w:spacing w:val="-6"/>
              </w:rPr>
              <w:t xml:space="preserve"> </w:t>
            </w:r>
            <w:r w:rsidRPr="00231096">
              <w:rPr>
                <w:spacing w:val="-1"/>
              </w:rPr>
              <w:t>Ernesto</w:t>
            </w:r>
            <w:r w:rsidRPr="00231096">
              <w:rPr>
                <w:spacing w:val="-5"/>
              </w:rPr>
              <w:t xml:space="preserve"> </w:t>
            </w:r>
            <w:r w:rsidRPr="00231096">
              <w:t>Ayala</w:t>
            </w:r>
            <w:r w:rsidRPr="00231096">
              <w:rPr>
                <w:spacing w:val="-6"/>
              </w:rPr>
              <w:t xml:space="preserve"> </w:t>
            </w:r>
            <w:r w:rsidRPr="00231096">
              <w:t>and Othe</w:t>
            </w:r>
            <w:r>
              <w:t>rs</w:t>
            </w:r>
          </w:p>
        </w:tc>
        <w:tc>
          <w:tcPr>
            <w:tcW w:w="1119" w:type="dxa"/>
            <w:vAlign w:val="center"/>
          </w:tcPr>
          <w:p w14:paraId="7C759828" w14:textId="77777777" w:rsidR="0057201B" w:rsidRPr="00AE3A84" w:rsidRDefault="0057201B">
            <w:pPr>
              <w:pStyle w:val="BodyText"/>
              <w:rPr>
                <w:lang w:val="es-ES"/>
              </w:rPr>
            </w:pPr>
            <w:r w:rsidRPr="00AE3A84">
              <w:rPr>
                <w:spacing w:val="-1"/>
              </w:rPr>
              <w:t>Panam</w:t>
            </w:r>
            <w:r>
              <w:rPr>
                <w:spacing w:val="-1"/>
              </w:rPr>
              <w:t>a</w:t>
            </w:r>
          </w:p>
        </w:tc>
        <w:tc>
          <w:tcPr>
            <w:tcW w:w="1141" w:type="dxa"/>
            <w:vAlign w:val="center"/>
          </w:tcPr>
          <w:p w14:paraId="465B34DC" w14:textId="77777777" w:rsidR="0057201B" w:rsidRPr="00AE3A84" w:rsidRDefault="0057201B">
            <w:pPr>
              <w:pStyle w:val="BodyText"/>
              <w:jc w:val="center"/>
              <w:rPr>
                <w:spacing w:val="-1"/>
              </w:rPr>
            </w:pPr>
            <w:r w:rsidRPr="002F54BD">
              <w:rPr>
                <w:spacing w:val="-1"/>
              </w:rPr>
              <w:t>213/22</w:t>
            </w:r>
          </w:p>
        </w:tc>
        <w:tc>
          <w:tcPr>
            <w:tcW w:w="1289" w:type="dxa"/>
            <w:vAlign w:val="center"/>
          </w:tcPr>
          <w:p w14:paraId="3407BF5A" w14:textId="77777777" w:rsidR="0057201B" w:rsidRPr="00AE3A84" w:rsidRDefault="0057201B">
            <w:pPr>
              <w:pStyle w:val="BodyText"/>
              <w:rPr>
                <w:lang w:val="es-ES"/>
              </w:rPr>
            </w:pPr>
            <w:r w:rsidRPr="00AE3A84">
              <w:rPr>
                <w:spacing w:val="-1"/>
              </w:rPr>
              <w:t>8/11/2022</w:t>
            </w:r>
          </w:p>
        </w:tc>
        <w:tc>
          <w:tcPr>
            <w:tcW w:w="1329" w:type="dxa"/>
            <w:vAlign w:val="center"/>
          </w:tcPr>
          <w:p w14:paraId="2844BAF6" w14:textId="77777777" w:rsidR="0057201B" w:rsidRPr="00AE3A84" w:rsidRDefault="0057201B">
            <w:pPr>
              <w:pStyle w:val="BodyText"/>
              <w:rPr>
                <w:lang w:val="es-ES"/>
              </w:rPr>
            </w:pPr>
            <w:r w:rsidRPr="00AE3A84">
              <w:rPr>
                <w:spacing w:val="-1"/>
              </w:rPr>
              <w:t>79-15</w:t>
            </w:r>
          </w:p>
        </w:tc>
        <w:tc>
          <w:tcPr>
            <w:tcW w:w="1350" w:type="dxa"/>
            <w:vAlign w:val="center"/>
          </w:tcPr>
          <w:p w14:paraId="6FC52BFB" w14:textId="77777777" w:rsidR="0057201B" w:rsidRPr="00AE3A84" w:rsidRDefault="0057201B">
            <w:pPr>
              <w:pStyle w:val="BodyText"/>
              <w:rPr>
                <w:lang w:val="es-ES"/>
              </w:rPr>
            </w:pPr>
            <w:r w:rsidRPr="00AE3A84">
              <w:rPr>
                <w:spacing w:val="-1"/>
              </w:rPr>
              <w:t>15.066</w:t>
            </w:r>
          </w:p>
        </w:tc>
      </w:tr>
      <w:tr w:rsidR="0057201B" w:rsidRPr="00AE3A84" w14:paraId="266E790A" w14:textId="77777777">
        <w:tc>
          <w:tcPr>
            <w:tcW w:w="534" w:type="dxa"/>
            <w:vAlign w:val="center"/>
          </w:tcPr>
          <w:p w14:paraId="670CD720" w14:textId="77777777" w:rsidR="0057201B" w:rsidRPr="00AE3A84" w:rsidRDefault="0057201B" w:rsidP="00933F91">
            <w:pPr>
              <w:pStyle w:val="BodyText"/>
              <w:widowControl/>
              <w:numPr>
                <w:ilvl w:val="0"/>
                <w:numId w:val="57"/>
              </w:numPr>
              <w:rPr>
                <w:lang w:val="es-ES"/>
              </w:rPr>
            </w:pPr>
          </w:p>
        </w:tc>
        <w:tc>
          <w:tcPr>
            <w:tcW w:w="2953" w:type="dxa"/>
            <w:vAlign w:val="center"/>
          </w:tcPr>
          <w:p w14:paraId="72A5E2A1" w14:textId="77777777" w:rsidR="0057201B" w:rsidRPr="00AE3A84" w:rsidRDefault="0057201B">
            <w:pPr>
              <w:pStyle w:val="BodyText"/>
              <w:rPr>
                <w:lang w:val="es-ES"/>
              </w:rPr>
            </w:pPr>
            <w:r w:rsidRPr="00AE3A84">
              <w:rPr>
                <w:spacing w:val="-1"/>
                <w:lang w:val="es-AR"/>
              </w:rPr>
              <w:t>Aberlardo</w:t>
            </w:r>
            <w:r w:rsidRPr="00AE3A84">
              <w:rPr>
                <w:spacing w:val="-7"/>
                <w:lang w:val="es-AR"/>
              </w:rPr>
              <w:t xml:space="preserve"> </w:t>
            </w:r>
            <w:r w:rsidRPr="00AE3A84">
              <w:rPr>
                <w:lang w:val="es-AR"/>
              </w:rPr>
              <w:t>Árevalo</w:t>
            </w:r>
            <w:r w:rsidRPr="00AE3A84">
              <w:rPr>
                <w:spacing w:val="-6"/>
                <w:lang w:val="es-AR"/>
              </w:rPr>
              <w:t xml:space="preserve"> </w:t>
            </w:r>
            <w:r w:rsidRPr="00AE3A84">
              <w:rPr>
                <w:spacing w:val="-1"/>
                <w:lang w:val="es-AR"/>
              </w:rPr>
              <w:t>Choque</w:t>
            </w:r>
            <w:r w:rsidRPr="00AE3A84">
              <w:rPr>
                <w:spacing w:val="-5"/>
                <w:lang w:val="es-AR"/>
              </w:rPr>
              <w:t xml:space="preserve"> </w:t>
            </w:r>
            <w:r>
              <w:rPr>
                <w:lang w:val="es-AR"/>
              </w:rPr>
              <w:t>et al.</w:t>
            </w:r>
          </w:p>
        </w:tc>
        <w:tc>
          <w:tcPr>
            <w:tcW w:w="1119" w:type="dxa"/>
            <w:vAlign w:val="center"/>
          </w:tcPr>
          <w:p w14:paraId="60F42BEE" w14:textId="77777777" w:rsidR="0057201B" w:rsidRPr="00AE3A84" w:rsidRDefault="0057201B">
            <w:pPr>
              <w:pStyle w:val="BodyText"/>
              <w:rPr>
                <w:lang w:val="es-ES"/>
              </w:rPr>
            </w:pPr>
            <w:r w:rsidRPr="00AE3A84">
              <w:rPr>
                <w:spacing w:val="-1"/>
              </w:rPr>
              <w:t>Bolivia</w:t>
            </w:r>
          </w:p>
        </w:tc>
        <w:tc>
          <w:tcPr>
            <w:tcW w:w="1141" w:type="dxa"/>
            <w:vAlign w:val="center"/>
          </w:tcPr>
          <w:p w14:paraId="1246239A" w14:textId="77777777" w:rsidR="0057201B" w:rsidRPr="00AE3A84" w:rsidRDefault="0057201B">
            <w:pPr>
              <w:pStyle w:val="BodyText"/>
              <w:jc w:val="center"/>
              <w:rPr>
                <w:spacing w:val="-1"/>
              </w:rPr>
            </w:pPr>
            <w:r w:rsidRPr="002F54BD">
              <w:rPr>
                <w:spacing w:val="-1"/>
              </w:rPr>
              <w:t>214/22</w:t>
            </w:r>
          </w:p>
        </w:tc>
        <w:tc>
          <w:tcPr>
            <w:tcW w:w="1289" w:type="dxa"/>
            <w:vAlign w:val="center"/>
          </w:tcPr>
          <w:p w14:paraId="27D09221" w14:textId="77777777" w:rsidR="0057201B" w:rsidRPr="00AE3A84" w:rsidRDefault="0057201B">
            <w:pPr>
              <w:pStyle w:val="BodyText"/>
              <w:rPr>
                <w:lang w:val="es-ES"/>
              </w:rPr>
            </w:pPr>
            <w:r w:rsidRPr="00AE3A84">
              <w:rPr>
                <w:spacing w:val="-1"/>
              </w:rPr>
              <w:t>8/13/2022</w:t>
            </w:r>
          </w:p>
        </w:tc>
        <w:tc>
          <w:tcPr>
            <w:tcW w:w="1329" w:type="dxa"/>
            <w:vAlign w:val="center"/>
          </w:tcPr>
          <w:p w14:paraId="0782C4E6" w14:textId="77777777" w:rsidR="0057201B" w:rsidRPr="00AE3A84" w:rsidRDefault="0057201B">
            <w:pPr>
              <w:pStyle w:val="BodyText"/>
              <w:rPr>
                <w:lang w:val="es-ES"/>
              </w:rPr>
            </w:pPr>
            <w:r w:rsidRPr="00AE3A84">
              <w:rPr>
                <w:spacing w:val="-1"/>
              </w:rPr>
              <w:t>867-09</w:t>
            </w:r>
          </w:p>
        </w:tc>
        <w:tc>
          <w:tcPr>
            <w:tcW w:w="1350" w:type="dxa"/>
            <w:vAlign w:val="center"/>
          </w:tcPr>
          <w:p w14:paraId="3EC854EA" w14:textId="77777777" w:rsidR="0057201B" w:rsidRPr="00AE3A84" w:rsidRDefault="0057201B">
            <w:pPr>
              <w:pStyle w:val="BodyText"/>
              <w:rPr>
                <w:lang w:val="es-ES"/>
              </w:rPr>
            </w:pPr>
            <w:r w:rsidRPr="00AE3A84">
              <w:rPr>
                <w:spacing w:val="-1"/>
              </w:rPr>
              <w:t>15.034</w:t>
            </w:r>
          </w:p>
        </w:tc>
      </w:tr>
      <w:tr w:rsidR="0057201B" w:rsidRPr="00AE3A84" w14:paraId="5136EA4F" w14:textId="77777777">
        <w:tc>
          <w:tcPr>
            <w:tcW w:w="534" w:type="dxa"/>
            <w:vAlign w:val="center"/>
          </w:tcPr>
          <w:p w14:paraId="77263AEA" w14:textId="77777777" w:rsidR="0057201B" w:rsidRPr="00AE3A84" w:rsidRDefault="0057201B" w:rsidP="00933F91">
            <w:pPr>
              <w:pStyle w:val="BodyText"/>
              <w:widowControl/>
              <w:numPr>
                <w:ilvl w:val="0"/>
                <w:numId w:val="57"/>
              </w:numPr>
              <w:rPr>
                <w:lang w:val="es-ES"/>
              </w:rPr>
            </w:pPr>
          </w:p>
        </w:tc>
        <w:tc>
          <w:tcPr>
            <w:tcW w:w="2953" w:type="dxa"/>
            <w:vAlign w:val="center"/>
          </w:tcPr>
          <w:p w14:paraId="10AF0B63" w14:textId="77777777" w:rsidR="0057201B" w:rsidRPr="00AE3A84" w:rsidRDefault="0057201B">
            <w:pPr>
              <w:pStyle w:val="BodyText"/>
              <w:rPr>
                <w:lang w:val="es-ES"/>
              </w:rPr>
            </w:pPr>
            <w:r w:rsidRPr="00AE3A84">
              <w:rPr>
                <w:spacing w:val="-1"/>
                <w:lang w:val="es-AR"/>
              </w:rPr>
              <w:t>Aberlardo</w:t>
            </w:r>
            <w:r w:rsidRPr="00AE3A84">
              <w:rPr>
                <w:spacing w:val="-7"/>
                <w:lang w:val="es-AR"/>
              </w:rPr>
              <w:t xml:space="preserve"> </w:t>
            </w:r>
            <w:r w:rsidRPr="00AE3A84">
              <w:rPr>
                <w:lang w:val="es-AR"/>
              </w:rPr>
              <w:t>Árevalo</w:t>
            </w:r>
            <w:r w:rsidRPr="00AE3A84">
              <w:rPr>
                <w:spacing w:val="-6"/>
                <w:lang w:val="es-AR"/>
              </w:rPr>
              <w:t xml:space="preserve"> </w:t>
            </w:r>
            <w:r w:rsidRPr="00AE3A84">
              <w:rPr>
                <w:spacing w:val="-1"/>
                <w:lang w:val="es-AR"/>
              </w:rPr>
              <w:t>Choque</w:t>
            </w:r>
            <w:r w:rsidRPr="00AE3A84">
              <w:rPr>
                <w:spacing w:val="-5"/>
                <w:lang w:val="es-AR"/>
              </w:rPr>
              <w:t xml:space="preserve"> </w:t>
            </w:r>
            <w:r>
              <w:rPr>
                <w:lang w:val="es-AR"/>
              </w:rPr>
              <w:t>et al.</w:t>
            </w:r>
          </w:p>
        </w:tc>
        <w:tc>
          <w:tcPr>
            <w:tcW w:w="1119" w:type="dxa"/>
            <w:vAlign w:val="center"/>
          </w:tcPr>
          <w:p w14:paraId="2654897E" w14:textId="77777777" w:rsidR="0057201B" w:rsidRPr="00AE3A84" w:rsidRDefault="0057201B">
            <w:pPr>
              <w:pStyle w:val="BodyText"/>
              <w:rPr>
                <w:lang w:val="es-ES"/>
              </w:rPr>
            </w:pPr>
            <w:r w:rsidRPr="00AE3A84">
              <w:rPr>
                <w:spacing w:val="-1"/>
              </w:rPr>
              <w:t>Colombia</w:t>
            </w:r>
          </w:p>
        </w:tc>
        <w:tc>
          <w:tcPr>
            <w:tcW w:w="1141" w:type="dxa"/>
            <w:vAlign w:val="center"/>
          </w:tcPr>
          <w:p w14:paraId="142B66EA" w14:textId="77777777" w:rsidR="0057201B" w:rsidRPr="00AE3A84" w:rsidRDefault="0057201B">
            <w:pPr>
              <w:pStyle w:val="BodyText"/>
              <w:jc w:val="center"/>
              <w:rPr>
                <w:spacing w:val="-1"/>
              </w:rPr>
            </w:pPr>
            <w:r w:rsidRPr="004D7352">
              <w:rPr>
                <w:spacing w:val="-1"/>
              </w:rPr>
              <w:t>215/22</w:t>
            </w:r>
          </w:p>
        </w:tc>
        <w:tc>
          <w:tcPr>
            <w:tcW w:w="1289" w:type="dxa"/>
            <w:vAlign w:val="center"/>
          </w:tcPr>
          <w:p w14:paraId="6017E510" w14:textId="77777777" w:rsidR="0057201B" w:rsidRPr="00AE3A84" w:rsidRDefault="0057201B">
            <w:pPr>
              <w:pStyle w:val="BodyText"/>
              <w:rPr>
                <w:lang w:val="es-ES"/>
              </w:rPr>
            </w:pPr>
            <w:r w:rsidRPr="00AE3A84">
              <w:rPr>
                <w:spacing w:val="-1"/>
              </w:rPr>
              <w:t>8/24/2022</w:t>
            </w:r>
          </w:p>
        </w:tc>
        <w:tc>
          <w:tcPr>
            <w:tcW w:w="1329" w:type="dxa"/>
            <w:vAlign w:val="center"/>
          </w:tcPr>
          <w:p w14:paraId="0FBB90A6" w14:textId="77777777" w:rsidR="0057201B" w:rsidRPr="00AE3A84" w:rsidRDefault="0057201B">
            <w:pPr>
              <w:pStyle w:val="BodyText"/>
              <w:rPr>
                <w:lang w:val="es-ES"/>
              </w:rPr>
            </w:pPr>
            <w:r w:rsidRPr="00AE3A84">
              <w:rPr>
                <w:spacing w:val="-1"/>
              </w:rPr>
              <w:t>1465-08</w:t>
            </w:r>
          </w:p>
        </w:tc>
        <w:tc>
          <w:tcPr>
            <w:tcW w:w="1350" w:type="dxa"/>
            <w:vAlign w:val="center"/>
          </w:tcPr>
          <w:p w14:paraId="29A8F11F" w14:textId="77777777" w:rsidR="0057201B" w:rsidRPr="00AE3A84" w:rsidRDefault="0057201B">
            <w:pPr>
              <w:pStyle w:val="BodyText"/>
              <w:rPr>
                <w:lang w:val="es-ES"/>
              </w:rPr>
            </w:pPr>
            <w:r w:rsidRPr="00AE3A84">
              <w:rPr>
                <w:spacing w:val="-1"/>
              </w:rPr>
              <w:t>15.035</w:t>
            </w:r>
          </w:p>
        </w:tc>
      </w:tr>
      <w:tr w:rsidR="0057201B" w:rsidRPr="00AE3A84" w14:paraId="5BDC68FB" w14:textId="77777777">
        <w:tc>
          <w:tcPr>
            <w:tcW w:w="534" w:type="dxa"/>
            <w:vAlign w:val="center"/>
          </w:tcPr>
          <w:p w14:paraId="42C7AD71" w14:textId="77777777" w:rsidR="0057201B" w:rsidRPr="00AE3A84" w:rsidRDefault="0057201B" w:rsidP="00933F91">
            <w:pPr>
              <w:pStyle w:val="BodyText"/>
              <w:widowControl/>
              <w:numPr>
                <w:ilvl w:val="0"/>
                <w:numId w:val="57"/>
              </w:numPr>
              <w:rPr>
                <w:lang w:val="es-ES"/>
              </w:rPr>
            </w:pPr>
          </w:p>
        </w:tc>
        <w:tc>
          <w:tcPr>
            <w:tcW w:w="2953" w:type="dxa"/>
            <w:vAlign w:val="center"/>
          </w:tcPr>
          <w:p w14:paraId="0155B29A" w14:textId="77777777" w:rsidR="0057201B" w:rsidRPr="00AE3A84" w:rsidRDefault="0057201B">
            <w:pPr>
              <w:pStyle w:val="BodyText"/>
              <w:rPr>
                <w:lang w:val="es-ES"/>
              </w:rPr>
            </w:pPr>
            <w:r w:rsidRPr="00AE3A84">
              <w:rPr>
                <w:spacing w:val="-1"/>
                <w:lang w:val="es-AR"/>
              </w:rPr>
              <w:t>Mario</w:t>
            </w:r>
            <w:r w:rsidRPr="00AE3A84">
              <w:rPr>
                <w:spacing w:val="-6"/>
                <w:lang w:val="es-AR"/>
              </w:rPr>
              <w:t xml:space="preserve"> </w:t>
            </w:r>
            <w:r w:rsidRPr="00AE3A84">
              <w:rPr>
                <w:spacing w:val="-1"/>
                <w:lang w:val="es-AR"/>
              </w:rPr>
              <w:t>Alcides</w:t>
            </w:r>
            <w:r w:rsidRPr="00AE3A84">
              <w:rPr>
                <w:spacing w:val="-6"/>
                <w:lang w:val="es-AR"/>
              </w:rPr>
              <w:t xml:space="preserve"> </w:t>
            </w:r>
            <w:r w:rsidRPr="00AE3A84">
              <w:rPr>
                <w:spacing w:val="-1"/>
                <w:lang w:val="es-AR"/>
              </w:rPr>
              <w:t>Lopera</w:t>
            </w:r>
            <w:r w:rsidRPr="00AE3A84">
              <w:rPr>
                <w:spacing w:val="-6"/>
                <w:lang w:val="es-AR"/>
              </w:rPr>
              <w:t xml:space="preserve"> </w:t>
            </w:r>
            <w:r w:rsidRPr="00AE3A84">
              <w:rPr>
                <w:lang w:val="es-AR"/>
              </w:rPr>
              <w:t>Herrera</w:t>
            </w:r>
            <w:r>
              <w:rPr>
                <w:lang w:val="es-AR"/>
              </w:rPr>
              <w:t xml:space="preserve"> and Family</w:t>
            </w:r>
          </w:p>
        </w:tc>
        <w:tc>
          <w:tcPr>
            <w:tcW w:w="1119" w:type="dxa"/>
            <w:vAlign w:val="center"/>
          </w:tcPr>
          <w:p w14:paraId="4FB17CA9" w14:textId="77777777" w:rsidR="0057201B" w:rsidRPr="00AE3A84" w:rsidRDefault="0057201B">
            <w:pPr>
              <w:pStyle w:val="BodyText"/>
              <w:rPr>
                <w:lang w:val="es-ES"/>
              </w:rPr>
            </w:pPr>
            <w:r w:rsidRPr="00AE3A84">
              <w:rPr>
                <w:spacing w:val="-1"/>
              </w:rPr>
              <w:t>Colombia</w:t>
            </w:r>
          </w:p>
        </w:tc>
        <w:tc>
          <w:tcPr>
            <w:tcW w:w="1141" w:type="dxa"/>
            <w:vAlign w:val="center"/>
          </w:tcPr>
          <w:p w14:paraId="67083A82" w14:textId="77777777" w:rsidR="0057201B" w:rsidRPr="00AE3A84" w:rsidRDefault="0057201B">
            <w:pPr>
              <w:pStyle w:val="BodyText"/>
              <w:jc w:val="center"/>
              <w:rPr>
                <w:spacing w:val="-1"/>
              </w:rPr>
            </w:pPr>
            <w:r w:rsidRPr="004D7352">
              <w:rPr>
                <w:spacing w:val="-1"/>
              </w:rPr>
              <w:t>216/22</w:t>
            </w:r>
          </w:p>
        </w:tc>
        <w:tc>
          <w:tcPr>
            <w:tcW w:w="1289" w:type="dxa"/>
            <w:vAlign w:val="center"/>
          </w:tcPr>
          <w:p w14:paraId="41B96DBC" w14:textId="77777777" w:rsidR="0057201B" w:rsidRPr="00AE3A84" w:rsidRDefault="0057201B">
            <w:pPr>
              <w:pStyle w:val="BodyText"/>
              <w:rPr>
                <w:lang w:val="es-ES"/>
              </w:rPr>
            </w:pPr>
            <w:r w:rsidRPr="00AE3A84">
              <w:rPr>
                <w:spacing w:val="-1"/>
              </w:rPr>
              <w:t>8/15/2022</w:t>
            </w:r>
          </w:p>
        </w:tc>
        <w:tc>
          <w:tcPr>
            <w:tcW w:w="1329" w:type="dxa"/>
            <w:vAlign w:val="center"/>
          </w:tcPr>
          <w:p w14:paraId="01B39D57" w14:textId="77777777" w:rsidR="0057201B" w:rsidRPr="00AE3A84" w:rsidRDefault="0057201B">
            <w:pPr>
              <w:pStyle w:val="BodyText"/>
              <w:rPr>
                <w:lang w:val="es-ES"/>
              </w:rPr>
            </w:pPr>
            <w:r w:rsidRPr="00AE3A84">
              <w:rPr>
                <w:spacing w:val="-1"/>
              </w:rPr>
              <w:t>1119-09</w:t>
            </w:r>
          </w:p>
        </w:tc>
        <w:tc>
          <w:tcPr>
            <w:tcW w:w="1350" w:type="dxa"/>
            <w:vAlign w:val="center"/>
          </w:tcPr>
          <w:p w14:paraId="62A7D67D" w14:textId="77777777" w:rsidR="0057201B" w:rsidRPr="00AE3A84" w:rsidRDefault="0057201B">
            <w:pPr>
              <w:pStyle w:val="BodyText"/>
              <w:rPr>
                <w:lang w:val="es-ES"/>
              </w:rPr>
            </w:pPr>
            <w:r w:rsidRPr="00AE3A84">
              <w:rPr>
                <w:spacing w:val="-1"/>
              </w:rPr>
              <w:t>15.036</w:t>
            </w:r>
          </w:p>
        </w:tc>
      </w:tr>
      <w:tr w:rsidR="0057201B" w:rsidRPr="00AE3A84" w14:paraId="6EC2BECF" w14:textId="77777777">
        <w:tc>
          <w:tcPr>
            <w:tcW w:w="534" w:type="dxa"/>
            <w:vAlign w:val="center"/>
          </w:tcPr>
          <w:p w14:paraId="31B4416C" w14:textId="77777777" w:rsidR="0057201B" w:rsidRPr="00AE3A84" w:rsidRDefault="0057201B" w:rsidP="00933F91">
            <w:pPr>
              <w:pStyle w:val="BodyText"/>
              <w:widowControl/>
              <w:numPr>
                <w:ilvl w:val="0"/>
                <w:numId w:val="57"/>
              </w:numPr>
              <w:rPr>
                <w:lang w:val="es-ES"/>
              </w:rPr>
            </w:pPr>
          </w:p>
        </w:tc>
        <w:tc>
          <w:tcPr>
            <w:tcW w:w="2953" w:type="dxa"/>
            <w:vAlign w:val="center"/>
          </w:tcPr>
          <w:p w14:paraId="6B3E96B6" w14:textId="77777777" w:rsidR="0057201B" w:rsidRPr="00137ACB" w:rsidRDefault="0057201B">
            <w:pPr>
              <w:pStyle w:val="BodyText"/>
              <w:rPr>
                <w:lang w:val="pt-BR"/>
              </w:rPr>
            </w:pPr>
            <w:r w:rsidRPr="00137ACB">
              <w:rPr>
                <w:spacing w:val="-1"/>
                <w:lang w:val="pt-BR"/>
              </w:rPr>
              <w:t>Grover</w:t>
            </w:r>
            <w:r w:rsidRPr="00137ACB">
              <w:rPr>
                <w:spacing w:val="-6"/>
                <w:lang w:val="pt-BR"/>
              </w:rPr>
              <w:t xml:space="preserve"> </w:t>
            </w:r>
            <w:r w:rsidRPr="00137ACB">
              <w:rPr>
                <w:spacing w:val="-1"/>
                <w:lang w:val="pt-BR"/>
              </w:rPr>
              <w:t>Beto</w:t>
            </w:r>
            <w:r w:rsidRPr="00137ACB">
              <w:rPr>
                <w:spacing w:val="-5"/>
                <w:lang w:val="pt-BR"/>
              </w:rPr>
              <w:t xml:space="preserve"> </w:t>
            </w:r>
            <w:r w:rsidRPr="00137ACB">
              <w:rPr>
                <w:spacing w:val="-1"/>
                <w:lang w:val="pt-BR"/>
              </w:rPr>
              <w:t>Poma</w:t>
            </w:r>
            <w:r w:rsidRPr="00137ACB">
              <w:rPr>
                <w:spacing w:val="-6"/>
                <w:lang w:val="pt-BR"/>
              </w:rPr>
              <w:t xml:space="preserve"> </w:t>
            </w:r>
            <w:r w:rsidRPr="00137ACB">
              <w:rPr>
                <w:spacing w:val="-1"/>
                <w:lang w:val="pt-BR"/>
              </w:rPr>
              <w:t>Guanto</w:t>
            </w:r>
            <w:r w:rsidRPr="00137ACB">
              <w:rPr>
                <w:spacing w:val="-6"/>
                <w:lang w:val="pt-BR"/>
              </w:rPr>
              <w:t xml:space="preserve"> </w:t>
            </w:r>
            <w:r w:rsidRPr="00137ACB">
              <w:rPr>
                <w:lang w:val="pt-BR"/>
              </w:rPr>
              <w:t>and Relatives</w:t>
            </w:r>
          </w:p>
        </w:tc>
        <w:tc>
          <w:tcPr>
            <w:tcW w:w="1119" w:type="dxa"/>
            <w:vAlign w:val="center"/>
          </w:tcPr>
          <w:p w14:paraId="5B28B316" w14:textId="77777777" w:rsidR="0057201B" w:rsidRPr="00AE3A84" w:rsidRDefault="0057201B">
            <w:pPr>
              <w:pStyle w:val="BodyText"/>
              <w:rPr>
                <w:lang w:val="es-ES"/>
              </w:rPr>
            </w:pPr>
            <w:r w:rsidRPr="00AE3A84">
              <w:rPr>
                <w:spacing w:val="-1"/>
              </w:rPr>
              <w:t>Bolivia</w:t>
            </w:r>
          </w:p>
        </w:tc>
        <w:tc>
          <w:tcPr>
            <w:tcW w:w="1141" w:type="dxa"/>
            <w:vAlign w:val="center"/>
          </w:tcPr>
          <w:p w14:paraId="436B2D48" w14:textId="77777777" w:rsidR="0057201B" w:rsidRPr="00AE3A84" w:rsidRDefault="0057201B">
            <w:pPr>
              <w:pStyle w:val="BodyText"/>
              <w:jc w:val="center"/>
              <w:rPr>
                <w:spacing w:val="-1"/>
              </w:rPr>
            </w:pPr>
            <w:r w:rsidRPr="004D7352">
              <w:rPr>
                <w:spacing w:val="-1"/>
              </w:rPr>
              <w:t>219/22</w:t>
            </w:r>
          </w:p>
        </w:tc>
        <w:tc>
          <w:tcPr>
            <w:tcW w:w="1289" w:type="dxa"/>
            <w:vAlign w:val="center"/>
          </w:tcPr>
          <w:p w14:paraId="01B4F847" w14:textId="77777777" w:rsidR="0057201B" w:rsidRPr="00AE3A84" w:rsidRDefault="0057201B">
            <w:pPr>
              <w:pStyle w:val="BodyText"/>
              <w:rPr>
                <w:lang w:val="es-ES"/>
              </w:rPr>
            </w:pPr>
            <w:r w:rsidRPr="00AE3A84">
              <w:rPr>
                <w:spacing w:val="-1"/>
              </w:rPr>
              <w:t>8/13/2022</w:t>
            </w:r>
          </w:p>
        </w:tc>
        <w:tc>
          <w:tcPr>
            <w:tcW w:w="1329" w:type="dxa"/>
            <w:vAlign w:val="center"/>
          </w:tcPr>
          <w:p w14:paraId="16A57C75" w14:textId="77777777" w:rsidR="0057201B" w:rsidRPr="00AE3A84" w:rsidRDefault="0057201B">
            <w:pPr>
              <w:pStyle w:val="BodyText"/>
              <w:rPr>
                <w:lang w:val="es-ES"/>
              </w:rPr>
            </w:pPr>
            <w:r w:rsidRPr="00AE3A84">
              <w:rPr>
                <w:spacing w:val="-1"/>
              </w:rPr>
              <w:t>1672-12</w:t>
            </w:r>
          </w:p>
        </w:tc>
        <w:tc>
          <w:tcPr>
            <w:tcW w:w="1350" w:type="dxa"/>
            <w:vAlign w:val="center"/>
          </w:tcPr>
          <w:p w14:paraId="65A464FA" w14:textId="77777777" w:rsidR="0057201B" w:rsidRPr="00AE3A84" w:rsidRDefault="0057201B">
            <w:pPr>
              <w:pStyle w:val="BodyText"/>
              <w:rPr>
                <w:lang w:val="es-ES"/>
              </w:rPr>
            </w:pPr>
            <w:r w:rsidRPr="00AE3A84">
              <w:rPr>
                <w:spacing w:val="-1"/>
              </w:rPr>
              <w:t>15.037</w:t>
            </w:r>
          </w:p>
        </w:tc>
      </w:tr>
      <w:tr w:rsidR="0057201B" w:rsidRPr="00AE3A84" w14:paraId="461FA10B" w14:textId="77777777">
        <w:tc>
          <w:tcPr>
            <w:tcW w:w="534" w:type="dxa"/>
            <w:vAlign w:val="center"/>
          </w:tcPr>
          <w:p w14:paraId="401EEBEF" w14:textId="77777777" w:rsidR="0057201B" w:rsidRPr="00AE3A84" w:rsidRDefault="0057201B" w:rsidP="00933F91">
            <w:pPr>
              <w:pStyle w:val="BodyText"/>
              <w:widowControl/>
              <w:numPr>
                <w:ilvl w:val="0"/>
                <w:numId w:val="57"/>
              </w:numPr>
              <w:rPr>
                <w:lang w:val="es-ES"/>
              </w:rPr>
            </w:pPr>
          </w:p>
        </w:tc>
        <w:tc>
          <w:tcPr>
            <w:tcW w:w="2953" w:type="dxa"/>
            <w:vAlign w:val="center"/>
          </w:tcPr>
          <w:p w14:paraId="7D4DF67A" w14:textId="77777777" w:rsidR="0057201B" w:rsidRPr="00137ACB" w:rsidRDefault="0057201B">
            <w:pPr>
              <w:pStyle w:val="BodyText"/>
              <w:rPr>
                <w:lang w:val="pt-BR"/>
              </w:rPr>
            </w:pPr>
            <w:r w:rsidRPr="00137ACB">
              <w:rPr>
                <w:spacing w:val="-1"/>
                <w:lang w:val="pt-BR"/>
              </w:rPr>
              <w:t>Relatives of</w:t>
            </w:r>
            <w:r w:rsidRPr="00137ACB">
              <w:rPr>
                <w:spacing w:val="-4"/>
                <w:lang w:val="pt-BR"/>
              </w:rPr>
              <w:t xml:space="preserve"> </w:t>
            </w:r>
            <w:r w:rsidRPr="00137ACB">
              <w:rPr>
                <w:spacing w:val="-1"/>
                <w:lang w:val="pt-BR"/>
              </w:rPr>
              <w:t>Luz</w:t>
            </w:r>
            <w:r w:rsidRPr="00137ACB">
              <w:rPr>
                <w:spacing w:val="-5"/>
                <w:lang w:val="pt-BR"/>
              </w:rPr>
              <w:t xml:space="preserve"> </w:t>
            </w:r>
            <w:r w:rsidRPr="00137ACB">
              <w:rPr>
                <w:spacing w:val="-1"/>
                <w:lang w:val="pt-BR"/>
              </w:rPr>
              <w:t>Elena</w:t>
            </w:r>
            <w:r w:rsidRPr="00137ACB">
              <w:rPr>
                <w:spacing w:val="-6"/>
                <w:lang w:val="pt-BR"/>
              </w:rPr>
              <w:t xml:space="preserve"> </w:t>
            </w:r>
            <w:r w:rsidRPr="00137ACB">
              <w:rPr>
                <w:spacing w:val="-1"/>
                <w:lang w:val="pt-BR"/>
              </w:rPr>
              <w:lastRenderedPageBreak/>
              <w:t>Zuluaga</w:t>
            </w:r>
            <w:r w:rsidRPr="00137ACB">
              <w:rPr>
                <w:spacing w:val="-5"/>
                <w:lang w:val="pt-BR"/>
              </w:rPr>
              <w:t xml:space="preserve"> </w:t>
            </w:r>
            <w:r w:rsidRPr="00137ACB">
              <w:rPr>
                <w:spacing w:val="-1"/>
                <w:lang w:val="pt-BR"/>
              </w:rPr>
              <w:t>Rojo</w:t>
            </w:r>
          </w:p>
        </w:tc>
        <w:tc>
          <w:tcPr>
            <w:tcW w:w="1119" w:type="dxa"/>
            <w:vAlign w:val="center"/>
          </w:tcPr>
          <w:p w14:paraId="32F5B18A" w14:textId="77777777" w:rsidR="0057201B" w:rsidRPr="00AE3A84" w:rsidRDefault="0057201B">
            <w:pPr>
              <w:pStyle w:val="BodyText"/>
              <w:rPr>
                <w:lang w:val="es-ES"/>
              </w:rPr>
            </w:pPr>
            <w:r w:rsidRPr="00AE3A84">
              <w:rPr>
                <w:spacing w:val="-1"/>
              </w:rPr>
              <w:lastRenderedPageBreak/>
              <w:t>Colombia</w:t>
            </w:r>
          </w:p>
        </w:tc>
        <w:tc>
          <w:tcPr>
            <w:tcW w:w="1141" w:type="dxa"/>
            <w:vAlign w:val="center"/>
          </w:tcPr>
          <w:p w14:paraId="16A8C17E" w14:textId="77777777" w:rsidR="0057201B" w:rsidRPr="00AE3A84" w:rsidRDefault="0057201B">
            <w:pPr>
              <w:pStyle w:val="BodyText"/>
              <w:jc w:val="center"/>
              <w:rPr>
                <w:spacing w:val="-1"/>
              </w:rPr>
            </w:pPr>
            <w:r w:rsidRPr="004D7352">
              <w:rPr>
                <w:spacing w:val="-1"/>
              </w:rPr>
              <w:t>220/22</w:t>
            </w:r>
          </w:p>
        </w:tc>
        <w:tc>
          <w:tcPr>
            <w:tcW w:w="1289" w:type="dxa"/>
            <w:vAlign w:val="center"/>
          </w:tcPr>
          <w:p w14:paraId="6313C7C0" w14:textId="77777777" w:rsidR="0057201B" w:rsidRPr="00AE3A84" w:rsidRDefault="0057201B">
            <w:pPr>
              <w:pStyle w:val="BodyText"/>
              <w:rPr>
                <w:lang w:val="es-ES"/>
              </w:rPr>
            </w:pPr>
            <w:r w:rsidRPr="00AE3A84">
              <w:rPr>
                <w:spacing w:val="-1"/>
              </w:rPr>
              <w:t>8/13/2022</w:t>
            </w:r>
          </w:p>
        </w:tc>
        <w:tc>
          <w:tcPr>
            <w:tcW w:w="1329" w:type="dxa"/>
            <w:vAlign w:val="center"/>
          </w:tcPr>
          <w:p w14:paraId="08E30DCF" w14:textId="77777777" w:rsidR="0057201B" w:rsidRPr="00AE3A84" w:rsidRDefault="0057201B">
            <w:pPr>
              <w:pStyle w:val="BodyText"/>
              <w:rPr>
                <w:lang w:val="es-ES"/>
              </w:rPr>
            </w:pPr>
            <w:r w:rsidRPr="00AE3A84">
              <w:rPr>
                <w:spacing w:val="-1"/>
              </w:rPr>
              <w:t>1650-13</w:t>
            </w:r>
          </w:p>
        </w:tc>
        <w:tc>
          <w:tcPr>
            <w:tcW w:w="1350" w:type="dxa"/>
            <w:vAlign w:val="center"/>
          </w:tcPr>
          <w:p w14:paraId="099577BF" w14:textId="77777777" w:rsidR="0057201B" w:rsidRPr="00AE3A84" w:rsidRDefault="0057201B">
            <w:pPr>
              <w:pStyle w:val="BodyText"/>
              <w:rPr>
                <w:lang w:val="es-ES"/>
              </w:rPr>
            </w:pPr>
            <w:r w:rsidRPr="00AE3A84">
              <w:rPr>
                <w:spacing w:val="-1"/>
              </w:rPr>
              <w:t>15.038</w:t>
            </w:r>
          </w:p>
        </w:tc>
      </w:tr>
      <w:tr w:rsidR="0057201B" w:rsidRPr="00AE3A84" w14:paraId="1C9C90DD" w14:textId="77777777">
        <w:tc>
          <w:tcPr>
            <w:tcW w:w="534" w:type="dxa"/>
            <w:vAlign w:val="center"/>
          </w:tcPr>
          <w:p w14:paraId="467207D9" w14:textId="77777777" w:rsidR="0057201B" w:rsidRPr="00AE3A84" w:rsidRDefault="0057201B" w:rsidP="00933F91">
            <w:pPr>
              <w:pStyle w:val="BodyText"/>
              <w:widowControl/>
              <w:numPr>
                <w:ilvl w:val="0"/>
                <w:numId w:val="57"/>
              </w:numPr>
              <w:rPr>
                <w:lang w:val="es-ES"/>
              </w:rPr>
            </w:pPr>
          </w:p>
        </w:tc>
        <w:tc>
          <w:tcPr>
            <w:tcW w:w="2953" w:type="dxa"/>
            <w:vAlign w:val="center"/>
          </w:tcPr>
          <w:p w14:paraId="1FA3FC68" w14:textId="77777777" w:rsidR="0057201B" w:rsidRPr="00AE3A84" w:rsidRDefault="0057201B">
            <w:pPr>
              <w:pStyle w:val="BodyText"/>
              <w:rPr>
                <w:lang w:val="es-ES"/>
              </w:rPr>
            </w:pPr>
            <w:r w:rsidRPr="00AE3A84">
              <w:rPr>
                <w:spacing w:val="-1"/>
              </w:rPr>
              <w:t>Hugo</w:t>
            </w:r>
            <w:r w:rsidRPr="00AE3A84">
              <w:rPr>
                <w:spacing w:val="-7"/>
              </w:rPr>
              <w:t xml:space="preserve"> </w:t>
            </w:r>
            <w:r w:rsidRPr="00AE3A84">
              <w:rPr>
                <w:spacing w:val="-1"/>
              </w:rPr>
              <w:t>Paz</w:t>
            </w:r>
            <w:r w:rsidRPr="00AE3A84">
              <w:rPr>
                <w:spacing w:val="-6"/>
              </w:rPr>
              <w:t xml:space="preserve"> </w:t>
            </w:r>
            <w:r w:rsidRPr="00AE3A84">
              <w:rPr>
                <w:spacing w:val="-1"/>
              </w:rPr>
              <w:t>Lavadez</w:t>
            </w:r>
          </w:p>
        </w:tc>
        <w:tc>
          <w:tcPr>
            <w:tcW w:w="1119" w:type="dxa"/>
            <w:vAlign w:val="center"/>
          </w:tcPr>
          <w:p w14:paraId="7116DCD2" w14:textId="77777777" w:rsidR="0057201B" w:rsidRPr="00AE3A84" w:rsidRDefault="0057201B">
            <w:pPr>
              <w:pStyle w:val="BodyText"/>
              <w:rPr>
                <w:lang w:val="es-ES"/>
              </w:rPr>
            </w:pPr>
            <w:r w:rsidRPr="00AE3A84">
              <w:rPr>
                <w:spacing w:val="-1"/>
              </w:rPr>
              <w:t>Bolivia</w:t>
            </w:r>
          </w:p>
        </w:tc>
        <w:tc>
          <w:tcPr>
            <w:tcW w:w="1141" w:type="dxa"/>
            <w:vAlign w:val="center"/>
          </w:tcPr>
          <w:p w14:paraId="15226997" w14:textId="77777777" w:rsidR="0057201B" w:rsidRPr="00AE3A84" w:rsidRDefault="0057201B">
            <w:pPr>
              <w:pStyle w:val="BodyText"/>
              <w:jc w:val="center"/>
              <w:rPr>
                <w:spacing w:val="-1"/>
              </w:rPr>
            </w:pPr>
            <w:r w:rsidRPr="004D7352">
              <w:rPr>
                <w:spacing w:val="-1"/>
              </w:rPr>
              <w:t>221/22</w:t>
            </w:r>
          </w:p>
        </w:tc>
        <w:tc>
          <w:tcPr>
            <w:tcW w:w="1289" w:type="dxa"/>
            <w:vAlign w:val="center"/>
          </w:tcPr>
          <w:p w14:paraId="64397EB9" w14:textId="77777777" w:rsidR="0057201B" w:rsidRPr="00AE3A84" w:rsidRDefault="0057201B">
            <w:pPr>
              <w:pStyle w:val="BodyText"/>
              <w:rPr>
                <w:lang w:val="es-ES"/>
              </w:rPr>
            </w:pPr>
            <w:r w:rsidRPr="00AE3A84">
              <w:rPr>
                <w:spacing w:val="-1"/>
              </w:rPr>
              <w:t>8/13/2022</w:t>
            </w:r>
          </w:p>
        </w:tc>
        <w:tc>
          <w:tcPr>
            <w:tcW w:w="1329" w:type="dxa"/>
            <w:vAlign w:val="center"/>
          </w:tcPr>
          <w:p w14:paraId="0CBF7A3E" w14:textId="77777777" w:rsidR="0057201B" w:rsidRPr="00AE3A84" w:rsidRDefault="0057201B">
            <w:pPr>
              <w:pStyle w:val="BodyText"/>
              <w:rPr>
                <w:lang w:val="es-ES"/>
              </w:rPr>
            </w:pPr>
            <w:r w:rsidRPr="00AE3A84">
              <w:rPr>
                <w:spacing w:val="-1"/>
              </w:rPr>
              <w:t>434-12</w:t>
            </w:r>
          </w:p>
        </w:tc>
        <w:tc>
          <w:tcPr>
            <w:tcW w:w="1350" w:type="dxa"/>
            <w:vAlign w:val="center"/>
          </w:tcPr>
          <w:p w14:paraId="28C159BE" w14:textId="77777777" w:rsidR="0057201B" w:rsidRPr="00AE3A84" w:rsidRDefault="0057201B">
            <w:pPr>
              <w:pStyle w:val="BodyText"/>
              <w:rPr>
                <w:lang w:val="es-ES"/>
              </w:rPr>
            </w:pPr>
            <w:r w:rsidRPr="00AE3A84">
              <w:rPr>
                <w:spacing w:val="-1"/>
              </w:rPr>
              <w:t>15.039</w:t>
            </w:r>
          </w:p>
        </w:tc>
      </w:tr>
      <w:tr w:rsidR="0057201B" w:rsidRPr="00AE3A84" w14:paraId="01A03A8F" w14:textId="77777777">
        <w:tc>
          <w:tcPr>
            <w:tcW w:w="534" w:type="dxa"/>
            <w:vAlign w:val="center"/>
          </w:tcPr>
          <w:p w14:paraId="3D6E22A9" w14:textId="77777777" w:rsidR="0057201B" w:rsidRPr="00AE3A84" w:rsidRDefault="0057201B" w:rsidP="00933F91">
            <w:pPr>
              <w:pStyle w:val="BodyText"/>
              <w:widowControl/>
              <w:numPr>
                <w:ilvl w:val="0"/>
                <w:numId w:val="57"/>
              </w:numPr>
              <w:rPr>
                <w:lang w:val="es-ES"/>
              </w:rPr>
            </w:pPr>
          </w:p>
        </w:tc>
        <w:tc>
          <w:tcPr>
            <w:tcW w:w="2953" w:type="dxa"/>
            <w:vAlign w:val="center"/>
          </w:tcPr>
          <w:p w14:paraId="453485F6" w14:textId="77777777" w:rsidR="0057201B" w:rsidRPr="00AE3A84" w:rsidRDefault="0057201B">
            <w:pPr>
              <w:pStyle w:val="BodyText"/>
              <w:rPr>
                <w:lang w:val="es-ES"/>
              </w:rPr>
            </w:pPr>
            <w:r w:rsidRPr="00AE3A84">
              <w:rPr>
                <w:spacing w:val="-1"/>
              </w:rPr>
              <w:t>José</w:t>
            </w:r>
            <w:r w:rsidRPr="00AE3A84">
              <w:rPr>
                <w:spacing w:val="-6"/>
              </w:rPr>
              <w:t xml:space="preserve"> </w:t>
            </w:r>
            <w:r w:rsidRPr="00AE3A84">
              <w:rPr>
                <w:spacing w:val="-1"/>
              </w:rPr>
              <w:t>Alejandro</w:t>
            </w:r>
            <w:r w:rsidRPr="00AE3A84">
              <w:rPr>
                <w:spacing w:val="-7"/>
              </w:rPr>
              <w:t xml:space="preserve"> </w:t>
            </w:r>
            <w:r w:rsidRPr="00AE3A84">
              <w:rPr>
                <w:spacing w:val="-1"/>
              </w:rPr>
              <w:t>Escobar</w:t>
            </w:r>
            <w:r w:rsidRPr="00AE3A84">
              <w:rPr>
                <w:spacing w:val="-7"/>
              </w:rPr>
              <w:t xml:space="preserve"> </w:t>
            </w:r>
            <w:r w:rsidRPr="00AE3A84">
              <w:rPr>
                <w:spacing w:val="-1"/>
              </w:rPr>
              <w:t>Vargas</w:t>
            </w:r>
          </w:p>
        </w:tc>
        <w:tc>
          <w:tcPr>
            <w:tcW w:w="1119" w:type="dxa"/>
            <w:vAlign w:val="center"/>
          </w:tcPr>
          <w:p w14:paraId="0B03FCAC" w14:textId="77777777" w:rsidR="0057201B" w:rsidRPr="00AE3A84" w:rsidRDefault="0057201B">
            <w:pPr>
              <w:pStyle w:val="BodyText"/>
              <w:rPr>
                <w:lang w:val="es-ES"/>
              </w:rPr>
            </w:pPr>
            <w:r w:rsidRPr="00AE3A84">
              <w:rPr>
                <w:spacing w:val="-1"/>
              </w:rPr>
              <w:t>Colombia</w:t>
            </w:r>
          </w:p>
        </w:tc>
        <w:tc>
          <w:tcPr>
            <w:tcW w:w="1141" w:type="dxa"/>
            <w:vAlign w:val="center"/>
          </w:tcPr>
          <w:p w14:paraId="3300FED8" w14:textId="77777777" w:rsidR="0057201B" w:rsidRPr="00AE3A84" w:rsidRDefault="0057201B">
            <w:pPr>
              <w:pStyle w:val="BodyText"/>
              <w:jc w:val="center"/>
              <w:rPr>
                <w:spacing w:val="-1"/>
              </w:rPr>
            </w:pPr>
            <w:r w:rsidRPr="004D7352">
              <w:rPr>
                <w:spacing w:val="-1"/>
              </w:rPr>
              <w:t>222/22</w:t>
            </w:r>
          </w:p>
        </w:tc>
        <w:tc>
          <w:tcPr>
            <w:tcW w:w="1289" w:type="dxa"/>
            <w:vAlign w:val="center"/>
          </w:tcPr>
          <w:p w14:paraId="483D6C53" w14:textId="77777777" w:rsidR="0057201B" w:rsidRPr="00AE3A84" w:rsidRDefault="0057201B">
            <w:pPr>
              <w:pStyle w:val="BodyText"/>
              <w:rPr>
                <w:lang w:val="es-ES"/>
              </w:rPr>
            </w:pPr>
            <w:r w:rsidRPr="00AE3A84">
              <w:rPr>
                <w:spacing w:val="-1"/>
              </w:rPr>
              <w:t>8/13/2022</w:t>
            </w:r>
          </w:p>
        </w:tc>
        <w:tc>
          <w:tcPr>
            <w:tcW w:w="1329" w:type="dxa"/>
            <w:vAlign w:val="center"/>
          </w:tcPr>
          <w:p w14:paraId="77718D68" w14:textId="77777777" w:rsidR="0057201B" w:rsidRPr="00AE3A84" w:rsidRDefault="0057201B">
            <w:pPr>
              <w:pStyle w:val="BodyText"/>
              <w:rPr>
                <w:lang w:val="es-ES"/>
              </w:rPr>
            </w:pPr>
            <w:r w:rsidRPr="00AE3A84">
              <w:rPr>
                <w:spacing w:val="-1"/>
              </w:rPr>
              <w:t>485-13</w:t>
            </w:r>
          </w:p>
        </w:tc>
        <w:tc>
          <w:tcPr>
            <w:tcW w:w="1350" w:type="dxa"/>
            <w:vAlign w:val="center"/>
          </w:tcPr>
          <w:p w14:paraId="5A4AC624" w14:textId="5746436A" w:rsidR="0057201B" w:rsidRPr="00AE3A84" w:rsidRDefault="0057201B">
            <w:pPr>
              <w:pStyle w:val="BodyText"/>
              <w:rPr>
                <w:lang w:val="es-ES"/>
              </w:rPr>
            </w:pPr>
            <w:r w:rsidRPr="00AE3A84">
              <w:rPr>
                <w:spacing w:val="-1"/>
              </w:rPr>
              <w:t>15.04</w:t>
            </w:r>
            <w:r w:rsidR="00A37DB1">
              <w:rPr>
                <w:spacing w:val="-1"/>
              </w:rPr>
              <w:t>0</w:t>
            </w:r>
          </w:p>
        </w:tc>
      </w:tr>
      <w:tr w:rsidR="0057201B" w:rsidRPr="00AE3A84" w14:paraId="545BEDA9" w14:textId="77777777">
        <w:tc>
          <w:tcPr>
            <w:tcW w:w="534" w:type="dxa"/>
            <w:vAlign w:val="center"/>
          </w:tcPr>
          <w:p w14:paraId="7AF32D81" w14:textId="77777777" w:rsidR="0057201B" w:rsidRPr="00AE3A84" w:rsidRDefault="0057201B" w:rsidP="00933F91">
            <w:pPr>
              <w:pStyle w:val="BodyText"/>
              <w:widowControl/>
              <w:numPr>
                <w:ilvl w:val="0"/>
                <w:numId w:val="57"/>
              </w:numPr>
              <w:rPr>
                <w:lang w:val="es-ES"/>
              </w:rPr>
            </w:pPr>
          </w:p>
        </w:tc>
        <w:tc>
          <w:tcPr>
            <w:tcW w:w="2953" w:type="dxa"/>
            <w:vAlign w:val="center"/>
          </w:tcPr>
          <w:p w14:paraId="5E25987C" w14:textId="77777777" w:rsidR="0057201B" w:rsidRPr="00AE3A84" w:rsidRDefault="0057201B">
            <w:pPr>
              <w:pStyle w:val="BodyText"/>
              <w:rPr>
                <w:lang w:val="es-ES"/>
              </w:rPr>
            </w:pPr>
            <w:r w:rsidRPr="00AE3A84">
              <w:t>Álvaro</w:t>
            </w:r>
            <w:r w:rsidRPr="00AE3A84">
              <w:rPr>
                <w:spacing w:val="-8"/>
              </w:rPr>
              <w:t xml:space="preserve"> </w:t>
            </w:r>
            <w:r w:rsidRPr="00AE3A84">
              <w:rPr>
                <w:spacing w:val="-1"/>
              </w:rPr>
              <w:t>Noboa</w:t>
            </w:r>
            <w:r w:rsidRPr="00AE3A84">
              <w:rPr>
                <w:spacing w:val="-8"/>
              </w:rPr>
              <w:t xml:space="preserve"> </w:t>
            </w:r>
            <w:r w:rsidRPr="00AE3A84">
              <w:rPr>
                <w:spacing w:val="-2"/>
              </w:rPr>
              <w:t>Pontón</w:t>
            </w:r>
          </w:p>
        </w:tc>
        <w:tc>
          <w:tcPr>
            <w:tcW w:w="1119" w:type="dxa"/>
            <w:vAlign w:val="center"/>
          </w:tcPr>
          <w:p w14:paraId="6357C4B5" w14:textId="77777777" w:rsidR="0057201B" w:rsidRPr="00AE3A84" w:rsidRDefault="0057201B">
            <w:pPr>
              <w:pStyle w:val="BodyText"/>
              <w:rPr>
                <w:lang w:val="es-ES"/>
              </w:rPr>
            </w:pPr>
            <w:r w:rsidRPr="00AE3A84">
              <w:rPr>
                <w:spacing w:val="-1"/>
              </w:rPr>
              <w:t>Ecuador</w:t>
            </w:r>
          </w:p>
        </w:tc>
        <w:tc>
          <w:tcPr>
            <w:tcW w:w="1141" w:type="dxa"/>
            <w:vAlign w:val="center"/>
          </w:tcPr>
          <w:p w14:paraId="392230AA" w14:textId="77777777" w:rsidR="0057201B" w:rsidRPr="00AE3A84" w:rsidRDefault="0057201B">
            <w:pPr>
              <w:pStyle w:val="BodyText"/>
              <w:jc w:val="center"/>
              <w:rPr>
                <w:spacing w:val="-1"/>
              </w:rPr>
            </w:pPr>
            <w:r w:rsidRPr="004D7352">
              <w:rPr>
                <w:spacing w:val="-1"/>
              </w:rPr>
              <w:t>223/22</w:t>
            </w:r>
          </w:p>
        </w:tc>
        <w:tc>
          <w:tcPr>
            <w:tcW w:w="1289" w:type="dxa"/>
            <w:vAlign w:val="center"/>
          </w:tcPr>
          <w:p w14:paraId="6FB1CC96" w14:textId="77777777" w:rsidR="0057201B" w:rsidRPr="00AE3A84" w:rsidRDefault="0057201B">
            <w:pPr>
              <w:pStyle w:val="BodyText"/>
              <w:rPr>
                <w:lang w:val="es-ES"/>
              </w:rPr>
            </w:pPr>
            <w:r w:rsidRPr="00AE3A84">
              <w:rPr>
                <w:spacing w:val="-1"/>
              </w:rPr>
              <w:t>8/24/2022</w:t>
            </w:r>
          </w:p>
        </w:tc>
        <w:tc>
          <w:tcPr>
            <w:tcW w:w="1329" w:type="dxa"/>
            <w:vAlign w:val="center"/>
          </w:tcPr>
          <w:p w14:paraId="130286BD" w14:textId="77777777" w:rsidR="0057201B" w:rsidRPr="00AE3A84" w:rsidRDefault="0057201B">
            <w:pPr>
              <w:pStyle w:val="BodyText"/>
              <w:rPr>
                <w:lang w:val="es-ES"/>
              </w:rPr>
            </w:pPr>
            <w:r w:rsidRPr="00AE3A84">
              <w:rPr>
                <w:spacing w:val="-1"/>
              </w:rPr>
              <w:t>1897-13</w:t>
            </w:r>
          </w:p>
        </w:tc>
        <w:tc>
          <w:tcPr>
            <w:tcW w:w="1350" w:type="dxa"/>
            <w:vAlign w:val="center"/>
          </w:tcPr>
          <w:p w14:paraId="62F7B808" w14:textId="77777777" w:rsidR="0057201B" w:rsidRPr="00AE3A84" w:rsidRDefault="0057201B">
            <w:pPr>
              <w:pStyle w:val="BodyText"/>
              <w:rPr>
                <w:lang w:val="es-ES"/>
              </w:rPr>
            </w:pPr>
            <w:r w:rsidRPr="00AE3A84">
              <w:rPr>
                <w:spacing w:val="-1"/>
              </w:rPr>
              <w:t>15.041</w:t>
            </w:r>
          </w:p>
        </w:tc>
      </w:tr>
      <w:tr w:rsidR="0057201B" w:rsidRPr="00AE3A84" w14:paraId="6DB30460" w14:textId="77777777">
        <w:tc>
          <w:tcPr>
            <w:tcW w:w="534" w:type="dxa"/>
            <w:vAlign w:val="center"/>
          </w:tcPr>
          <w:p w14:paraId="65B955AB" w14:textId="77777777" w:rsidR="0057201B" w:rsidRPr="00AE3A84" w:rsidRDefault="0057201B" w:rsidP="00933F91">
            <w:pPr>
              <w:pStyle w:val="BodyText"/>
              <w:widowControl/>
              <w:numPr>
                <w:ilvl w:val="0"/>
                <w:numId w:val="57"/>
              </w:numPr>
              <w:rPr>
                <w:lang w:val="es-ES"/>
              </w:rPr>
            </w:pPr>
          </w:p>
        </w:tc>
        <w:tc>
          <w:tcPr>
            <w:tcW w:w="2953" w:type="dxa"/>
            <w:vAlign w:val="center"/>
          </w:tcPr>
          <w:p w14:paraId="121862D5" w14:textId="77777777" w:rsidR="0057201B" w:rsidRPr="00AE3A84" w:rsidRDefault="0057201B">
            <w:pPr>
              <w:pStyle w:val="BodyText"/>
              <w:rPr>
                <w:lang w:val="es-ES"/>
              </w:rPr>
            </w:pPr>
            <w:r w:rsidRPr="00AE3A84">
              <w:rPr>
                <w:spacing w:val="-1"/>
              </w:rPr>
              <w:t>Víctor</w:t>
            </w:r>
            <w:r w:rsidRPr="00AE3A84">
              <w:rPr>
                <w:spacing w:val="-7"/>
              </w:rPr>
              <w:t xml:space="preserve"> </w:t>
            </w:r>
            <w:r w:rsidRPr="00AE3A84">
              <w:rPr>
                <w:spacing w:val="-1"/>
              </w:rPr>
              <w:t>Manuel</w:t>
            </w:r>
            <w:r w:rsidRPr="00AE3A84">
              <w:rPr>
                <w:spacing w:val="-5"/>
              </w:rPr>
              <w:t xml:space="preserve"> </w:t>
            </w:r>
            <w:r w:rsidRPr="00AE3A84">
              <w:rPr>
                <w:spacing w:val="-1"/>
              </w:rPr>
              <w:t>Iruegas</w:t>
            </w:r>
            <w:r w:rsidRPr="00AE3A84">
              <w:rPr>
                <w:spacing w:val="-7"/>
              </w:rPr>
              <w:t xml:space="preserve"> </w:t>
            </w:r>
            <w:r w:rsidRPr="00AE3A84">
              <w:rPr>
                <w:spacing w:val="-1"/>
              </w:rPr>
              <w:t>García</w:t>
            </w:r>
          </w:p>
        </w:tc>
        <w:tc>
          <w:tcPr>
            <w:tcW w:w="1119" w:type="dxa"/>
            <w:vAlign w:val="center"/>
          </w:tcPr>
          <w:p w14:paraId="4C943376"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6C87048A" w14:textId="77777777" w:rsidR="0057201B" w:rsidRPr="00AE3A84" w:rsidRDefault="0057201B">
            <w:pPr>
              <w:pStyle w:val="BodyText"/>
              <w:jc w:val="center"/>
              <w:rPr>
                <w:spacing w:val="-1"/>
              </w:rPr>
            </w:pPr>
            <w:r w:rsidRPr="004D7352">
              <w:rPr>
                <w:spacing w:val="-1"/>
              </w:rPr>
              <w:t>225/22</w:t>
            </w:r>
          </w:p>
        </w:tc>
        <w:tc>
          <w:tcPr>
            <w:tcW w:w="1289" w:type="dxa"/>
            <w:vAlign w:val="center"/>
          </w:tcPr>
          <w:p w14:paraId="12C617B3" w14:textId="77777777" w:rsidR="0057201B" w:rsidRPr="00AE3A84" w:rsidRDefault="0057201B">
            <w:pPr>
              <w:pStyle w:val="BodyText"/>
              <w:rPr>
                <w:lang w:val="es-ES"/>
              </w:rPr>
            </w:pPr>
            <w:r w:rsidRPr="00AE3A84">
              <w:rPr>
                <w:spacing w:val="-1"/>
              </w:rPr>
              <w:t>3/5/2022</w:t>
            </w:r>
          </w:p>
        </w:tc>
        <w:tc>
          <w:tcPr>
            <w:tcW w:w="1329" w:type="dxa"/>
            <w:vAlign w:val="center"/>
          </w:tcPr>
          <w:p w14:paraId="5487E15A" w14:textId="77777777" w:rsidR="0057201B" w:rsidRPr="00AE3A84" w:rsidRDefault="0057201B">
            <w:pPr>
              <w:pStyle w:val="BodyText"/>
              <w:rPr>
                <w:lang w:val="es-ES"/>
              </w:rPr>
            </w:pPr>
            <w:r w:rsidRPr="00AE3A84">
              <w:rPr>
                <w:spacing w:val="-1"/>
              </w:rPr>
              <w:t>2356-12</w:t>
            </w:r>
          </w:p>
        </w:tc>
        <w:tc>
          <w:tcPr>
            <w:tcW w:w="1350" w:type="dxa"/>
            <w:vAlign w:val="center"/>
          </w:tcPr>
          <w:p w14:paraId="7BDD23CA" w14:textId="77777777" w:rsidR="0057201B" w:rsidRPr="00AE3A84" w:rsidRDefault="0057201B">
            <w:pPr>
              <w:pStyle w:val="BodyText"/>
              <w:rPr>
                <w:lang w:val="es-ES"/>
              </w:rPr>
            </w:pPr>
            <w:r w:rsidRPr="00AE3A84">
              <w:rPr>
                <w:spacing w:val="-1"/>
              </w:rPr>
              <w:t>15.067</w:t>
            </w:r>
          </w:p>
        </w:tc>
      </w:tr>
      <w:tr w:rsidR="0057201B" w:rsidRPr="00AE3A84" w14:paraId="16C1F6D1" w14:textId="77777777">
        <w:tc>
          <w:tcPr>
            <w:tcW w:w="534" w:type="dxa"/>
            <w:vAlign w:val="center"/>
          </w:tcPr>
          <w:p w14:paraId="07BBCACB" w14:textId="77777777" w:rsidR="0057201B" w:rsidRPr="00AE3A84" w:rsidRDefault="0057201B" w:rsidP="00933F91">
            <w:pPr>
              <w:pStyle w:val="BodyText"/>
              <w:widowControl/>
              <w:numPr>
                <w:ilvl w:val="0"/>
                <w:numId w:val="57"/>
              </w:numPr>
              <w:rPr>
                <w:lang w:val="es-ES"/>
              </w:rPr>
            </w:pPr>
          </w:p>
        </w:tc>
        <w:tc>
          <w:tcPr>
            <w:tcW w:w="2953" w:type="dxa"/>
            <w:vAlign w:val="center"/>
          </w:tcPr>
          <w:p w14:paraId="4A5F8139" w14:textId="77777777" w:rsidR="0057201B" w:rsidRPr="00AE3A84" w:rsidRDefault="0057201B">
            <w:pPr>
              <w:pStyle w:val="BodyText"/>
            </w:pPr>
            <w:r w:rsidRPr="00AE3A84">
              <w:rPr>
                <w:spacing w:val="-1"/>
              </w:rPr>
              <w:t>Islamic</w:t>
            </w:r>
            <w:r w:rsidRPr="00AE3A84">
              <w:rPr>
                <w:spacing w:val="-5"/>
              </w:rPr>
              <w:t xml:space="preserve"> </w:t>
            </w:r>
            <w:r w:rsidRPr="00AE3A84">
              <w:rPr>
                <w:spacing w:val="-1"/>
              </w:rPr>
              <w:t>Shura</w:t>
            </w:r>
            <w:r w:rsidRPr="00AE3A84">
              <w:rPr>
                <w:spacing w:val="-6"/>
              </w:rPr>
              <w:t xml:space="preserve"> </w:t>
            </w:r>
            <w:r w:rsidRPr="00AE3A84">
              <w:rPr>
                <w:spacing w:val="-1"/>
              </w:rPr>
              <w:t>Council</w:t>
            </w:r>
            <w:r w:rsidRPr="00AE3A84">
              <w:rPr>
                <w:spacing w:val="-4"/>
              </w:rPr>
              <w:t xml:space="preserve"> </w:t>
            </w:r>
            <w:r w:rsidRPr="00AE3A84">
              <w:rPr>
                <w:spacing w:val="-1"/>
              </w:rPr>
              <w:t>for</w:t>
            </w:r>
            <w:r w:rsidRPr="00AE3A84">
              <w:rPr>
                <w:spacing w:val="-5"/>
              </w:rPr>
              <w:t xml:space="preserve"> </w:t>
            </w:r>
            <w:r w:rsidRPr="00AE3A84">
              <w:rPr>
                <w:spacing w:val="-1"/>
              </w:rPr>
              <w:t>Southern</w:t>
            </w:r>
            <w:r w:rsidRPr="00AE3A84">
              <w:rPr>
                <w:spacing w:val="-5"/>
              </w:rPr>
              <w:t xml:space="preserve"> </w:t>
            </w:r>
            <w:r w:rsidRPr="00AE3A84">
              <w:rPr>
                <w:spacing w:val="-1"/>
              </w:rPr>
              <w:t>California</w:t>
            </w:r>
            <w:r w:rsidRPr="00AE3A84">
              <w:rPr>
                <w:spacing w:val="-6"/>
              </w:rPr>
              <w:t xml:space="preserve"> </w:t>
            </w:r>
            <w:r w:rsidRPr="00AE3A84">
              <w:rPr>
                <w:spacing w:val="-1"/>
              </w:rPr>
              <w:t>and</w:t>
            </w:r>
            <w:r w:rsidRPr="00AE3A84">
              <w:rPr>
                <w:spacing w:val="-6"/>
              </w:rPr>
              <w:t xml:space="preserve"> </w:t>
            </w:r>
            <w:r>
              <w:rPr>
                <w:spacing w:val="-1"/>
              </w:rPr>
              <w:t>O</w:t>
            </w:r>
            <w:r w:rsidRPr="00AE3A84">
              <w:rPr>
                <w:spacing w:val="-1"/>
              </w:rPr>
              <w:t>thers</w:t>
            </w:r>
          </w:p>
        </w:tc>
        <w:tc>
          <w:tcPr>
            <w:tcW w:w="1119" w:type="dxa"/>
            <w:vAlign w:val="center"/>
          </w:tcPr>
          <w:p w14:paraId="4CED3961" w14:textId="77777777" w:rsidR="0057201B" w:rsidRPr="00AE3A84" w:rsidRDefault="0057201B">
            <w:pPr>
              <w:pStyle w:val="BodyText"/>
              <w:rPr>
                <w:lang w:val="es-ES"/>
              </w:rPr>
            </w:pPr>
            <w:r>
              <w:rPr>
                <w:spacing w:val="-1"/>
              </w:rPr>
              <w:t>United States</w:t>
            </w:r>
          </w:p>
        </w:tc>
        <w:tc>
          <w:tcPr>
            <w:tcW w:w="1141" w:type="dxa"/>
            <w:vAlign w:val="center"/>
          </w:tcPr>
          <w:p w14:paraId="43BF17A1" w14:textId="77777777" w:rsidR="0057201B" w:rsidRPr="00AE3A84" w:rsidRDefault="0057201B">
            <w:pPr>
              <w:pStyle w:val="BodyText"/>
              <w:jc w:val="center"/>
              <w:rPr>
                <w:spacing w:val="-1"/>
              </w:rPr>
            </w:pPr>
            <w:r w:rsidRPr="004D7352">
              <w:rPr>
                <w:spacing w:val="-1"/>
              </w:rPr>
              <w:t>226/22</w:t>
            </w:r>
          </w:p>
        </w:tc>
        <w:tc>
          <w:tcPr>
            <w:tcW w:w="1289" w:type="dxa"/>
            <w:vAlign w:val="center"/>
          </w:tcPr>
          <w:p w14:paraId="14FA49B7" w14:textId="77777777" w:rsidR="0057201B" w:rsidRPr="00AE3A84" w:rsidRDefault="0057201B">
            <w:pPr>
              <w:pStyle w:val="BodyText"/>
              <w:rPr>
                <w:lang w:val="es-ES"/>
              </w:rPr>
            </w:pPr>
            <w:r w:rsidRPr="00AE3A84">
              <w:rPr>
                <w:spacing w:val="-1"/>
              </w:rPr>
              <w:t>8/27/2022</w:t>
            </w:r>
          </w:p>
        </w:tc>
        <w:tc>
          <w:tcPr>
            <w:tcW w:w="1329" w:type="dxa"/>
            <w:vAlign w:val="center"/>
          </w:tcPr>
          <w:p w14:paraId="60EABD3B" w14:textId="77777777" w:rsidR="0057201B" w:rsidRPr="00AE3A84" w:rsidRDefault="0057201B">
            <w:pPr>
              <w:pStyle w:val="BodyText"/>
              <w:rPr>
                <w:lang w:val="es-ES"/>
              </w:rPr>
            </w:pPr>
            <w:r w:rsidRPr="00AE3A84">
              <w:rPr>
                <w:spacing w:val="-1"/>
              </w:rPr>
              <w:t>1274-14</w:t>
            </w:r>
          </w:p>
        </w:tc>
        <w:tc>
          <w:tcPr>
            <w:tcW w:w="1350" w:type="dxa"/>
            <w:vAlign w:val="center"/>
          </w:tcPr>
          <w:p w14:paraId="286A72C7" w14:textId="77777777" w:rsidR="0057201B" w:rsidRPr="00AE3A84" w:rsidRDefault="0057201B">
            <w:pPr>
              <w:pStyle w:val="BodyText"/>
              <w:rPr>
                <w:lang w:val="es-ES"/>
              </w:rPr>
            </w:pPr>
            <w:r w:rsidRPr="00AE3A84">
              <w:rPr>
                <w:spacing w:val="-1"/>
              </w:rPr>
              <w:t>15.118</w:t>
            </w:r>
          </w:p>
        </w:tc>
      </w:tr>
      <w:tr w:rsidR="0057201B" w:rsidRPr="00AE3A84" w14:paraId="08ED0830" w14:textId="77777777">
        <w:tc>
          <w:tcPr>
            <w:tcW w:w="534" w:type="dxa"/>
            <w:vAlign w:val="center"/>
          </w:tcPr>
          <w:p w14:paraId="2A265E15" w14:textId="77777777" w:rsidR="0057201B" w:rsidRPr="00AE3A84" w:rsidRDefault="0057201B" w:rsidP="00933F91">
            <w:pPr>
              <w:pStyle w:val="BodyText"/>
              <w:widowControl/>
              <w:numPr>
                <w:ilvl w:val="0"/>
                <w:numId w:val="57"/>
              </w:numPr>
              <w:rPr>
                <w:lang w:val="es-ES"/>
              </w:rPr>
            </w:pPr>
          </w:p>
        </w:tc>
        <w:tc>
          <w:tcPr>
            <w:tcW w:w="2953" w:type="dxa"/>
            <w:vAlign w:val="center"/>
          </w:tcPr>
          <w:p w14:paraId="1CF42146" w14:textId="77777777" w:rsidR="0057201B" w:rsidRPr="00AE3A84" w:rsidRDefault="0057201B">
            <w:pPr>
              <w:pStyle w:val="BodyText"/>
            </w:pPr>
            <w:r w:rsidRPr="00AE3A84">
              <w:rPr>
                <w:spacing w:val="-1"/>
              </w:rPr>
              <w:t>Mohammed</w:t>
            </w:r>
            <w:r w:rsidRPr="00AE3A84">
              <w:rPr>
                <w:spacing w:val="-6"/>
              </w:rPr>
              <w:t xml:space="preserve"> </w:t>
            </w:r>
            <w:r w:rsidRPr="00AE3A84">
              <w:rPr>
                <w:spacing w:val="-1"/>
              </w:rPr>
              <w:t>Jawad</w:t>
            </w:r>
            <w:r w:rsidRPr="00AE3A84">
              <w:rPr>
                <w:spacing w:val="-5"/>
              </w:rPr>
              <w:t xml:space="preserve"> </w:t>
            </w:r>
            <w:r w:rsidRPr="00AE3A84">
              <w:rPr>
                <w:spacing w:val="-1"/>
              </w:rPr>
              <w:t>(also</w:t>
            </w:r>
            <w:r w:rsidRPr="00AE3A84">
              <w:rPr>
                <w:spacing w:val="-5"/>
              </w:rPr>
              <w:t xml:space="preserve"> </w:t>
            </w:r>
            <w:r w:rsidRPr="00AE3A84">
              <w:t>known</w:t>
            </w:r>
            <w:r w:rsidRPr="00AE3A84">
              <w:rPr>
                <w:spacing w:val="-5"/>
              </w:rPr>
              <w:t xml:space="preserve"> </w:t>
            </w:r>
            <w:r w:rsidRPr="00AE3A84">
              <w:rPr>
                <w:spacing w:val="-1"/>
              </w:rPr>
              <w:t>as</w:t>
            </w:r>
            <w:r w:rsidRPr="00AE3A84">
              <w:rPr>
                <w:spacing w:val="-6"/>
              </w:rPr>
              <w:t xml:space="preserve"> </w:t>
            </w:r>
            <w:r w:rsidRPr="00AE3A84">
              <w:rPr>
                <w:spacing w:val="-1"/>
              </w:rPr>
              <w:t>Saki</w:t>
            </w:r>
            <w:r w:rsidRPr="00AE3A84">
              <w:rPr>
                <w:spacing w:val="-5"/>
              </w:rPr>
              <w:t xml:space="preserve"> </w:t>
            </w:r>
            <w:r w:rsidRPr="00AE3A84">
              <w:rPr>
                <w:spacing w:val="-1"/>
              </w:rPr>
              <w:t>Bacha)</w:t>
            </w:r>
          </w:p>
        </w:tc>
        <w:tc>
          <w:tcPr>
            <w:tcW w:w="1119" w:type="dxa"/>
            <w:vAlign w:val="center"/>
          </w:tcPr>
          <w:p w14:paraId="5CAD4582" w14:textId="77777777" w:rsidR="0057201B" w:rsidRPr="00AE3A84" w:rsidRDefault="0057201B">
            <w:pPr>
              <w:pStyle w:val="BodyText"/>
              <w:rPr>
                <w:lang w:val="es-ES"/>
              </w:rPr>
            </w:pPr>
            <w:r>
              <w:rPr>
                <w:spacing w:val="-1"/>
              </w:rPr>
              <w:t>United States</w:t>
            </w:r>
          </w:p>
        </w:tc>
        <w:tc>
          <w:tcPr>
            <w:tcW w:w="1141" w:type="dxa"/>
            <w:vAlign w:val="center"/>
          </w:tcPr>
          <w:p w14:paraId="7E506636" w14:textId="77777777" w:rsidR="0057201B" w:rsidRPr="00AE3A84" w:rsidRDefault="0057201B">
            <w:pPr>
              <w:pStyle w:val="BodyText"/>
              <w:jc w:val="center"/>
              <w:rPr>
                <w:spacing w:val="-1"/>
              </w:rPr>
            </w:pPr>
            <w:r w:rsidRPr="007458CE">
              <w:rPr>
                <w:spacing w:val="-1"/>
              </w:rPr>
              <w:t>228/22</w:t>
            </w:r>
          </w:p>
        </w:tc>
        <w:tc>
          <w:tcPr>
            <w:tcW w:w="1289" w:type="dxa"/>
            <w:vAlign w:val="center"/>
          </w:tcPr>
          <w:p w14:paraId="6D6E2B96" w14:textId="77777777" w:rsidR="0057201B" w:rsidRPr="00AE3A84" w:rsidRDefault="0057201B">
            <w:pPr>
              <w:pStyle w:val="BodyText"/>
              <w:rPr>
                <w:lang w:val="es-ES"/>
              </w:rPr>
            </w:pPr>
            <w:r w:rsidRPr="00AE3A84">
              <w:rPr>
                <w:spacing w:val="-1"/>
              </w:rPr>
              <w:t>8/27/2022</w:t>
            </w:r>
          </w:p>
        </w:tc>
        <w:tc>
          <w:tcPr>
            <w:tcW w:w="1329" w:type="dxa"/>
            <w:vAlign w:val="center"/>
          </w:tcPr>
          <w:p w14:paraId="368B1101" w14:textId="77777777" w:rsidR="0057201B" w:rsidRPr="00AE3A84" w:rsidRDefault="0057201B">
            <w:pPr>
              <w:pStyle w:val="BodyText"/>
              <w:rPr>
                <w:lang w:val="es-ES"/>
              </w:rPr>
            </w:pPr>
            <w:r w:rsidRPr="00AE3A84">
              <w:rPr>
                <w:spacing w:val="-1"/>
              </w:rPr>
              <w:t>2096-17</w:t>
            </w:r>
          </w:p>
        </w:tc>
        <w:tc>
          <w:tcPr>
            <w:tcW w:w="1350" w:type="dxa"/>
            <w:vAlign w:val="center"/>
          </w:tcPr>
          <w:p w14:paraId="1018226A" w14:textId="77777777" w:rsidR="0057201B" w:rsidRPr="00AE3A84" w:rsidRDefault="0057201B">
            <w:pPr>
              <w:pStyle w:val="BodyText"/>
              <w:rPr>
                <w:lang w:val="es-ES"/>
              </w:rPr>
            </w:pPr>
            <w:r w:rsidRPr="00AE3A84">
              <w:rPr>
                <w:spacing w:val="-1"/>
              </w:rPr>
              <w:t>15.119</w:t>
            </w:r>
          </w:p>
        </w:tc>
      </w:tr>
      <w:tr w:rsidR="0057201B" w:rsidRPr="00AE3A84" w14:paraId="255C429C" w14:textId="77777777">
        <w:tc>
          <w:tcPr>
            <w:tcW w:w="534" w:type="dxa"/>
            <w:vAlign w:val="center"/>
          </w:tcPr>
          <w:p w14:paraId="085FDE73" w14:textId="77777777" w:rsidR="0057201B" w:rsidRPr="00AE3A84" w:rsidRDefault="0057201B" w:rsidP="00933F91">
            <w:pPr>
              <w:pStyle w:val="BodyText"/>
              <w:widowControl/>
              <w:numPr>
                <w:ilvl w:val="0"/>
                <w:numId w:val="57"/>
              </w:numPr>
              <w:rPr>
                <w:lang w:val="es-ES"/>
              </w:rPr>
            </w:pPr>
          </w:p>
        </w:tc>
        <w:tc>
          <w:tcPr>
            <w:tcW w:w="2953" w:type="dxa"/>
            <w:vAlign w:val="center"/>
          </w:tcPr>
          <w:p w14:paraId="60E5A06A" w14:textId="77777777" w:rsidR="0057201B" w:rsidRPr="00AE3A84" w:rsidRDefault="0057201B">
            <w:pPr>
              <w:pStyle w:val="BodyText"/>
              <w:rPr>
                <w:lang w:val="es-ES"/>
              </w:rPr>
            </w:pPr>
            <w:r w:rsidRPr="00AE3A84">
              <w:rPr>
                <w:spacing w:val="-1"/>
              </w:rPr>
              <w:t>Z.I.F.</w:t>
            </w:r>
          </w:p>
        </w:tc>
        <w:tc>
          <w:tcPr>
            <w:tcW w:w="1119" w:type="dxa"/>
            <w:vAlign w:val="center"/>
          </w:tcPr>
          <w:p w14:paraId="6447FD04" w14:textId="77777777" w:rsidR="0057201B" w:rsidRPr="00AE3A84" w:rsidRDefault="0057201B">
            <w:pPr>
              <w:pStyle w:val="BodyText"/>
              <w:rPr>
                <w:lang w:val="es-ES"/>
              </w:rPr>
            </w:pPr>
            <w:r w:rsidRPr="00AE3A84">
              <w:rPr>
                <w:spacing w:val="-1"/>
              </w:rPr>
              <w:t>Argentina</w:t>
            </w:r>
          </w:p>
        </w:tc>
        <w:tc>
          <w:tcPr>
            <w:tcW w:w="1141" w:type="dxa"/>
            <w:vAlign w:val="center"/>
          </w:tcPr>
          <w:p w14:paraId="38C25B9E" w14:textId="77777777" w:rsidR="0057201B" w:rsidRPr="00AE3A84" w:rsidRDefault="0057201B">
            <w:pPr>
              <w:pStyle w:val="BodyText"/>
              <w:jc w:val="center"/>
              <w:rPr>
                <w:spacing w:val="-1"/>
              </w:rPr>
            </w:pPr>
            <w:r w:rsidRPr="007458CE">
              <w:rPr>
                <w:spacing w:val="-1"/>
              </w:rPr>
              <w:t>229/22</w:t>
            </w:r>
          </w:p>
        </w:tc>
        <w:tc>
          <w:tcPr>
            <w:tcW w:w="1289" w:type="dxa"/>
            <w:vAlign w:val="center"/>
          </w:tcPr>
          <w:p w14:paraId="13419C16" w14:textId="77777777" w:rsidR="0057201B" w:rsidRPr="00AE3A84" w:rsidRDefault="0057201B">
            <w:pPr>
              <w:pStyle w:val="BodyText"/>
              <w:rPr>
                <w:lang w:val="es-ES"/>
              </w:rPr>
            </w:pPr>
            <w:r w:rsidRPr="00AE3A84">
              <w:rPr>
                <w:spacing w:val="-1"/>
              </w:rPr>
              <w:t>8/27/2022</w:t>
            </w:r>
          </w:p>
        </w:tc>
        <w:tc>
          <w:tcPr>
            <w:tcW w:w="1329" w:type="dxa"/>
            <w:vAlign w:val="center"/>
          </w:tcPr>
          <w:p w14:paraId="570DA9BE" w14:textId="77777777" w:rsidR="0057201B" w:rsidRPr="00AE3A84" w:rsidRDefault="0057201B">
            <w:pPr>
              <w:pStyle w:val="BodyText"/>
              <w:rPr>
                <w:lang w:val="es-ES"/>
              </w:rPr>
            </w:pPr>
            <w:r w:rsidRPr="00AE3A84">
              <w:rPr>
                <w:spacing w:val="-1"/>
              </w:rPr>
              <w:t>2648-18</w:t>
            </w:r>
          </w:p>
        </w:tc>
        <w:tc>
          <w:tcPr>
            <w:tcW w:w="1350" w:type="dxa"/>
            <w:vAlign w:val="center"/>
          </w:tcPr>
          <w:p w14:paraId="4235CF3E" w14:textId="77777777" w:rsidR="0057201B" w:rsidRPr="00AE3A84" w:rsidRDefault="0057201B">
            <w:pPr>
              <w:pStyle w:val="BodyText"/>
              <w:rPr>
                <w:lang w:val="es-ES"/>
              </w:rPr>
            </w:pPr>
            <w:r w:rsidRPr="00AE3A84">
              <w:rPr>
                <w:spacing w:val="-1"/>
              </w:rPr>
              <w:t>15.092</w:t>
            </w:r>
          </w:p>
        </w:tc>
      </w:tr>
      <w:tr w:rsidR="0057201B" w:rsidRPr="00AE3A84" w14:paraId="614984D6" w14:textId="77777777">
        <w:tc>
          <w:tcPr>
            <w:tcW w:w="534" w:type="dxa"/>
            <w:vAlign w:val="center"/>
          </w:tcPr>
          <w:p w14:paraId="5F742047" w14:textId="77777777" w:rsidR="0057201B" w:rsidRPr="00AE3A84" w:rsidRDefault="0057201B" w:rsidP="00933F91">
            <w:pPr>
              <w:pStyle w:val="BodyText"/>
              <w:widowControl/>
              <w:numPr>
                <w:ilvl w:val="0"/>
                <w:numId w:val="57"/>
              </w:numPr>
              <w:rPr>
                <w:lang w:val="es-ES"/>
              </w:rPr>
            </w:pPr>
          </w:p>
        </w:tc>
        <w:tc>
          <w:tcPr>
            <w:tcW w:w="2953" w:type="dxa"/>
            <w:vAlign w:val="center"/>
          </w:tcPr>
          <w:p w14:paraId="05073A2F" w14:textId="77777777" w:rsidR="0057201B" w:rsidRPr="00AE3A84" w:rsidRDefault="0057201B">
            <w:pPr>
              <w:pStyle w:val="BodyText"/>
              <w:rPr>
                <w:lang w:val="es-ES"/>
              </w:rPr>
            </w:pPr>
            <w:r w:rsidRPr="00AE3A84">
              <w:rPr>
                <w:spacing w:val="-1"/>
                <w:lang w:val="es-AR"/>
              </w:rPr>
              <w:t>Antonino</w:t>
            </w:r>
            <w:r w:rsidRPr="00AE3A84">
              <w:rPr>
                <w:spacing w:val="-7"/>
                <w:lang w:val="es-AR"/>
              </w:rPr>
              <w:t xml:space="preserve"> </w:t>
            </w:r>
            <w:r w:rsidRPr="00AE3A84">
              <w:rPr>
                <w:spacing w:val="-1"/>
                <w:lang w:val="es-AR"/>
              </w:rPr>
              <w:t>D'Amico</w:t>
            </w:r>
            <w:r w:rsidRPr="00AE3A84">
              <w:rPr>
                <w:spacing w:val="-7"/>
                <w:lang w:val="es-AR"/>
              </w:rPr>
              <w:t xml:space="preserve"> </w:t>
            </w:r>
            <w:r>
              <w:rPr>
                <w:lang w:val="es-AR"/>
              </w:rPr>
              <w:t>and</w:t>
            </w:r>
            <w:r w:rsidRPr="00AE3A84">
              <w:rPr>
                <w:spacing w:val="-5"/>
                <w:lang w:val="es-AR"/>
              </w:rPr>
              <w:t xml:space="preserve"> </w:t>
            </w:r>
            <w:r w:rsidRPr="00AE3A84">
              <w:rPr>
                <w:spacing w:val="-1"/>
                <w:lang w:val="es-AR"/>
              </w:rPr>
              <w:t>Pascual</w:t>
            </w:r>
            <w:r w:rsidRPr="00AE3A84">
              <w:rPr>
                <w:spacing w:val="-5"/>
                <w:lang w:val="es-AR"/>
              </w:rPr>
              <w:t xml:space="preserve"> </w:t>
            </w:r>
            <w:r w:rsidRPr="00AE3A84">
              <w:rPr>
                <w:spacing w:val="-1"/>
                <w:lang w:val="es-AR"/>
              </w:rPr>
              <w:t>Isaac</w:t>
            </w:r>
            <w:r w:rsidRPr="00AE3A84">
              <w:rPr>
                <w:spacing w:val="-5"/>
                <w:lang w:val="es-AR"/>
              </w:rPr>
              <w:t xml:space="preserve"> </w:t>
            </w:r>
            <w:r w:rsidRPr="00AE3A84">
              <w:rPr>
                <w:spacing w:val="-1"/>
                <w:lang w:val="es-AR"/>
              </w:rPr>
              <w:t>Manchineles</w:t>
            </w:r>
          </w:p>
        </w:tc>
        <w:tc>
          <w:tcPr>
            <w:tcW w:w="1119" w:type="dxa"/>
            <w:vAlign w:val="center"/>
          </w:tcPr>
          <w:p w14:paraId="014FD041" w14:textId="77777777" w:rsidR="0057201B" w:rsidRPr="00AE3A84" w:rsidRDefault="0057201B">
            <w:pPr>
              <w:pStyle w:val="BodyText"/>
              <w:rPr>
                <w:lang w:val="es-ES"/>
              </w:rPr>
            </w:pPr>
            <w:r w:rsidRPr="00AE3A84">
              <w:rPr>
                <w:spacing w:val="-1"/>
              </w:rPr>
              <w:t>Argentina</w:t>
            </w:r>
          </w:p>
        </w:tc>
        <w:tc>
          <w:tcPr>
            <w:tcW w:w="1141" w:type="dxa"/>
            <w:vAlign w:val="center"/>
          </w:tcPr>
          <w:p w14:paraId="6DF50369" w14:textId="77777777" w:rsidR="0057201B" w:rsidRPr="00AE3A84" w:rsidRDefault="0057201B">
            <w:pPr>
              <w:pStyle w:val="BodyText"/>
              <w:jc w:val="center"/>
              <w:rPr>
                <w:spacing w:val="-1"/>
              </w:rPr>
            </w:pPr>
            <w:r w:rsidRPr="007458CE">
              <w:rPr>
                <w:spacing w:val="-1"/>
              </w:rPr>
              <w:t>231/22</w:t>
            </w:r>
          </w:p>
        </w:tc>
        <w:tc>
          <w:tcPr>
            <w:tcW w:w="1289" w:type="dxa"/>
            <w:vAlign w:val="center"/>
          </w:tcPr>
          <w:p w14:paraId="6B90BD04" w14:textId="77777777" w:rsidR="0057201B" w:rsidRPr="00AE3A84" w:rsidRDefault="0057201B">
            <w:pPr>
              <w:pStyle w:val="BodyText"/>
              <w:rPr>
                <w:lang w:val="es-ES"/>
              </w:rPr>
            </w:pPr>
            <w:r w:rsidRPr="00AE3A84">
              <w:rPr>
                <w:spacing w:val="-1"/>
              </w:rPr>
              <w:t>9/12/2022</w:t>
            </w:r>
          </w:p>
        </w:tc>
        <w:tc>
          <w:tcPr>
            <w:tcW w:w="1329" w:type="dxa"/>
            <w:vAlign w:val="center"/>
          </w:tcPr>
          <w:p w14:paraId="2AB04129" w14:textId="77777777" w:rsidR="0057201B" w:rsidRPr="00AE3A84" w:rsidRDefault="0057201B">
            <w:pPr>
              <w:pStyle w:val="BodyText"/>
              <w:rPr>
                <w:lang w:val="es-ES"/>
              </w:rPr>
            </w:pPr>
            <w:r w:rsidRPr="00AE3A84">
              <w:rPr>
                <w:spacing w:val="-1"/>
              </w:rPr>
              <w:t>69-15</w:t>
            </w:r>
          </w:p>
        </w:tc>
        <w:tc>
          <w:tcPr>
            <w:tcW w:w="1350" w:type="dxa"/>
            <w:vAlign w:val="center"/>
          </w:tcPr>
          <w:p w14:paraId="46C07B5D" w14:textId="77777777" w:rsidR="0057201B" w:rsidRPr="00AE3A84" w:rsidRDefault="0057201B">
            <w:pPr>
              <w:pStyle w:val="BodyText"/>
              <w:rPr>
                <w:lang w:val="es-ES"/>
              </w:rPr>
            </w:pPr>
            <w:r w:rsidRPr="00AE3A84">
              <w:rPr>
                <w:spacing w:val="-1"/>
              </w:rPr>
              <w:t>15.093</w:t>
            </w:r>
          </w:p>
        </w:tc>
      </w:tr>
      <w:tr w:rsidR="0057201B" w:rsidRPr="00AE3A84" w14:paraId="6DCCF218" w14:textId="77777777">
        <w:tc>
          <w:tcPr>
            <w:tcW w:w="534" w:type="dxa"/>
            <w:vAlign w:val="center"/>
          </w:tcPr>
          <w:p w14:paraId="5C79EEB7" w14:textId="77777777" w:rsidR="0057201B" w:rsidRPr="00AE3A84" w:rsidRDefault="0057201B" w:rsidP="00933F91">
            <w:pPr>
              <w:pStyle w:val="BodyText"/>
              <w:widowControl/>
              <w:numPr>
                <w:ilvl w:val="0"/>
                <w:numId w:val="57"/>
              </w:numPr>
              <w:rPr>
                <w:lang w:val="es-ES"/>
              </w:rPr>
            </w:pPr>
          </w:p>
        </w:tc>
        <w:tc>
          <w:tcPr>
            <w:tcW w:w="2953" w:type="dxa"/>
            <w:vAlign w:val="center"/>
          </w:tcPr>
          <w:p w14:paraId="4CC7CEAD" w14:textId="77777777" w:rsidR="0057201B" w:rsidRPr="00AE3A84" w:rsidRDefault="0057201B">
            <w:pPr>
              <w:pStyle w:val="BodyText"/>
              <w:rPr>
                <w:lang w:val="es-ES"/>
              </w:rPr>
            </w:pPr>
            <w:r w:rsidRPr="00AE3A84">
              <w:rPr>
                <w:spacing w:val="-1"/>
              </w:rPr>
              <w:t>Sandra</w:t>
            </w:r>
            <w:r w:rsidRPr="00AE3A84">
              <w:rPr>
                <w:spacing w:val="-7"/>
              </w:rPr>
              <w:t xml:space="preserve"> </w:t>
            </w:r>
            <w:r w:rsidRPr="00AE3A84">
              <w:rPr>
                <w:spacing w:val="-1"/>
              </w:rPr>
              <w:t>Bland</w:t>
            </w:r>
            <w:r w:rsidRPr="00AE3A84">
              <w:rPr>
                <w:spacing w:val="-5"/>
              </w:rPr>
              <w:t xml:space="preserve"> </w:t>
            </w:r>
            <w:r>
              <w:rPr>
                <w:spacing w:val="-1"/>
              </w:rPr>
              <w:t>et al.</w:t>
            </w:r>
          </w:p>
        </w:tc>
        <w:tc>
          <w:tcPr>
            <w:tcW w:w="1119" w:type="dxa"/>
            <w:vAlign w:val="center"/>
          </w:tcPr>
          <w:p w14:paraId="2850A7C7" w14:textId="77777777" w:rsidR="0057201B" w:rsidRPr="00AE3A84" w:rsidRDefault="0057201B">
            <w:pPr>
              <w:pStyle w:val="BodyText"/>
              <w:rPr>
                <w:lang w:val="es-ES"/>
              </w:rPr>
            </w:pPr>
            <w:r>
              <w:rPr>
                <w:spacing w:val="-1"/>
              </w:rPr>
              <w:t>United States</w:t>
            </w:r>
          </w:p>
        </w:tc>
        <w:tc>
          <w:tcPr>
            <w:tcW w:w="1141" w:type="dxa"/>
            <w:vAlign w:val="center"/>
          </w:tcPr>
          <w:p w14:paraId="39414A78" w14:textId="77777777" w:rsidR="0057201B" w:rsidRPr="00AE3A84" w:rsidRDefault="0057201B">
            <w:pPr>
              <w:pStyle w:val="BodyText"/>
              <w:jc w:val="center"/>
              <w:rPr>
                <w:spacing w:val="-1"/>
              </w:rPr>
            </w:pPr>
            <w:r w:rsidRPr="007458CE">
              <w:rPr>
                <w:spacing w:val="-1"/>
              </w:rPr>
              <w:t>232/22</w:t>
            </w:r>
          </w:p>
        </w:tc>
        <w:tc>
          <w:tcPr>
            <w:tcW w:w="1289" w:type="dxa"/>
            <w:vAlign w:val="center"/>
          </w:tcPr>
          <w:p w14:paraId="18D2BAE2" w14:textId="77777777" w:rsidR="0057201B" w:rsidRPr="00AE3A84" w:rsidRDefault="0057201B">
            <w:pPr>
              <w:pStyle w:val="BodyText"/>
              <w:rPr>
                <w:lang w:val="es-ES"/>
              </w:rPr>
            </w:pPr>
            <w:r w:rsidRPr="00AE3A84">
              <w:rPr>
                <w:spacing w:val="-1"/>
              </w:rPr>
              <w:t>8/28/2022</w:t>
            </w:r>
          </w:p>
        </w:tc>
        <w:tc>
          <w:tcPr>
            <w:tcW w:w="1329" w:type="dxa"/>
            <w:vAlign w:val="center"/>
          </w:tcPr>
          <w:p w14:paraId="6758290C" w14:textId="77777777" w:rsidR="0057201B" w:rsidRPr="00AE3A84" w:rsidRDefault="0057201B">
            <w:pPr>
              <w:pStyle w:val="BodyText"/>
              <w:rPr>
                <w:lang w:val="es-ES"/>
              </w:rPr>
            </w:pPr>
            <w:r w:rsidRPr="00AE3A84">
              <w:rPr>
                <w:spacing w:val="-1"/>
              </w:rPr>
              <w:t>2152-15</w:t>
            </w:r>
          </w:p>
        </w:tc>
        <w:tc>
          <w:tcPr>
            <w:tcW w:w="1350" w:type="dxa"/>
            <w:vAlign w:val="center"/>
          </w:tcPr>
          <w:p w14:paraId="3C2B8CFF" w14:textId="3D950E41" w:rsidR="0057201B" w:rsidRPr="00AE3A84" w:rsidRDefault="0057201B">
            <w:pPr>
              <w:pStyle w:val="BodyText"/>
              <w:rPr>
                <w:lang w:val="es-ES"/>
              </w:rPr>
            </w:pPr>
            <w:r w:rsidRPr="00AE3A84">
              <w:rPr>
                <w:spacing w:val="-1"/>
              </w:rPr>
              <w:t>15.12</w:t>
            </w:r>
            <w:r w:rsidR="00A37DB1">
              <w:rPr>
                <w:spacing w:val="-1"/>
              </w:rPr>
              <w:t>0</w:t>
            </w:r>
          </w:p>
        </w:tc>
      </w:tr>
      <w:tr w:rsidR="0057201B" w:rsidRPr="00AE3A84" w14:paraId="7E2B6002" w14:textId="77777777">
        <w:tc>
          <w:tcPr>
            <w:tcW w:w="534" w:type="dxa"/>
            <w:vAlign w:val="center"/>
          </w:tcPr>
          <w:p w14:paraId="6A706C4A" w14:textId="77777777" w:rsidR="0057201B" w:rsidRPr="00AE3A84" w:rsidRDefault="0057201B" w:rsidP="00933F91">
            <w:pPr>
              <w:pStyle w:val="BodyText"/>
              <w:widowControl/>
              <w:numPr>
                <w:ilvl w:val="0"/>
                <w:numId w:val="57"/>
              </w:numPr>
              <w:rPr>
                <w:lang w:val="es-ES"/>
              </w:rPr>
            </w:pPr>
          </w:p>
        </w:tc>
        <w:tc>
          <w:tcPr>
            <w:tcW w:w="2953" w:type="dxa"/>
            <w:vAlign w:val="center"/>
          </w:tcPr>
          <w:p w14:paraId="75F75089" w14:textId="77777777" w:rsidR="0057201B" w:rsidRPr="00AE3A84" w:rsidRDefault="0057201B">
            <w:pPr>
              <w:pStyle w:val="BodyText"/>
              <w:rPr>
                <w:lang w:val="es-ES"/>
              </w:rPr>
            </w:pPr>
            <w:r w:rsidRPr="00AE3A84">
              <w:rPr>
                <w:spacing w:val="-1"/>
              </w:rPr>
              <w:t>Fabián</w:t>
            </w:r>
            <w:r w:rsidRPr="00AE3A84">
              <w:rPr>
                <w:spacing w:val="-7"/>
              </w:rPr>
              <w:t xml:space="preserve"> </w:t>
            </w:r>
            <w:r w:rsidRPr="00AE3A84">
              <w:rPr>
                <w:spacing w:val="-1"/>
              </w:rPr>
              <w:t>Andrés</w:t>
            </w:r>
            <w:r w:rsidRPr="00AE3A84">
              <w:rPr>
                <w:spacing w:val="-8"/>
              </w:rPr>
              <w:t xml:space="preserve"> </w:t>
            </w:r>
            <w:r w:rsidRPr="00AE3A84">
              <w:rPr>
                <w:spacing w:val="-1"/>
              </w:rPr>
              <w:t>Cáceres</w:t>
            </w:r>
            <w:r w:rsidRPr="00AE3A84">
              <w:rPr>
                <w:spacing w:val="-7"/>
              </w:rPr>
              <w:t xml:space="preserve"> </w:t>
            </w:r>
            <w:r w:rsidRPr="00AE3A84">
              <w:rPr>
                <w:spacing w:val="-1"/>
              </w:rPr>
              <w:t>Palencia</w:t>
            </w:r>
          </w:p>
        </w:tc>
        <w:tc>
          <w:tcPr>
            <w:tcW w:w="1119" w:type="dxa"/>
            <w:vAlign w:val="center"/>
          </w:tcPr>
          <w:p w14:paraId="2BD98910" w14:textId="77777777" w:rsidR="0057201B" w:rsidRPr="00AE3A84" w:rsidRDefault="0057201B">
            <w:pPr>
              <w:pStyle w:val="BodyText"/>
              <w:rPr>
                <w:lang w:val="es-ES"/>
              </w:rPr>
            </w:pPr>
            <w:r w:rsidRPr="00AE3A84">
              <w:rPr>
                <w:spacing w:val="-1"/>
              </w:rPr>
              <w:t>Colombia</w:t>
            </w:r>
          </w:p>
        </w:tc>
        <w:tc>
          <w:tcPr>
            <w:tcW w:w="1141" w:type="dxa"/>
            <w:vAlign w:val="center"/>
          </w:tcPr>
          <w:p w14:paraId="536BF6DD" w14:textId="77777777" w:rsidR="0057201B" w:rsidRPr="00AE3A84" w:rsidRDefault="0057201B">
            <w:pPr>
              <w:pStyle w:val="BodyText"/>
              <w:jc w:val="center"/>
              <w:rPr>
                <w:spacing w:val="-1"/>
              </w:rPr>
            </w:pPr>
            <w:r w:rsidRPr="007458CE">
              <w:rPr>
                <w:spacing w:val="-1"/>
              </w:rPr>
              <w:t>235/22</w:t>
            </w:r>
          </w:p>
        </w:tc>
        <w:tc>
          <w:tcPr>
            <w:tcW w:w="1289" w:type="dxa"/>
            <w:vAlign w:val="center"/>
          </w:tcPr>
          <w:p w14:paraId="6FEA6422" w14:textId="77777777" w:rsidR="0057201B" w:rsidRPr="00AE3A84" w:rsidRDefault="0057201B">
            <w:pPr>
              <w:pStyle w:val="BodyText"/>
              <w:rPr>
                <w:lang w:val="es-ES"/>
              </w:rPr>
            </w:pPr>
            <w:r w:rsidRPr="00AE3A84">
              <w:rPr>
                <w:spacing w:val="-1"/>
              </w:rPr>
              <w:t>9/15/2022</w:t>
            </w:r>
          </w:p>
        </w:tc>
        <w:tc>
          <w:tcPr>
            <w:tcW w:w="1329" w:type="dxa"/>
            <w:vAlign w:val="center"/>
          </w:tcPr>
          <w:p w14:paraId="0E10631E" w14:textId="77777777" w:rsidR="0057201B" w:rsidRPr="00AE3A84" w:rsidRDefault="0057201B">
            <w:pPr>
              <w:pStyle w:val="BodyText"/>
              <w:rPr>
                <w:lang w:val="es-ES"/>
              </w:rPr>
            </w:pPr>
            <w:r w:rsidRPr="00AE3A84">
              <w:rPr>
                <w:spacing w:val="-1"/>
              </w:rPr>
              <w:t>991-10</w:t>
            </w:r>
          </w:p>
        </w:tc>
        <w:tc>
          <w:tcPr>
            <w:tcW w:w="1350" w:type="dxa"/>
            <w:vAlign w:val="center"/>
          </w:tcPr>
          <w:p w14:paraId="25B725A1" w14:textId="77777777" w:rsidR="0057201B" w:rsidRPr="00AE3A84" w:rsidRDefault="0057201B">
            <w:pPr>
              <w:pStyle w:val="BodyText"/>
              <w:rPr>
                <w:lang w:val="es-ES"/>
              </w:rPr>
            </w:pPr>
            <w:r w:rsidRPr="00AE3A84">
              <w:rPr>
                <w:spacing w:val="-1"/>
              </w:rPr>
              <w:t>15.082</w:t>
            </w:r>
          </w:p>
        </w:tc>
      </w:tr>
      <w:tr w:rsidR="0057201B" w:rsidRPr="00AE3A84" w14:paraId="026558F0" w14:textId="77777777">
        <w:tc>
          <w:tcPr>
            <w:tcW w:w="534" w:type="dxa"/>
            <w:vAlign w:val="center"/>
          </w:tcPr>
          <w:p w14:paraId="610F3AB7" w14:textId="77777777" w:rsidR="0057201B" w:rsidRPr="00AE3A84" w:rsidRDefault="0057201B" w:rsidP="00933F91">
            <w:pPr>
              <w:pStyle w:val="BodyText"/>
              <w:widowControl/>
              <w:numPr>
                <w:ilvl w:val="0"/>
                <w:numId w:val="57"/>
              </w:numPr>
              <w:rPr>
                <w:lang w:val="es-ES"/>
              </w:rPr>
            </w:pPr>
          </w:p>
        </w:tc>
        <w:tc>
          <w:tcPr>
            <w:tcW w:w="2953" w:type="dxa"/>
            <w:vAlign w:val="center"/>
          </w:tcPr>
          <w:p w14:paraId="204C606A" w14:textId="77777777" w:rsidR="0057201B" w:rsidRPr="00AE3A84" w:rsidRDefault="0057201B">
            <w:pPr>
              <w:pStyle w:val="BodyText"/>
              <w:rPr>
                <w:lang w:val="es-ES"/>
              </w:rPr>
            </w:pPr>
            <w:r w:rsidRPr="00AE3A84">
              <w:rPr>
                <w:spacing w:val="-1"/>
              </w:rPr>
              <w:t>Amber</w:t>
            </w:r>
            <w:r w:rsidRPr="00AE3A84">
              <w:rPr>
                <w:spacing w:val="-5"/>
              </w:rPr>
              <w:t xml:space="preserve"> </w:t>
            </w:r>
            <w:r w:rsidRPr="00AE3A84">
              <w:rPr>
                <w:spacing w:val="-1"/>
              </w:rPr>
              <w:t>Anderson</w:t>
            </w:r>
            <w:r w:rsidRPr="00AE3A84">
              <w:rPr>
                <w:spacing w:val="-5"/>
              </w:rPr>
              <w:t xml:space="preserve"> </w:t>
            </w:r>
            <w:r w:rsidRPr="00AE3A84">
              <w:t>et</w:t>
            </w:r>
            <w:r w:rsidRPr="00AE3A84">
              <w:rPr>
                <w:spacing w:val="-5"/>
              </w:rPr>
              <w:t xml:space="preserve"> </w:t>
            </w:r>
            <w:r w:rsidRPr="00AE3A84">
              <w:rPr>
                <w:spacing w:val="-1"/>
              </w:rPr>
              <w:t>al.</w:t>
            </w:r>
          </w:p>
        </w:tc>
        <w:tc>
          <w:tcPr>
            <w:tcW w:w="1119" w:type="dxa"/>
            <w:vAlign w:val="center"/>
          </w:tcPr>
          <w:p w14:paraId="2D1B857F" w14:textId="77777777" w:rsidR="0057201B" w:rsidRPr="00AE3A84" w:rsidRDefault="0057201B">
            <w:pPr>
              <w:pStyle w:val="BodyText"/>
              <w:rPr>
                <w:lang w:val="es-ES"/>
              </w:rPr>
            </w:pPr>
            <w:r>
              <w:rPr>
                <w:spacing w:val="-1"/>
              </w:rPr>
              <w:t>United States</w:t>
            </w:r>
          </w:p>
        </w:tc>
        <w:tc>
          <w:tcPr>
            <w:tcW w:w="1141" w:type="dxa"/>
            <w:vAlign w:val="center"/>
          </w:tcPr>
          <w:p w14:paraId="13DD1B74" w14:textId="77777777" w:rsidR="0057201B" w:rsidRPr="00AE3A84" w:rsidRDefault="0057201B">
            <w:pPr>
              <w:pStyle w:val="BodyText"/>
              <w:jc w:val="center"/>
              <w:rPr>
                <w:spacing w:val="-1"/>
              </w:rPr>
            </w:pPr>
            <w:r w:rsidRPr="007458CE">
              <w:rPr>
                <w:spacing w:val="-1"/>
              </w:rPr>
              <w:t>238/22</w:t>
            </w:r>
          </w:p>
        </w:tc>
        <w:tc>
          <w:tcPr>
            <w:tcW w:w="1289" w:type="dxa"/>
            <w:vAlign w:val="center"/>
          </w:tcPr>
          <w:p w14:paraId="2472DB1A" w14:textId="77777777" w:rsidR="0057201B" w:rsidRPr="00AE3A84" w:rsidRDefault="0057201B">
            <w:pPr>
              <w:pStyle w:val="BodyText"/>
              <w:rPr>
                <w:lang w:val="es-ES"/>
              </w:rPr>
            </w:pPr>
            <w:r w:rsidRPr="00AE3A84">
              <w:rPr>
                <w:spacing w:val="-1"/>
              </w:rPr>
              <w:t>9/9/2022</w:t>
            </w:r>
          </w:p>
        </w:tc>
        <w:tc>
          <w:tcPr>
            <w:tcW w:w="1329" w:type="dxa"/>
            <w:vAlign w:val="center"/>
          </w:tcPr>
          <w:p w14:paraId="654C437E" w14:textId="77777777" w:rsidR="0057201B" w:rsidRPr="00AE3A84" w:rsidRDefault="0057201B">
            <w:pPr>
              <w:pStyle w:val="BodyText"/>
              <w:rPr>
                <w:lang w:val="es-ES"/>
              </w:rPr>
            </w:pPr>
            <w:r w:rsidRPr="00AE3A84">
              <w:rPr>
                <w:spacing w:val="-1"/>
              </w:rPr>
              <w:t>106-14</w:t>
            </w:r>
          </w:p>
        </w:tc>
        <w:tc>
          <w:tcPr>
            <w:tcW w:w="1350" w:type="dxa"/>
            <w:vAlign w:val="center"/>
          </w:tcPr>
          <w:p w14:paraId="39C62AD1" w14:textId="77777777" w:rsidR="0057201B" w:rsidRPr="00AE3A84" w:rsidRDefault="0057201B">
            <w:pPr>
              <w:pStyle w:val="BodyText"/>
              <w:rPr>
                <w:lang w:val="es-ES"/>
              </w:rPr>
            </w:pPr>
            <w:r w:rsidRPr="00AE3A84">
              <w:rPr>
                <w:spacing w:val="-1"/>
              </w:rPr>
              <w:t>15.103</w:t>
            </w:r>
          </w:p>
        </w:tc>
      </w:tr>
      <w:tr w:rsidR="0057201B" w:rsidRPr="00AE3A84" w14:paraId="7F1E46BA" w14:textId="77777777">
        <w:tc>
          <w:tcPr>
            <w:tcW w:w="534" w:type="dxa"/>
            <w:vAlign w:val="center"/>
          </w:tcPr>
          <w:p w14:paraId="0511ADD5" w14:textId="77777777" w:rsidR="0057201B" w:rsidRPr="00AE3A84" w:rsidRDefault="0057201B" w:rsidP="00933F91">
            <w:pPr>
              <w:pStyle w:val="BodyText"/>
              <w:widowControl/>
              <w:numPr>
                <w:ilvl w:val="0"/>
                <w:numId w:val="57"/>
              </w:numPr>
              <w:rPr>
                <w:lang w:val="es-ES"/>
              </w:rPr>
            </w:pPr>
          </w:p>
        </w:tc>
        <w:tc>
          <w:tcPr>
            <w:tcW w:w="2953" w:type="dxa"/>
            <w:vAlign w:val="center"/>
          </w:tcPr>
          <w:p w14:paraId="1246722A" w14:textId="77777777" w:rsidR="0057201B" w:rsidRPr="00AE3A84" w:rsidRDefault="0057201B">
            <w:pPr>
              <w:pStyle w:val="BodyText"/>
              <w:rPr>
                <w:lang w:val="es-ES"/>
              </w:rPr>
            </w:pPr>
            <w:r w:rsidRPr="00AE3A84">
              <w:rPr>
                <w:spacing w:val="-1"/>
              </w:rPr>
              <w:t>Alexa</w:t>
            </w:r>
            <w:r w:rsidRPr="00AE3A84">
              <w:rPr>
                <w:spacing w:val="-6"/>
              </w:rPr>
              <w:t xml:space="preserve"> </w:t>
            </w:r>
            <w:r w:rsidRPr="00AE3A84">
              <w:rPr>
                <w:spacing w:val="-1"/>
              </w:rPr>
              <w:t>Hoffmann</w:t>
            </w:r>
            <w:r w:rsidRPr="00AE3A84">
              <w:rPr>
                <w:spacing w:val="-5"/>
              </w:rPr>
              <w:t xml:space="preserve"> </w:t>
            </w:r>
            <w:r w:rsidRPr="00AE3A84">
              <w:t>et</w:t>
            </w:r>
            <w:r w:rsidRPr="00AE3A84">
              <w:rPr>
                <w:spacing w:val="-5"/>
              </w:rPr>
              <w:t xml:space="preserve"> </w:t>
            </w:r>
            <w:r w:rsidRPr="00AE3A84">
              <w:rPr>
                <w:spacing w:val="-1"/>
              </w:rPr>
              <w:t>al.</w:t>
            </w:r>
          </w:p>
        </w:tc>
        <w:tc>
          <w:tcPr>
            <w:tcW w:w="1119" w:type="dxa"/>
            <w:vAlign w:val="center"/>
          </w:tcPr>
          <w:p w14:paraId="33967F0E" w14:textId="77777777" w:rsidR="0057201B" w:rsidRPr="00AE3A84" w:rsidRDefault="0057201B">
            <w:pPr>
              <w:pStyle w:val="BodyText"/>
              <w:rPr>
                <w:lang w:val="es-ES"/>
              </w:rPr>
            </w:pPr>
            <w:r w:rsidRPr="00AE3A84">
              <w:rPr>
                <w:spacing w:val="-1"/>
              </w:rPr>
              <w:t>Barbados</w:t>
            </w:r>
          </w:p>
        </w:tc>
        <w:tc>
          <w:tcPr>
            <w:tcW w:w="1141" w:type="dxa"/>
            <w:vAlign w:val="center"/>
          </w:tcPr>
          <w:p w14:paraId="2F950375" w14:textId="77777777" w:rsidR="0057201B" w:rsidRPr="00AE3A84" w:rsidRDefault="0057201B">
            <w:pPr>
              <w:pStyle w:val="BodyText"/>
              <w:jc w:val="center"/>
              <w:rPr>
                <w:spacing w:val="-1"/>
              </w:rPr>
            </w:pPr>
            <w:r w:rsidRPr="007458CE">
              <w:rPr>
                <w:spacing w:val="-1"/>
              </w:rPr>
              <w:t>239/22</w:t>
            </w:r>
          </w:p>
        </w:tc>
        <w:tc>
          <w:tcPr>
            <w:tcW w:w="1289" w:type="dxa"/>
            <w:vAlign w:val="center"/>
          </w:tcPr>
          <w:p w14:paraId="02B266A7" w14:textId="77777777" w:rsidR="0057201B" w:rsidRPr="00AE3A84" w:rsidRDefault="0057201B">
            <w:pPr>
              <w:pStyle w:val="BodyText"/>
              <w:rPr>
                <w:lang w:val="es-ES"/>
              </w:rPr>
            </w:pPr>
            <w:r w:rsidRPr="00AE3A84">
              <w:rPr>
                <w:spacing w:val="-1"/>
              </w:rPr>
              <w:t>9/26/2022</w:t>
            </w:r>
          </w:p>
        </w:tc>
        <w:tc>
          <w:tcPr>
            <w:tcW w:w="1329" w:type="dxa"/>
            <w:vAlign w:val="center"/>
          </w:tcPr>
          <w:p w14:paraId="1118C6E9" w14:textId="77777777" w:rsidR="0057201B" w:rsidRPr="00AE3A84" w:rsidRDefault="0057201B">
            <w:pPr>
              <w:pStyle w:val="BodyText"/>
              <w:rPr>
                <w:lang w:val="es-ES"/>
              </w:rPr>
            </w:pPr>
            <w:r w:rsidRPr="00AE3A84">
              <w:rPr>
                <w:spacing w:val="-1"/>
              </w:rPr>
              <w:t>1081-18</w:t>
            </w:r>
          </w:p>
        </w:tc>
        <w:tc>
          <w:tcPr>
            <w:tcW w:w="1350" w:type="dxa"/>
            <w:vAlign w:val="center"/>
          </w:tcPr>
          <w:p w14:paraId="7E93973F" w14:textId="77777777" w:rsidR="0057201B" w:rsidRPr="00AE3A84" w:rsidRDefault="0057201B">
            <w:pPr>
              <w:pStyle w:val="BodyText"/>
              <w:rPr>
                <w:lang w:val="es-ES"/>
              </w:rPr>
            </w:pPr>
            <w:r w:rsidRPr="00AE3A84">
              <w:rPr>
                <w:spacing w:val="-1"/>
              </w:rPr>
              <w:t>15.097</w:t>
            </w:r>
          </w:p>
        </w:tc>
      </w:tr>
      <w:tr w:rsidR="0057201B" w:rsidRPr="00AE3A84" w14:paraId="3FF56EF6" w14:textId="77777777">
        <w:tc>
          <w:tcPr>
            <w:tcW w:w="534" w:type="dxa"/>
            <w:vAlign w:val="center"/>
          </w:tcPr>
          <w:p w14:paraId="478C5950" w14:textId="77777777" w:rsidR="0057201B" w:rsidRPr="00AE3A84" w:rsidRDefault="0057201B" w:rsidP="00933F91">
            <w:pPr>
              <w:pStyle w:val="BodyText"/>
              <w:widowControl/>
              <w:numPr>
                <w:ilvl w:val="0"/>
                <w:numId w:val="57"/>
              </w:numPr>
              <w:rPr>
                <w:lang w:val="es-ES"/>
              </w:rPr>
            </w:pPr>
          </w:p>
        </w:tc>
        <w:tc>
          <w:tcPr>
            <w:tcW w:w="2953" w:type="dxa"/>
            <w:vAlign w:val="center"/>
          </w:tcPr>
          <w:p w14:paraId="6E4B22C2" w14:textId="77777777" w:rsidR="0057201B" w:rsidRPr="00AE3A84" w:rsidRDefault="0057201B">
            <w:pPr>
              <w:pStyle w:val="BodyText"/>
              <w:rPr>
                <w:lang w:val="pt-BR"/>
              </w:rPr>
            </w:pPr>
            <w:r>
              <w:rPr>
                <w:spacing w:val="-1"/>
                <w:lang w:val="pt-BR"/>
              </w:rPr>
              <w:t>Relatives of</w:t>
            </w:r>
            <w:r w:rsidRPr="00AE3A84">
              <w:rPr>
                <w:spacing w:val="-5"/>
                <w:lang w:val="pt-BR"/>
              </w:rPr>
              <w:t xml:space="preserve"> </w:t>
            </w:r>
            <w:r w:rsidRPr="00AE3A84">
              <w:rPr>
                <w:spacing w:val="-1"/>
                <w:lang w:val="pt-BR"/>
              </w:rPr>
              <w:t>Reinaldo</w:t>
            </w:r>
            <w:r w:rsidRPr="00AE3A84">
              <w:rPr>
                <w:spacing w:val="-7"/>
                <w:lang w:val="pt-BR"/>
              </w:rPr>
              <w:t xml:space="preserve"> </w:t>
            </w:r>
            <w:r w:rsidRPr="00AE3A84">
              <w:rPr>
                <w:spacing w:val="-1"/>
                <w:lang w:val="pt-BR"/>
              </w:rPr>
              <w:t>Zapata</w:t>
            </w:r>
            <w:r w:rsidRPr="00AE3A84">
              <w:rPr>
                <w:spacing w:val="-7"/>
                <w:lang w:val="pt-BR"/>
              </w:rPr>
              <w:t xml:space="preserve"> </w:t>
            </w:r>
            <w:r w:rsidRPr="00AE3A84">
              <w:rPr>
                <w:spacing w:val="-1"/>
                <w:lang w:val="pt-BR"/>
              </w:rPr>
              <w:t>Carmona</w:t>
            </w:r>
          </w:p>
        </w:tc>
        <w:tc>
          <w:tcPr>
            <w:tcW w:w="1119" w:type="dxa"/>
            <w:vAlign w:val="center"/>
          </w:tcPr>
          <w:p w14:paraId="53815E5E" w14:textId="77777777" w:rsidR="0057201B" w:rsidRPr="00AE3A84" w:rsidRDefault="0057201B">
            <w:pPr>
              <w:pStyle w:val="BodyText"/>
              <w:rPr>
                <w:lang w:val="es-ES"/>
              </w:rPr>
            </w:pPr>
            <w:r w:rsidRPr="00AE3A84">
              <w:rPr>
                <w:spacing w:val="-1"/>
              </w:rPr>
              <w:t>Colombia</w:t>
            </w:r>
          </w:p>
        </w:tc>
        <w:tc>
          <w:tcPr>
            <w:tcW w:w="1141" w:type="dxa"/>
            <w:vAlign w:val="center"/>
          </w:tcPr>
          <w:p w14:paraId="250E1996" w14:textId="77777777" w:rsidR="0057201B" w:rsidRPr="00AE3A84" w:rsidRDefault="0057201B">
            <w:pPr>
              <w:pStyle w:val="BodyText"/>
              <w:jc w:val="center"/>
              <w:rPr>
                <w:spacing w:val="-1"/>
              </w:rPr>
            </w:pPr>
            <w:r w:rsidRPr="007458CE">
              <w:rPr>
                <w:spacing w:val="-1"/>
              </w:rPr>
              <w:t>240/22</w:t>
            </w:r>
          </w:p>
        </w:tc>
        <w:tc>
          <w:tcPr>
            <w:tcW w:w="1289" w:type="dxa"/>
            <w:vAlign w:val="center"/>
          </w:tcPr>
          <w:p w14:paraId="28F85660" w14:textId="77777777" w:rsidR="0057201B" w:rsidRPr="00AE3A84" w:rsidRDefault="0057201B">
            <w:pPr>
              <w:pStyle w:val="BodyText"/>
              <w:rPr>
                <w:lang w:val="es-ES"/>
              </w:rPr>
            </w:pPr>
            <w:r w:rsidRPr="00AE3A84">
              <w:rPr>
                <w:spacing w:val="-1"/>
              </w:rPr>
              <w:t>9/26/2022</w:t>
            </w:r>
          </w:p>
        </w:tc>
        <w:tc>
          <w:tcPr>
            <w:tcW w:w="1329" w:type="dxa"/>
            <w:vAlign w:val="center"/>
          </w:tcPr>
          <w:p w14:paraId="5A167445" w14:textId="77777777" w:rsidR="0057201B" w:rsidRPr="00AE3A84" w:rsidRDefault="0057201B">
            <w:pPr>
              <w:pStyle w:val="BodyText"/>
              <w:rPr>
                <w:lang w:val="es-ES"/>
              </w:rPr>
            </w:pPr>
            <w:r w:rsidRPr="00AE3A84">
              <w:rPr>
                <w:spacing w:val="-1"/>
              </w:rPr>
              <w:t>2378-12</w:t>
            </w:r>
          </w:p>
        </w:tc>
        <w:tc>
          <w:tcPr>
            <w:tcW w:w="1350" w:type="dxa"/>
            <w:vAlign w:val="center"/>
          </w:tcPr>
          <w:p w14:paraId="2A775B47" w14:textId="77777777" w:rsidR="0057201B" w:rsidRPr="00AE3A84" w:rsidRDefault="0057201B">
            <w:pPr>
              <w:pStyle w:val="BodyText"/>
              <w:rPr>
                <w:lang w:val="es-ES"/>
              </w:rPr>
            </w:pPr>
            <w:r w:rsidRPr="00AE3A84">
              <w:rPr>
                <w:spacing w:val="-1"/>
              </w:rPr>
              <w:t>15.122</w:t>
            </w:r>
          </w:p>
        </w:tc>
      </w:tr>
      <w:tr w:rsidR="0057201B" w:rsidRPr="00AE3A84" w14:paraId="054C4227" w14:textId="77777777">
        <w:tc>
          <w:tcPr>
            <w:tcW w:w="534" w:type="dxa"/>
            <w:vAlign w:val="center"/>
          </w:tcPr>
          <w:p w14:paraId="45AEA7BD" w14:textId="77777777" w:rsidR="0057201B" w:rsidRPr="00AE3A84" w:rsidRDefault="0057201B" w:rsidP="00933F91">
            <w:pPr>
              <w:pStyle w:val="BodyText"/>
              <w:widowControl/>
              <w:numPr>
                <w:ilvl w:val="0"/>
                <w:numId w:val="57"/>
              </w:numPr>
              <w:rPr>
                <w:lang w:val="es-ES"/>
              </w:rPr>
            </w:pPr>
          </w:p>
        </w:tc>
        <w:tc>
          <w:tcPr>
            <w:tcW w:w="2953" w:type="dxa"/>
            <w:vAlign w:val="center"/>
          </w:tcPr>
          <w:p w14:paraId="5865C55E" w14:textId="77777777" w:rsidR="0057201B" w:rsidRPr="00EA215E" w:rsidRDefault="0057201B">
            <w:pPr>
              <w:pStyle w:val="BodyText"/>
            </w:pPr>
            <w:r>
              <w:rPr>
                <w:spacing w:val="-1"/>
              </w:rPr>
              <w:t>Members of the</w:t>
            </w:r>
            <w:r w:rsidRPr="00AE3A84">
              <w:rPr>
                <w:spacing w:val="-6"/>
              </w:rPr>
              <w:t xml:space="preserve"> </w:t>
            </w:r>
            <w:r w:rsidRPr="00AE3A84">
              <w:rPr>
                <w:spacing w:val="-1"/>
              </w:rPr>
              <w:t>Colectivo</w:t>
            </w:r>
            <w:r w:rsidRPr="00AE3A84">
              <w:rPr>
                <w:spacing w:val="-8"/>
              </w:rPr>
              <w:t xml:space="preserve"> </w:t>
            </w:r>
            <w:r w:rsidRPr="00AE3A84">
              <w:rPr>
                <w:spacing w:val="-1"/>
              </w:rPr>
              <w:t>Yasunidos</w:t>
            </w:r>
          </w:p>
        </w:tc>
        <w:tc>
          <w:tcPr>
            <w:tcW w:w="1119" w:type="dxa"/>
            <w:vAlign w:val="center"/>
          </w:tcPr>
          <w:p w14:paraId="53517A78" w14:textId="77777777" w:rsidR="0057201B" w:rsidRPr="00AE3A84" w:rsidRDefault="0057201B">
            <w:pPr>
              <w:pStyle w:val="BodyText"/>
              <w:rPr>
                <w:lang w:val="es-ES"/>
              </w:rPr>
            </w:pPr>
            <w:r w:rsidRPr="00AE3A84">
              <w:rPr>
                <w:spacing w:val="-1"/>
              </w:rPr>
              <w:t>Ecuador</w:t>
            </w:r>
          </w:p>
        </w:tc>
        <w:tc>
          <w:tcPr>
            <w:tcW w:w="1141" w:type="dxa"/>
            <w:vAlign w:val="center"/>
          </w:tcPr>
          <w:p w14:paraId="77D426D5" w14:textId="77777777" w:rsidR="0057201B" w:rsidRPr="00AE3A84" w:rsidRDefault="0057201B">
            <w:pPr>
              <w:pStyle w:val="BodyText"/>
              <w:jc w:val="center"/>
              <w:rPr>
                <w:spacing w:val="-1"/>
              </w:rPr>
            </w:pPr>
            <w:r w:rsidRPr="007458CE">
              <w:rPr>
                <w:spacing w:val="-1"/>
              </w:rPr>
              <w:t>242/22</w:t>
            </w:r>
          </w:p>
        </w:tc>
        <w:tc>
          <w:tcPr>
            <w:tcW w:w="1289" w:type="dxa"/>
            <w:vAlign w:val="center"/>
          </w:tcPr>
          <w:p w14:paraId="20E2A008" w14:textId="77777777" w:rsidR="0057201B" w:rsidRPr="00AE3A84" w:rsidRDefault="0057201B">
            <w:pPr>
              <w:pStyle w:val="BodyText"/>
              <w:rPr>
                <w:lang w:val="es-ES"/>
              </w:rPr>
            </w:pPr>
            <w:r w:rsidRPr="00AE3A84">
              <w:rPr>
                <w:spacing w:val="-1"/>
              </w:rPr>
              <w:t>9/26/2022</w:t>
            </w:r>
          </w:p>
        </w:tc>
        <w:tc>
          <w:tcPr>
            <w:tcW w:w="1329" w:type="dxa"/>
            <w:vAlign w:val="center"/>
          </w:tcPr>
          <w:p w14:paraId="3122270D" w14:textId="77777777" w:rsidR="0057201B" w:rsidRPr="00AE3A84" w:rsidRDefault="0057201B">
            <w:pPr>
              <w:pStyle w:val="BodyText"/>
              <w:rPr>
                <w:lang w:val="es-ES"/>
              </w:rPr>
            </w:pPr>
            <w:r w:rsidRPr="00AE3A84">
              <w:rPr>
                <w:spacing w:val="-1"/>
              </w:rPr>
              <w:t>1468-14</w:t>
            </w:r>
          </w:p>
        </w:tc>
        <w:tc>
          <w:tcPr>
            <w:tcW w:w="1350" w:type="dxa"/>
            <w:vAlign w:val="center"/>
          </w:tcPr>
          <w:p w14:paraId="0640F6E4" w14:textId="1A5097CD" w:rsidR="0057201B" w:rsidRPr="00AE3A84" w:rsidRDefault="0057201B">
            <w:pPr>
              <w:pStyle w:val="BodyText"/>
              <w:rPr>
                <w:lang w:val="es-ES"/>
              </w:rPr>
            </w:pPr>
            <w:r w:rsidRPr="00AE3A84">
              <w:rPr>
                <w:spacing w:val="-1"/>
              </w:rPr>
              <w:t>15.09</w:t>
            </w:r>
            <w:r w:rsidR="00A37DB1">
              <w:rPr>
                <w:spacing w:val="-1"/>
              </w:rPr>
              <w:t>0</w:t>
            </w:r>
          </w:p>
        </w:tc>
      </w:tr>
      <w:tr w:rsidR="0057201B" w:rsidRPr="00AE3A84" w14:paraId="6B4A85B5" w14:textId="77777777">
        <w:tc>
          <w:tcPr>
            <w:tcW w:w="534" w:type="dxa"/>
            <w:vAlign w:val="center"/>
          </w:tcPr>
          <w:p w14:paraId="599283EB" w14:textId="77777777" w:rsidR="0057201B" w:rsidRPr="00AE3A84" w:rsidRDefault="0057201B" w:rsidP="00933F91">
            <w:pPr>
              <w:pStyle w:val="BodyText"/>
              <w:widowControl/>
              <w:numPr>
                <w:ilvl w:val="0"/>
                <w:numId w:val="57"/>
              </w:numPr>
              <w:rPr>
                <w:lang w:val="es-ES"/>
              </w:rPr>
            </w:pPr>
          </w:p>
        </w:tc>
        <w:tc>
          <w:tcPr>
            <w:tcW w:w="2953" w:type="dxa"/>
            <w:vAlign w:val="center"/>
          </w:tcPr>
          <w:p w14:paraId="64DBBF96" w14:textId="77777777" w:rsidR="0057201B" w:rsidRPr="00AE3A84" w:rsidRDefault="0057201B">
            <w:pPr>
              <w:pStyle w:val="BodyText"/>
              <w:rPr>
                <w:lang w:val="es-ES"/>
              </w:rPr>
            </w:pPr>
            <w:r w:rsidRPr="00AE3A84">
              <w:rPr>
                <w:spacing w:val="-1"/>
              </w:rPr>
              <w:t>Branko</w:t>
            </w:r>
            <w:r w:rsidRPr="00AE3A84">
              <w:rPr>
                <w:spacing w:val="-8"/>
              </w:rPr>
              <w:t xml:space="preserve"> </w:t>
            </w:r>
            <w:r w:rsidRPr="00AE3A84">
              <w:rPr>
                <w:spacing w:val="-1"/>
              </w:rPr>
              <w:t>Goran</w:t>
            </w:r>
            <w:r w:rsidRPr="00AE3A84">
              <w:rPr>
                <w:spacing w:val="-8"/>
              </w:rPr>
              <w:t xml:space="preserve"> </w:t>
            </w:r>
            <w:r w:rsidRPr="00AE3A84">
              <w:rPr>
                <w:spacing w:val="-1"/>
              </w:rPr>
              <w:t>Marinkovic</w:t>
            </w:r>
            <w:r w:rsidRPr="00AE3A84">
              <w:rPr>
                <w:spacing w:val="-6"/>
              </w:rPr>
              <w:t xml:space="preserve"> </w:t>
            </w:r>
            <w:r w:rsidRPr="00AE3A84">
              <w:t>Jovicevic</w:t>
            </w:r>
          </w:p>
        </w:tc>
        <w:tc>
          <w:tcPr>
            <w:tcW w:w="1119" w:type="dxa"/>
            <w:vAlign w:val="center"/>
          </w:tcPr>
          <w:p w14:paraId="5D51C8F0" w14:textId="77777777" w:rsidR="0057201B" w:rsidRPr="00AE3A84" w:rsidRDefault="0057201B">
            <w:pPr>
              <w:pStyle w:val="BodyText"/>
              <w:rPr>
                <w:lang w:val="es-ES"/>
              </w:rPr>
            </w:pPr>
            <w:r w:rsidRPr="00AE3A84">
              <w:rPr>
                <w:spacing w:val="-1"/>
              </w:rPr>
              <w:t>Bolivia</w:t>
            </w:r>
          </w:p>
        </w:tc>
        <w:tc>
          <w:tcPr>
            <w:tcW w:w="1141" w:type="dxa"/>
            <w:vAlign w:val="center"/>
          </w:tcPr>
          <w:p w14:paraId="25968B29" w14:textId="77777777" w:rsidR="0057201B" w:rsidRPr="00AE3A84" w:rsidRDefault="0057201B">
            <w:pPr>
              <w:pStyle w:val="BodyText"/>
              <w:jc w:val="center"/>
              <w:rPr>
                <w:spacing w:val="-1"/>
              </w:rPr>
            </w:pPr>
            <w:r w:rsidRPr="007458CE">
              <w:rPr>
                <w:spacing w:val="-1"/>
              </w:rPr>
              <w:t>243/22</w:t>
            </w:r>
          </w:p>
        </w:tc>
        <w:tc>
          <w:tcPr>
            <w:tcW w:w="1289" w:type="dxa"/>
            <w:vAlign w:val="center"/>
          </w:tcPr>
          <w:p w14:paraId="1B6573EC" w14:textId="77777777" w:rsidR="0057201B" w:rsidRPr="00AE3A84" w:rsidRDefault="0057201B">
            <w:pPr>
              <w:pStyle w:val="BodyText"/>
              <w:rPr>
                <w:lang w:val="es-ES"/>
              </w:rPr>
            </w:pPr>
            <w:r w:rsidRPr="00AE3A84">
              <w:rPr>
                <w:spacing w:val="-1"/>
              </w:rPr>
              <w:t>9/26/2022</w:t>
            </w:r>
          </w:p>
        </w:tc>
        <w:tc>
          <w:tcPr>
            <w:tcW w:w="1329" w:type="dxa"/>
            <w:vAlign w:val="center"/>
          </w:tcPr>
          <w:p w14:paraId="1E1CD7EA" w14:textId="77777777" w:rsidR="0057201B" w:rsidRPr="00AE3A84" w:rsidRDefault="0057201B">
            <w:pPr>
              <w:pStyle w:val="BodyText"/>
              <w:rPr>
                <w:lang w:val="es-ES"/>
              </w:rPr>
            </w:pPr>
            <w:r w:rsidRPr="00AE3A84">
              <w:rPr>
                <w:spacing w:val="-1"/>
              </w:rPr>
              <w:t>1463-10</w:t>
            </w:r>
          </w:p>
        </w:tc>
        <w:tc>
          <w:tcPr>
            <w:tcW w:w="1350" w:type="dxa"/>
            <w:vAlign w:val="center"/>
          </w:tcPr>
          <w:p w14:paraId="5393E1CE" w14:textId="77777777" w:rsidR="0057201B" w:rsidRPr="00AE3A84" w:rsidRDefault="0057201B">
            <w:pPr>
              <w:pStyle w:val="BodyText"/>
              <w:rPr>
                <w:lang w:val="es-ES"/>
              </w:rPr>
            </w:pPr>
            <w:r w:rsidRPr="00AE3A84">
              <w:rPr>
                <w:spacing w:val="-1"/>
              </w:rPr>
              <w:t>15.164</w:t>
            </w:r>
          </w:p>
        </w:tc>
      </w:tr>
      <w:tr w:rsidR="0057201B" w:rsidRPr="00AE3A84" w14:paraId="6688910D" w14:textId="77777777">
        <w:tc>
          <w:tcPr>
            <w:tcW w:w="534" w:type="dxa"/>
            <w:vAlign w:val="center"/>
          </w:tcPr>
          <w:p w14:paraId="24F863D9" w14:textId="77777777" w:rsidR="0057201B" w:rsidRPr="00AE3A84" w:rsidRDefault="0057201B" w:rsidP="00933F91">
            <w:pPr>
              <w:pStyle w:val="BodyText"/>
              <w:widowControl/>
              <w:numPr>
                <w:ilvl w:val="0"/>
                <w:numId w:val="57"/>
              </w:numPr>
              <w:rPr>
                <w:lang w:val="es-ES"/>
              </w:rPr>
            </w:pPr>
          </w:p>
        </w:tc>
        <w:tc>
          <w:tcPr>
            <w:tcW w:w="2953" w:type="dxa"/>
            <w:vAlign w:val="center"/>
          </w:tcPr>
          <w:p w14:paraId="681B2F4E" w14:textId="77777777" w:rsidR="0057201B" w:rsidRPr="00AE3A84" w:rsidRDefault="0057201B">
            <w:pPr>
              <w:pStyle w:val="BodyText"/>
              <w:rPr>
                <w:lang w:val="es-ES"/>
              </w:rPr>
            </w:pPr>
            <w:r w:rsidRPr="00AE3A84">
              <w:rPr>
                <w:spacing w:val="-1"/>
                <w:lang w:val="es-AR"/>
              </w:rPr>
              <w:t>Francisco</w:t>
            </w:r>
            <w:r w:rsidRPr="00AE3A84">
              <w:rPr>
                <w:spacing w:val="-6"/>
                <w:lang w:val="es-AR"/>
              </w:rPr>
              <w:t xml:space="preserve"> </w:t>
            </w:r>
            <w:r w:rsidRPr="00AE3A84">
              <w:rPr>
                <w:spacing w:val="-1"/>
                <w:lang w:val="es-AR"/>
              </w:rPr>
              <w:t>Miguel</w:t>
            </w:r>
            <w:r w:rsidRPr="00AE3A84">
              <w:rPr>
                <w:spacing w:val="-4"/>
                <w:lang w:val="es-AR"/>
              </w:rPr>
              <w:t xml:space="preserve"> </w:t>
            </w:r>
            <w:r w:rsidRPr="00AE3A84">
              <w:rPr>
                <w:spacing w:val="-1"/>
                <w:lang w:val="es-AR"/>
              </w:rPr>
              <w:t>Herazo</w:t>
            </w:r>
            <w:r w:rsidRPr="00AE3A84">
              <w:rPr>
                <w:spacing w:val="-6"/>
                <w:lang w:val="es-AR"/>
              </w:rPr>
              <w:t xml:space="preserve"> </w:t>
            </w:r>
            <w:r w:rsidRPr="00AE3A84">
              <w:rPr>
                <w:lang w:val="es-AR"/>
              </w:rPr>
              <w:t>Ávila</w:t>
            </w:r>
            <w:r w:rsidRPr="00AE3A84">
              <w:rPr>
                <w:spacing w:val="-6"/>
                <w:lang w:val="es-AR"/>
              </w:rPr>
              <w:t xml:space="preserve"> </w:t>
            </w:r>
            <w:r>
              <w:rPr>
                <w:lang w:val="es-AR"/>
              </w:rPr>
              <w:t>et al.</w:t>
            </w:r>
          </w:p>
        </w:tc>
        <w:tc>
          <w:tcPr>
            <w:tcW w:w="1119" w:type="dxa"/>
            <w:vAlign w:val="center"/>
          </w:tcPr>
          <w:p w14:paraId="75F2BB5E" w14:textId="77777777" w:rsidR="0057201B" w:rsidRPr="00AE3A84" w:rsidRDefault="0057201B">
            <w:pPr>
              <w:pStyle w:val="BodyText"/>
              <w:rPr>
                <w:lang w:val="es-ES"/>
              </w:rPr>
            </w:pPr>
            <w:r w:rsidRPr="00AE3A84">
              <w:rPr>
                <w:spacing w:val="-1"/>
              </w:rPr>
              <w:t>Colombia</w:t>
            </w:r>
          </w:p>
        </w:tc>
        <w:tc>
          <w:tcPr>
            <w:tcW w:w="1141" w:type="dxa"/>
            <w:vAlign w:val="center"/>
          </w:tcPr>
          <w:p w14:paraId="7C0B04E6" w14:textId="77777777" w:rsidR="0057201B" w:rsidRPr="00AE3A84" w:rsidRDefault="0057201B">
            <w:pPr>
              <w:pStyle w:val="BodyText"/>
              <w:jc w:val="center"/>
              <w:rPr>
                <w:spacing w:val="-1"/>
              </w:rPr>
            </w:pPr>
            <w:r w:rsidRPr="007458CE">
              <w:rPr>
                <w:spacing w:val="-1"/>
              </w:rPr>
              <w:t>244/22</w:t>
            </w:r>
          </w:p>
        </w:tc>
        <w:tc>
          <w:tcPr>
            <w:tcW w:w="1289" w:type="dxa"/>
            <w:vAlign w:val="center"/>
          </w:tcPr>
          <w:p w14:paraId="4DC7E038" w14:textId="77777777" w:rsidR="0057201B" w:rsidRPr="00AE3A84" w:rsidRDefault="0057201B">
            <w:pPr>
              <w:pStyle w:val="BodyText"/>
              <w:rPr>
                <w:lang w:val="es-ES"/>
              </w:rPr>
            </w:pPr>
            <w:r w:rsidRPr="00AE3A84">
              <w:rPr>
                <w:spacing w:val="-1"/>
              </w:rPr>
              <w:t>9/26/2022</w:t>
            </w:r>
          </w:p>
        </w:tc>
        <w:tc>
          <w:tcPr>
            <w:tcW w:w="1329" w:type="dxa"/>
            <w:vAlign w:val="center"/>
          </w:tcPr>
          <w:p w14:paraId="07F19725" w14:textId="77777777" w:rsidR="0057201B" w:rsidRPr="00AE3A84" w:rsidRDefault="0057201B">
            <w:pPr>
              <w:pStyle w:val="BodyText"/>
              <w:rPr>
                <w:lang w:val="es-ES"/>
              </w:rPr>
            </w:pPr>
            <w:r w:rsidRPr="00AE3A84">
              <w:rPr>
                <w:spacing w:val="-1"/>
              </w:rPr>
              <w:t>554-09</w:t>
            </w:r>
          </w:p>
        </w:tc>
        <w:tc>
          <w:tcPr>
            <w:tcW w:w="1350" w:type="dxa"/>
            <w:vAlign w:val="center"/>
          </w:tcPr>
          <w:p w14:paraId="5A400EE7" w14:textId="77777777" w:rsidR="0057201B" w:rsidRPr="00AE3A84" w:rsidRDefault="0057201B">
            <w:pPr>
              <w:pStyle w:val="BodyText"/>
              <w:rPr>
                <w:lang w:val="es-ES"/>
              </w:rPr>
            </w:pPr>
            <w:r w:rsidRPr="00AE3A84">
              <w:rPr>
                <w:spacing w:val="-1"/>
              </w:rPr>
              <w:t>15.081</w:t>
            </w:r>
          </w:p>
        </w:tc>
      </w:tr>
      <w:tr w:rsidR="0057201B" w:rsidRPr="00AE3A84" w14:paraId="17F11A8A" w14:textId="77777777">
        <w:tc>
          <w:tcPr>
            <w:tcW w:w="534" w:type="dxa"/>
            <w:vAlign w:val="center"/>
          </w:tcPr>
          <w:p w14:paraId="20319776" w14:textId="77777777" w:rsidR="0057201B" w:rsidRPr="00AE3A84" w:rsidRDefault="0057201B" w:rsidP="00933F91">
            <w:pPr>
              <w:pStyle w:val="BodyText"/>
              <w:widowControl/>
              <w:numPr>
                <w:ilvl w:val="0"/>
                <w:numId w:val="57"/>
              </w:numPr>
              <w:rPr>
                <w:lang w:val="es-ES"/>
              </w:rPr>
            </w:pPr>
          </w:p>
        </w:tc>
        <w:tc>
          <w:tcPr>
            <w:tcW w:w="2953" w:type="dxa"/>
            <w:vAlign w:val="center"/>
          </w:tcPr>
          <w:p w14:paraId="298C4763" w14:textId="77777777" w:rsidR="0057201B" w:rsidRPr="00AE3A84" w:rsidRDefault="0057201B">
            <w:pPr>
              <w:pStyle w:val="BodyText"/>
              <w:rPr>
                <w:lang w:val="es-ES"/>
              </w:rPr>
            </w:pPr>
            <w:r w:rsidRPr="00AE3A84">
              <w:rPr>
                <w:spacing w:val="-1"/>
                <w:lang w:val="es-AR"/>
              </w:rPr>
              <w:t>Ligia</w:t>
            </w:r>
            <w:r w:rsidRPr="00AE3A84">
              <w:rPr>
                <w:spacing w:val="-6"/>
                <w:lang w:val="es-AR"/>
              </w:rPr>
              <w:t xml:space="preserve"> </w:t>
            </w:r>
            <w:r w:rsidRPr="00AE3A84">
              <w:rPr>
                <w:spacing w:val="-1"/>
                <w:lang w:val="es-AR"/>
              </w:rPr>
              <w:t>Mónica</w:t>
            </w:r>
            <w:r w:rsidRPr="00AE3A84">
              <w:rPr>
                <w:spacing w:val="-6"/>
                <w:lang w:val="es-AR"/>
              </w:rPr>
              <w:t xml:space="preserve"> </w:t>
            </w:r>
            <w:r w:rsidRPr="00AE3A84">
              <w:rPr>
                <w:spacing w:val="-1"/>
                <w:lang w:val="es-AR"/>
              </w:rPr>
              <w:t>Velásquez</w:t>
            </w:r>
            <w:r w:rsidRPr="00AE3A84">
              <w:rPr>
                <w:spacing w:val="-5"/>
                <w:lang w:val="es-AR"/>
              </w:rPr>
              <w:t xml:space="preserve"> </w:t>
            </w:r>
            <w:r w:rsidRPr="00AE3A84">
              <w:rPr>
                <w:spacing w:val="-2"/>
                <w:lang w:val="es-AR"/>
              </w:rPr>
              <w:t>Castaños,</w:t>
            </w:r>
            <w:r w:rsidRPr="00AE3A84">
              <w:rPr>
                <w:spacing w:val="-5"/>
                <w:lang w:val="es-AR"/>
              </w:rPr>
              <w:t xml:space="preserve"> </w:t>
            </w:r>
            <w:r w:rsidRPr="00AE3A84">
              <w:rPr>
                <w:spacing w:val="-1"/>
                <w:lang w:val="es-AR"/>
              </w:rPr>
              <w:t>Rosario</w:t>
            </w:r>
            <w:r w:rsidRPr="00AE3A84">
              <w:rPr>
                <w:spacing w:val="-6"/>
                <w:lang w:val="es-AR"/>
              </w:rPr>
              <w:t xml:space="preserve"> </w:t>
            </w:r>
            <w:r w:rsidRPr="00AE3A84">
              <w:rPr>
                <w:spacing w:val="-1"/>
                <w:lang w:val="es-AR"/>
              </w:rPr>
              <w:t>Chánez</w:t>
            </w:r>
            <w:r w:rsidRPr="00AE3A84">
              <w:rPr>
                <w:spacing w:val="-5"/>
                <w:lang w:val="es-AR"/>
              </w:rPr>
              <w:t xml:space="preserve"> </w:t>
            </w:r>
            <w:r w:rsidRPr="00AE3A84">
              <w:rPr>
                <w:spacing w:val="-1"/>
                <w:lang w:val="es-AR"/>
              </w:rPr>
              <w:t>Chire</w:t>
            </w:r>
            <w:r>
              <w:rPr>
                <w:spacing w:val="-1"/>
                <w:lang w:val="es-AR"/>
              </w:rPr>
              <w:t>, and</w:t>
            </w:r>
            <w:r w:rsidRPr="00AE3A84">
              <w:rPr>
                <w:spacing w:val="-4"/>
                <w:lang w:val="es-AR"/>
              </w:rPr>
              <w:t xml:space="preserve"> </w:t>
            </w:r>
            <w:r w:rsidRPr="00AE3A84">
              <w:rPr>
                <w:spacing w:val="-1"/>
                <w:lang w:val="es-AR"/>
              </w:rPr>
              <w:t>Gualberto</w:t>
            </w:r>
            <w:r w:rsidRPr="00AE3A84">
              <w:rPr>
                <w:spacing w:val="-6"/>
                <w:lang w:val="es-AR"/>
              </w:rPr>
              <w:t xml:space="preserve"> </w:t>
            </w:r>
            <w:r w:rsidRPr="00AE3A84">
              <w:rPr>
                <w:lang w:val="es-AR"/>
              </w:rPr>
              <w:t>C</w:t>
            </w:r>
            <w:r>
              <w:rPr>
                <w:lang w:val="es-AR"/>
              </w:rPr>
              <w:t>usi Mamani</w:t>
            </w:r>
          </w:p>
        </w:tc>
        <w:tc>
          <w:tcPr>
            <w:tcW w:w="1119" w:type="dxa"/>
            <w:vAlign w:val="center"/>
          </w:tcPr>
          <w:p w14:paraId="059B5951" w14:textId="77777777" w:rsidR="0057201B" w:rsidRPr="00AE3A84" w:rsidRDefault="0057201B">
            <w:pPr>
              <w:pStyle w:val="BodyText"/>
              <w:rPr>
                <w:lang w:val="es-ES"/>
              </w:rPr>
            </w:pPr>
            <w:r w:rsidRPr="00AE3A84">
              <w:rPr>
                <w:spacing w:val="-1"/>
              </w:rPr>
              <w:t>Bolivia</w:t>
            </w:r>
          </w:p>
        </w:tc>
        <w:tc>
          <w:tcPr>
            <w:tcW w:w="1141" w:type="dxa"/>
            <w:vAlign w:val="center"/>
          </w:tcPr>
          <w:p w14:paraId="33BE1C51" w14:textId="77777777" w:rsidR="0057201B" w:rsidRPr="00AE3A84" w:rsidRDefault="0057201B">
            <w:pPr>
              <w:pStyle w:val="BodyText"/>
              <w:jc w:val="center"/>
              <w:rPr>
                <w:spacing w:val="-1"/>
              </w:rPr>
            </w:pPr>
            <w:r w:rsidRPr="007458CE">
              <w:rPr>
                <w:spacing w:val="-1"/>
              </w:rPr>
              <w:t>245/22</w:t>
            </w:r>
          </w:p>
        </w:tc>
        <w:tc>
          <w:tcPr>
            <w:tcW w:w="1289" w:type="dxa"/>
            <w:vAlign w:val="center"/>
          </w:tcPr>
          <w:p w14:paraId="1F51297E" w14:textId="77777777" w:rsidR="0057201B" w:rsidRPr="00AE3A84" w:rsidRDefault="0057201B">
            <w:pPr>
              <w:pStyle w:val="BodyText"/>
              <w:rPr>
                <w:lang w:val="es-ES"/>
              </w:rPr>
            </w:pPr>
            <w:r w:rsidRPr="00AE3A84">
              <w:rPr>
                <w:spacing w:val="-1"/>
              </w:rPr>
              <w:t>9/26/2022</w:t>
            </w:r>
          </w:p>
        </w:tc>
        <w:tc>
          <w:tcPr>
            <w:tcW w:w="1329" w:type="dxa"/>
            <w:vAlign w:val="center"/>
          </w:tcPr>
          <w:p w14:paraId="07B186FE" w14:textId="77777777" w:rsidR="0057201B" w:rsidRPr="00AE3A84" w:rsidRDefault="0057201B">
            <w:pPr>
              <w:pStyle w:val="BodyText"/>
              <w:rPr>
                <w:lang w:val="es-ES"/>
              </w:rPr>
            </w:pPr>
            <w:r w:rsidRPr="00AE3A84">
              <w:rPr>
                <w:spacing w:val="-1"/>
              </w:rPr>
              <w:t>728-15</w:t>
            </w:r>
          </w:p>
        </w:tc>
        <w:tc>
          <w:tcPr>
            <w:tcW w:w="1350" w:type="dxa"/>
            <w:vAlign w:val="center"/>
          </w:tcPr>
          <w:p w14:paraId="409464F0" w14:textId="77777777" w:rsidR="0057201B" w:rsidRPr="00AE3A84" w:rsidRDefault="0057201B">
            <w:pPr>
              <w:pStyle w:val="BodyText"/>
              <w:rPr>
                <w:lang w:val="es-ES"/>
              </w:rPr>
            </w:pPr>
            <w:r w:rsidRPr="00AE3A84">
              <w:rPr>
                <w:spacing w:val="-1"/>
              </w:rPr>
              <w:t>15.121</w:t>
            </w:r>
          </w:p>
        </w:tc>
      </w:tr>
      <w:tr w:rsidR="0057201B" w:rsidRPr="00AE3A84" w14:paraId="59952A13" w14:textId="77777777">
        <w:tc>
          <w:tcPr>
            <w:tcW w:w="534" w:type="dxa"/>
            <w:vAlign w:val="center"/>
          </w:tcPr>
          <w:p w14:paraId="1793E153" w14:textId="77777777" w:rsidR="0057201B" w:rsidRPr="00AE3A84" w:rsidRDefault="0057201B" w:rsidP="00933F91">
            <w:pPr>
              <w:pStyle w:val="BodyText"/>
              <w:widowControl/>
              <w:numPr>
                <w:ilvl w:val="0"/>
                <w:numId w:val="57"/>
              </w:numPr>
              <w:rPr>
                <w:lang w:val="es-ES"/>
              </w:rPr>
            </w:pPr>
          </w:p>
        </w:tc>
        <w:tc>
          <w:tcPr>
            <w:tcW w:w="2953" w:type="dxa"/>
            <w:vAlign w:val="center"/>
          </w:tcPr>
          <w:p w14:paraId="1F37E1AE" w14:textId="77777777" w:rsidR="0057201B" w:rsidRPr="00F11596" w:rsidRDefault="0057201B">
            <w:pPr>
              <w:pStyle w:val="BodyText"/>
              <w:rPr>
                <w:lang w:val="es-CO"/>
              </w:rPr>
            </w:pPr>
            <w:r w:rsidRPr="00AE3A84">
              <w:rPr>
                <w:spacing w:val="-1"/>
                <w:lang w:val="es-AR"/>
              </w:rPr>
              <w:t>Luis</w:t>
            </w:r>
            <w:r w:rsidRPr="00AE3A84">
              <w:rPr>
                <w:spacing w:val="-7"/>
                <w:lang w:val="es-AR"/>
              </w:rPr>
              <w:t xml:space="preserve"> </w:t>
            </w:r>
            <w:r w:rsidRPr="00AE3A84">
              <w:rPr>
                <w:spacing w:val="-1"/>
                <w:lang w:val="es-AR"/>
              </w:rPr>
              <w:t>Alberto</w:t>
            </w:r>
            <w:r w:rsidRPr="00AE3A84">
              <w:rPr>
                <w:spacing w:val="-6"/>
                <w:lang w:val="es-AR"/>
              </w:rPr>
              <w:t xml:space="preserve"> </w:t>
            </w:r>
            <w:r w:rsidRPr="00AE3A84">
              <w:rPr>
                <w:spacing w:val="-1"/>
                <w:lang w:val="es-AR"/>
              </w:rPr>
              <w:t>Sobalvarro</w:t>
            </w:r>
            <w:r w:rsidRPr="00AE3A84">
              <w:rPr>
                <w:spacing w:val="-7"/>
                <w:lang w:val="es-AR"/>
              </w:rPr>
              <w:t xml:space="preserve"> </w:t>
            </w:r>
            <w:r w:rsidRPr="00AE3A84">
              <w:rPr>
                <w:lang w:val="es-AR"/>
              </w:rPr>
              <w:t>Herrera</w:t>
            </w:r>
            <w:r w:rsidRPr="00AE3A84">
              <w:rPr>
                <w:spacing w:val="-7"/>
                <w:lang w:val="es-AR"/>
              </w:rPr>
              <w:t xml:space="preserve"> </w:t>
            </w:r>
            <w:r>
              <w:rPr>
                <w:lang w:val="es-AR"/>
              </w:rPr>
              <w:t xml:space="preserve">and </w:t>
            </w:r>
            <w:r w:rsidRPr="00F11596">
              <w:rPr>
                <w:lang w:val="es-CO"/>
              </w:rPr>
              <w:t>Relatives</w:t>
            </w:r>
          </w:p>
        </w:tc>
        <w:tc>
          <w:tcPr>
            <w:tcW w:w="1119" w:type="dxa"/>
            <w:vAlign w:val="center"/>
          </w:tcPr>
          <w:p w14:paraId="3DD9905A" w14:textId="77777777" w:rsidR="0057201B" w:rsidRPr="00AE3A84" w:rsidRDefault="0057201B">
            <w:pPr>
              <w:pStyle w:val="BodyText"/>
              <w:rPr>
                <w:lang w:val="es-ES"/>
              </w:rPr>
            </w:pPr>
            <w:r w:rsidRPr="00AE3A84">
              <w:rPr>
                <w:spacing w:val="-1"/>
              </w:rPr>
              <w:t>Nicaragua</w:t>
            </w:r>
          </w:p>
        </w:tc>
        <w:tc>
          <w:tcPr>
            <w:tcW w:w="1141" w:type="dxa"/>
            <w:vAlign w:val="center"/>
          </w:tcPr>
          <w:p w14:paraId="5E8392C0" w14:textId="77777777" w:rsidR="0057201B" w:rsidRPr="00AE3A84" w:rsidRDefault="0057201B">
            <w:pPr>
              <w:pStyle w:val="BodyText"/>
              <w:jc w:val="center"/>
              <w:rPr>
                <w:spacing w:val="-1"/>
              </w:rPr>
            </w:pPr>
            <w:r w:rsidRPr="00302194">
              <w:rPr>
                <w:spacing w:val="-1"/>
              </w:rPr>
              <w:t>246/22</w:t>
            </w:r>
          </w:p>
        </w:tc>
        <w:tc>
          <w:tcPr>
            <w:tcW w:w="1289" w:type="dxa"/>
            <w:vAlign w:val="center"/>
          </w:tcPr>
          <w:p w14:paraId="78A1C995" w14:textId="77777777" w:rsidR="0057201B" w:rsidRPr="00AE3A84" w:rsidRDefault="0057201B">
            <w:pPr>
              <w:pStyle w:val="BodyText"/>
              <w:rPr>
                <w:lang w:val="es-ES"/>
              </w:rPr>
            </w:pPr>
            <w:r w:rsidRPr="00AE3A84">
              <w:rPr>
                <w:spacing w:val="-1"/>
              </w:rPr>
              <w:t>9/26/2022</w:t>
            </w:r>
          </w:p>
        </w:tc>
        <w:tc>
          <w:tcPr>
            <w:tcW w:w="1329" w:type="dxa"/>
            <w:vAlign w:val="center"/>
          </w:tcPr>
          <w:p w14:paraId="71BF404D" w14:textId="77777777" w:rsidR="0057201B" w:rsidRPr="00AE3A84" w:rsidRDefault="0057201B">
            <w:pPr>
              <w:pStyle w:val="BodyText"/>
              <w:rPr>
                <w:lang w:val="es-ES"/>
              </w:rPr>
            </w:pPr>
            <w:r w:rsidRPr="00AE3A84">
              <w:rPr>
                <w:spacing w:val="-1"/>
              </w:rPr>
              <w:t>1518-18</w:t>
            </w:r>
          </w:p>
        </w:tc>
        <w:tc>
          <w:tcPr>
            <w:tcW w:w="1350" w:type="dxa"/>
            <w:vAlign w:val="center"/>
          </w:tcPr>
          <w:p w14:paraId="5112CED2" w14:textId="77777777" w:rsidR="0057201B" w:rsidRPr="00AE3A84" w:rsidRDefault="0057201B">
            <w:pPr>
              <w:pStyle w:val="BodyText"/>
              <w:rPr>
                <w:lang w:val="es-ES"/>
              </w:rPr>
            </w:pPr>
            <w:r w:rsidRPr="00AE3A84">
              <w:rPr>
                <w:spacing w:val="-1"/>
              </w:rPr>
              <w:t>15.098</w:t>
            </w:r>
          </w:p>
        </w:tc>
      </w:tr>
      <w:tr w:rsidR="0057201B" w:rsidRPr="00AE3A84" w14:paraId="0A9D2FED" w14:textId="77777777">
        <w:tc>
          <w:tcPr>
            <w:tcW w:w="534" w:type="dxa"/>
            <w:vAlign w:val="center"/>
          </w:tcPr>
          <w:p w14:paraId="4A7C084C" w14:textId="77777777" w:rsidR="0057201B" w:rsidRPr="00AE3A84" w:rsidRDefault="0057201B" w:rsidP="00933F91">
            <w:pPr>
              <w:pStyle w:val="BodyText"/>
              <w:widowControl/>
              <w:numPr>
                <w:ilvl w:val="0"/>
                <w:numId w:val="57"/>
              </w:numPr>
              <w:rPr>
                <w:lang w:val="es-ES"/>
              </w:rPr>
            </w:pPr>
          </w:p>
        </w:tc>
        <w:tc>
          <w:tcPr>
            <w:tcW w:w="2953" w:type="dxa"/>
            <w:vAlign w:val="center"/>
          </w:tcPr>
          <w:p w14:paraId="13572CF2" w14:textId="77777777" w:rsidR="0057201B" w:rsidRPr="00AE3A84" w:rsidRDefault="0057201B">
            <w:pPr>
              <w:pStyle w:val="BodyText"/>
              <w:rPr>
                <w:lang w:val="es-ES"/>
              </w:rPr>
            </w:pPr>
            <w:r w:rsidRPr="00AE3A84">
              <w:rPr>
                <w:spacing w:val="-1"/>
              </w:rPr>
              <w:t>Sammy</w:t>
            </w:r>
            <w:r w:rsidRPr="00AE3A84">
              <w:rPr>
                <w:spacing w:val="-7"/>
              </w:rPr>
              <w:t xml:space="preserve"> </w:t>
            </w:r>
            <w:r w:rsidRPr="00AE3A84">
              <w:rPr>
                <w:spacing w:val="-1"/>
              </w:rPr>
              <w:t>Segebre</w:t>
            </w:r>
            <w:r w:rsidRPr="00AE3A84">
              <w:rPr>
                <w:spacing w:val="-7"/>
              </w:rPr>
              <w:t xml:space="preserve"> </w:t>
            </w:r>
            <w:r w:rsidRPr="00AE3A84">
              <w:rPr>
                <w:spacing w:val="-1"/>
              </w:rPr>
              <w:t>Naranjo</w:t>
            </w:r>
          </w:p>
        </w:tc>
        <w:tc>
          <w:tcPr>
            <w:tcW w:w="1119" w:type="dxa"/>
            <w:vAlign w:val="center"/>
          </w:tcPr>
          <w:p w14:paraId="1263F185" w14:textId="77777777" w:rsidR="0057201B" w:rsidRPr="00AE3A84" w:rsidRDefault="0057201B">
            <w:pPr>
              <w:pStyle w:val="BodyText"/>
              <w:rPr>
                <w:lang w:val="es-ES"/>
              </w:rPr>
            </w:pPr>
            <w:r w:rsidRPr="00AE3A84">
              <w:rPr>
                <w:spacing w:val="-1"/>
              </w:rPr>
              <w:t>Panam</w:t>
            </w:r>
            <w:r>
              <w:rPr>
                <w:spacing w:val="-1"/>
              </w:rPr>
              <w:t>a</w:t>
            </w:r>
          </w:p>
        </w:tc>
        <w:tc>
          <w:tcPr>
            <w:tcW w:w="1141" w:type="dxa"/>
            <w:vAlign w:val="center"/>
          </w:tcPr>
          <w:p w14:paraId="1F35383C" w14:textId="77777777" w:rsidR="0057201B" w:rsidRPr="00AE3A84" w:rsidRDefault="0057201B">
            <w:pPr>
              <w:pStyle w:val="BodyText"/>
              <w:jc w:val="center"/>
              <w:rPr>
                <w:spacing w:val="-1"/>
              </w:rPr>
            </w:pPr>
            <w:r w:rsidRPr="00302194">
              <w:rPr>
                <w:spacing w:val="-1"/>
              </w:rPr>
              <w:t>247/22</w:t>
            </w:r>
          </w:p>
        </w:tc>
        <w:tc>
          <w:tcPr>
            <w:tcW w:w="1289" w:type="dxa"/>
            <w:vAlign w:val="center"/>
          </w:tcPr>
          <w:p w14:paraId="57BB231F" w14:textId="77777777" w:rsidR="0057201B" w:rsidRPr="00AE3A84" w:rsidRDefault="0057201B">
            <w:pPr>
              <w:pStyle w:val="BodyText"/>
              <w:rPr>
                <w:lang w:val="es-ES"/>
              </w:rPr>
            </w:pPr>
            <w:r w:rsidRPr="00AE3A84">
              <w:rPr>
                <w:spacing w:val="-1"/>
              </w:rPr>
              <w:t>8/28/2022</w:t>
            </w:r>
          </w:p>
        </w:tc>
        <w:tc>
          <w:tcPr>
            <w:tcW w:w="1329" w:type="dxa"/>
            <w:vAlign w:val="center"/>
          </w:tcPr>
          <w:p w14:paraId="413F477C" w14:textId="77777777" w:rsidR="0057201B" w:rsidRPr="00AE3A84" w:rsidRDefault="0057201B">
            <w:pPr>
              <w:pStyle w:val="BodyText"/>
              <w:rPr>
                <w:lang w:val="es-ES"/>
              </w:rPr>
            </w:pPr>
            <w:r w:rsidRPr="00AE3A84">
              <w:rPr>
                <w:spacing w:val="-1"/>
              </w:rPr>
              <w:t>1146-09</w:t>
            </w:r>
          </w:p>
        </w:tc>
        <w:tc>
          <w:tcPr>
            <w:tcW w:w="1350" w:type="dxa"/>
            <w:vAlign w:val="center"/>
          </w:tcPr>
          <w:p w14:paraId="33A6371D" w14:textId="77777777" w:rsidR="0057201B" w:rsidRPr="00AE3A84" w:rsidRDefault="0057201B">
            <w:pPr>
              <w:pStyle w:val="BodyText"/>
              <w:rPr>
                <w:lang w:val="es-ES"/>
              </w:rPr>
            </w:pPr>
            <w:r w:rsidRPr="00AE3A84">
              <w:rPr>
                <w:spacing w:val="-1"/>
              </w:rPr>
              <w:t>15.104</w:t>
            </w:r>
          </w:p>
        </w:tc>
      </w:tr>
      <w:tr w:rsidR="0057201B" w:rsidRPr="00AE3A84" w14:paraId="5BE6B2CB" w14:textId="77777777">
        <w:tc>
          <w:tcPr>
            <w:tcW w:w="534" w:type="dxa"/>
            <w:vAlign w:val="center"/>
          </w:tcPr>
          <w:p w14:paraId="4B444926" w14:textId="77777777" w:rsidR="0057201B" w:rsidRPr="00AE3A84" w:rsidRDefault="0057201B" w:rsidP="00933F91">
            <w:pPr>
              <w:pStyle w:val="BodyText"/>
              <w:widowControl/>
              <w:numPr>
                <w:ilvl w:val="0"/>
                <w:numId w:val="57"/>
              </w:numPr>
              <w:rPr>
                <w:lang w:val="es-ES"/>
              </w:rPr>
            </w:pPr>
          </w:p>
        </w:tc>
        <w:tc>
          <w:tcPr>
            <w:tcW w:w="2953" w:type="dxa"/>
            <w:vAlign w:val="center"/>
          </w:tcPr>
          <w:p w14:paraId="15B71D89" w14:textId="77777777" w:rsidR="0057201B" w:rsidRPr="00AE3A84" w:rsidRDefault="0057201B">
            <w:pPr>
              <w:pStyle w:val="BodyText"/>
              <w:rPr>
                <w:lang w:val="es-ES"/>
              </w:rPr>
            </w:pPr>
            <w:r w:rsidRPr="00AE3A84">
              <w:rPr>
                <w:spacing w:val="-1"/>
              </w:rPr>
              <w:t>Germán</w:t>
            </w:r>
            <w:r w:rsidRPr="00AE3A84">
              <w:rPr>
                <w:spacing w:val="-6"/>
              </w:rPr>
              <w:t xml:space="preserve"> </w:t>
            </w:r>
            <w:r w:rsidRPr="00AE3A84">
              <w:rPr>
                <w:spacing w:val="-1"/>
              </w:rPr>
              <w:t>José</w:t>
            </w:r>
            <w:r w:rsidRPr="00AE3A84">
              <w:rPr>
                <w:spacing w:val="-5"/>
              </w:rPr>
              <w:t xml:space="preserve"> </w:t>
            </w:r>
            <w:r w:rsidRPr="00AE3A84">
              <w:rPr>
                <w:spacing w:val="-1"/>
              </w:rPr>
              <w:t>Castillo</w:t>
            </w:r>
            <w:r w:rsidRPr="00AE3A84">
              <w:rPr>
                <w:spacing w:val="-7"/>
              </w:rPr>
              <w:t xml:space="preserve"> </w:t>
            </w:r>
            <w:r w:rsidRPr="00AE3A84">
              <w:rPr>
                <w:spacing w:val="-1"/>
              </w:rPr>
              <w:t>Quan</w:t>
            </w:r>
          </w:p>
        </w:tc>
        <w:tc>
          <w:tcPr>
            <w:tcW w:w="1119" w:type="dxa"/>
            <w:vAlign w:val="center"/>
          </w:tcPr>
          <w:p w14:paraId="2CF4C55F" w14:textId="77777777" w:rsidR="0057201B" w:rsidRPr="00AE3A84" w:rsidRDefault="0057201B">
            <w:pPr>
              <w:pStyle w:val="BodyText"/>
              <w:rPr>
                <w:lang w:val="es-ES"/>
              </w:rPr>
            </w:pPr>
            <w:r w:rsidRPr="00AE3A84">
              <w:rPr>
                <w:spacing w:val="-1"/>
              </w:rPr>
              <w:t>Guatemala</w:t>
            </w:r>
          </w:p>
        </w:tc>
        <w:tc>
          <w:tcPr>
            <w:tcW w:w="1141" w:type="dxa"/>
            <w:vAlign w:val="center"/>
          </w:tcPr>
          <w:p w14:paraId="4544949E" w14:textId="77777777" w:rsidR="0057201B" w:rsidRPr="00AE3A84" w:rsidRDefault="0057201B">
            <w:pPr>
              <w:pStyle w:val="BodyText"/>
              <w:jc w:val="center"/>
              <w:rPr>
                <w:spacing w:val="-1"/>
              </w:rPr>
            </w:pPr>
            <w:r w:rsidRPr="00302194">
              <w:rPr>
                <w:spacing w:val="-1"/>
              </w:rPr>
              <w:t>248/22</w:t>
            </w:r>
          </w:p>
        </w:tc>
        <w:tc>
          <w:tcPr>
            <w:tcW w:w="1289" w:type="dxa"/>
            <w:vAlign w:val="center"/>
          </w:tcPr>
          <w:p w14:paraId="730659B2" w14:textId="77777777" w:rsidR="0057201B" w:rsidRPr="00AE3A84" w:rsidRDefault="0057201B">
            <w:pPr>
              <w:pStyle w:val="BodyText"/>
              <w:rPr>
                <w:lang w:val="es-ES"/>
              </w:rPr>
            </w:pPr>
            <w:r w:rsidRPr="00AE3A84">
              <w:rPr>
                <w:spacing w:val="-1"/>
              </w:rPr>
              <w:t>9/11/2022</w:t>
            </w:r>
          </w:p>
        </w:tc>
        <w:tc>
          <w:tcPr>
            <w:tcW w:w="1329" w:type="dxa"/>
            <w:vAlign w:val="center"/>
          </w:tcPr>
          <w:p w14:paraId="55ABFBDF" w14:textId="77777777" w:rsidR="0057201B" w:rsidRPr="00AE3A84" w:rsidRDefault="0057201B">
            <w:pPr>
              <w:pStyle w:val="BodyText"/>
              <w:rPr>
                <w:lang w:val="es-ES"/>
              </w:rPr>
            </w:pPr>
            <w:r w:rsidRPr="00AE3A84">
              <w:rPr>
                <w:spacing w:val="-1"/>
              </w:rPr>
              <w:t>511-14</w:t>
            </w:r>
          </w:p>
        </w:tc>
        <w:tc>
          <w:tcPr>
            <w:tcW w:w="1350" w:type="dxa"/>
            <w:vAlign w:val="center"/>
          </w:tcPr>
          <w:p w14:paraId="41EA7DBE" w14:textId="77777777" w:rsidR="0057201B" w:rsidRPr="00AE3A84" w:rsidRDefault="0057201B">
            <w:pPr>
              <w:pStyle w:val="BodyText"/>
              <w:rPr>
                <w:lang w:val="es-ES"/>
              </w:rPr>
            </w:pPr>
            <w:r w:rsidRPr="00AE3A84">
              <w:rPr>
                <w:spacing w:val="-1"/>
              </w:rPr>
              <w:t>15.101</w:t>
            </w:r>
          </w:p>
        </w:tc>
      </w:tr>
      <w:tr w:rsidR="0057201B" w:rsidRPr="00AE3A84" w14:paraId="65DF0EA2" w14:textId="77777777">
        <w:tc>
          <w:tcPr>
            <w:tcW w:w="534" w:type="dxa"/>
            <w:vAlign w:val="center"/>
          </w:tcPr>
          <w:p w14:paraId="3C660E9B" w14:textId="77777777" w:rsidR="0057201B" w:rsidRPr="00AE3A84" w:rsidRDefault="0057201B" w:rsidP="00933F91">
            <w:pPr>
              <w:pStyle w:val="BodyText"/>
              <w:widowControl/>
              <w:numPr>
                <w:ilvl w:val="0"/>
                <w:numId w:val="57"/>
              </w:numPr>
              <w:rPr>
                <w:lang w:val="es-ES"/>
              </w:rPr>
            </w:pPr>
          </w:p>
        </w:tc>
        <w:tc>
          <w:tcPr>
            <w:tcW w:w="2953" w:type="dxa"/>
            <w:vAlign w:val="center"/>
          </w:tcPr>
          <w:p w14:paraId="324B29A0" w14:textId="77777777" w:rsidR="0057201B" w:rsidRPr="00D14C85" w:rsidRDefault="0057201B">
            <w:pPr>
              <w:pStyle w:val="BodyText"/>
            </w:pPr>
            <w:r w:rsidRPr="00D14C85">
              <w:rPr>
                <w:spacing w:val="-1"/>
              </w:rPr>
              <w:t xml:space="preserve">Inhabitants of the </w:t>
            </w:r>
            <w:r>
              <w:rPr>
                <w:spacing w:val="-1"/>
              </w:rPr>
              <w:t>V</w:t>
            </w:r>
            <w:r w:rsidRPr="00D14C85">
              <w:rPr>
                <w:spacing w:val="-1"/>
              </w:rPr>
              <w:t>illage of</w:t>
            </w:r>
            <w:r w:rsidRPr="00D14C85">
              <w:rPr>
                <w:spacing w:val="-6"/>
              </w:rPr>
              <w:t xml:space="preserve"> </w:t>
            </w:r>
            <w:r w:rsidRPr="00D14C85">
              <w:rPr>
                <w:spacing w:val="-1"/>
              </w:rPr>
              <w:t>Tuichán</w:t>
            </w:r>
            <w:r w:rsidRPr="00D14C85">
              <w:rPr>
                <w:spacing w:val="-4"/>
              </w:rPr>
              <w:t xml:space="preserve"> </w:t>
            </w:r>
            <w:r w:rsidRPr="00D14C85">
              <w:t xml:space="preserve">and the </w:t>
            </w:r>
            <w:r>
              <w:t>C</w:t>
            </w:r>
            <w:r w:rsidRPr="00D14C85">
              <w:t>ommunity of</w:t>
            </w:r>
            <w:r w:rsidRPr="00D14C85">
              <w:rPr>
                <w:spacing w:val="-5"/>
              </w:rPr>
              <w:t xml:space="preserve"> </w:t>
            </w:r>
            <w:r w:rsidRPr="00D14C85">
              <w:rPr>
                <w:spacing w:val="-1"/>
              </w:rPr>
              <w:t>Villa</w:t>
            </w:r>
            <w:r w:rsidRPr="00D14C85">
              <w:rPr>
                <w:spacing w:val="-5"/>
              </w:rPr>
              <w:t xml:space="preserve"> </w:t>
            </w:r>
            <w:r w:rsidRPr="00D14C85">
              <w:rPr>
                <w:spacing w:val="-1"/>
              </w:rPr>
              <w:t>Nueva</w:t>
            </w:r>
          </w:p>
        </w:tc>
        <w:tc>
          <w:tcPr>
            <w:tcW w:w="1119" w:type="dxa"/>
            <w:vAlign w:val="center"/>
          </w:tcPr>
          <w:p w14:paraId="0888A663" w14:textId="77777777" w:rsidR="0057201B" w:rsidRPr="00D14C85" w:rsidRDefault="0057201B">
            <w:pPr>
              <w:pStyle w:val="BodyText"/>
              <w:rPr>
                <w:lang w:val="es-ES"/>
              </w:rPr>
            </w:pPr>
            <w:r w:rsidRPr="00D14C85">
              <w:rPr>
                <w:spacing w:val="-1"/>
              </w:rPr>
              <w:t>Guatemala</w:t>
            </w:r>
          </w:p>
        </w:tc>
        <w:tc>
          <w:tcPr>
            <w:tcW w:w="1141" w:type="dxa"/>
            <w:vAlign w:val="center"/>
          </w:tcPr>
          <w:p w14:paraId="7D63CD79" w14:textId="77777777" w:rsidR="0057201B" w:rsidRPr="00AE3A84" w:rsidRDefault="0057201B">
            <w:pPr>
              <w:pStyle w:val="BodyText"/>
              <w:jc w:val="center"/>
              <w:rPr>
                <w:spacing w:val="-1"/>
              </w:rPr>
            </w:pPr>
            <w:r w:rsidRPr="00302194">
              <w:rPr>
                <w:spacing w:val="-1"/>
              </w:rPr>
              <w:t>249/22</w:t>
            </w:r>
          </w:p>
        </w:tc>
        <w:tc>
          <w:tcPr>
            <w:tcW w:w="1289" w:type="dxa"/>
            <w:vAlign w:val="center"/>
          </w:tcPr>
          <w:p w14:paraId="78CE8CEB" w14:textId="77777777" w:rsidR="0057201B" w:rsidRPr="00AE3A84" w:rsidRDefault="0057201B">
            <w:pPr>
              <w:pStyle w:val="BodyText"/>
              <w:rPr>
                <w:lang w:val="es-ES"/>
              </w:rPr>
            </w:pPr>
            <w:r w:rsidRPr="00AE3A84">
              <w:rPr>
                <w:spacing w:val="-1"/>
              </w:rPr>
              <w:t>8/20/2022</w:t>
            </w:r>
          </w:p>
        </w:tc>
        <w:tc>
          <w:tcPr>
            <w:tcW w:w="1329" w:type="dxa"/>
            <w:vAlign w:val="center"/>
          </w:tcPr>
          <w:p w14:paraId="27011E37" w14:textId="77777777" w:rsidR="0057201B" w:rsidRPr="00AE3A84" w:rsidRDefault="0057201B">
            <w:pPr>
              <w:pStyle w:val="BodyText"/>
              <w:rPr>
                <w:lang w:val="es-ES"/>
              </w:rPr>
            </w:pPr>
            <w:r w:rsidRPr="00AE3A84">
              <w:rPr>
                <w:spacing w:val="-1"/>
              </w:rPr>
              <w:t>1766-14</w:t>
            </w:r>
          </w:p>
        </w:tc>
        <w:tc>
          <w:tcPr>
            <w:tcW w:w="1350" w:type="dxa"/>
            <w:vAlign w:val="center"/>
          </w:tcPr>
          <w:p w14:paraId="70F0EDC8" w14:textId="77777777" w:rsidR="0057201B" w:rsidRPr="00AE3A84" w:rsidRDefault="0057201B">
            <w:pPr>
              <w:pStyle w:val="BodyText"/>
              <w:rPr>
                <w:lang w:val="es-ES"/>
              </w:rPr>
            </w:pPr>
            <w:r w:rsidRPr="00AE3A84">
              <w:rPr>
                <w:spacing w:val="-1"/>
              </w:rPr>
              <w:t>15.102</w:t>
            </w:r>
          </w:p>
        </w:tc>
      </w:tr>
      <w:tr w:rsidR="0057201B" w:rsidRPr="00AE3A84" w14:paraId="78480679" w14:textId="77777777">
        <w:tc>
          <w:tcPr>
            <w:tcW w:w="534" w:type="dxa"/>
            <w:vAlign w:val="center"/>
          </w:tcPr>
          <w:p w14:paraId="39415C28" w14:textId="77777777" w:rsidR="0057201B" w:rsidRPr="00AE3A84" w:rsidRDefault="0057201B" w:rsidP="00933F91">
            <w:pPr>
              <w:pStyle w:val="BodyText"/>
              <w:widowControl/>
              <w:numPr>
                <w:ilvl w:val="0"/>
                <w:numId w:val="57"/>
              </w:numPr>
              <w:rPr>
                <w:lang w:val="es-ES"/>
              </w:rPr>
            </w:pPr>
          </w:p>
        </w:tc>
        <w:tc>
          <w:tcPr>
            <w:tcW w:w="2953" w:type="dxa"/>
            <w:vAlign w:val="center"/>
          </w:tcPr>
          <w:p w14:paraId="1B793550" w14:textId="77777777" w:rsidR="0057201B" w:rsidRPr="00AE3A84" w:rsidRDefault="0057201B">
            <w:pPr>
              <w:pStyle w:val="BodyText"/>
              <w:rPr>
                <w:lang w:val="es-ES"/>
              </w:rPr>
            </w:pPr>
            <w:r w:rsidRPr="00AE3A84">
              <w:rPr>
                <w:spacing w:val="-1"/>
                <w:lang w:val="es-AR"/>
              </w:rPr>
              <w:t>Aron</w:t>
            </w:r>
            <w:r w:rsidRPr="00AE3A84">
              <w:rPr>
                <w:spacing w:val="-5"/>
                <w:lang w:val="es-AR"/>
              </w:rPr>
              <w:t xml:space="preserve"> </w:t>
            </w:r>
            <w:r w:rsidRPr="00AE3A84">
              <w:rPr>
                <w:spacing w:val="-1"/>
                <w:lang w:val="es-AR"/>
              </w:rPr>
              <w:t>Juárez</w:t>
            </w:r>
            <w:r w:rsidRPr="00AE3A84">
              <w:rPr>
                <w:spacing w:val="-4"/>
                <w:lang w:val="es-AR"/>
              </w:rPr>
              <w:t xml:space="preserve"> </w:t>
            </w:r>
            <w:r w:rsidRPr="00AE3A84">
              <w:rPr>
                <w:spacing w:val="-1"/>
                <w:lang w:val="es-AR"/>
              </w:rPr>
              <w:t>Barrios</w:t>
            </w:r>
            <w:r w:rsidRPr="00AE3A84">
              <w:rPr>
                <w:spacing w:val="-6"/>
                <w:lang w:val="es-AR"/>
              </w:rPr>
              <w:t xml:space="preserve"> </w:t>
            </w:r>
            <w:r>
              <w:rPr>
                <w:lang w:val="es-AR"/>
              </w:rPr>
              <w:t>et al.</w:t>
            </w:r>
          </w:p>
        </w:tc>
        <w:tc>
          <w:tcPr>
            <w:tcW w:w="1119" w:type="dxa"/>
            <w:vAlign w:val="center"/>
          </w:tcPr>
          <w:p w14:paraId="13FEFC2E" w14:textId="77777777" w:rsidR="0057201B" w:rsidRPr="00AE3A84" w:rsidRDefault="0057201B">
            <w:pPr>
              <w:pStyle w:val="BodyText"/>
              <w:rPr>
                <w:lang w:val="es-ES"/>
              </w:rPr>
            </w:pPr>
            <w:r w:rsidRPr="00AE3A84">
              <w:rPr>
                <w:spacing w:val="-1"/>
              </w:rPr>
              <w:t>Guatemala</w:t>
            </w:r>
          </w:p>
        </w:tc>
        <w:tc>
          <w:tcPr>
            <w:tcW w:w="1141" w:type="dxa"/>
            <w:vAlign w:val="center"/>
          </w:tcPr>
          <w:p w14:paraId="381D3A71" w14:textId="77777777" w:rsidR="0057201B" w:rsidRPr="00AE3A84" w:rsidRDefault="0057201B">
            <w:pPr>
              <w:pStyle w:val="BodyText"/>
              <w:jc w:val="center"/>
              <w:rPr>
                <w:spacing w:val="-1"/>
              </w:rPr>
            </w:pPr>
            <w:r w:rsidRPr="00302194">
              <w:rPr>
                <w:spacing w:val="-1"/>
              </w:rPr>
              <w:t>250/22</w:t>
            </w:r>
          </w:p>
        </w:tc>
        <w:tc>
          <w:tcPr>
            <w:tcW w:w="1289" w:type="dxa"/>
            <w:vAlign w:val="center"/>
          </w:tcPr>
          <w:p w14:paraId="5457D0B3" w14:textId="77777777" w:rsidR="0057201B" w:rsidRPr="00AE3A84" w:rsidRDefault="0057201B">
            <w:pPr>
              <w:pStyle w:val="BodyText"/>
              <w:rPr>
                <w:lang w:val="es-ES"/>
              </w:rPr>
            </w:pPr>
            <w:r w:rsidRPr="00AE3A84">
              <w:rPr>
                <w:spacing w:val="-1"/>
              </w:rPr>
              <w:t>8/28/2022</w:t>
            </w:r>
          </w:p>
        </w:tc>
        <w:tc>
          <w:tcPr>
            <w:tcW w:w="1329" w:type="dxa"/>
            <w:vAlign w:val="center"/>
          </w:tcPr>
          <w:p w14:paraId="47EE4017" w14:textId="77777777" w:rsidR="0057201B" w:rsidRPr="00AE3A84" w:rsidRDefault="0057201B">
            <w:pPr>
              <w:pStyle w:val="BodyText"/>
              <w:rPr>
                <w:lang w:val="es-ES"/>
              </w:rPr>
            </w:pPr>
            <w:r w:rsidRPr="00AE3A84">
              <w:rPr>
                <w:spacing w:val="-1"/>
              </w:rPr>
              <w:t>2183-12</w:t>
            </w:r>
          </w:p>
        </w:tc>
        <w:tc>
          <w:tcPr>
            <w:tcW w:w="1350" w:type="dxa"/>
            <w:vAlign w:val="center"/>
          </w:tcPr>
          <w:p w14:paraId="1A1D7CC3" w14:textId="77777777" w:rsidR="0057201B" w:rsidRPr="00AE3A84" w:rsidRDefault="0057201B">
            <w:pPr>
              <w:pStyle w:val="BodyText"/>
              <w:rPr>
                <w:lang w:val="es-ES"/>
              </w:rPr>
            </w:pPr>
            <w:r w:rsidRPr="00AE3A84">
              <w:rPr>
                <w:spacing w:val="-1"/>
              </w:rPr>
              <w:t>15.083</w:t>
            </w:r>
          </w:p>
        </w:tc>
      </w:tr>
      <w:tr w:rsidR="0057201B" w:rsidRPr="00AE3A84" w14:paraId="300BF238" w14:textId="77777777">
        <w:tc>
          <w:tcPr>
            <w:tcW w:w="534" w:type="dxa"/>
            <w:vAlign w:val="center"/>
          </w:tcPr>
          <w:p w14:paraId="7E2D54A7" w14:textId="77777777" w:rsidR="0057201B" w:rsidRPr="00AE3A84" w:rsidRDefault="0057201B" w:rsidP="00933F91">
            <w:pPr>
              <w:pStyle w:val="BodyText"/>
              <w:widowControl/>
              <w:numPr>
                <w:ilvl w:val="0"/>
                <w:numId w:val="57"/>
              </w:numPr>
              <w:rPr>
                <w:lang w:val="es-ES"/>
              </w:rPr>
            </w:pPr>
          </w:p>
        </w:tc>
        <w:tc>
          <w:tcPr>
            <w:tcW w:w="2953" w:type="dxa"/>
            <w:vAlign w:val="center"/>
          </w:tcPr>
          <w:p w14:paraId="2C157EE2" w14:textId="77777777" w:rsidR="0057201B" w:rsidRPr="00D14C85" w:rsidRDefault="0057201B">
            <w:pPr>
              <w:pStyle w:val="BodyText"/>
            </w:pPr>
            <w:r w:rsidRPr="00D14C85">
              <w:rPr>
                <w:spacing w:val="-1"/>
              </w:rPr>
              <w:t>Irma</w:t>
            </w:r>
            <w:r w:rsidRPr="00D14C85">
              <w:rPr>
                <w:spacing w:val="-6"/>
              </w:rPr>
              <w:t xml:space="preserve"> </w:t>
            </w:r>
            <w:r w:rsidRPr="00D14C85">
              <w:rPr>
                <w:spacing w:val="-1"/>
              </w:rPr>
              <w:t>Noemí</w:t>
            </w:r>
            <w:r w:rsidRPr="00D14C85">
              <w:rPr>
                <w:spacing w:val="-4"/>
              </w:rPr>
              <w:t xml:space="preserve"> </w:t>
            </w:r>
            <w:r w:rsidRPr="00D14C85">
              <w:rPr>
                <w:spacing w:val="-1"/>
              </w:rPr>
              <w:t>Juan</w:t>
            </w:r>
            <w:r>
              <w:rPr>
                <w:spacing w:val="-1"/>
              </w:rPr>
              <w:t>,</w:t>
            </w:r>
            <w:r w:rsidRPr="00D14C85">
              <w:rPr>
                <w:spacing w:val="-5"/>
              </w:rPr>
              <w:t xml:space="preserve"> </w:t>
            </w:r>
            <w:r>
              <w:rPr>
                <w:spacing w:val="-1"/>
              </w:rPr>
              <w:t>W</w:t>
            </w:r>
            <w:r w:rsidRPr="00D14C85">
              <w:rPr>
                <w:spacing w:val="-1"/>
              </w:rPr>
              <w:t>idow</w:t>
            </w:r>
            <w:r w:rsidRPr="00D14C85">
              <w:rPr>
                <w:spacing w:val="-6"/>
              </w:rPr>
              <w:t xml:space="preserve"> </w:t>
            </w:r>
            <w:r w:rsidRPr="00D14C85">
              <w:rPr>
                <w:spacing w:val="-1"/>
              </w:rPr>
              <w:t>of</w:t>
            </w:r>
            <w:r w:rsidRPr="00D14C85">
              <w:rPr>
                <w:spacing w:val="-4"/>
              </w:rPr>
              <w:t xml:space="preserve"> </w:t>
            </w:r>
            <w:r w:rsidRPr="00D14C85">
              <w:rPr>
                <w:spacing w:val="-1"/>
              </w:rPr>
              <w:t>Soerensen</w:t>
            </w:r>
          </w:p>
        </w:tc>
        <w:tc>
          <w:tcPr>
            <w:tcW w:w="1119" w:type="dxa"/>
            <w:vAlign w:val="center"/>
          </w:tcPr>
          <w:p w14:paraId="4FB17373" w14:textId="77777777" w:rsidR="0057201B" w:rsidRPr="00AE3A84" w:rsidRDefault="0057201B">
            <w:pPr>
              <w:pStyle w:val="BodyText"/>
              <w:rPr>
                <w:lang w:val="es-ES"/>
              </w:rPr>
            </w:pPr>
            <w:r w:rsidRPr="00AE3A84">
              <w:rPr>
                <w:spacing w:val="-1"/>
              </w:rPr>
              <w:t>Paraguay</w:t>
            </w:r>
          </w:p>
        </w:tc>
        <w:tc>
          <w:tcPr>
            <w:tcW w:w="1141" w:type="dxa"/>
            <w:vAlign w:val="center"/>
          </w:tcPr>
          <w:p w14:paraId="65A6EA54" w14:textId="77777777" w:rsidR="0057201B" w:rsidRPr="00AE3A84" w:rsidRDefault="0057201B">
            <w:pPr>
              <w:pStyle w:val="BodyText"/>
              <w:jc w:val="center"/>
              <w:rPr>
                <w:spacing w:val="-1"/>
              </w:rPr>
            </w:pPr>
            <w:r w:rsidRPr="00302194">
              <w:rPr>
                <w:spacing w:val="-1"/>
              </w:rPr>
              <w:t>253/22</w:t>
            </w:r>
          </w:p>
        </w:tc>
        <w:tc>
          <w:tcPr>
            <w:tcW w:w="1289" w:type="dxa"/>
            <w:vAlign w:val="center"/>
          </w:tcPr>
          <w:p w14:paraId="4F787367" w14:textId="77777777" w:rsidR="0057201B" w:rsidRPr="00AE3A84" w:rsidRDefault="0057201B">
            <w:pPr>
              <w:pStyle w:val="BodyText"/>
              <w:rPr>
                <w:lang w:val="es-ES"/>
              </w:rPr>
            </w:pPr>
            <w:r w:rsidRPr="00AE3A84">
              <w:rPr>
                <w:spacing w:val="-1"/>
              </w:rPr>
              <w:t>10/3/2022</w:t>
            </w:r>
          </w:p>
        </w:tc>
        <w:tc>
          <w:tcPr>
            <w:tcW w:w="1329" w:type="dxa"/>
            <w:vAlign w:val="center"/>
          </w:tcPr>
          <w:p w14:paraId="5AF01CEB" w14:textId="77777777" w:rsidR="0057201B" w:rsidRPr="00AE3A84" w:rsidRDefault="0057201B">
            <w:pPr>
              <w:pStyle w:val="BodyText"/>
              <w:rPr>
                <w:lang w:val="es-ES"/>
              </w:rPr>
            </w:pPr>
            <w:r w:rsidRPr="00AE3A84">
              <w:rPr>
                <w:spacing w:val="-1"/>
              </w:rPr>
              <w:t>1011-15</w:t>
            </w:r>
          </w:p>
        </w:tc>
        <w:tc>
          <w:tcPr>
            <w:tcW w:w="1350" w:type="dxa"/>
            <w:vAlign w:val="center"/>
          </w:tcPr>
          <w:p w14:paraId="48924FCB" w14:textId="77777777" w:rsidR="0057201B" w:rsidRPr="00AE3A84" w:rsidRDefault="0057201B">
            <w:pPr>
              <w:pStyle w:val="BodyText"/>
              <w:rPr>
                <w:lang w:val="es-ES"/>
              </w:rPr>
            </w:pPr>
            <w:r w:rsidRPr="00AE3A84">
              <w:rPr>
                <w:spacing w:val="-1"/>
              </w:rPr>
              <w:t>15.105</w:t>
            </w:r>
          </w:p>
        </w:tc>
      </w:tr>
      <w:tr w:rsidR="0057201B" w:rsidRPr="00AE3A84" w14:paraId="4536FE5A" w14:textId="77777777">
        <w:tc>
          <w:tcPr>
            <w:tcW w:w="534" w:type="dxa"/>
            <w:vAlign w:val="center"/>
          </w:tcPr>
          <w:p w14:paraId="55580F28" w14:textId="77777777" w:rsidR="0057201B" w:rsidRPr="00AE3A84" w:rsidRDefault="0057201B" w:rsidP="00933F91">
            <w:pPr>
              <w:pStyle w:val="BodyText"/>
              <w:widowControl/>
              <w:numPr>
                <w:ilvl w:val="0"/>
                <w:numId w:val="57"/>
              </w:numPr>
              <w:rPr>
                <w:lang w:val="es-ES"/>
              </w:rPr>
            </w:pPr>
          </w:p>
        </w:tc>
        <w:tc>
          <w:tcPr>
            <w:tcW w:w="2953" w:type="dxa"/>
            <w:vAlign w:val="center"/>
          </w:tcPr>
          <w:p w14:paraId="2E4A4FF1" w14:textId="77777777" w:rsidR="0057201B" w:rsidRPr="00137ACB" w:rsidRDefault="0057201B">
            <w:pPr>
              <w:pStyle w:val="BodyText"/>
              <w:rPr>
                <w:lang w:val="pt-BR"/>
              </w:rPr>
            </w:pPr>
            <w:r w:rsidRPr="00137ACB">
              <w:rPr>
                <w:spacing w:val="-1"/>
                <w:lang w:val="pt-BR"/>
              </w:rPr>
              <w:t>Raynéia</w:t>
            </w:r>
            <w:r w:rsidRPr="00137ACB">
              <w:rPr>
                <w:spacing w:val="-6"/>
                <w:lang w:val="pt-BR"/>
              </w:rPr>
              <w:t xml:space="preserve"> </w:t>
            </w:r>
            <w:r w:rsidRPr="00137ACB">
              <w:rPr>
                <w:spacing w:val="-1"/>
                <w:lang w:val="pt-BR"/>
              </w:rPr>
              <w:t>Gabrielle</w:t>
            </w:r>
            <w:r w:rsidRPr="00137ACB">
              <w:rPr>
                <w:spacing w:val="-3"/>
                <w:lang w:val="pt-BR"/>
              </w:rPr>
              <w:t xml:space="preserve"> </w:t>
            </w:r>
            <w:r w:rsidRPr="00137ACB">
              <w:rPr>
                <w:spacing w:val="-1"/>
                <w:lang w:val="pt-BR"/>
              </w:rPr>
              <w:t>da</w:t>
            </w:r>
            <w:r w:rsidRPr="00137ACB">
              <w:rPr>
                <w:spacing w:val="-5"/>
                <w:lang w:val="pt-BR"/>
              </w:rPr>
              <w:t xml:space="preserve"> </w:t>
            </w:r>
            <w:r w:rsidRPr="00137ACB">
              <w:rPr>
                <w:spacing w:val="-1"/>
                <w:lang w:val="pt-BR"/>
              </w:rPr>
              <w:t>Costa</w:t>
            </w:r>
            <w:r w:rsidRPr="00137ACB">
              <w:rPr>
                <w:spacing w:val="-5"/>
                <w:lang w:val="pt-BR"/>
              </w:rPr>
              <w:t xml:space="preserve"> </w:t>
            </w:r>
            <w:r w:rsidRPr="00137ACB">
              <w:rPr>
                <w:spacing w:val="-1"/>
                <w:lang w:val="pt-BR"/>
              </w:rPr>
              <w:t>Lima</w:t>
            </w:r>
            <w:r w:rsidRPr="00137ACB">
              <w:rPr>
                <w:spacing w:val="-5"/>
                <w:lang w:val="pt-BR"/>
              </w:rPr>
              <w:t xml:space="preserve"> </w:t>
            </w:r>
            <w:r w:rsidRPr="00137ACB">
              <w:rPr>
                <w:spacing w:val="-1"/>
                <w:lang w:val="pt-BR"/>
              </w:rPr>
              <w:t>Rocha</w:t>
            </w:r>
            <w:r w:rsidRPr="00137ACB">
              <w:rPr>
                <w:spacing w:val="-5"/>
                <w:lang w:val="pt-BR"/>
              </w:rPr>
              <w:t xml:space="preserve"> </w:t>
            </w:r>
            <w:r w:rsidRPr="00137ACB">
              <w:rPr>
                <w:lang w:val="pt-BR"/>
              </w:rPr>
              <w:t>and her Mother,</w:t>
            </w:r>
            <w:r w:rsidRPr="00137ACB">
              <w:rPr>
                <w:spacing w:val="-4"/>
                <w:lang w:val="pt-BR"/>
              </w:rPr>
              <w:t xml:space="preserve"> </w:t>
            </w:r>
            <w:r w:rsidRPr="00137ACB">
              <w:rPr>
                <w:spacing w:val="-1"/>
                <w:lang w:val="pt-BR"/>
              </w:rPr>
              <w:t>Maria</w:t>
            </w:r>
            <w:r w:rsidRPr="00137ACB">
              <w:rPr>
                <w:spacing w:val="-5"/>
                <w:lang w:val="pt-BR"/>
              </w:rPr>
              <w:t xml:space="preserve"> </w:t>
            </w:r>
            <w:r w:rsidRPr="00137ACB">
              <w:rPr>
                <w:spacing w:val="-1"/>
                <w:lang w:val="pt-BR"/>
              </w:rPr>
              <w:t>José</w:t>
            </w:r>
            <w:r w:rsidRPr="00137ACB">
              <w:rPr>
                <w:spacing w:val="-3"/>
                <w:lang w:val="pt-BR"/>
              </w:rPr>
              <w:t xml:space="preserve"> </w:t>
            </w:r>
            <w:r w:rsidRPr="00137ACB">
              <w:rPr>
                <w:spacing w:val="-1"/>
                <w:lang w:val="pt-BR"/>
              </w:rPr>
              <w:t>Costa</w:t>
            </w:r>
          </w:p>
        </w:tc>
        <w:tc>
          <w:tcPr>
            <w:tcW w:w="1119" w:type="dxa"/>
            <w:vAlign w:val="center"/>
          </w:tcPr>
          <w:p w14:paraId="73E9A54B" w14:textId="77777777" w:rsidR="0057201B" w:rsidRPr="00AE3A84" w:rsidRDefault="0057201B">
            <w:pPr>
              <w:pStyle w:val="BodyText"/>
              <w:rPr>
                <w:lang w:val="es-ES"/>
              </w:rPr>
            </w:pPr>
            <w:r w:rsidRPr="00AE3A84">
              <w:rPr>
                <w:spacing w:val="-1"/>
              </w:rPr>
              <w:t>Nicaragua</w:t>
            </w:r>
          </w:p>
        </w:tc>
        <w:tc>
          <w:tcPr>
            <w:tcW w:w="1141" w:type="dxa"/>
            <w:vAlign w:val="center"/>
          </w:tcPr>
          <w:p w14:paraId="657718CB" w14:textId="77777777" w:rsidR="0057201B" w:rsidRPr="00AE3A84" w:rsidRDefault="0057201B">
            <w:pPr>
              <w:pStyle w:val="BodyText"/>
              <w:jc w:val="center"/>
              <w:rPr>
                <w:spacing w:val="-1"/>
              </w:rPr>
            </w:pPr>
            <w:r w:rsidRPr="00302194">
              <w:rPr>
                <w:spacing w:val="-1"/>
              </w:rPr>
              <w:t>254/22</w:t>
            </w:r>
          </w:p>
        </w:tc>
        <w:tc>
          <w:tcPr>
            <w:tcW w:w="1289" w:type="dxa"/>
            <w:vAlign w:val="center"/>
          </w:tcPr>
          <w:p w14:paraId="24FF08FA" w14:textId="77777777" w:rsidR="0057201B" w:rsidRPr="00AE3A84" w:rsidRDefault="0057201B">
            <w:pPr>
              <w:pStyle w:val="BodyText"/>
              <w:rPr>
                <w:lang w:val="es-ES"/>
              </w:rPr>
            </w:pPr>
            <w:r w:rsidRPr="00AE3A84">
              <w:rPr>
                <w:spacing w:val="-1"/>
              </w:rPr>
              <w:t>10/3/2022</w:t>
            </w:r>
          </w:p>
        </w:tc>
        <w:tc>
          <w:tcPr>
            <w:tcW w:w="1329" w:type="dxa"/>
            <w:vAlign w:val="center"/>
          </w:tcPr>
          <w:p w14:paraId="67082181" w14:textId="77777777" w:rsidR="0057201B" w:rsidRPr="00AE3A84" w:rsidRDefault="0057201B">
            <w:pPr>
              <w:pStyle w:val="BodyText"/>
              <w:rPr>
                <w:lang w:val="es-ES"/>
              </w:rPr>
            </w:pPr>
            <w:r w:rsidRPr="00AE3A84">
              <w:rPr>
                <w:spacing w:val="-1"/>
              </w:rPr>
              <w:t>2432-18</w:t>
            </w:r>
          </w:p>
        </w:tc>
        <w:tc>
          <w:tcPr>
            <w:tcW w:w="1350" w:type="dxa"/>
            <w:vAlign w:val="center"/>
          </w:tcPr>
          <w:p w14:paraId="3DFA4507" w14:textId="77777777" w:rsidR="0057201B" w:rsidRPr="00AE3A84" w:rsidRDefault="0057201B">
            <w:pPr>
              <w:pStyle w:val="BodyText"/>
              <w:rPr>
                <w:lang w:val="es-ES"/>
              </w:rPr>
            </w:pPr>
            <w:r w:rsidRPr="00AE3A84">
              <w:rPr>
                <w:spacing w:val="-1"/>
              </w:rPr>
              <w:t>15.099</w:t>
            </w:r>
          </w:p>
        </w:tc>
      </w:tr>
      <w:tr w:rsidR="0057201B" w:rsidRPr="00AE3A84" w14:paraId="7D6EEE4B" w14:textId="77777777">
        <w:tc>
          <w:tcPr>
            <w:tcW w:w="534" w:type="dxa"/>
            <w:vAlign w:val="center"/>
          </w:tcPr>
          <w:p w14:paraId="69C8903E" w14:textId="77777777" w:rsidR="0057201B" w:rsidRPr="00AE3A84" w:rsidRDefault="0057201B" w:rsidP="00933F91">
            <w:pPr>
              <w:pStyle w:val="BodyText"/>
              <w:widowControl/>
              <w:numPr>
                <w:ilvl w:val="0"/>
                <w:numId w:val="57"/>
              </w:numPr>
              <w:rPr>
                <w:lang w:val="es-ES"/>
              </w:rPr>
            </w:pPr>
          </w:p>
        </w:tc>
        <w:tc>
          <w:tcPr>
            <w:tcW w:w="2953" w:type="dxa"/>
            <w:vAlign w:val="center"/>
          </w:tcPr>
          <w:p w14:paraId="4E529AA6" w14:textId="77777777" w:rsidR="0057201B" w:rsidRPr="00137ACB" w:rsidRDefault="0057201B">
            <w:pPr>
              <w:pStyle w:val="BodyText"/>
            </w:pPr>
            <w:r w:rsidRPr="00137ACB">
              <w:rPr>
                <w:spacing w:val="-1"/>
              </w:rPr>
              <w:t>Johnnatan</w:t>
            </w:r>
            <w:r w:rsidRPr="00137ACB">
              <w:rPr>
                <w:spacing w:val="-6"/>
              </w:rPr>
              <w:t xml:space="preserve"> </w:t>
            </w:r>
            <w:r w:rsidRPr="00137ACB">
              <w:rPr>
                <w:spacing w:val="-1"/>
              </w:rPr>
              <w:t>Bedoya</w:t>
            </w:r>
            <w:r w:rsidRPr="00137ACB">
              <w:rPr>
                <w:spacing w:val="-6"/>
              </w:rPr>
              <w:t xml:space="preserve"> </w:t>
            </w:r>
            <w:r w:rsidRPr="00137ACB">
              <w:rPr>
                <w:spacing w:val="-1"/>
              </w:rPr>
              <w:t>Sierra</w:t>
            </w:r>
            <w:r w:rsidRPr="00137ACB">
              <w:rPr>
                <w:spacing w:val="-7"/>
              </w:rPr>
              <w:t xml:space="preserve"> </w:t>
            </w:r>
            <w:r w:rsidRPr="00137ACB">
              <w:t>and Family</w:t>
            </w:r>
          </w:p>
        </w:tc>
        <w:tc>
          <w:tcPr>
            <w:tcW w:w="1119" w:type="dxa"/>
            <w:vAlign w:val="center"/>
          </w:tcPr>
          <w:p w14:paraId="5203C35F" w14:textId="77777777" w:rsidR="0057201B" w:rsidRPr="00AE3A84" w:rsidRDefault="0057201B">
            <w:pPr>
              <w:pStyle w:val="BodyText"/>
              <w:rPr>
                <w:lang w:val="es-ES"/>
              </w:rPr>
            </w:pPr>
            <w:r w:rsidRPr="00AE3A84">
              <w:rPr>
                <w:spacing w:val="-1"/>
              </w:rPr>
              <w:t>Colombia</w:t>
            </w:r>
          </w:p>
        </w:tc>
        <w:tc>
          <w:tcPr>
            <w:tcW w:w="1141" w:type="dxa"/>
            <w:vAlign w:val="center"/>
          </w:tcPr>
          <w:p w14:paraId="756AF105" w14:textId="77777777" w:rsidR="0057201B" w:rsidRPr="00AE3A84" w:rsidRDefault="0057201B">
            <w:pPr>
              <w:pStyle w:val="BodyText"/>
              <w:jc w:val="center"/>
              <w:rPr>
                <w:spacing w:val="-1"/>
              </w:rPr>
            </w:pPr>
            <w:r w:rsidRPr="00302194">
              <w:rPr>
                <w:spacing w:val="-1"/>
              </w:rPr>
              <w:t>255/22</w:t>
            </w:r>
          </w:p>
        </w:tc>
        <w:tc>
          <w:tcPr>
            <w:tcW w:w="1289" w:type="dxa"/>
            <w:vAlign w:val="center"/>
          </w:tcPr>
          <w:p w14:paraId="22AD4108" w14:textId="77777777" w:rsidR="0057201B" w:rsidRPr="00AE3A84" w:rsidRDefault="0057201B">
            <w:pPr>
              <w:pStyle w:val="BodyText"/>
              <w:rPr>
                <w:lang w:val="es-ES"/>
              </w:rPr>
            </w:pPr>
            <w:r w:rsidRPr="00AE3A84">
              <w:rPr>
                <w:spacing w:val="-1"/>
              </w:rPr>
              <w:t>10/3/2022</w:t>
            </w:r>
          </w:p>
        </w:tc>
        <w:tc>
          <w:tcPr>
            <w:tcW w:w="1329" w:type="dxa"/>
            <w:vAlign w:val="center"/>
          </w:tcPr>
          <w:p w14:paraId="6BA49F41" w14:textId="77777777" w:rsidR="0057201B" w:rsidRPr="00AE3A84" w:rsidRDefault="0057201B">
            <w:pPr>
              <w:pStyle w:val="BodyText"/>
              <w:rPr>
                <w:lang w:val="es-ES"/>
              </w:rPr>
            </w:pPr>
            <w:r w:rsidRPr="00AE3A84">
              <w:rPr>
                <w:spacing w:val="-1"/>
              </w:rPr>
              <w:t>438-13</w:t>
            </w:r>
          </w:p>
        </w:tc>
        <w:tc>
          <w:tcPr>
            <w:tcW w:w="1350" w:type="dxa"/>
            <w:vAlign w:val="center"/>
          </w:tcPr>
          <w:p w14:paraId="257E682B" w14:textId="77777777" w:rsidR="0057201B" w:rsidRPr="00AE3A84" w:rsidRDefault="0057201B">
            <w:pPr>
              <w:pStyle w:val="BodyText"/>
              <w:rPr>
                <w:lang w:val="es-ES"/>
              </w:rPr>
            </w:pPr>
            <w:r w:rsidRPr="00AE3A84">
              <w:rPr>
                <w:spacing w:val="-1"/>
              </w:rPr>
              <w:t>15.091</w:t>
            </w:r>
          </w:p>
        </w:tc>
      </w:tr>
      <w:tr w:rsidR="0057201B" w:rsidRPr="00AE3A84" w14:paraId="43526720" w14:textId="77777777">
        <w:tc>
          <w:tcPr>
            <w:tcW w:w="534" w:type="dxa"/>
            <w:vAlign w:val="center"/>
          </w:tcPr>
          <w:p w14:paraId="23B8A7B0" w14:textId="77777777" w:rsidR="0057201B" w:rsidRPr="00AE3A84" w:rsidRDefault="0057201B" w:rsidP="00933F91">
            <w:pPr>
              <w:pStyle w:val="BodyText"/>
              <w:widowControl/>
              <w:numPr>
                <w:ilvl w:val="0"/>
                <w:numId w:val="57"/>
              </w:numPr>
              <w:rPr>
                <w:lang w:val="es-ES"/>
              </w:rPr>
            </w:pPr>
          </w:p>
        </w:tc>
        <w:tc>
          <w:tcPr>
            <w:tcW w:w="2953" w:type="dxa"/>
            <w:vAlign w:val="center"/>
          </w:tcPr>
          <w:p w14:paraId="7E05C8E6" w14:textId="77777777" w:rsidR="0057201B" w:rsidRPr="00AE3A84" w:rsidRDefault="0057201B">
            <w:pPr>
              <w:pStyle w:val="BodyText"/>
              <w:rPr>
                <w:lang w:val="es-ES"/>
              </w:rPr>
            </w:pPr>
            <w:r>
              <w:rPr>
                <w:spacing w:val="-1"/>
              </w:rPr>
              <w:t>Relatives of</w:t>
            </w:r>
            <w:r w:rsidRPr="00AE3A84">
              <w:rPr>
                <w:spacing w:val="-5"/>
              </w:rPr>
              <w:t xml:space="preserve"> </w:t>
            </w:r>
            <w:r w:rsidRPr="00AE3A84">
              <w:rPr>
                <w:spacing w:val="-1"/>
              </w:rPr>
              <w:t>Carlos</w:t>
            </w:r>
            <w:r w:rsidRPr="00AE3A84">
              <w:rPr>
                <w:spacing w:val="-7"/>
              </w:rPr>
              <w:t xml:space="preserve"> </w:t>
            </w:r>
            <w:r w:rsidRPr="00AE3A84">
              <w:rPr>
                <w:spacing w:val="-1"/>
              </w:rPr>
              <w:t>Arancibia</w:t>
            </w:r>
          </w:p>
        </w:tc>
        <w:tc>
          <w:tcPr>
            <w:tcW w:w="1119" w:type="dxa"/>
            <w:vAlign w:val="center"/>
          </w:tcPr>
          <w:p w14:paraId="3EF92813" w14:textId="77777777" w:rsidR="0057201B" w:rsidRPr="00AE3A84" w:rsidRDefault="0057201B">
            <w:pPr>
              <w:pStyle w:val="BodyText"/>
              <w:rPr>
                <w:lang w:val="es-ES"/>
              </w:rPr>
            </w:pPr>
            <w:r w:rsidRPr="00AE3A84">
              <w:rPr>
                <w:spacing w:val="-1"/>
              </w:rPr>
              <w:t>Argentina</w:t>
            </w:r>
          </w:p>
        </w:tc>
        <w:tc>
          <w:tcPr>
            <w:tcW w:w="1141" w:type="dxa"/>
            <w:vAlign w:val="center"/>
          </w:tcPr>
          <w:p w14:paraId="778338F1" w14:textId="77777777" w:rsidR="0057201B" w:rsidRPr="00AE3A84" w:rsidRDefault="0057201B">
            <w:pPr>
              <w:pStyle w:val="BodyText"/>
              <w:jc w:val="center"/>
              <w:rPr>
                <w:spacing w:val="-1"/>
              </w:rPr>
            </w:pPr>
            <w:r w:rsidRPr="00302194">
              <w:rPr>
                <w:spacing w:val="-1"/>
              </w:rPr>
              <w:t>257/22</w:t>
            </w:r>
          </w:p>
        </w:tc>
        <w:tc>
          <w:tcPr>
            <w:tcW w:w="1289" w:type="dxa"/>
            <w:vAlign w:val="center"/>
          </w:tcPr>
          <w:p w14:paraId="002C5FCE" w14:textId="77777777" w:rsidR="0057201B" w:rsidRPr="00AE3A84" w:rsidRDefault="0057201B">
            <w:pPr>
              <w:pStyle w:val="BodyText"/>
              <w:rPr>
                <w:lang w:val="es-ES"/>
              </w:rPr>
            </w:pPr>
            <w:r w:rsidRPr="00AE3A84">
              <w:rPr>
                <w:spacing w:val="-1"/>
              </w:rPr>
              <w:t>10/3/2022</w:t>
            </w:r>
          </w:p>
        </w:tc>
        <w:tc>
          <w:tcPr>
            <w:tcW w:w="1329" w:type="dxa"/>
            <w:vAlign w:val="center"/>
          </w:tcPr>
          <w:p w14:paraId="416404D4" w14:textId="77777777" w:rsidR="0057201B" w:rsidRPr="00AE3A84" w:rsidRDefault="0057201B">
            <w:pPr>
              <w:pStyle w:val="BodyText"/>
              <w:rPr>
                <w:lang w:val="es-ES"/>
              </w:rPr>
            </w:pPr>
            <w:r w:rsidRPr="00AE3A84">
              <w:rPr>
                <w:spacing w:val="-1"/>
              </w:rPr>
              <w:t>350-15</w:t>
            </w:r>
          </w:p>
        </w:tc>
        <w:tc>
          <w:tcPr>
            <w:tcW w:w="1350" w:type="dxa"/>
            <w:vAlign w:val="center"/>
          </w:tcPr>
          <w:p w14:paraId="351A0C30" w14:textId="77777777" w:rsidR="0057201B" w:rsidRPr="00AE3A84" w:rsidRDefault="0057201B">
            <w:pPr>
              <w:pStyle w:val="BodyText"/>
              <w:rPr>
                <w:lang w:val="es-ES"/>
              </w:rPr>
            </w:pPr>
            <w:r w:rsidRPr="00AE3A84">
              <w:rPr>
                <w:spacing w:val="-1"/>
              </w:rPr>
              <w:t>15.106</w:t>
            </w:r>
          </w:p>
        </w:tc>
      </w:tr>
      <w:tr w:rsidR="0057201B" w:rsidRPr="00AE3A84" w14:paraId="1F4324C3" w14:textId="77777777">
        <w:tc>
          <w:tcPr>
            <w:tcW w:w="534" w:type="dxa"/>
            <w:vAlign w:val="center"/>
          </w:tcPr>
          <w:p w14:paraId="4B4B20B9" w14:textId="77777777" w:rsidR="0057201B" w:rsidRPr="00AE3A84" w:rsidRDefault="0057201B" w:rsidP="00933F91">
            <w:pPr>
              <w:pStyle w:val="BodyText"/>
              <w:widowControl/>
              <w:numPr>
                <w:ilvl w:val="0"/>
                <w:numId w:val="57"/>
              </w:numPr>
              <w:rPr>
                <w:lang w:val="es-ES"/>
              </w:rPr>
            </w:pPr>
          </w:p>
        </w:tc>
        <w:tc>
          <w:tcPr>
            <w:tcW w:w="2953" w:type="dxa"/>
            <w:vAlign w:val="center"/>
          </w:tcPr>
          <w:p w14:paraId="1C333AD7" w14:textId="77777777" w:rsidR="0057201B" w:rsidRPr="00AE3A84" w:rsidRDefault="0057201B">
            <w:pPr>
              <w:pStyle w:val="BodyText"/>
              <w:rPr>
                <w:lang w:val="es-ES"/>
              </w:rPr>
            </w:pPr>
            <w:r>
              <w:rPr>
                <w:spacing w:val="-1"/>
              </w:rPr>
              <w:t>Relatives of</w:t>
            </w:r>
            <w:r w:rsidRPr="00AE3A84">
              <w:rPr>
                <w:spacing w:val="-5"/>
              </w:rPr>
              <w:t xml:space="preserve"> </w:t>
            </w:r>
            <w:r w:rsidRPr="00AE3A84">
              <w:rPr>
                <w:spacing w:val="-1"/>
              </w:rPr>
              <w:t>Hernán</w:t>
            </w:r>
            <w:r w:rsidRPr="00AE3A84">
              <w:rPr>
                <w:spacing w:val="-6"/>
              </w:rPr>
              <w:t xml:space="preserve"> </w:t>
            </w:r>
            <w:r w:rsidRPr="00AE3A84">
              <w:rPr>
                <w:spacing w:val="-1"/>
              </w:rPr>
              <w:t>Canales</w:t>
            </w:r>
          </w:p>
        </w:tc>
        <w:tc>
          <w:tcPr>
            <w:tcW w:w="1119" w:type="dxa"/>
            <w:vAlign w:val="center"/>
          </w:tcPr>
          <w:p w14:paraId="74651794" w14:textId="77777777" w:rsidR="0057201B" w:rsidRPr="00AE3A84" w:rsidRDefault="0057201B">
            <w:pPr>
              <w:pStyle w:val="BodyText"/>
              <w:rPr>
                <w:lang w:val="es-ES"/>
              </w:rPr>
            </w:pPr>
            <w:r w:rsidRPr="00AE3A84">
              <w:rPr>
                <w:spacing w:val="-1"/>
              </w:rPr>
              <w:t>Chile</w:t>
            </w:r>
          </w:p>
        </w:tc>
        <w:tc>
          <w:tcPr>
            <w:tcW w:w="1141" w:type="dxa"/>
            <w:vAlign w:val="center"/>
          </w:tcPr>
          <w:p w14:paraId="654681EC" w14:textId="77777777" w:rsidR="0057201B" w:rsidRPr="00AE3A84" w:rsidRDefault="0057201B">
            <w:pPr>
              <w:pStyle w:val="BodyText"/>
              <w:jc w:val="center"/>
              <w:rPr>
                <w:spacing w:val="-1"/>
              </w:rPr>
            </w:pPr>
            <w:r w:rsidRPr="00302194">
              <w:rPr>
                <w:spacing w:val="-1"/>
              </w:rPr>
              <w:t>258/22</w:t>
            </w:r>
          </w:p>
        </w:tc>
        <w:tc>
          <w:tcPr>
            <w:tcW w:w="1289" w:type="dxa"/>
            <w:vAlign w:val="center"/>
          </w:tcPr>
          <w:p w14:paraId="5CF32FFF" w14:textId="77777777" w:rsidR="0057201B" w:rsidRPr="00AE3A84" w:rsidRDefault="0057201B">
            <w:pPr>
              <w:pStyle w:val="BodyText"/>
              <w:rPr>
                <w:lang w:val="es-ES"/>
              </w:rPr>
            </w:pPr>
            <w:r w:rsidRPr="00AE3A84">
              <w:rPr>
                <w:spacing w:val="-1"/>
              </w:rPr>
              <w:t>10/3/2022</w:t>
            </w:r>
          </w:p>
        </w:tc>
        <w:tc>
          <w:tcPr>
            <w:tcW w:w="1329" w:type="dxa"/>
            <w:vAlign w:val="center"/>
          </w:tcPr>
          <w:p w14:paraId="78852DBD" w14:textId="77777777" w:rsidR="0057201B" w:rsidRPr="00AE3A84" w:rsidRDefault="0057201B">
            <w:pPr>
              <w:pStyle w:val="BodyText"/>
              <w:rPr>
                <w:lang w:val="es-ES"/>
              </w:rPr>
            </w:pPr>
            <w:r w:rsidRPr="00AE3A84">
              <w:rPr>
                <w:spacing w:val="-1"/>
              </w:rPr>
              <w:t>1135-15</w:t>
            </w:r>
          </w:p>
        </w:tc>
        <w:tc>
          <w:tcPr>
            <w:tcW w:w="1350" w:type="dxa"/>
            <w:vAlign w:val="center"/>
          </w:tcPr>
          <w:p w14:paraId="28389F47" w14:textId="77777777" w:rsidR="0057201B" w:rsidRPr="00AE3A84" w:rsidRDefault="0057201B">
            <w:pPr>
              <w:pStyle w:val="BodyText"/>
              <w:rPr>
                <w:lang w:val="es-ES"/>
              </w:rPr>
            </w:pPr>
            <w:r w:rsidRPr="00AE3A84">
              <w:rPr>
                <w:spacing w:val="-1"/>
              </w:rPr>
              <w:t>15.096</w:t>
            </w:r>
          </w:p>
        </w:tc>
      </w:tr>
      <w:tr w:rsidR="0057201B" w:rsidRPr="00AE3A84" w14:paraId="4D9F302A" w14:textId="77777777">
        <w:tc>
          <w:tcPr>
            <w:tcW w:w="534" w:type="dxa"/>
            <w:vAlign w:val="center"/>
          </w:tcPr>
          <w:p w14:paraId="6DE608A1" w14:textId="77777777" w:rsidR="0057201B" w:rsidRPr="00AE3A84" w:rsidRDefault="0057201B" w:rsidP="00933F91">
            <w:pPr>
              <w:pStyle w:val="BodyText"/>
              <w:widowControl/>
              <w:numPr>
                <w:ilvl w:val="0"/>
                <w:numId w:val="57"/>
              </w:numPr>
              <w:rPr>
                <w:lang w:val="es-ES"/>
              </w:rPr>
            </w:pPr>
          </w:p>
        </w:tc>
        <w:tc>
          <w:tcPr>
            <w:tcW w:w="2953" w:type="dxa"/>
            <w:vAlign w:val="center"/>
          </w:tcPr>
          <w:p w14:paraId="2CE606BE" w14:textId="77777777" w:rsidR="0057201B" w:rsidRPr="00AE3A84" w:rsidRDefault="0057201B">
            <w:pPr>
              <w:pStyle w:val="BodyText"/>
              <w:rPr>
                <w:lang w:val="es-ES"/>
              </w:rPr>
            </w:pPr>
            <w:r w:rsidRPr="00AE3A84">
              <w:rPr>
                <w:spacing w:val="-1"/>
              </w:rPr>
              <w:t>María</w:t>
            </w:r>
            <w:r w:rsidRPr="00AE3A84">
              <w:rPr>
                <w:spacing w:val="-9"/>
              </w:rPr>
              <w:t xml:space="preserve"> </w:t>
            </w:r>
            <w:r w:rsidRPr="00AE3A84">
              <w:rPr>
                <w:spacing w:val="-1"/>
              </w:rPr>
              <w:t>Gabriela</w:t>
            </w:r>
            <w:r w:rsidRPr="00AE3A84">
              <w:rPr>
                <w:spacing w:val="-9"/>
              </w:rPr>
              <w:t xml:space="preserve"> </w:t>
            </w:r>
            <w:r w:rsidRPr="00AE3A84">
              <w:rPr>
                <w:spacing w:val="-1"/>
              </w:rPr>
              <w:t>Gonzalez</w:t>
            </w:r>
          </w:p>
        </w:tc>
        <w:tc>
          <w:tcPr>
            <w:tcW w:w="1119" w:type="dxa"/>
            <w:vAlign w:val="center"/>
          </w:tcPr>
          <w:p w14:paraId="0F9D836A" w14:textId="77777777" w:rsidR="0057201B" w:rsidRPr="00AE3A84" w:rsidRDefault="0057201B">
            <w:pPr>
              <w:pStyle w:val="BodyText"/>
              <w:rPr>
                <w:lang w:val="es-ES"/>
              </w:rPr>
            </w:pPr>
            <w:r w:rsidRPr="00AE3A84">
              <w:rPr>
                <w:spacing w:val="-1"/>
              </w:rPr>
              <w:t>Argentina</w:t>
            </w:r>
          </w:p>
        </w:tc>
        <w:tc>
          <w:tcPr>
            <w:tcW w:w="1141" w:type="dxa"/>
            <w:vAlign w:val="center"/>
          </w:tcPr>
          <w:p w14:paraId="28C72B90" w14:textId="77777777" w:rsidR="0057201B" w:rsidRPr="00AE3A84" w:rsidRDefault="0057201B">
            <w:pPr>
              <w:pStyle w:val="BodyText"/>
              <w:jc w:val="center"/>
              <w:rPr>
                <w:spacing w:val="-1"/>
              </w:rPr>
            </w:pPr>
            <w:r w:rsidRPr="00302194">
              <w:rPr>
                <w:spacing w:val="-1"/>
              </w:rPr>
              <w:t>259/22</w:t>
            </w:r>
          </w:p>
        </w:tc>
        <w:tc>
          <w:tcPr>
            <w:tcW w:w="1289" w:type="dxa"/>
            <w:vAlign w:val="center"/>
          </w:tcPr>
          <w:p w14:paraId="7BDEF3AC" w14:textId="77777777" w:rsidR="0057201B" w:rsidRPr="00AE3A84" w:rsidRDefault="0057201B">
            <w:pPr>
              <w:pStyle w:val="BodyText"/>
              <w:rPr>
                <w:lang w:val="es-ES"/>
              </w:rPr>
            </w:pPr>
            <w:r w:rsidRPr="00AE3A84">
              <w:rPr>
                <w:spacing w:val="-1"/>
              </w:rPr>
              <w:t>10/3/2022</w:t>
            </w:r>
          </w:p>
        </w:tc>
        <w:tc>
          <w:tcPr>
            <w:tcW w:w="1329" w:type="dxa"/>
            <w:vAlign w:val="center"/>
          </w:tcPr>
          <w:p w14:paraId="33370ED0" w14:textId="77777777" w:rsidR="0057201B" w:rsidRPr="00AE3A84" w:rsidRDefault="0057201B">
            <w:pPr>
              <w:pStyle w:val="BodyText"/>
              <w:rPr>
                <w:lang w:val="es-ES"/>
              </w:rPr>
            </w:pPr>
            <w:r w:rsidRPr="00AE3A84">
              <w:rPr>
                <w:spacing w:val="-1"/>
              </w:rPr>
              <w:t>344-15</w:t>
            </w:r>
          </w:p>
        </w:tc>
        <w:tc>
          <w:tcPr>
            <w:tcW w:w="1350" w:type="dxa"/>
            <w:vAlign w:val="center"/>
          </w:tcPr>
          <w:p w14:paraId="624008D1" w14:textId="77777777" w:rsidR="0057201B" w:rsidRPr="00AE3A84" w:rsidRDefault="0057201B">
            <w:pPr>
              <w:pStyle w:val="BodyText"/>
              <w:rPr>
                <w:lang w:val="es-ES"/>
              </w:rPr>
            </w:pPr>
            <w:r w:rsidRPr="00AE3A84">
              <w:rPr>
                <w:spacing w:val="-1"/>
              </w:rPr>
              <w:t>15.094</w:t>
            </w:r>
          </w:p>
        </w:tc>
      </w:tr>
      <w:tr w:rsidR="0057201B" w:rsidRPr="00AE3A84" w14:paraId="2B0E2837" w14:textId="77777777">
        <w:tc>
          <w:tcPr>
            <w:tcW w:w="534" w:type="dxa"/>
            <w:vAlign w:val="center"/>
          </w:tcPr>
          <w:p w14:paraId="6F0786DC" w14:textId="77777777" w:rsidR="0057201B" w:rsidRPr="00AE3A84" w:rsidRDefault="0057201B" w:rsidP="00933F91">
            <w:pPr>
              <w:pStyle w:val="BodyText"/>
              <w:widowControl/>
              <w:numPr>
                <w:ilvl w:val="0"/>
                <w:numId w:val="57"/>
              </w:numPr>
              <w:rPr>
                <w:lang w:val="es-ES"/>
              </w:rPr>
            </w:pPr>
          </w:p>
        </w:tc>
        <w:tc>
          <w:tcPr>
            <w:tcW w:w="2953" w:type="dxa"/>
            <w:vAlign w:val="center"/>
          </w:tcPr>
          <w:p w14:paraId="0ECD8A54" w14:textId="77777777" w:rsidR="0057201B" w:rsidRPr="00AE3A84" w:rsidRDefault="0057201B">
            <w:pPr>
              <w:pStyle w:val="BodyText"/>
              <w:rPr>
                <w:lang w:val="es-ES"/>
              </w:rPr>
            </w:pPr>
            <w:r w:rsidRPr="00AE3A84">
              <w:rPr>
                <w:spacing w:val="-1"/>
              </w:rPr>
              <w:t>Belén</w:t>
            </w:r>
            <w:r w:rsidRPr="00AE3A84">
              <w:rPr>
                <w:spacing w:val="-5"/>
              </w:rPr>
              <w:t xml:space="preserve"> </w:t>
            </w:r>
            <w:r>
              <w:t>and Family</w:t>
            </w:r>
          </w:p>
        </w:tc>
        <w:tc>
          <w:tcPr>
            <w:tcW w:w="1119" w:type="dxa"/>
            <w:vAlign w:val="center"/>
          </w:tcPr>
          <w:p w14:paraId="7E407B46" w14:textId="77777777" w:rsidR="0057201B" w:rsidRPr="00AE3A84" w:rsidRDefault="0057201B">
            <w:pPr>
              <w:pStyle w:val="BodyText"/>
              <w:rPr>
                <w:lang w:val="es-ES"/>
              </w:rPr>
            </w:pPr>
            <w:r w:rsidRPr="00AE3A84">
              <w:rPr>
                <w:spacing w:val="-1"/>
              </w:rPr>
              <w:t>Chile</w:t>
            </w:r>
          </w:p>
        </w:tc>
        <w:tc>
          <w:tcPr>
            <w:tcW w:w="1141" w:type="dxa"/>
            <w:vAlign w:val="center"/>
          </w:tcPr>
          <w:p w14:paraId="0AC62691" w14:textId="77777777" w:rsidR="0057201B" w:rsidRPr="00AE3A84" w:rsidRDefault="0057201B">
            <w:pPr>
              <w:pStyle w:val="BodyText"/>
              <w:jc w:val="center"/>
              <w:rPr>
                <w:spacing w:val="-1"/>
              </w:rPr>
            </w:pPr>
            <w:r w:rsidRPr="00302194">
              <w:rPr>
                <w:spacing w:val="-1"/>
              </w:rPr>
              <w:t>262/22</w:t>
            </w:r>
          </w:p>
        </w:tc>
        <w:tc>
          <w:tcPr>
            <w:tcW w:w="1289" w:type="dxa"/>
            <w:vAlign w:val="center"/>
          </w:tcPr>
          <w:p w14:paraId="6EC23F25" w14:textId="77777777" w:rsidR="0057201B" w:rsidRPr="00AE3A84" w:rsidRDefault="0057201B">
            <w:pPr>
              <w:pStyle w:val="BodyText"/>
              <w:rPr>
                <w:lang w:val="es-ES"/>
              </w:rPr>
            </w:pPr>
            <w:r w:rsidRPr="00AE3A84">
              <w:rPr>
                <w:spacing w:val="-1"/>
              </w:rPr>
              <w:t>10/3/2022</w:t>
            </w:r>
          </w:p>
        </w:tc>
        <w:tc>
          <w:tcPr>
            <w:tcW w:w="1329" w:type="dxa"/>
            <w:vAlign w:val="center"/>
          </w:tcPr>
          <w:p w14:paraId="2CFD70AB" w14:textId="77777777" w:rsidR="0057201B" w:rsidRPr="00AE3A84" w:rsidRDefault="0057201B">
            <w:pPr>
              <w:pStyle w:val="BodyText"/>
              <w:rPr>
                <w:lang w:val="es-ES"/>
              </w:rPr>
            </w:pPr>
            <w:r w:rsidRPr="00AE3A84">
              <w:rPr>
                <w:spacing w:val="-1"/>
              </w:rPr>
              <w:t>391-15</w:t>
            </w:r>
          </w:p>
        </w:tc>
        <w:tc>
          <w:tcPr>
            <w:tcW w:w="1350" w:type="dxa"/>
            <w:vAlign w:val="center"/>
          </w:tcPr>
          <w:p w14:paraId="11D81E46" w14:textId="77777777" w:rsidR="0057201B" w:rsidRPr="00AE3A84" w:rsidRDefault="0057201B">
            <w:pPr>
              <w:pStyle w:val="BodyText"/>
              <w:rPr>
                <w:lang w:val="es-ES"/>
              </w:rPr>
            </w:pPr>
            <w:r w:rsidRPr="00AE3A84">
              <w:rPr>
                <w:spacing w:val="-1"/>
              </w:rPr>
              <w:t>15.095</w:t>
            </w:r>
          </w:p>
        </w:tc>
      </w:tr>
      <w:tr w:rsidR="0057201B" w:rsidRPr="00AE3A84" w14:paraId="5DFCB185" w14:textId="77777777">
        <w:tc>
          <w:tcPr>
            <w:tcW w:w="534" w:type="dxa"/>
            <w:vAlign w:val="center"/>
          </w:tcPr>
          <w:p w14:paraId="59299614" w14:textId="77777777" w:rsidR="0057201B" w:rsidRPr="00AE3A84" w:rsidRDefault="0057201B" w:rsidP="00933F91">
            <w:pPr>
              <w:pStyle w:val="BodyText"/>
              <w:widowControl/>
              <w:numPr>
                <w:ilvl w:val="0"/>
                <w:numId w:val="57"/>
              </w:numPr>
              <w:rPr>
                <w:lang w:val="es-ES"/>
              </w:rPr>
            </w:pPr>
          </w:p>
        </w:tc>
        <w:tc>
          <w:tcPr>
            <w:tcW w:w="2953" w:type="dxa"/>
            <w:vAlign w:val="center"/>
          </w:tcPr>
          <w:p w14:paraId="2B6F5DC6" w14:textId="77777777" w:rsidR="0057201B" w:rsidRPr="00AE3A84" w:rsidRDefault="0057201B">
            <w:pPr>
              <w:pStyle w:val="BodyText"/>
              <w:rPr>
                <w:lang w:val="es-ES"/>
              </w:rPr>
            </w:pPr>
            <w:r w:rsidRPr="00AE3A84">
              <w:rPr>
                <w:spacing w:val="-1"/>
                <w:lang w:val="es-AR"/>
              </w:rPr>
              <w:t>Doris</w:t>
            </w:r>
            <w:r w:rsidRPr="00AE3A84">
              <w:rPr>
                <w:spacing w:val="-6"/>
                <w:lang w:val="es-AR"/>
              </w:rPr>
              <w:t xml:space="preserve"> </w:t>
            </w:r>
            <w:r w:rsidRPr="00AE3A84">
              <w:rPr>
                <w:spacing w:val="-1"/>
                <w:lang w:val="es-AR"/>
              </w:rPr>
              <w:t>Adriana</w:t>
            </w:r>
            <w:r w:rsidRPr="00AE3A84">
              <w:rPr>
                <w:spacing w:val="-6"/>
                <w:lang w:val="es-AR"/>
              </w:rPr>
              <w:t xml:space="preserve"> </w:t>
            </w:r>
            <w:r w:rsidRPr="00AE3A84">
              <w:rPr>
                <w:spacing w:val="-1"/>
                <w:lang w:val="es-AR"/>
              </w:rPr>
              <w:t>Loaiza</w:t>
            </w:r>
            <w:r w:rsidRPr="00AE3A84">
              <w:rPr>
                <w:spacing w:val="-5"/>
                <w:lang w:val="es-AR"/>
              </w:rPr>
              <w:t xml:space="preserve"> </w:t>
            </w:r>
            <w:r w:rsidRPr="00AE3A84">
              <w:rPr>
                <w:spacing w:val="-1"/>
                <w:lang w:val="es-AR"/>
              </w:rPr>
              <w:t>Patiño</w:t>
            </w:r>
            <w:r w:rsidRPr="00AE3A84">
              <w:rPr>
                <w:spacing w:val="-6"/>
                <w:lang w:val="es-AR"/>
              </w:rPr>
              <w:t xml:space="preserve"> </w:t>
            </w:r>
            <w:r>
              <w:rPr>
                <w:lang w:val="es-AR"/>
              </w:rPr>
              <w:t>et al.</w:t>
            </w:r>
          </w:p>
        </w:tc>
        <w:tc>
          <w:tcPr>
            <w:tcW w:w="1119" w:type="dxa"/>
            <w:vAlign w:val="center"/>
          </w:tcPr>
          <w:p w14:paraId="6A6D4CF8" w14:textId="77777777" w:rsidR="0057201B" w:rsidRPr="00AE3A84" w:rsidRDefault="0057201B">
            <w:pPr>
              <w:pStyle w:val="BodyText"/>
              <w:rPr>
                <w:lang w:val="es-ES"/>
              </w:rPr>
            </w:pPr>
            <w:r w:rsidRPr="00AE3A84">
              <w:rPr>
                <w:spacing w:val="-1"/>
              </w:rPr>
              <w:t>Colombia</w:t>
            </w:r>
          </w:p>
        </w:tc>
        <w:tc>
          <w:tcPr>
            <w:tcW w:w="1141" w:type="dxa"/>
            <w:vAlign w:val="center"/>
          </w:tcPr>
          <w:p w14:paraId="7E2EB057" w14:textId="77777777" w:rsidR="0057201B" w:rsidRPr="00AE3A84" w:rsidRDefault="0057201B">
            <w:pPr>
              <w:pStyle w:val="BodyText"/>
              <w:jc w:val="center"/>
              <w:rPr>
                <w:spacing w:val="-1"/>
              </w:rPr>
            </w:pPr>
            <w:r w:rsidRPr="00302194">
              <w:rPr>
                <w:spacing w:val="-1"/>
              </w:rPr>
              <w:t>289/22</w:t>
            </w:r>
          </w:p>
        </w:tc>
        <w:tc>
          <w:tcPr>
            <w:tcW w:w="1289" w:type="dxa"/>
            <w:vAlign w:val="center"/>
          </w:tcPr>
          <w:p w14:paraId="602FE92C" w14:textId="77777777" w:rsidR="0057201B" w:rsidRPr="00AE3A84" w:rsidRDefault="0057201B">
            <w:pPr>
              <w:pStyle w:val="BodyText"/>
              <w:rPr>
                <w:lang w:val="es-ES"/>
              </w:rPr>
            </w:pPr>
            <w:r w:rsidRPr="00AE3A84">
              <w:rPr>
                <w:spacing w:val="-1"/>
              </w:rPr>
              <w:t>9/28/2022</w:t>
            </w:r>
          </w:p>
        </w:tc>
        <w:tc>
          <w:tcPr>
            <w:tcW w:w="1329" w:type="dxa"/>
            <w:vAlign w:val="center"/>
          </w:tcPr>
          <w:p w14:paraId="291128A8" w14:textId="77777777" w:rsidR="0057201B" w:rsidRPr="00AE3A84" w:rsidRDefault="0057201B">
            <w:pPr>
              <w:pStyle w:val="BodyText"/>
              <w:rPr>
                <w:lang w:val="es-ES"/>
              </w:rPr>
            </w:pPr>
            <w:r w:rsidRPr="00AE3A84">
              <w:rPr>
                <w:spacing w:val="-1"/>
              </w:rPr>
              <w:t>445-14</w:t>
            </w:r>
          </w:p>
        </w:tc>
        <w:tc>
          <w:tcPr>
            <w:tcW w:w="1350" w:type="dxa"/>
            <w:vAlign w:val="center"/>
          </w:tcPr>
          <w:p w14:paraId="12518F8C" w14:textId="77777777" w:rsidR="0057201B" w:rsidRPr="00AE3A84" w:rsidRDefault="0057201B">
            <w:pPr>
              <w:pStyle w:val="BodyText"/>
              <w:rPr>
                <w:lang w:val="es-ES"/>
              </w:rPr>
            </w:pPr>
            <w:r w:rsidRPr="00AE3A84">
              <w:rPr>
                <w:spacing w:val="-1"/>
              </w:rPr>
              <w:t>15.123</w:t>
            </w:r>
          </w:p>
        </w:tc>
      </w:tr>
      <w:tr w:rsidR="0057201B" w:rsidRPr="00AE3A84" w14:paraId="1DE4637F" w14:textId="77777777">
        <w:tc>
          <w:tcPr>
            <w:tcW w:w="534" w:type="dxa"/>
            <w:vAlign w:val="center"/>
          </w:tcPr>
          <w:p w14:paraId="423315FB" w14:textId="77777777" w:rsidR="0057201B" w:rsidRPr="00AE3A84" w:rsidRDefault="0057201B" w:rsidP="00933F91">
            <w:pPr>
              <w:pStyle w:val="BodyText"/>
              <w:widowControl/>
              <w:numPr>
                <w:ilvl w:val="0"/>
                <w:numId w:val="57"/>
              </w:numPr>
              <w:rPr>
                <w:lang w:val="es-ES"/>
              </w:rPr>
            </w:pPr>
          </w:p>
        </w:tc>
        <w:tc>
          <w:tcPr>
            <w:tcW w:w="2953" w:type="dxa"/>
            <w:vAlign w:val="center"/>
          </w:tcPr>
          <w:p w14:paraId="3CDF0FC8" w14:textId="77777777" w:rsidR="0057201B" w:rsidRPr="00AE3A84" w:rsidRDefault="0057201B">
            <w:pPr>
              <w:pStyle w:val="BodyText"/>
              <w:rPr>
                <w:lang w:val="es-ES"/>
              </w:rPr>
            </w:pPr>
            <w:r w:rsidRPr="00AE3A84">
              <w:rPr>
                <w:spacing w:val="-1"/>
              </w:rPr>
              <w:t>Carla</w:t>
            </w:r>
            <w:r w:rsidRPr="00AE3A84">
              <w:rPr>
                <w:spacing w:val="-6"/>
              </w:rPr>
              <w:t xml:space="preserve"> </w:t>
            </w:r>
            <w:r w:rsidRPr="00AE3A84">
              <w:rPr>
                <w:spacing w:val="-1"/>
              </w:rPr>
              <w:t>Butcher</w:t>
            </w:r>
            <w:r w:rsidRPr="00AE3A84">
              <w:rPr>
                <w:spacing w:val="-4"/>
              </w:rPr>
              <w:t xml:space="preserve"> </w:t>
            </w:r>
            <w:r w:rsidRPr="00AE3A84">
              <w:t>et</w:t>
            </w:r>
            <w:r w:rsidRPr="00AE3A84">
              <w:rPr>
                <w:spacing w:val="-4"/>
              </w:rPr>
              <w:t xml:space="preserve"> </w:t>
            </w:r>
            <w:r w:rsidRPr="00AE3A84">
              <w:rPr>
                <w:spacing w:val="-1"/>
              </w:rPr>
              <w:t>al.</w:t>
            </w:r>
          </w:p>
        </w:tc>
        <w:tc>
          <w:tcPr>
            <w:tcW w:w="1119" w:type="dxa"/>
            <w:vAlign w:val="center"/>
          </w:tcPr>
          <w:p w14:paraId="546D3E14" w14:textId="77777777" w:rsidR="0057201B" w:rsidRPr="00AE3A84" w:rsidRDefault="0057201B">
            <w:pPr>
              <w:pStyle w:val="BodyText"/>
              <w:rPr>
                <w:lang w:val="es-ES"/>
              </w:rPr>
            </w:pPr>
            <w:r>
              <w:rPr>
                <w:spacing w:val="-1"/>
              </w:rPr>
              <w:t>United States</w:t>
            </w:r>
          </w:p>
        </w:tc>
        <w:tc>
          <w:tcPr>
            <w:tcW w:w="1141" w:type="dxa"/>
            <w:vAlign w:val="center"/>
          </w:tcPr>
          <w:p w14:paraId="7DF3579C" w14:textId="77777777" w:rsidR="0057201B" w:rsidRPr="00AE3A84" w:rsidRDefault="0057201B">
            <w:pPr>
              <w:pStyle w:val="BodyText"/>
              <w:jc w:val="center"/>
              <w:rPr>
                <w:spacing w:val="-1"/>
              </w:rPr>
            </w:pPr>
            <w:r w:rsidRPr="00302194">
              <w:rPr>
                <w:spacing w:val="-1"/>
              </w:rPr>
              <w:t>290/22</w:t>
            </w:r>
          </w:p>
        </w:tc>
        <w:tc>
          <w:tcPr>
            <w:tcW w:w="1289" w:type="dxa"/>
            <w:vAlign w:val="center"/>
          </w:tcPr>
          <w:p w14:paraId="7B74ED69" w14:textId="77777777" w:rsidR="0057201B" w:rsidRPr="00AE3A84" w:rsidRDefault="0057201B">
            <w:pPr>
              <w:pStyle w:val="BodyText"/>
              <w:rPr>
                <w:lang w:val="es-ES"/>
              </w:rPr>
            </w:pPr>
            <w:r w:rsidRPr="00AE3A84">
              <w:rPr>
                <w:spacing w:val="-1"/>
              </w:rPr>
              <w:t>11/1/2022</w:t>
            </w:r>
          </w:p>
        </w:tc>
        <w:tc>
          <w:tcPr>
            <w:tcW w:w="1329" w:type="dxa"/>
            <w:vAlign w:val="center"/>
          </w:tcPr>
          <w:p w14:paraId="4FC4CB28" w14:textId="77777777" w:rsidR="0057201B" w:rsidRPr="00AE3A84" w:rsidRDefault="0057201B">
            <w:pPr>
              <w:pStyle w:val="BodyText"/>
              <w:rPr>
                <w:lang w:val="es-ES"/>
              </w:rPr>
            </w:pPr>
            <w:r w:rsidRPr="00AE3A84">
              <w:rPr>
                <w:spacing w:val="-1"/>
              </w:rPr>
              <w:t>2340-15</w:t>
            </w:r>
          </w:p>
        </w:tc>
        <w:tc>
          <w:tcPr>
            <w:tcW w:w="1350" w:type="dxa"/>
            <w:vAlign w:val="center"/>
          </w:tcPr>
          <w:p w14:paraId="4BB29AAB" w14:textId="77777777" w:rsidR="0057201B" w:rsidRPr="00AE3A84" w:rsidRDefault="0057201B">
            <w:pPr>
              <w:pStyle w:val="BodyText"/>
              <w:rPr>
                <w:lang w:val="es-ES"/>
              </w:rPr>
            </w:pPr>
            <w:r w:rsidRPr="00AE3A84">
              <w:rPr>
                <w:spacing w:val="-1"/>
              </w:rPr>
              <w:t>15.124</w:t>
            </w:r>
          </w:p>
        </w:tc>
      </w:tr>
      <w:tr w:rsidR="0057201B" w:rsidRPr="00AE3A84" w14:paraId="0DE76B77" w14:textId="77777777">
        <w:tc>
          <w:tcPr>
            <w:tcW w:w="534" w:type="dxa"/>
            <w:vAlign w:val="center"/>
          </w:tcPr>
          <w:p w14:paraId="5DC9BCA7" w14:textId="77777777" w:rsidR="0057201B" w:rsidRPr="00AE3A84" w:rsidRDefault="0057201B" w:rsidP="00933F91">
            <w:pPr>
              <w:pStyle w:val="BodyText"/>
              <w:widowControl/>
              <w:numPr>
                <w:ilvl w:val="0"/>
                <w:numId w:val="57"/>
              </w:numPr>
              <w:rPr>
                <w:lang w:val="es-ES"/>
              </w:rPr>
            </w:pPr>
          </w:p>
        </w:tc>
        <w:tc>
          <w:tcPr>
            <w:tcW w:w="2953" w:type="dxa"/>
            <w:vAlign w:val="center"/>
          </w:tcPr>
          <w:p w14:paraId="1F573161" w14:textId="77777777" w:rsidR="0057201B" w:rsidRPr="00D14C85" w:rsidRDefault="0057201B">
            <w:pPr>
              <w:pStyle w:val="BodyText"/>
              <w:rPr>
                <w:lang w:val="es-CO"/>
              </w:rPr>
            </w:pPr>
            <w:r w:rsidRPr="00AE3A84">
              <w:rPr>
                <w:spacing w:val="-1"/>
                <w:lang w:val="es-AR"/>
              </w:rPr>
              <w:t>Francisco</w:t>
            </w:r>
            <w:r w:rsidRPr="00AE3A84">
              <w:rPr>
                <w:spacing w:val="-7"/>
                <w:lang w:val="es-AR"/>
              </w:rPr>
              <w:t xml:space="preserve"> </w:t>
            </w:r>
            <w:r w:rsidRPr="00AE3A84">
              <w:rPr>
                <w:spacing w:val="-1"/>
                <w:lang w:val="es-AR"/>
              </w:rPr>
              <w:t>Javier</w:t>
            </w:r>
            <w:r w:rsidRPr="00AE3A84">
              <w:rPr>
                <w:spacing w:val="-5"/>
                <w:lang w:val="es-AR"/>
              </w:rPr>
              <w:t xml:space="preserve"> </w:t>
            </w:r>
            <w:r w:rsidRPr="00AE3A84">
              <w:rPr>
                <w:spacing w:val="-1"/>
                <w:lang w:val="es-AR"/>
              </w:rPr>
              <w:t>Pastrana</w:t>
            </w:r>
            <w:r w:rsidRPr="00AE3A84">
              <w:rPr>
                <w:spacing w:val="-6"/>
                <w:lang w:val="es-AR"/>
              </w:rPr>
              <w:t xml:space="preserve"> </w:t>
            </w:r>
            <w:r w:rsidRPr="00AE3A84">
              <w:rPr>
                <w:spacing w:val="-1"/>
                <w:lang w:val="es-AR"/>
              </w:rPr>
              <w:t>Beltrán</w:t>
            </w:r>
            <w:r w:rsidRPr="00AE3A84">
              <w:rPr>
                <w:spacing w:val="-5"/>
                <w:lang w:val="es-AR"/>
              </w:rPr>
              <w:t xml:space="preserve"> </w:t>
            </w:r>
            <w:r w:rsidRPr="00D14C85">
              <w:rPr>
                <w:lang w:val="es-CO"/>
              </w:rPr>
              <w:t>et</w:t>
            </w:r>
            <w:r w:rsidRPr="00D14C85">
              <w:rPr>
                <w:spacing w:val="-4"/>
                <w:lang w:val="es-CO"/>
              </w:rPr>
              <w:t xml:space="preserve"> </w:t>
            </w:r>
            <w:r w:rsidRPr="00D14C85">
              <w:rPr>
                <w:spacing w:val="-1"/>
                <w:lang w:val="es-CO"/>
              </w:rPr>
              <w:t>al.</w:t>
            </w:r>
          </w:p>
        </w:tc>
        <w:tc>
          <w:tcPr>
            <w:tcW w:w="1119" w:type="dxa"/>
            <w:vAlign w:val="center"/>
          </w:tcPr>
          <w:p w14:paraId="6F0E207D" w14:textId="77777777" w:rsidR="0057201B" w:rsidRPr="00AE3A84" w:rsidRDefault="0057201B">
            <w:pPr>
              <w:pStyle w:val="BodyText"/>
              <w:rPr>
                <w:lang w:val="es-ES"/>
              </w:rPr>
            </w:pPr>
            <w:r w:rsidRPr="00AE3A84">
              <w:rPr>
                <w:spacing w:val="-1"/>
              </w:rPr>
              <w:t>Colombia</w:t>
            </w:r>
          </w:p>
        </w:tc>
        <w:tc>
          <w:tcPr>
            <w:tcW w:w="1141" w:type="dxa"/>
            <w:vAlign w:val="center"/>
          </w:tcPr>
          <w:p w14:paraId="0C015BD7" w14:textId="77777777" w:rsidR="0057201B" w:rsidRPr="00AE3A84" w:rsidRDefault="0057201B">
            <w:pPr>
              <w:pStyle w:val="BodyText"/>
              <w:jc w:val="center"/>
              <w:rPr>
                <w:spacing w:val="-1"/>
              </w:rPr>
            </w:pPr>
            <w:r w:rsidRPr="00302194">
              <w:rPr>
                <w:spacing w:val="-1"/>
              </w:rPr>
              <w:t>292/22</w:t>
            </w:r>
          </w:p>
        </w:tc>
        <w:tc>
          <w:tcPr>
            <w:tcW w:w="1289" w:type="dxa"/>
            <w:vAlign w:val="center"/>
          </w:tcPr>
          <w:p w14:paraId="2B2D0778" w14:textId="77777777" w:rsidR="0057201B" w:rsidRPr="00AE3A84" w:rsidRDefault="0057201B">
            <w:pPr>
              <w:pStyle w:val="BodyText"/>
              <w:rPr>
                <w:lang w:val="es-ES"/>
              </w:rPr>
            </w:pPr>
            <w:r w:rsidRPr="00AE3A84">
              <w:rPr>
                <w:spacing w:val="-1"/>
              </w:rPr>
              <w:t>10/19/2022</w:t>
            </w:r>
          </w:p>
        </w:tc>
        <w:tc>
          <w:tcPr>
            <w:tcW w:w="1329" w:type="dxa"/>
            <w:vAlign w:val="center"/>
          </w:tcPr>
          <w:p w14:paraId="7984618E" w14:textId="77777777" w:rsidR="0057201B" w:rsidRPr="00AE3A84" w:rsidRDefault="0057201B">
            <w:pPr>
              <w:pStyle w:val="BodyText"/>
              <w:rPr>
                <w:lang w:val="es-ES"/>
              </w:rPr>
            </w:pPr>
            <w:r w:rsidRPr="00AE3A84">
              <w:rPr>
                <w:spacing w:val="-1"/>
              </w:rPr>
              <w:t>866-08</w:t>
            </w:r>
          </w:p>
        </w:tc>
        <w:tc>
          <w:tcPr>
            <w:tcW w:w="1350" w:type="dxa"/>
            <w:vAlign w:val="center"/>
          </w:tcPr>
          <w:p w14:paraId="669F720E" w14:textId="77777777" w:rsidR="0057201B" w:rsidRPr="00AE3A84" w:rsidRDefault="0057201B">
            <w:pPr>
              <w:pStyle w:val="BodyText"/>
              <w:rPr>
                <w:lang w:val="es-ES"/>
              </w:rPr>
            </w:pPr>
            <w:r w:rsidRPr="00AE3A84">
              <w:rPr>
                <w:spacing w:val="-1"/>
              </w:rPr>
              <w:t>15.125</w:t>
            </w:r>
          </w:p>
        </w:tc>
      </w:tr>
      <w:tr w:rsidR="0057201B" w:rsidRPr="00AE3A84" w14:paraId="4DA19889" w14:textId="77777777">
        <w:tc>
          <w:tcPr>
            <w:tcW w:w="534" w:type="dxa"/>
            <w:vAlign w:val="center"/>
          </w:tcPr>
          <w:p w14:paraId="021268AF" w14:textId="77777777" w:rsidR="0057201B" w:rsidRPr="00AE3A84" w:rsidRDefault="0057201B" w:rsidP="00933F91">
            <w:pPr>
              <w:pStyle w:val="BodyText"/>
              <w:widowControl/>
              <w:numPr>
                <w:ilvl w:val="0"/>
                <w:numId w:val="57"/>
              </w:numPr>
              <w:rPr>
                <w:lang w:val="es-ES"/>
              </w:rPr>
            </w:pPr>
          </w:p>
        </w:tc>
        <w:tc>
          <w:tcPr>
            <w:tcW w:w="2953" w:type="dxa"/>
            <w:vAlign w:val="center"/>
          </w:tcPr>
          <w:p w14:paraId="1746BABF" w14:textId="77777777" w:rsidR="0057201B" w:rsidRPr="00D14C85" w:rsidRDefault="0057201B">
            <w:pPr>
              <w:pStyle w:val="BodyText"/>
              <w:rPr>
                <w:lang w:val="es-CO"/>
              </w:rPr>
            </w:pPr>
            <w:r w:rsidRPr="00AE3A84">
              <w:rPr>
                <w:spacing w:val="-1"/>
                <w:lang w:val="es-AR"/>
              </w:rPr>
              <w:t>Pedro</w:t>
            </w:r>
            <w:r w:rsidRPr="00AE3A84">
              <w:rPr>
                <w:spacing w:val="-6"/>
                <w:lang w:val="es-AR"/>
              </w:rPr>
              <w:t xml:space="preserve"> </w:t>
            </w:r>
            <w:r w:rsidRPr="00AE3A84">
              <w:rPr>
                <w:spacing w:val="-1"/>
                <w:lang w:val="es-AR"/>
              </w:rPr>
              <w:t>Sánchez</w:t>
            </w:r>
            <w:r w:rsidRPr="00AE3A84">
              <w:rPr>
                <w:spacing w:val="-5"/>
                <w:lang w:val="es-AR"/>
              </w:rPr>
              <w:t xml:space="preserve"> </w:t>
            </w:r>
            <w:r w:rsidRPr="00AE3A84">
              <w:rPr>
                <w:spacing w:val="-1"/>
                <w:lang w:val="es-AR"/>
              </w:rPr>
              <w:t>Jacinto</w:t>
            </w:r>
            <w:r w:rsidRPr="00AE3A84">
              <w:rPr>
                <w:spacing w:val="-6"/>
                <w:lang w:val="es-AR"/>
              </w:rPr>
              <w:t xml:space="preserve"> </w:t>
            </w:r>
            <w:r w:rsidRPr="00D14C85">
              <w:rPr>
                <w:lang w:val="es-CO"/>
              </w:rPr>
              <w:t>et</w:t>
            </w:r>
            <w:r w:rsidRPr="00D14C85">
              <w:rPr>
                <w:spacing w:val="-4"/>
                <w:lang w:val="es-CO"/>
              </w:rPr>
              <w:t xml:space="preserve"> </w:t>
            </w:r>
            <w:r w:rsidRPr="00D14C85">
              <w:rPr>
                <w:spacing w:val="-1"/>
                <w:lang w:val="es-CO"/>
              </w:rPr>
              <w:t>al.</w:t>
            </w:r>
          </w:p>
        </w:tc>
        <w:tc>
          <w:tcPr>
            <w:tcW w:w="1119" w:type="dxa"/>
            <w:vAlign w:val="center"/>
          </w:tcPr>
          <w:p w14:paraId="0F76FB92" w14:textId="77777777" w:rsidR="0057201B" w:rsidRPr="00AE3A84" w:rsidRDefault="0057201B">
            <w:pPr>
              <w:pStyle w:val="BodyText"/>
              <w:rPr>
                <w:lang w:val="es-ES"/>
              </w:rPr>
            </w:pPr>
            <w:r w:rsidRPr="00AE3A84">
              <w:rPr>
                <w:spacing w:val="-1"/>
              </w:rPr>
              <w:t>El</w:t>
            </w:r>
            <w:r w:rsidRPr="00AE3A84">
              <w:rPr>
                <w:spacing w:val="-6"/>
              </w:rPr>
              <w:t xml:space="preserve"> </w:t>
            </w:r>
            <w:r w:rsidRPr="00AE3A84">
              <w:rPr>
                <w:spacing w:val="-1"/>
              </w:rPr>
              <w:t>Salvador</w:t>
            </w:r>
          </w:p>
        </w:tc>
        <w:tc>
          <w:tcPr>
            <w:tcW w:w="1141" w:type="dxa"/>
            <w:vAlign w:val="center"/>
          </w:tcPr>
          <w:p w14:paraId="629DD3C6" w14:textId="77777777" w:rsidR="0057201B" w:rsidRPr="00AE3A84" w:rsidRDefault="0057201B">
            <w:pPr>
              <w:pStyle w:val="BodyText"/>
              <w:jc w:val="center"/>
              <w:rPr>
                <w:spacing w:val="-1"/>
              </w:rPr>
            </w:pPr>
            <w:r w:rsidRPr="00302194">
              <w:rPr>
                <w:spacing w:val="-1"/>
              </w:rPr>
              <w:t>293/22</w:t>
            </w:r>
          </w:p>
        </w:tc>
        <w:tc>
          <w:tcPr>
            <w:tcW w:w="1289" w:type="dxa"/>
            <w:vAlign w:val="center"/>
          </w:tcPr>
          <w:p w14:paraId="5BD2348F" w14:textId="77777777" w:rsidR="0057201B" w:rsidRPr="00AE3A84" w:rsidRDefault="0057201B">
            <w:pPr>
              <w:pStyle w:val="BodyText"/>
              <w:rPr>
                <w:lang w:val="es-ES"/>
              </w:rPr>
            </w:pPr>
            <w:r w:rsidRPr="00AE3A84">
              <w:rPr>
                <w:spacing w:val="-1"/>
              </w:rPr>
              <w:t>10/19/2022</w:t>
            </w:r>
          </w:p>
        </w:tc>
        <w:tc>
          <w:tcPr>
            <w:tcW w:w="1329" w:type="dxa"/>
            <w:vAlign w:val="center"/>
          </w:tcPr>
          <w:p w14:paraId="2A3745CA" w14:textId="77777777" w:rsidR="0057201B" w:rsidRPr="00AE3A84" w:rsidRDefault="0057201B">
            <w:pPr>
              <w:pStyle w:val="BodyText"/>
              <w:rPr>
                <w:lang w:val="es-ES"/>
              </w:rPr>
            </w:pPr>
            <w:r w:rsidRPr="00AE3A84">
              <w:rPr>
                <w:spacing w:val="-1"/>
              </w:rPr>
              <w:t>1202-14</w:t>
            </w:r>
          </w:p>
        </w:tc>
        <w:tc>
          <w:tcPr>
            <w:tcW w:w="1350" w:type="dxa"/>
            <w:vAlign w:val="center"/>
          </w:tcPr>
          <w:p w14:paraId="257D292E" w14:textId="77777777" w:rsidR="0057201B" w:rsidRPr="00AE3A84" w:rsidRDefault="0057201B">
            <w:pPr>
              <w:pStyle w:val="BodyText"/>
              <w:rPr>
                <w:lang w:val="es-ES"/>
              </w:rPr>
            </w:pPr>
            <w:r w:rsidRPr="00AE3A84">
              <w:rPr>
                <w:spacing w:val="-1"/>
              </w:rPr>
              <w:t>15.126</w:t>
            </w:r>
          </w:p>
        </w:tc>
      </w:tr>
      <w:tr w:rsidR="0057201B" w:rsidRPr="00AE3A84" w14:paraId="145EA3D2" w14:textId="77777777">
        <w:tc>
          <w:tcPr>
            <w:tcW w:w="534" w:type="dxa"/>
            <w:vAlign w:val="center"/>
          </w:tcPr>
          <w:p w14:paraId="4B659CE8" w14:textId="77777777" w:rsidR="0057201B" w:rsidRPr="00AE3A84" w:rsidRDefault="0057201B" w:rsidP="00933F91">
            <w:pPr>
              <w:pStyle w:val="BodyText"/>
              <w:widowControl/>
              <w:numPr>
                <w:ilvl w:val="0"/>
                <w:numId w:val="57"/>
              </w:numPr>
              <w:rPr>
                <w:lang w:val="es-ES"/>
              </w:rPr>
            </w:pPr>
          </w:p>
        </w:tc>
        <w:tc>
          <w:tcPr>
            <w:tcW w:w="2953" w:type="dxa"/>
            <w:vAlign w:val="center"/>
          </w:tcPr>
          <w:p w14:paraId="144141A8" w14:textId="77777777" w:rsidR="0057201B" w:rsidRPr="00AE3A84" w:rsidRDefault="0057201B">
            <w:pPr>
              <w:pStyle w:val="BodyText"/>
              <w:rPr>
                <w:lang w:val="es-ES"/>
              </w:rPr>
            </w:pPr>
            <w:r w:rsidRPr="00AE3A84">
              <w:rPr>
                <w:spacing w:val="-1"/>
              </w:rPr>
              <w:t>Rosa</w:t>
            </w:r>
            <w:r w:rsidRPr="00AE3A84">
              <w:rPr>
                <w:spacing w:val="-7"/>
              </w:rPr>
              <w:t xml:space="preserve"> </w:t>
            </w:r>
            <w:r w:rsidRPr="00AE3A84">
              <w:rPr>
                <w:spacing w:val="-1"/>
              </w:rPr>
              <w:t>Inés</w:t>
            </w:r>
            <w:r w:rsidRPr="00AE3A84">
              <w:rPr>
                <w:spacing w:val="-7"/>
              </w:rPr>
              <w:t xml:space="preserve"> </w:t>
            </w:r>
            <w:r w:rsidRPr="00AE3A84">
              <w:rPr>
                <w:spacing w:val="-1"/>
              </w:rPr>
              <w:t>Carrasco</w:t>
            </w:r>
            <w:r w:rsidRPr="00AE3A84">
              <w:rPr>
                <w:spacing w:val="-7"/>
              </w:rPr>
              <w:t xml:space="preserve"> </w:t>
            </w:r>
            <w:r w:rsidRPr="00AE3A84">
              <w:rPr>
                <w:spacing w:val="-1"/>
              </w:rPr>
              <w:t>Gallegos</w:t>
            </w:r>
          </w:p>
        </w:tc>
        <w:tc>
          <w:tcPr>
            <w:tcW w:w="1119" w:type="dxa"/>
            <w:vAlign w:val="center"/>
          </w:tcPr>
          <w:p w14:paraId="2680878D" w14:textId="77777777" w:rsidR="0057201B" w:rsidRPr="00AE3A84" w:rsidRDefault="0057201B">
            <w:pPr>
              <w:pStyle w:val="BodyText"/>
              <w:rPr>
                <w:lang w:val="es-ES"/>
              </w:rPr>
            </w:pPr>
            <w:r w:rsidRPr="00AE3A84">
              <w:rPr>
                <w:spacing w:val="-1"/>
              </w:rPr>
              <w:t>Ecuador</w:t>
            </w:r>
          </w:p>
        </w:tc>
        <w:tc>
          <w:tcPr>
            <w:tcW w:w="1141" w:type="dxa"/>
            <w:vAlign w:val="center"/>
          </w:tcPr>
          <w:p w14:paraId="2BDCE492" w14:textId="77777777" w:rsidR="0057201B" w:rsidRPr="00AE3A84" w:rsidRDefault="0057201B">
            <w:pPr>
              <w:pStyle w:val="BodyText"/>
              <w:jc w:val="center"/>
              <w:rPr>
                <w:spacing w:val="-1"/>
              </w:rPr>
            </w:pPr>
            <w:r w:rsidRPr="00302194">
              <w:rPr>
                <w:spacing w:val="-1"/>
              </w:rPr>
              <w:t>295/22</w:t>
            </w:r>
          </w:p>
        </w:tc>
        <w:tc>
          <w:tcPr>
            <w:tcW w:w="1289" w:type="dxa"/>
            <w:vAlign w:val="center"/>
          </w:tcPr>
          <w:p w14:paraId="54397F4B" w14:textId="77777777" w:rsidR="0057201B" w:rsidRPr="00AE3A84" w:rsidRDefault="0057201B">
            <w:pPr>
              <w:pStyle w:val="BodyText"/>
              <w:rPr>
                <w:lang w:val="es-ES"/>
              </w:rPr>
            </w:pPr>
            <w:r w:rsidRPr="00AE3A84">
              <w:rPr>
                <w:spacing w:val="-1"/>
              </w:rPr>
              <w:t>10/19/2022</w:t>
            </w:r>
          </w:p>
        </w:tc>
        <w:tc>
          <w:tcPr>
            <w:tcW w:w="1329" w:type="dxa"/>
            <w:vAlign w:val="center"/>
          </w:tcPr>
          <w:p w14:paraId="3CD53A4F" w14:textId="77777777" w:rsidR="0057201B" w:rsidRPr="00AE3A84" w:rsidRDefault="0057201B">
            <w:pPr>
              <w:pStyle w:val="BodyText"/>
              <w:rPr>
                <w:lang w:val="es-ES"/>
              </w:rPr>
            </w:pPr>
            <w:r w:rsidRPr="00AE3A84">
              <w:rPr>
                <w:spacing w:val="-1"/>
              </w:rPr>
              <w:t>739-14</w:t>
            </w:r>
          </w:p>
        </w:tc>
        <w:tc>
          <w:tcPr>
            <w:tcW w:w="1350" w:type="dxa"/>
            <w:vAlign w:val="center"/>
          </w:tcPr>
          <w:p w14:paraId="5B2ACF46" w14:textId="77777777" w:rsidR="0057201B" w:rsidRPr="00AE3A84" w:rsidRDefault="0057201B">
            <w:pPr>
              <w:pStyle w:val="BodyText"/>
              <w:rPr>
                <w:lang w:val="es-ES"/>
              </w:rPr>
            </w:pPr>
            <w:r w:rsidRPr="00AE3A84">
              <w:rPr>
                <w:spacing w:val="-1"/>
              </w:rPr>
              <w:t>15.127</w:t>
            </w:r>
          </w:p>
        </w:tc>
      </w:tr>
      <w:tr w:rsidR="0057201B" w:rsidRPr="00AE3A84" w14:paraId="6657832C" w14:textId="77777777">
        <w:tc>
          <w:tcPr>
            <w:tcW w:w="534" w:type="dxa"/>
            <w:vAlign w:val="center"/>
          </w:tcPr>
          <w:p w14:paraId="0DBF7EA4" w14:textId="77777777" w:rsidR="0057201B" w:rsidRPr="00AE3A84" w:rsidRDefault="0057201B" w:rsidP="00933F91">
            <w:pPr>
              <w:pStyle w:val="BodyText"/>
              <w:widowControl/>
              <w:numPr>
                <w:ilvl w:val="0"/>
                <w:numId w:val="57"/>
              </w:numPr>
              <w:rPr>
                <w:lang w:val="es-ES"/>
              </w:rPr>
            </w:pPr>
          </w:p>
        </w:tc>
        <w:tc>
          <w:tcPr>
            <w:tcW w:w="2953" w:type="dxa"/>
            <w:vAlign w:val="center"/>
          </w:tcPr>
          <w:p w14:paraId="066A1AC5" w14:textId="77777777" w:rsidR="0057201B" w:rsidRPr="00D14C85" w:rsidRDefault="0057201B">
            <w:pPr>
              <w:pStyle w:val="BodyText"/>
              <w:rPr>
                <w:lang w:val="es-CO"/>
              </w:rPr>
            </w:pPr>
            <w:r w:rsidRPr="00AE3A84">
              <w:rPr>
                <w:spacing w:val="-1"/>
                <w:lang w:val="es-AR"/>
              </w:rPr>
              <w:t>Marlene</w:t>
            </w:r>
            <w:r w:rsidRPr="00AE3A84">
              <w:rPr>
                <w:spacing w:val="-4"/>
                <w:lang w:val="es-AR"/>
              </w:rPr>
              <w:t xml:space="preserve"> </w:t>
            </w:r>
            <w:r w:rsidRPr="00AE3A84">
              <w:rPr>
                <w:spacing w:val="-1"/>
                <w:lang w:val="es-AR"/>
              </w:rPr>
              <w:t>Zapata</w:t>
            </w:r>
            <w:r w:rsidRPr="00AE3A84">
              <w:rPr>
                <w:spacing w:val="-6"/>
                <w:lang w:val="es-AR"/>
              </w:rPr>
              <w:t xml:space="preserve"> </w:t>
            </w:r>
            <w:r w:rsidRPr="00AE3A84">
              <w:rPr>
                <w:spacing w:val="-1"/>
                <w:lang w:val="es-AR"/>
              </w:rPr>
              <w:t>Borja</w:t>
            </w:r>
            <w:r w:rsidRPr="00AE3A84">
              <w:rPr>
                <w:spacing w:val="-6"/>
                <w:lang w:val="es-AR"/>
              </w:rPr>
              <w:t xml:space="preserve"> </w:t>
            </w:r>
            <w:r w:rsidRPr="00D14C85">
              <w:rPr>
                <w:lang w:val="es-CO"/>
              </w:rPr>
              <w:t>et</w:t>
            </w:r>
            <w:r w:rsidRPr="00D14C85">
              <w:rPr>
                <w:spacing w:val="-4"/>
                <w:lang w:val="es-CO"/>
              </w:rPr>
              <w:t xml:space="preserve"> </w:t>
            </w:r>
            <w:r w:rsidRPr="00D14C85">
              <w:rPr>
                <w:spacing w:val="-1"/>
                <w:lang w:val="es-CO"/>
              </w:rPr>
              <w:t>al.</w:t>
            </w:r>
          </w:p>
        </w:tc>
        <w:tc>
          <w:tcPr>
            <w:tcW w:w="1119" w:type="dxa"/>
            <w:vAlign w:val="center"/>
          </w:tcPr>
          <w:p w14:paraId="2F91AC18" w14:textId="77777777" w:rsidR="0057201B" w:rsidRPr="00AE3A84" w:rsidRDefault="0057201B">
            <w:pPr>
              <w:pStyle w:val="BodyText"/>
              <w:rPr>
                <w:lang w:val="es-ES"/>
              </w:rPr>
            </w:pPr>
            <w:r w:rsidRPr="00AE3A84">
              <w:rPr>
                <w:spacing w:val="-1"/>
              </w:rPr>
              <w:t>Colombia</w:t>
            </w:r>
          </w:p>
        </w:tc>
        <w:tc>
          <w:tcPr>
            <w:tcW w:w="1141" w:type="dxa"/>
            <w:vAlign w:val="center"/>
          </w:tcPr>
          <w:p w14:paraId="0283D4DD" w14:textId="77777777" w:rsidR="0057201B" w:rsidRPr="00AE3A84" w:rsidRDefault="0057201B">
            <w:pPr>
              <w:pStyle w:val="BodyText"/>
              <w:jc w:val="center"/>
              <w:rPr>
                <w:spacing w:val="-1"/>
              </w:rPr>
            </w:pPr>
            <w:r w:rsidRPr="00302194">
              <w:rPr>
                <w:spacing w:val="-1"/>
              </w:rPr>
              <w:t>296/22</w:t>
            </w:r>
          </w:p>
        </w:tc>
        <w:tc>
          <w:tcPr>
            <w:tcW w:w="1289" w:type="dxa"/>
            <w:vAlign w:val="center"/>
          </w:tcPr>
          <w:p w14:paraId="1689C1FC" w14:textId="77777777" w:rsidR="0057201B" w:rsidRPr="00AE3A84" w:rsidRDefault="0057201B">
            <w:pPr>
              <w:pStyle w:val="BodyText"/>
              <w:rPr>
                <w:lang w:val="es-ES"/>
              </w:rPr>
            </w:pPr>
            <w:r w:rsidRPr="00AE3A84">
              <w:rPr>
                <w:spacing w:val="-1"/>
              </w:rPr>
              <w:t>10/19/2022</w:t>
            </w:r>
          </w:p>
        </w:tc>
        <w:tc>
          <w:tcPr>
            <w:tcW w:w="1329" w:type="dxa"/>
            <w:vAlign w:val="center"/>
          </w:tcPr>
          <w:p w14:paraId="3DE38DA8" w14:textId="77777777" w:rsidR="0057201B" w:rsidRPr="00AE3A84" w:rsidRDefault="0057201B">
            <w:pPr>
              <w:pStyle w:val="BodyText"/>
              <w:rPr>
                <w:lang w:val="es-ES"/>
              </w:rPr>
            </w:pPr>
            <w:r w:rsidRPr="00AE3A84">
              <w:rPr>
                <w:spacing w:val="-1"/>
              </w:rPr>
              <w:t>1519-13</w:t>
            </w:r>
          </w:p>
        </w:tc>
        <w:tc>
          <w:tcPr>
            <w:tcW w:w="1350" w:type="dxa"/>
            <w:vAlign w:val="center"/>
          </w:tcPr>
          <w:p w14:paraId="5DBE3DD9" w14:textId="77777777" w:rsidR="0057201B" w:rsidRPr="00AE3A84" w:rsidRDefault="0057201B">
            <w:pPr>
              <w:pStyle w:val="BodyText"/>
              <w:rPr>
                <w:lang w:val="es-ES"/>
              </w:rPr>
            </w:pPr>
            <w:r w:rsidRPr="00AE3A84">
              <w:rPr>
                <w:spacing w:val="-1"/>
              </w:rPr>
              <w:t>15.128</w:t>
            </w:r>
          </w:p>
        </w:tc>
      </w:tr>
      <w:tr w:rsidR="0057201B" w:rsidRPr="00AE3A84" w14:paraId="6E965BB9" w14:textId="77777777">
        <w:tc>
          <w:tcPr>
            <w:tcW w:w="534" w:type="dxa"/>
            <w:vAlign w:val="center"/>
          </w:tcPr>
          <w:p w14:paraId="46502AEA" w14:textId="77777777" w:rsidR="0057201B" w:rsidRPr="00AE3A84" w:rsidRDefault="0057201B" w:rsidP="00933F91">
            <w:pPr>
              <w:pStyle w:val="BodyText"/>
              <w:widowControl/>
              <w:numPr>
                <w:ilvl w:val="0"/>
                <w:numId w:val="57"/>
              </w:numPr>
              <w:rPr>
                <w:lang w:val="es-ES"/>
              </w:rPr>
            </w:pPr>
          </w:p>
        </w:tc>
        <w:tc>
          <w:tcPr>
            <w:tcW w:w="2953" w:type="dxa"/>
            <w:vAlign w:val="center"/>
          </w:tcPr>
          <w:p w14:paraId="0C8B3D7C" w14:textId="77777777" w:rsidR="0057201B" w:rsidRPr="00D14C85" w:rsidRDefault="0057201B">
            <w:pPr>
              <w:pStyle w:val="BodyText"/>
              <w:rPr>
                <w:lang w:val="es-CO"/>
              </w:rPr>
            </w:pPr>
            <w:r w:rsidRPr="00AE3A84">
              <w:rPr>
                <w:spacing w:val="-1"/>
                <w:lang w:val="es-AR"/>
              </w:rPr>
              <w:t>Edwin</w:t>
            </w:r>
            <w:r w:rsidRPr="00AE3A84">
              <w:rPr>
                <w:spacing w:val="-5"/>
                <w:lang w:val="es-AR"/>
              </w:rPr>
              <w:t xml:space="preserve"> </w:t>
            </w:r>
            <w:r w:rsidRPr="00AE3A84">
              <w:rPr>
                <w:spacing w:val="-1"/>
                <w:lang w:val="es-AR"/>
              </w:rPr>
              <w:t>Alexis</w:t>
            </w:r>
            <w:r w:rsidRPr="00AE3A84">
              <w:rPr>
                <w:spacing w:val="-5"/>
                <w:lang w:val="es-AR"/>
              </w:rPr>
              <w:t xml:space="preserve"> </w:t>
            </w:r>
            <w:r w:rsidRPr="00AE3A84">
              <w:rPr>
                <w:spacing w:val="-1"/>
                <w:lang w:val="es-AR"/>
              </w:rPr>
              <w:t>Rojas</w:t>
            </w:r>
            <w:r w:rsidRPr="00AE3A84">
              <w:rPr>
                <w:spacing w:val="-5"/>
                <w:lang w:val="es-AR"/>
              </w:rPr>
              <w:t xml:space="preserve"> </w:t>
            </w:r>
            <w:r w:rsidRPr="00AE3A84">
              <w:rPr>
                <w:spacing w:val="-1"/>
                <w:lang w:val="es-AR"/>
              </w:rPr>
              <w:t>Llanos</w:t>
            </w:r>
            <w:r w:rsidRPr="00D14C85">
              <w:rPr>
                <w:lang w:val="es-CO"/>
              </w:rPr>
              <w:t xml:space="preserve"> et</w:t>
            </w:r>
            <w:r w:rsidRPr="00D14C85">
              <w:rPr>
                <w:spacing w:val="-4"/>
                <w:lang w:val="es-CO"/>
              </w:rPr>
              <w:t xml:space="preserve"> </w:t>
            </w:r>
            <w:r w:rsidRPr="00D14C85">
              <w:rPr>
                <w:spacing w:val="-1"/>
                <w:lang w:val="es-CO"/>
              </w:rPr>
              <w:t>al.</w:t>
            </w:r>
          </w:p>
        </w:tc>
        <w:tc>
          <w:tcPr>
            <w:tcW w:w="1119" w:type="dxa"/>
            <w:vAlign w:val="center"/>
          </w:tcPr>
          <w:p w14:paraId="54C275CB" w14:textId="77777777" w:rsidR="0057201B" w:rsidRPr="00AE3A84" w:rsidRDefault="0057201B">
            <w:pPr>
              <w:pStyle w:val="BodyText"/>
              <w:rPr>
                <w:lang w:val="es-ES"/>
              </w:rPr>
            </w:pPr>
            <w:r w:rsidRPr="00AE3A84">
              <w:rPr>
                <w:spacing w:val="-1"/>
              </w:rPr>
              <w:t>Colombia</w:t>
            </w:r>
          </w:p>
        </w:tc>
        <w:tc>
          <w:tcPr>
            <w:tcW w:w="1141" w:type="dxa"/>
            <w:vAlign w:val="center"/>
          </w:tcPr>
          <w:p w14:paraId="432DCBFB" w14:textId="77777777" w:rsidR="0057201B" w:rsidRPr="00AE3A84" w:rsidRDefault="0057201B">
            <w:pPr>
              <w:pStyle w:val="BodyText"/>
              <w:jc w:val="center"/>
              <w:rPr>
                <w:spacing w:val="-1"/>
              </w:rPr>
            </w:pPr>
            <w:r w:rsidRPr="00302194">
              <w:rPr>
                <w:spacing w:val="-1"/>
              </w:rPr>
              <w:t>298/22</w:t>
            </w:r>
          </w:p>
        </w:tc>
        <w:tc>
          <w:tcPr>
            <w:tcW w:w="1289" w:type="dxa"/>
            <w:vAlign w:val="center"/>
          </w:tcPr>
          <w:p w14:paraId="4EF730DA" w14:textId="77777777" w:rsidR="0057201B" w:rsidRPr="00AE3A84" w:rsidRDefault="0057201B">
            <w:pPr>
              <w:pStyle w:val="BodyText"/>
              <w:rPr>
                <w:lang w:val="es-ES"/>
              </w:rPr>
            </w:pPr>
            <w:r w:rsidRPr="00AE3A84">
              <w:rPr>
                <w:spacing w:val="-1"/>
              </w:rPr>
              <w:t>10/21/2022</w:t>
            </w:r>
          </w:p>
        </w:tc>
        <w:tc>
          <w:tcPr>
            <w:tcW w:w="1329" w:type="dxa"/>
            <w:vAlign w:val="center"/>
          </w:tcPr>
          <w:p w14:paraId="7C19FEC6" w14:textId="77777777" w:rsidR="0057201B" w:rsidRPr="00AE3A84" w:rsidRDefault="0057201B">
            <w:pPr>
              <w:pStyle w:val="BodyText"/>
              <w:rPr>
                <w:lang w:val="es-ES"/>
              </w:rPr>
            </w:pPr>
            <w:r w:rsidRPr="00AE3A84">
              <w:rPr>
                <w:spacing w:val="-1"/>
              </w:rPr>
              <w:t>437-13</w:t>
            </w:r>
          </w:p>
        </w:tc>
        <w:tc>
          <w:tcPr>
            <w:tcW w:w="1350" w:type="dxa"/>
            <w:vAlign w:val="center"/>
          </w:tcPr>
          <w:p w14:paraId="0C4FDB22" w14:textId="77777777" w:rsidR="0057201B" w:rsidRPr="00AE3A84" w:rsidRDefault="0057201B">
            <w:pPr>
              <w:pStyle w:val="BodyText"/>
              <w:rPr>
                <w:lang w:val="es-ES"/>
              </w:rPr>
            </w:pPr>
            <w:r w:rsidRPr="00AE3A84">
              <w:rPr>
                <w:spacing w:val="-1"/>
              </w:rPr>
              <w:t>15.129</w:t>
            </w:r>
          </w:p>
        </w:tc>
      </w:tr>
      <w:tr w:rsidR="0057201B" w:rsidRPr="00AE3A84" w14:paraId="317509A3" w14:textId="77777777">
        <w:tc>
          <w:tcPr>
            <w:tcW w:w="534" w:type="dxa"/>
            <w:vAlign w:val="center"/>
          </w:tcPr>
          <w:p w14:paraId="1949C723" w14:textId="77777777" w:rsidR="0057201B" w:rsidRPr="00AE3A84" w:rsidRDefault="0057201B" w:rsidP="00933F91">
            <w:pPr>
              <w:pStyle w:val="BodyText"/>
              <w:widowControl/>
              <w:numPr>
                <w:ilvl w:val="0"/>
                <w:numId w:val="57"/>
              </w:numPr>
              <w:rPr>
                <w:lang w:val="es-ES"/>
              </w:rPr>
            </w:pPr>
          </w:p>
        </w:tc>
        <w:tc>
          <w:tcPr>
            <w:tcW w:w="2953" w:type="dxa"/>
            <w:vAlign w:val="center"/>
          </w:tcPr>
          <w:p w14:paraId="3E69582A" w14:textId="77777777" w:rsidR="0057201B" w:rsidRPr="00AE3A84" w:rsidRDefault="0057201B">
            <w:pPr>
              <w:pStyle w:val="BodyText"/>
              <w:rPr>
                <w:lang w:val="es-ES"/>
              </w:rPr>
            </w:pPr>
            <w:r w:rsidRPr="00AE3A84">
              <w:rPr>
                <w:spacing w:val="-1"/>
              </w:rPr>
              <w:t>Luis</w:t>
            </w:r>
            <w:r w:rsidRPr="00AE3A84">
              <w:rPr>
                <w:spacing w:val="-8"/>
              </w:rPr>
              <w:t xml:space="preserve"> </w:t>
            </w:r>
            <w:r w:rsidRPr="00AE3A84">
              <w:rPr>
                <w:spacing w:val="-1"/>
              </w:rPr>
              <w:t>Fernández</w:t>
            </w:r>
            <w:r w:rsidRPr="00AE3A84">
              <w:rPr>
                <w:spacing w:val="-7"/>
              </w:rPr>
              <w:t xml:space="preserve"> </w:t>
            </w:r>
            <w:r w:rsidRPr="00AE3A84">
              <w:rPr>
                <w:spacing w:val="-1"/>
              </w:rPr>
              <w:t>Piedra</w:t>
            </w:r>
          </w:p>
        </w:tc>
        <w:tc>
          <w:tcPr>
            <w:tcW w:w="1119" w:type="dxa"/>
            <w:vAlign w:val="center"/>
          </w:tcPr>
          <w:p w14:paraId="6A6823EA" w14:textId="77777777" w:rsidR="0057201B" w:rsidRPr="00AE3A84" w:rsidRDefault="0057201B">
            <w:pPr>
              <w:pStyle w:val="BodyText"/>
              <w:rPr>
                <w:lang w:val="es-ES"/>
              </w:rPr>
            </w:pPr>
            <w:r w:rsidRPr="00AE3A84">
              <w:rPr>
                <w:spacing w:val="-1"/>
              </w:rPr>
              <w:t>Ecuador</w:t>
            </w:r>
          </w:p>
        </w:tc>
        <w:tc>
          <w:tcPr>
            <w:tcW w:w="1141" w:type="dxa"/>
            <w:vAlign w:val="center"/>
          </w:tcPr>
          <w:p w14:paraId="3836ADFC" w14:textId="77777777" w:rsidR="0057201B" w:rsidRPr="00AE3A84" w:rsidRDefault="0057201B">
            <w:pPr>
              <w:pStyle w:val="BodyText"/>
              <w:jc w:val="center"/>
              <w:rPr>
                <w:spacing w:val="-1"/>
              </w:rPr>
            </w:pPr>
            <w:r w:rsidRPr="002D4964">
              <w:rPr>
                <w:spacing w:val="-1"/>
              </w:rPr>
              <w:t>301/22</w:t>
            </w:r>
          </w:p>
        </w:tc>
        <w:tc>
          <w:tcPr>
            <w:tcW w:w="1289" w:type="dxa"/>
            <w:vAlign w:val="center"/>
          </w:tcPr>
          <w:p w14:paraId="24BD7E8E" w14:textId="77777777" w:rsidR="0057201B" w:rsidRPr="00AE3A84" w:rsidRDefault="0057201B">
            <w:pPr>
              <w:pStyle w:val="BodyText"/>
              <w:rPr>
                <w:lang w:val="es-ES"/>
              </w:rPr>
            </w:pPr>
            <w:r w:rsidRPr="00AE3A84">
              <w:rPr>
                <w:spacing w:val="-1"/>
              </w:rPr>
              <w:t>10/21/2022</w:t>
            </w:r>
          </w:p>
        </w:tc>
        <w:tc>
          <w:tcPr>
            <w:tcW w:w="1329" w:type="dxa"/>
            <w:vAlign w:val="center"/>
          </w:tcPr>
          <w:p w14:paraId="14ACD78B" w14:textId="77777777" w:rsidR="0057201B" w:rsidRPr="00AE3A84" w:rsidRDefault="0057201B">
            <w:pPr>
              <w:pStyle w:val="BodyText"/>
              <w:rPr>
                <w:lang w:val="es-ES"/>
              </w:rPr>
            </w:pPr>
            <w:r w:rsidRPr="00AE3A84">
              <w:rPr>
                <w:spacing w:val="-1"/>
              </w:rPr>
              <w:t>1323-14</w:t>
            </w:r>
          </w:p>
        </w:tc>
        <w:tc>
          <w:tcPr>
            <w:tcW w:w="1350" w:type="dxa"/>
            <w:vAlign w:val="center"/>
          </w:tcPr>
          <w:p w14:paraId="45D5ADB0" w14:textId="0634C4E0" w:rsidR="0057201B" w:rsidRPr="00AE3A84" w:rsidRDefault="0057201B">
            <w:pPr>
              <w:pStyle w:val="BodyText"/>
              <w:rPr>
                <w:lang w:val="es-ES"/>
              </w:rPr>
            </w:pPr>
            <w:r w:rsidRPr="00AE3A84">
              <w:rPr>
                <w:spacing w:val="-1"/>
              </w:rPr>
              <w:t>15.13</w:t>
            </w:r>
            <w:r w:rsidR="0045586D">
              <w:rPr>
                <w:spacing w:val="-1"/>
              </w:rPr>
              <w:t>0</w:t>
            </w:r>
          </w:p>
        </w:tc>
      </w:tr>
      <w:tr w:rsidR="0057201B" w:rsidRPr="00AE3A84" w14:paraId="26C062B9" w14:textId="77777777">
        <w:tc>
          <w:tcPr>
            <w:tcW w:w="534" w:type="dxa"/>
            <w:vAlign w:val="center"/>
          </w:tcPr>
          <w:p w14:paraId="71FF7DBD" w14:textId="77777777" w:rsidR="0057201B" w:rsidRPr="00AE3A84" w:rsidRDefault="0057201B" w:rsidP="00933F91">
            <w:pPr>
              <w:pStyle w:val="BodyText"/>
              <w:widowControl/>
              <w:numPr>
                <w:ilvl w:val="0"/>
                <w:numId w:val="57"/>
              </w:numPr>
              <w:rPr>
                <w:lang w:val="es-ES"/>
              </w:rPr>
            </w:pPr>
          </w:p>
        </w:tc>
        <w:tc>
          <w:tcPr>
            <w:tcW w:w="2953" w:type="dxa"/>
            <w:vAlign w:val="center"/>
          </w:tcPr>
          <w:p w14:paraId="7187BF75" w14:textId="77777777" w:rsidR="0057201B" w:rsidRPr="00AE3A84" w:rsidRDefault="0057201B">
            <w:pPr>
              <w:pStyle w:val="BodyText"/>
              <w:rPr>
                <w:lang w:val="es-ES"/>
              </w:rPr>
            </w:pPr>
            <w:r w:rsidRPr="00AE3A84">
              <w:rPr>
                <w:spacing w:val="-1"/>
              </w:rPr>
              <w:t>Pablo</w:t>
            </w:r>
            <w:r w:rsidRPr="00AE3A84">
              <w:rPr>
                <w:spacing w:val="-7"/>
              </w:rPr>
              <w:t xml:space="preserve"> </w:t>
            </w:r>
            <w:r w:rsidRPr="00AE3A84">
              <w:rPr>
                <w:spacing w:val="-1"/>
              </w:rPr>
              <w:t>David</w:t>
            </w:r>
            <w:r w:rsidRPr="00AE3A84">
              <w:rPr>
                <w:spacing w:val="-6"/>
              </w:rPr>
              <w:t xml:space="preserve"> </w:t>
            </w:r>
            <w:r w:rsidRPr="00AE3A84">
              <w:rPr>
                <w:spacing w:val="-1"/>
              </w:rPr>
              <w:t>Porras</w:t>
            </w:r>
            <w:r w:rsidRPr="00AE3A84">
              <w:rPr>
                <w:spacing w:val="-7"/>
              </w:rPr>
              <w:t xml:space="preserve"> </w:t>
            </w:r>
            <w:r w:rsidRPr="00AE3A84">
              <w:rPr>
                <w:spacing w:val="-1"/>
              </w:rPr>
              <w:t>Arguello</w:t>
            </w:r>
          </w:p>
        </w:tc>
        <w:tc>
          <w:tcPr>
            <w:tcW w:w="1119" w:type="dxa"/>
            <w:vAlign w:val="center"/>
          </w:tcPr>
          <w:p w14:paraId="7FC8D8D2" w14:textId="77777777" w:rsidR="0057201B" w:rsidRPr="00AE3A84" w:rsidRDefault="0057201B">
            <w:pPr>
              <w:pStyle w:val="BodyText"/>
              <w:rPr>
                <w:lang w:val="es-ES"/>
              </w:rPr>
            </w:pPr>
            <w:r w:rsidRPr="00AE3A84">
              <w:rPr>
                <w:spacing w:val="-1"/>
              </w:rPr>
              <w:t>Nicaragua</w:t>
            </w:r>
          </w:p>
        </w:tc>
        <w:tc>
          <w:tcPr>
            <w:tcW w:w="1141" w:type="dxa"/>
            <w:vAlign w:val="center"/>
          </w:tcPr>
          <w:p w14:paraId="5732F117" w14:textId="77777777" w:rsidR="0057201B" w:rsidRPr="00AE3A84" w:rsidRDefault="0057201B">
            <w:pPr>
              <w:pStyle w:val="BodyText"/>
              <w:jc w:val="center"/>
              <w:rPr>
                <w:spacing w:val="-1"/>
              </w:rPr>
            </w:pPr>
            <w:r w:rsidRPr="002D4964">
              <w:rPr>
                <w:spacing w:val="-1"/>
              </w:rPr>
              <w:t>302/22</w:t>
            </w:r>
          </w:p>
        </w:tc>
        <w:tc>
          <w:tcPr>
            <w:tcW w:w="1289" w:type="dxa"/>
            <w:vAlign w:val="center"/>
          </w:tcPr>
          <w:p w14:paraId="5857E27C" w14:textId="77777777" w:rsidR="0057201B" w:rsidRPr="00AE3A84" w:rsidRDefault="0057201B">
            <w:pPr>
              <w:pStyle w:val="BodyText"/>
              <w:rPr>
                <w:lang w:val="es-ES"/>
              </w:rPr>
            </w:pPr>
            <w:r w:rsidRPr="00AE3A84">
              <w:rPr>
                <w:spacing w:val="-1"/>
              </w:rPr>
              <w:t>11/8/2022</w:t>
            </w:r>
          </w:p>
        </w:tc>
        <w:tc>
          <w:tcPr>
            <w:tcW w:w="1329" w:type="dxa"/>
            <w:vAlign w:val="center"/>
          </w:tcPr>
          <w:p w14:paraId="3E9894CD" w14:textId="77777777" w:rsidR="0057201B" w:rsidRPr="00AE3A84" w:rsidRDefault="0057201B">
            <w:pPr>
              <w:pStyle w:val="BodyText"/>
              <w:rPr>
                <w:lang w:val="es-ES"/>
              </w:rPr>
            </w:pPr>
            <w:r w:rsidRPr="00AE3A84">
              <w:rPr>
                <w:spacing w:val="-1"/>
              </w:rPr>
              <w:t>572-16</w:t>
            </w:r>
          </w:p>
        </w:tc>
        <w:tc>
          <w:tcPr>
            <w:tcW w:w="1350" w:type="dxa"/>
            <w:vAlign w:val="center"/>
          </w:tcPr>
          <w:p w14:paraId="7E914992" w14:textId="77777777" w:rsidR="0057201B" w:rsidRPr="00AE3A84" w:rsidRDefault="0057201B">
            <w:pPr>
              <w:pStyle w:val="BodyText"/>
              <w:rPr>
                <w:lang w:val="es-ES"/>
              </w:rPr>
            </w:pPr>
            <w:r w:rsidRPr="00AE3A84">
              <w:rPr>
                <w:spacing w:val="-1"/>
              </w:rPr>
              <w:t>15.131</w:t>
            </w:r>
          </w:p>
        </w:tc>
      </w:tr>
      <w:tr w:rsidR="0057201B" w:rsidRPr="00AE3A84" w14:paraId="37D4F0A9" w14:textId="77777777">
        <w:tc>
          <w:tcPr>
            <w:tcW w:w="534" w:type="dxa"/>
            <w:vAlign w:val="center"/>
          </w:tcPr>
          <w:p w14:paraId="3D981046" w14:textId="77777777" w:rsidR="0057201B" w:rsidRPr="00AE3A84" w:rsidRDefault="0057201B" w:rsidP="00933F91">
            <w:pPr>
              <w:pStyle w:val="BodyText"/>
              <w:widowControl/>
              <w:numPr>
                <w:ilvl w:val="0"/>
                <w:numId w:val="57"/>
              </w:numPr>
              <w:rPr>
                <w:lang w:val="es-ES"/>
              </w:rPr>
            </w:pPr>
          </w:p>
        </w:tc>
        <w:tc>
          <w:tcPr>
            <w:tcW w:w="2953" w:type="dxa"/>
            <w:vAlign w:val="center"/>
          </w:tcPr>
          <w:p w14:paraId="0DB528B2" w14:textId="77777777" w:rsidR="0057201B" w:rsidRPr="00AE3A84" w:rsidRDefault="0057201B">
            <w:pPr>
              <w:pStyle w:val="BodyText"/>
              <w:rPr>
                <w:lang w:val="es-ES"/>
              </w:rPr>
            </w:pPr>
            <w:r w:rsidRPr="00AE3A84">
              <w:rPr>
                <w:spacing w:val="-1"/>
              </w:rPr>
              <w:t>John</w:t>
            </w:r>
            <w:r w:rsidRPr="00AE3A84">
              <w:rPr>
                <w:spacing w:val="-8"/>
              </w:rPr>
              <w:t xml:space="preserve"> </w:t>
            </w:r>
            <w:r w:rsidRPr="00AE3A84">
              <w:rPr>
                <w:spacing w:val="-1"/>
              </w:rPr>
              <w:t>Sotomayor</w:t>
            </w:r>
            <w:r w:rsidRPr="00AE3A84">
              <w:rPr>
                <w:spacing w:val="-7"/>
              </w:rPr>
              <w:t xml:space="preserve"> </w:t>
            </w:r>
            <w:r w:rsidRPr="00AE3A84">
              <w:rPr>
                <w:spacing w:val="-1"/>
              </w:rPr>
              <w:t>Pinuer</w:t>
            </w:r>
          </w:p>
        </w:tc>
        <w:tc>
          <w:tcPr>
            <w:tcW w:w="1119" w:type="dxa"/>
            <w:vAlign w:val="center"/>
          </w:tcPr>
          <w:p w14:paraId="79E6F147" w14:textId="77777777" w:rsidR="0057201B" w:rsidRPr="00AE3A84" w:rsidRDefault="0057201B">
            <w:pPr>
              <w:pStyle w:val="BodyText"/>
              <w:rPr>
                <w:lang w:val="es-ES"/>
              </w:rPr>
            </w:pPr>
            <w:r w:rsidRPr="00AE3A84">
              <w:rPr>
                <w:spacing w:val="-1"/>
              </w:rPr>
              <w:t>Chile</w:t>
            </w:r>
          </w:p>
        </w:tc>
        <w:tc>
          <w:tcPr>
            <w:tcW w:w="1141" w:type="dxa"/>
            <w:vAlign w:val="center"/>
          </w:tcPr>
          <w:p w14:paraId="2BC32EF9" w14:textId="77777777" w:rsidR="0057201B" w:rsidRPr="00AE3A84" w:rsidRDefault="0057201B">
            <w:pPr>
              <w:pStyle w:val="BodyText"/>
              <w:jc w:val="center"/>
              <w:rPr>
                <w:spacing w:val="-1"/>
              </w:rPr>
            </w:pPr>
            <w:r w:rsidRPr="002D4964">
              <w:rPr>
                <w:spacing w:val="-1"/>
              </w:rPr>
              <w:t>303/22</w:t>
            </w:r>
          </w:p>
        </w:tc>
        <w:tc>
          <w:tcPr>
            <w:tcW w:w="1289" w:type="dxa"/>
            <w:vAlign w:val="center"/>
          </w:tcPr>
          <w:p w14:paraId="79EDDBCC" w14:textId="77777777" w:rsidR="0057201B" w:rsidRPr="00AE3A84" w:rsidRDefault="0057201B">
            <w:pPr>
              <w:pStyle w:val="BodyText"/>
              <w:rPr>
                <w:lang w:val="es-ES"/>
              </w:rPr>
            </w:pPr>
            <w:r w:rsidRPr="00AE3A84">
              <w:rPr>
                <w:spacing w:val="-1"/>
              </w:rPr>
              <w:t>11/8/2022</w:t>
            </w:r>
          </w:p>
        </w:tc>
        <w:tc>
          <w:tcPr>
            <w:tcW w:w="1329" w:type="dxa"/>
            <w:vAlign w:val="center"/>
          </w:tcPr>
          <w:p w14:paraId="35161D0B" w14:textId="77777777" w:rsidR="0057201B" w:rsidRPr="00AE3A84" w:rsidRDefault="0057201B">
            <w:pPr>
              <w:pStyle w:val="BodyText"/>
              <w:rPr>
                <w:lang w:val="es-ES"/>
              </w:rPr>
            </w:pPr>
            <w:r w:rsidRPr="00AE3A84">
              <w:rPr>
                <w:spacing w:val="-1"/>
              </w:rPr>
              <w:t>958-15</w:t>
            </w:r>
          </w:p>
        </w:tc>
        <w:tc>
          <w:tcPr>
            <w:tcW w:w="1350" w:type="dxa"/>
            <w:vAlign w:val="center"/>
          </w:tcPr>
          <w:p w14:paraId="2C64F342" w14:textId="77777777" w:rsidR="0057201B" w:rsidRPr="00AE3A84" w:rsidRDefault="0057201B">
            <w:pPr>
              <w:pStyle w:val="BodyText"/>
              <w:rPr>
                <w:lang w:val="es-ES"/>
              </w:rPr>
            </w:pPr>
            <w:r w:rsidRPr="00AE3A84">
              <w:rPr>
                <w:spacing w:val="-1"/>
              </w:rPr>
              <w:t>15.132</w:t>
            </w:r>
          </w:p>
        </w:tc>
      </w:tr>
      <w:tr w:rsidR="0057201B" w:rsidRPr="00AE3A84" w14:paraId="291EAC54" w14:textId="77777777">
        <w:tc>
          <w:tcPr>
            <w:tcW w:w="534" w:type="dxa"/>
            <w:vAlign w:val="center"/>
          </w:tcPr>
          <w:p w14:paraId="7F215A62" w14:textId="77777777" w:rsidR="0057201B" w:rsidRPr="00AE3A84" w:rsidRDefault="0057201B" w:rsidP="00933F91">
            <w:pPr>
              <w:pStyle w:val="BodyText"/>
              <w:widowControl/>
              <w:numPr>
                <w:ilvl w:val="0"/>
                <w:numId w:val="57"/>
              </w:numPr>
              <w:rPr>
                <w:lang w:val="es-ES"/>
              </w:rPr>
            </w:pPr>
          </w:p>
        </w:tc>
        <w:tc>
          <w:tcPr>
            <w:tcW w:w="2953" w:type="dxa"/>
            <w:vAlign w:val="center"/>
          </w:tcPr>
          <w:p w14:paraId="3D955D62" w14:textId="77777777" w:rsidR="0057201B" w:rsidRPr="00D14C85" w:rsidRDefault="0057201B">
            <w:pPr>
              <w:pStyle w:val="BodyText"/>
            </w:pPr>
            <w:r w:rsidRPr="00D14C85">
              <w:rPr>
                <w:spacing w:val="-1"/>
              </w:rPr>
              <w:t>Members of the Union of</w:t>
            </w:r>
            <w:r w:rsidRPr="00D14C85">
              <w:rPr>
                <w:spacing w:val="-4"/>
              </w:rPr>
              <w:t xml:space="preserve"> </w:t>
            </w:r>
            <w:r w:rsidRPr="00D14C85">
              <w:rPr>
                <w:spacing w:val="-1"/>
              </w:rPr>
              <w:t>Ingenio</w:t>
            </w:r>
            <w:r w:rsidRPr="00D14C85">
              <w:rPr>
                <w:spacing w:val="-6"/>
              </w:rPr>
              <w:t xml:space="preserve"> </w:t>
            </w:r>
            <w:r w:rsidRPr="00D14C85">
              <w:rPr>
                <w:spacing w:val="-1"/>
              </w:rPr>
              <w:t>San</w:t>
            </w:r>
            <w:r w:rsidRPr="00D14C85">
              <w:rPr>
                <w:spacing w:val="-5"/>
              </w:rPr>
              <w:t xml:space="preserve"> </w:t>
            </w:r>
            <w:r w:rsidRPr="00D14C85">
              <w:rPr>
                <w:spacing w:val="-1"/>
              </w:rPr>
              <w:t>Carlos</w:t>
            </w:r>
          </w:p>
        </w:tc>
        <w:tc>
          <w:tcPr>
            <w:tcW w:w="1119" w:type="dxa"/>
            <w:vAlign w:val="center"/>
          </w:tcPr>
          <w:p w14:paraId="262C5524" w14:textId="77777777" w:rsidR="0057201B" w:rsidRPr="00AE3A84" w:rsidRDefault="0057201B">
            <w:pPr>
              <w:pStyle w:val="BodyText"/>
              <w:rPr>
                <w:lang w:val="es-ES"/>
              </w:rPr>
            </w:pPr>
            <w:r w:rsidRPr="00AE3A84">
              <w:rPr>
                <w:spacing w:val="-1"/>
              </w:rPr>
              <w:t>Ecuador</w:t>
            </w:r>
          </w:p>
        </w:tc>
        <w:tc>
          <w:tcPr>
            <w:tcW w:w="1141" w:type="dxa"/>
            <w:vAlign w:val="center"/>
          </w:tcPr>
          <w:p w14:paraId="0DCB0612" w14:textId="77777777" w:rsidR="0057201B" w:rsidRPr="00AE3A84" w:rsidRDefault="0057201B">
            <w:pPr>
              <w:pStyle w:val="BodyText"/>
              <w:jc w:val="center"/>
              <w:rPr>
                <w:spacing w:val="-1"/>
              </w:rPr>
            </w:pPr>
            <w:r w:rsidRPr="002D4964">
              <w:rPr>
                <w:spacing w:val="-1"/>
              </w:rPr>
              <w:t>306/22</w:t>
            </w:r>
          </w:p>
        </w:tc>
        <w:tc>
          <w:tcPr>
            <w:tcW w:w="1289" w:type="dxa"/>
            <w:vAlign w:val="center"/>
          </w:tcPr>
          <w:p w14:paraId="40B498A9" w14:textId="77777777" w:rsidR="0057201B" w:rsidRPr="00AE3A84" w:rsidRDefault="0057201B">
            <w:pPr>
              <w:pStyle w:val="BodyText"/>
              <w:rPr>
                <w:lang w:val="es-ES"/>
              </w:rPr>
            </w:pPr>
            <w:r w:rsidRPr="00AE3A84">
              <w:rPr>
                <w:spacing w:val="-1"/>
              </w:rPr>
              <w:t>11/21/2022</w:t>
            </w:r>
          </w:p>
        </w:tc>
        <w:tc>
          <w:tcPr>
            <w:tcW w:w="1329" w:type="dxa"/>
            <w:vAlign w:val="center"/>
          </w:tcPr>
          <w:p w14:paraId="6B51671B" w14:textId="77777777" w:rsidR="0057201B" w:rsidRPr="00AE3A84" w:rsidRDefault="0057201B">
            <w:pPr>
              <w:pStyle w:val="BodyText"/>
              <w:rPr>
                <w:lang w:val="es-ES"/>
              </w:rPr>
            </w:pPr>
            <w:r w:rsidRPr="00AE3A84">
              <w:rPr>
                <w:spacing w:val="-1"/>
              </w:rPr>
              <w:t>841-14</w:t>
            </w:r>
          </w:p>
        </w:tc>
        <w:tc>
          <w:tcPr>
            <w:tcW w:w="1350" w:type="dxa"/>
            <w:vAlign w:val="center"/>
          </w:tcPr>
          <w:p w14:paraId="2CED5D3D" w14:textId="77777777" w:rsidR="0057201B" w:rsidRPr="00AE3A84" w:rsidRDefault="0057201B">
            <w:pPr>
              <w:pStyle w:val="BodyText"/>
              <w:rPr>
                <w:lang w:val="es-ES"/>
              </w:rPr>
            </w:pPr>
            <w:r w:rsidRPr="00AE3A84">
              <w:rPr>
                <w:spacing w:val="-1"/>
              </w:rPr>
              <w:t>15.138</w:t>
            </w:r>
          </w:p>
        </w:tc>
      </w:tr>
      <w:tr w:rsidR="0057201B" w:rsidRPr="00AE3A84" w14:paraId="101E5B67" w14:textId="77777777">
        <w:tc>
          <w:tcPr>
            <w:tcW w:w="534" w:type="dxa"/>
            <w:vAlign w:val="center"/>
          </w:tcPr>
          <w:p w14:paraId="18C5CAB7" w14:textId="77777777" w:rsidR="0057201B" w:rsidRPr="00AE3A84" w:rsidRDefault="0057201B" w:rsidP="00933F91">
            <w:pPr>
              <w:pStyle w:val="BodyText"/>
              <w:widowControl/>
              <w:numPr>
                <w:ilvl w:val="0"/>
                <w:numId w:val="57"/>
              </w:numPr>
              <w:rPr>
                <w:lang w:val="es-ES"/>
              </w:rPr>
            </w:pPr>
          </w:p>
        </w:tc>
        <w:tc>
          <w:tcPr>
            <w:tcW w:w="2953" w:type="dxa"/>
            <w:vAlign w:val="center"/>
          </w:tcPr>
          <w:p w14:paraId="76FE8ACB" w14:textId="77777777" w:rsidR="0057201B" w:rsidRPr="00D14C85" w:rsidRDefault="0057201B">
            <w:pPr>
              <w:pStyle w:val="BodyText"/>
            </w:pPr>
            <w:r w:rsidRPr="00D14C85">
              <w:rPr>
                <w:spacing w:val="-1"/>
              </w:rPr>
              <w:t xml:space="preserve">Indigenous Communities of the </w:t>
            </w:r>
            <w:r w:rsidRPr="00D14C85">
              <w:t>Maya</w:t>
            </w:r>
            <w:r w:rsidRPr="00D14C85">
              <w:rPr>
                <w:spacing w:val="-7"/>
              </w:rPr>
              <w:t xml:space="preserve"> </w:t>
            </w:r>
            <w:r w:rsidRPr="00D14C85">
              <w:rPr>
                <w:spacing w:val="-1"/>
              </w:rPr>
              <w:t>Ixil</w:t>
            </w:r>
            <w:r>
              <w:rPr>
                <w:spacing w:val="-1"/>
              </w:rPr>
              <w:t xml:space="preserve"> People</w:t>
            </w:r>
          </w:p>
        </w:tc>
        <w:tc>
          <w:tcPr>
            <w:tcW w:w="1119" w:type="dxa"/>
            <w:vAlign w:val="center"/>
          </w:tcPr>
          <w:p w14:paraId="1E1F966B" w14:textId="77777777" w:rsidR="0057201B" w:rsidRPr="00AE3A84" w:rsidRDefault="0057201B">
            <w:pPr>
              <w:pStyle w:val="BodyText"/>
              <w:rPr>
                <w:lang w:val="es-ES"/>
              </w:rPr>
            </w:pPr>
            <w:r w:rsidRPr="00AE3A84">
              <w:rPr>
                <w:spacing w:val="-1"/>
              </w:rPr>
              <w:t>Guatemala</w:t>
            </w:r>
          </w:p>
        </w:tc>
        <w:tc>
          <w:tcPr>
            <w:tcW w:w="1141" w:type="dxa"/>
            <w:vAlign w:val="center"/>
          </w:tcPr>
          <w:p w14:paraId="3CDA4656" w14:textId="77777777" w:rsidR="0057201B" w:rsidRPr="00AE3A84" w:rsidRDefault="0057201B">
            <w:pPr>
              <w:pStyle w:val="BodyText"/>
              <w:jc w:val="center"/>
              <w:rPr>
                <w:spacing w:val="-1"/>
              </w:rPr>
            </w:pPr>
            <w:r w:rsidRPr="002D4964">
              <w:rPr>
                <w:spacing w:val="-1"/>
              </w:rPr>
              <w:t>307/22</w:t>
            </w:r>
          </w:p>
        </w:tc>
        <w:tc>
          <w:tcPr>
            <w:tcW w:w="1289" w:type="dxa"/>
            <w:vAlign w:val="center"/>
          </w:tcPr>
          <w:p w14:paraId="1CC92550" w14:textId="77777777" w:rsidR="0057201B" w:rsidRPr="00AE3A84" w:rsidRDefault="0057201B">
            <w:pPr>
              <w:pStyle w:val="BodyText"/>
              <w:rPr>
                <w:lang w:val="es-ES"/>
              </w:rPr>
            </w:pPr>
            <w:r w:rsidRPr="00AE3A84">
              <w:rPr>
                <w:spacing w:val="-1"/>
              </w:rPr>
              <w:t>11/17/2022</w:t>
            </w:r>
          </w:p>
        </w:tc>
        <w:tc>
          <w:tcPr>
            <w:tcW w:w="1329" w:type="dxa"/>
            <w:vAlign w:val="center"/>
          </w:tcPr>
          <w:p w14:paraId="6BA94042" w14:textId="77777777" w:rsidR="0057201B" w:rsidRPr="00AE3A84" w:rsidRDefault="0057201B">
            <w:pPr>
              <w:pStyle w:val="BodyText"/>
              <w:rPr>
                <w:lang w:val="es-ES"/>
              </w:rPr>
            </w:pPr>
            <w:r w:rsidRPr="00AE3A84">
              <w:rPr>
                <w:spacing w:val="-1"/>
              </w:rPr>
              <w:t>1784-13</w:t>
            </w:r>
          </w:p>
        </w:tc>
        <w:tc>
          <w:tcPr>
            <w:tcW w:w="1350" w:type="dxa"/>
            <w:vAlign w:val="center"/>
          </w:tcPr>
          <w:p w14:paraId="571307C8" w14:textId="77777777" w:rsidR="0057201B" w:rsidRPr="00AE3A84" w:rsidRDefault="0057201B">
            <w:pPr>
              <w:pStyle w:val="BodyText"/>
              <w:rPr>
                <w:lang w:val="es-ES"/>
              </w:rPr>
            </w:pPr>
            <w:r w:rsidRPr="00AE3A84">
              <w:rPr>
                <w:spacing w:val="-1"/>
              </w:rPr>
              <w:t>15.139</w:t>
            </w:r>
          </w:p>
        </w:tc>
      </w:tr>
      <w:tr w:rsidR="0057201B" w:rsidRPr="00AE3A84" w14:paraId="306AD9DD" w14:textId="77777777">
        <w:tc>
          <w:tcPr>
            <w:tcW w:w="534" w:type="dxa"/>
            <w:vAlign w:val="center"/>
          </w:tcPr>
          <w:p w14:paraId="77A5266D" w14:textId="77777777" w:rsidR="0057201B" w:rsidRPr="00AE3A84" w:rsidRDefault="0057201B" w:rsidP="00933F91">
            <w:pPr>
              <w:pStyle w:val="BodyText"/>
              <w:widowControl/>
              <w:numPr>
                <w:ilvl w:val="0"/>
                <w:numId w:val="57"/>
              </w:numPr>
              <w:rPr>
                <w:lang w:val="es-ES"/>
              </w:rPr>
            </w:pPr>
          </w:p>
        </w:tc>
        <w:tc>
          <w:tcPr>
            <w:tcW w:w="2953" w:type="dxa"/>
            <w:vAlign w:val="center"/>
          </w:tcPr>
          <w:p w14:paraId="15C023A7" w14:textId="77777777" w:rsidR="0057201B" w:rsidRPr="00AE3A84" w:rsidRDefault="0057201B">
            <w:pPr>
              <w:pStyle w:val="BodyText"/>
              <w:rPr>
                <w:lang w:val="es-ES"/>
              </w:rPr>
            </w:pPr>
            <w:r w:rsidRPr="00AE3A84">
              <w:rPr>
                <w:spacing w:val="-1"/>
                <w:lang w:val="es-AR"/>
              </w:rPr>
              <w:t>Piedad</w:t>
            </w:r>
            <w:r w:rsidRPr="00AE3A84">
              <w:rPr>
                <w:spacing w:val="-5"/>
                <w:lang w:val="es-AR"/>
              </w:rPr>
              <w:t xml:space="preserve"> </w:t>
            </w:r>
            <w:r w:rsidRPr="00AE3A84">
              <w:rPr>
                <w:spacing w:val="-1"/>
                <w:lang w:val="es-AR"/>
              </w:rPr>
              <w:t>del</w:t>
            </w:r>
            <w:r w:rsidRPr="00AE3A84">
              <w:rPr>
                <w:spacing w:val="-4"/>
                <w:lang w:val="es-AR"/>
              </w:rPr>
              <w:t xml:space="preserve"> </w:t>
            </w:r>
            <w:r w:rsidRPr="00AE3A84">
              <w:rPr>
                <w:spacing w:val="-1"/>
                <w:lang w:val="es-AR"/>
              </w:rPr>
              <w:t>Socorro</w:t>
            </w:r>
            <w:r w:rsidRPr="00AE3A84">
              <w:rPr>
                <w:spacing w:val="-6"/>
                <w:lang w:val="es-AR"/>
              </w:rPr>
              <w:t xml:space="preserve"> </w:t>
            </w:r>
            <w:r w:rsidRPr="00AE3A84">
              <w:rPr>
                <w:spacing w:val="-1"/>
                <w:lang w:val="es-AR"/>
              </w:rPr>
              <w:t>Zuccardi</w:t>
            </w:r>
            <w:r w:rsidRPr="00AE3A84">
              <w:rPr>
                <w:spacing w:val="-4"/>
                <w:lang w:val="es-AR"/>
              </w:rPr>
              <w:t xml:space="preserve"> </w:t>
            </w:r>
            <w:r w:rsidRPr="00AE3A84">
              <w:rPr>
                <w:spacing w:val="-1"/>
                <w:lang w:val="es-AR"/>
              </w:rPr>
              <w:t>de</w:t>
            </w:r>
            <w:r w:rsidRPr="00AE3A84">
              <w:rPr>
                <w:spacing w:val="-4"/>
                <w:lang w:val="es-AR"/>
              </w:rPr>
              <w:t xml:space="preserve"> </w:t>
            </w:r>
            <w:r w:rsidRPr="00AE3A84">
              <w:rPr>
                <w:spacing w:val="-1"/>
                <w:lang w:val="es-AR"/>
              </w:rPr>
              <w:t>Garcia</w:t>
            </w:r>
          </w:p>
        </w:tc>
        <w:tc>
          <w:tcPr>
            <w:tcW w:w="1119" w:type="dxa"/>
            <w:vAlign w:val="center"/>
          </w:tcPr>
          <w:p w14:paraId="0724817B" w14:textId="77777777" w:rsidR="0057201B" w:rsidRPr="00AE3A84" w:rsidRDefault="0057201B">
            <w:pPr>
              <w:pStyle w:val="BodyText"/>
              <w:rPr>
                <w:lang w:val="es-ES"/>
              </w:rPr>
            </w:pPr>
            <w:r w:rsidRPr="00AE3A84">
              <w:rPr>
                <w:spacing w:val="-1"/>
              </w:rPr>
              <w:t>Colombia</w:t>
            </w:r>
          </w:p>
        </w:tc>
        <w:tc>
          <w:tcPr>
            <w:tcW w:w="1141" w:type="dxa"/>
            <w:vAlign w:val="center"/>
          </w:tcPr>
          <w:p w14:paraId="1E880DEC" w14:textId="77777777" w:rsidR="0057201B" w:rsidRPr="00AE3A84" w:rsidRDefault="0057201B">
            <w:pPr>
              <w:pStyle w:val="BodyText"/>
              <w:jc w:val="center"/>
              <w:rPr>
                <w:spacing w:val="-1"/>
              </w:rPr>
            </w:pPr>
            <w:r w:rsidRPr="002D4964">
              <w:rPr>
                <w:spacing w:val="-1"/>
              </w:rPr>
              <w:t>309/22</w:t>
            </w:r>
          </w:p>
        </w:tc>
        <w:tc>
          <w:tcPr>
            <w:tcW w:w="1289" w:type="dxa"/>
            <w:vAlign w:val="center"/>
          </w:tcPr>
          <w:p w14:paraId="648AE016" w14:textId="77777777" w:rsidR="0057201B" w:rsidRPr="00AE3A84" w:rsidRDefault="0057201B">
            <w:pPr>
              <w:pStyle w:val="BodyText"/>
              <w:rPr>
                <w:lang w:val="es-ES"/>
              </w:rPr>
            </w:pPr>
            <w:r w:rsidRPr="00AE3A84">
              <w:rPr>
                <w:spacing w:val="-1"/>
              </w:rPr>
              <w:t>11/23/2022</w:t>
            </w:r>
          </w:p>
        </w:tc>
        <w:tc>
          <w:tcPr>
            <w:tcW w:w="1329" w:type="dxa"/>
            <w:vAlign w:val="center"/>
          </w:tcPr>
          <w:p w14:paraId="3EC3A587" w14:textId="77777777" w:rsidR="0057201B" w:rsidRPr="00AE3A84" w:rsidRDefault="0057201B">
            <w:pPr>
              <w:pStyle w:val="BodyText"/>
              <w:rPr>
                <w:lang w:val="es-ES"/>
              </w:rPr>
            </w:pPr>
            <w:r w:rsidRPr="00AE3A84">
              <w:rPr>
                <w:spacing w:val="-1"/>
              </w:rPr>
              <w:t>1297-13</w:t>
            </w:r>
          </w:p>
        </w:tc>
        <w:tc>
          <w:tcPr>
            <w:tcW w:w="1350" w:type="dxa"/>
            <w:vAlign w:val="center"/>
          </w:tcPr>
          <w:p w14:paraId="72B1F758" w14:textId="317187B0" w:rsidR="0057201B" w:rsidRPr="00AE3A84" w:rsidRDefault="0057201B">
            <w:pPr>
              <w:pStyle w:val="BodyText"/>
              <w:rPr>
                <w:lang w:val="es-ES"/>
              </w:rPr>
            </w:pPr>
            <w:r w:rsidRPr="00AE3A84">
              <w:rPr>
                <w:spacing w:val="-1"/>
              </w:rPr>
              <w:t>15.14</w:t>
            </w:r>
            <w:r w:rsidR="0045586D">
              <w:rPr>
                <w:spacing w:val="-1"/>
              </w:rPr>
              <w:t>0</w:t>
            </w:r>
          </w:p>
        </w:tc>
      </w:tr>
      <w:tr w:rsidR="0057201B" w:rsidRPr="00AE3A84" w14:paraId="322E6FE0" w14:textId="77777777">
        <w:tc>
          <w:tcPr>
            <w:tcW w:w="534" w:type="dxa"/>
            <w:vAlign w:val="center"/>
          </w:tcPr>
          <w:p w14:paraId="0E34C689" w14:textId="77777777" w:rsidR="0057201B" w:rsidRPr="00AE3A84" w:rsidRDefault="0057201B" w:rsidP="00933F91">
            <w:pPr>
              <w:pStyle w:val="BodyText"/>
              <w:widowControl/>
              <w:numPr>
                <w:ilvl w:val="0"/>
                <w:numId w:val="57"/>
              </w:numPr>
              <w:rPr>
                <w:lang w:val="es-ES"/>
              </w:rPr>
            </w:pPr>
          </w:p>
        </w:tc>
        <w:tc>
          <w:tcPr>
            <w:tcW w:w="2953" w:type="dxa"/>
            <w:vAlign w:val="center"/>
          </w:tcPr>
          <w:p w14:paraId="19B121AE" w14:textId="77777777" w:rsidR="0057201B" w:rsidRPr="00D14C85" w:rsidRDefault="0057201B">
            <w:pPr>
              <w:pStyle w:val="BodyText"/>
              <w:rPr>
                <w:lang w:val="es-CO"/>
              </w:rPr>
            </w:pPr>
            <w:r w:rsidRPr="00AE3A84">
              <w:rPr>
                <w:spacing w:val="-1"/>
                <w:lang w:val="es-AR"/>
              </w:rPr>
              <w:t>Oswaldo</w:t>
            </w:r>
            <w:r w:rsidRPr="00AE3A84">
              <w:rPr>
                <w:spacing w:val="-7"/>
                <w:lang w:val="es-AR"/>
              </w:rPr>
              <w:t xml:space="preserve"> </w:t>
            </w:r>
            <w:r w:rsidRPr="00AE3A84">
              <w:rPr>
                <w:spacing w:val="-1"/>
                <w:lang w:val="es-AR"/>
              </w:rPr>
              <w:t>Alberto</w:t>
            </w:r>
            <w:r w:rsidRPr="00AE3A84">
              <w:rPr>
                <w:spacing w:val="-6"/>
                <w:lang w:val="es-AR"/>
              </w:rPr>
              <w:t xml:space="preserve"> </w:t>
            </w:r>
            <w:r w:rsidRPr="00AE3A84">
              <w:rPr>
                <w:spacing w:val="-1"/>
                <w:lang w:val="es-AR"/>
              </w:rPr>
              <w:t>Ordoñez</w:t>
            </w:r>
            <w:r w:rsidRPr="00AE3A84">
              <w:rPr>
                <w:spacing w:val="-6"/>
                <w:lang w:val="es-AR"/>
              </w:rPr>
              <w:t xml:space="preserve"> </w:t>
            </w:r>
            <w:r w:rsidRPr="00AE3A84">
              <w:rPr>
                <w:spacing w:val="-1"/>
                <w:lang w:val="es-AR"/>
              </w:rPr>
              <w:t>Alcántara</w:t>
            </w:r>
            <w:r w:rsidRPr="00AE3A84">
              <w:rPr>
                <w:spacing w:val="-6"/>
                <w:lang w:val="es-AR"/>
              </w:rPr>
              <w:t xml:space="preserve"> </w:t>
            </w:r>
            <w:r>
              <w:rPr>
                <w:lang w:val="es-AR"/>
              </w:rPr>
              <w:t>et al.</w:t>
            </w:r>
          </w:p>
        </w:tc>
        <w:tc>
          <w:tcPr>
            <w:tcW w:w="1119" w:type="dxa"/>
            <w:vAlign w:val="center"/>
          </w:tcPr>
          <w:p w14:paraId="3B65D49F"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4C9AAB62" w14:textId="77777777" w:rsidR="0057201B" w:rsidRPr="00AE3A84" w:rsidRDefault="0057201B">
            <w:pPr>
              <w:pStyle w:val="BodyText"/>
              <w:jc w:val="center"/>
              <w:rPr>
                <w:spacing w:val="-1"/>
              </w:rPr>
            </w:pPr>
            <w:r w:rsidRPr="002D4964">
              <w:rPr>
                <w:spacing w:val="-1"/>
              </w:rPr>
              <w:t>310/22</w:t>
            </w:r>
          </w:p>
        </w:tc>
        <w:tc>
          <w:tcPr>
            <w:tcW w:w="1289" w:type="dxa"/>
            <w:vAlign w:val="center"/>
          </w:tcPr>
          <w:p w14:paraId="64AD9D59" w14:textId="77777777" w:rsidR="0057201B" w:rsidRPr="00AE3A84" w:rsidRDefault="0057201B">
            <w:pPr>
              <w:pStyle w:val="BodyText"/>
              <w:rPr>
                <w:lang w:val="es-ES"/>
              </w:rPr>
            </w:pPr>
            <w:r w:rsidRPr="00AE3A84">
              <w:rPr>
                <w:spacing w:val="-1"/>
              </w:rPr>
              <w:t>11/25/2022</w:t>
            </w:r>
          </w:p>
        </w:tc>
        <w:tc>
          <w:tcPr>
            <w:tcW w:w="1329" w:type="dxa"/>
            <w:vAlign w:val="center"/>
          </w:tcPr>
          <w:p w14:paraId="737A5BDC" w14:textId="77777777" w:rsidR="0057201B" w:rsidRPr="00AE3A84" w:rsidRDefault="0057201B">
            <w:pPr>
              <w:pStyle w:val="BodyText"/>
              <w:rPr>
                <w:lang w:val="es-ES"/>
              </w:rPr>
            </w:pPr>
            <w:r w:rsidRPr="00AE3A84">
              <w:rPr>
                <w:spacing w:val="-1"/>
              </w:rPr>
              <w:t>1422-13</w:t>
            </w:r>
          </w:p>
        </w:tc>
        <w:tc>
          <w:tcPr>
            <w:tcW w:w="1350" w:type="dxa"/>
            <w:vAlign w:val="center"/>
          </w:tcPr>
          <w:p w14:paraId="382302C7" w14:textId="77777777" w:rsidR="0057201B" w:rsidRPr="00AE3A84" w:rsidRDefault="0057201B">
            <w:pPr>
              <w:pStyle w:val="BodyText"/>
              <w:rPr>
                <w:lang w:val="es-ES"/>
              </w:rPr>
            </w:pPr>
            <w:r w:rsidRPr="00AE3A84">
              <w:rPr>
                <w:spacing w:val="-1"/>
              </w:rPr>
              <w:t>15.141</w:t>
            </w:r>
          </w:p>
        </w:tc>
      </w:tr>
      <w:tr w:rsidR="0057201B" w:rsidRPr="00AE3A84" w14:paraId="226461AD" w14:textId="77777777">
        <w:tc>
          <w:tcPr>
            <w:tcW w:w="534" w:type="dxa"/>
            <w:vAlign w:val="center"/>
          </w:tcPr>
          <w:p w14:paraId="3A86A736" w14:textId="77777777" w:rsidR="0057201B" w:rsidRPr="00AE3A84" w:rsidRDefault="0057201B" w:rsidP="00933F91">
            <w:pPr>
              <w:pStyle w:val="BodyText"/>
              <w:widowControl/>
              <w:numPr>
                <w:ilvl w:val="0"/>
                <w:numId w:val="57"/>
              </w:numPr>
              <w:rPr>
                <w:lang w:val="es-ES"/>
              </w:rPr>
            </w:pPr>
          </w:p>
        </w:tc>
        <w:tc>
          <w:tcPr>
            <w:tcW w:w="2953" w:type="dxa"/>
            <w:vAlign w:val="center"/>
          </w:tcPr>
          <w:p w14:paraId="5AC99D5B" w14:textId="77777777" w:rsidR="0057201B" w:rsidRPr="00AE3A84" w:rsidRDefault="0057201B">
            <w:pPr>
              <w:pStyle w:val="BodyText"/>
              <w:rPr>
                <w:lang w:val="es-ES"/>
              </w:rPr>
            </w:pPr>
            <w:r w:rsidRPr="00AE3A84">
              <w:rPr>
                <w:spacing w:val="-1"/>
                <w:lang w:val="es-AR"/>
              </w:rPr>
              <w:t>Jaime</w:t>
            </w:r>
            <w:r w:rsidRPr="00AE3A84">
              <w:rPr>
                <w:spacing w:val="-4"/>
                <w:lang w:val="es-AR"/>
              </w:rPr>
              <w:t xml:space="preserve"> </w:t>
            </w:r>
            <w:r w:rsidRPr="00AE3A84">
              <w:rPr>
                <w:spacing w:val="-1"/>
                <w:lang w:val="es-AR"/>
              </w:rPr>
              <w:t>David</w:t>
            </w:r>
            <w:r w:rsidRPr="00AE3A84">
              <w:rPr>
                <w:spacing w:val="-5"/>
                <w:lang w:val="es-AR"/>
              </w:rPr>
              <w:t xml:space="preserve"> </w:t>
            </w:r>
            <w:r w:rsidRPr="00AE3A84">
              <w:rPr>
                <w:spacing w:val="-1"/>
                <w:lang w:val="es-AR"/>
              </w:rPr>
              <w:t>Abanto</w:t>
            </w:r>
            <w:r w:rsidRPr="00AE3A84">
              <w:rPr>
                <w:spacing w:val="-5"/>
                <w:lang w:val="es-AR"/>
              </w:rPr>
              <w:t xml:space="preserve"> </w:t>
            </w:r>
            <w:r w:rsidRPr="00AE3A84">
              <w:rPr>
                <w:spacing w:val="-1"/>
                <w:lang w:val="es-AR"/>
              </w:rPr>
              <w:t>Torres</w:t>
            </w:r>
            <w:r w:rsidRPr="00AE3A84">
              <w:rPr>
                <w:spacing w:val="-5"/>
                <w:lang w:val="es-AR"/>
              </w:rPr>
              <w:t xml:space="preserve"> </w:t>
            </w:r>
            <w:r>
              <w:rPr>
                <w:lang w:val="es-AR"/>
              </w:rPr>
              <w:t>et al.</w:t>
            </w:r>
          </w:p>
        </w:tc>
        <w:tc>
          <w:tcPr>
            <w:tcW w:w="1119" w:type="dxa"/>
            <w:vAlign w:val="center"/>
          </w:tcPr>
          <w:p w14:paraId="03A684A1"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263ABC6D" w14:textId="77777777" w:rsidR="0057201B" w:rsidRPr="00AE3A84" w:rsidRDefault="0057201B">
            <w:pPr>
              <w:pStyle w:val="BodyText"/>
              <w:jc w:val="center"/>
              <w:rPr>
                <w:spacing w:val="-1"/>
              </w:rPr>
            </w:pPr>
            <w:r w:rsidRPr="002D4964">
              <w:rPr>
                <w:spacing w:val="-1"/>
              </w:rPr>
              <w:t>311/22</w:t>
            </w:r>
          </w:p>
        </w:tc>
        <w:tc>
          <w:tcPr>
            <w:tcW w:w="1289" w:type="dxa"/>
            <w:vAlign w:val="center"/>
          </w:tcPr>
          <w:p w14:paraId="365B7452" w14:textId="77777777" w:rsidR="0057201B" w:rsidRPr="00AE3A84" w:rsidRDefault="0057201B">
            <w:pPr>
              <w:pStyle w:val="BodyText"/>
              <w:rPr>
                <w:lang w:val="es-ES"/>
              </w:rPr>
            </w:pPr>
            <w:r w:rsidRPr="00AE3A84">
              <w:rPr>
                <w:spacing w:val="-1"/>
              </w:rPr>
              <w:t>11/25/2022</w:t>
            </w:r>
          </w:p>
        </w:tc>
        <w:tc>
          <w:tcPr>
            <w:tcW w:w="1329" w:type="dxa"/>
            <w:vAlign w:val="center"/>
          </w:tcPr>
          <w:p w14:paraId="6D8A35A5" w14:textId="77777777" w:rsidR="0057201B" w:rsidRPr="00AE3A84" w:rsidRDefault="0057201B">
            <w:pPr>
              <w:pStyle w:val="BodyText"/>
              <w:rPr>
                <w:lang w:val="es-ES"/>
              </w:rPr>
            </w:pPr>
            <w:r w:rsidRPr="00AE3A84">
              <w:rPr>
                <w:spacing w:val="-1"/>
              </w:rPr>
              <w:t>1299-13</w:t>
            </w:r>
          </w:p>
        </w:tc>
        <w:tc>
          <w:tcPr>
            <w:tcW w:w="1350" w:type="dxa"/>
            <w:vAlign w:val="center"/>
          </w:tcPr>
          <w:p w14:paraId="6A38DC32" w14:textId="77777777" w:rsidR="0057201B" w:rsidRPr="00AE3A84" w:rsidRDefault="0057201B">
            <w:pPr>
              <w:pStyle w:val="BodyText"/>
              <w:rPr>
                <w:lang w:val="es-ES"/>
              </w:rPr>
            </w:pPr>
            <w:r w:rsidRPr="00AE3A84">
              <w:rPr>
                <w:spacing w:val="-1"/>
              </w:rPr>
              <w:t>15.142</w:t>
            </w:r>
          </w:p>
        </w:tc>
      </w:tr>
      <w:tr w:rsidR="0057201B" w:rsidRPr="00AE3A84" w14:paraId="19954599" w14:textId="77777777">
        <w:tc>
          <w:tcPr>
            <w:tcW w:w="534" w:type="dxa"/>
            <w:vAlign w:val="center"/>
          </w:tcPr>
          <w:p w14:paraId="0003F8D4" w14:textId="77777777" w:rsidR="0057201B" w:rsidRPr="00AE3A84" w:rsidRDefault="0057201B" w:rsidP="00933F91">
            <w:pPr>
              <w:pStyle w:val="BodyText"/>
              <w:widowControl/>
              <w:numPr>
                <w:ilvl w:val="0"/>
                <w:numId w:val="57"/>
              </w:numPr>
              <w:rPr>
                <w:lang w:val="es-ES"/>
              </w:rPr>
            </w:pPr>
          </w:p>
        </w:tc>
        <w:tc>
          <w:tcPr>
            <w:tcW w:w="2953" w:type="dxa"/>
            <w:vAlign w:val="center"/>
          </w:tcPr>
          <w:p w14:paraId="336D7B5D" w14:textId="77777777" w:rsidR="0057201B" w:rsidRPr="00AE3A84" w:rsidRDefault="0057201B">
            <w:pPr>
              <w:pStyle w:val="BodyText"/>
              <w:rPr>
                <w:lang w:val="es-ES"/>
              </w:rPr>
            </w:pPr>
            <w:r w:rsidRPr="00AE3A84">
              <w:rPr>
                <w:spacing w:val="-1"/>
              </w:rPr>
              <w:t>Edgard</w:t>
            </w:r>
            <w:r w:rsidRPr="00AE3A84">
              <w:rPr>
                <w:spacing w:val="-8"/>
              </w:rPr>
              <w:t xml:space="preserve"> </w:t>
            </w:r>
            <w:r w:rsidRPr="00AE3A84">
              <w:rPr>
                <w:spacing w:val="-1"/>
              </w:rPr>
              <w:t>Hernández</w:t>
            </w:r>
            <w:r w:rsidRPr="00AE3A84">
              <w:rPr>
                <w:spacing w:val="-8"/>
              </w:rPr>
              <w:t xml:space="preserve"> </w:t>
            </w:r>
            <w:r w:rsidRPr="00AE3A84">
              <w:rPr>
                <w:spacing w:val="-1"/>
              </w:rPr>
              <w:t>Torres</w:t>
            </w:r>
          </w:p>
        </w:tc>
        <w:tc>
          <w:tcPr>
            <w:tcW w:w="1119" w:type="dxa"/>
            <w:vAlign w:val="center"/>
          </w:tcPr>
          <w:p w14:paraId="0A2267EC" w14:textId="77777777" w:rsidR="0057201B" w:rsidRPr="00AE3A84" w:rsidRDefault="0057201B">
            <w:pPr>
              <w:pStyle w:val="BodyText"/>
              <w:rPr>
                <w:lang w:val="es-ES"/>
              </w:rPr>
            </w:pPr>
            <w:r w:rsidRPr="00AE3A84">
              <w:rPr>
                <w:spacing w:val="-1"/>
              </w:rPr>
              <w:t>Nicaragua</w:t>
            </w:r>
          </w:p>
        </w:tc>
        <w:tc>
          <w:tcPr>
            <w:tcW w:w="1141" w:type="dxa"/>
            <w:vAlign w:val="center"/>
          </w:tcPr>
          <w:p w14:paraId="64F96E75" w14:textId="77777777" w:rsidR="0057201B" w:rsidRPr="00AE3A84" w:rsidRDefault="0057201B">
            <w:pPr>
              <w:pStyle w:val="BodyText"/>
              <w:jc w:val="center"/>
              <w:rPr>
                <w:spacing w:val="-1"/>
              </w:rPr>
            </w:pPr>
            <w:r w:rsidRPr="002D4964">
              <w:rPr>
                <w:spacing w:val="-1"/>
              </w:rPr>
              <w:t>312/22</w:t>
            </w:r>
          </w:p>
        </w:tc>
        <w:tc>
          <w:tcPr>
            <w:tcW w:w="1289" w:type="dxa"/>
            <w:vAlign w:val="center"/>
          </w:tcPr>
          <w:p w14:paraId="500F7D05" w14:textId="77777777" w:rsidR="0057201B" w:rsidRPr="00AE3A84" w:rsidRDefault="0057201B">
            <w:pPr>
              <w:pStyle w:val="BodyText"/>
              <w:rPr>
                <w:lang w:val="es-ES"/>
              </w:rPr>
            </w:pPr>
            <w:r w:rsidRPr="00AE3A84">
              <w:rPr>
                <w:spacing w:val="-1"/>
              </w:rPr>
              <w:t>11/23/2022</w:t>
            </w:r>
          </w:p>
        </w:tc>
        <w:tc>
          <w:tcPr>
            <w:tcW w:w="1329" w:type="dxa"/>
            <w:vAlign w:val="center"/>
          </w:tcPr>
          <w:p w14:paraId="7D3C0A5F" w14:textId="77777777" w:rsidR="0057201B" w:rsidRPr="00AE3A84" w:rsidRDefault="0057201B">
            <w:pPr>
              <w:pStyle w:val="BodyText"/>
              <w:rPr>
                <w:lang w:val="es-ES"/>
              </w:rPr>
            </w:pPr>
            <w:r w:rsidRPr="00AE3A84">
              <w:rPr>
                <w:spacing w:val="-1"/>
              </w:rPr>
              <w:t>1224-18</w:t>
            </w:r>
          </w:p>
        </w:tc>
        <w:tc>
          <w:tcPr>
            <w:tcW w:w="1350" w:type="dxa"/>
            <w:vAlign w:val="center"/>
          </w:tcPr>
          <w:p w14:paraId="0366CB63" w14:textId="77777777" w:rsidR="0057201B" w:rsidRPr="00AE3A84" w:rsidRDefault="0057201B">
            <w:pPr>
              <w:pStyle w:val="BodyText"/>
              <w:rPr>
                <w:lang w:val="es-ES"/>
              </w:rPr>
            </w:pPr>
            <w:r w:rsidRPr="00AE3A84">
              <w:rPr>
                <w:spacing w:val="-1"/>
              </w:rPr>
              <w:t>15.143</w:t>
            </w:r>
          </w:p>
        </w:tc>
      </w:tr>
      <w:tr w:rsidR="0057201B" w:rsidRPr="00AE3A84" w14:paraId="2C1E4945" w14:textId="77777777">
        <w:tc>
          <w:tcPr>
            <w:tcW w:w="534" w:type="dxa"/>
            <w:vAlign w:val="center"/>
          </w:tcPr>
          <w:p w14:paraId="0E9BADA4" w14:textId="77777777" w:rsidR="0057201B" w:rsidRPr="00AE3A84" w:rsidRDefault="0057201B" w:rsidP="00933F91">
            <w:pPr>
              <w:pStyle w:val="BodyText"/>
              <w:widowControl/>
              <w:numPr>
                <w:ilvl w:val="0"/>
                <w:numId w:val="57"/>
              </w:numPr>
              <w:rPr>
                <w:lang w:val="es-ES"/>
              </w:rPr>
            </w:pPr>
          </w:p>
        </w:tc>
        <w:tc>
          <w:tcPr>
            <w:tcW w:w="2953" w:type="dxa"/>
            <w:vAlign w:val="center"/>
          </w:tcPr>
          <w:p w14:paraId="056122C1" w14:textId="77777777" w:rsidR="0057201B" w:rsidRPr="00AE3A84" w:rsidRDefault="0057201B">
            <w:pPr>
              <w:pStyle w:val="BodyText"/>
              <w:rPr>
                <w:lang w:val="es-ES"/>
              </w:rPr>
            </w:pPr>
            <w:r w:rsidRPr="00AE3A84">
              <w:rPr>
                <w:spacing w:val="-1"/>
              </w:rPr>
              <w:t>S</w:t>
            </w:r>
            <w:r>
              <w:rPr>
                <w:spacing w:val="-1"/>
              </w:rPr>
              <w:t>even Journalists</w:t>
            </w:r>
          </w:p>
        </w:tc>
        <w:tc>
          <w:tcPr>
            <w:tcW w:w="1119" w:type="dxa"/>
            <w:vAlign w:val="center"/>
          </w:tcPr>
          <w:p w14:paraId="7A7F0619"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7619F1ED" w14:textId="77777777" w:rsidR="0057201B" w:rsidRPr="00AE3A84" w:rsidRDefault="0057201B">
            <w:pPr>
              <w:pStyle w:val="BodyText"/>
              <w:jc w:val="center"/>
              <w:rPr>
                <w:spacing w:val="-1"/>
              </w:rPr>
            </w:pPr>
            <w:r w:rsidRPr="002D4964">
              <w:rPr>
                <w:spacing w:val="-1"/>
              </w:rPr>
              <w:t>315/22</w:t>
            </w:r>
          </w:p>
        </w:tc>
        <w:tc>
          <w:tcPr>
            <w:tcW w:w="1289" w:type="dxa"/>
            <w:vAlign w:val="center"/>
          </w:tcPr>
          <w:p w14:paraId="5C63133F" w14:textId="77777777" w:rsidR="0057201B" w:rsidRPr="00AE3A84" w:rsidRDefault="0057201B">
            <w:pPr>
              <w:pStyle w:val="BodyText"/>
              <w:rPr>
                <w:lang w:val="es-ES"/>
              </w:rPr>
            </w:pPr>
            <w:r w:rsidRPr="00AE3A84">
              <w:rPr>
                <w:spacing w:val="-1"/>
              </w:rPr>
              <w:t>11/21/2022</w:t>
            </w:r>
          </w:p>
        </w:tc>
        <w:tc>
          <w:tcPr>
            <w:tcW w:w="1329" w:type="dxa"/>
            <w:vAlign w:val="center"/>
          </w:tcPr>
          <w:p w14:paraId="5FE6455B" w14:textId="77777777" w:rsidR="0057201B" w:rsidRPr="00AE3A84" w:rsidRDefault="0057201B">
            <w:pPr>
              <w:pStyle w:val="BodyText"/>
              <w:rPr>
                <w:lang w:val="es-ES"/>
              </w:rPr>
            </w:pPr>
            <w:r w:rsidRPr="00AE3A84">
              <w:rPr>
                <w:spacing w:val="-1"/>
              </w:rPr>
              <w:t>1380-15</w:t>
            </w:r>
          </w:p>
        </w:tc>
        <w:tc>
          <w:tcPr>
            <w:tcW w:w="1350" w:type="dxa"/>
            <w:vAlign w:val="center"/>
          </w:tcPr>
          <w:p w14:paraId="1FFF9C5C" w14:textId="77777777" w:rsidR="0057201B" w:rsidRPr="00AE3A84" w:rsidRDefault="0057201B">
            <w:pPr>
              <w:pStyle w:val="BodyText"/>
              <w:rPr>
                <w:lang w:val="es-ES"/>
              </w:rPr>
            </w:pPr>
            <w:r w:rsidRPr="00AE3A84">
              <w:rPr>
                <w:spacing w:val="-1"/>
              </w:rPr>
              <w:t>15.144</w:t>
            </w:r>
          </w:p>
        </w:tc>
      </w:tr>
      <w:tr w:rsidR="0057201B" w:rsidRPr="00AE3A84" w14:paraId="4E3E55BC" w14:textId="77777777">
        <w:tc>
          <w:tcPr>
            <w:tcW w:w="534" w:type="dxa"/>
            <w:vAlign w:val="center"/>
          </w:tcPr>
          <w:p w14:paraId="20ED995C" w14:textId="77777777" w:rsidR="0057201B" w:rsidRPr="00AE3A84" w:rsidRDefault="0057201B" w:rsidP="00933F91">
            <w:pPr>
              <w:pStyle w:val="BodyText"/>
              <w:widowControl/>
              <w:numPr>
                <w:ilvl w:val="0"/>
                <w:numId w:val="57"/>
              </w:numPr>
              <w:rPr>
                <w:lang w:val="es-ES"/>
              </w:rPr>
            </w:pPr>
          </w:p>
        </w:tc>
        <w:tc>
          <w:tcPr>
            <w:tcW w:w="2953" w:type="dxa"/>
            <w:vAlign w:val="center"/>
          </w:tcPr>
          <w:p w14:paraId="5621283A" w14:textId="77777777" w:rsidR="0057201B" w:rsidRPr="00AE3A84" w:rsidRDefault="0057201B">
            <w:pPr>
              <w:pStyle w:val="BodyText"/>
              <w:rPr>
                <w:lang w:val="es-ES"/>
              </w:rPr>
            </w:pPr>
            <w:r w:rsidRPr="00AE3A84">
              <w:rPr>
                <w:spacing w:val="-1"/>
              </w:rPr>
              <w:t>Jorge</w:t>
            </w:r>
            <w:r w:rsidRPr="00AE3A84">
              <w:rPr>
                <w:spacing w:val="-5"/>
              </w:rPr>
              <w:t xml:space="preserve"> </w:t>
            </w:r>
            <w:r w:rsidRPr="00AE3A84">
              <w:rPr>
                <w:spacing w:val="-1"/>
              </w:rPr>
              <w:t>Luis</w:t>
            </w:r>
            <w:r w:rsidRPr="00AE3A84">
              <w:rPr>
                <w:spacing w:val="-5"/>
              </w:rPr>
              <w:t xml:space="preserve"> </w:t>
            </w:r>
            <w:r w:rsidRPr="00AE3A84">
              <w:t>Feris</w:t>
            </w:r>
            <w:r w:rsidRPr="00AE3A84">
              <w:rPr>
                <w:spacing w:val="-6"/>
              </w:rPr>
              <w:t xml:space="preserve"> </w:t>
            </w:r>
            <w:r w:rsidRPr="00AE3A84">
              <w:rPr>
                <w:spacing w:val="-1"/>
              </w:rPr>
              <w:t>Chadid</w:t>
            </w:r>
          </w:p>
        </w:tc>
        <w:tc>
          <w:tcPr>
            <w:tcW w:w="1119" w:type="dxa"/>
            <w:vAlign w:val="center"/>
          </w:tcPr>
          <w:p w14:paraId="51110FB0" w14:textId="77777777" w:rsidR="0057201B" w:rsidRPr="00AE3A84" w:rsidRDefault="0057201B">
            <w:pPr>
              <w:pStyle w:val="BodyText"/>
              <w:rPr>
                <w:lang w:val="es-ES"/>
              </w:rPr>
            </w:pPr>
            <w:r w:rsidRPr="00AE3A84">
              <w:rPr>
                <w:spacing w:val="-1"/>
              </w:rPr>
              <w:t>Colombia</w:t>
            </w:r>
          </w:p>
        </w:tc>
        <w:tc>
          <w:tcPr>
            <w:tcW w:w="1141" w:type="dxa"/>
            <w:vAlign w:val="center"/>
          </w:tcPr>
          <w:p w14:paraId="1693ABE1" w14:textId="77777777" w:rsidR="0057201B" w:rsidRPr="00AE3A84" w:rsidRDefault="0057201B">
            <w:pPr>
              <w:pStyle w:val="BodyText"/>
              <w:jc w:val="center"/>
              <w:rPr>
                <w:spacing w:val="-1"/>
              </w:rPr>
            </w:pPr>
            <w:r w:rsidRPr="002D4964">
              <w:rPr>
                <w:spacing w:val="-1"/>
              </w:rPr>
              <w:t>316/22</w:t>
            </w:r>
          </w:p>
        </w:tc>
        <w:tc>
          <w:tcPr>
            <w:tcW w:w="1289" w:type="dxa"/>
            <w:vAlign w:val="center"/>
          </w:tcPr>
          <w:p w14:paraId="3A35A184" w14:textId="77777777" w:rsidR="0057201B" w:rsidRPr="00AE3A84" w:rsidRDefault="0057201B">
            <w:pPr>
              <w:pStyle w:val="BodyText"/>
              <w:rPr>
                <w:lang w:val="es-ES"/>
              </w:rPr>
            </w:pPr>
            <w:r w:rsidRPr="00AE3A84">
              <w:rPr>
                <w:spacing w:val="-1"/>
              </w:rPr>
              <w:t>11/23/2022</w:t>
            </w:r>
          </w:p>
        </w:tc>
        <w:tc>
          <w:tcPr>
            <w:tcW w:w="1329" w:type="dxa"/>
            <w:vAlign w:val="center"/>
          </w:tcPr>
          <w:p w14:paraId="3682296F" w14:textId="77777777" w:rsidR="0057201B" w:rsidRPr="00AE3A84" w:rsidRDefault="0057201B">
            <w:pPr>
              <w:pStyle w:val="BodyText"/>
              <w:rPr>
                <w:lang w:val="es-ES"/>
              </w:rPr>
            </w:pPr>
            <w:r w:rsidRPr="00AE3A84">
              <w:rPr>
                <w:spacing w:val="-1"/>
              </w:rPr>
              <w:t>2172-13</w:t>
            </w:r>
          </w:p>
        </w:tc>
        <w:tc>
          <w:tcPr>
            <w:tcW w:w="1350" w:type="dxa"/>
            <w:vAlign w:val="center"/>
          </w:tcPr>
          <w:p w14:paraId="3A7C510E" w14:textId="77777777" w:rsidR="0057201B" w:rsidRPr="00AE3A84" w:rsidRDefault="0057201B">
            <w:pPr>
              <w:pStyle w:val="BodyText"/>
              <w:rPr>
                <w:lang w:val="es-ES"/>
              </w:rPr>
            </w:pPr>
            <w:r w:rsidRPr="00AE3A84">
              <w:rPr>
                <w:spacing w:val="-1"/>
              </w:rPr>
              <w:t>15.145</w:t>
            </w:r>
          </w:p>
        </w:tc>
      </w:tr>
      <w:tr w:rsidR="0057201B" w:rsidRPr="00AE3A84" w14:paraId="5F3FFBF8" w14:textId="77777777">
        <w:tc>
          <w:tcPr>
            <w:tcW w:w="534" w:type="dxa"/>
            <w:vAlign w:val="center"/>
          </w:tcPr>
          <w:p w14:paraId="486BEA5C" w14:textId="77777777" w:rsidR="0057201B" w:rsidRPr="00AE3A84" w:rsidRDefault="0057201B" w:rsidP="00933F91">
            <w:pPr>
              <w:pStyle w:val="BodyText"/>
              <w:widowControl/>
              <w:numPr>
                <w:ilvl w:val="0"/>
                <w:numId w:val="57"/>
              </w:numPr>
              <w:rPr>
                <w:lang w:val="es-ES"/>
              </w:rPr>
            </w:pPr>
          </w:p>
        </w:tc>
        <w:tc>
          <w:tcPr>
            <w:tcW w:w="2953" w:type="dxa"/>
            <w:vAlign w:val="center"/>
          </w:tcPr>
          <w:p w14:paraId="6F0A95D3" w14:textId="77777777" w:rsidR="0057201B" w:rsidRPr="00AE3A84" w:rsidRDefault="0057201B">
            <w:pPr>
              <w:pStyle w:val="BodyText"/>
              <w:rPr>
                <w:lang w:val="es-ES"/>
              </w:rPr>
            </w:pPr>
            <w:r w:rsidRPr="00AE3A84">
              <w:rPr>
                <w:spacing w:val="-1"/>
              </w:rPr>
              <w:t>Maurice</w:t>
            </w:r>
            <w:r w:rsidRPr="00AE3A84">
              <w:rPr>
                <w:spacing w:val="-11"/>
              </w:rPr>
              <w:t xml:space="preserve"> </w:t>
            </w:r>
            <w:r w:rsidRPr="00AE3A84">
              <w:rPr>
                <w:spacing w:val="-1"/>
              </w:rPr>
              <w:t>Tomlinson</w:t>
            </w:r>
          </w:p>
        </w:tc>
        <w:tc>
          <w:tcPr>
            <w:tcW w:w="1119" w:type="dxa"/>
            <w:vAlign w:val="center"/>
          </w:tcPr>
          <w:p w14:paraId="0422A7A8" w14:textId="77777777" w:rsidR="0057201B" w:rsidRPr="00AE3A84" w:rsidRDefault="0057201B">
            <w:pPr>
              <w:pStyle w:val="BodyText"/>
              <w:rPr>
                <w:lang w:val="es-ES"/>
              </w:rPr>
            </w:pPr>
            <w:r w:rsidRPr="00AE3A84">
              <w:rPr>
                <w:spacing w:val="-1"/>
              </w:rPr>
              <w:t>Jamaica</w:t>
            </w:r>
          </w:p>
        </w:tc>
        <w:tc>
          <w:tcPr>
            <w:tcW w:w="1141" w:type="dxa"/>
            <w:vAlign w:val="center"/>
          </w:tcPr>
          <w:p w14:paraId="40869001" w14:textId="77777777" w:rsidR="0057201B" w:rsidRPr="00AE3A84" w:rsidRDefault="0057201B">
            <w:pPr>
              <w:pStyle w:val="BodyText"/>
              <w:jc w:val="center"/>
              <w:rPr>
                <w:spacing w:val="-1"/>
              </w:rPr>
            </w:pPr>
            <w:r w:rsidRPr="002D4964">
              <w:rPr>
                <w:spacing w:val="-1"/>
              </w:rPr>
              <w:t>317/22</w:t>
            </w:r>
          </w:p>
        </w:tc>
        <w:tc>
          <w:tcPr>
            <w:tcW w:w="1289" w:type="dxa"/>
            <w:vAlign w:val="center"/>
          </w:tcPr>
          <w:p w14:paraId="054F4425" w14:textId="77777777" w:rsidR="0057201B" w:rsidRPr="00AE3A84" w:rsidRDefault="0057201B">
            <w:pPr>
              <w:pStyle w:val="BodyText"/>
              <w:rPr>
                <w:lang w:val="es-ES"/>
              </w:rPr>
            </w:pPr>
            <w:r w:rsidRPr="00AE3A84">
              <w:rPr>
                <w:spacing w:val="-1"/>
              </w:rPr>
              <w:t>11/23/2022</w:t>
            </w:r>
          </w:p>
        </w:tc>
        <w:tc>
          <w:tcPr>
            <w:tcW w:w="1329" w:type="dxa"/>
            <w:vAlign w:val="center"/>
          </w:tcPr>
          <w:p w14:paraId="4CF5E162" w14:textId="77777777" w:rsidR="0057201B" w:rsidRPr="00AE3A84" w:rsidRDefault="0057201B">
            <w:pPr>
              <w:pStyle w:val="BodyText"/>
              <w:rPr>
                <w:lang w:val="es-ES"/>
              </w:rPr>
            </w:pPr>
            <w:r w:rsidRPr="00AE3A84">
              <w:rPr>
                <w:spacing w:val="-1"/>
              </w:rPr>
              <w:t>1628-18</w:t>
            </w:r>
          </w:p>
        </w:tc>
        <w:tc>
          <w:tcPr>
            <w:tcW w:w="1350" w:type="dxa"/>
            <w:vAlign w:val="center"/>
          </w:tcPr>
          <w:p w14:paraId="0FD4514F" w14:textId="77777777" w:rsidR="0057201B" w:rsidRPr="00AE3A84" w:rsidRDefault="0057201B">
            <w:pPr>
              <w:pStyle w:val="BodyText"/>
              <w:rPr>
                <w:lang w:val="es-ES"/>
              </w:rPr>
            </w:pPr>
            <w:r w:rsidRPr="00AE3A84">
              <w:rPr>
                <w:spacing w:val="-1"/>
              </w:rPr>
              <w:t>15.146</w:t>
            </w:r>
          </w:p>
        </w:tc>
      </w:tr>
      <w:tr w:rsidR="0057201B" w:rsidRPr="00AE3A84" w14:paraId="233E76B8" w14:textId="77777777">
        <w:tc>
          <w:tcPr>
            <w:tcW w:w="534" w:type="dxa"/>
            <w:vAlign w:val="center"/>
          </w:tcPr>
          <w:p w14:paraId="34B242BE" w14:textId="77777777" w:rsidR="0057201B" w:rsidRPr="00AE3A84" w:rsidRDefault="0057201B" w:rsidP="00933F91">
            <w:pPr>
              <w:pStyle w:val="BodyText"/>
              <w:widowControl/>
              <w:numPr>
                <w:ilvl w:val="0"/>
                <w:numId w:val="57"/>
              </w:numPr>
              <w:rPr>
                <w:lang w:val="es-ES"/>
              </w:rPr>
            </w:pPr>
          </w:p>
        </w:tc>
        <w:tc>
          <w:tcPr>
            <w:tcW w:w="2953" w:type="dxa"/>
            <w:vAlign w:val="center"/>
          </w:tcPr>
          <w:p w14:paraId="35B75136" w14:textId="77777777" w:rsidR="0057201B" w:rsidRPr="00AE3A84" w:rsidRDefault="0057201B">
            <w:pPr>
              <w:pStyle w:val="BodyText"/>
              <w:rPr>
                <w:lang w:val="es-ES"/>
              </w:rPr>
            </w:pPr>
            <w:r w:rsidRPr="00AE3A84">
              <w:rPr>
                <w:spacing w:val="-1"/>
              </w:rPr>
              <w:t>Orlando</w:t>
            </w:r>
            <w:r w:rsidRPr="00AE3A84">
              <w:rPr>
                <w:spacing w:val="-8"/>
              </w:rPr>
              <w:t xml:space="preserve"> </w:t>
            </w:r>
            <w:r w:rsidRPr="00AE3A84">
              <w:rPr>
                <w:spacing w:val="-1"/>
              </w:rPr>
              <w:t>José</w:t>
            </w:r>
            <w:r w:rsidRPr="00AE3A84">
              <w:rPr>
                <w:spacing w:val="-6"/>
              </w:rPr>
              <w:t xml:space="preserve"> </w:t>
            </w:r>
            <w:r w:rsidRPr="00AE3A84">
              <w:rPr>
                <w:spacing w:val="-1"/>
              </w:rPr>
              <w:t>Jiménez</w:t>
            </w:r>
            <w:r w:rsidRPr="00AE3A84">
              <w:rPr>
                <w:spacing w:val="-7"/>
              </w:rPr>
              <w:t xml:space="preserve"> </w:t>
            </w:r>
            <w:r w:rsidRPr="00AE3A84">
              <w:rPr>
                <w:spacing w:val="-1"/>
              </w:rPr>
              <w:t>Hernández</w:t>
            </w:r>
          </w:p>
        </w:tc>
        <w:tc>
          <w:tcPr>
            <w:tcW w:w="1119" w:type="dxa"/>
            <w:vAlign w:val="center"/>
          </w:tcPr>
          <w:p w14:paraId="54B34475" w14:textId="77777777" w:rsidR="0057201B" w:rsidRPr="00AE3A84" w:rsidRDefault="0057201B">
            <w:pPr>
              <w:pStyle w:val="BodyText"/>
              <w:rPr>
                <w:lang w:val="es-ES"/>
              </w:rPr>
            </w:pPr>
            <w:r w:rsidRPr="00AE3A84">
              <w:rPr>
                <w:spacing w:val="-1"/>
              </w:rPr>
              <w:t>Nicaragua</w:t>
            </w:r>
          </w:p>
        </w:tc>
        <w:tc>
          <w:tcPr>
            <w:tcW w:w="1141" w:type="dxa"/>
            <w:vAlign w:val="center"/>
          </w:tcPr>
          <w:p w14:paraId="7C560D0C" w14:textId="77777777" w:rsidR="0057201B" w:rsidRPr="00AE3A84" w:rsidRDefault="0057201B">
            <w:pPr>
              <w:pStyle w:val="BodyText"/>
              <w:jc w:val="center"/>
              <w:rPr>
                <w:spacing w:val="-1"/>
              </w:rPr>
            </w:pPr>
            <w:r w:rsidRPr="002D4964">
              <w:rPr>
                <w:spacing w:val="-1"/>
              </w:rPr>
              <w:t>320/22</w:t>
            </w:r>
          </w:p>
        </w:tc>
        <w:tc>
          <w:tcPr>
            <w:tcW w:w="1289" w:type="dxa"/>
            <w:vAlign w:val="center"/>
          </w:tcPr>
          <w:p w14:paraId="0C3F8FAE" w14:textId="77777777" w:rsidR="0057201B" w:rsidRPr="00AE3A84" w:rsidRDefault="0057201B">
            <w:pPr>
              <w:pStyle w:val="BodyText"/>
              <w:rPr>
                <w:lang w:val="es-ES"/>
              </w:rPr>
            </w:pPr>
            <w:r w:rsidRPr="00AE3A84">
              <w:rPr>
                <w:spacing w:val="-1"/>
              </w:rPr>
              <w:t>11/25/2022</w:t>
            </w:r>
          </w:p>
        </w:tc>
        <w:tc>
          <w:tcPr>
            <w:tcW w:w="1329" w:type="dxa"/>
            <w:vAlign w:val="center"/>
          </w:tcPr>
          <w:p w14:paraId="7D77C5AC" w14:textId="77777777" w:rsidR="0057201B" w:rsidRPr="00AE3A84" w:rsidRDefault="0057201B">
            <w:pPr>
              <w:pStyle w:val="BodyText"/>
              <w:rPr>
                <w:lang w:val="es-ES"/>
              </w:rPr>
            </w:pPr>
            <w:r w:rsidRPr="00AE3A84">
              <w:rPr>
                <w:spacing w:val="-1"/>
              </w:rPr>
              <w:t>851-17</w:t>
            </w:r>
          </w:p>
        </w:tc>
        <w:tc>
          <w:tcPr>
            <w:tcW w:w="1350" w:type="dxa"/>
            <w:vAlign w:val="center"/>
          </w:tcPr>
          <w:p w14:paraId="76E751EA" w14:textId="77777777" w:rsidR="0057201B" w:rsidRPr="00AE3A84" w:rsidRDefault="0057201B">
            <w:pPr>
              <w:pStyle w:val="BodyText"/>
              <w:rPr>
                <w:lang w:val="es-ES"/>
              </w:rPr>
            </w:pPr>
            <w:r w:rsidRPr="00AE3A84">
              <w:rPr>
                <w:spacing w:val="-1"/>
              </w:rPr>
              <w:t>15.154</w:t>
            </w:r>
          </w:p>
        </w:tc>
      </w:tr>
      <w:tr w:rsidR="0057201B" w:rsidRPr="00AE3A84" w14:paraId="04619D88" w14:textId="77777777">
        <w:tc>
          <w:tcPr>
            <w:tcW w:w="534" w:type="dxa"/>
            <w:vAlign w:val="center"/>
          </w:tcPr>
          <w:p w14:paraId="2E5D3C4C" w14:textId="77777777" w:rsidR="0057201B" w:rsidRPr="00AE3A84" w:rsidRDefault="0057201B" w:rsidP="00933F91">
            <w:pPr>
              <w:pStyle w:val="BodyText"/>
              <w:widowControl/>
              <w:numPr>
                <w:ilvl w:val="0"/>
                <w:numId w:val="57"/>
              </w:numPr>
              <w:rPr>
                <w:lang w:val="es-ES"/>
              </w:rPr>
            </w:pPr>
          </w:p>
        </w:tc>
        <w:tc>
          <w:tcPr>
            <w:tcW w:w="2953" w:type="dxa"/>
            <w:vAlign w:val="center"/>
          </w:tcPr>
          <w:p w14:paraId="49DF0614" w14:textId="77777777" w:rsidR="0057201B" w:rsidRPr="00AE3A84" w:rsidRDefault="0057201B">
            <w:pPr>
              <w:pStyle w:val="BodyText"/>
              <w:rPr>
                <w:lang w:val="es-ES"/>
              </w:rPr>
            </w:pPr>
            <w:r w:rsidRPr="00AE3A84">
              <w:rPr>
                <w:spacing w:val="-1"/>
                <w:lang w:val="es-AR"/>
              </w:rPr>
              <w:t>Bosco</w:t>
            </w:r>
            <w:r w:rsidRPr="00AE3A84">
              <w:rPr>
                <w:spacing w:val="-6"/>
                <w:lang w:val="es-AR"/>
              </w:rPr>
              <w:t xml:space="preserve"> </w:t>
            </w:r>
            <w:r w:rsidRPr="00AE3A84">
              <w:rPr>
                <w:spacing w:val="-1"/>
                <w:lang w:val="es-AR"/>
              </w:rPr>
              <w:t>José</w:t>
            </w:r>
            <w:r w:rsidRPr="00AE3A84">
              <w:rPr>
                <w:spacing w:val="-4"/>
                <w:lang w:val="es-AR"/>
              </w:rPr>
              <w:t xml:space="preserve"> </w:t>
            </w:r>
            <w:r w:rsidRPr="00AE3A84">
              <w:rPr>
                <w:spacing w:val="-1"/>
                <w:lang w:val="es-AR"/>
              </w:rPr>
              <w:t>Aguilera</w:t>
            </w:r>
            <w:r w:rsidRPr="00AE3A84">
              <w:rPr>
                <w:spacing w:val="-6"/>
                <w:lang w:val="es-AR"/>
              </w:rPr>
              <w:t xml:space="preserve"> </w:t>
            </w:r>
            <w:r w:rsidRPr="00AE3A84">
              <w:rPr>
                <w:spacing w:val="-1"/>
                <w:lang w:val="es-AR"/>
              </w:rPr>
              <w:t>Guevara</w:t>
            </w:r>
            <w:r w:rsidRPr="00AE3A84">
              <w:rPr>
                <w:spacing w:val="-5"/>
                <w:lang w:val="es-AR"/>
              </w:rPr>
              <w:t xml:space="preserve"> </w:t>
            </w:r>
            <w:r>
              <w:rPr>
                <w:lang w:val="es-AR"/>
              </w:rPr>
              <w:t>et al.</w:t>
            </w:r>
          </w:p>
        </w:tc>
        <w:tc>
          <w:tcPr>
            <w:tcW w:w="1119" w:type="dxa"/>
            <w:vAlign w:val="center"/>
          </w:tcPr>
          <w:p w14:paraId="0BF8F846" w14:textId="77777777" w:rsidR="0057201B" w:rsidRPr="00AE3A84" w:rsidRDefault="0057201B">
            <w:pPr>
              <w:pStyle w:val="BodyText"/>
              <w:rPr>
                <w:lang w:val="es-ES"/>
              </w:rPr>
            </w:pPr>
            <w:r w:rsidRPr="00AE3A84">
              <w:rPr>
                <w:spacing w:val="-1"/>
              </w:rPr>
              <w:t>Nicaragua</w:t>
            </w:r>
          </w:p>
        </w:tc>
        <w:tc>
          <w:tcPr>
            <w:tcW w:w="1141" w:type="dxa"/>
            <w:vAlign w:val="center"/>
          </w:tcPr>
          <w:p w14:paraId="69594216" w14:textId="77777777" w:rsidR="0057201B" w:rsidRPr="00AE3A84" w:rsidRDefault="0057201B">
            <w:pPr>
              <w:pStyle w:val="BodyText"/>
              <w:jc w:val="center"/>
              <w:rPr>
                <w:spacing w:val="-1"/>
              </w:rPr>
            </w:pPr>
            <w:r w:rsidRPr="002D4964">
              <w:rPr>
                <w:spacing w:val="-1"/>
              </w:rPr>
              <w:t>322/22</w:t>
            </w:r>
          </w:p>
        </w:tc>
        <w:tc>
          <w:tcPr>
            <w:tcW w:w="1289" w:type="dxa"/>
            <w:vAlign w:val="center"/>
          </w:tcPr>
          <w:p w14:paraId="204929B9" w14:textId="77777777" w:rsidR="0057201B" w:rsidRPr="00AE3A84" w:rsidRDefault="0057201B">
            <w:pPr>
              <w:pStyle w:val="BodyText"/>
              <w:rPr>
                <w:lang w:val="es-ES"/>
              </w:rPr>
            </w:pPr>
            <w:r w:rsidRPr="00AE3A84">
              <w:rPr>
                <w:spacing w:val="-1"/>
              </w:rPr>
              <w:t>11/29/2022</w:t>
            </w:r>
          </w:p>
        </w:tc>
        <w:tc>
          <w:tcPr>
            <w:tcW w:w="1329" w:type="dxa"/>
            <w:vAlign w:val="center"/>
          </w:tcPr>
          <w:p w14:paraId="31D26EFB" w14:textId="77777777" w:rsidR="0057201B" w:rsidRPr="00AE3A84" w:rsidRDefault="0057201B">
            <w:pPr>
              <w:pStyle w:val="BodyText"/>
              <w:rPr>
                <w:lang w:val="es-ES"/>
              </w:rPr>
            </w:pPr>
            <w:r w:rsidRPr="00AE3A84">
              <w:rPr>
                <w:spacing w:val="-1"/>
              </w:rPr>
              <w:t>2289-15</w:t>
            </w:r>
            <w:r w:rsidRPr="00AE3A84">
              <w:rPr>
                <w:spacing w:val="-7"/>
              </w:rPr>
              <w:t xml:space="preserve"> </w:t>
            </w:r>
            <w:r>
              <w:t>and</w:t>
            </w:r>
            <w:r w:rsidRPr="00AE3A84">
              <w:rPr>
                <w:spacing w:val="-5"/>
              </w:rPr>
              <w:t xml:space="preserve"> </w:t>
            </w:r>
            <w:r w:rsidRPr="00AE3A84">
              <w:rPr>
                <w:spacing w:val="-1"/>
              </w:rPr>
              <w:t>2290-15</w:t>
            </w:r>
          </w:p>
        </w:tc>
        <w:tc>
          <w:tcPr>
            <w:tcW w:w="1350" w:type="dxa"/>
            <w:vAlign w:val="center"/>
          </w:tcPr>
          <w:p w14:paraId="70F865AD" w14:textId="77777777" w:rsidR="0057201B" w:rsidRPr="00AE3A84" w:rsidRDefault="0057201B">
            <w:pPr>
              <w:pStyle w:val="BodyText"/>
              <w:rPr>
                <w:lang w:val="es-ES"/>
              </w:rPr>
            </w:pPr>
            <w:r w:rsidRPr="00AE3A84">
              <w:rPr>
                <w:spacing w:val="-1"/>
              </w:rPr>
              <w:t>15.155</w:t>
            </w:r>
          </w:p>
        </w:tc>
      </w:tr>
      <w:tr w:rsidR="0057201B" w:rsidRPr="00AE3A84" w14:paraId="63AD193D" w14:textId="77777777">
        <w:tc>
          <w:tcPr>
            <w:tcW w:w="534" w:type="dxa"/>
            <w:vAlign w:val="center"/>
          </w:tcPr>
          <w:p w14:paraId="2FE50B4D" w14:textId="77777777" w:rsidR="0057201B" w:rsidRPr="00AE3A84" w:rsidRDefault="0057201B" w:rsidP="00933F91">
            <w:pPr>
              <w:pStyle w:val="BodyText"/>
              <w:widowControl/>
              <w:numPr>
                <w:ilvl w:val="0"/>
                <w:numId w:val="57"/>
              </w:numPr>
              <w:rPr>
                <w:lang w:val="es-ES"/>
              </w:rPr>
            </w:pPr>
          </w:p>
        </w:tc>
        <w:tc>
          <w:tcPr>
            <w:tcW w:w="2953" w:type="dxa"/>
            <w:vAlign w:val="center"/>
          </w:tcPr>
          <w:p w14:paraId="00EF58DA" w14:textId="77777777" w:rsidR="0057201B" w:rsidRPr="00AE3A84" w:rsidRDefault="0057201B">
            <w:pPr>
              <w:pStyle w:val="BodyText"/>
              <w:rPr>
                <w:lang w:val="es-ES"/>
              </w:rPr>
            </w:pPr>
            <w:r w:rsidRPr="00AE3A84">
              <w:rPr>
                <w:spacing w:val="-1"/>
                <w:lang w:val="es-AR"/>
              </w:rPr>
              <w:t>Alfredo</w:t>
            </w:r>
            <w:r w:rsidRPr="00AE3A84">
              <w:rPr>
                <w:spacing w:val="-6"/>
                <w:lang w:val="es-AR"/>
              </w:rPr>
              <w:t xml:space="preserve"> </w:t>
            </w:r>
            <w:r w:rsidRPr="00AE3A84">
              <w:rPr>
                <w:spacing w:val="-1"/>
                <w:lang w:val="es-AR"/>
              </w:rPr>
              <w:t>López</w:t>
            </w:r>
            <w:r w:rsidRPr="00AE3A84">
              <w:rPr>
                <w:spacing w:val="-5"/>
                <w:lang w:val="es-AR"/>
              </w:rPr>
              <w:t xml:space="preserve"> </w:t>
            </w:r>
            <w:r w:rsidRPr="00AE3A84">
              <w:rPr>
                <w:spacing w:val="-1"/>
                <w:lang w:val="es-AR"/>
              </w:rPr>
              <w:t>Gallego</w:t>
            </w:r>
            <w:r w:rsidRPr="00AE3A84">
              <w:rPr>
                <w:spacing w:val="-6"/>
                <w:lang w:val="es-AR"/>
              </w:rPr>
              <w:t xml:space="preserve"> </w:t>
            </w:r>
            <w:r>
              <w:rPr>
                <w:lang w:val="es-AR"/>
              </w:rPr>
              <w:t>et al.</w:t>
            </w:r>
          </w:p>
        </w:tc>
        <w:tc>
          <w:tcPr>
            <w:tcW w:w="1119" w:type="dxa"/>
            <w:vAlign w:val="center"/>
          </w:tcPr>
          <w:p w14:paraId="7930486E" w14:textId="77777777" w:rsidR="0057201B" w:rsidRPr="00AE3A84" w:rsidRDefault="0057201B">
            <w:pPr>
              <w:pStyle w:val="BodyText"/>
              <w:rPr>
                <w:lang w:val="es-ES"/>
              </w:rPr>
            </w:pPr>
            <w:r w:rsidRPr="00AE3A84">
              <w:rPr>
                <w:spacing w:val="-1"/>
              </w:rPr>
              <w:t>Colombia</w:t>
            </w:r>
          </w:p>
        </w:tc>
        <w:tc>
          <w:tcPr>
            <w:tcW w:w="1141" w:type="dxa"/>
            <w:vAlign w:val="center"/>
          </w:tcPr>
          <w:p w14:paraId="4C57AEBB" w14:textId="77777777" w:rsidR="0057201B" w:rsidRPr="00AE3A84" w:rsidRDefault="0057201B">
            <w:pPr>
              <w:pStyle w:val="BodyText"/>
              <w:jc w:val="center"/>
              <w:rPr>
                <w:spacing w:val="-1"/>
              </w:rPr>
            </w:pPr>
            <w:r w:rsidRPr="002D4964">
              <w:rPr>
                <w:spacing w:val="-1"/>
              </w:rPr>
              <w:t>324/22</w:t>
            </w:r>
          </w:p>
        </w:tc>
        <w:tc>
          <w:tcPr>
            <w:tcW w:w="1289" w:type="dxa"/>
            <w:vAlign w:val="center"/>
          </w:tcPr>
          <w:p w14:paraId="5AD70A3B" w14:textId="77777777" w:rsidR="0057201B" w:rsidRPr="00AE3A84" w:rsidRDefault="0057201B">
            <w:pPr>
              <w:pStyle w:val="BodyText"/>
              <w:rPr>
                <w:lang w:val="es-ES"/>
              </w:rPr>
            </w:pPr>
            <w:r w:rsidRPr="00AE3A84">
              <w:rPr>
                <w:spacing w:val="-1"/>
              </w:rPr>
              <w:t>11/29/2022</w:t>
            </w:r>
          </w:p>
        </w:tc>
        <w:tc>
          <w:tcPr>
            <w:tcW w:w="1329" w:type="dxa"/>
            <w:vAlign w:val="center"/>
          </w:tcPr>
          <w:p w14:paraId="06B07286" w14:textId="77777777" w:rsidR="0057201B" w:rsidRPr="00AE3A84" w:rsidRDefault="0057201B">
            <w:pPr>
              <w:pStyle w:val="BodyText"/>
              <w:rPr>
                <w:lang w:val="es-ES"/>
              </w:rPr>
            </w:pPr>
            <w:r w:rsidRPr="00AE3A84">
              <w:rPr>
                <w:spacing w:val="-1"/>
              </w:rPr>
              <w:t>828-13</w:t>
            </w:r>
          </w:p>
        </w:tc>
        <w:tc>
          <w:tcPr>
            <w:tcW w:w="1350" w:type="dxa"/>
            <w:vAlign w:val="center"/>
          </w:tcPr>
          <w:p w14:paraId="3A26202C" w14:textId="77777777" w:rsidR="0057201B" w:rsidRPr="00AE3A84" w:rsidRDefault="0057201B">
            <w:pPr>
              <w:pStyle w:val="BodyText"/>
              <w:rPr>
                <w:lang w:val="es-ES"/>
              </w:rPr>
            </w:pPr>
            <w:r w:rsidRPr="00AE3A84">
              <w:rPr>
                <w:spacing w:val="-1"/>
              </w:rPr>
              <w:t>15.156</w:t>
            </w:r>
          </w:p>
        </w:tc>
      </w:tr>
      <w:tr w:rsidR="0057201B" w:rsidRPr="00AE3A84" w14:paraId="431A0643" w14:textId="77777777">
        <w:tc>
          <w:tcPr>
            <w:tcW w:w="534" w:type="dxa"/>
            <w:vAlign w:val="center"/>
          </w:tcPr>
          <w:p w14:paraId="02AE3086" w14:textId="77777777" w:rsidR="0057201B" w:rsidRPr="00AE3A84" w:rsidRDefault="0057201B" w:rsidP="00933F91">
            <w:pPr>
              <w:pStyle w:val="BodyText"/>
              <w:widowControl/>
              <w:numPr>
                <w:ilvl w:val="0"/>
                <w:numId w:val="57"/>
              </w:numPr>
              <w:rPr>
                <w:lang w:val="es-ES"/>
              </w:rPr>
            </w:pPr>
          </w:p>
        </w:tc>
        <w:tc>
          <w:tcPr>
            <w:tcW w:w="2953" w:type="dxa"/>
            <w:vAlign w:val="center"/>
          </w:tcPr>
          <w:p w14:paraId="6F8845B7" w14:textId="77777777" w:rsidR="0057201B" w:rsidRPr="00AE3A84" w:rsidRDefault="0057201B">
            <w:pPr>
              <w:pStyle w:val="BodyText"/>
              <w:rPr>
                <w:lang w:val="es-ES"/>
              </w:rPr>
            </w:pPr>
            <w:r w:rsidRPr="00AE3A84">
              <w:rPr>
                <w:spacing w:val="-1"/>
              </w:rPr>
              <w:t>Rosa</w:t>
            </w:r>
            <w:r w:rsidRPr="00AE3A84">
              <w:rPr>
                <w:spacing w:val="-6"/>
              </w:rPr>
              <w:t xml:space="preserve"> </w:t>
            </w:r>
            <w:r w:rsidRPr="00AE3A84">
              <w:rPr>
                <w:spacing w:val="-1"/>
              </w:rPr>
              <w:t>Bezerra</w:t>
            </w:r>
            <w:r w:rsidRPr="00AE3A84">
              <w:rPr>
                <w:spacing w:val="-6"/>
              </w:rPr>
              <w:t xml:space="preserve"> </w:t>
            </w:r>
            <w:r w:rsidRPr="00AE3A84">
              <w:rPr>
                <w:spacing w:val="-1"/>
              </w:rPr>
              <w:t>da</w:t>
            </w:r>
            <w:r w:rsidRPr="00AE3A84">
              <w:rPr>
                <w:spacing w:val="-5"/>
              </w:rPr>
              <w:t xml:space="preserve"> </w:t>
            </w:r>
            <w:r w:rsidRPr="00AE3A84">
              <w:t>Silva</w:t>
            </w:r>
          </w:p>
        </w:tc>
        <w:tc>
          <w:tcPr>
            <w:tcW w:w="1119" w:type="dxa"/>
            <w:vAlign w:val="center"/>
          </w:tcPr>
          <w:p w14:paraId="59E770CC" w14:textId="77777777" w:rsidR="0057201B" w:rsidRPr="00AE3A84" w:rsidRDefault="0057201B">
            <w:pPr>
              <w:pStyle w:val="BodyText"/>
              <w:rPr>
                <w:lang w:val="es-ES"/>
              </w:rPr>
            </w:pPr>
            <w:r w:rsidRPr="00AE3A84">
              <w:rPr>
                <w:spacing w:val="-1"/>
              </w:rPr>
              <w:t>Bra</w:t>
            </w:r>
            <w:r>
              <w:rPr>
                <w:spacing w:val="-1"/>
              </w:rPr>
              <w:t>z</w:t>
            </w:r>
            <w:r w:rsidRPr="00AE3A84">
              <w:rPr>
                <w:spacing w:val="-1"/>
              </w:rPr>
              <w:t>il</w:t>
            </w:r>
          </w:p>
        </w:tc>
        <w:tc>
          <w:tcPr>
            <w:tcW w:w="1141" w:type="dxa"/>
            <w:vAlign w:val="center"/>
          </w:tcPr>
          <w:p w14:paraId="1EDF217F" w14:textId="77777777" w:rsidR="0057201B" w:rsidRPr="00AE3A84" w:rsidRDefault="0057201B">
            <w:pPr>
              <w:pStyle w:val="BodyText"/>
              <w:jc w:val="center"/>
              <w:rPr>
                <w:spacing w:val="-1"/>
              </w:rPr>
            </w:pPr>
            <w:r w:rsidRPr="002D4964">
              <w:rPr>
                <w:spacing w:val="-1"/>
              </w:rPr>
              <w:t>325/22</w:t>
            </w:r>
          </w:p>
        </w:tc>
        <w:tc>
          <w:tcPr>
            <w:tcW w:w="1289" w:type="dxa"/>
            <w:vAlign w:val="center"/>
          </w:tcPr>
          <w:p w14:paraId="7114C160" w14:textId="77777777" w:rsidR="0057201B" w:rsidRPr="00AE3A84" w:rsidRDefault="0057201B">
            <w:pPr>
              <w:pStyle w:val="BodyText"/>
              <w:rPr>
                <w:lang w:val="es-ES"/>
              </w:rPr>
            </w:pPr>
            <w:r w:rsidRPr="00AE3A84">
              <w:rPr>
                <w:spacing w:val="-1"/>
              </w:rPr>
              <w:t>11/29/2022</w:t>
            </w:r>
          </w:p>
        </w:tc>
        <w:tc>
          <w:tcPr>
            <w:tcW w:w="1329" w:type="dxa"/>
            <w:vAlign w:val="center"/>
          </w:tcPr>
          <w:p w14:paraId="444B8193" w14:textId="77777777" w:rsidR="0057201B" w:rsidRPr="00AE3A84" w:rsidRDefault="0057201B">
            <w:pPr>
              <w:pStyle w:val="BodyText"/>
              <w:rPr>
                <w:lang w:val="es-ES"/>
              </w:rPr>
            </w:pPr>
            <w:r w:rsidRPr="00AE3A84">
              <w:rPr>
                <w:spacing w:val="-1"/>
              </w:rPr>
              <w:t>570-14</w:t>
            </w:r>
          </w:p>
        </w:tc>
        <w:tc>
          <w:tcPr>
            <w:tcW w:w="1350" w:type="dxa"/>
            <w:vAlign w:val="center"/>
          </w:tcPr>
          <w:p w14:paraId="1FB6CE6E" w14:textId="77777777" w:rsidR="0057201B" w:rsidRPr="00AE3A84" w:rsidRDefault="0057201B">
            <w:pPr>
              <w:pStyle w:val="BodyText"/>
              <w:rPr>
                <w:lang w:val="es-ES"/>
              </w:rPr>
            </w:pPr>
            <w:r w:rsidRPr="00AE3A84">
              <w:rPr>
                <w:spacing w:val="-1"/>
              </w:rPr>
              <w:t>15.157</w:t>
            </w:r>
          </w:p>
        </w:tc>
      </w:tr>
      <w:tr w:rsidR="0057201B" w:rsidRPr="00AE3A84" w14:paraId="15EC8FA4" w14:textId="77777777">
        <w:tc>
          <w:tcPr>
            <w:tcW w:w="534" w:type="dxa"/>
            <w:vAlign w:val="center"/>
          </w:tcPr>
          <w:p w14:paraId="586F09F0" w14:textId="77777777" w:rsidR="0057201B" w:rsidRPr="00AE3A84" w:rsidRDefault="0057201B" w:rsidP="00933F91">
            <w:pPr>
              <w:pStyle w:val="BodyText"/>
              <w:widowControl/>
              <w:numPr>
                <w:ilvl w:val="0"/>
                <w:numId w:val="57"/>
              </w:numPr>
              <w:rPr>
                <w:lang w:val="es-ES"/>
              </w:rPr>
            </w:pPr>
          </w:p>
        </w:tc>
        <w:tc>
          <w:tcPr>
            <w:tcW w:w="2953" w:type="dxa"/>
            <w:vAlign w:val="center"/>
          </w:tcPr>
          <w:p w14:paraId="36DD0E9C" w14:textId="77777777" w:rsidR="0057201B" w:rsidRPr="00AE3A84" w:rsidRDefault="0057201B">
            <w:pPr>
              <w:pStyle w:val="BodyText"/>
              <w:rPr>
                <w:lang w:val="es-ES"/>
              </w:rPr>
            </w:pPr>
            <w:r w:rsidRPr="00AE3A84">
              <w:rPr>
                <w:spacing w:val="-1"/>
              </w:rPr>
              <w:t>Roberto</w:t>
            </w:r>
            <w:r w:rsidRPr="00AE3A84">
              <w:rPr>
                <w:spacing w:val="-8"/>
              </w:rPr>
              <w:t xml:space="preserve"> </w:t>
            </w:r>
            <w:r w:rsidRPr="00AE3A84">
              <w:rPr>
                <w:spacing w:val="-1"/>
              </w:rPr>
              <w:t>López</w:t>
            </w:r>
            <w:r w:rsidRPr="00AE3A84">
              <w:rPr>
                <w:spacing w:val="-7"/>
              </w:rPr>
              <w:t xml:space="preserve"> </w:t>
            </w:r>
            <w:r w:rsidRPr="00AE3A84">
              <w:rPr>
                <w:spacing w:val="-1"/>
              </w:rPr>
              <w:t>Vargas</w:t>
            </w:r>
          </w:p>
        </w:tc>
        <w:tc>
          <w:tcPr>
            <w:tcW w:w="1119" w:type="dxa"/>
            <w:vAlign w:val="center"/>
          </w:tcPr>
          <w:p w14:paraId="59864904" w14:textId="77777777" w:rsidR="0057201B" w:rsidRPr="00AE3A84" w:rsidRDefault="0057201B">
            <w:pPr>
              <w:pStyle w:val="BodyText"/>
              <w:rPr>
                <w:lang w:val="es-ES"/>
              </w:rPr>
            </w:pPr>
            <w:r w:rsidRPr="00AE3A84">
              <w:rPr>
                <w:spacing w:val="-1"/>
              </w:rPr>
              <w:t>Nicaragua</w:t>
            </w:r>
          </w:p>
        </w:tc>
        <w:tc>
          <w:tcPr>
            <w:tcW w:w="1141" w:type="dxa"/>
            <w:vAlign w:val="center"/>
          </w:tcPr>
          <w:p w14:paraId="0FAC1033" w14:textId="77777777" w:rsidR="0057201B" w:rsidRPr="00AE3A84" w:rsidRDefault="0057201B">
            <w:pPr>
              <w:pStyle w:val="BodyText"/>
              <w:jc w:val="center"/>
              <w:rPr>
                <w:spacing w:val="-1"/>
              </w:rPr>
            </w:pPr>
            <w:r w:rsidRPr="002D4964">
              <w:rPr>
                <w:spacing w:val="-1"/>
              </w:rPr>
              <w:t>327/22</w:t>
            </w:r>
          </w:p>
        </w:tc>
        <w:tc>
          <w:tcPr>
            <w:tcW w:w="1289" w:type="dxa"/>
            <w:vAlign w:val="center"/>
          </w:tcPr>
          <w:p w14:paraId="56F61DA9" w14:textId="77777777" w:rsidR="0057201B" w:rsidRPr="00AE3A84" w:rsidRDefault="0057201B">
            <w:pPr>
              <w:pStyle w:val="BodyText"/>
              <w:rPr>
                <w:lang w:val="es-ES"/>
              </w:rPr>
            </w:pPr>
            <w:r w:rsidRPr="00AE3A84">
              <w:rPr>
                <w:spacing w:val="-1"/>
              </w:rPr>
              <w:t>11/29/2022</w:t>
            </w:r>
          </w:p>
        </w:tc>
        <w:tc>
          <w:tcPr>
            <w:tcW w:w="1329" w:type="dxa"/>
            <w:vAlign w:val="center"/>
          </w:tcPr>
          <w:p w14:paraId="3ADCD1E2" w14:textId="77777777" w:rsidR="0057201B" w:rsidRPr="00AE3A84" w:rsidRDefault="0057201B">
            <w:pPr>
              <w:pStyle w:val="BodyText"/>
              <w:rPr>
                <w:lang w:val="es-ES"/>
              </w:rPr>
            </w:pPr>
            <w:r w:rsidRPr="00AE3A84">
              <w:rPr>
                <w:spacing w:val="-1"/>
              </w:rPr>
              <w:t>1823-18</w:t>
            </w:r>
          </w:p>
        </w:tc>
        <w:tc>
          <w:tcPr>
            <w:tcW w:w="1350" w:type="dxa"/>
            <w:vAlign w:val="center"/>
          </w:tcPr>
          <w:p w14:paraId="446C9DBF" w14:textId="77777777" w:rsidR="0057201B" w:rsidRPr="00AE3A84" w:rsidRDefault="0057201B">
            <w:pPr>
              <w:pStyle w:val="BodyText"/>
              <w:rPr>
                <w:lang w:val="es-ES"/>
              </w:rPr>
            </w:pPr>
            <w:r w:rsidRPr="00AE3A84">
              <w:rPr>
                <w:spacing w:val="-1"/>
              </w:rPr>
              <w:t>15.158</w:t>
            </w:r>
          </w:p>
        </w:tc>
      </w:tr>
      <w:tr w:rsidR="0057201B" w:rsidRPr="00AE3A84" w14:paraId="1AC848B7" w14:textId="77777777">
        <w:tc>
          <w:tcPr>
            <w:tcW w:w="534" w:type="dxa"/>
            <w:vAlign w:val="center"/>
          </w:tcPr>
          <w:p w14:paraId="2F4F4598" w14:textId="77777777" w:rsidR="0057201B" w:rsidRPr="00AE3A84" w:rsidRDefault="0057201B" w:rsidP="00933F91">
            <w:pPr>
              <w:pStyle w:val="BodyText"/>
              <w:widowControl/>
              <w:numPr>
                <w:ilvl w:val="0"/>
                <w:numId w:val="57"/>
              </w:numPr>
              <w:rPr>
                <w:lang w:val="es-ES"/>
              </w:rPr>
            </w:pPr>
          </w:p>
        </w:tc>
        <w:tc>
          <w:tcPr>
            <w:tcW w:w="2953" w:type="dxa"/>
            <w:vAlign w:val="center"/>
          </w:tcPr>
          <w:p w14:paraId="0F2DA8D8" w14:textId="77777777" w:rsidR="0057201B" w:rsidRPr="00AE3A84" w:rsidRDefault="0057201B">
            <w:pPr>
              <w:pStyle w:val="BodyText"/>
              <w:rPr>
                <w:lang w:val="es-ES"/>
              </w:rPr>
            </w:pPr>
            <w:r w:rsidRPr="00AE3A84">
              <w:rPr>
                <w:spacing w:val="-1"/>
                <w:lang w:val="es-AR"/>
              </w:rPr>
              <w:t>Elsa</w:t>
            </w:r>
            <w:r w:rsidRPr="00AE3A84">
              <w:rPr>
                <w:spacing w:val="-7"/>
                <w:lang w:val="es-AR"/>
              </w:rPr>
              <w:t xml:space="preserve"> </w:t>
            </w:r>
            <w:r w:rsidRPr="00AE3A84">
              <w:rPr>
                <w:spacing w:val="-1"/>
                <w:lang w:val="es-AR"/>
              </w:rPr>
              <w:t>Cáceres</w:t>
            </w:r>
            <w:r w:rsidRPr="00AE3A84">
              <w:rPr>
                <w:spacing w:val="-6"/>
                <w:lang w:val="es-AR"/>
              </w:rPr>
              <w:t xml:space="preserve"> </w:t>
            </w:r>
            <w:r w:rsidRPr="00AE3A84">
              <w:rPr>
                <w:spacing w:val="-1"/>
                <w:lang w:val="es-AR"/>
              </w:rPr>
              <w:t>De</w:t>
            </w:r>
            <w:r w:rsidRPr="00AE3A84">
              <w:rPr>
                <w:spacing w:val="-4"/>
                <w:lang w:val="es-AR"/>
              </w:rPr>
              <w:t xml:space="preserve"> </w:t>
            </w:r>
            <w:r w:rsidRPr="00AE3A84">
              <w:rPr>
                <w:spacing w:val="-1"/>
                <w:lang w:val="es-AR"/>
              </w:rPr>
              <w:t>Dijkhuizen</w:t>
            </w:r>
            <w:r w:rsidRPr="00AE3A84">
              <w:rPr>
                <w:spacing w:val="-5"/>
                <w:lang w:val="es-AR"/>
              </w:rPr>
              <w:t xml:space="preserve"> </w:t>
            </w:r>
            <w:r>
              <w:rPr>
                <w:lang w:val="es-AR"/>
              </w:rPr>
              <w:t>and</w:t>
            </w:r>
            <w:r w:rsidRPr="00AE3A84">
              <w:rPr>
                <w:spacing w:val="-4"/>
                <w:lang w:val="es-AR"/>
              </w:rPr>
              <w:t xml:space="preserve"> </w:t>
            </w:r>
            <w:r w:rsidRPr="00AE3A84">
              <w:rPr>
                <w:spacing w:val="-1"/>
                <w:lang w:val="es-AR"/>
              </w:rPr>
              <w:t>Cornelis</w:t>
            </w:r>
            <w:r w:rsidRPr="00AE3A84">
              <w:rPr>
                <w:spacing w:val="-6"/>
                <w:lang w:val="es-AR"/>
              </w:rPr>
              <w:t xml:space="preserve"> </w:t>
            </w:r>
            <w:r w:rsidRPr="00AE3A84">
              <w:rPr>
                <w:spacing w:val="-1"/>
                <w:lang w:val="es-AR"/>
              </w:rPr>
              <w:t>Dijkhuizen</w:t>
            </w:r>
          </w:p>
        </w:tc>
        <w:tc>
          <w:tcPr>
            <w:tcW w:w="1119" w:type="dxa"/>
            <w:vAlign w:val="center"/>
          </w:tcPr>
          <w:p w14:paraId="65B32B07"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25868D1A" w14:textId="77777777" w:rsidR="0057201B" w:rsidRPr="00AE3A84" w:rsidRDefault="0057201B">
            <w:pPr>
              <w:pStyle w:val="BodyText"/>
              <w:jc w:val="center"/>
              <w:rPr>
                <w:spacing w:val="-1"/>
              </w:rPr>
            </w:pPr>
            <w:r w:rsidRPr="002D4964">
              <w:rPr>
                <w:spacing w:val="-1"/>
              </w:rPr>
              <w:t>345/22</w:t>
            </w:r>
          </w:p>
        </w:tc>
        <w:tc>
          <w:tcPr>
            <w:tcW w:w="1289" w:type="dxa"/>
            <w:vAlign w:val="center"/>
          </w:tcPr>
          <w:p w14:paraId="35DFE4F4" w14:textId="77777777" w:rsidR="0057201B" w:rsidRPr="00AE3A84" w:rsidRDefault="0057201B">
            <w:pPr>
              <w:pStyle w:val="BodyText"/>
              <w:rPr>
                <w:lang w:val="es-ES"/>
              </w:rPr>
            </w:pPr>
            <w:r w:rsidRPr="00AE3A84">
              <w:rPr>
                <w:spacing w:val="-1"/>
              </w:rPr>
              <w:t>10/21/2022</w:t>
            </w:r>
          </w:p>
        </w:tc>
        <w:tc>
          <w:tcPr>
            <w:tcW w:w="1329" w:type="dxa"/>
            <w:vAlign w:val="center"/>
          </w:tcPr>
          <w:p w14:paraId="695F3B8E" w14:textId="77777777" w:rsidR="0057201B" w:rsidRPr="00AE3A84" w:rsidRDefault="0057201B">
            <w:pPr>
              <w:pStyle w:val="BodyText"/>
              <w:rPr>
                <w:lang w:val="es-ES"/>
              </w:rPr>
            </w:pPr>
            <w:r w:rsidRPr="00AE3A84">
              <w:rPr>
                <w:spacing w:val="-1"/>
              </w:rPr>
              <w:t>562-14</w:t>
            </w:r>
          </w:p>
        </w:tc>
        <w:tc>
          <w:tcPr>
            <w:tcW w:w="1350" w:type="dxa"/>
            <w:vAlign w:val="center"/>
          </w:tcPr>
          <w:p w14:paraId="057CAB67" w14:textId="77777777" w:rsidR="0057201B" w:rsidRPr="00AE3A84" w:rsidRDefault="0057201B">
            <w:pPr>
              <w:pStyle w:val="BodyText"/>
              <w:rPr>
                <w:lang w:val="es-ES"/>
              </w:rPr>
            </w:pPr>
            <w:r w:rsidRPr="00AE3A84">
              <w:rPr>
                <w:spacing w:val="-1"/>
              </w:rPr>
              <w:t>15.159</w:t>
            </w:r>
          </w:p>
        </w:tc>
      </w:tr>
      <w:tr w:rsidR="0057201B" w:rsidRPr="00AE3A84" w14:paraId="0A381D20" w14:textId="77777777">
        <w:tc>
          <w:tcPr>
            <w:tcW w:w="534" w:type="dxa"/>
            <w:vAlign w:val="center"/>
          </w:tcPr>
          <w:p w14:paraId="109A5419" w14:textId="77777777" w:rsidR="0057201B" w:rsidRPr="00AE3A84" w:rsidRDefault="0057201B" w:rsidP="00933F91">
            <w:pPr>
              <w:pStyle w:val="BodyText"/>
              <w:widowControl/>
              <w:numPr>
                <w:ilvl w:val="0"/>
                <w:numId w:val="57"/>
              </w:numPr>
              <w:rPr>
                <w:lang w:val="es-ES"/>
              </w:rPr>
            </w:pPr>
          </w:p>
        </w:tc>
        <w:tc>
          <w:tcPr>
            <w:tcW w:w="2953" w:type="dxa"/>
            <w:vAlign w:val="center"/>
          </w:tcPr>
          <w:p w14:paraId="0B98FEBA" w14:textId="77777777" w:rsidR="0057201B" w:rsidRPr="001B6866" w:rsidRDefault="0057201B">
            <w:pPr>
              <w:pStyle w:val="BodyText"/>
            </w:pPr>
            <w:r w:rsidRPr="001B6866">
              <w:rPr>
                <w:spacing w:val="-1"/>
              </w:rPr>
              <w:t>Expropriated</w:t>
            </w:r>
            <w:r>
              <w:rPr>
                <w:spacing w:val="-1"/>
              </w:rPr>
              <w:t xml:space="preserve"> Persons</w:t>
            </w:r>
            <w:r w:rsidRPr="001B6866">
              <w:rPr>
                <w:spacing w:val="-1"/>
              </w:rPr>
              <w:t xml:space="preserve"> from the Agrarian Reform</w:t>
            </w:r>
          </w:p>
        </w:tc>
        <w:tc>
          <w:tcPr>
            <w:tcW w:w="1119" w:type="dxa"/>
            <w:vAlign w:val="center"/>
          </w:tcPr>
          <w:p w14:paraId="0770EF87"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12A1CC3D" w14:textId="77777777" w:rsidR="0057201B" w:rsidRPr="00AE3A84" w:rsidRDefault="0057201B">
            <w:pPr>
              <w:pStyle w:val="BodyText"/>
              <w:jc w:val="center"/>
              <w:rPr>
                <w:spacing w:val="-1"/>
              </w:rPr>
            </w:pPr>
            <w:r w:rsidRPr="0028641C">
              <w:rPr>
                <w:spacing w:val="-1"/>
              </w:rPr>
              <w:t>346/22</w:t>
            </w:r>
          </w:p>
        </w:tc>
        <w:tc>
          <w:tcPr>
            <w:tcW w:w="1289" w:type="dxa"/>
            <w:vAlign w:val="center"/>
          </w:tcPr>
          <w:p w14:paraId="6424EA7E" w14:textId="77777777" w:rsidR="0057201B" w:rsidRPr="00AE3A84" w:rsidRDefault="0057201B">
            <w:pPr>
              <w:pStyle w:val="BodyText"/>
              <w:rPr>
                <w:lang w:val="es-ES"/>
              </w:rPr>
            </w:pPr>
            <w:r w:rsidRPr="00AE3A84">
              <w:rPr>
                <w:spacing w:val="-1"/>
              </w:rPr>
              <w:t>11/21/2022</w:t>
            </w:r>
          </w:p>
        </w:tc>
        <w:tc>
          <w:tcPr>
            <w:tcW w:w="1329" w:type="dxa"/>
            <w:vAlign w:val="center"/>
          </w:tcPr>
          <w:p w14:paraId="7744D5A9" w14:textId="77777777" w:rsidR="0057201B" w:rsidRPr="00AE3A84" w:rsidRDefault="0057201B">
            <w:pPr>
              <w:pStyle w:val="BodyText"/>
              <w:rPr>
                <w:lang w:val="es-ES"/>
              </w:rPr>
            </w:pPr>
            <w:r w:rsidRPr="00AE3A84">
              <w:rPr>
                <w:spacing w:val="-1"/>
              </w:rPr>
              <w:t>128-14</w:t>
            </w:r>
          </w:p>
        </w:tc>
        <w:tc>
          <w:tcPr>
            <w:tcW w:w="1350" w:type="dxa"/>
            <w:vAlign w:val="center"/>
          </w:tcPr>
          <w:p w14:paraId="26C5B832" w14:textId="6B6F3B42" w:rsidR="0057201B" w:rsidRPr="00AE3A84" w:rsidRDefault="0057201B">
            <w:pPr>
              <w:pStyle w:val="BodyText"/>
              <w:rPr>
                <w:lang w:val="es-ES"/>
              </w:rPr>
            </w:pPr>
            <w:r w:rsidRPr="00AE3A84">
              <w:rPr>
                <w:spacing w:val="-1"/>
              </w:rPr>
              <w:t>15.16</w:t>
            </w:r>
            <w:r w:rsidR="0045586D">
              <w:rPr>
                <w:spacing w:val="-1"/>
              </w:rPr>
              <w:t>0</w:t>
            </w:r>
          </w:p>
        </w:tc>
      </w:tr>
      <w:tr w:rsidR="0057201B" w:rsidRPr="00AE3A84" w14:paraId="17C89801" w14:textId="77777777">
        <w:tc>
          <w:tcPr>
            <w:tcW w:w="534" w:type="dxa"/>
            <w:vAlign w:val="center"/>
          </w:tcPr>
          <w:p w14:paraId="25C208A1" w14:textId="77777777" w:rsidR="0057201B" w:rsidRPr="00AE3A84" w:rsidRDefault="0057201B" w:rsidP="00933F91">
            <w:pPr>
              <w:pStyle w:val="BodyText"/>
              <w:widowControl/>
              <w:numPr>
                <w:ilvl w:val="0"/>
                <w:numId w:val="57"/>
              </w:numPr>
              <w:rPr>
                <w:lang w:val="es-ES"/>
              </w:rPr>
            </w:pPr>
          </w:p>
        </w:tc>
        <w:tc>
          <w:tcPr>
            <w:tcW w:w="2953" w:type="dxa"/>
            <w:vAlign w:val="center"/>
          </w:tcPr>
          <w:p w14:paraId="1FD1BE37" w14:textId="77777777" w:rsidR="0057201B" w:rsidRPr="00AE3A84" w:rsidRDefault="0057201B">
            <w:pPr>
              <w:pStyle w:val="BodyText"/>
              <w:rPr>
                <w:lang w:val="es-ES"/>
              </w:rPr>
            </w:pPr>
            <w:r w:rsidRPr="00AE3A84">
              <w:rPr>
                <w:spacing w:val="-1"/>
              </w:rPr>
              <w:t>César</w:t>
            </w:r>
            <w:r w:rsidRPr="00AE3A84">
              <w:rPr>
                <w:spacing w:val="-7"/>
              </w:rPr>
              <w:t xml:space="preserve"> </w:t>
            </w:r>
            <w:r w:rsidRPr="00AE3A84">
              <w:rPr>
                <w:spacing w:val="-1"/>
              </w:rPr>
              <w:t>Alberto</w:t>
            </w:r>
            <w:r w:rsidRPr="00AE3A84">
              <w:rPr>
                <w:spacing w:val="-7"/>
              </w:rPr>
              <w:t xml:space="preserve"> </w:t>
            </w:r>
            <w:r w:rsidRPr="00AE3A84">
              <w:rPr>
                <w:spacing w:val="-1"/>
              </w:rPr>
              <w:t>Jordán</w:t>
            </w:r>
            <w:r w:rsidRPr="00AE3A84">
              <w:rPr>
                <w:spacing w:val="-6"/>
              </w:rPr>
              <w:t xml:space="preserve"> </w:t>
            </w:r>
            <w:r w:rsidRPr="00AE3A84">
              <w:rPr>
                <w:spacing w:val="-1"/>
              </w:rPr>
              <w:t>Brignole</w:t>
            </w:r>
          </w:p>
        </w:tc>
        <w:tc>
          <w:tcPr>
            <w:tcW w:w="1119" w:type="dxa"/>
            <w:vAlign w:val="center"/>
          </w:tcPr>
          <w:p w14:paraId="4C7B0086"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25CFE587" w14:textId="77777777" w:rsidR="0057201B" w:rsidRPr="00AE3A84" w:rsidRDefault="0057201B">
            <w:pPr>
              <w:pStyle w:val="BodyText"/>
              <w:jc w:val="center"/>
              <w:rPr>
                <w:spacing w:val="-1"/>
              </w:rPr>
            </w:pPr>
            <w:r w:rsidRPr="0028641C">
              <w:rPr>
                <w:spacing w:val="-1"/>
              </w:rPr>
              <w:t>347/22</w:t>
            </w:r>
          </w:p>
        </w:tc>
        <w:tc>
          <w:tcPr>
            <w:tcW w:w="1289" w:type="dxa"/>
            <w:vAlign w:val="center"/>
          </w:tcPr>
          <w:p w14:paraId="33A54582" w14:textId="77777777" w:rsidR="0057201B" w:rsidRPr="00AE3A84" w:rsidRDefault="0057201B">
            <w:pPr>
              <w:pStyle w:val="BodyText"/>
              <w:rPr>
                <w:lang w:val="es-ES"/>
              </w:rPr>
            </w:pPr>
            <w:r w:rsidRPr="00AE3A84">
              <w:rPr>
                <w:spacing w:val="-1"/>
              </w:rPr>
              <w:t>11/21/2022</w:t>
            </w:r>
          </w:p>
        </w:tc>
        <w:tc>
          <w:tcPr>
            <w:tcW w:w="1329" w:type="dxa"/>
            <w:vAlign w:val="center"/>
          </w:tcPr>
          <w:p w14:paraId="6668616B" w14:textId="77777777" w:rsidR="0057201B" w:rsidRPr="00AE3A84" w:rsidRDefault="0057201B">
            <w:pPr>
              <w:pStyle w:val="BodyText"/>
              <w:rPr>
                <w:lang w:val="es-ES"/>
              </w:rPr>
            </w:pPr>
            <w:r w:rsidRPr="00AE3A84">
              <w:rPr>
                <w:spacing w:val="-1"/>
              </w:rPr>
              <w:t>1383-13</w:t>
            </w:r>
          </w:p>
        </w:tc>
        <w:tc>
          <w:tcPr>
            <w:tcW w:w="1350" w:type="dxa"/>
            <w:vAlign w:val="center"/>
          </w:tcPr>
          <w:p w14:paraId="4D6E33DE" w14:textId="77777777" w:rsidR="0057201B" w:rsidRPr="00AE3A84" w:rsidRDefault="0057201B">
            <w:pPr>
              <w:pStyle w:val="BodyText"/>
              <w:rPr>
                <w:lang w:val="es-ES"/>
              </w:rPr>
            </w:pPr>
            <w:r w:rsidRPr="00AE3A84">
              <w:rPr>
                <w:spacing w:val="-1"/>
              </w:rPr>
              <w:t>15.161</w:t>
            </w:r>
          </w:p>
        </w:tc>
      </w:tr>
      <w:tr w:rsidR="0057201B" w:rsidRPr="00AE3A84" w14:paraId="3C4C0CA2" w14:textId="77777777">
        <w:tc>
          <w:tcPr>
            <w:tcW w:w="534" w:type="dxa"/>
            <w:vAlign w:val="center"/>
          </w:tcPr>
          <w:p w14:paraId="057C155D" w14:textId="77777777" w:rsidR="0057201B" w:rsidRPr="00AE3A84" w:rsidRDefault="0057201B" w:rsidP="00933F91">
            <w:pPr>
              <w:pStyle w:val="BodyText"/>
              <w:widowControl/>
              <w:numPr>
                <w:ilvl w:val="0"/>
                <w:numId w:val="57"/>
              </w:numPr>
              <w:rPr>
                <w:lang w:val="es-ES"/>
              </w:rPr>
            </w:pPr>
          </w:p>
        </w:tc>
        <w:tc>
          <w:tcPr>
            <w:tcW w:w="2953" w:type="dxa"/>
            <w:vAlign w:val="center"/>
          </w:tcPr>
          <w:p w14:paraId="044C50B4" w14:textId="77777777" w:rsidR="0057201B" w:rsidRPr="00AE3A84" w:rsidRDefault="0057201B">
            <w:pPr>
              <w:pStyle w:val="BodyText"/>
              <w:rPr>
                <w:lang w:val="es-ES"/>
              </w:rPr>
            </w:pPr>
            <w:r w:rsidRPr="00AE3A84">
              <w:rPr>
                <w:spacing w:val="-1"/>
              </w:rPr>
              <w:t>Néstor</w:t>
            </w:r>
            <w:r w:rsidRPr="00AE3A84">
              <w:rPr>
                <w:spacing w:val="-8"/>
              </w:rPr>
              <w:t xml:space="preserve"> </w:t>
            </w:r>
            <w:r w:rsidRPr="00AE3A84">
              <w:rPr>
                <w:spacing w:val="-1"/>
              </w:rPr>
              <w:t>Esteban</w:t>
            </w:r>
            <w:r w:rsidRPr="00AE3A84">
              <w:rPr>
                <w:spacing w:val="-7"/>
              </w:rPr>
              <w:t xml:space="preserve"> </w:t>
            </w:r>
            <w:r w:rsidRPr="00AE3A84">
              <w:rPr>
                <w:spacing w:val="-1"/>
              </w:rPr>
              <w:t>Fernández</w:t>
            </w:r>
            <w:r w:rsidRPr="00AE3A84">
              <w:rPr>
                <w:spacing w:val="-7"/>
              </w:rPr>
              <w:t xml:space="preserve"> </w:t>
            </w:r>
            <w:r w:rsidRPr="00AE3A84">
              <w:rPr>
                <w:spacing w:val="-1"/>
              </w:rPr>
              <w:t>Ramírez</w:t>
            </w:r>
          </w:p>
        </w:tc>
        <w:tc>
          <w:tcPr>
            <w:tcW w:w="1119" w:type="dxa"/>
            <w:vAlign w:val="center"/>
          </w:tcPr>
          <w:p w14:paraId="7EC0BA8A"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42C14654" w14:textId="77777777" w:rsidR="0057201B" w:rsidRPr="00AE3A84" w:rsidRDefault="0057201B">
            <w:pPr>
              <w:pStyle w:val="BodyText"/>
              <w:jc w:val="center"/>
              <w:rPr>
                <w:spacing w:val="-1"/>
              </w:rPr>
            </w:pPr>
            <w:r w:rsidRPr="0028641C">
              <w:rPr>
                <w:spacing w:val="-1"/>
              </w:rPr>
              <w:t>348/22</w:t>
            </w:r>
          </w:p>
        </w:tc>
        <w:tc>
          <w:tcPr>
            <w:tcW w:w="1289" w:type="dxa"/>
            <w:vAlign w:val="center"/>
          </w:tcPr>
          <w:p w14:paraId="0BB3EAA5" w14:textId="77777777" w:rsidR="0057201B" w:rsidRPr="00AE3A84" w:rsidRDefault="0057201B">
            <w:pPr>
              <w:pStyle w:val="BodyText"/>
              <w:rPr>
                <w:lang w:val="es-ES"/>
              </w:rPr>
            </w:pPr>
            <w:r w:rsidRPr="00AE3A84">
              <w:rPr>
                <w:spacing w:val="-1"/>
              </w:rPr>
              <w:t>11/21/2022</w:t>
            </w:r>
          </w:p>
        </w:tc>
        <w:tc>
          <w:tcPr>
            <w:tcW w:w="1329" w:type="dxa"/>
            <w:vAlign w:val="center"/>
          </w:tcPr>
          <w:p w14:paraId="103D8586" w14:textId="77777777" w:rsidR="0057201B" w:rsidRPr="00AE3A84" w:rsidRDefault="0057201B">
            <w:pPr>
              <w:pStyle w:val="BodyText"/>
              <w:rPr>
                <w:lang w:val="es-ES"/>
              </w:rPr>
            </w:pPr>
            <w:r w:rsidRPr="00AE3A84">
              <w:rPr>
                <w:spacing w:val="-1"/>
              </w:rPr>
              <w:t>70-16</w:t>
            </w:r>
          </w:p>
        </w:tc>
        <w:tc>
          <w:tcPr>
            <w:tcW w:w="1350" w:type="dxa"/>
            <w:vAlign w:val="center"/>
          </w:tcPr>
          <w:p w14:paraId="23382765" w14:textId="77777777" w:rsidR="0057201B" w:rsidRPr="00AE3A84" w:rsidRDefault="0057201B">
            <w:pPr>
              <w:pStyle w:val="BodyText"/>
              <w:rPr>
                <w:lang w:val="es-ES"/>
              </w:rPr>
            </w:pPr>
            <w:r w:rsidRPr="00AE3A84">
              <w:rPr>
                <w:spacing w:val="-1"/>
              </w:rPr>
              <w:t>15.182</w:t>
            </w:r>
          </w:p>
        </w:tc>
      </w:tr>
      <w:tr w:rsidR="0057201B" w:rsidRPr="00AE3A84" w14:paraId="2751DF47" w14:textId="77777777">
        <w:tc>
          <w:tcPr>
            <w:tcW w:w="534" w:type="dxa"/>
            <w:vAlign w:val="center"/>
          </w:tcPr>
          <w:p w14:paraId="4C8D6C81" w14:textId="77777777" w:rsidR="0057201B" w:rsidRPr="00AE3A84" w:rsidRDefault="0057201B" w:rsidP="00933F91">
            <w:pPr>
              <w:pStyle w:val="BodyText"/>
              <w:widowControl/>
              <w:numPr>
                <w:ilvl w:val="0"/>
                <w:numId w:val="57"/>
              </w:numPr>
              <w:rPr>
                <w:lang w:val="es-ES"/>
              </w:rPr>
            </w:pPr>
          </w:p>
        </w:tc>
        <w:tc>
          <w:tcPr>
            <w:tcW w:w="2953" w:type="dxa"/>
            <w:vAlign w:val="center"/>
          </w:tcPr>
          <w:p w14:paraId="68887FE8" w14:textId="77777777" w:rsidR="0057201B" w:rsidRPr="001B6866" w:rsidRDefault="0057201B">
            <w:pPr>
              <w:pStyle w:val="BodyText"/>
            </w:pPr>
            <w:r w:rsidRPr="001B6866">
              <w:rPr>
                <w:spacing w:val="-1"/>
              </w:rPr>
              <w:t>Alberto</w:t>
            </w:r>
            <w:r w:rsidRPr="001B6866">
              <w:rPr>
                <w:spacing w:val="-7"/>
              </w:rPr>
              <w:t xml:space="preserve"> </w:t>
            </w:r>
            <w:r w:rsidRPr="001B6866">
              <w:rPr>
                <w:spacing w:val="-1"/>
              </w:rPr>
              <w:t>Castillo</w:t>
            </w:r>
            <w:r w:rsidRPr="001B6866">
              <w:rPr>
                <w:spacing w:val="-6"/>
              </w:rPr>
              <w:t xml:space="preserve"> </w:t>
            </w:r>
            <w:r w:rsidRPr="001B6866">
              <w:rPr>
                <w:spacing w:val="-1"/>
              </w:rPr>
              <w:t>Cruz</w:t>
            </w:r>
            <w:r w:rsidRPr="001B6866">
              <w:rPr>
                <w:spacing w:val="-5"/>
              </w:rPr>
              <w:t xml:space="preserve"> </w:t>
            </w:r>
            <w:r w:rsidRPr="001B6866">
              <w:t xml:space="preserve">and </w:t>
            </w:r>
            <w:r>
              <w:t>Relatives</w:t>
            </w:r>
          </w:p>
        </w:tc>
        <w:tc>
          <w:tcPr>
            <w:tcW w:w="1119" w:type="dxa"/>
            <w:vAlign w:val="center"/>
          </w:tcPr>
          <w:p w14:paraId="579FC876"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27DA4743" w14:textId="77777777" w:rsidR="0057201B" w:rsidRPr="00AE3A84" w:rsidRDefault="0057201B">
            <w:pPr>
              <w:pStyle w:val="BodyText"/>
              <w:jc w:val="center"/>
              <w:rPr>
                <w:spacing w:val="-1"/>
              </w:rPr>
            </w:pPr>
            <w:r w:rsidRPr="0028641C">
              <w:rPr>
                <w:spacing w:val="-1"/>
              </w:rPr>
              <w:t>351/22</w:t>
            </w:r>
          </w:p>
        </w:tc>
        <w:tc>
          <w:tcPr>
            <w:tcW w:w="1289" w:type="dxa"/>
            <w:vAlign w:val="center"/>
          </w:tcPr>
          <w:p w14:paraId="7BEC9A7F" w14:textId="77777777" w:rsidR="0057201B" w:rsidRPr="00AE3A84" w:rsidRDefault="0057201B">
            <w:pPr>
              <w:pStyle w:val="BodyText"/>
              <w:rPr>
                <w:lang w:val="es-ES"/>
              </w:rPr>
            </w:pPr>
            <w:r w:rsidRPr="00AE3A84">
              <w:rPr>
                <w:spacing w:val="-1"/>
              </w:rPr>
              <w:t>5/19/2022</w:t>
            </w:r>
          </w:p>
        </w:tc>
        <w:tc>
          <w:tcPr>
            <w:tcW w:w="1329" w:type="dxa"/>
            <w:vAlign w:val="center"/>
          </w:tcPr>
          <w:p w14:paraId="3EEFED14" w14:textId="77777777" w:rsidR="0057201B" w:rsidRPr="00AE3A84" w:rsidRDefault="0057201B">
            <w:pPr>
              <w:pStyle w:val="BodyText"/>
              <w:rPr>
                <w:lang w:val="es-ES"/>
              </w:rPr>
            </w:pPr>
            <w:r w:rsidRPr="00AE3A84">
              <w:rPr>
                <w:spacing w:val="-1"/>
              </w:rPr>
              <w:t>1387-12</w:t>
            </w:r>
          </w:p>
        </w:tc>
        <w:tc>
          <w:tcPr>
            <w:tcW w:w="1350" w:type="dxa"/>
            <w:vAlign w:val="center"/>
          </w:tcPr>
          <w:p w14:paraId="1566E452" w14:textId="77777777" w:rsidR="0057201B" w:rsidRPr="00AE3A84" w:rsidRDefault="0057201B">
            <w:pPr>
              <w:pStyle w:val="BodyText"/>
              <w:rPr>
                <w:lang w:val="es-ES"/>
              </w:rPr>
            </w:pPr>
            <w:r w:rsidRPr="00AE3A84">
              <w:rPr>
                <w:spacing w:val="-1"/>
              </w:rPr>
              <w:t>15.165</w:t>
            </w:r>
          </w:p>
        </w:tc>
      </w:tr>
      <w:tr w:rsidR="0057201B" w:rsidRPr="00AE3A84" w14:paraId="79909C61" w14:textId="77777777">
        <w:tc>
          <w:tcPr>
            <w:tcW w:w="534" w:type="dxa"/>
            <w:vAlign w:val="center"/>
          </w:tcPr>
          <w:p w14:paraId="0AEF7732" w14:textId="77777777" w:rsidR="0057201B" w:rsidRPr="00AE3A84" w:rsidRDefault="0057201B" w:rsidP="00933F91">
            <w:pPr>
              <w:pStyle w:val="BodyText"/>
              <w:widowControl/>
              <w:numPr>
                <w:ilvl w:val="0"/>
                <w:numId w:val="57"/>
              </w:numPr>
              <w:rPr>
                <w:lang w:val="es-ES"/>
              </w:rPr>
            </w:pPr>
          </w:p>
        </w:tc>
        <w:tc>
          <w:tcPr>
            <w:tcW w:w="2953" w:type="dxa"/>
            <w:vAlign w:val="center"/>
          </w:tcPr>
          <w:p w14:paraId="1FBC68D2" w14:textId="77777777" w:rsidR="0057201B" w:rsidRPr="00AE3A84" w:rsidRDefault="0057201B">
            <w:pPr>
              <w:pStyle w:val="BodyText"/>
              <w:rPr>
                <w:lang w:val="es-ES"/>
              </w:rPr>
            </w:pPr>
            <w:r w:rsidRPr="00AE3A84">
              <w:rPr>
                <w:spacing w:val="-1"/>
                <w:lang w:val="es-AR"/>
              </w:rPr>
              <w:t>José</w:t>
            </w:r>
            <w:r w:rsidRPr="00AE3A84">
              <w:rPr>
                <w:spacing w:val="-4"/>
                <w:lang w:val="es-AR"/>
              </w:rPr>
              <w:t xml:space="preserve"> </w:t>
            </w:r>
            <w:r w:rsidRPr="00AE3A84">
              <w:rPr>
                <w:spacing w:val="-1"/>
                <w:lang w:val="es-AR"/>
              </w:rPr>
              <w:t>Patricio</w:t>
            </w:r>
            <w:r w:rsidRPr="00AE3A84">
              <w:rPr>
                <w:spacing w:val="-6"/>
                <w:lang w:val="es-AR"/>
              </w:rPr>
              <w:t xml:space="preserve"> </w:t>
            </w:r>
            <w:r w:rsidRPr="00AE3A84">
              <w:rPr>
                <w:spacing w:val="-1"/>
                <w:lang w:val="es-AR"/>
              </w:rPr>
              <w:t>Tolentino</w:t>
            </w:r>
            <w:r w:rsidRPr="00AE3A84">
              <w:rPr>
                <w:spacing w:val="-6"/>
                <w:lang w:val="es-AR"/>
              </w:rPr>
              <w:t xml:space="preserve"> </w:t>
            </w:r>
            <w:r w:rsidRPr="00AE3A84">
              <w:rPr>
                <w:spacing w:val="-1"/>
                <w:lang w:val="es-AR"/>
              </w:rPr>
              <w:lastRenderedPageBreak/>
              <w:t>Rojas</w:t>
            </w:r>
            <w:r w:rsidRPr="00AE3A84">
              <w:rPr>
                <w:spacing w:val="-5"/>
                <w:lang w:val="es-AR"/>
              </w:rPr>
              <w:t xml:space="preserve"> </w:t>
            </w:r>
            <w:r>
              <w:rPr>
                <w:lang w:val="es-AR"/>
              </w:rPr>
              <w:t>et al.</w:t>
            </w:r>
          </w:p>
        </w:tc>
        <w:tc>
          <w:tcPr>
            <w:tcW w:w="1119" w:type="dxa"/>
            <w:vAlign w:val="center"/>
          </w:tcPr>
          <w:p w14:paraId="1A0E07D9" w14:textId="77777777" w:rsidR="0057201B" w:rsidRPr="00AE3A84" w:rsidRDefault="0057201B">
            <w:pPr>
              <w:pStyle w:val="BodyText"/>
              <w:rPr>
                <w:lang w:val="es-ES"/>
              </w:rPr>
            </w:pPr>
            <w:r w:rsidRPr="00AE3A84">
              <w:rPr>
                <w:spacing w:val="-1"/>
              </w:rPr>
              <w:lastRenderedPageBreak/>
              <w:t>Per</w:t>
            </w:r>
            <w:r>
              <w:rPr>
                <w:spacing w:val="-1"/>
              </w:rPr>
              <w:t>u</w:t>
            </w:r>
          </w:p>
        </w:tc>
        <w:tc>
          <w:tcPr>
            <w:tcW w:w="1141" w:type="dxa"/>
            <w:vAlign w:val="center"/>
          </w:tcPr>
          <w:p w14:paraId="274FD538" w14:textId="77777777" w:rsidR="0057201B" w:rsidRPr="00AE3A84" w:rsidRDefault="0057201B">
            <w:pPr>
              <w:pStyle w:val="BodyText"/>
              <w:jc w:val="center"/>
              <w:rPr>
                <w:spacing w:val="-1"/>
              </w:rPr>
            </w:pPr>
            <w:r w:rsidRPr="0028641C">
              <w:rPr>
                <w:spacing w:val="-1"/>
              </w:rPr>
              <w:t>352/22</w:t>
            </w:r>
          </w:p>
        </w:tc>
        <w:tc>
          <w:tcPr>
            <w:tcW w:w="1289" w:type="dxa"/>
            <w:vAlign w:val="center"/>
          </w:tcPr>
          <w:p w14:paraId="3CB38076" w14:textId="77777777" w:rsidR="0057201B" w:rsidRPr="00AE3A84" w:rsidRDefault="0057201B">
            <w:pPr>
              <w:pStyle w:val="BodyText"/>
              <w:rPr>
                <w:lang w:val="es-ES"/>
              </w:rPr>
            </w:pPr>
            <w:r w:rsidRPr="00AE3A84">
              <w:rPr>
                <w:spacing w:val="-1"/>
              </w:rPr>
              <w:t>9/26/2022</w:t>
            </w:r>
          </w:p>
        </w:tc>
        <w:tc>
          <w:tcPr>
            <w:tcW w:w="1329" w:type="dxa"/>
            <w:vAlign w:val="center"/>
          </w:tcPr>
          <w:p w14:paraId="4D5414C5" w14:textId="77777777" w:rsidR="0057201B" w:rsidRPr="00AE3A84" w:rsidRDefault="0057201B">
            <w:pPr>
              <w:pStyle w:val="BodyText"/>
              <w:rPr>
                <w:lang w:val="es-ES"/>
              </w:rPr>
            </w:pPr>
            <w:r w:rsidRPr="00AE3A84">
              <w:rPr>
                <w:spacing w:val="-1"/>
              </w:rPr>
              <w:t>1523-08</w:t>
            </w:r>
          </w:p>
        </w:tc>
        <w:tc>
          <w:tcPr>
            <w:tcW w:w="1350" w:type="dxa"/>
            <w:vAlign w:val="center"/>
          </w:tcPr>
          <w:p w14:paraId="2DADA49B" w14:textId="77777777" w:rsidR="0057201B" w:rsidRPr="00AE3A84" w:rsidRDefault="0057201B">
            <w:pPr>
              <w:pStyle w:val="BodyText"/>
              <w:rPr>
                <w:lang w:val="es-ES"/>
              </w:rPr>
            </w:pPr>
            <w:r w:rsidRPr="00AE3A84">
              <w:rPr>
                <w:spacing w:val="-1"/>
              </w:rPr>
              <w:t>15.166</w:t>
            </w:r>
          </w:p>
        </w:tc>
      </w:tr>
      <w:tr w:rsidR="0057201B" w:rsidRPr="00AE3A84" w14:paraId="09366639" w14:textId="77777777">
        <w:tc>
          <w:tcPr>
            <w:tcW w:w="534" w:type="dxa"/>
            <w:vAlign w:val="center"/>
          </w:tcPr>
          <w:p w14:paraId="3BCC3FC8" w14:textId="77777777" w:rsidR="0057201B" w:rsidRPr="00AE3A84" w:rsidRDefault="0057201B" w:rsidP="00933F91">
            <w:pPr>
              <w:pStyle w:val="BodyText"/>
              <w:widowControl/>
              <w:numPr>
                <w:ilvl w:val="0"/>
                <w:numId w:val="57"/>
              </w:numPr>
              <w:rPr>
                <w:lang w:val="es-ES"/>
              </w:rPr>
            </w:pPr>
          </w:p>
        </w:tc>
        <w:tc>
          <w:tcPr>
            <w:tcW w:w="2953" w:type="dxa"/>
            <w:vAlign w:val="center"/>
          </w:tcPr>
          <w:p w14:paraId="25B7AFF4" w14:textId="77777777" w:rsidR="0057201B" w:rsidRPr="00B51185" w:rsidRDefault="0057201B">
            <w:pPr>
              <w:pStyle w:val="BodyText"/>
              <w:rPr>
                <w:lang w:val="pt-BR"/>
              </w:rPr>
            </w:pPr>
            <w:r w:rsidRPr="00B51185">
              <w:rPr>
                <w:spacing w:val="-1"/>
                <w:lang w:val="pt-BR"/>
              </w:rPr>
              <w:t>Brenda</w:t>
            </w:r>
            <w:r w:rsidRPr="00B51185">
              <w:rPr>
                <w:spacing w:val="-7"/>
                <w:lang w:val="pt-BR"/>
              </w:rPr>
              <w:t xml:space="preserve"> </w:t>
            </w:r>
            <w:r w:rsidRPr="00B51185">
              <w:rPr>
                <w:spacing w:val="-1"/>
                <w:lang w:val="pt-BR"/>
              </w:rPr>
              <w:t>Quevedo</w:t>
            </w:r>
            <w:r w:rsidRPr="00B51185">
              <w:rPr>
                <w:spacing w:val="-6"/>
                <w:lang w:val="pt-BR"/>
              </w:rPr>
              <w:t xml:space="preserve"> </w:t>
            </w:r>
            <w:r w:rsidRPr="00B51185">
              <w:rPr>
                <w:spacing w:val="-1"/>
                <w:lang w:val="pt-BR"/>
              </w:rPr>
              <w:t>Cruz</w:t>
            </w:r>
            <w:r w:rsidRPr="00B51185">
              <w:rPr>
                <w:spacing w:val="-6"/>
                <w:lang w:val="pt-BR"/>
              </w:rPr>
              <w:t xml:space="preserve"> </w:t>
            </w:r>
            <w:r w:rsidRPr="00B51185">
              <w:rPr>
                <w:lang w:val="pt-BR"/>
              </w:rPr>
              <w:t>and Relatives</w:t>
            </w:r>
          </w:p>
        </w:tc>
        <w:tc>
          <w:tcPr>
            <w:tcW w:w="1119" w:type="dxa"/>
            <w:vAlign w:val="center"/>
          </w:tcPr>
          <w:p w14:paraId="12E5E462"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187734AF" w14:textId="77777777" w:rsidR="0057201B" w:rsidRPr="00AE3A84" w:rsidRDefault="0057201B">
            <w:pPr>
              <w:pStyle w:val="BodyText"/>
              <w:jc w:val="center"/>
              <w:rPr>
                <w:spacing w:val="-1"/>
              </w:rPr>
            </w:pPr>
            <w:r w:rsidRPr="0028641C">
              <w:rPr>
                <w:spacing w:val="-1"/>
              </w:rPr>
              <w:t>353/22</w:t>
            </w:r>
          </w:p>
        </w:tc>
        <w:tc>
          <w:tcPr>
            <w:tcW w:w="1289" w:type="dxa"/>
            <w:vAlign w:val="center"/>
          </w:tcPr>
          <w:p w14:paraId="302CD014" w14:textId="77777777" w:rsidR="0057201B" w:rsidRPr="00AE3A84" w:rsidRDefault="0057201B">
            <w:pPr>
              <w:pStyle w:val="BodyText"/>
              <w:rPr>
                <w:lang w:val="es-ES"/>
              </w:rPr>
            </w:pPr>
            <w:r w:rsidRPr="00AE3A84">
              <w:rPr>
                <w:spacing w:val="-1"/>
              </w:rPr>
              <w:t>11/23/2022</w:t>
            </w:r>
          </w:p>
        </w:tc>
        <w:tc>
          <w:tcPr>
            <w:tcW w:w="1329" w:type="dxa"/>
            <w:vAlign w:val="center"/>
          </w:tcPr>
          <w:p w14:paraId="42375313" w14:textId="77777777" w:rsidR="0057201B" w:rsidRPr="00AE3A84" w:rsidRDefault="0057201B">
            <w:pPr>
              <w:pStyle w:val="BodyText"/>
              <w:rPr>
                <w:lang w:val="es-ES"/>
              </w:rPr>
            </w:pPr>
            <w:r w:rsidRPr="00AE3A84">
              <w:rPr>
                <w:spacing w:val="-1"/>
              </w:rPr>
              <w:t>718-10</w:t>
            </w:r>
          </w:p>
        </w:tc>
        <w:tc>
          <w:tcPr>
            <w:tcW w:w="1350" w:type="dxa"/>
            <w:vAlign w:val="center"/>
          </w:tcPr>
          <w:p w14:paraId="5F7AE880" w14:textId="77777777" w:rsidR="0057201B" w:rsidRPr="00AE3A84" w:rsidRDefault="0057201B">
            <w:pPr>
              <w:pStyle w:val="BodyText"/>
              <w:rPr>
                <w:lang w:val="es-ES"/>
              </w:rPr>
            </w:pPr>
            <w:r w:rsidRPr="00AE3A84">
              <w:rPr>
                <w:spacing w:val="-1"/>
              </w:rPr>
              <w:t>15.167</w:t>
            </w:r>
          </w:p>
        </w:tc>
      </w:tr>
      <w:tr w:rsidR="0057201B" w:rsidRPr="00AE3A84" w14:paraId="7AE9366D" w14:textId="77777777">
        <w:tc>
          <w:tcPr>
            <w:tcW w:w="534" w:type="dxa"/>
            <w:vAlign w:val="center"/>
          </w:tcPr>
          <w:p w14:paraId="06FC4585" w14:textId="77777777" w:rsidR="0057201B" w:rsidRPr="00AE3A84" w:rsidRDefault="0057201B" w:rsidP="00933F91">
            <w:pPr>
              <w:pStyle w:val="BodyText"/>
              <w:widowControl/>
              <w:numPr>
                <w:ilvl w:val="0"/>
                <w:numId w:val="57"/>
              </w:numPr>
              <w:rPr>
                <w:lang w:val="es-ES"/>
              </w:rPr>
            </w:pPr>
          </w:p>
        </w:tc>
        <w:tc>
          <w:tcPr>
            <w:tcW w:w="2953" w:type="dxa"/>
            <w:vAlign w:val="center"/>
          </w:tcPr>
          <w:p w14:paraId="1703A442" w14:textId="77777777" w:rsidR="0057201B" w:rsidRPr="00AE3A84" w:rsidRDefault="0057201B">
            <w:pPr>
              <w:pStyle w:val="BodyText"/>
              <w:rPr>
                <w:lang w:val="fr-CA"/>
              </w:rPr>
            </w:pPr>
            <w:r w:rsidRPr="00AE3A84">
              <w:rPr>
                <w:spacing w:val="-1"/>
                <w:lang w:val="fr-CA"/>
              </w:rPr>
              <w:t>Moisés</w:t>
            </w:r>
            <w:r w:rsidRPr="00AE3A84">
              <w:rPr>
                <w:spacing w:val="-7"/>
                <w:lang w:val="fr-CA"/>
              </w:rPr>
              <w:t xml:space="preserve"> </w:t>
            </w:r>
            <w:r w:rsidRPr="00AE3A84">
              <w:rPr>
                <w:spacing w:val="-1"/>
                <w:lang w:val="fr-CA"/>
              </w:rPr>
              <w:t>Jiménez</w:t>
            </w:r>
            <w:r w:rsidRPr="00AE3A84">
              <w:rPr>
                <w:spacing w:val="-4"/>
                <w:lang w:val="fr-CA"/>
              </w:rPr>
              <w:t xml:space="preserve"> </w:t>
            </w:r>
            <w:r w:rsidRPr="00AE3A84">
              <w:rPr>
                <w:spacing w:val="-1"/>
                <w:lang w:val="fr-CA"/>
              </w:rPr>
              <w:t>Anzures</w:t>
            </w:r>
            <w:r w:rsidRPr="00AE3A84">
              <w:rPr>
                <w:spacing w:val="-6"/>
                <w:lang w:val="fr-CA"/>
              </w:rPr>
              <w:t xml:space="preserve"> </w:t>
            </w:r>
            <w:r>
              <w:rPr>
                <w:lang w:val="fr-CA"/>
              </w:rPr>
              <w:t>and Family</w:t>
            </w:r>
          </w:p>
        </w:tc>
        <w:tc>
          <w:tcPr>
            <w:tcW w:w="1119" w:type="dxa"/>
            <w:vAlign w:val="center"/>
          </w:tcPr>
          <w:p w14:paraId="01C14083" w14:textId="77777777" w:rsidR="0057201B" w:rsidRPr="00AE3A84" w:rsidRDefault="0057201B">
            <w:pPr>
              <w:pStyle w:val="BodyText"/>
              <w:rPr>
                <w:lang w:val="es-ES"/>
              </w:rPr>
            </w:pPr>
            <w:r w:rsidRPr="00AE3A84">
              <w:rPr>
                <w:spacing w:val="-1"/>
              </w:rPr>
              <w:t>M</w:t>
            </w:r>
            <w:r>
              <w:rPr>
                <w:spacing w:val="-1"/>
              </w:rPr>
              <w:t>e</w:t>
            </w:r>
            <w:r w:rsidRPr="00AE3A84">
              <w:rPr>
                <w:spacing w:val="-1"/>
              </w:rPr>
              <w:t>xico</w:t>
            </w:r>
          </w:p>
        </w:tc>
        <w:tc>
          <w:tcPr>
            <w:tcW w:w="1141" w:type="dxa"/>
            <w:vAlign w:val="center"/>
          </w:tcPr>
          <w:p w14:paraId="6DD48E78" w14:textId="77777777" w:rsidR="0057201B" w:rsidRPr="00AE3A84" w:rsidRDefault="0057201B">
            <w:pPr>
              <w:pStyle w:val="BodyText"/>
              <w:jc w:val="center"/>
              <w:rPr>
                <w:spacing w:val="-1"/>
              </w:rPr>
            </w:pPr>
            <w:r w:rsidRPr="0028641C">
              <w:rPr>
                <w:spacing w:val="-1"/>
              </w:rPr>
              <w:t>354/22</w:t>
            </w:r>
          </w:p>
        </w:tc>
        <w:tc>
          <w:tcPr>
            <w:tcW w:w="1289" w:type="dxa"/>
            <w:vAlign w:val="center"/>
          </w:tcPr>
          <w:p w14:paraId="0E6A8A3C" w14:textId="77777777" w:rsidR="0057201B" w:rsidRPr="00AE3A84" w:rsidRDefault="0057201B">
            <w:pPr>
              <w:pStyle w:val="BodyText"/>
              <w:rPr>
                <w:lang w:val="es-ES"/>
              </w:rPr>
            </w:pPr>
            <w:r w:rsidRPr="00AE3A84">
              <w:rPr>
                <w:spacing w:val="-1"/>
              </w:rPr>
              <w:t>11/23/2022</w:t>
            </w:r>
          </w:p>
        </w:tc>
        <w:tc>
          <w:tcPr>
            <w:tcW w:w="1329" w:type="dxa"/>
            <w:vAlign w:val="center"/>
          </w:tcPr>
          <w:p w14:paraId="2845D4EC" w14:textId="77777777" w:rsidR="0057201B" w:rsidRPr="00AE3A84" w:rsidRDefault="0057201B">
            <w:pPr>
              <w:pStyle w:val="BodyText"/>
              <w:rPr>
                <w:lang w:val="es-ES"/>
              </w:rPr>
            </w:pPr>
            <w:r w:rsidRPr="00AE3A84">
              <w:rPr>
                <w:spacing w:val="-1"/>
              </w:rPr>
              <w:t>2281-12</w:t>
            </w:r>
          </w:p>
        </w:tc>
        <w:tc>
          <w:tcPr>
            <w:tcW w:w="1350" w:type="dxa"/>
            <w:vAlign w:val="center"/>
          </w:tcPr>
          <w:p w14:paraId="1A063342" w14:textId="77777777" w:rsidR="0057201B" w:rsidRPr="00AE3A84" w:rsidRDefault="0057201B">
            <w:pPr>
              <w:pStyle w:val="BodyText"/>
              <w:rPr>
                <w:lang w:val="es-ES"/>
              </w:rPr>
            </w:pPr>
            <w:r w:rsidRPr="00AE3A84">
              <w:rPr>
                <w:spacing w:val="-1"/>
              </w:rPr>
              <w:t>15.168</w:t>
            </w:r>
          </w:p>
        </w:tc>
      </w:tr>
      <w:tr w:rsidR="0057201B" w:rsidRPr="00AE3A84" w14:paraId="78F58AFD" w14:textId="77777777">
        <w:tc>
          <w:tcPr>
            <w:tcW w:w="534" w:type="dxa"/>
            <w:vAlign w:val="center"/>
          </w:tcPr>
          <w:p w14:paraId="5FD9F06D" w14:textId="77777777" w:rsidR="0057201B" w:rsidRPr="00AE3A84" w:rsidRDefault="0057201B" w:rsidP="00933F91">
            <w:pPr>
              <w:pStyle w:val="BodyText"/>
              <w:widowControl/>
              <w:numPr>
                <w:ilvl w:val="0"/>
                <w:numId w:val="57"/>
              </w:numPr>
              <w:rPr>
                <w:lang w:val="es-ES"/>
              </w:rPr>
            </w:pPr>
          </w:p>
        </w:tc>
        <w:tc>
          <w:tcPr>
            <w:tcW w:w="2953" w:type="dxa"/>
            <w:vAlign w:val="center"/>
          </w:tcPr>
          <w:p w14:paraId="46E9771D" w14:textId="77777777" w:rsidR="0057201B" w:rsidRPr="001B6866" w:rsidRDefault="0057201B">
            <w:pPr>
              <w:pStyle w:val="BodyText"/>
            </w:pPr>
            <w:r w:rsidRPr="001B6866">
              <w:rPr>
                <w:spacing w:val="-1"/>
              </w:rPr>
              <w:t>Neighbors from the Village of</w:t>
            </w:r>
            <w:r>
              <w:rPr>
                <w:spacing w:val="-1"/>
              </w:rPr>
              <w:t xml:space="preserve"> </w:t>
            </w:r>
            <w:r w:rsidRPr="001B6866">
              <w:rPr>
                <w:spacing w:val="-1"/>
              </w:rPr>
              <w:t>Sesajal</w:t>
            </w:r>
          </w:p>
        </w:tc>
        <w:tc>
          <w:tcPr>
            <w:tcW w:w="1119" w:type="dxa"/>
            <w:vAlign w:val="center"/>
          </w:tcPr>
          <w:p w14:paraId="058B747F" w14:textId="77777777" w:rsidR="0057201B" w:rsidRPr="00AE3A84" w:rsidRDefault="0057201B">
            <w:pPr>
              <w:pStyle w:val="BodyText"/>
              <w:rPr>
                <w:lang w:val="es-ES"/>
              </w:rPr>
            </w:pPr>
            <w:r w:rsidRPr="00AE3A84">
              <w:rPr>
                <w:spacing w:val="-1"/>
              </w:rPr>
              <w:t>Guatemala</w:t>
            </w:r>
          </w:p>
        </w:tc>
        <w:tc>
          <w:tcPr>
            <w:tcW w:w="1141" w:type="dxa"/>
            <w:vAlign w:val="center"/>
          </w:tcPr>
          <w:p w14:paraId="5200E143" w14:textId="77777777" w:rsidR="0057201B" w:rsidRPr="00AE3A84" w:rsidRDefault="0057201B">
            <w:pPr>
              <w:pStyle w:val="BodyText"/>
              <w:jc w:val="center"/>
              <w:rPr>
                <w:spacing w:val="-1"/>
              </w:rPr>
            </w:pPr>
            <w:r w:rsidRPr="0028641C">
              <w:rPr>
                <w:spacing w:val="-1"/>
              </w:rPr>
              <w:t>355/22</w:t>
            </w:r>
          </w:p>
        </w:tc>
        <w:tc>
          <w:tcPr>
            <w:tcW w:w="1289" w:type="dxa"/>
            <w:vAlign w:val="center"/>
          </w:tcPr>
          <w:p w14:paraId="06CE98DE" w14:textId="77777777" w:rsidR="0057201B" w:rsidRPr="00AE3A84" w:rsidRDefault="0057201B">
            <w:pPr>
              <w:pStyle w:val="BodyText"/>
              <w:rPr>
                <w:lang w:val="es-ES"/>
              </w:rPr>
            </w:pPr>
            <w:r w:rsidRPr="00AE3A84">
              <w:rPr>
                <w:spacing w:val="-1"/>
              </w:rPr>
              <w:t>8/12/2022</w:t>
            </w:r>
          </w:p>
        </w:tc>
        <w:tc>
          <w:tcPr>
            <w:tcW w:w="1329" w:type="dxa"/>
            <w:vAlign w:val="center"/>
          </w:tcPr>
          <w:p w14:paraId="3ECB21BD" w14:textId="77777777" w:rsidR="0057201B" w:rsidRPr="00AE3A84" w:rsidRDefault="0057201B">
            <w:pPr>
              <w:pStyle w:val="BodyText"/>
              <w:rPr>
                <w:lang w:val="es-ES"/>
              </w:rPr>
            </w:pPr>
            <w:r w:rsidRPr="00AE3A84">
              <w:rPr>
                <w:spacing w:val="-1"/>
              </w:rPr>
              <w:t>1918-11</w:t>
            </w:r>
          </w:p>
        </w:tc>
        <w:tc>
          <w:tcPr>
            <w:tcW w:w="1350" w:type="dxa"/>
            <w:vAlign w:val="center"/>
          </w:tcPr>
          <w:p w14:paraId="11DA2621" w14:textId="77777777" w:rsidR="0057201B" w:rsidRPr="00AE3A84" w:rsidRDefault="0057201B">
            <w:pPr>
              <w:pStyle w:val="BodyText"/>
              <w:rPr>
                <w:lang w:val="es-ES"/>
              </w:rPr>
            </w:pPr>
            <w:r w:rsidRPr="00AE3A84">
              <w:rPr>
                <w:spacing w:val="-1"/>
              </w:rPr>
              <w:t>15.175</w:t>
            </w:r>
          </w:p>
        </w:tc>
      </w:tr>
      <w:tr w:rsidR="0057201B" w:rsidRPr="00AE3A84" w14:paraId="518BE9B0" w14:textId="77777777">
        <w:tc>
          <w:tcPr>
            <w:tcW w:w="534" w:type="dxa"/>
            <w:vAlign w:val="center"/>
          </w:tcPr>
          <w:p w14:paraId="7EE2054A" w14:textId="77777777" w:rsidR="0057201B" w:rsidRPr="00AE3A84" w:rsidRDefault="0057201B" w:rsidP="00933F91">
            <w:pPr>
              <w:pStyle w:val="BodyText"/>
              <w:widowControl/>
              <w:numPr>
                <w:ilvl w:val="0"/>
                <w:numId w:val="57"/>
              </w:numPr>
              <w:rPr>
                <w:lang w:val="es-ES"/>
              </w:rPr>
            </w:pPr>
          </w:p>
        </w:tc>
        <w:tc>
          <w:tcPr>
            <w:tcW w:w="2953" w:type="dxa"/>
            <w:vAlign w:val="center"/>
          </w:tcPr>
          <w:p w14:paraId="3FF1F1FA" w14:textId="77777777" w:rsidR="0057201B" w:rsidRPr="00AE3A84" w:rsidRDefault="0057201B">
            <w:pPr>
              <w:pStyle w:val="BodyText"/>
            </w:pPr>
            <w:r w:rsidRPr="00AE3A84">
              <w:rPr>
                <w:spacing w:val="-1"/>
              </w:rPr>
              <w:t>Michael</w:t>
            </w:r>
            <w:r w:rsidRPr="00AE3A84">
              <w:rPr>
                <w:spacing w:val="-5"/>
              </w:rPr>
              <w:t xml:space="preserve"> </w:t>
            </w:r>
            <w:r w:rsidRPr="00AE3A84">
              <w:rPr>
                <w:spacing w:val="-1"/>
              </w:rPr>
              <w:t>Brown,</w:t>
            </w:r>
            <w:r w:rsidRPr="00AE3A84">
              <w:rPr>
                <w:spacing w:val="-4"/>
              </w:rPr>
              <w:t xml:space="preserve"> </w:t>
            </w:r>
            <w:r w:rsidRPr="00AE3A84">
              <w:rPr>
                <w:spacing w:val="-1"/>
              </w:rPr>
              <w:t>Jr</w:t>
            </w:r>
            <w:r w:rsidRPr="00AE3A84">
              <w:rPr>
                <w:spacing w:val="-5"/>
              </w:rPr>
              <w:t xml:space="preserve"> </w:t>
            </w:r>
            <w:r w:rsidRPr="00AE3A84">
              <w:t>&amp;</w:t>
            </w:r>
            <w:r w:rsidRPr="00AE3A84">
              <w:rPr>
                <w:spacing w:val="-5"/>
              </w:rPr>
              <w:t xml:space="preserve"> </w:t>
            </w:r>
            <w:r w:rsidRPr="00AE3A84">
              <w:rPr>
                <w:spacing w:val="-1"/>
              </w:rPr>
              <w:t>Lesley</w:t>
            </w:r>
            <w:r w:rsidRPr="00AE3A84">
              <w:rPr>
                <w:spacing w:val="-4"/>
              </w:rPr>
              <w:t xml:space="preserve"> </w:t>
            </w:r>
            <w:r w:rsidRPr="00AE3A84">
              <w:rPr>
                <w:spacing w:val="-1"/>
              </w:rPr>
              <w:t>McFadden</w:t>
            </w:r>
          </w:p>
        </w:tc>
        <w:tc>
          <w:tcPr>
            <w:tcW w:w="1119" w:type="dxa"/>
            <w:vAlign w:val="center"/>
          </w:tcPr>
          <w:p w14:paraId="3FDCD4AB" w14:textId="77777777" w:rsidR="0057201B" w:rsidRPr="00AE3A84" w:rsidRDefault="0057201B">
            <w:pPr>
              <w:pStyle w:val="BodyText"/>
              <w:rPr>
                <w:lang w:val="es-ES"/>
              </w:rPr>
            </w:pPr>
            <w:r>
              <w:rPr>
                <w:spacing w:val="-1"/>
              </w:rPr>
              <w:t>United States</w:t>
            </w:r>
          </w:p>
        </w:tc>
        <w:tc>
          <w:tcPr>
            <w:tcW w:w="1141" w:type="dxa"/>
            <w:vAlign w:val="center"/>
          </w:tcPr>
          <w:p w14:paraId="15D77D97" w14:textId="77777777" w:rsidR="0057201B" w:rsidRPr="00AE3A84" w:rsidRDefault="0057201B">
            <w:pPr>
              <w:pStyle w:val="BodyText"/>
              <w:jc w:val="center"/>
              <w:rPr>
                <w:spacing w:val="-1"/>
              </w:rPr>
            </w:pPr>
            <w:r w:rsidRPr="0028641C">
              <w:rPr>
                <w:spacing w:val="-1"/>
              </w:rPr>
              <w:t>367/22</w:t>
            </w:r>
          </w:p>
        </w:tc>
        <w:tc>
          <w:tcPr>
            <w:tcW w:w="1289" w:type="dxa"/>
            <w:vAlign w:val="center"/>
          </w:tcPr>
          <w:p w14:paraId="06F9B8B1" w14:textId="77777777" w:rsidR="0057201B" w:rsidRPr="00AE3A84" w:rsidRDefault="0057201B">
            <w:pPr>
              <w:pStyle w:val="BodyText"/>
              <w:rPr>
                <w:lang w:val="es-ES"/>
              </w:rPr>
            </w:pPr>
            <w:r w:rsidRPr="00AE3A84">
              <w:rPr>
                <w:spacing w:val="-1"/>
              </w:rPr>
              <w:t>12/18/2022</w:t>
            </w:r>
          </w:p>
        </w:tc>
        <w:tc>
          <w:tcPr>
            <w:tcW w:w="1329" w:type="dxa"/>
            <w:vAlign w:val="center"/>
          </w:tcPr>
          <w:p w14:paraId="352EFF92" w14:textId="77777777" w:rsidR="0057201B" w:rsidRPr="00AE3A84" w:rsidRDefault="0057201B">
            <w:pPr>
              <w:pStyle w:val="BodyText"/>
              <w:rPr>
                <w:lang w:val="es-ES"/>
              </w:rPr>
            </w:pPr>
            <w:r w:rsidRPr="00AE3A84">
              <w:rPr>
                <w:spacing w:val="-1"/>
              </w:rPr>
              <w:t>909-15</w:t>
            </w:r>
          </w:p>
        </w:tc>
        <w:tc>
          <w:tcPr>
            <w:tcW w:w="1350" w:type="dxa"/>
            <w:vAlign w:val="center"/>
          </w:tcPr>
          <w:p w14:paraId="670F5064" w14:textId="77777777" w:rsidR="0057201B" w:rsidRPr="00AE3A84" w:rsidRDefault="0057201B">
            <w:pPr>
              <w:pStyle w:val="BodyText"/>
              <w:rPr>
                <w:lang w:val="es-ES"/>
              </w:rPr>
            </w:pPr>
            <w:r w:rsidRPr="00AE3A84">
              <w:rPr>
                <w:spacing w:val="-1"/>
              </w:rPr>
              <w:t>15.169</w:t>
            </w:r>
          </w:p>
        </w:tc>
      </w:tr>
      <w:tr w:rsidR="0057201B" w:rsidRPr="00AE3A84" w14:paraId="7ADCD555" w14:textId="77777777">
        <w:tc>
          <w:tcPr>
            <w:tcW w:w="534" w:type="dxa"/>
            <w:vAlign w:val="center"/>
          </w:tcPr>
          <w:p w14:paraId="7F90EB36" w14:textId="77777777" w:rsidR="0057201B" w:rsidRPr="00AE3A84" w:rsidRDefault="0057201B" w:rsidP="00933F91">
            <w:pPr>
              <w:pStyle w:val="BodyText"/>
              <w:widowControl/>
              <w:numPr>
                <w:ilvl w:val="0"/>
                <w:numId w:val="57"/>
              </w:numPr>
              <w:rPr>
                <w:lang w:val="es-ES"/>
              </w:rPr>
            </w:pPr>
          </w:p>
        </w:tc>
        <w:tc>
          <w:tcPr>
            <w:tcW w:w="2953" w:type="dxa"/>
            <w:vAlign w:val="center"/>
          </w:tcPr>
          <w:p w14:paraId="759C747E" w14:textId="77777777" w:rsidR="0057201B" w:rsidRPr="00AE3A84" w:rsidRDefault="0057201B">
            <w:pPr>
              <w:pStyle w:val="BodyText"/>
              <w:rPr>
                <w:lang w:val="es-ES"/>
              </w:rPr>
            </w:pPr>
            <w:r w:rsidRPr="00AE3A84">
              <w:rPr>
                <w:spacing w:val="-1"/>
                <w:lang w:val="es-AR"/>
              </w:rPr>
              <w:t>Samuel</w:t>
            </w:r>
            <w:r w:rsidRPr="00AE3A84">
              <w:rPr>
                <w:spacing w:val="-5"/>
                <w:lang w:val="es-AR"/>
              </w:rPr>
              <w:t xml:space="preserve"> </w:t>
            </w:r>
            <w:r w:rsidRPr="00AE3A84">
              <w:rPr>
                <w:spacing w:val="-1"/>
                <w:lang w:val="es-AR"/>
              </w:rPr>
              <w:t>Lombana</w:t>
            </w:r>
            <w:r w:rsidRPr="00AE3A84">
              <w:rPr>
                <w:spacing w:val="-7"/>
                <w:lang w:val="es-AR"/>
              </w:rPr>
              <w:t xml:space="preserve"> </w:t>
            </w:r>
            <w:r w:rsidRPr="00AE3A84">
              <w:rPr>
                <w:spacing w:val="-1"/>
                <w:lang w:val="es-AR"/>
              </w:rPr>
              <w:t>Morales</w:t>
            </w:r>
            <w:r w:rsidRPr="00AE3A84">
              <w:rPr>
                <w:spacing w:val="-6"/>
                <w:lang w:val="es-AR"/>
              </w:rPr>
              <w:t xml:space="preserve"> </w:t>
            </w:r>
            <w:r>
              <w:rPr>
                <w:lang w:val="es-AR"/>
              </w:rPr>
              <w:t>and Family</w:t>
            </w:r>
          </w:p>
        </w:tc>
        <w:tc>
          <w:tcPr>
            <w:tcW w:w="1119" w:type="dxa"/>
            <w:vAlign w:val="center"/>
          </w:tcPr>
          <w:p w14:paraId="0E2E0BF9" w14:textId="77777777" w:rsidR="0057201B" w:rsidRPr="00AE3A84" w:rsidRDefault="0057201B">
            <w:pPr>
              <w:pStyle w:val="BodyText"/>
              <w:rPr>
                <w:lang w:val="es-ES"/>
              </w:rPr>
            </w:pPr>
            <w:r w:rsidRPr="00AE3A84">
              <w:rPr>
                <w:spacing w:val="-1"/>
              </w:rPr>
              <w:t>Colombia</w:t>
            </w:r>
          </w:p>
        </w:tc>
        <w:tc>
          <w:tcPr>
            <w:tcW w:w="1141" w:type="dxa"/>
            <w:vAlign w:val="center"/>
          </w:tcPr>
          <w:p w14:paraId="178E0F39" w14:textId="77777777" w:rsidR="0057201B" w:rsidRPr="00AE3A84" w:rsidRDefault="0057201B">
            <w:pPr>
              <w:pStyle w:val="BodyText"/>
              <w:jc w:val="center"/>
              <w:rPr>
                <w:spacing w:val="-1"/>
              </w:rPr>
            </w:pPr>
            <w:r w:rsidRPr="0028641C">
              <w:rPr>
                <w:spacing w:val="-1"/>
              </w:rPr>
              <w:t>370/22</w:t>
            </w:r>
          </w:p>
        </w:tc>
        <w:tc>
          <w:tcPr>
            <w:tcW w:w="1289" w:type="dxa"/>
            <w:vAlign w:val="center"/>
          </w:tcPr>
          <w:p w14:paraId="3FEAC749" w14:textId="77777777" w:rsidR="0057201B" w:rsidRPr="00AE3A84" w:rsidRDefault="0057201B">
            <w:pPr>
              <w:pStyle w:val="BodyText"/>
              <w:rPr>
                <w:lang w:val="es-ES"/>
              </w:rPr>
            </w:pPr>
            <w:r w:rsidRPr="00AE3A84">
              <w:rPr>
                <w:spacing w:val="-1"/>
              </w:rPr>
              <w:t>12/19/2022</w:t>
            </w:r>
          </w:p>
        </w:tc>
        <w:tc>
          <w:tcPr>
            <w:tcW w:w="1329" w:type="dxa"/>
            <w:vAlign w:val="center"/>
          </w:tcPr>
          <w:p w14:paraId="2CEC2399" w14:textId="77777777" w:rsidR="0057201B" w:rsidRPr="00AE3A84" w:rsidRDefault="0057201B">
            <w:pPr>
              <w:pStyle w:val="BodyText"/>
              <w:rPr>
                <w:lang w:val="es-ES"/>
              </w:rPr>
            </w:pPr>
            <w:r w:rsidRPr="00AE3A84">
              <w:rPr>
                <w:spacing w:val="-1"/>
              </w:rPr>
              <w:t>1886-10</w:t>
            </w:r>
          </w:p>
        </w:tc>
        <w:tc>
          <w:tcPr>
            <w:tcW w:w="1350" w:type="dxa"/>
            <w:vAlign w:val="center"/>
          </w:tcPr>
          <w:p w14:paraId="7A1E6385" w14:textId="25414864" w:rsidR="0057201B" w:rsidRPr="00AE3A84" w:rsidRDefault="0057201B">
            <w:pPr>
              <w:pStyle w:val="BodyText"/>
              <w:rPr>
                <w:lang w:val="es-ES"/>
              </w:rPr>
            </w:pPr>
            <w:r w:rsidRPr="00AE3A84">
              <w:rPr>
                <w:spacing w:val="-1"/>
              </w:rPr>
              <w:t>15.17</w:t>
            </w:r>
            <w:r w:rsidR="0045586D">
              <w:rPr>
                <w:spacing w:val="-1"/>
              </w:rPr>
              <w:t>0</w:t>
            </w:r>
          </w:p>
        </w:tc>
      </w:tr>
      <w:tr w:rsidR="0057201B" w:rsidRPr="00AE3A84" w14:paraId="329EDDD1" w14:textId="77777777">
        <w:tc>
          <w:tcPr>
            <w:tcW w:w="534" w:type="dxa"/>
            <w:vAlign w:val="center"/>
          </w:tcPr>
          <w:p w14:paraId="04F10D00" w14:textId="77777777" w:rsidR="0057201B" w:rsidRPr="00AE3A84" w:rsidRDefault="0057201B" w:rsidP="00933F91">
            <w:pPr>
              <w:pStyle w:val="BodyText"/>
              <w:widowControl/>
              <w:numPr>
                <w:ilvl w:val="0"/>
                <w:numId w:val="57"/>
              </w:numPr>
              <w:rPr>
                <w:lang w:val="es-ES"/>
              </w:rPr>
            </w:pPr>
          </w:p>
        </w:tc>
        <w:tc>
          <w:tcPr>
            <w:tcW w:w="2953" w:type="dxa"/>
            <w:vAlign w:val="center"/>
          </w:tcPr>
          <w:p w14:paraId="2E8C7ADD" w14:textId="77777777" w:rsidR="0057201B" w:rsidRPr="00AE3A84" w:rsidRDefault="0057201B">
            <w:pPr>
              <w:pStyle w:val="BodyText"/>
              <w:rPr>
                <w:lang w:val="es-ES"/>
              </w:rPr>
            </w:pPr>
            <w:r w:rsidRPr="00AE3A84">
              <w:rPr>
                <w:spacing w:val="-1"/>
                <w:lang w:val="es-AR"/>
              </w:rPr>
              <w:t>Martha</w:t>
            </w:r>
            <w:r w:rsidRPr="00AE3A84">
              <w:rPr>
                <w:spacing w:val="-7"/>
                <w:lang w:val="es-AR"/>
              </w:rPr>
              <w:t xml:space="preserve"> </w:t>
            </w:r>
            <w:r w:rsidRPr="00AE3A84">
              <w:rPr>
                <w:spacing w:val="-1"/>
                <w:lang w:val="es-AR"/>
              </w:rPr>
              <w:t>González</w:t>
            </w:r>
            <w:r w:rsidRPr="00AE3A84">
              <w:rPr>
                <w:spacing w:val="-6"/>
                <w:lang w:val="es-AR"/>
              </w:rPr>
              <w:t xml:space="preserve"> </w:t>
            </w:r>
            <w:r w:rsidRPr="00AE3A84">
              <w:rPr>
                <w:spacing w:val="-1"/>
                <w:lang w:val="es-AR"/>
              </w:rPr>
              <w:t>Rodríguez,</w:t>
            </w:r>
            <w:r w:rsidRPr="00AE3A84">
              <w:rPr>
                <w:spacing w:val="-5"/>
                <w:lang w:val="es-AR"/>
              </w:rPr>
              <w:t xml:space="preserve"> </w:t>
            </w:r>
            <w:r w:rsidRPr="00AE3A84">
              <w:rPr>
                <w:lang w:val="es-AR"/>
              </w:rPr>
              <w:t>Álvaro</w:t>
            </w:r>
            <w:r w:rsidRPr="00AE3A84">
              <w:rPr>
                <w:spacing w:val="-7"/>
                <w:lang w:val="es-AR"/>
              </w:rPr>
              <w:t xml:space="preserve"> </w:t>
            </w:r>
            <w:r w:rsidRPr="00AE3A84">
              <w:rPr>
                <w:spacing w:val="-1"/>
                <w:lang w:val="es-AR"/>
              </w:rPr>
              <w:t>González</w:t>
            </w:r>
            <w:r w:rsidRPr="00AE3A84">
              <w:rPr>
                <w:spacing w:val="-5"/>
                <w:lang w:val="es-AR"/>
              </w:rPr>
              <w:t xml:space="preserve"> </w:t>
            </w:r>
            <w:r w:rsidRPr="00AE3A84">
              <w:rPr>
                <w:spacing w:val="-1"/>
                <w:lang w:val="es-AR"/>
              </w:rPr>
              <w:t>Santana</w:t>
            </w:r>
            <w:r w:rsidRPr="00AE3A84">
              <w:rPr>
                <w:spacing w:val="-6"/>
                <w:lang w:val="es-AR"/>
              </w:rPr>
              <w:t xml:space="preserve"> </w:t>
            </w:r>
            <w:r>
              <w:rPr>
                <w:lang w:val="es-AR"/>
              </w:rPr>
              <w:t>and Family</w:t>
            </w:r>
          </w:p>
        </w:tc>
        <w:tc>
          <w:tcPr>
            <w:tcW w:w="1119" w:type="dxa"/>
            <w:vAlign w:val="center"/>
          </w:tcPr>
          <w:p w14:paraId="5E523D29" w14:textId="77777777" w:rsidR="0057201B" w:rsidRPr="00AE3A84" w:rsidRDefault="0057201B">
            <w:pPr>
              <w:pStyle w:val="BodyText"/>
              <w:rPr>
                <w:lang w:val="es-ES"/>
              </w:rPr>
            </w:pPr>
            <w:r w:rsidRPr="00AE3A84">
              <w:rPr>
                <w:spacing w:val="-1"/>
              </w:rPr>
              <w:t>Colombia</w:t>
            </w:r>
          </w:p>
        </w:tc>
        <w:tc>
          <w:tcPr>
            <w:tcW w:w="1141" w:type="dxa"/>
            <w:vAlign w:val="center"/>
          </w:tcPr>
          <w:p w14:paraId="140135AC" w14:textId="77777777" w:rsidR="0057201B" w:rsidRPr="00AE3A84" w:rsidRDefault="0057201B">
            <w:pPr>
              <w:pStyle w:val="BodyText"/>
              <w:jc w:val="center"/>
              <w:rPr>
                <w:spacing w:val="-1"/>
              </w:rPr>
            </w:pPr>
            <w:r w:rsidRPr="0028641C">
              <w:rPr>
                <w:spacing w:val="-1"/>
              </w:rPr>
              <w:t>372/22</w:t>
            </w:r>
          </w:p>
        </w:tc>
        <w:tc>
          <w:tcPr>
            <w:tcW w:w="1289" w:type="dxa"/>
            <w:vAlign w:val="center"/>
          </w:tcPr>
          <w:p w14:paraId="0D74D0EB" w14:textId="77777777" w:rsidR="0057201B" w:rsidRPr="00AE3A84" w:rsidRDefault="0057201B">
            <w:pPr>
              <w:pStyle w:val="BodyText"/>
              <w:rPr>
                <w:lang w:val="es-ES"/>
              </w:rPr>
            </w:pPr>
            <w:r w:rsidRPr="00AE3A84">
              <w:rPr>
                <w:spacing w:val="-1"/>
              </w:rPr>
              <w:t>12/19/2022</w:t>
            </w:r>
          </w:p>
        </w:tc>
        <w:tc>
          <w:tcPr>
            <w:tcW w:w="1329" w:type="dxa"/>
            <w:vAlign w:val="center"/>
          </w:tcPr>
          <w:p w14:paraId="557F7B25" w14:textId="77777777" w:rsidR="0057201B" w:rsidRPr="00AE3A84" w:rsidRDefault="0057201B">
            <w:pPr>
              <w:pStyle w:val="BodyText"/>
              <w:rPr>
                <w:lang w:val="es-ES"/>
              </w:rPr>
            </w:pPr>
            <w:r w:rsidRPr="00AE3A84">
              <w:rPr>
                <w:spacing w:val="-1"/>
              </w:rPr>
              <w:t>750-14</w:t>
            </w:r>
          </w:p>
        </w:tc>
        <w:tc>
          <w:tcPr>
            <w:tcW w:w="1350" w:type="dxa"/>
            <w:vAlign w:val="center"/>
          </w:tcPr>
          <w:p w14:paraId="16A427FD" w14:textId="77777777" w:rsidR="0057201B" w:rsidRPr="00AE3A84" w:rsidRDefault="0057201B">
            <w:pPr>
              <w:pStyle w:val="BodyText"/>
              <w:rPr>
                <w:lang w:val="es-ES"/>
              </w:rPr>
            </w:pPr>
            <w:r w:rsidRPr="00AE3A84">
              <w:rPr>
                <w:spacing w:val="-1"/>
              </w:rPr>
              <w:t>15.171</w:t>
            </w:r>
          </w:p>
        </w:tc>
      </w:tr>
      <w:tr w:rsidR="0057201B" w:rsidRPr="00AE3A84" w14:paraId="296FBB9B" w14:textId="77777777">
        <w:tc>
          <w:tcPr>
            <w:tcW w:w="534" w:type="dxa"/>
            <w:vAlign w:val="center"/>
          </w:tcPr>
          <w:p w14:paraId="13B06AA7" w14:textId="77777777" w:rsidR="0057201B" w:rsidRPr="00AE3A84" w:rsidRDefault="0057201B" w:rsidP="00933F91">
            <w:pPr>
              <w:pStyle w:val="BodyText"/>
              <w:widowControl/>
              <w:numPr>
                <w:ilvl w:val="0"/>
                <w:numId w:val="57"/>
              </w:numPr>
              <w:rPr>
                <w:lang w:val="es-ES"/>
              </w:rPr>
            </w:pPr>
          </w:p>
        </w:tc>
        <w:tc>
          <w:tcPr>
            <w:tcW w:w="2953" w:type="dxa"/>
            <w:vAlign w:val="center"/>
          </w:tcPr>
          <w:p w14:paraId="71F84655" w14:textId="77777777" w:rsidR="0057201B" w:rsidRPr="00AE3A84" w:rsidRDefault="0057201B">
            <w:pPr>
              <w:pStyle w:val="BodyText"/>
              <w:rPr>
                <w:lang w:val="es-ES"/>
              </w:rPr>
            </w:pPr>
            <w:r w:rsidRPr="00AE3A84">
              <w:rPr>
                <w:spacing w:val="-1"/>
              </w:rPr>
              <w:t>Gloria</w:t>
            </w:r>
            <w:r w:rsidRPr="00AE3A84">
              <w:rPr>
                <w:spacing w:val="-5"/>
              </w:rPr>
              <w:t xml:space="preserve"> </w:t>
            </w:r>
            <w:r w:rsidRPr="00AE3A84">
              <w:rPr>
                <w:spacing w:val="-1"/>
              </w:rPr>
              <w:t>Lara</w:t>
            </w:r>
            <w:r w:rsidRPr="00AE3A84">
              <w:rPr>
                <w:spacing w:val="-5"/>
              </w:rPr>
              <w:t xml:space="preserve"> </w:t>
            </w:r>
            <w:r>
              <w:t>and Children</w:t>
            </w:r>
          </w:p>
        </w:tc>
        <w:tc>
          <w:tcPr>
            <w:tcW w:w="1119" w:type="dxa"/>
            <w:vAlign w:val="center"/>
          </w:tcPr>
          <w:p w14:paraId="5CAF1786" w14:textId="77777777" w:rsidR="0057201B" w:rsidRPr="00AE3A84" w:rsidRDefault="0057201B">
            <w:pPr>
              <w:pStyle w:val="BodyText"/>
              <w:rPr>
                <w:lang w:val="es-ES"/>
              </w:rPr>
            </w:pPr>
            <w:r w:rsidRPr="00AE3A84">
              <w:rPr>
                <w:spacing w:val="-1"/>
              </w:rPr>
              <w:t>Colombia</w:t>
            </w:r>
          </w:p>
        </w:tc>
        <w:tc>
          <w:tcPr>
            <w:tcW w:w="1141" w:type="dxa"/>
            <w:vAlign w:val="center"/>
          </w:tcPr>
          <w:p w14:paraId="44265834" w14:textId="77777777" w:rsidR="0057201B" w:rsidRPr="00AE3A84" w:rsidRDefault="0057201B">
            <w:pPr>
              <w:pStyle w:val="BodyText"/>
              <w:jc w:val="center"/>
              <w:rPr>
                <w:spacing w:val="-1"/>
              </w:rPr>
            </w:pPr>
            <w:r w:rsidRPr="0028641C">
              <w:rPr>
                <w:spacing w:val="-1"/>
              </w:rPr>
              <w:t>373/22</w:t>
            </w:r>
          </w:p>
        </w:tc>
        <w:tc>
          <w:tcPr>
            <w:tcW w:w="1289" w:type="dxa"/>
            <w:vAlign w:val="center"/>
          </w:tcPr>
          <w:p w14:paraId="0E12ABA5" w14:textId="77777777" w:rsidR="0057201B" w:rsidRPr="00AE3A84" w:rsidRDefault="0057201B">
            <w:pPr>
              <w:pStyle w:val="BodyText"/>
              <w:rPr>
                <w:lang w:val="es-ES"/>
              </w:rPr>
            </w:pPr>
            <w:r w:rsidRPr="00AE3A84">
              <w:rPr>
                <w:spacing w:val="-1"/>
              </w:rPr>
              <w:t>12/19/2022</w:t>
            </w:r>
          </w:p>
        </w:tc>
        <w:tc>
          <w:tcPr>
            <w:tcW w:w="1329" w:type="dxa"/>
            <w:vAlign w:val="center"/>
          </w:tcPr>
          <w:p w14:paraId="7D4F89DE" w14:textId="77777777" w:rsidR="0057201B" w:rsidRPr="00AE3A84" w:rsidRDefault="0057201B">
            <w:pPr>
              <w:pStyle w:val="BodyText"/>
              <w:rPr>
                <w:lang w:val="es-ES"/>
              </w:rPr>
            </w:pPr>
            <w:r w:rsidRPr="00AE3A84">
              <w:rPr>
                <w:spacing w:val="-1"/>
              </w:rPr>
              <w:t>1924-12</w:t>
            </w:r>
          </w:p>
        </w:tc>
        <w:tc>
          <w:tcPr>
            <w:tcW w:w="1350" w:type="dxa"/>
            <w:vAlign w:val="center"/>
          </w:tcPr>
          <w:p w14:paraId="6F68FAF0" w14:textId="77777777" w:rsidR="0057201B" w:rsidRPr="00AE3A84" w:rsidRDefault="0057201B">
            <w:pPr>
              <w:pStyle w:val="BodyText"/>
              <w:rPr>
                <w:lang w:val="es-ES"/>
              </w:rPr>
            </w:pPr>
            <w:r w:rsidRPr="00AE3A84">
              <w:rPr>
                <w:spacing w:val="-1"/>
              </w:rPr>
              <w:t>15.172</w:t>
            </w:r>
          </w:p>
        </w:tc>
      </w:tr>
      <w:tr w:rsidR="0057201B" w:rsidRPr="00AE3A84" w14:paraId="2599B855" w14:textId="77777777">
        <w:tc>
          <w:tcPr>
            <w:tcW w:w="534" w:type="dxa"/>
            <w:vAlign w:val="center"/>
          </w:tcPr>
          <w:p w14:paraId="3E7CEADF" w14:textId="77777777" w:rsidR="0057201B" w:rsidRPr="00AE3A84" w:rsidRDefault="0057201B" w:rsidP="00933F91">
            <w:pPr>
              <w:pStyle w:val="BodyText"/>
              <w:widowControl/>
              <w:numPr>
                <w:ilvl w:val="0"/>
                <w:numId w:val="57"/>
              </w:numPr>
              <w:rPr>
                <w:lang w:val="es-ES"/>
              </w:rPr>
            </w:pPr>
          </w:p>
        </w:tc>
        <w:tc>
          <w:tcPr>
            <w:tcW w:w="2953" w:type="dxa"/>
            <w:vAlign w:val="center"/>
          </w:tcPr>
          <w:p w14:paraId="594B4460" w14:textId="77777777" w:rsidR="0057201B" w:rsidRPr="00AE3A84" w:rsidRDefault="0057201B">
            <w:pPr>
              <w:pStyle w:val="BodyText"/>
              <w:rPr>
                <w:lang w:val="es-ES"/>
              </w:rPr>
            </w:pPr>
            <w:r w:rsidRPr="00AE3A84">
              <w:t>Rekia</w:t>
            </w:r>
            <w:r w:rsidRPr="00AE3A84">
              <w:rPr>
                <w:spacing w:val="-8"/>
              </w:rPr>
              <w:t xml:space="preserve"> </w:t>
            </w:r>
            <w:r w:rsidRPr="00AE3A84">
              <w:t>Boyd</w:t>
            </w:r>
          </w:p>
        </w:tc>
        <w:tc>
          <w:tcPr>
            <w:tcW w:w="1119" w:type="dxa"/>
            <w:vAlign w:val="center"/>
          </w:tcPr>
          <w:p w14:paraId="378B0F23" w14:textId="77777777" w:rsidR="0057201B" w:rsidRPr="00AE3A84" w:rsidRDefault="0057201B">
            <w:pPr>
              <w:pStyle w:val="BodyText"/>
              <w:rPr>
                <w:lang w:val="es-ES"/>
              </w:rPr>
            </w:pPr>
            <w:r>
              <w:rPr>
                <w:spacing w:val="-1"/>
              </w:rPr>
              <w:t>United States</w:t>
            </w:r>
          </w:p>
        </w:tc>
        <w:tc>
          <w:tcPr>
            <w:tcW w:w="1141" w:type="dxa"/>
            <w:vAlign w:val="center"/>
          </w:tcPr>
          <w:p w14:paraId="6CD079A5" w14:textId="77777777" w:rsidR="0057201B" w:rsidRPr="00AE3A84" w:rsidRDefault="0057201B">
            <w:pPr>
              <w:pStyle w:val="BodyText"/>
              <w:jc w:val="center"/>
              <w:rPr>
                <w:spacing w:val="-1"/>
              </w:rPr>
            </w:pPr>
            <w:r w:rsidRPr="0028641C">
              <w:rPr>
                <w:spacing w:val="-1"/>
              </w:rPr>
              <w:t>374/22</w:t>
            </w:r>
          </w:p>
        </w:tc>
        <w:tc>
          <w:tcPr>
            <w:tcW w:w="1289" w:type="dxa"/>
            <w:vAlign w:val="center"/>
          </w:tcPr>
          <w:p w14:paraId="14D7972B" w14:textId="77777777" w:rsidR="0057201B" w:rsidRPr="00AE3A84" w:rsidRDefault="0057201B">
            <w:pPr>
              <w:pStyle w:val="BodyText"/>
              <w:rPr>
                <w:lang w:val="es-ES"/>
              </w:rPr>
            </w:pPr>
            <w:r w:rsidRPr="00AE3A84">
              <w:rPr>
                <w:spacing w:val="-1"/>
              </w:rPr>
              <w:t>12/19/2022</w:t>
            </w:r>
          </w:p>
        </w:tc>
        <w:tc>
          <w:tcPr>
            <w:tcW w:w="1329" w:type="dxa"/>
            <w:vAlign w:val="center"/>
          </w:tcPr>
          <w:p w14:paraId="2DCF1993" w14:textId="77777777" w:rsidR="0057201B" w:rsidRPr="00AE3A84" w:rsidRDefault="0057201B">
            <w:pPr>
              <w:pStyle w:val="BodyText"/>
              <w:rPr>
                <w:lang w:val="es-ES"/>
              </w:rPr>
            </w:pPr>
            <w:r w:rsidRPr="00AE3A84">
              <w:rPr>
                <w:spacing w:val="-1"/>
              </w:rPr>
              <w:t>1720-15</w:t>
            </w:r>
          </w:p>
        </w:tc>
        <w:tc>
          <w:tcPr>
            <w:tcW w:w="1350" w:type="dxa"/>
            <w:vAlign w:val="center"/>
          </w:tcPr>
          <w:p w14:paraId="7D14E4C8" w14:textId="77777777" w:rsidR="0057201B" w:rsidRPr="00AE3A84" w:rsidRDefault="0057201B">
            <w:pPr>
              <w:pStyle w:val="BodyText"/>
              <w:rPr>
                <w:lang w:val="es-ES"/>
              </w:rPr>
            </w:pPr>
            <w:r w:rsidRPr="00AE3A84">
              <w:rPr>
                <w:spacing w:val="-1"/>
              </w:rPr>
              <w:t>15.173</w:t>
            </w:r>
          </w:p>
        </w:tc>
      </w:tr>
      <w:tr w:rsidR="0057201B" w:rsidRPr="00AE3A84" w14:paraId="6CBBF319" w14:textId="77777777">
        <w:tc>
          <w:tcPr>
            <w:tcW w:w="534" w:type="dxa"/>
            <w:vAlign w:val="center"/>
          </w:tcPr>
          <w:p w14:paraId="1541491B" w14:textId="77777777" w:rsidR="0057201B" w:rsidRPr="00AE3A84" w:rsidRDefault="0057201B" w:rsidP="00933F91">
            <w:pPr>
              <w:pStyle w:val="BodyText"/>
              <w:widowControl/>
              <w:numPr>
                <w:ilvl w:val="0"/>
                <w:numId w:val="57"/>
              </w:numPr>
              <w:rPr>
                <w:lang w:val="es-ES"/>
              </w:rPr>
            </w:pPr>
          </w:p>
        </w:tc>
        <w:tc>
          <w:tcPr>
            <w:tcW w:w="2953" w:type="dxa"/>
            <w:vAlign w:val="center"/>
          </w:tcPr>
          <w:p w14:paraId="049E5B71" w14:textId="77777777" w:rsidR="0057201B" w:rsidRPr="00AE3A84" w:rsidRDefault="0057201B">
            <w:pPr>
              <w:pStyle w:val="BodyText"/>
              <w:rPr>
                <w:lang w:val="es-ES"/>
              </w:rPr>
            </w:pPr>
            <w:r w:rsidRPr="00AE3A84">
              <w:rPr>
                <w:spacing w:val="-1"/>
                <w:lang w:val="es-AR"/>
              </w:rPr>
              <w:t>Juan</w:t>
            </w:r>
            <w:r w:rsidRPr="00AE3A84">
              <w:rPr>
                <w:spacing w:val="-5"/>
                <w:lang w:val="es-AR"/>
              </w:rPr>
              <w:t xml:space="preserve"> </w:t>
            </w:r>
            <w:r w:rsidRPr="00AE3A84">
              <w:rPr>
                <w:spacing w:val="-1"/>
                <w:lang w:val="es-AR"/>
              </w:rPr>
              <w:t>Irma</w:t>
            </w:r>
            <w:r w:rsidRPr="00AE3A84">
              <w:rPr>
                <w:spacing w:val="-6"/>
                <w:lang w:val="es-AR"/>
              </w:rPr>
              <w:t xml:space="preserve"> </w:t>
            </w:r>
            <w:r w:rsidRPr="00AE3A84">
              <w:rPr>
                <w:spacing w:val="-1"/>
                <w:lang w:val="es-AR"/>
              </w:rPr>
              <w:t>Cisneros</w:t>
            </w:r>
            <w:r w:rsidRPr="00AE3A84">
              <w:rPr>
                <w:spacing w:val="-6"/>
                <w:lang w:val="es-AR"/>
              </w:rPr>
              <w:t xml:space="preserve"> </w:t>
            </w:r>
            <w:r w:rsidRPr="00AE3A84">
              <w:rPr>
                <w:spacing w:val="-1"/>
                <w:lang w:val="es-AR"/>
              </w:rPr>
              <w:t>Ticas</w:t>
            </w:r>
            <w:r w:rsidRPr="00AE3A84">
              <w:rPr>
                <w:spacing w:val="-5"/>
                <w:lang w:val="es-AR"/>
              </w:rPr>
              <w:t xml:space="preserve"> </w:t>
            </w:r>
            <w:r>
              <w:rPr>
                <w:lang w:val="es-AR"/>
              </w:rPr>
              <w:t>and</w:t>
            </w:r>
            <w:r w:rsidRPr="00AE3A84">
              <w:rPr>
                <w:spacing w:val="-4"/>
                <w:lang w:val="es-AR"/>
              </w:rPr>
              <w:t xml:space="preserve"> </w:t>
            </w:r>
            <w:r>
              <w:t>Relatives</w:t>
            </w:r>
          </w:p>
        </w:tc>
        <w:tc>
          <w:tcPr>
            <w:tcW w:w="1119" w:type="dxa"/>
            <w:vAlign w:val="center"/>
          </w:tcPr>
          <w:p w14:paraId="4A26AE3B" w14:textId="77777777" w:rsidR="0057201B" w:rsidRPr="00AE3A84" w:rsidRDefault="0057201B">
            <w:pPr>
              <w:pStyle w:val="BodyText"/>
              <w:rPr>
                <w:lang w:val="es-ES"/>
              </w:rPr>
            </w:pPr>
            <w:r w:rsidRPr="00AE3A84">
              <w:rPr>
                <w:spacing w:val="-1"/>
              </w:rPr>
              <w:t>El</w:t>
            </w:r>
            <w:r w:rsidRPr="00AE3A84">
              <w:rPr>
                <w:spacing w:val="-6"/>
              </w:rPr>
              <w:t xml:space="preserve"> </w:t>
            </w:r>
            <w:r w:rsidRPr="00AE3A84">
              <w:rPr>
                <w:spacing w:val="-1"/>
              </w:rPr>
              <w:t>Salvador</w:t>
            </w:r>
          </w:p>
        </w:tc>
        <w:tc>
          <w:tcPr>
            <w:tcW w:w="1141" w:type="dxa"/>
            <w:vAlign w:val="center"/>
          </w:tcPr>
          <w:p w14:paraId="48F6DF68" w14:textId="77777777" w:rsidR="0057201B" w:rsidRPr="00AE3A84" w:rsidRDefault="0057201B">
            <w:pPr>
              <w:pStyle w:val="BodyText"/>
              <w:jc w:val="center"/>
              <w:rPr>
                <w:spacing w:val="-1"/>
              </w:rPr>
            </w:pPr>
            <w:r w:rsidRPr="0028641C">
              <w:rPr>
                <w:spacing w:val="-1"/>
              </w:rPr>
              <w:t>376/22</w:t>
            </w:r>
          </w:p>
        </w:tc>
        <w:tc>
          <w:tcPr>
            <w:tcW w:w="1289" w:type="dxa"/>
            <w:vAlign w:val="center"/>
          </w:tcPr>
          <w:p w14:paraId="41E567AE" w14:textId="77777777" w:rsidR="0057201B" w:rsidRPr="00AE3A84" w:rsidRDefault="0057201B">
            <w:pPr>
              <w:pStyle w:val="BodyText"/>
              <w:rPr>
                <w:lang w:val="es-ES"/>
              </w:rPr>
            </w:pPr>
            <w:r w:rsidRPr="00AE3A84">
              <w:rPr>
                <w:spacing w:val="-1"/>
              </w:rPr>
              <w:t>12/19/2022</w:t>
            </w:r>
          </w:p>
        </w:tc>
        <w:tc>
          <w:tcPr>
            <w:tcW w:w="1329" w:type="dxa"/>
            <w:vAlign w:val="center"/>
          </w:tcPr>
          <w:p w14:paraId="18C76251" w14:textId="77777777" w:rsidR="0057201B" w:rsidRPr="00AE3A84" w:rsidRDefault="0057201B">
            <w:pPr>
              <w:pStyle w:val="BodyText"/>
              <w:rPr>
                <w:lang w:val="es-ES"/>
              </w:rPr>
            </w:pPr>
            <w:r w:rsidRPr="00AE3A84">
              <w:rPr>
                <w:spacing w:val="-1"/>
              </w:rPr>
              <w:t>1800-13</w:t>
            </w:r>
          </w:p>
        </w:tc>
        <w:tc>
          <w:tcPr>
            <w:tcW w:w="1350" w:type="dxa"/>
            <w:vAlign w:val="center"/>
          </w:tcPr>
          <w:p w14:paraId="34138AAE" w14:textId="77777777" w:rsidR="0057201B" w:rsidRPr="00AE3A84" w:rsidRDefault="0057201B">
            <w:pPr>
              <w:pStyle w:val="BodyText"/>
              <w:rPr>
                <w:lang w:val="es-ES"/>
              </w:rPr>
            </w:pPr>
            <w:r w:rsidRPr="00AE3A84">
              <w:rPr>
                <w:spacing w:val="-1"/>
              </w:rPr>
              <w:t>15.174</w:t>
            </w:r>
          </w:p>
        </w:tc>
      </w:tr>
      <w:tr w:rsidR="0057201B" w:rsidRPr="00AE3A84" w14:paraId="2BA94283" w14:textId="77777777">
        <w:tc>
          <w:tcPr>
            <w:tcW w:w="534" w:type="dxa"/>
            <w:vAlign w:val="center"/>
          </w:tcPr>
          <w:p w14:paraId="016A07A3" w14:textId="77777777" w:rsidR="0057201B" w:rsidRPr="00AE3A84" w:rsidRDefault="0057201B" w:rsidP="00933F91">
            <w:pPr>
              <w:pStyle w:val="BodyText"/>
              <w:widowControl/>
              <w:numPr>
                <w:ilvl w:val="0"/>
                <w:numId w:val="57"/>
              </w:numPr>
              <w:rPr>
                <w:lang w:val="es-ES"/>
              </w:rPr>
            </w:pPr>
          </w:p>
        </w:tc>
        <w:tc>
          <w:tcPr>
            <w:tcW w:w="2953" w:type="dxa"/>
            <w:vAlign w:val="center"/>
          </w:tcPr>
          <w:p w14:paraId="5BB3ADF0" w14:textId="77777777" w:rsidR="0057201B" w:rsidRPr="00AE3A84" w:rsidRDefault="0057201B">
            <w:pPr>
              <w:pStyle w:val="BodyText"/>
              <w:rPr>
                <w:lang w:val="es-ES"/>
              </w:rPr>
            </w:pPr>
            <w:r w:rsidRPr="00AE3A84">
              <w:rPr>
                <w:spacing w:val="-1"/>
              </w:rPr>
              <w:t>Dedi</w:t>
            </w:r>
            <w:r w:rsidRPr="00AE3A84">
              <w:rPr>
                <w:spacing w:val="-5"/>
              </w:rPr>
              <w:t xml:space="preserve"> </w:t>
            </w:r>
            <w:r w:rsidRPr="00AE3A84">
              <w:rPr>
                <w:spacing w:val="-1"/>
              </w:rPr>
              <w:t>Jacinto</w:t>
            </w:r>
            <w:r w:rsidRPr="00AE3A84">
              <w:rPr>
                <w:spacing w:val="-7"/>
              </w:rPr>
              <w:t xml:space="preserve"> </w:t>
            </w:r>
            <w:r w:rsidRPr="00AE3A84">
              <w:rPr>
                <w:spacing w:val="-1"/>
              </w:rPr>
              <w:t>Quispe</w:t>
            </w:r>
            <w:r w:rsidRPr="00AE3A84">
              <w:rPr>
                <w:spacing w:val="-5"/>
              </w:rPr>
              <w:t xml:space="preserve"> </w:t>
            </w:r>
            <w:r w:rsidRPr="00AE3A84">
              <w:rPr>
                <w:spacing w:val="-1"/>
              </w:rPr>
              <w:t>Lázaro</w:t>
            </w:r>
          </w:p>
        </w:tc>
        <w:tc>
          <w:tcPr>
            <w:tcW w:w="1119" w:type="dxa"/>
            <w:vAlign w:val="center"/>
          </w:tcPr>
          <w:p w14:paraId="1724B319"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75F77C07" w14:textId="77777777" w:rsidR="0057201B" w:rsidRPr="00AE3A84" w:rsidRDefault="0057201B">
            <w:pPr>
              <w:pStyle w:val="BodyText"/>
              <w:jc w:val="center"/>
              <w:rPr>
                <w:spacing w:val="-1"/>
              </w:rPr>
            </w:pPr>
            <w:r w:rsidRPr="0028641C">
              <w:rPr>
                <w:spacing w:val="-1"/>
              </w:rPr>
              <w:t>377/22</w:t>
            </w:r>
          </w:p>
        </w:tc>
        <w:tc>
          <w:tcPr>
            <w:tcW w:w="1289" w:type="dxa"/>
            <w:vAlign w:val="center"/>
          </w:tcPr>
          <w:p w14:paraId="325E105B" w14:textId="77777777" w:rsidR="0057201B" w:rsidRPr="00AE3A84" w:rsidRDefault="0057201B">
            <w:pPr>
              <w:pStyle w:val="BodyText"/>
              <w:rPr>
                <w:lang w:val="es-ES"/>
              </w:rPr>
            </w:pPr>
            <w:r w:rsidRPr="00AE3A84">
              <w:rPr>
                <w:spacing w:val="-1"/>
              </w:rPr>
              <w:t>11/21/2022</w:t>
            </w:r>
          </w:p>
        </w:tc>
        <w:tc>
          <w:tcPr>
            <w:tcW w:w="1329" w:type="dxa"/>
            <w:vAlign w:val="center"/>
          </w:tcPr>
          <w:p w14:paraId="5DA6379E" w14:textId="77777777" w:rsidR="0057201B" w:rsidRPr="00AE3A84" w:rsidRDefault="0057201B">
            <w:pPr>
              <w:pStyle w:val="BodyText"/>
              <w:rPr>
                <w:lang w:val="es-ES"/>
              </w:rPr>
            </w:pPr>
            <w:r w:rsidRPr="00AE3A84">
              <w:rPr>
                <w:spacing w:val="-1"/>
              </w:rPr>
              <w:t>953-14</w:t>
            </w:r>
          </w:p>
        </w:tc>
        <w:tc>
          <w:tcPr>
            <w:tcW w:w="1350" w:type="dxa"/>
            <w:vAlign w:val="center"/>
          </w:tcPr>
          <w:p w14:paraId="4CB089F4" w14:textId="77777777" w:rsidR="0057201B" w:rsidRPr="00AE3A84" w:rsidRDefault="0057201B">
            <w:pPr>
              <w:pStyle w:val="BodyText"/>
              <w:rPr>
                <w:lang w:val="es-ES"/>
              </w:rPr>
            </w:pPr>
            <w:r w:rsidRPr="00AE3A84">
              <w:rPr>
                <w:spacing w:val="-1"/>
              </w:rPr>
              <w:t>15.176</w:t>
            </w:r>
          </w:p>
        </w:tc>
      </w:tr>
      <w:tr w:rsidR="0057201B" w:rsidRPr="00AE3A84" w14:paraId="3670696E" w14:textId="77777777">
        <w:tc>
          <w:tcPr>
            <w:tcW w:w="534" w:type="dxa"/>
            <w:vAlign w:val="center"/>
          </w:tcPr>
          <w:p w14:paraId="17697282" w14:textId="77777777" w:rsidR="0057201B" w:rsidRPr="00AE3A84" w:rsidRDefault="0057201B" w:rsidP="00933F91">
            <w:pPr>
              <w:pStyle w:val="BodyText"/>
              <w:widowControl/>
              <w:numPr>
                <w:ilvl w:val="0"/>
                <w:numId w:val="57"/>
              </w:numPr>
              <w:rPr>
                <w:lang w:val="es-ES"/>
              </w:rPr>
            </w:pPr>
          </w:p>
        </w:tc>
        <w:tc>
          <w:tcPr>
            <w:tcW w:w="2953" w:type="dxa"/>
            <w:vAlign w:val="center"/>
          </w:tcPr>
          <w:p w14:paraId="435AB3AD" w14:textId="77777777" w:rsidR="0057201B" w:rsidRPr="00AE3A84" w:rsidRDefault="0057201B">
            <w:pPr>
              <w:pStyle w:val="BodyText"/>
              <w:rPr>
                <w:lang w:val="es-ES"/>
              </w:rPr>
            </w:pPr>
            <w:r w:rsidRPr="00AE3A84">
              <w:rPr>
                <w:spacing w:val="-1"/>
                <w:lang w:val="es-AR"/>
              </w:rPr>
              <w:t>Norberto</w:t>
            </w:r>
            <w:r w:rsidRPr="00AE3A84">
              <w:rPr>
                <w:spacing w:val="-6"/>
                <w:lang w:val="es-AR"/>
              </w:rPr>
              <w:t xml:space="preserve"> </w:t>
            </w:r>
            <w:r w:rsidRPr="00AE3A84">
              <w:rPr>
                <w:spacing w:val="-1"/>
                <w:lang w:val="es-AR"/>
              </w:rPr>
              <w:t>Clavijo</w:t>
            </w:r>
            <w:r w:rsidRPr="00AE3A84">
              <w:rPr>
                <w:spacing w:val="-6"/>
                <w:lang w:val="es-AR"/>
              </w:rPr>
              <w:t xml:space="preserve"> </w:t>
            </w:r>
            <w:r w:rsidRPr="00AE3A84">
              <w:rPr>
                <w:spacing w:val="-1"/>
                <w:lang w:val="es-AR"/>
              </w:rPr>
              <w:t>Cuellar,</w:t>
            </w:r>
            <w:r w:rsidRPr="00AE3A84">
              <w:rPr>
                <w:spacing w:val="-4"/>
                <w:lang w:val="es-AR"/>
              </w:rPr>
              <w:t xml:space="preserve"> </w:t>
            </w:r>
            <w:r w:rsidRPr="00AE3A84">
              <w:rPr>
                <w:spacing w:val="-1"/>
                <w:lang w:val="es-AR"/>
              </w:rPr>
              <w:t>Luz</w:t>
            </w:r>
            <w:r w:rsidRPr="00AE3A84">
              <w:rPr>
                <w:spacing w:val="-5"/>
                <w:lang w:val="es-AR"/>
              </w:rPr>
              <w:t xml:space="preserve"> </w:t>
            </w:r>
            <w:r w:rsidRPr="00AE3A84">
              <w:rPr>
                <w:spacing w:val="-1"/>
                <w:lang w:val="es-AR"/>
              </w:rPr>
              <w:t>Marina</w:t>
            </w:r>
            <w:r w:rsidRPr="00AE3A84">
              <w:rPr>
                <w:spacing w:val="-5"/>
                <w:lang w:val="es-AR"/>
              </w:rPr>
              <w:t xml:space="preserve"> </w:t>
            </w:r>
            <w:r w:rsidRPr="00AE3A84">
              <w:rPr>
                <w:spacing w:val="-1"/>
                <w:lang w:val="es-AR"/>
              </w:rPr>
              <w:t>Carvajal</w:t>
            </w:r>
            <w:r w:rsidRPr="00AE3A84">
              <w:rPr>
                <w:spacing w:val="-4"/>
                <w:lang w:val="es-AR"/>
              </w:rPr>
              <w:t xml:space="preserve"> </w:t>
            </w:r>
            <w:r w:rsidRPr="00AE3A84">
              <w:rPr>
                <w:spacing w:val="-1"/>
                <w:lang w:val="es-AR"/>
              </w:rPr>
              <w:t>Cabrera</w:t>
            </w:r>
            <w:r>
              <w:rPr>
                <w:spacing w:val="-1"/>
                <w:lang w:val="es-AR"/>
              </w:rPr>
              <w:t>, and</w:t>
            </w:r>
            <w:r w:rsidRPr="00AE3A84">
              <w:rPr>
                <w:spacing w:val="-3"/>
                <w:lang w:val="es-AR"/>
              </w:rPr>
              <w:t xml:space="preserve"> </w:t>
            </w:r>
            <w:r w:rsidRPr="00AE3A84">
              <w:rPr>
                <w:spacing w:val="-1"/>
                <w:lang w:val="es-AR"/>
              </w:rPr>
              <w:t>Lizeth</w:t>
            </w:r>
            <w:r w:rsidRPr="00AE3A84">
              <w:rPr>
                <w:spacing w:val="-5"/>
                <w:lang w:val="es-AR"/>
              </w:rPr>
              <w:t xml:space="preserve"> </w:t>
            </w:r>
            <w:r w:rsidRPr="00AE3A84">
              <w:rPr>
                <w:spacing w:val="-1"/>
                <w:lang w:val="es-AR"/>
              </w:rPr>
              <w:t>Dulfay</w:t>
            </w:r>
            <w:r w:rsidRPr="00AE3A84">
              <w:rPr>
                <w:spacing w:val="-4"/>
                <w:lang w:val="es-AR"/>
              </w:rPr>
              <w:t xml:space="preserve"> </w:t>
            </w:r>
            <w:r w:rsidRPr="00AE3A84">
              <w:rPr>
                <w:lang w:val="es-AR"/>
              </w:rPr>
              <w:t>C</w:t>
            </w:r>
            <w:r>
              <w:rPr>
                <w:lang w:val="es-AR"/>
              </w:rPr>
              <w:t>.</w:t>
            </w:r>
          </w:p>
        </w:tc>
        <w:tc>
          <w:tcPr>
            <w:tcW w:w="1119" w:type="dxa"/>
            <w:vAlign w:val="center"/>
          </w:tcPr>
          <w:p w14:paraId="09ABD482" w14:textId="77777777" w:rsidR="0057201B" w:rsidRPr="00AE3A84" w:rsidRDefault="0057201B">
            <w:pPr>
              <w:pStyle w:val="BodyText"/>
              <w:rPr>
                <w:lang w:val="es-ES"/>
              </w:rPr>
            </w:pPr>
            <w:r w:rsidRPr="00AE3A84">
              <w:rPr>
                <w:spacing w:val="-1"/>
              </w:rPr>
              <w:t>Colombia</w:t>
            </w:r>
          </w:p>
        </w:tc>
        <w:tc>
          <w:tcPr>
            <w:tcW w:w="1141" w:type="dxa"/>
            <w:vAlign w:val="center"/>
          </w:tcPr>
          <w:p w14:paraId="20043ED8" w14:textId="77777777" w:rsidR="0057201B" w:rsidRPr="00AE3A84" w:rsidRDefault="0057201B">
            <w:pPr>
              <w:pStyle w:val="BodyText"/>
              <w:jc w:val="center"/>
              <w:rPr>
                <w:spacing w:val="-1"/>
              </w:rPr>
            </w:pPr>
            <w:r w:rsidRPr="00336491">
              <w:rPr>
                <w:spacing w:val="-1"/>
              </w:rPr>
              <w:t>378/22</w:t>
            </w:r>
          </w:p>
        </w:tc>
        <w:tc>
          <w:tcPr>
            <w:tcW w:w="1289" w:type="dxa"/>
            <w:vAlign w:val="center"/>
          </w:tcPr>
          <w:p w14:paraId="5DEBA01C" w14:textId="77777777" w:rsidR="0057201B" w:rsidRPr="00AE3A84" w:rsidRDefault="0057201B">
            <w:pPr>
              <w:pStyle w:val="BodyText"/>
              <w:rPr>
                <w:lang w:val="es-ES"/>
              </w:rPr>
            </w:pPr>
            <w:r w:rsidRPr="00AE3A84">
              <w:rPr>
                <w:spacing w:val="-1"/>
              </w:rPr>
              <w:t>12/22/2022</w:t>
            </w:r>
          </w:p>
        </w:tc>
        <w:tc>
          <w:tcPr>
            <w:tcW w:w="1329" w:type="dxa"/>
            <w:vAlign w:val="center"/>
          </w:tcPr>
          <w:p w14:paraId="336A427E" w14:textId="77777777" w:rsidR="0057201B" w:rsidRPr="00AE3A84" w:rsidRDefault="0057201B">
            <w:pPr>
              <w:pStyle w:val="BodyText"/>
              <w:rPr>
                <w:lang w:val="es-ES"/>
              </w:rPr>
            </w:pPr>
            <w:r w:rsidRPr="00AE3A84">
              <w:rPr>
                <w:spacing w:val="-1"/>
              </w:rPr>
              <w:t>1199-12</w:t>
            </w:r>
          </w:p>
        </w:tc>
        <w:tc>
          <w:tcPr>
            <w:tcW w:w="1350" w:type="dxa"/>
            <w:vAlign w:val="center"/>
          </w:tcPr>
          <w:p w14:paraId="0E8599F8" w14:textId="77777777" w:rsidR="0057201B" w:rsidRPr="00AE3A84" w:rsidRDefault="0057201B">
            <w:pPr>
              <w:pStyle w:val="BodyText"/>
              <w:rPr>
                <w:lang w:val="es-ES"/>
              </w:rPr>
            </w:pPr>
            <w:r w:rsidRPr="00AE3A84">
              <w:rPr>
                <w:spacing w:val="-1"/>
              </w:rPr>
              <w:t>15.177</w:t>
            </w:r>
          </w:p>
        </w:tc>
      </w:tr>
      <w:tr w:rsidR="0057201B" w:rsidRPr="00AE3A84" w14:paraId="637D3900" w14:textId="77777777">
        <w:tc>
          <w:tcPr>
            <w:tcW w:w="534" w:type="dxa"/>
            <w:vAlign w:val="center"/>
          </w:tcPr>
          <w:p w14:paraId="11896C7E" w14:textId="77777777" w:rsidR="0057201B" w:rsidRPr="00AE3A84" w:rsidRDefault="0057201B" w:rsidP="00933F91">
            <w:pPr>
              <w:pStyle w:val="BodyText"/>
              <w:widowControl/>
              <w:numPr>
                <w:ilvl w:val="0"/>
                <w:numId w:val="57"/>
              </w:numPr>
              <w:rPr>
                <w:lang w:val="es-ES"/>
              </w:rPr>
            </w:pPr>
          </w:p>
        </w:tc>
        <w:tc>
          <w:tcPr>
            <w:tcW w:w="2953" w:type="dxa"/>
            <w:vAlign w:val="center"/>
          </w:tcPr>
          <w:p w14:paraId="6013D4D8" w14:textId="77777777" w:rsidR="0057201B" w:rsidRPr="00AE3A84" w:rsidRDefault="0057201B">
            <w:pPr>
              <w:pStyle w:val="BodyText"/>
              <w:rPr>
                <w:lang w:val="es-ES"/>
              </w:rPr>
            </w:pPr>
            <w:r w:rsidRPr="00AE3A84">
              <w:rPr>
                <w:spacing w:val="-1"/>
              </w:rPr>
              <w:t>Luis</w:t>
            </w:r>
            <w:r w:rsidRPr="00AE3A84">
              <w:rPr>
                <w:spacing w:val="-7"/>
              </w:rPr>
              <w:t xml:space="preserve"> </w:t>
            </w:r>
            <w:r w:rsidRPr="00AE3A84">
              <w:rPr>
                <w:spacing w:val="-1"/>
              </w:rPr>
              <w:t>Armando</w:t>
            </w:r>
            <w:r w:rsidRPr="00AE3A84">
              <w:rPr>
                <w:spacing w:val="-6"/>
              </w:rPr>
              <w:t xml:space="preserve"> </w:t>
            </w:r>
            <w:r w:rsidRPr="00AE3A84">
              <w:t>Avella</w:t>
            </w:r>
            <w:r w:rsidRPr="00AE3A84">
              <w:rPr>
                <w:spacing w:val="-6"/>
              </w:rPr>
              <w:t xml:space="preserve"> </w:t>
            </w:r>
            <w:r w:rsidRPr="00AE3A84">
              <w:rPr>
                <w:spacing w:val="-1"/>
              </w:rPr>
              <w:t>Roa</w:t>
            </w:r>
          </w:p>
        </w:tc>
        <w:tc>
          <w:tcPr>
            <w:tcW w:w="1119" w:type="dxa"/>
            <w:vAlign w:val="center"/>
          </w:tcPr>
          <w:p w14:paraId="73D94FB6" w14:textId="77777777" w:rsidR="0057201B" w:rsidRPr="00AE3A84" w:rsidRDefault="0057201B">
            <w:pPr>
              <w:pStyle w:val="BodyText"/>
              <w:rPr>
                <w:lang w:val="es-ES"/>
              </w:rPr>
            </w:pPr>
            <w:r w:rsidRPr="00AE3A84">
              <w:rPr>
                <w:spacing w:val="-1"/>
              </w:rPr>
              <w:t>Colombia</w:t>
            </w:r>
          </w:p>
        </w:tc>
        <w:tc>
          <w:tcPr>
            <w:tcW w:w="1141" w:type="dxa"/>
            <w:vAlign w:val="center"/>
          </w:tcPr>
          <w:p w14:paraId="72D3F2DF" w14:textId="77777777" w:rsidR="0057201B" w:rsidRPr="00AE3A84" w:rsidRDefault="0057201B">
            <w:pPr>
              <w:pStyle w:val="BodyText"/>
              <w:jc w:val="center"/>
              <w:rPr>
                <w:spacing w:val="-1"/>
              </w:rPr>
            </w:pPr>
            <w:r w:rsidRPr="00336491">
              <w:rPr>
                <w:spacing w:val="-1"/>
              </w:rPr>
              <w:t>379/22</w:t>
            </w:r>
          </w:p>
        </w:tc>
        <w:tc>
          <w:tcPr>
            <w:tcW w:w="1289" w:type="dxa"/>
            <w:vAlign w:val="center"/>
          </w:tcPr>
          <w:p w14:paraId="48195BA8" w14:textId="77777777" w:rsidR="0057201B" w:rsidRPr="00AE3A84" w:rsidRDefault="0057201B">
            <w:pPr>
              <w:pStyle w:val="BodyText"/>
              <w:rPr>
                <w:lang w:val="es-ES"/>
              </w:rPr>
            </w:pPr>
            <w:r w:rsidRPr="00AE3A84">
              <w:rPr>
                <w:spacing w:val="-1"/>
              </w:rPr>
              <w:t>12/22/2022</w:t>
            </w:r>
          </w:p>
        </w:tc>
        <w:tc>
          <w:tcPr>
            <w:tcW w:w="1329" w:type="dxa"/>
            <w:vAlign w:val="center"/>
          </w:tcPr>
          <w:p w14:paraId="0FDE259C" w14:textId="77777777" w:rsidR="0057201B" w:rsidRPr="00AE3A84" w:rsidRDefault="0057201B">
            <w:pPr>
              <w:pStyle w:val="BodyText"/>
              <w:rPr>
                <w:lang w:val="es-ES"/>
              </w:rPr>
            </w:pPr>
            <w:r w:rsidRPr="00AE3A84">
              <w:rPr>
                <w:spacing w:val="-1"/>
              </w:rPr>
              <w:t>1366-11</w:t>
            </w:r>
          </w:p>
        </w:tc>
        <w:tc>
          <w:tcPr>
            <w:tcW w:w="1350" w:type="dxa"/>
            <w:vAlign w:val="center"/>
          </w:tcPr>
          <w:p w14:paraId="58558286" w14:textId="77777777" w:rsidR="0057201B" w:rsidRPr="00AE3A84" w:rsidRDefault="0057201B">
            <w:pPr>
              <w:pStyle w:val="BodyText"/>
              <w:rPr>
                <w:lang w:val="es-ES"/>
              </w:rPr>
            </w:pPr>
            <w:r w:rsidRPr="00AE3A84">
              <w:rPr>
                <w:spacing w:val="-1"/>
              </w:rPr>
              <w:t>15.178</w:t>
            </w:r>
          </w:p>
        </w:tc>
      </w:tr>
      <w:tr w:rsidR="0057201B" w:rsidRPr="00AE3A84" w14:paraId="3B03F397" w14:textId="77777777">
        <w:tc>
          <w:tcPr>
            <w:tcW w:w="534" w:type="dxa"/>
            <w:vAlign w:val="center"/>
          </w:tcPr>
          <w:p w14:paraId="5600AB89" w14:textId="77777777" w:rsidR="0057201B" w:rsidRPr="00AE3A84" w:rsidRDefault="0057201B" w:rsidP="00933F91">
            <w:pPr>
              <w:pStyle w:val="BodyText"/>
              <w:widowControl/>
              <w:numPr>
                <w:ilvl w:val="0"/>
                <w:numId w:val="57"/>
              </w:numPr>
              <w:rPr>
                <w:lang w:val="es-ES"/>
              </w:rPr>
            </w:pPr>
          </w:p>
        </w:tc>
        <w:tc>
          <w:tcPr>
            <w:tcW w:w="2953" w:type="dxa"/>
            <w:vAlign w:val="center"/>
          </w:tcPr>
          <w:p w14:paraId="72C18E3E" w14:textId="77777777" w:rsidR="0057201B" w:rsidRPr="00AE3A84" w:rsidRDefault="0057201B">
            <w:pPr>
              <w:pStyle w:val="BodyText"/>
              <w:rPr>
                <w:lang w:val="es-ES"/>
              </w:rPr>
            </w:pPr>
            <w:r w:rsidRPr="000E5866">
              <w:rPr>
                <w:spacing w:val="-1"/>
                <w:lang w:val="es-CO"/>
              </w:rPr>
              <w:t>Marta</w:t>
            </w:r>
            <w:r w:rsidRPr="000E5866">
              <w:rPr>
                <w:spacing w:val="-6"/>
                <w:lang w:val="es-CO"/>
              </w:rPr>
              <w:t xml:space="preserve"> </w:t>
            </w:r>
            <w:r w:rsidRPr="000E5866">
              <w:rPr>
                <w:spacing w:val="-1"/>
                <w:lang w:val="es-CO"/>
              </w:rPr>
              <w:t>Francisca</w:t>
            </w:r>
            <w:r w:rsidRPr="000E5866">
              <w:rPr>
                <w:spacing w:val="-5"/>
                <w:lang w:val="es-CO"/>
              </w:rPr>
              <w:t xml:space="preserve"> </w:t>
            </w:r>
            <w:r w:rsidRPr="000E5866">
              <w:rPr>
                <w:spacing w:val="-1"/>
                <w:lang w:val="es-CO"/>
              </w:rPr>
              <w:t>Ruiz</w:t>
            </w:r>
            <w:r w:rsidRPr="000E5866">
              <w:rPr>
                <w:spacing w:val="-5"/>
                <w:lang w:val="es-CO"/>
              </w:rPr>
              <w:t xml:space="preserve"> </w:t>
            </w:r>
            <w:r w:rsidRPr="000E5866">
              <w:rPr>
                <w:spacing w:val="-1"/>
                <w:lang w:val="es-CO"/>
              </w:rPr>
              <w:t>Anleu</w:t>
            </w:r>
            <w:r w:rsidRPr="000E5866">
              <w:rPr>
                <w:spacing w:val="-5"/>
                <w:lang w:val="es-CO"/>
              </w:rPr>
              <w:t xml:space="preserve"> </w:t>
            </w:r>
            <w:r w:rsidRPr="000E5866">
              <w:rPr>
                <w:spacing w:val="-1"/>
                <w:lang w:val="es-CO"/>
              </w:rPr>
              <w:t>de</w:t>
            </w:r>
            <w:r w:rsidRPr="000E5866">
              <w:rPr>
                <w:spacing w:val="-3"/>
                <w:lang w:val="es-CO"/>
              </w:rPr>
              <w:t xml:space="preserve"> </w:t>
            </w:r>
            <w:r w:rsidRPr="000E5866">
              <w:rPr>
                <w:spacing w:val="-1"/>
                <w:lang w:val="es-CO"/>
              </w:rPr>
              <w:t>Caballeros</w:t>
            </w:r>
            <w:r w:rsidRPr="000E5866">
              <w:rPr>
                <w:spacing w:val="-6"/>
                <w:lang w:val="es-CO"/>
              </w:rPr>
              <w:t xml:space="preserve"> </w:t>
            </w:r>
            <w:r>
              <w:rPr>
                <w:lang w:val="es-CO"/>
              </w:rPr>
              <w:t>and</w:t>
            </w:r>
            <w:r w:rsidRPr="000E5866">
              <w:rPr>
                <w:spacing w:val="-4"/>
                <w:lang w:val="es-CO"/>
              </w:rPr>
              <w:t xml:space="preserve"> </w:t>
            </w:r>
            <w:r w:rsidRPr="000E5866">
              <w:rPr>
                <w:spacing w:val="-1"/>
                <w:lang w:val="es-CO"/>
              </w:rPr>
              <w:t>Julio</w:t>
            </w:r>
            <w:r w:rsidRPr="000E5866">
              <w:rPr>
                <w:spacing w:val="-5"/>
                <w:lang w:val="es-CO"/>
              </w:rPr>
              <w:t xml:space="preserve"> </w:t>
            </w:r>
            <w:r w:rsidRPr="000E5866">
              <w:rPr>
                <w:spacing w:val="-1"/>
                <w:lang w:val="es-CO"/>
              </w:rPr>
              <w:t>Rodolfo</w:t>
            </w:r>
            <w:r w:rsidRPr="000E5866">
              <w:rPr>
                <w:spacing w:val="-6"/>
                <w:lang w:val="es-CO"/>
              </w:rPr>
              <w:t xml:space="preserve"> </w:t>
            </w:r>
            <w:r w:rsidRPr="000E5866">
              <w:rPr>
                <w:spacing w:val="-1"/>
                <w:lang w:val="es-CO"/>
              </w:rPr>
              <w:t>Caballeros</w:t>
            </w:r>
            <w:r w:rsidRPr="000E5866">
              <w:rPr>
                <w:spacing w:val="-5"/>
                <w:lang w:val="es-CO"/>
              </w:rPr>
              <w:t xml:space="preserve"> </w:t>
            </w:r>
            <w:r w:rsidRPr="000E5866">
              <w:rPr>
                <w:lang w:val="es-CO"/>
              </w:rPr>
              <w:t>G</w:t>
            </w:r>
            <w:r>
              <w:rPr>
                <w:lang w:val="es-CO"/>
              </w:rPr>
              <w:t>.</w:t>
            </w:r>
          </w:p>
        </w:tc>
        <w:tc>
          <w:tcPr>
            <w:tcW w:w="1119" w:type="dxa"/>
            <w:vAlign w:val="center"/>
          </w:tcPr>
          <w:p w14:paraId="067ADACF" w14:textId="77777777" w:rsidR="0057201B" w:rsidRPr="00AE3A84" w:rsidRDefault="0057201B">
            <w:pPr>
              <w:pStyle w:val="BodyText"/>
              <w:rPr>
                <w:lang w:val="es-ES"/>
              </w:rPr>
            </w:pPr>
            <w:r w:rsidRPr="00AE3A84">
              <w:rPr>
                <w:spacing w:val="-1"/>
              </w:rPr>
              <w:t>Guatemala</w:t>
            </w:r>
          </w:p>
        </w:tc>
        <w:tc>
          <w:tcPr>
            <w:tcW w:w="1141" w:type="dxa"/>
            <w:vAlign w:val="center"/>
          </w:tcPr>
          <w:p w14:paraId="3228FB76" w14:textId="77777777" w:rsidR="0057201B" w:rsidRPr="00AE3A84" w:rsidRDefault="0057201B">
            <w:pPr>
              <w:pStyle w:val="BodyText"/>
              <w:jc w:val="center"/>
              <w:rPr>
                <w:spacing w:val="-1"/>
              </w:rPr>
            </w:pPr>
            <w:r w:rsidRPr="00336491">
              <w:rPr>
                <w:spacing w:val="-1"/>
              </w:rPr>
              <w:t>380/22</w:t>
            </w:r>
          </w:p>
        </w:tc>
        <w:tc>
          <w:tcPr>
            <w:tcW w:w="1289" w:type="dxa"/>
            <w:vAlign w:val="center"/>
          </w:tcPr>
          <w:p w14:paraId="6943A38C" w14:textId="77777777" w:rsidR="0057201B" w:rsidRPr="00AE3A84" w:rsidRDefault="0057201B">
            <w:pPr>
              <w:pStyle w:val="BodyText"/>
              <w:rPr>
                <w:lang w:val="es-ES"/>
              </w:rPr>
            </w:pPr>
            <w:r w:rsidRPr="00AE3A84">
              <w:rPr>
                <w:spacing w:val="-1"/>
              </w:rPr>
              <w:t>12/22/2022</w:t>
            </w:r>
          </w:p>
        </w:tc>
        <w:tc>
          <w:tcPr>
            <w:tcW w:w="1329" w:type="dxa"/>
            <w:vAlign w:val="center"/>
          </w:tcPr>
          <w:p w14:paraId="62E62F36" w14:textId="77777777" w:rsidR="0057201B" w:rsidRPr="00AE3A84" w:rsidRDefault="0057201B">
            <w:pPr>
              <w:pStyle w:val="BodyText"/>
              <w:rPr>
                <w:lang w:val="es-ES"/>
              </w:rPr>
            </w:pPr>
            <w:r w:rsidRPr="00AE3A84">
              <w:rPr>
                <w:spacing w:val="-1"/>
              </w:rPr>
              <w:t>700-07</w:t>
            </w:r>
          </w:p>
        </w:tc>
        <w:tc>
          <w:tcPr>
            <w:tcW w:w="1350" w:type="dxa"/>
            <w:vAlign w:val="center"/>
          </w:tcPr>
          <w:p w14:paraId="33AE2666" w14:textId="77777777" w:rsidR="0057201B" w:rsidRPr="00AE3A84" w:rsidRDefault="0057201B">
            <w:pPr>
              <w:pStyle w:val="BodyText"/>
              <w:rPr>
                <w:lang w:val="es-ES"/>
              </w:rPr>
            </w:pPr>
            <w:r w:rsidRPr="00AE3A84">
              <w:rPr>
                <w:spacing w:val="-1"/>
              </w:rPr>
              <w:t>15.179</w:t>
            </w:r>
          </w:p>
        </w:tc>
      </w:tr>
      <w:tr w:rsidR="0057201B" w:rsidRPr="00AE3A84" w14:paraId="4676AD09" w14:textId="77777777">
        <w:tc>
          <w:tcPr>
            <w:tcW w:w="534" w:type="dxa"/>
            <w:vAlign w:val="center"/>
          </w:tcPr>
          <w:p w14:paraId="21A4CE36" w14:textId="77777777" w:rsidR="0057201B" w:rsidRPr="00AE3A84" w:rsidRDefault="0057201B" w:rsidP="00933F91">
            <w:pPr>
              <w:pStyle w:val="BodyText"/>
              <w:widowControl/>
              <w:numPr>
                <w:ilvl w:val="0"/>
                <w:numId w:val="57"/>
              </w:numPr>
              <w:rPr>
                <w:lang w:val="es-ES"/>
              </w:rPr>
            </w:pPr>
          </w:p>
        </w:tc>
        <w:tc>
          <w:tcPr>
            <w:tcW w:w="2953" w:type="dxa"/>
            <w:vAlign w:val="center"/>
          </w:tcPr>
          <w:p w14:paraId="4A87A5BD" w14:textId="77777777" w:rsidR="0057201B" w:rsidRPr="00AE3A84" w:rsidRDefault="0057201B">
            <w:pPr>
              <w:pStyle w:val="BodyText"/>
              <w:rPr>
                <w:lang w:val="es-ES"/>
              </w:rPr>
            </w:pPr>
            <w:r w:rsidRPr="00AE3A84">
              <w:rPr>
                <w:spacing w:val="-1"/>
              </w:rPr>
              <w:t>Juan</w:t>
            </w:r>
            <w:r w:rsidRPr="00AE3A84">
              <w:rPr>
                <w:spacing w:val="-6"/>
              </w:rPr>
              <w:t xml:space="preserve"> </w:t>
            </w:r>
            <w:r w:rsidRPr="00AE3A84">
              <w:rPr>
                <w:spacing w:val="-1"/>
              </w:rPr>
              <w:t>Lucas</w:t>
            </w:r>
            <w:r w:rsidRPr="00AE3A84">
              <w:rPr>
                <w:spacing w:val="-6"/>
              </w:rPr>
              <w:t xml:space="preserve"> </w:t>
            </w:r>
            <w:r w:rsidRPr="00AE3A84">
              <w:rPr>
                <w:spacing w:val="-1"/>
              </w:rPr>
              <w:t>Juan</w:t>
            </w:r>
          </w:p>
        </w:tc>
        <w:tc>
          <w:tcPr>
            <w:tcW w:w="1119" w:type="dxa"/>
            <w:vAlign w:val="center"/>
          </w:tcPr>
          <w:p w14:paraId="50EE1F5F" w14:textId="77777777" w:rsidR="0057201B" w:rsidRPr="00AE3A84" w:rsidRDefault="0057201B">
            <w:pPr>
              <w:pStyle w:val="BodyText"/>
              <w:rPr>
                <w:lang w:val="es-ES"/>
              </w:rPr>
            </w:pPr>
            <w:r w:rsidRPr="00AE3A84">
              <w:rPr>
                <w:spacing w:val="-1"/>
              </w:rPr>
              <w:t>Guatemala</w:t>
            </w:r>
          </w:p>
        </w:tc>
        <w:tc>
          <w:tcPr>
            <w:tcW w:w="1141" w:type="dxa"/>
            <w:vAlign w:val="center"/>
          </w:tcPr>
          <w:p w14:paraId="5A3665F0" w14:textId="77777777" w:rsidR="0057201B" w:rsidRPr="00AE3A84" w:rsidRDefault="0057201B">
            <w:pPr>
              <w:pStyle w:val="BodyText"/>
              <w:jc w:val="center"/>
              <w:rPr>
                <w:spacing w:val="-1"/>
              </w:rPr>
            </w:pPr>
            <w:r w:rsidRPr="00336491">
              <w:rPr>
                <w:spacing w:val="-1"/>
              </w:rPr>
              <w:t>383/22</w:t>
            </w:r>
          </w:p>
        </w:tc>
        <w:tc>
          <w:tcPr>
            <w:tcW w:w="1289" w:type="dxa"/>
            <w:vAlign w:val="center"/>
          </w:tcPr>
          <w:p w14:paraId="73F18DA3" w14:textId="77777777" w:rsidR="0057201B" w:rsidRPr="00AE3A84" w:rsidRDefault="0057201B">
            <w:pPr>
              <w:pStyle w:val="BodyText"/>
              <w:rPr>
                <w:lang w:val="es-ES"/>
              </w:rPr>
            </w:pPr>
            <w:r w:rsidRPr="00AE3A84">
              <w:rPr>
                <w:spacing w:val="-1"/>
              </w:rPr>
              <w:t>4/30/2022</w:t>
            </w:r>
          </w:p>
        </w:tc>
        <w:tc>
          <w:tcPr>
            <w:tcW w:w="1329" w:type="dxa"/>
            <w:vAlign w:val="center"/>
          </w:tcPr>
          <w:p w14:paraId="14D3A42C" w14:textId="77777777" w:rsidR="0057201B" w:rsidRPr="00AE3A84" w:rsidRDefault="0057201B">
            <w:pPr>
              <w:pStyle w:val="BodyText"/>
              <w:rPr>
                <w:lang w:val="es-ES"/>
              </w:rPr>
            </w:pPr>
            <w:r w:rsidRPr="00AE3A84">
              <w:rPr>
                <w:spacing w:val="-1"/>
              </w:rPr>
              <w:t>2276-12</w:t>
            </w:r>
          </w:p>
        </w:tc>
        <w:tc>
          <w:tcPr>
            <w:tcW w:w="1350" w:type="dxa"/>
            <w:vAlign w:val="center"/>
          </w:tcPr>
          <w:p w14:paraId="164DEC80" w14:textId="77777777" w:rsidR="0057201B" w:rsidRPr="00AE3A84" w:rsidRDefault="0057201B">
            <w:pPr>
              <w:pStyle w:val="BodyText"/>
              <w:rPr>
                <w:lang w:val="es-ES"/>
              </w:rPr>
            </w:pPr>
            <w:r w:rsidRPr="00AE3A84">
              <w:rPr>
                <w:spacing w:val="-1"/>
              </w:rPr>
              <w:t>15.181</w:t>
            </w:r>
          </w:p>
        </w:tc>
      </w:tr>
      <w:tr w:rsidR="0057201B" w:rsidRPr="00AE3A84" w14:paraId="26C97C04" w14:textId="77777777">
        <w:tc>
          <w:tcPr>
            <w:tcW w:w="534" w:type="dxa"/>
            <w:vAlign w:val="center"/>
          </w:tcPr>
          <w:p w14:paraId="51D9177F" w14:textId="77777777" w:rsidR="0057201B" w:rsidRPr="00AE3A84" w:rsidRDefault="0057201B" w:rsidP="00933F91">
            <w:pPr>
              <w:pStyle w:val="BodyText"/>
              <w:widowControl/>
              <w:numPr>
                <w:ilvl w:val="0"/>
                <w:numId w:val="57"/>
              </w:numPr>
              <w:rPr>
                <w:lang w:val="es-ES"/>
              </w:rPr>
            </w:pPr>
          </w:p>
        </w:tc>
        <w:tc>
          <w:tcPr>
            <w:tcW w:w="2953" w:type="dxa"/>
            <w:vAlign w:val="center"/>
          </w:tcPr>
          <w:p w14:paraId="10674C30" w14:textId="77777777" w:rsidR="0057201B" w:rsidRPr="00AE3A84" w:rsidRDefault="0057201B">
            <w:pPr>
              <w:pStyle w:val="BodyText"/>
              <w:rPr>
                <w:lang w:val="es-ES"/>
              </w:rPr>
            </w:pPr>
            <w:r w:rsidRPr="00AE3A84">
              <w:rPr>
                <w:spacing w:val="-1"/>
              </w:rPr>
              <w:t>P.E.M.M.</w:t>
            </w:r>
          </w:p>
        </w:tc>
        <w:tc>
          <w:tcPr>
            <w:tcW w:w="1119" w:type="dxa"/>
            <w:vAlign w:val="center"/>
          </w:tcPr>
          <w:p w14:paraId="65E29A3D" w14:textId="77777777" w:rsidR="0057201B" w:rsidRPr="00AE3A84" w:rsidRDefault="0057201B">
            <w:pPr>
              <w:pStyle w:val="BodyText"/>
              <w:rPr>
                <w:lang w:val="es-ES"/>
              </w:rPr>
            </w:pPr>
            <w:r w:rsidRPr="00AE3A84">
              <w:rPr>
                <w:spacing w:val="-1"/>
              </w:rPr>
              <w:t>Per</w:t>
            </w:r>
            <w:r>
              <w:rPr>
                <w:spacing w:val="-1"/>
              </w:rPr>
              <w:t>u</w:t>
            </w:r>
          </w:p>
        </w:tc>
        <w:tc>
          <w:tcPr>
            <w:tcW w:w="1141" w:type="dxa"/>
            <w:vAlign w:val="center"/>
          </w:tcPr>
          <w:p w14:paraId="4143F6F8" w14:textId="77777777" w:rsidR="0057201B" w:rsidRPr="00AE3A84" w:rsidRDefault="0057201B">
            <w:pPr>
              <w:pStyle w:val="BodyText"/>
              <w:jc w:val="center"/>
              <w:rPr>
                <w:spacing w:val="-1"/>
              </w:rPr>
            </w:pPr>
            <w:r w:rsidRPr="00336491">
              <w:rPr>
                <w:spacing w:val="-1"/>
              </w:rPr>
              <w:t>384/22</w:t>
            </w:r>
          </w:p>
        </w:tc>
        <w:tc>
          <w:tcPr>
            <w:tcW w:w="1289" w:type="dxa"/>
            <w:vAlign w:val="center"/>
          </w:tcPr>
          <w:p w14:paraId="676655A4" w14:textId="77777777" w:rsidR="0057201B" w:rsidRPr="00AE3A84" w:rsidRDefault="0057201B">
            <w:pPr>
              <w:pStyle w:val="BodyText"/>
              <w:rPr>
                <w:lang w:val="es-ES"/>
              </w:rPr>
            </w:pPr>
            <w:r w:rsidRPr="00AE3A84">
              <w:rPr>
                <w:spacing w:val="-1"/>
              </w:rPr>
              <w:t>12/17/2022</w:t>
            </w:r>
          </w:p>
        </w:tc>
        <w:tc>
          <w:tcPr>
            <w:tcW w:w="1329" w:type="dxa"/>
            <w:vAlign w:val="center"/>
          </w:tcPr>
          <w:p w14:paraId="5BF074B4" w14:textId="77777777" w:rsidR="0057201B" w:rsidRPr="00AE3A84" w:rsidRDefault="0057201B">
            <w:pPr>
              <w:pStyle w:val="BodyText"/>
              <w:rPr>
                <w:lang w:val="es-ES"/>
              </w:rPr>
            </w:pPr>
            <w:r w:rsidRPr="00AE3A84">
              <w:rPr>
                <w:spacing w:val="-1"/>
              </w:rPr>
              <w:t>1573-14</w:t>
            </w:r>
          </w:p>
        </w:tc>
        <w:tc>
          <w:tcPr>
            <w:tcW w:w="1350" w:type="dxa"/>
            <w:vAlign w:val="center"/>
          </w:tcPr>
          <w:p w14:paraId="32BA0E75" w14:textId="77777777" w:rsidR="0057201B" w:rsidRPr="00AE3A84" w:rsidRDefault="0057201B">
            <w:pPr>
              <w:pStyle w:val="BodyText"/>
              <w:rPr>
                <w:lang w:val="es-ES"/>
              </w:rPr>
            </w:pPr>
            <w:r w:rsidRPr="00AE3A84">
              <w:rPr>
                <w:spacing w:val="-1"/>
              </w:rPr>
              <w:t>15.184</w:t>
            </w:r>
          </w:p>
        </w:tc>
      </w:tr>
      <w:tr w:rsidR="0057201B" w:rsidRPr="00AE3A84" w14:paraId="78A9AFDC" w14:textId="77777777">
        <w:tc>
          <w:tcPr>
            <w:tcW w:w="534" w:type="dxa"/>
            <w:vAlign w:val="center"/>
          </w:tcPr>
          <w:p w14:paraId="1AA7734E" w14:textId="77777777" w:rsidR="0057201B" w:rsidRPr="00AE3A84" w:rsidRDefault="0057201B" w:rsidP="00933F91">
            <w:pPr>
              <w:pStyle w:val="BodyText"/>
              <w:widowControl/>
              <w:numPr>
                <w:ilvl w:val="0"/>
                <w:numId w:val="57"/>
              </w:numPr>
              <w:rPr>
                <w:lang w:val="es-ES"/>
              </w:rPr>
            </w:pPr>
          </w:p>
        </w:tc>
        <w:tc>
          <w:tcPr>
            <w:tcW w:w="2953" w:type="dxa"/>
            <w:vAlign w:val="center"/>
          </w:tcPr>
          <w:p w14:paraId="24FF469D" w14:textId="77777777" w:rsidR="0057201B" w:rsidRPr="00AE3A84" w:rsidRDefault="0057201B">
            <w:pPr>
              <w:pStyle w:val="BodyText"/>
              <w:rPr>
                <w:lang w:val="es-ES"/>
              </w:rPr>
            </w:pPr>
            <w:r w:rsidRPr="00AE3A84">
              <w:rPr>
                <w:spacing w:val="-1"/>
              </w:rPr>
              <w:t>Patricia</w:t>
            </w:r>
            <w:r w:rsidRPr="00AE3A84">
              <w:rPr>
                <w:spacing w:val="-9"/>
              </w:rPr>
              <w:t xml:space="preserve"> </w:t>
            </w:r>
            <w:r w:rsidRPr="00AE3A84">
              <w:rPr>
                <w:spacing w:val="-1"/>
              </w:rPr>
              <w:t>Ibáñez</w:t>
            </w:r>
            <w:r w:rsidRPr="00AE3A84">
              <w:rPr>
                <w:spacing w:val="-8"/>
              </w:rPr>
              <w:t xml:space="preserve"> </w:t>
            </w:r>
            <w:r w:rsidRPr="00AE3A84">
              <w:rPr>
                <w:spacing w:val="-1"/>
              </w:rPr>
              <w:t>Guayazán</w:t>
            </w:r>
          </w:p>
        </w:tc>
        <w:tc>
          <w:tcPr>
            <w:tcW w:w="1119" w:type="dxa"/>
            <w:vAlign w:val="center"/>
          </w:tcPr>
          <w:p w14:paraId="7044AF40" w14:textId="77777777" w:rsidR="0057201B" w:rsidRPr="00AE3A84" w:rsidRDefault="0057201B">
            <w:pPr>
              <w:pStyle w:val="BodyText"/>
              <w:rPr>
                <w:lang w:val="es-ES"/>
              </w:rPr>
            </w:pPr>
            <w:r w:rsidRPr="00AE3A84">
              <w:rPr>
                <w:spacing w:val="-1"/>
              </w:rPr>
              <w:t>Colombia</w:t>
            </w:r>
          </w:p>
        </w:tc>
        <w:tc>
          <w:tcPr>
            <w:tcW w:w="1141" w:type="dxa"/>
            <w:vAlign w:val="center"/>
          </w:tcPr>
          <w:p w14:paraId="16042FA0" w14:textId="77777777" w:rsidR="0057201B" w:rsidRPr="00AE3A84" w:rsidRDefault="0057201B">
            <w:pPr>
              <w:pStyle w:val="BodyText"/>
              <w:jc w:val="center"/>
              <w:rPr>
                <w:spacing w:val="-1"/>
              </w:rPr>
            </w:pPr>
            <w:r w:rsidRPr="00336491">
              <w:rPr>
                <w:spacing w:val="-1"/>
              </w:rPr>
              <w:t>385/22</w:t>
            </w:r>
          </w:p>
        </w:tc>
        <w:tc>
          <w:tcPr>
            <w:tcW w:w="1289" w:type="dxa"/>
            <w:vAlign w:val="center"/>
          </w:tcPr>
          <w:p w14:paraId="39A3CCE4" w14:textId="77777777" w:rsidR="0057201B" w:rsidRPr="00AE3A84" w:rsidRDefault="0057201B">
            <w:pPr>
              <w:pStyle w:val="BodyText"/>
              <w:rPr>
                <w:lang w:val="es-ES"/>
              </w:rPr>
            </w:pPr>
            <w:r w:rsidRPr="00AE3A84">
              <w:rPr>
                <w:spacing w:val="-1"/>
              </w:rPr>
              <w:t>5/4/2022</w:t>
            </w:r>
          </w:p>
        </w:tc>
        <w:tc>
          <w:tcPr>
            <w:tcW w:w="1329" w:type="dxa"/>
            <w:vAlign w:val="center"/>
          </w:tcPr>
          <w:p w14:paraId="5BF81068" w14:textId="77777777" w:rsidR="0057201B" w:rsidRPr="00AE3A84" w:rsidRDefault="0057201B">
            <w:pPr>
              <w:pStyle w:val="BodyText"/>
              <w:rPr>
                <w:lang w:val="es-ES"/>
              </w:rPr>
            </w:pPr>
            <w:r w:rsidRPr="00AE3A84">
              <w:rPr>
                <w:spacing w:val="-1"/>
              </w:rPr>
              <w:t>1892-11</w:t>
            </w:r>
          </w:p>
        </w:tc>
        <w:tc>
          <w:tcPr>
            <w:tcW w:w="1350" w:type="dxa"/>
            <w:vAlign w:val="center"/>
          </w:tcPr>
          <w:p w14:paraId="569A4DDB" w14:textId="77777777" w:rsidR="0057201B" w:rsidRPr="00AE3A84" w:rsidRDefault="0057201B">
            <w:pPr>
              <w:pStyle w:val="BodyText"/>
              <w:rPr>
                <w:lang w:val="es-ES"/>
              </w:rPr>
            </w:pPr>
            <w:r w:rsidRPr="00AE3A84">
              <w:rPr>
                <w:spacing w:val="-1"/>
              </w:rPr>
              <w:t>15.183</w:t>
            </w:r>
          </w:p>
        </w:tc>
      </w:tr>
      <w:tr w:rsidR="0057201B" w:rsidRPr="00AE3A84" w14:paraId="02CDA000" w14:textId="77777777">
        <w:tc>
          <w:tcPr>
            <w:tcW w:w="534" w:type="dxa"/>
            <w:vAlign w:val="center"/>
          </w:tcPr>
          <w:p w14:paraId="20CC7AF1" w14:textId="77777777" w:rsidR="0057201B" w:rsidRPr="00AE3A84" w:rsidRDefault="0057201B" w:rsidP="00933F91">
            <w:pPr>
              <w:pStyle w:val="BodyText"/>
              <w:widowControl/>
              <w:numPr>
                <w:ilvl w:val="0"/>
                <w:numId w:val="57"/>
              </w:numPr>
              <w:rPr>
                <w:lang w:val="es-ES"/>
              </w:rPr>
            </w:pPr>
          </w:p>
        </w:tc>
        <w:tc>
          <w:tcPr>
            <w:tcW w:w="2953" w:type="dxa"/>
            <w:vAlign w:val="center"/>
          </w:tcPr>
          <w:p w14:paraId="5F95384E" w14:textId="77777777" w:rsidR="0057201B" w:rsidRPr="00AE3A84" w:rsidRDefault="0057201B">
            <w:pPr>
              <w:pStyle w:val="BodyText"/>
              <w:rPr>
                <w:spacing w:val="-1"/>
              </w:rPr>
            </w:pPr>
            <w:r w:rsidRPr="00622CF8">
              <w:rPr>
                <w:spacing w:val="-1"/>
              </w:rPr>
              <w:t>José Daniel Gil Trejos</w:t>
            </w:r>
          </w:p>
        </w:tc>
        <w:tc>
          <w:tcPr>
            <w:tcW w:w="1119" w:type="dxa"/>
            <w:vAlign w:val="center"/>
          </w:tcPr>
          <w:p w14:paraId="7A9DF07C" w14:textId="77777777" w:rsidR="0057201B" w:rsidRPr="00AE3A84" w:rsidRDefault="0057201B">
            <w:pPr>
              <w:pStyle w:val="BodyText"/>
              <w:rPr>
                <w:spacing w:val="-1"/>
              </w:rPr>
            </w:pPr>
            <w:r>
              <w:rPr>
                <w:spacing w:val="-1"/>
              </w:rPr>
              <w:t>Nicaragua</w:t>
            </w:r>
          </w:p>
        </w:tc>
        <w:tc>
          <w:tcPr>
            <w:tcW w:w="1141" w:type="dxa"/>
            <w:vAlign w:val="center"/>
          </w:tcPr>
          <w:p w14:paraId="181FB152" w14:textId="77777777" w:rsidR="0057201B" w:rsidRPr="00336491" w:rsidRDefault="0057201B">
            <w:pPr>
              <w:pStyle w:val="BodyText"/>
              <w:jc w:val="center"/>
              <w:rPr>
                <w:spacing w:val="-1"/>
              </w:rPr>
            </w:pPr>
            <w:r w:rsidRPr="00336491">
              <w:rPr>
                <w:spacing w:val="-1"/>
              </w:rPr>
              <w:t>38</w:t>
            </w:r>
            <w:r>
              <w:rPr>
                <w:spacing w:val="-1"/>
              </w:rPr>
              <w:t>6</w:t>
            </w:r>
            <w:r w:rsidRPr="00336491">
              <w:rPr>
                <w:spacing w:val="-1"/>
              </w:rPr>
              <w:t>/22</w:t>
            </w:r>
          </w:p>
        </w:tc>
        <w:tc>
          <w:tcPr>
            <w:tcW w:w="1289" w:type="dxa"/>
            <w:vAlign w:val="center"/>
          </w:tcPr>
          <w:p w14:paraId="12E25C67" w14:textId="77777777" w:rsidR="0057201B" w:rsidRPr="00AE3A84" w:rsidRDefault="0057201B">
            <w:pPr>
              <w:pStyle w:val="BodyText"/>
              <w:rPr>
                <w:spacing w:val="-1"/>
              </w:rPr>
            </w:pPr>
            <w:r w:rsidRPr="00622CF8">
              <w:rPr>
                <w:spacing w:val="-1"/>
              </w:rPr>
              <w:t>12/17/2022</w:t>
            </w:r>
          </w:p>
        </w:tc>
        <w:tc>
          <w:tcPr>
            <w:tcW w:w="1329" w:type="dxa"/>
            <w:vAlign w:val="center"/>
          </w:tcPr>
          <w:p w14:paraId="10FF8515" w14:textId="77777777" w:rsidR="0057201B" w:rsidRPr="00AE3A84" w:rsidRDefault="0057201B">
            <w:pPr>
              <w:pStyle w:val="BodyText"/>
              <w:rPr>
                <w:spacing w:val="-1"/>
              </w:rPr>
            </w:pPr>
            <w:r>
              <w:rPr>
                <w:spacing w:val="-1"/>
              </w:rPr>
              <w:t>968-17</w:t>
            </w:r>
          </w:p>
        </w:tc>
        <w:tc>
          <w:tcPr>
            <w:tcW w:w="1350" w:type="dxa"/>
            <w:vAlign w:val="center"/>
          </w:tcPr>
          <w:p w14:paraId="35A129CE" w14:textId="28A96A38" w:rsidR="0057201B" w:rsidRPr="00AE3A84" w:rsidRDefault="00D60AF0">
            <w:pPr>
              <w:pStyle w:val="BodyText"/>
              <w:rPr>
                <w:spacing w:val="-1"/>
              </w:rPr>
            </w:pPr>
            <w:r>
              <w:rPr>
                <w:spacing w:val="-1"/>
              </w:rPr>
              <w:t>15.211</w:t>
            </w:r>
          </w:p>
        </w:tc>
      </w:tr>
      <w:tr w:rsidR="0057201B" w:rsidRPr="00AE3A84" w14:paraId="3BB84670" w14:textId="77777777">
        <w:tc>
          <w:tcPr>
            <w:tcW w:w="534" w:type="dxa"/>
            <w:vAlign w:val="center"/>
          </w:tcPr>
          <w:p w14:paraId="257FE383" w14:textId="77777777" w:rsidR="0057201B" w:rsidRPr="00AE3A84" w:rsidRDefault="0057201B" w:rsidP="00933F91">
            <w:pPr>
              <w:pStyle w:val="BodyText"/>
              <w:widowControl/>
              <w:numPr>
                <w:ilvl w:val="0"/>
                <w:numId w:val="57"/>
              </w:numPr>
              <w:rPr>
                <w:lang w:val="es-ES"/>
              </w:rPr>
            </w:pPr>
          </w:p>
        </w:tc>
        <w:tc>
          <w:tcPr>
            <w:tcW w:w="2953" w:type="dxa"/>
            <w:vAlign w:val="center"/>
          </w:tcPr>
          <w:p w14:paraId="3647E552" w14:textId="77777777" w:rsidR="0057201B" w:rsidRPr="006B18CA" w:rsidRDefault="0057201B">
            <w:pPr>
              <w:pStyle w:val="BodyText"/>
              <w:rPr>
                <w:spacing w:val="-1"/>
                <w:lang w:val="es-AR"/>
              </w:rPr>
            </w:pPr>
            <w:r w:rsidRPr="00622CF8">
              <w:rPr>
                <w:spacing w:val="-1"/>
                <w:lang w:val="es-AR"/>
              </w:rPr>
              <w:t>Juan Antonio Sánchez Gutiérrez y otros</w:t>
            </w:r>
          </w:p>
        </w:tc>
        <w:tc>
          <w:tcPr>
            <w:tcW w:w="1119" w:type="dxa"/>
            <w:vAlign w:val="center"/>
          </w:tcPr>
          <w:p w14:paraId="7F354544" w14:textId="77777777" w:rsidR="0057201B" w:rsidRPr="00AE3A84" w:rsidRDefault="0057201B">
            <w:pPr>
              <w:pStyle w:val="BodyText"/>
              <w:rPr>
                <w:spacing w:val="-1"/>
              </w:rPr>
            </w:pPr>
            <w:r w:rsidRPr="00AE3A84">
              <w:rPr>
                <w:spacing w:val="-1"/>
              </w:rPr>
              <w:t>Per</w:t>
            </w:r>
            <w:r>
              <w:rPr>
                <w:spacing w:val="-1"/>
              </w:rPr>
              <w:t>u</w:t>
            </w:r>
          </w:p>
        </w:tc>
        <w:tc>
          <w:tcPr>
            <w:tcW w:w="1141" w:type="dxa"/>
            <w:vAlign w:val="center"/>
          </w:tcPr>
          <w:p w14:paraId="39AF30AC" w14:textId="2985C4E9" w:rsidR="0057201B" w:rsidRPr="00336491" w:rsidRDefault="0057201B">
            <w:pPr>
              <w:pStyle w:val="BodyText"/>
              <w:jc w:val="center"/>
              <w:rPr>
                <w:spacing w:val="-1"/>
              </w:rPr>
            </w:pPr>
            <w:r w:rsidRPr="00336491">
              <w:rPr>
                <w:spacing w:val="-1"/>
              </w:rPr>
              <w:t>38</w:t>
            </w:r>
            <w:r>
              <w:rPr>
                <w:spacing w:val="-1"/>
              </w:rPr>
              <w:t>7</w:t>
            </w:r>
            <w:r w:rsidRPr="00336491">
              <w:rPr>
                <w:spacing w:val="-1"/>
              </w:rPr>
              <w:t>/22</w:t>
            </w:r>
            <w:r w:rsidR="00F25813">
              <w:rPr>
                <w:rStyle w:val="FootnoteReference"/>
                <w:spacing w:val="-1"/>
              </w:rPr>
              <w:footnoteReference w:id="3"/>
            </w:r>
          </w:p>
        </w:tc>
        <w:tc>
          <w:tcPr>
            <w:tcW w:w="1289" w:type="dxa"/>
            <w:vAlign w:val="center"/>
          </w:tcPr>
          <w:p w14:paraId="10EB10C7" w14:textId="77777777" w:rsidR="0057201B" w:rsidRPr="00AE3A84" w:rsidRDefault="0057201B">
            <w:pPr>
              <w:pStyle w:val="BodyText"/>
              <w:rPr>
                <w:spacing w:val="-1"/>
              </w:rPr>
            </w:pPr>
            <w:r w:rsidRPr="00622CF8">
              <w:rPr>
                <w:spacing w:val="-1"/>
              </w:rPr>
              <w:t>9/23/2022</w:t>
            </w:r>
          </w:p>
        </w:tc>
        <w:tc>
          <w:tcPr>
            <w:tcW w:w="1329" w:type="dxa"/>
            <w:vAlign w:val="center"/>
          </w:tcPr>
          <w:p w14:paraId="24EF510D" w14:textId="77777777" w:rsidR="0057201B" w:rsidRPr="00AE3A84" w:rsidRDefault="0057201B">
            <w:pPr>
              <w:pStyle w:val="BodyText"/>
              <w:rPr>
                <w:spacing w:val="-1"/>
              </w:rPr>
            </w:pPr>
            <w:r>
              <w:rPr>
                <w:spacing w:val="-1"/>
                <w:lang w:val="es-AR"/>
              </w:rPr>
              <w:t>150-07</w:t>
            </w:r>
          </w:p>
        </w:tc>
        <w:tc>
          <w:tcPr>
            <w:tcW w:w="1350" w:type="dxa"/>
            <w:vAlign w:val="center"/>
          </w:tcPr>
          <w:p w14:paraId="0C052064" w14:textId="77777777" w:rsidR="0057201B" w:rsidRPr="00AE3A84" w:rsidRDefault="0057201B">
            <w:pPr>
              <w:pStyle w:val="BodyText"/>
              <w:rPr>
                <w:spacing w:val="-1"/>
              </w:rPr>
            </w:pPr>
          </w:p>
        </w:tc>
      </w:tr>
    </w:tbl>
    <w:p w14:paraId="277313AD" w14:textId="77777777" w:rsidR="0057201B" w:rsidRPr="00AE3A84" w:rsidRDefault="0057201B" w:rsidP="0057201B">
      <w:pPr>
        <w:pStyle w:val="BodyText"/>
        <w:jc w:val="both"/>
        <w:rPr>
          <w:lang w:val="es-ES"/>
        </w:rPr>
      </w:pPr>
    </w:p>
    <w:p w14:paraId="04C69749" w14:textId="77777777" w:rsidR="0057201B" w:rsidRPr="00AE3A84" w:rsidRDefault="0057201B" w:rsidP="00933F91">
      <w:pPr>
        <w:pStyle w:val="BodyText"/>
        <w:widowControl/>
        <w:numPr>
          <w:ilvl w:val="1"/>
          <w:numId w:val="54"/>
        </w:numPr>
        <w:ind w:left="2160" w:hanging="720"/>
        <w:jc w:val="both"/>
        <w:rPr>
          <w:lang w:val="es-US"/>
        </w:rPr>
      </w:pPr>
      <w:r>
        <w:rPr>
          <w:lang w:val="es-US"/>
        </w:rPr>
        <w:t>Inadmissibility Reports</w:t>
      </w:r>
    </w:p>
    <w:p w14:paraId="51A69147" w14:textId="77777777" w:rsidR="0057201B" w:rsidRPr="00AE3A84" w:rsidRDefault="0057201B" w:rsidP="0057201B">
      <w:pPr>
        <w:pStyle w:val="BodyText"/>
        <w:ind w:left="1440"/>
        <w:jc w:val="both"/>
        <w:rPr>
          <w:lang w:val="es-US"/>
        </w:rPr>
      </w:pPr>
    </w:p>
    <w:tbl>
      <w:tblPr>
        <w:tblStyle w:val="TableGrid"/>
        <w:tblW w:w="9715" w:type="dxa"/>
        <w:tblLook w:val="04A0" w:firstRow="1" w:lastRow="0" w:firstColumn="1" w:lastColumn="0" w:noHBand="0" w:noVBand="1"/>
      </w:tblPr>
      <w:tblGrid>
        <w:gridCol w:w="544"/>
        <w:gridCol w:w="3253"/>
        <w:gridCol w:w="1328"/>
        <w:gridCol w:w="1260"/>
        <w:gridCol w:w="1440"/>
        <w:gridCol w:w="1890"/>
      </w:tblGrid>
      <w:tr w:rsidR="0057201B" w:rsidRPr="00AE3A84" w14:paraId="55DAF1EE" w14:textId="77777777" w:rsidTr="005615BA">
        <w:tc>
          <w:tcPr>
            <w:tcW w:w="544" w:type="dxa"/>
            <w:shd w:val="clear" w:color="auto" w:fill="2E74B5" w:themeFill="accent5" w:themeFillShade="BF"/>
            <w:vAlign w:val="center"/>
          </w:tcPr>
          <w:p w14:paraId="7E202EC0" w14:textId="77777777" w:rsidR="0057201B" w:rsidRPr="00AE3A84" w:rsidRDefault="0057201B">
            <w:pPr>
              <w:jc w:val="center"/>
              <w:rPr>
                <w:rFonts w:ascii="Cambria" w:hAnsi="Cambria"/>
                <w:b/>
                <w:bCs/>
                <w:color w:val="FFFFFF" w:themeColor="background1"/>
                <w:sz w:val="20"/>
                <w:szCs w:val="20"/>
                <w:lang w:val="es-ES_tradnl"/>
              </w:rPr>
            </w:pPr>
            <w:r w:rsidRPr="00AE3A84">
              <w:rPr>
                <w:rFonts w:ascii="Cambria" w:hAnsi="Cambria"/>
                <w:b/>
                <w:bCs/>
                <w:color w:val="FFFFFF" w:themeColor="background1"/>
                <w:sz w:val="20"/>
                <w:szCs w:val="20"/>
                <w:lang w:val="es-ES_tradnl"/>
              </w:rPr>
              <w:t>No.</w:t>
            </w:r>
          </w:p>
        </w:tc>
        <w:tc>
          <w:tcPr>
            <w:tcW w:w="3253" w:type="dxa"/>
            <w:shd w:val="clear" w:color="auto" w:fill="2E74B5" w:themeFill="accent5" w:themeFillShade="BF"/>
            <w:vAlign w:val="center"/>
          </w:tcPr>
          <w:p w14:paraId="33AE7369" w14:textId="77777777" w:rsidR="0057201B" w:rsidRPr="00AE3A84" w:rsidRDefault="0057201B">
            <w:pPr>
              <w:jc w:val="center"/>
              <w:rPr>
                <w:rFonts w:ascii="Cambria" w:hAnsi="Cambria"/>
                <w:b/>
                <w:bCs/>
                <w:color w:val="FFFFFF" w:themeColor="background1"/>
                <w:sz w:val="20"/>
                <w:szCs w:val="20"/>
                <w:lang w:val="es-AR"/>
              </w:rPr>
            </w:pPr>
            <w:r>
              <w:rPr>
                <w:rFonts w:ascii="Cambria" w:hAnsi="Cambria"/>
                <w:b/>
                <w:bCs/>
                <w:color w:val="FFFFFF" w:themeColor="background1"/>
                <w:sz w:val="20"/>
                <w:szCs w:val="20"/>
                <w:lang w:val="es-AR"/>
              </w:rPr>
              <w:t>Name of Alleged Victim</w:t>
            </w:r>
          </w:p>
        </w:tc>
        <w:tc>
          <w:tcPr>
            <w:tcW w:w="1328" w:type="dxa"/>
            <w:shd w:val="clear" w:color="auto" w:fill="2E74B5" w:themeFill="accent5" w:themeFillShade="BF"/>
            <w:vAlign w:val="center"/>
          </w:tcPr>
          <w:p w14:paraId="468E6021" w14:textId="77777777" w:rsidR="0057201B" w:rsidRPr="00AE3A84" w:rsidRDefault="0057201B">
            <w:pPr>
              <w:jc w:val="center"/>
              <w:rPr>
                <w:rFonts w:ascii="Cambria" w:hAnsi="Cambria"/>
                <w:b/>
                <w:bCs/>
                <w:color w:val="FFFFFF" w:themeColor="background1"/>
                <w:sz w:val="20"/>
                <w:szCs w:val="20"/>
                <w:lang w:val="es-AR"/>
              </w:rPr>
            </w:pPr>
            <w:r>
              <w:rPr>
                <w:rFonts w:ascii="Cambria" w:hAnsi="Cambria"/>
                <w:b/>
                <w:bCs/>
                <w:color w:val="FFFFFF" w:themeColor="background1"/>
                <w:sz w:val="20"/>
                <w:szCs w:val="20"/>
                <w:lang w:val="es-AR"/>
              </w:rPr>
              <w:t>State</w:t>
            </w:r>
          </w:p>
        </w:tc>
        <w:tc>
          <w:tcPr>
            <w:tcW w:w="1260" w:type="dxa"/>
            <w:shd w:val="clear" w:color="auto" w:fill="2E74B5" w:themeFill="accent5" w:themeFillShade="BF"/>
            <w:vAlign w:val="center"/>
          </w:tcPr>
          <w:p w14:paraId="5F0ABBC9" w14:textId="77777777" w:rsidR="0057201B" w:rsidRDefault="0057201B">
            <w:pPr>
              <w:jc w:val="center"/>
              <w:rPr>
                <w:rFonts w:ascii="Cambria" w:hAnsi="Cambria"/>
                <w:b/>
                <w:bCs/>
                <w:color w:val="FFFFFF" w:themeColor="background1"/>
                <w:sz w:val="20"/>
                <w:szCs w:val="20"/>
                <w:lang w:val="es-AR"/>
              </w:rPr>
            </w:pPr>
            <w:r>
              <w:rPr>
                <w:rFonts w:ascii="Cambria" w:hAnsi="Cambria"/>
                <w:b/>
                <w:bCs/>
                <w:color w:val="FFFFFF" w:themeColor="background1"/>
                <w:sz w:val="20"/>
                <w:szCs w:val="20"/>
                <w:lang w:val="es-AR"/>
              </w:rPr>
              <w:t>Report No.</w:t>
            </w:r>
          </w:p>
        </w:tc>
        <w:tc>
          <w:tcPr>
            <w:tcW w:w="1440" w:type="dxa"/>
            <w:shd w:val="clear" w:color="auto" w:fill="2E74B5" w:themeFill="accent5" w:themeFillShade="BF"/>
            <w:vAlign w:val="center"/>
          </w:tcPr>
          <w:p w14:paraId="39D2FA24" w14:textId="77777777" w:rsidR="0057201B" w:rsidRPr="00AE3A84" w:rsidRDefault="0057201B" w:rsidP="005F75C1">
            <w:pPr>
              <w:jc w:val="center"/>
              <w:rPr>
                <w:rFonts w:ascii="Cambria" w:hAnsi="Cambria"/>
                <w:b/>
                <w:bCs/>
                <w:color w:val="FFFFFF" w:themeColor="background1"/>
                <w:sz w:val="20"/>
                <w:szCs w:val="20"/>
                <w:lang w:val="es-AR"/>
              </w:rPr>
            </w:pPr>
            <w:r>
              <w:rPr>
                <w:rFonts w:ascii="Cambria" w:hAnsi="Cambria"/>
                <w:b/>
                <w:bCs/>
                <w:color w:val="FFFFFF" w:themeColor="background1"/>
                <w:sz w:val="20"/>
                <w:szCs w:val="20"/>
                <w:lang w:val="es-AR"/>
              </w:rPr>
              <w:t>Date of Approval</w:t>
            </w:r>
          </w:p>
        </w:tc>
        <w:tc>
          <w:tcPr>
            <w:tcW w:w="1890" w:type="dxa"/>
            <w:shd w:val="clear" w:color="auto" w:fill="2E74B5" w:themeFill="accent5" w:themeFillShade="BF"/>
            <w:vAlign w:val="center"/>
          </w:tcPr>
          <w:p w14:paraId="6DD31509" w14:textId="77777777" w:rsidR="0057201B" w:rsidRPr="00D35861" w:rsidRDefault="0057201B" w:rsidP="005615BA">
            <w:pPr>
              <w:jc w:val="center"/>
              <w:rPr>
                <w:rFonts w:ascii="Cambria" w:hAnsi="Cambria"/>
                <w:b/>
                <w:bCs/>
                <w:color w:val="FFFFFF" w:themeColor="background1"/>
                <w:sz w:val="20"/>
                <w:szCs w:val="20"/>
              </w:rPr>
            </w:pPr>
            <w:r w:rsidRPr="00D35861">
              <w:rPr>
                <w:rFonts w:ascii="Cambria" w:hAnsi="Cambria"/>
                <w:b/>
                <w:bCs/>
                <w:color w:val="FFFFFF" w:themeColor="background1"/>
                <w:sz w:val="20"/>
                <w:szCs w:val="20"/>
              </w:rPr>
              <w:t>Petition or Case No.</w:t>
            </w:r>
          </w:p>
        </w:tc>
      </w:tr>
      <w:tr w:rsidR="0057201B" w:rsidRPr="00AE3A84" w14:paraId="23CBCF41" w14:textId="77777777" w:rsidTr="005615BA">
        <w:tc>
          <w:tcPr>
            <w:tcW w:w="544" w:type="dxa"/>
            <w:vAlign w:val="center"/>
          </w:tcPr>
          <w:p w14:paraId="4B801472" w14:textId="77777777" w:rsidR="0057201B" w:rsidRPr="00AE3A84" w:rsidRDefault="0057201B">
            <w:pPr>
              <w:rPr>
                <w:rFonts w:ascii="Cambria" w:hAnsi="Cambria"/>
                <w:sz w:val="20"/>
                <w:szCs w:val="20"/>
                <w:lang w:val="es-ES_tradnl"/>
              </w:rPr>
            </w:pPr>
            <w:r w:rsidRPr="00AE3A84">
              <w:rPr>
                <w:rFonts w:ascii="Cambria" w:hAnsi="Cambria"/>
                <w:sz w:val="20"/>
                <w:szCs w:val="20"/>
              </w:rPr>
              <w:t>1</w:t>
            </w:r>
          </w:p>
        </w:tc>
        <w:tc>
          <w:tcPr>
            <w:tcW w:w="3253" w:type="dxa"/>
            <w:vAlign w:val="center"/>
          </w:tcPr>
          <w:p w14:paraId="0B9D4337" w14:textId="77777777" w:rsidR="0057201B" w:rsidRPr="008B09BF" w:rsidRDefault="0057201B">
            <w:pPr>
              <w:rPr>
                <w:rFonts w:ascii="Cambria" w:hAnsi="Cambria"/>
                <w:sz w:val="20"/>
                <w:szCs w:val="20"/>
              </w:rPr>
            </w:pPr>
            <w:r w:rsidRPr="008B09BF">
              <w:rPr>
                <w:rFonts w:ascii="Cambria" w:hAnsi="Cambria"/>
                <w:spacing w:val="-1"/>
                <w:sz w:val="20"/>
                <w:szCs w:val="20"/>
              </w:rPr>
              <w:t>Associates of the Police Union of</w:t>
            </w:r>
            <w:r>
              <w:rPr>
                <w:rFonts w:ascii="Cambria" w:hAnsi="Cambria"/>
                <w:spacing w:val="-1"/>
                <w:sz w:val="20"/>
                <w:szCs w:val="20"/>
              </w:rPr>
              <w:t xml:space="preserve"> </w:t>
            </w:r>
            <w:r w:rsidRPr="008B09BF">
              <w:rPr>
                <w:rFonts w:ascii="Cambria" w:hAnsi="Cambria"/>
                <w:spacing w:val="-1"/>
                <w:sz w:val="20"/>
                <w:szCs w:val="20"/>
              </w:rPr>
              <w:t>Buenos</w:t>
            </w:r>
            <w:r w:rsidRPr="008B09BF">
              <w:rPr>
                <w:rFonts w:ascii="Cambria" w:hAnsi="Cambria"/>
                <w:spacing w:val="5"/>
                <w:sz w:val="20"/>
                <w:szCs w:val="20"/>
              </w:rPr>
              <w:t xml:space="preserve"> </w:t>
            </w:r>
            <w:r w:rsidRPr="008B09BF">
              <w:rPr>
                <w:rFonts w:ascii="Cambria" w:hAnsi="Cambria"/>
                <w:spacing w:val="-1"/>
                <w:sz w:val="20"/>
                <w:szCs w:val="20"/>
              </w:rPr>
              <w:t>Aires</w:t>
            </w:r>
          </w:p>
        </w:tc>
        <w:tc>
          <w:tcPr>
            <w:tcW w:w="1328" w:type="dxa"/>
            <w:vAlign w:val="center"/>
          </w:tcPr>
          <w:p w14:paraId="2B285ABE"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Argentina</w:t>
            </w:r>
          </w:p>
        </w:tc>
        <w:tc>
          <w:tcPr>
            <w:tcW w:w="1260" w:type="dxa"/>
            <w:vAlign w:val="center"/>
          </w:tcPr>
          <w:p w14:paraId="462DE29F" w14:textId="77777777" w:rsidR="0057201B" w:rsidRPr="00AE3A84" w:rsidRDefault="0057201B">
            <w:pPr>
              <w:jc w:val="center"/>
              <w:rPr>
                <w:rFonts w:ascii="Cambria" w:hAnsi="Cambria"/>
                <w:spacing w:val="-2"/>
                <w:sz w:val="20"/>
                <w:szCs w:val="20"/>
              </w:rPr>
            </w:pPr>
            <w:r w:rsidRPr="00CC1F79">
              <w:rPr>
                <w:rFonts w:ascii="Cambria" w:hAnsi="Cambria"/>
                <w:spacing w:val="-2"/>
                <w:sz w:val="20"/>
                <w:szCs w:val="20"/>
              </w:rPr>
              <w:t>1/22</w:t>
            </w:r>
          </w:p>
        </w:tc>
        <w:tc>
          <w:tcPr>
            <w:tcW w:w="1440" w:type="dxa"/>
            <w:vAlign w:val="center"/>
          </w:tcPr>
          <w:p w14:paraId="695BBF0F"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2/16/2022</w:t>
            </w:r>
          </w:p>
        </w:tc>
        <w:tc>
          <w:tcPr>
            <w:tcW w:w="1890" w:type="dxa"/>
            <w:vAlign w:val="center"/>
          </w:tcPr>
          <w:p w14:paraId="7FBD7F5B"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1916-17</w:t>
            </w:r>
          </w:p>
        </w:tc>
      </w:tr>
      <w:tr w:rsidR="0057201B" w:rsidRPr="00AE3A84" w14:paraId="32C3ECD4" w14:textId="77777777" w:rsidTr="005615BA">
        <w:tc>
          <w:tcPr>
            <w:tcW w:w="544" w:type="dxa"/>
            <w:vAlign w:val="center"/>
          </w:tcPr>
          <w:p w14:paraId="5CDABA91"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2</w:t>
            </w:r>
          </w:p>
        </w:tc>
        <w:tc>
          <w:tcPr>
            <w:tcW w:w="3253" w:type="dxa"/>
            <w:vAlign w:val="center"/>
          </w:tcPr>
          <w:p w14:paraId="4E34313B"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AR"/>
              </w:rPr>
              <w:t>S.C.B.C.</w:t>
            </w:r>
            <w:r w:rsidRPr="00AE3A84">
              <w:rPr>
                <w:rFonts w:ascii="Cambria" w:hAnsi="Cambria"/>
                <w:spacing w:val="5"/>
                <w:sz w:val="20"/>
                <w:szCs w:val="20"/>
                <w:lang w:val="es-AR"/>
              </w:rPr>
              <w:t xml:space="preserve"> </w:t>
            </w:r>
            <w:r>
              <w:rPr>
                <w:rFonts w:ascii="Cambria" w:hAnsi="Cambria"/>
                <w:sz w:val="20"/>
                <w:szCs w:val="20"/>
                <w:lang w:val="es-AR"/>
              </w:rPr>
              <w:t>and</w:t>
            </w:r>
            <w:r w:rsidRPr="00AE3A84">
              <w:rPr>
                <w:rFonts w:ascii="Cambria" w:hAnsi="Cambria"/>
                <w:spacing w:val="5"/>
                <w:sz w:val="20"/>
                <w:szCs w:val="20"/>
                <w:lang w:val="es-AR"/>
              </w:rPr>
              <w:t xml:space="preserve"> </w:t>
            </w:r>
            <w:r w:rsidRPr="00AE3A84">
              <w:rPr>
                <w:rFonts w:ascii="Cambria" w:hAnsi="Cambria"/>
                <w:spacing w:val="-1"/>
                <w:sz w:val="20"/>
                <w:szCs w:val="20"/>
                <w:lang w:val="es-AR"/>
              </w:rPr>
              <w:t>Carolina</w:t>
            </w:r>
            <w:r w:rsidRPr="00AE3A84">
              <w:rPr>
                <w:rFonts w:ascii="Cambria" w:hAnsi="Cambria"/>
                <w:spacing w:val="5"/>
                <w:sz w:val="20"/>
                <w:szCs w:val="20"/>
                <w:lang w:val="es-AR"/>
              </w:rPr>
              <w:t xml:space="preserve"> </w:t>
            </w:r>
            <w:r w:rsidRPr="00AE3A84">
              <w:rPr>
                <w:rFonts w:ascii="Cambria" w:hAnsi="Cambria"/>
                <w:spacing w:val="-1"/>
                <w:sz w:val="20"/>
                <w:szCs w:val="20"/>
                <w:lang w:val="es-AR"/>
              </w:rPr>
              <w:t>del</w:t>
            </w:r>
            <w:r w:rsidRPr="00AE3A84">
              <w:rPr>
                <w:rFonts w:ascii="Cambria" w:hAnsi="Cambria"/>
                <w:spacing w:val="5"/>
                <w:sz w:val="20"/>
                <w:szCs w:val="20"/>
                <w:lang w:val="es-AR"/>
              </w:rPr>
              <w:t xml:space="preserve"> </w:t>
            </w:r>
            <w:r w:rsidRPr="00AE3A84">
              <w:rPr>
                <w:rFonts w:ascii="Cambria" w:hAnsi="Cambria"/>
                <w:sz w:val="20"/>
                <w:szCs w:val="20"/>
                <w:lang w:val="es-AR"/>
              </w:rPr>
              <w:t>Pilar</w:t>
            </w:r>
            <w:r w:rsidRPr="00AE3A84">
              <w:rPr>
                <w:rFonts w:ascii="Cambria" w:hAnsi="Cambria"/>
                <w:spacing w:val="3"/>
                <w:sz w:val="20"/>
                <w:szCs w:val="20"/>
                <w:lang w:val="es-AR"/>
              </w:rPr>
              <w:t xml:space="preserve"> </w:t>
            </w:r>
            <w:r w:rsidRPr="00AE3A84">
              <w:rPr>
                <w:rFonts w:ascii="Cambria" w:hAnsi="Cambria"/>
                <w:spacing w:val="-1"/>
                <w:sz w:val="20"/>
                <w:szCs w:val="20"/>
                <w:lang w:val="es-AR"/>
              </w:rPr>
              <w:t>Carrasco</w:t>
            </w:r>
          </w:p>
        </w:tc>
        <w:tc>
          <w:tcPr>
            <w:tcW w:w="1328" w:type="dxa"/>
            <w:vAlign w:val="center"/>
          </w:tcPr>
          <w:p w14:paraId="43517522"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Chile</w:t>
            </w:r>
          </w:p>
        </w:tc>
        <w:tc>
          <w:tcPr>
            <w:tcW w:w="1260" w:type="dxa"/>
            <w:vAlign w:val="center"/>
          </w:tcPr>
          <w:p w14:paraId="270764E2" w14:textId="77777777" w:rsidR="0057201B" w:rsidRPr="00AE3A84" w:rsidRDefault="0057201B">
            <w:pPr>
              <w:jc w:val="center"/>
              <w:rPr>
                <w:rFonts w:ascii="Cambria" w:hAnsi="Cambria"/>
                <w:spacing w:val="-2"/>
                <w:sz w:val="20"/>
                <w:szCs w:val="20"/>
              </w:rPr>
            </w:pPr>
            <w:r w:rsidRPr="00CC1F79">
              <w:rPr>
                <w:rFonts w:ascii="Cambria" w:hAnsi="Cambria"/>
                <w:spacing w:val="-2"/>
                <w:sz w:val="20"/>
                <w:szCs w:val="20"/>
              </w:rPr>
              <w:t>5/22</w:t>
            </w:r>
          </w:p>
        </w:tc>
        <w:tc>
          <w:tcPr>
            <w:tcW w:w="1440" w:type="dxa"/>
            <w:vAlign w:val="center"/>
          </w:tcPr>
          <w:p w14:paraId="61B5E92C"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2/17/2022</w:t>
            </w:r>
          </w:p>
        </w:tc>
        <w:tc>
          <w:tcPr>
            <w:tcW w:w="1890" w:type="dxa"/>
            <w:vAlign w:val="center"/>
          </w:tcPr>
          <w:p w14:paraId="1ABF2A3C"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589-14</w:t>
            </w:r>
          </w:p>
        </w:tc>
      </w:tr>
      <w:tr w:rsidR="0057201B" w:rsidRPr="00AE3A84" w14:paraId="1DD1A4C3" w14:textId="77777777" w:rsidTr="005615BA">
        <w:tc>
          <w:tcPr>
            <w:tcW w:w="544" w:type="dxa"/>
            <w:vAlign w:val="center"/>
          </w:tcPr>
          <w:p w14:paraId="2161613A"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3</w:t>
            </w:r>
          </w:p>
        </w:tc>
        <w:tc>
          <w:tcPr>
            <w:tcW w:w="3253" w:type="dxa"/>
            <w:vAlign w:val="center"/>
          </w:tcPr>
          <w:p w14:paraId="2FDBAA3D"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AR"/>
              </w:rPr>
              <w:t>Nicolas</w:t>
            </w:r>
            <w:r w:rsidRPr="00AE3A84">
              <w:rPr>
                <w:rFonts w:ascii="Cambria" w:hAnsi="Cambria"/>
                <w:spacing w:val="6"/>
                <w:sz w:val="20"/>
                <w:szCs w:val="20"/>
                <w:lang w:val="es-AR"/>
              </w:rPr>
              <w:t xml:space="preserve"> </w:t>
            </w:r>
            <w:r w:rsidRPr="00AE3A84">
              <w:rPr>
                <w:rFonts w:ascii="Cambria" w:hAnsi="Cambria"/>
                <w:spacing w:val="-1"/>
                <w:sz w:val="20"/>
                <w:szCs w:val="20"/>
                <w:lang w:val="es-AR"/>
              </w:rPr>
              <w:t>Rodríguez</w:t>
            </w:r>
            <w:r w:rsidRPr="00AE3A84">
              <w:rPr>
                <w:rFonts w:ascii="Cambria" w:hAnsi="Cambria"/>
                <w:spacing w:val="7"/>
                <w:sz w:val="20"/>
                <w:szCs w:val="20"/>
                <w:lang w:val="es-AR"/>
              </w:rPr>
              <w:t xml:space="preserve"> </w:t>
            </w:r>
            <w:r w:rsidRPr="00AE3A84">
              <w:rPr>
                <w:rFonts w:ascii="Cambria" w:hAnsi="Cambria"/>
                <w:spacing w:val="-1"/>
                <w:sz w:val="20"/>
                <w:szCs w:val="20"/>
                <w:lang w:val="es-AR"/>
              </w:rPr>
              <w:t>Redondo,</w:t>
            </w:r>
            <w:r w:rsidRPr="00AE3A84">
              <w:rPr>
                <w:rFonts w:ascii="Cambria" w:hAnsi="Cambria"/>
                <w:spacing w:val="8"/>
                <w:sz w:val="20"/>
                <w:szCs w:val="20"/>
                <w:lang w:val="es-AR"/>
              </w:rPr>
              <w:t xml:space="preserve"> </w:t>
            </w:r>
            <w:r w:rsidRPr="00AE3A84">
              <w:rPr>
                <w:rFonts w:ascii="Cambria" w:hAnsi="Cambria"/>
                <w:spacing w:val="-1"/>
                <w:sz w:val="20"/>
                <w:szCs w:val="20"/>
                <w:lang w:val="es-AR"/>
              </w:rPr>
              <w:t>Gabriel</w:t>
            </w:r>
            <w:r w:rsidRPr="00AE3A84">
              <w:rPr>
                <w:rFonts w:ascii="Cambria" w:hAnsi="Cambria"/>
                <w:spacing w:val="6"/>
                <w:sz w:val="20"/>
                <w:szCs w:val="20"/>
                <w:lang w:val="es-AR"/>
              </w:rPr>
              <w:t xml:space="preserve"> </w:t>
            </w:r>
            <w:r w:rsidRPr="00AE3A84">
              <w:rPr>
                <w:rFonts w:ascii="Cambria" w:hAnsi="Cambria"/>
                <w:spacing w:val="-1"/>
                <w:sz w:val="20"/>
                <w:szCs w:val="20"/>
                <w:lang w:val="es-AR"/>
              </w:rPr>
              <w:t>Enrique</w:t>
            </w:r>
            <w:r w:rsidRPr="00AE3A84">
              <w:rPr>
                <w:rFonts w:ascii="Cambria" w:hAnsi="Cambria"/>
                <w:spacing w:val="8"/>
                <w:sz w:val="20"/>
                <w:szCs w:val="20"/>
                <w:lang w:val="es-AR"/>
              </w:rPr>
              <w:t xml:space="preserve"> </w:t>
            </w:r>
            <w:r w:rsidRPr="00AE3A84">
              <w:rPr>
                <w:rFonts w:ascii="Cambria" w:hAnsi="Cambria"/>
                <w:spacing w:val="-1"/>
                <w:sz w:val="20"/>
                <w:szCs w:val="20"/>
                <w:lang w:val="es-AR"/>
              </w:rPr>
              <w:t>Mojica</w:t>
            </w:r>
            <w:r w:rsidRPr="00AE3A84">
              <w:rPr>
                <w:rFonts w:ascii="Cambria" w:hAnsi="Cambria"/>
                <w:spacing w:val="6"/>
                <w:sz w:val="20"/>
                <w:szCs w:val="20"/>
                <w:lang w:val="es-AR"/>
              </w:rPr>
              <w:t xml:space="preserve"> </w:t>
            </w:r>
            <w:r w:rsidRPr="00AE3A84">
              <w:rPr>
                <w:rFonts w:ascii="Cambria" w:hAnsi="Cambria"/>
                <w:spacing w:val="-1"/>
                <w:sz w:val="20"/>
                <w:szCs w:val="20"/>
                <w:lang w:val="es-AR"/>
              </w:rPr>
              <w:t>Redondo</w:t>
            </w:r>
            <w:r>
              <w:rPr>
                <w:rFonts w:ascii="Cambria" w:hAnsi="Cambria"/>
                <w:spacing w:val="-1"/>
                <w:sz w:val="20"/>
                <w:szCs w:val="20"/>
                <w:lang w:val="es-AR"/>
              </w:rPr>
              <w:t>, and</w:t>
            </w:r>
            <w:r w:rsidRPr="00AE3A84">
              <w:rPr>
                <w:rFonts w:ascii="Cambria" w:hAnsi="Cambria"/>
                <w:spacing w:val="5"/>
                <w:sz w:val="20"/>
                <w:szCs w:val="20"/>
                <w:lang w:val="es-AR"/>
              </w:rPr>
              <w:t xml:space="preserve"> </w:t>
            </w:r>
            <w:r w:rsidRPr="00AE3A84">
              <w:rPr>
                <w:rFonts w:ascii="Cambria" w:hAnsi="Cambria"/>
                <w:spacing w:val="-1"/>
                <w:sz w:val="20"/>
                <w:szCs w:val="20"/>
                <w:lang w:val="es-AR"/>
              </w:rPr>
              <w:t>Deniris</w:t>
            </w:r>
            <w:r w:rsidRPr="00AE3A84">
              <w:rPr>
                <w:rFonts w:ascii="Cambria" w:hAnsi="Cambria"/>
                <w:spacing w:val="8"/>
                <w:sz w:val="20"/>
                <w:szCs w:val="20"/>
                <w:lang w:val="es-AR"/>
              </w:rPr>
              <w:t xml:space="preserve"> </w:t>
            </w:r>
            <w:r w:rsidRPr="00AE3A84">
              <w:rPr>
                <w:rFonts w:ascii="Cambria" w:hAnsi="Cambria"/>
                <w:spacing w:val="-1"/>
                <w:sz w:val="20"/>
                <w:szCs w:val="20"/>
                <w:lang w:val="es-AR"/>
              </w:rPr>
              <w:t>Baleta</w:t>
            </w:r>
            <w:r w:rsidRPr="00AE3A84">
              <w:rPr>
                <w:rFonts w:ascii="Cambria" w:hAnsi="Cambria"/>
                <w:spacing w:val="8"/>
                <w:sz w:val="20"/>
                <w:szCs w:val="20"/>
                <w:lang w:val="es-AR"/>
              </w:rPr>
              <w:t xml:space="preserve"> </w:t>
            </w:r>
            <w:r w:rsidRPr="00AE3A84">
              <w:rPr>
                <w:rFonts w:ascii="Cambria" w:hAnsi="Cambria"/>
                <w:spacing w:val="-1"/>
                <w:sz w:val="20"/>
                <w:szCs w:val="20"/>
                <w:lang w:val="es-AR"/>
              </w:rPr>
              <w:t>Botello</w:t>
            </w:r>
          </w:p>
        </w:tc>
        <w:tc>
          <w:tcPr>
            <w:tcW w:w="1328" w:type="dxa"/>
            <w:vAlign w:val="center"/>
          </w:tcPr>
          <w:p w14:paraId="191EBA88"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4AE6BB1D" w14:textId="77777777" w:rsidR="0057201B" w:rsidRPr="00AE3A84" w:rsidRDefault="0057201B">
            <w:pPr>
              <w:jc w:val="center"/>
              <w:rPr>
                <w:rFonts w:ascii="Cambria" w:hAnsi="Cambria"/>
                <w:spacing w:val="-2"/>
                <w:sz w:val="20"/>
                <w:szCs w:val="20"/>
              </w:rPr>
            </w:pPr>
            <w:r w:rsidRPr="00CC1F79">
              <w:rPr>
                <w:rFonts w:ascii="Cambria" w:hAnsi="Cambria"/>
                <w:spacing w:val="-2"/>
                <w:sz w:val="20"/>
                <w:szCs w:val="20"/>
              </w:rPr>
              <w:t>9/22</w:t>
            </w:r>
          </w:p>
        </w:tc>
        <w:tc>
          <w:tcPr>
            <w:tcW w:w="1440" w:type="dxa"/>
            <w:vAlign w:val="center"/>
          </w:tcPr>
          <w:p w14:paraId="10A51ADC"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2/17/2022</w:t>
            </w:r>
          </w:p>
        </w:tc>
        <w:tc>
          <w:tcPr>
            <w:tcW w:w="1890" w:type="dxa"/>
            <w:vAlign w:val="center"/>
          </w:tcPr>
          <w:p w14:paraId="29041CCD"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210-11</w:t>
            </w:r>
          </w:p>
        </w:tc>
      </w:tr>
      <w:tr w:rsidR="0057201B" w:rsidRPr="00AE3A84" w14:paraId="5E8DD6D7" w14:textId="77777777" w:rsidTr="005615BA">
        <w:tc>
          <w:tcPr>
            <w:tcW w:w="544" w:type="dxa"/>
            <w:vAlign w:val="center"/>
          </w:tcPr>
          <w:p w14:paraId="0EAAA0D6"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4</w:t>
            </w:r>
          </w:p>
        </w:tc>
        <w:tc>
          <w:tcPr>
            <w:tcW w:w="3253" w:type="dxa"/>
            <w:vAlign w:val="center"/>
          </w:tcPr>
          <w:p w14:paraId="42E8FCF8"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AR"/>
              </w:rPr>
              <w:t>Luis</w:t>
            </w:r>
            <w:r w:rsidRPr="00AE3A84">
              <w:rPr>
                <w:rFonts w:ascii="Cambria" w:hAnsi="Cambria"/>
                <w:spacing w:val="4"/>
                <w:sz w:val="20"/>
                <w:szCs w:val="20"/>
                <w:lang w:val="es-AR"/>
              </w:rPr>
              <w:t xml:space="preserve"> </w:t>
            </w:r>
            <w:r w:rsidRPr="00AE3A84">
              <w:rPr>
                <w:rFonts w:ascii="Cambria" w:hAnsi="Cambria"/>
                <w:spacing w:val="-1"/>
                <w:sz w:val="20"/>
                <w:szCs w:val="20"/>
                <w:lang w:val="es-AR"/>
              </w:rPr>
              <w:t>Fernando</w:t>
            </w:r>
            <w:r w:rsidRPr="00AE3A84">
              <w:rPr>
                <w:rFonts w:ascii="Cambria" w:hAnsi="Cambria"/>
                <w:spacing w:val="4"/>
                <w:sz w:val="20"/>
                <w:szCs w:val="20"/>
                <w:lang w:val="es-AR"/>
              </w:rPr>
              <w:t xml:space="preserve"> </w:t>
            </w:r>
            <w:r w:rsidRPr="00AE3A84">
              <w:rPr>
                <w:rFonts w:ascii="Cambria" w:hAnsi="Cambria"/>
                <w:sz w:val="20"/>
                <w:szCs w:val="20"/>
                <w:lang w:val="es-AR"/>
              </w:rPr>
              <w:t>Tamayo</w:t>
            </w:r>
            <w:r w:rsidRPr="00AE3A84">
              <w:rPr>
                <w:rFonts w:ascii="Cambria" w:hAnsi="Cambria"/>
                <w:spacing w:val="3"/>
                <w:sz w:val="20"/>
                <w:szCs w:val="20"/>
                <w:lang w:val="es-AR"/>
              </w:rPr>
              <w:t xml:space="preserve"> </w:t>
            </w:r>
            <w:r w:rsidRPr="00AE3A84">
              <w:rPr>
                <w:rFonts w:ascii="Cambria" w:hAnsi="Cambria"/>
                <w:spacing w:val="-1"/>
                <w:sz w:val="20"/>
                <w:szCs w:val="20"/>
                <w:lang w:val="es-AR"/>
              </w:rPr>
              <w:t>Niño</w:t>
            </w:r>
            <w:r w:rsidRPr="00AE3A84">
              <w:rPr>
                <w:rFonts w:ascii="Cambria" w:hAnsi="Cambria"/>
                <w:spacing w:val="4"/>
                <w:sz w:val="20"/>
                <w:szCs w:val="20"/>
                <w:lang w:val="es-AR"/>
              </w:rPr>
              <w:t xml:space="preserve"> </w:t>
            </w:r>
            <w:r>
              <w:rPr>
                <w:rFonts w:ascii="Cambria" w:hAnsi="Cambria"/>
                <w:sz w:val="20"/>
                <w:szCs w:val="20"/>
                <w:lang w:val="es-AR"/>
              </w:rPr>
              <w:t>and Family</w:t>
            </w:r>
          </w:p>
        </w:tc>
        <w:tc>
          <w:tcPr>
            <w:tcW w:w="1328" w:type="dxa"/>
            <w:vAlign w:val="center"/>
          </w:tcPr>
          <w:p w14:paraId="7F3D9E04"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79E3FD2E" w14:textId="77777777" w:rsidR="0057201B" w:rsidRPr="00AE3A84" w:rsidRDefault="0057201B">
            <w:pPr>
              <w:jc w:val="center"/>
              <w:rPr>
                <w:rFonts w:ascii="Cambria" w:hAnsi="Cambria"/>
                <w:spacing w:val="-2"/>
                <w:sz w:val="20"/>
                <w:szCs w:val="20"/>
              </w:rPr>
            </w:pPr>
            <w:r w:rsidRPr="00CC1F79">
              <w:rPr>
                <w:rFonts w:ascii="Cambria" w:hAnsi="Cambria"/>
                <w:spacing w:val="-2"/>
                <w:sz w:val="20"/>
                <w:szCs w:val="20"/>
              </w:rPr>
              <w:t>11/22</w:t>
            </w:r>
          </w:p>
        </w:tc>
        <w:tc>
          <w:tcPr>
            <w:tcW w:w="1440" w:type="dxa"/>
            <w:vAlign w:val="center"/>
          </w:tcPr>
          <w:p w14:paraId="3A74C61F"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2/17/2022</w:t>
            </w:r>
          </w:p>
        </w:tc>
        <w:tc>
          <w:tcPr>
            <w:tcW w:w="1890" w:type="dxa"/>
            <w:vAlign w:val="center"/>
          </w:tcPr>
          <w:p w14:paraId="2CE16935"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796-11</w:t>
            </w:r>
          </w:p>
        </w:tc>
      </w:tr>
      <w:tr w:rsidR="0057201B" w:rsidRPr="00AE3A84" w14:paraId="718DE98A" w14:textId="77777777" w:rsidTr="005615BA">
        <w:tc>
          <w:tcPr>
            <w:tcW w:w="544" w:type="dxa"/>
            <w:vAlign w:val="center"/>
          </w:tcPr>
          <w:p w14:paraId="0277E5FA"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5</w:t>
            </w:r>
          </w:p>
        </w:tc>
        <w:tc>
          <w:tcPr>
            <w:tcW w:w="3253" w:type="dxa"/>
            <w:vAlign w:val="center"/>
          </w:tcPr>
          <w:p w14:paraId="4CBE6290" w14:textId="77777777" w:rsidR="0057201B" w:rsidRPr="00AE3A84" w:rsidRDefault="0057201B">
            <w:pPr>
              <w:rPr>
                <w:rFonts w:ascii="Cambria" w:hAnsi="Cambria"/>
                <w:sz w:val="20"/>
                <w:szCs w:val="20"/>
                <w:lang w:val="es-ES_tradnl"/>
              </w:rPr>
            </w:pPr>
            <w:r w:rsidRPr="00AE3A84">
              <w:rPr>
                <w:rFonts w:ascii="Cambria" w:hAnsi="Cambria"/>
                <w:sz w:val="20"/>
                <w:szCs w:val="20"/>
              </w:rPr>
              <w:t>Omar</w:t>
            </w:r>
            <w:r w:rsidRPr="00AE3A84">
              <w:rPr>
                <w:rFonts w:ascii="Cambria" w:hAnsi="Cambria"/>
                <w:spacing w:val="5"/>
                <w:sz w:val="20"/>
                <w:szCs w:val="20"/>
              </w:rPr>
              <w:t xml:space="preserve"> </w:t>
            </w:r>
            <w:r w:rsidRPr="00AE3A84">
              <w:rPr>
                <w:rFonts w:ascii="Cambria" w:hAnsi="Cambria"/>
                <w:spacing w:val="-1"/>
                <w:sz w:val="20"/>
                <w:szCs w:val="20"/>
              </w:rPr>
              <w:t>Leonardo</w:t>
            </w:r>
            <w:r w:rsidRPr="00AE3A84">
              <w:rPr>
                <w:rFonts w:ascii="Cambria" w:hAnsi="Cambria"/>
                <w:spacing w:val="5"/>
                <w:sz w:val="20"/>
                <w:szCs w:val="20"/>
              </w:rPr>
              <w:t xml:space="preserve"> </w:t>
            </w:r>
            <w:r w:rsidRPr="00AE3A84">
              <w:rPr>
                <w:rFonts w:ascii="Cambria" w:hAnsi="Cambria"/>
                <w:spacing w:val="-1"/>
                <w:sz w:val="20"/>
                <w:szCs w:val="20"/>
              </w:rPr>
              <w:t>Durán</w:t>
            </w:r>
            <w:r w:rsidRPr="00AE3A84">
              <w:rPr>
                <w:rFonts w:ascii="Cambria" w:hAnsi="Cambria"/>
                <w:spacing w:val="6"/>
                <w:sz w:val="20"/>
                <w:szCs w:val="20"/>
              </w:rPr>
              <w:t xml:space="preserve"> </w:t>
            </w:r>
            <w:r w:rsidRPr="00AE3A84">
              <w:rPr>
                <w:rFonts w:ascii="Cambria" w:hAnsi="Cambria"/>
                <w:sz w:val="20"/>
                <w:szCs w:val="20"/>
              </w:rPr>
              <w:t>Gil</w:t>
            </w:r>
          </w:p>
        </w:tc>
        <w:tc>
          <w:tcPr>
            <w:tcW w:w="1328" w:type="dxa"/>
            <w:vAlign w:val="center"/>
          </w:tcPr>
          <w:p w14:paraId="3ED817BD"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03138DF2" w14:textId="77777777" w:rsidR="0057201B" w:rsidRPr="00AE3A84" w:rsidRDefault="0057201B">
            <w:pPr>
              <w:jc w:val="center"/>
              <w:rPr>
                <w:rFonts w:ascii="Cambria" w:hAnsi="Cambria"/>
                <w:spacing w:val="-2"/>
                <w:sz w:val="20"/>
                <w:szCs w:val="20"/>
              </w:rPr>
            </w:pPr>
            <w:r w:rsidRPr="00CC1F79">
              <w:rPr>
                <w:rFonts w:ascii="Cambria" w:hAnsi="Cambria"/>
                <w:spacing w:val="-2"/>
                <w:sz w:val="20"/>
                <w:szCs w:val="20"/>
              </w:rPr>
              <w:t>15/22</w:t>
            </w:r>
          </w:p>
        </w:tc>
        <w:tc>
          <w:tcPr>
            <w:tcW w:w="1440" w:type="dxa"/>
            <w:vAlign w:val="center"/>
          </w:tcPr>
          <w:p w14:paraId="2039400D"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2/17/2022</w:t>
            </w:r>
          </w:p>
        </w:tc>
        <w:tc>
          <w:tcPr>
            <w:tcW w:w="1890" w:type="dxa"/>
            <w:vAlign w:val="center"/>
          </w:tcPr>
          <w:p w14:paraId="4F5B02F9"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994-14</w:t>
            </w:r>
          </w:p>
        </w:tc>
      </w:tr>
      <w:tr w:rsidR="0057201B" w:rsidRPr="00AE3A84" w14:paraId="52F17BA0" w14:textId="77777777" w:rsidTr="005615BA">
        <w:tc>
          <w:tcPr>
            <w:tcW w:w="544" w:type="dxa"/>
            <w:vAlign w:val="center"/>
          </w:tcPr>
          <w:p w14:paraId="6C45403A"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lastRenderedPageBreak/>
              <w:t>6</w:t>
            </w:r>
          </w:p>
        </w:tc>
        <w:tc>
          <w:tcPr>
            <w:tcW w:w="3253" w:type="dxa"/>
            <w:vAlign w:val="center"/>
          </w:tcPr>
          <w:p w14:paraId="37BDDCE5"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José</w:t>
            </w:r>
            <w:r w:rsidRPr="00AE3A84">
              <w:rPr>
                <w:rFonts w:ascii="Cambria" w:hAnsi="Cambria"/>
                <w:spacing w:val="6"/>
                <w:sz w:val="20"/>
                <w:szCs w:val="20"/>
              </w:rPr>
              <w:t xml:space="preserve"> </w:t>
            </w:r>
            <w:r w:rsidRPr="00AE3A84">
              <w:rPr>
                <w:rFonts w:ascii="Cambria" w:hAnsi="Cambria"/>
                <w:spacing w:val="-1"/>
                <w:sz w:val="20"/>
                <w:szCs w:val="20"/>
              </w:rPr>
              <w:t>Fabián</w:t>
            </w:r>
            <w:r w:rsidRPr="00AE3A84">
              <w:rPr>
                <w:rFonts w:ascii="Cambria" w:hAnsi="Cambria"/>
                <w:spacing w:val="5"/>
                <w:sz w:val="20"/>
                <w:szCs w:val="20"/>
              </w:rPr>
              <w:t xml:space="preserve"> </w:t>
            </w:r>
            <w:r w:rsidRPr="00AE3A84">
              <w:rPr>
                <w:rFonts w:ascii="Cambria" w:hAnsi="Cambria"/>
                <w:spacing w:val="-1"/>
                <w:sz w:val="20"/>
                <w:szCs w:val="20"/>
              </w:rPr>
              <w:t>Ruiz</w:t>
            </w:r>
          </w:p>
        </w:tc>
        <w:tc>
          <w:tcPr>
            <w:tcW w:w="1328" w:type="dxa"/>
            <w:vAlign w:val="center"/>
          </w:tcPr>
          <w:p w14:paraId="09CFFF5B"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Argentina</w:t>
            </w:r>
          </w:p>
        </w:tc>
        <w:tc>
          <w:tcPr>
            <w:tcW w:w="1260" w:type="dxa"/>
            <w:vAlign w:val="center"/>
          </w:tcPr>
          <w:p w14:paraId="0B840873" w14:textId="77777777" w:rsidR="0057201B" w:rsidRPr="00AE3A84" w:rsidRDefault="0057201B">
            <w:pPr>
              <w:jc w:val="center"/>
              <w:rPr>
                <w:rFonts w:ascii="Cambria" w:hAnsi="Cambria"/>
                <w:spacing w:val="-2"/>
                <w:sz w:val="20"/>
                <w:szCs w:val="20"/>
              </w:rPr>
            </w:pPr>
            <w:r w:rsidRPr="00CC1F79">
              <w:rPr>
                <w:rFonts w:ascii="Cambria" w:hAnsi="Cambria"/>
                <w:spacing w:val="-2"/>
                <w:sz w:val="20"/>
                <w:szCs w:val="20"/>
              </w:rPr>
              <w:t>21/22</w:t>
            </w:r>
          </w:p>
        </w:tc>
        <w:tc>
          <w:tcPr>
            <w:tcW w:w="1440" w:type="dxa"/>
            <w:vAlign w:val="center"/>
          </w:tcPr>
          <w:p w14:paraId="6344D4B4"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3/5/2022</w:t>
            </w:r>
          </w:p>
        </w:tc>
        <w:tc>
          <w:tcPr>
            <w:tcW w:w="1890" w:type="dxa"/>
            <w:vAlign w:val="center"/>
          </w:tcPr>
          <w:p w14:paraId="62A0EEAE"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176-10</w:t>
            </w:r>
          </w:p>
        </w:tc>
      </w:tr>
      <w:tr w:rsidR="0057201B" w:rsidRPr="00AE3A84" w14:paraId="6CE3DF3F" w14:textId="77777777" w:rsidTr="005615BA">
        <w:tc>
          <w:tcPr>
            <w:tcW w:w="544" w:type="dxa"/>
            <w:vAlign w:val="center"/>
          </w:tcPr>
          <w:p w14:paraId="152090FB"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7</w:t>
            </w:r>
          </w:p>
        </w:tc>
        <w:tc>
          <w:tcPr>
            <w:tcW w:w="3253" w:type="dxa"/>
            <w:vAlign w:val="center"/>
          </w:tcPr>
          <w:p w14:paraId="1D669739"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Dagoberto</w:t>
            </w:r>
            <w:r w:rsidRPr="00AE3A84">
              <w:rPr>
                <w:rFonts w:ascii="Cambria" w:hAnsi="Cambria"/>
                <w:spacing w:val="7"/>
                <w:sz w:val="20"/>
                <w:szCs w:val="20"/>
              </w:rPr>
              <w:t xml:space="preserve"> </w:t>
            </w:r>
            <w:r w:rsidRPr="00AE3A84">
              <w:rPr>
                <w:rFonts w:ascii="Cambria" w:hAnsi="Cambria"/>
                <w:spacing w:val="-1"/>
                <w:sz w:val="20"/>
                <w:szCs w:val="20"/>
              </w:rPr>
              <w:t>Arias</w:t>
            </w:r>
            <w:r w:rsidRPr="00AE3A84">
              <w:rPr>
                <w:rFonts w:ascii="Cambria" w:hAnsi="Cambria"/>
                <w:spacing w:val="10"/>
                <w:sz w:val="20"/>
                <w:szCs w:val="20"/>
              </w:rPr>
              <w:t xml:space="preserve"> </w:t>
            </w:r>
            <w:r w:rsidRPr="00AE3A84">
              <w:rPr>
                <w:rFonts w:ascii="Cambria" w:hAnsi="Cambria"/>
                <w:spacing w:val="-1"/>
                <w:sz w:val="20"/>
                <w:szCs w:val="20"/>
              </w:rPr>
              <w:t>Fernández</w:t>
            </w:r>
          </w:p>
        </w:tc>
        <w:tc>
          <w:tcPr>
            <w:tcW w:w="1328" w:type="dxa"/>
            <w:vAlign w:val="center"/>
          </w:tcPr>
          <w:p w14:paraId="03C4155E"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14745858" w14:textId="77777777" w:rsidR="0057201B" w:rsidRPr="00AE3A84" w:rsidRDefault="0057201B">
            <w:pPr>
              <w:jc w:val="center"/>
              <w:rPr>
                <w:rFonts w:ascii="Cambria" w:hAnsi="Cambria"/>
                <w:spacing w:val="-2"/>
                <w:sz w:val="20"/>
                <w:szCs w:val="20"/>
              </w:rPr>
            </w:pPr>
            <w:r w:rsidRPr="00CC1F79">
              <w:rPr>
                <w:rFonts w:ascii="Cambria" w:hAnsi="Cambria"/>
                <w:spacing w:val="-2"/>
                <w:sz w:val="20"/>
                <w:szCs w:val="20"/>
              </w:rPr>
              <w:t>30/22</w:t>
            </w:r>
          </w:p>
        </w:tc>
        <w:tc>
          <w:tcPr>
            <w:tcW w:w="1440" w:type="dxa"/>
            <w:vAlign w:val="center"/>
          </w:tcPr>
          <w:p w14:paraId="4E6DED5A"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3/7/2022</w:t>
            </w:r>
          </w:p>
        </w:tc>
        <w:tc>
          <w:tcPr>
            <w:tcW w:w="1890" w:type="dxa"/>
            <w:vAlign w:val="center"/>
          </w:tcPr>
          <w:p w14:paraId="6A37772D"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1426-09</w:t>
            </w:r>
          </w:p>
        </w:tc>
      </w:tr>
      <w:tr w:rsidR="0057201B" w:rsidRPr="00AE3A84" w14:paraId="62AF2B3D" w14:textId="77777777" w:rsidTr="005615BA">
        <w:tc>
          <w:tcPr>
            <w:tcW w:w="544" w:type="dxa"/>
            <w:vAlign w:val="center"/>
          </w:tcPr>
          <w:p w14:paraId="7CF87549"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8</w:t>
            </w:r>
          </w:p>
        </w:tc>
        <w:tc>
          <w:tcPr>
            <w:tcW w:w="3253" w:type="dxa"/>
            <w:vAlign w:val="center"/>
          </w:tcPr>
          <w:p w14:paraId="62B86608"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César</w:t>
            </w:r>
            <w:r w:rsidRPr="00AE3A84">
              <w:rPr>
                <w:rFonts w:ascii="Cambria" w:hAnsi="Cambria"/>
                <w:spacing w:val="6"/>
                <w:sz w:val="20"/>
                <w:szCs w:val="20"/>
              </w:rPr>
              <w:t xml:space="preserve"> </w:t>
            </w:r>
            <w:r w:rsidRPr="00AE3A84">
              <w:rPr>
                <w:rFonts w:ascii="Cambria" w:hAnsi="Cambria"/>
                <w:spacing w:val="-1"/>
                <w:sz w:val="20"/>
                <w:szCs w:val="20"/>
              </w:rPr>
              <w:t>Ataulfo</w:t>
            </w:r>
            <w:r w:rsidRPr="00AE3A84">
              <w:rPr>
                <w:rFonts w:ascii="Cambria" w:hAnsi="Cambria"/>
                <w:spacing w:val="7"/>
                <w:sz w:val="20"/>
                <w:szCs w:val="20"/>
              </w:rPr>
              <w:t xml:space="preserve"> </w:t>
            </w:r>
            <w:r w:rsidRPr="00AE3A84">
              <w:rPr>
                <w:rFonts w:ascii="Cambria" w:hAnsi="Cambria"/>
                <w:spacing w:val="-2"/>
                <w:sz w:val="20"/>
                <w:szCs w:val="20"/>
              </w:rPr>
              <w:t>Carrión</w:t>
            </w:r>
            <w:r w:rsidRPr="00AE3A84">
              <w:rPr>
                <w:rFonts w:ascii="Cambria" w:hAnsi="Cambria"/>
                <w:spacing w:val="8"/>
                <w:sz w:val="20"/>
                <w:szCs w:val="20"/>
              </w:rPr>
              <w:t xml:space="preserve"> </w:t>
            </w:r>
            <w:r w:rsidRPr="00AE3A84">
              <w:rPr>
                <w:rFonts w:ascii="Cambria" w:hAnsi="Cambria"/>
                <w:spacing w:val="-2"/>
                <w:sz w:val="20"/>
                <w:szCs w:val="20"/>
              </w:rPr>
              <w:t>Moreno</w:t>
            </w:r>
          </w:p>
        </w:tc>
        <w:tc>
          <w:tcPr>
            <w:tcW w:w="1328" w:type="dxa"/>
            <w:vAlign w:val="center"/>
          </w:tcPr>
          <w:p w14:paraId="572F2C21"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Ecuador</w:t>
            </w:r>
          </w:p>
        </w:tc>
        <w:tc>
          <w:tcPr>
            <w:tcW w:w="1260" w:type="dxa"/>
            <w:vAlign w:val="center"/>
          </w:tcPr>
          <w:p w14:paraId="47BCC50E" w14:textId="77777777" w:rsidR="0057201B" w:rsidRPr="00AE3A84" w:rsidRDefault="0057201B">
            <w:pPr>
              <w:jc w:val="center"/>
              <w:rPr>
                <w:rFonts w:ascii="Cambria" w:hAnsi="Cambria"/>
                <w:spacing w:val="-2"/>
                <w:sz w:val="20"/>
                <w:szCs w:val="20"/>
              </w:rPr>
            </w:pPr>
            <w:r>
              <w:rPr>
                <w:rFonts w:ascii="Cambria" w:hAnsi="Cambria"/>
                <w:spacing w:val="-2"/>
                <w:sz w:val="20"/>
                <w:szCs w:val="20"/>
              </w:rPr>
              <w:t>40/22</w:t>
            </w:r>
          </w:p>
        </w:tc>
        <w:tc>
          <w:tcPr>
            <w:tcW w:w="1440" w:type="dxa"/>
            <w:vAlign w:val="center"/>
          </w:tcPr>
          <w:p w14:paraId="2FE08679"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3/7/2022</w:t>
            </w:r>
          </w:p>
        </w:tc>
        <w:tc>
          <w:tcPr>
            <w:tcW w:w="1890" w:type="dxa"/>
            <w:vAlign w:val="center"/>
          </w:tcPr>
          <w:p w14:paraId="5393A85F"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1259-12</w:t>
            </w:r>
          </w:p>
        </w:tc>
      </w:tr>
      <w:tr w:rsidR="0057201B" w:rsidRPr="00AE3A84" w14:paraId="36D61302" w14:textId="77777777" w:rsidTr="005615BA">
        <w:tc>
          <w:tcPr>
            <w:tcW w:w="544" w:type="dxa"/>
            <w:vAlign w:val="center"/>
          </w:tcPr>
          <w:p w14:paraId="751A9E1F"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9</w:t>
            </w:r>
          </w:p>
        </w:tc>
        <w:tc>
          <w:tcPr>
            <w:tcW w:w="3253" w:type="dxa"/>
            <w:vAlign w:val="center"/>
          </w:tcPr>
          <w:p w14:paraId="06C30650" w14:textId="77777777" w:rsidR="0057201B" w:rsidRPr="00AE3A84" w:rsidRDefault="0057201B">
            <w:pPr>
              <w:rPr>
                <w:rFonts w:ascii="Cambria" w:hAnsi="Cambria"/>
                <w:sz w:val="20"/>
                <w:szCs w:val="20"/>
                <w:lang w:val="es-ES_tradnl"/>
              </w:rPr>
            </w:pPr>
            <w:r w:rsidRPr="000E5866">
              <w:rPr>
                <w:rFonts w:ascii="Cambria" w:hAnsi="Cambria"/>
                <w:spacing w:val="-1"/>
                <w:sz w:val="20"/>
                <w:szCs w:val="20"/>
                <w:lang w:val="es-CO"/>
              </w:rPr>
              <w:t>Julio</w:t>
            </w:r>
            <w:r w:rsidRPr="000E5866">
              <w:rPr>
                <w:rFonts w:ascii="Cambria" w:hAnsi="Cambria"/>
                <w:spacing w:val="4"/>
                <w:sz w:val="20"/>
                <w:szCs w:val="20"/>
                <w:lang w:val="es-CO"/>
              </w:rPr>
              <w:t xml:space="preserve"> </w:t>
            </w:r>
            <w:r w:rsidRPr="000E5866">
              <w:rPr>
                <w:rFonts w:ascii="Cambria" w:hAnsi="Cambria"/>
                <w:spacing w:val="-1"/>
                <w:sz w:val="20"/>
                <w:szCs w:val="20"/>
                <w:lang w:val="es-CO"/>
              </w:rPr>
              <w:t>Carrizosa</w:t>
            </w:r>
            <w:r w:rsidRPr="000E5866">
              <w:rPr>
                <w:rFonts w:ascii="Cambria" w:hAnsi="Cambria"/>
                <w:spacing w:val="5"/>
                <w:sz w:val="20"/>
                <w:szCs w:val="20"/>
                <w:lang w:val="es-CO"/>
              </w:rPr>
              <w:t xml:space="preserve"> </w:t>
            </w:r>
            <w:r w:rsidRPr="000E5866">
              <w:rPr>
                <w:rFonts w:ascii="Cambria" w:hAnsi="Cambria"/>
                <w:spacing w:val="-1"/>
                <w:sz w:val="20"/>
                <w:szCs w:val="20"/>
                <w:lang w:val="es-CO"/>
              </w:rPr>
              <w:t>Mutis</w:t>
            </w:r>
            <w:r w:rsidRPr="000E5866">
              <w:rPr>
                <w:rFonts w:ascii="Cambria" w:hAnsi="Cambria"/>
                <w:spacing w:val="5"/>
                <w:sz w:val="20"/>
                <w:szCs w:val="20"/>
                <w:lang w:val="es-CO"/>
              </w:rPr>
              <w:t xml:space="preserve"> </w:t>
            </w:r>
            <w:r w:rsidRPr="000E5866">
              <w:rPr>
                <w:rFonts w:ascii="Cambria" w:hAnsi="Cambria"/>
                <w:spacing w:val="-1"/>
                <w:sz w:val="20"/>
                <w:szCs w:val="20"/>
                <w:lang w:val="es-CO"/>
              </w:rPr>
              <w:t>Astrida</w:t>
            </w:r>
            <w:r w:rsidRPr="000E5866">
              <w:rPr>
                <w:rFonts w:ascii="Cambria" w:hAnsi="Cambria"/>
                <w:spacing w:val="6"/>
                <w:sz w:val="20"/>
                <w:szCs w:val="20"/>
                <w:lang w:val="es-CO"/>
              </w:rPr>
              <w:t xml:space="preserve"> </w:t>
            </w:r>
            <w:r w:rsidRPr="000E5866">
              <w:rPr>
                <w:rFonts w:ascii="Cambria" w:hAnsi="Cambria"/>
                <w:sz w:val="20"/>
                <w:szCs w:val="20"/>
                <w:lang w:val="es-CO"/>
              </w:rPr>
              <w:t>Gelzis</w:t>
            </w:r>
            <w:r w:rsidRPr="000E5866">
              <w:rPr>
                <w:rFonts w:ascii="Cambria" w:hAnsi="Cambria"/>
                <w:spacing w:val="5"/>
                <w:sz w:val="20"/>
                <w:szCs w:val="20"/>
                <w:lang w:val="es-CO"/>
              </w:rPr>
              <w:t xml:space="preserve"> </w:t>
            </w:r>
            <w:r w:rsidRPr="000E5866">
              <w:rPr>
                <w:rFonts w:ascii="Cambria" w:hAnsi="Cambria"/>
                <w:spacing w:val="-1"/>
                <w:sz w:val="20"/>
                <w:szCs w:val="20"/>
                <w:lang w:val="es-CO"/>
              </w:rPr>
              <w:t>de</w:t>
            </w:r>
            <w:r w:rsidRPr="000E5866">
              <w:rPr>
                <w:rFonts w:ascii="Cambria" w:hAnsi="Cambria"/>
                <w:spacing w:val="6"/>
                <w:sz w:val="20"/>
                <w:szCs w:val="20"/>
                <w:lang w:val="es-CO"/>
              </w:rPr>
              <w:t xml:space="preserve"> </w:t>
            </w:r>
            <w:r w:rsidRPr="000E5866">
              <w:rPr>
                <w:rFonts w:ascii="Cambria" w:hAnsi="Cambria"/>
                <w:spacing w:val="-1"/>
                <w:sz w:val="20"/>
                <w:szCs w:val="20"/>
                <w:lang w:val="es-CO"/>
              </w:rPr>
              <w:t>Carrizosa,</w:t>
            </w:r>
            <w:r w:rsidRPr="000E5866">
              <w:rPr>
                <w:rFonts w:ascii="Cambria" w:hAnsi="Cambria"/>
                <w:spacing w:val="7"/>
                <w:sz w:val="20"/>
                <w:szCs w:val="20"/>
                <w:lang w:val="es-CO"/>
              </w:rPr>
              <w:t xml:space="preserve"> </w:t>
            </w:r>
            <w:r w:rsidRPr="000E5866">
              <w:rPr>
                <w:rFonts w:ascii="Cambria" w:hAnsi="Cambria"/>
                <w:spacing w:val="-1"/>
                <w:sz w:val="20"/>
                <w:szCs w:val="20"/>
                <w:lang w:val="es-CO"/>
              </w:rPr>
              <w:t>Alberto</w:t>
            </w:r>
            <w:r w:rsidRPr="000E5866">
              <w:rPr>
                <w:rFonts w:ascii="Cambria" w:hAnsi="Cambria"/>
                <w:spacing w:val="4"/>
                <w:sz w:val="20"/>
                <w:szCs w:val="20"/>
                <w:lang w:val="es-CO"/>
              </w:rPr>
              <w:t xml:space="preserve"> </w:t>
            </w:r>
            <w:r w:rsidRPr="000E5866">
              <w:rPr>
                <w:rFonts w:ascii="Cambria" w:hAnsi="Cambria"/>
                <w:spacing w:val="-1"/>
                <w:sz w:val="20"/>
                <w:szCs w:val="20"/>
                <w:lang w:val="es-CO"/>
              </w:rPr>
              <w:t>Carrizosa</w:t>
            </w:r>
            <w:r w:rsidRPr="000E5866">
              <w:rPr>
                <w:rFonts w:ascii="Cambria" w:hAnsi="Cambria"/>
                <w:spacing w:val="25"/>
                <w:w w:val="101"/>
                <w:sz w:val="20"/>
                <w:szCs w:val="20"/>
                <w:lang w:val="es-CO"/>
              </w:rPr>
              <w:t xml:space="preserve"> </w:t>
            </w:r>
            <w:r w:rsidRPr="000E5866">
              <w:rPr>
                <w:rFonts w:ascii="Cambria" w:hAnsi="Cambria"/>
                <w:spacing w:val="-1"/>
                <w:sz w:val="20"/>
                <w:szCs w:val="20"/>
                <w:lang w:val="es-CO"/>
              </w:rPr>
              <w:t>Gelzis,</w:t>
            </w:r>
            <w:r w:rsidRPr="000E5866">
              <w:rPr>
                <w:rFonts w:ascii="Cambria" w:hAnsi="Cambria"/>
                <w:spacing w:val="6"/>
                <w:sz w:val="20"/>
                <w:szCs w:val="20"/>
                <w:lang w:val="es-CO"/>
              </w:rPr>
              <w:t xml:space="preserve"> </w:t>
            </w:r>
            <w:r w:rsidRPr="000E5866">
              <w:rPr>
                <w:rFonts w:ascii="Cambria" w:hAnsi="Cambria"/>
                <w:spacing w:val="-1"/>
                <w:sz w:val="20"/>
                <w:szCs w:val="20"/>
                <w:lang w:val="es-CO"/>
              </w:rPr>
              <w:t>Enrique</w:t>
            </w:r>
            <w:r w:rsidRPr="000E5866">
              <w:rPr>
                <w:rFonts w:ascii="Cambria" w:hAnsi="Cambria"/>
                <w:spacing w:val="6"/>
                <w:sz w:val="20"/>
                <w:szCs w:val="20"/>
                <w:lang w:val="es-CO"/>
              </w:rPr>
              <w:t xml:space="preserve"> </w:t>
            </w:r>
            <w:r w:rsidRPr="000E5866">
              <w:rPr>
                <w:rFonts w:ascii="Cambria" w:hAnsi="Cambria"/>
                <w:spacing w:val="-1"/>
                <w:sz w:val="20"/>
                <w:szCs w:val="20"/>
                <w:lang w:val="es-CO"/>
              </w:rPr>
              <w:t>Carrizosa</w:t>
            </w:r>
            <w:r w:rsidRPr="000E5866">
              <w:rPr>
                <w:rFonts w:ascii="Cambria" w:hAnsi="Cambria"/>
                <w:spacing w:val="6"/>
                <w:sz w:val="20"/>
                <w:szCs w:val="20"/>
                <w:lang w:val="es-CO"/>
              </w:rPr>
              <w:t xml:space="preserve"> </w:t>
            </w:r>
            <w:r w:rsidRPr="000E5866">
              <w:rPr>
                <w:rFonts w:ascii="Cambria" w:hAnsi="Cambria"/>
                <w:sz w:val="20"/>
                <w:szCs w:val="20"/>
                <w:lang w:val="es-CO"/>
              </w:rPr>
              <w:t>Gelzis</w:t>
            </w:r>
            <w:r>
              <w:rPr>
                <w:rFonts w:ascii="Cambria" w:hAnsi="Cambria"/>
                <w:sz w:val="20"/>
                <w:szCs w:val="20"/>
                <w:lang w:val="es-CO"/>
              </w:rPr>
              <w:t>, and</w:t>
            </w:r>
            <w:r w:rsidRPr="000E5866">
              <w:rPr>
                <w:rFonts w:ascii="Cambria" w:hAnsi="Cambria"/>
                <w:spacing w:val="5"/>
                <w:sz w:val="20"/>
                <w:szCs w:val="20"/>
                <w:lang w:val="es-CO"/>
              </w:rPr>
              <w:t xml:space="preserve"> </w:t>
            </w:r>
            <w:r w:rsidRPr="000E5866">
              <w:rPr>
                <w:rFonts w:ascii="Cambria" w:hAnsi="Cambria"/>
                <w:spacing w:val="-1"/>
                <w:sz w:val="20"/>
                <w:szCs w:val="20"/>
                <w:lang w:val="es-CO"/>
              </w:rPr>
              <w:t>Felipe</w:t>
            </w:r>
            <w:r w:rsidRPr="000E5866">
              <w:rPr>
                <w:rFonts w:ascii="Cambria" w:hAnsi="Cambria"/>
                <w:spacing w:val="6"/>
                <w:sz w:val="20"/>
                <w:szCs w:val="20"/>
                <w:lang w:val="es-CO"/>
              </w:rPr>
              <w:t xml:space="preserve"> </w:t>
            </w:r>
            <w:r w:rsidRPr="000E5866">
              <w:rPr>
                <w:rFonts w:ascii="Cambria" w:hAnsi="Cambria"/>
                <w:spacing w:val="-1"/>
                <w:sz w:val="20"/>
                <w:szCs w:val="20"/>
                <w:lang w:val="es-CO"/>
              </w:rPr>
              <w:t>Carrizosa</w:t>
            </w:r>
            <w:r w:rsidRPr="000E5866">
              <w:rPr>
                <w:rFonts w:ascii="Cambria" w:hAnsi="Cambria"/>
                <w:spacing w:val="6"/>
                <w:sz w:val="20"/>
                <w:szCs w:val="20"/>
                <w:lang w:val="es-CO"/>
              </w:rPr>
              <w:t xml:space="preserve"> </w:t>
            </w:r>
            <w:r w:rsidRPr="000E5866">
              <w:rPr>
                <w:rFonts w:ascii="Cambria" w:hAnsi="Cambria"/>
                <w:sz w:val="20"/>
                <w:szCs w:val="20"/>
                <w:lang w:val="es-CO"/>
              </w:rPr>
              <w:t>Gelzis</w:t>
            </w:r>
          </w:p>
        </w:tc>
        <w:tc>
          <w:tcPr>
            <w:tcW w:w="1328" w:type="dxa"/>
            <w:vAlign w:val="center"/>
          </w:tcPr>
          <w:p w14:paraId="02D5DF84" w14:textId="77777777" w:rsidR="0057201B" w:rsidRPr="000E5866" w:rsidRDefault="0057201B">
            <w:pPr>
              <w:pStyle w:val="TableParagraph"/>
              <w:rPr>
                <w:rFonts w:ascii="Cambria" w:eastAsia="Times New Roman" w:hAnsi="Cambria" w:cs="Times New Roman"/>
                <w:sz w:val="20"/>
                <w:szCs w:val="20"/>
                <w:lang w:val="es-CO"/>
              </w:rPr>
            </w:pPr>
          </w:p>
          <w:p w14:paraId="61EC841F"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499589CE" w14:textId="77777777" w:rsidR="0057201B" w:rsidRPr="00AE3A84" w:rsidRDefault="0057201B">
            <w:pPr>
              <w:pStyle w:val="TableParagraph"/>
              <w:jc w:val="center"/>
              <w:rPr>
                <w:rFonts w:ascii="Cambria" w:eastAsia="Times New Roman" w:hAnsi="Cambria" w:cs="Times New Roman"/>
                <w:sz w:val="20"/>
                <w:szCs w:val="20"/>
              </w:rPr>
            </w:pPr>
            <w:r>
              <w:rPr>
                <w:rFonts w:ascii="Cambria" w:eastAsia="Times New Roman" w:hAnsi="Cambria" w:cs="Times New Roman"/>
                <w:sz w:val="20"/>
                <w:szCs w:val="20"/>
              </w:rPr>
              <w:t>62/22</w:t>
            </w:r>
          </w:p>
        </w:tc>
        <w:tc>
          <w:tcPr>
            <w:tcW w:w="1440" w:type="dxa"/>
            <w:vAlign w:val="center"/>
          </w:tcPr>
          <w:p w14:paraId="08D48DF0" w14:textId="77777777" w:rsidR="0057201B" w:rsidRPr="00AE3A84" w:rsidRDefault="0057201B" w:rsidP="005F75C1">
            <w:pPr>
              <w:pStyle w:val="TableParagraph"/>
              <w:jc w:val="center"/>
              <w:rPr>
                <w:rFonts w:ascii="Cambria" w:eastAsia="Times New Roman" w:hAnsi="Cambria" w:cs="Times New Roman"/>
                <w:sz w:val="20"/>
                <w:szCs w:val="20"/>
              </w:rPr>
            </w:pPr>
          </w:p>
          <w:p w14:paraId="5D55EB74"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3/7/2022</w:t>
            </w:r>
          </w:p>
        </w:tc>
        <w:tc>
          <w:tcPr>
            <w:tcW w:w="1890" w:type="dxa"/>
            <w:vAlign w:val="center"/>
          </w:tcPr>
          <w:p w14:paraId="4436B4FB" w14:textId="77777777" w:rsidR="0057201B" w:rsidRPr="00AE3A84" w:rsidRDefault="0057201B" w:rsidP="005615BA">
            <w:pPr>
              <w:pStyle w:val="TableParagraph"/>
              <w:jc w:val="center"/>
              <w:rPr>
                <w:rFonts w:ascii="Cambria" w:eastAsia="Times New Roman" w:hAnsi="Cambria" w:cs="Times New Roman"/>
                <w:sz w:val="20"/>
                <w:szCs w:val="20"/>
              </w:rPr>
            </w:pPr>
          </w:p>
          <w:p w14:paraId="01C9D3FC"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1096-12</w:t>
            </w:r>
          </w:p>
        </w:tc>
      </w:tr>
      <w:tr w:rsidR="0057201B" w:rsidRPr="00AE3A84" w14:paraId="1E666E7B" w14:textId="77777777" w:rsidTr="005615BA">
        <w:tc>
          <w:tcPr>
            <w:tcW w:w="544" w:type="dxa"/>
            <w:vAlign w:val="center"/>
          </w:tcPr>
          <w:p w14:paraId="4DA410DD"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10</w:t>
            </w:r>
          </w:p>
        </w:tc>
        <w:tc>
          <w:tcPr>
            <w:tcW w:w="3253" w:type="dxa"/>
            <w:vAlign w:val="center"/>
          </w:tcPr>
          <w:p w14:paraId="2A27D6A9" w14:textId="77777777" w:rsidR="0057201B" w:rsidRPr="008B09BF" w:rsidRDefault="0057201B">
            <w:pPr>
              <w:rPr>
                <w:rFonts w:ascii="Cambria" w:hAnsi="Cambria"/>
                <w:sz w:val="20"/>
                <w:szCs w:val="20"/>
              </w:rPr>
            </w:pPr>
            <w:r w:rsidRPr="008B09BF">
              <w:rPr>
                <w:rFonts w:ascii="Cambria" w:hAnsi="Cambria"/>
                <w:spacing w:val="-1"/>
                <w:sz w:val="20"/>
                <w:szCs w:val="20"/>
              </w:rPr>
              <w:t>Huaorani</w:t>
            </w:r>
            <w:r w:rsidRPr="008B09BF">
              <w:rPr>
                <w:rFonts w:ascii="Cambria" w:hAnsi="Cambria"/>
                <w:spacing w:val="8"/>
                <w:sz w:val="20"/>
                <w:szCs w:val="20"/>
              </w:rPr>
              <w:t xml:space="preserve"> </w:t>
            </w:r>
            <w:r w:rsidRPr="008B09BF">
              <w:rPr>
                <w:rFonts w:ascii="Cambria" w:hAnsi="Cambria"/>
                <w:spacing w:val="-1"/>
                <w:sz w:val="20"/>
                <w:szCs w:val="20"/>
              </w:rPr>
              <w:t xml:space="preserve">Indigenous Community </w:t>
            </w:r>
            <w:r>
              <w:rPr>
                <w:rFonts w:ascii="Cambria" w:hAnsi="Cambria"/>
                <w:spacing w:val="-1"/>
                <w:sz w:val="20"/>
                <w:szCs w:val="20"/>
              </w:rPr>
              <w:t>of</w:t>
            </w:r>
            <w:r w:rsidRPr="008B09BF">
              <w:rPr>
                <w:rFonts w:ascii="Cambria" w:hAnsi="Cambria"/>
                <w:spacing w:val="9"/>
                <w:sz w:val="20"/>
                <w:szCs w:val="20"/>
              </w:rPr>
              <w:t xml:space="preserve"> </w:t>
            </w:r>
            <w:r w:rsidRPr="008B09BF">
              <w:rPr>
                <w:rFonts w:ascii="Cambria" w:hAnsi="Cambria"/>
                <w:spacing w:val="-1"/>
                <w:sz w:val="20"/>
                <w:szCs w:val="20"/>
              </w:rPr>
              <w:t>Bameno</w:t>
            </w:r>
          </w:p>
        </w:tc>
        <w:tc>
          <w:tcPr>
            <w:tcW w:w="1328" w:type="dxa"/>
            <w:vAlign w:val="center"/>
          </w:tcPr>
          <w:p w14:paraId="5562EC35"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Ecuador</w:t>
            </w:r>
          </w:p>
        </w:tc>
        <w:tc>
          <w:tcPr>
            <w:tcW w:w="1260" w:type="dxa"/>
            <w:vAlign w:val="center"/>
          </w:tcPr>
          <w:p w14:paraId="4F0C8CC9" w14:textId="77777777" w:rsidR="0057201B" w:rsidRPr="00AE3A84" w:rsidRDefault="0057201B">
            <w:pPr>
              <w:jc w:val="center"/>
              <w:rPr>
                <w:rFonts w:ascii="Cambria" w:hAnsi="Cambria"/>
                <w:spacing w:val="-2"/>
                <w:sz w:val="20"/>
                <w:szCs w:val="20"/>
              </w:rPr>
            </w:pPr>
            <w:r w:rsidRPr="00CC1F79">
              <w:rPr>
                <w:rFonts w:ascii="Cambria" w:hAnsi="Cambria"/>
                <w:spacing w:val="-2"/>
                <w:sz w:val="20"/>
                <w:szCs w:val="20"/>
              </w:rPr>
              <w:t>4</w:t>
            </w:r>
            <w:r>
              <w:rPr>
                <w:rFonts w:ascii="Cambria" w:hAnsi="Cambria"/>
                <w:spacing w:val="-2"/>
                <w:sz w:val="20"/>
                <w:szCs w:val="20"/>
              </w:rPr>
              <w:t>2</w:t>
            </w:r>
            <w:r w:rsidRPr="00CC1F79">
              <w:rPr>
                <w:rFonts w:ascii="Cambria" w:hAnsi="Cambria"/>
                <w:spacing w:val="-2"/>
                <w:sz w:val="20"/>
                <w:szCs w:val="20"/>
              </w:rPr>
              <w:t>/22</w:t>
            </w:r>
          </w:p>
        </w:tc>
        <w:tc>
          <w:tcPr>
            <w:tcW w:w="1440" w:type="dxa"/>
            <w:vAlign w:val="center"/>
          </w:tcPr>
          <w:p w14:paraId="2F81EB90"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3/9/2022</w:t>
            </w:r>
          </w:p>
        </w:tc>
        <w:tc>
          <w:tcPr>
            <w:tcW w:w="1890" w:type="dxa"/>
            <w:vAlign w:val="center"/>
          </w:tcPr>
          <w:p w14:paraId="2636C669"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1095-14</w:t>
            </w:r>
          </w:p>
        </w:tc>
      </w:tr>
      <w:tr w:rsidR="0057201B" w:rsidRPr="00AE3A84" w14:paraId="2E80E826" w14:textId="77777777" w:rsidTr="005615BA">
        <w:tc>
          <w:tcPr>
            <w:tcW w:w="544" w:type="dxa"/>
            <w:vAlign w:val="center"/>
          </w:tcPr>
          <w:p w14:paraId="5AA93155"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11</w:t>
            </w:r>
          </w:p>
        </w:tc>
        <w:tc>
          <w:tcPr>
            <w:tcW w:w="3253" w:type="dxa"/>
            <w:vAlign w:val="center"/>
          </w:tcPr>
          <w:p w14:paraId="27D6831D"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Jorge</w:t>
            </w:r>
            <w:r w:rsidRPr="00AE3A84">
              <w:rPr>
                <w:rFonts w:ascii="Cambria" w:hAnsi="Cambria"/>
                <w:spacing w:val="8"/>
                <w:sz w:val="20"/>
                <w:szCs w:val="20"/>
              </w:rPr>
              <w:t xml:space="preserve"> </w:t>
            </w:r>
            <w:r w:rsidRPr="00AE3A84">
              <w:rPr>
                <w:rFonts w:ascii="Cambria" w:hAnsi="Cambria"/>
                <w:spacing w:val="-1"/>
                <w:sz w:val="20"/>
                <w:szCs w:val="20"/>
              </w:rPr>
              <w:t>Luis</w:t>
            </w:r>
            <w:r w:rsidRPr="00AE3A84">
              <w:rPr>
                <w:rFonts w:ascii="Cambria" w:hAnsi="Cambria"/>
                <w:spacing w:val="8"/>
                <w:sz w:val="20"/>
                <w:szCs w:val="20"/>
              </w:rPr>
              <w:t xml:space="preserve"> </w:t>
            </w:r>
            <w:r w:rsidRPr="00AE3A84">
              <w:rPr>
                <w:rFonts w:ascii="Cambria" w:hAnsi="Cambria"/>
                <w:spacing w:val="-1"/>
                <w:sz w:val="20"/>
                <w:szCs w:val="20"/>
              </w:rPr>
              <w:t>Toccalino</w:t>
            </w:r>
          </w:p>
        </w:tc>
        <w:tc>
          <w:tcPr>
            <w:tcW w:w="1328" w:type="dxa"/>
            <w:vAlign w:val="center"/>
          </w:tcPr>
          <w:p w14:paraId="6B70C553"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Argentina</w:t>
            </w:r>
          </w:p>
        </w:tc>
        <w:tc>
          <w:tcPr>
            <w:tcW w:w="1260" w:type="dxa"/>
            <w:vAlign w:val="center"/>
          </w:tcPr>
          <w:p w14:paraId="604F0087" w14:textId="77777777" w:rsidR="0057201B" w:rsidRPr="00AE3A84" w:rsidRDefault="0057201B">
            <w:pPr>
              <w:jc w:val="center"/>
              <w:rPr>
                <w:rFonts w:ascii="Cambria" w:hAnsi="Cambria"/>
                <w:spacing w:val="-2"/>
                <w:sz w:val="20"/>
                <w:szCs w:val="20"/>
              </w:rPr>
            </w:pPr>
            <w:r w:rsidRPr="00CC1F79">
              <w:rPr>
                <w:rFonts w:ascii="Cambria" w:hAnsi="Cambria"/>
                <w:spacing w:val="-2"/>
                <w:sz w:val="20"/>
                <w:szCs w:val="20"/>
              </w:rPr>
              <w:t>25/22</w:t>
            </w:r>
          </w:p>
        </w:tc>
        <w:tc>
          <w:tcPr>
            <w:tcW w:w="1440" w:type="dxa"/>
            <w:vAlign w:val="center"/>
          </w:tcPr>
          <w:p w14:paraId="51D43327"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3/20/2022</w:t>
            </w:r>
          </w:p>
        </w:tc>
        <w:tc>
          <w:tcPr>
            <w:tcW w:w="1890" w:type="dxa"/>
            <w:vAlign w:val="center"/>
          </w:tcPr>
          <w:p w14:paraId="54BB3F86"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2384-12</w:t>
            </w:r>
          </w:p>
        </w:tc>
      </w:tr>
      <w:tr w:rsidR="0057201B" w:rsidRPr="00AE3A84" w14:paraId="0DC00781" w14:textId="77777777" w:rsidTr="005615BA">
        <w:tc>
          <w:tcPr>
            <w:tcW w:w="544" w:type="dxa"/>
            <w:vAlign w:val="center"/>
          </w:tcPr>
          <w:p w14:paraId="2256C5EF"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12</w:t>
            </w:r>
          </w:p>
        </w:tc>
        <w:tc>
          <w:tcPr>
            <w:tcW w:w="3253" w:type="dxa"/>
            <w:vAlign w:val="center"/>
          </w:tcPr>
          <w:p w14:paraId="75F42A47" w14:textId="77777777" w:rsidR="0057201B" w:rsidRPr="008B09BF" w:rsidRDefault="0057201B">
            <w:pPr>
              <w:rPr>
                <w:rFonts w:ascii="Cambria" w:hAnsi="Cambria"/>
                <w:sz w:val="20"/>
                <w:szCs w:val="20"/>
              </w:rPr>
            </w:pPr>
            <w:r w:rsidRPr="008B09BF">
              <w:rPr>
                <w:rFonts w:ascii="Cambria" w:hAnsi="Cambria"/>
                <w:spacing w:val="-1"/>
                <w:sz w:val="20"/>
                <w:szCs w:val="20"/>
              </w:rPr>
              <w:t>Ninety-six Members of the Customs Work</w:t>
            </w:r>
            <w:r>
              <w:rPr>
                <w:rFonts w:ascii="Cambria" w:hAnsi="Cambria"/>
                <w:spacing w:val="-1"/>
                <w:sz w:val="20"/>
                <w:szCs w:val="20"/>
              </w:rPr>
              <w:t>ers</w:t>
            </w:r>
            <w:r w:rsidRPr="008B09BF">
              <w:rPr>
                <w:rFonts w:ascii="Cambria" w:hAnsi="Cambria"/>
                <w:spacing w:val="-1"/>
                <w:sz w:val="20"/>
                <w:szCs w:val="20"/>
              </w:rPr>
              <w:t xml:space="preserve"> Union of the South</w:t>
            </w:r>
            <w:r w:rsidRPr="008B09BF">
              <w:rPr>
                <w:rFonts w:ascii="Cambria" w:hAnsi="Cambria"/>
                <w:spacing w:val="7"/>
                <w:sz w:val="20"/>
                <w:szCs w:val="20"/>
              </w:rPr>
              <w:t xml:space="preserve"> </w:t>
            </w:r>
            <w:r w:rsidRPr="008B09BF">
              <w:rPr>
                <w:rFonts w:ascii="Cambria" w:hAnsi="Cambria"/>
                <w:spacing w:val="-1"/>
                <w:sz w:val="20"/>
                <w:szCs w:val="20"/>
              </w:rPr>
              <w:t>(SINTRASUR)</w:t>
            </w:r>
          </w:p>
        </w:tc>
        <w:tc>
          <w:tcPr>
            <w:tcW w:w="1328" w:type="dxa"/>
            <w:vAlign w:val="center"/>
          </w:tcPr>
          <w:p w14:paraId="3306D86F"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Per</w:t>
            </w:r>
            <w:r>
              <w:rPr>
                <w:rFonts w:ascii="Cambria" w:hAnsi="Cambria"/>
                <w:spacing w:val="-1"/>
                <w:sz w:val="20"/>
                <w:szCs w:val="20"/>
              </w:rPr>
              <w:t>u</w:t>
            </w:r>
          </w:p>
        </w:tc>
        <w:tc>
          <w:tcPr>
            <w:tcW w:w="1260" w:type="dxa"/>
            <w:vAlign w:val="center"/>
          </w:tcPr>
          <w:p w14:paraId="28A9F0DE" w14:textId="77777777" w:rsidR="0057201B" w:rsidRPr="00AE3A84" w:rsidRDefault="0057201B">
            <w:pPr>
              <w:jc w:val="center"/>
              <w:rPr>
                <w:rFonts w:ascii="Cambria" w:hAnsi="Cambria"/>
                <w:spacing w:val="-2"/>
                <w:sz w:val="20"/>
                <w:szCs w:val="20"/>
              </w:rPr>
            </w:pPr>
            <w:r>
              <w:rPr>
                <w:rFonts w:ascii="Cambria" w:hAnsi="Cambria"/>
                <w:spacing w:val="-2"/>
                <w:sz w:val="20"/>
                <w:szCs w:val="20"/>
              </w:rPr>
              <w:t>95/22</w:t>
            </w:r>
          </w:p>
        </w:tc>
        <w:tc>
          <w:tcPr>
            <w:tcW w:w="1440" w:type="dxa"/>
            <w:vAlign w:val="center"/>
          </w:tcPr>
          <w:p w14:paraId="1A8A469F"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3/28/2022</w:t>
            </w:r>
          </w:p>
        </w:tc>
        <w:tc>
          <w:tcPr>
            <w:tcW w:w="1890" w:type="dxa"/>
            <w:vAlign w:val="center"/>
          </w:tcPr>
          <w:p w14:paraId="45C410A9"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2215-12</w:t>
            </w:r>
          </w:p>
        </w:tc>
      </w:tr>
      <w:tr w:rsidR="0057201B" w:rsidRPr="00AE3A84" w14:paraId="228551FF" w14:textId="77777777" w:rsidTr="005615BA">
        <w:tc>
          <w:tcPr>
            <w:tcW w:w="544" w:type="dxa"/>
            <w:vAlign w:val="center"/>
          </w:tcPr>
          <w:p w14:paraId="1AEC86C1"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13</w:t>
            </w:r>
          </w:p>
        </w:tc>
        <w:tc>
          <w:tcPr>
            <w:tcW w:w="3253" w:type="dxa"/>
            <w:vAlign w:val="center"/>
          </w:tcPr>
          <w:p w14:paraId="7EFA5800"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AR"/>
              </w:rPr>
              <w:t>Diana</w:t>
            </w:r>
            <w:r w:rsidRPr="00AE3A84">
              <w:rPr>
                <w:rFonts w:ascii="Cambria" w:hAnsi="Cambria"/>
                <w:spacing w:val="4"/>
                <w:sz w:val="20"/>
                <w:szCs w:val="20"/>
                <w:lang w:val="es-AR"/>
              </w:rPr>
              <w:t xml:space="preserve"> </w:t>
            </w:r>
            <w:r w:rsidRPr="00AE3A84">
              <w:rPr>
                <w:rFonts w:ascii="Cambria" w:hAnsi="Cambria"/>
                <w:spacing w:val="-1"/>
                <w:sz w:val="20"/>
                <w:szCs w:val="20"/>
                <w:lang w:val="es-AR"/>
              </w:rPr>
              <w:t>Patricia</w:t>
            </w:r>
            <w:r w:rsidRPr="00AE3A84">
              <w:rPr>
                <w:rFonts w:ascii="Cambria" w:hAnsi="Cambria"/>
                <w:spacing w:val="5"/>
                <w:sz w:val="20"/>
                <w:szCs w:val="20"/>
                <w:lang w:val="es-AR"/>
              </w:rPr>
              <w:t xml:space="preserve"> </w:t>
            </w:r>
            <w:r w:rsidRPr="00AE3A84">
              <w:rPr>
                <w:rFonts w:ascii="Cambria" w:hAnsi="Cambria"/>
                <w:spacing w:val="-1"/>
                <w:sz w:val="20"/>
                <w:szCs w:val="20"/>
                <w:lang w:val="es-AR"/>
              </w:rPr>
              <w:t>Pérez</w:t>
            </w:r>
            <w:r w:rsidRPr="00AE3A84">
              <w:rPr>
                <w:rFonts w:ascii="Cambria" w:hAnsi="Cambria"/>
                <w:spacing w:val="5"/>
                <w:sz w:val="20"/>
                <w:szCs w:val="20"/>
                <w:lang w:val="es-AR"/>
              </w:rPr>
              <w:t xml:space="preserve"> </w:t>
            </w:r>
            <w:r w:rsidRPr="00AE3A84">
              <w:rPr>
                <w:rFonts w:ascii="Cambria" w:hAnsi="Cambria"/>
                <w:spacing w:val="-1"/>
                <w:sz w:val="20"/>
                <w:szCs w:val="20"/>
                <w:lang w:val="es-AR"/>
              </w:rPr>
              <w:t>Tobón</w:t>
            </w:r>
            <w:r w:rsidRPr="00AE3A84">
              <w:rPr>
                <w:rFonts w:ascii="Cambria" w:hAnsi="Cambria"/>
                <w:spacing w:val="5"/>
                <w:sz w:val="20"/>
                <w:szCs w:val="20"/>
                <w:lang w:val="es-AR"/>
              </w:rPr>
              <w:t xml:space="preserve"> </w:t>
            </w:r>
            <w:r>
              <w:rPr>
                <w:rFonts w:ascii="Cambria" w:hAnsi="Cambria"/>
                <w:sz w:val="20"/>
                <w:szCs w:val="20"/>
                <w:lang w:val="es-AR"/>
              </w:rPr>
              <w:t>and Relatives</w:t>
            </w:r>
          </w:p>
        </w:tc>
        <w:tc>
          <w:tcPr>
            <w:tcW w:w="1328" w:type="dxa"/>
            <w:vAlign w:val="center"/>
          </w:tcPr>
          <w:p w14:paraId="650EF98D"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0A887250" w14:textId="77777777" w:rsidR="0057201B" w:rsidRPr="00AE3A84" w:rsidRDefault="0057201B">
            <w:pPr>
              <w:jc w:val="center"/>
              <w:rPr>
                <w:rFonts w:ascii="Cambria" w:hAnsi="Cambria"/>
                <w:spacing w:val="-2"/>
                <w:sz w:val="20"/>
                <w:szCs w:val="20"/>
              </w:rPr>
            </w:pPr>
            <w:r>
              <w:rPr>
                <w:rFonts w:ascii="Cambria" w:hAnsi="Cambria"/>
                <w:spacing w:val="-2"/>
                <w:sz w:val="20"/>
                <w:szCs w:val="20"/>
              </w:rPr>
              <w:t>84/22</w:t>
            </w:r>
          </w:p>
        </w:tc>
        <w:tc>
          <w:tcPr>
            <w:tcW w:w="1440" w:type="dxa"/>
            <w:vAlign w:val="center"/>
          </w:tcPr>
          <w:p w14:paraId="2F96239B"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4/12/2022</w:t>
            </w:r>
          </w:p>
        </w:tc>
        <w:tc>
          <w:tcPr>
            <w:tcW w:w="1890" w:type="dxa"/>
            <w:vAlign w:val="center"/>
          </w:tcPr>
          <w:p w14:paraId="2DE0C228"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2334-12</w:t>
            </w:r>
          </w:p>
        </w:tc>
      </w:tr>
      <w:tr w:rsidR="0057201B" w:rsidRPr="00AE3A84" w14:paraId="1F09B384" w14:textId="77777777" w:rsidTr="005615BA">
        <w:tc>
          <w:tcPr>
            <w:tcW w:w="544" w:type="dxa"/>
            <w:vAlign w:val="center"/>
          </w:tcPr>
          <w:p w14:paraId="6FA778D4"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14</w:t>
            </w:r>
          </w:p>
        </w:tc>
        <w:tc>
          <w:tcPr>
            <w:tcW w:w="3253" w:type="dxa"/>
            <w:vAlign w:val="center"/>
          </w:tcPr>
          <w:p w14:paraId="06D34B04"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Sergio</w:t>
            </w:r>
            <w:r w:rsidRPr="00AE3A84">
              <w:rPr>
                <w:rFonts w:ascii="Cambria" w:hAnsi="Cambria"/>
                <w:spacing w:val="6"/>
                <w:sz w:val="20"/>
                <w:szCs w:val="20"/>
              </w:rPr>
              <w:t xml:space="preserve"> </w:t>
            </w:r>
            <w:r w:rsidRPr="00AE3A84">
              <w:rPr>
                <w:rFonts w:ascii="Cambria" w:hAnsi="Cambria"/>
                <w:spacing w:val="-1"/>
                <w:sz w:val="20"/>
                <w:szCs w:val="20"/>
              </w:rPr>
              <w:t>Alejandro</w:t>
            </w:r>
            <w:r w:rsidRPr="00AE3A84">
              <w:rPr>
                <w:rFonts w:ascii="Cambria" w:hAnsi="Cambria"/>
                <w:spacing w:val="7"/>
                <w:sz w:val="20"/>
                <w:szCs w:val="20"/>
              </w:rPr>
              <w:t xml:space="preserve"> </w:t>
            </w:r>
            <w:r w:rsidRPr="00AE3A84">
              <w:rPr>
                <w:rFonts w:ascii="Cambria" w:hAnsi="Cambria"/>
                <w:spacing w:val="-1"/>
                <w:sz w:val="20"/>
                <w:szCs w:val="20"/>
              </w:rPr>
              <w:t>Báez</w:t>
            </w:r>
          </w:p>
        </w:tc>
        <w:tc>
          <w:tcPr>
            <w:tcW w:w="1328" w:type="dxa"/>
            <w:vAlign w:val="center"/>
          </w:tcPr>
          <w:p w14:paraId="72F17E70"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Argentina</w:t>
            </w:r>
          </w:p>
        </w:tc>
        <w:tc>
          <w:tcPr>
            <w:tcW w:w="1260" w:type="dxa"/>
            <w:vAlign w:val="center"/>
          </w:tcPr>
          <w:p w14:paraId="358C926A" w14:textId="77777777" w:rsidR="0057201B" w:rsidRPr="00AE3A84" w:rsidRDefault="0057201B">
            <w:pPr>
              <w:jc w:val="center"/>
              <w:rPr>
                <w:rFonts w:ascii="Cambria" w:hAnsi="Cambria"/>
                <w:spacing w:val="-2"/>
                <w:sz w:val="20"/>
                <w:szCs w:val="20"/>
              </w:rPr>
            </w:pPr>
            <w:r>
              <w:rPr>
                <w:rFonts w:ascii="Cambria" w:hAnsi="Cambria"/>
                <w:spacing w:val="-2"/>
                <w:sz w:val="20"/>
                <w:szCs w:val="20"/>
              </w:rPr>
              <w:t>72/22</w:t>
            </w:r>
          </w:p>
        </w:tc>
        <w:tc>
          <w:tcPr>
            <w:tcW w:w="1440" w:type="dxa"/>
            <w:vAlign w:val="center"/>
          </w:tcPr>
          <w:p w14:paraId="6CD9AC92"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4/24/2022</w:t>
            </w:r>
          </w:p>
        </w:tc>
        <w:tc>
          <w:tcPr>
            <w:tcW w:w="1890" w:type="dxa"/>
            <w:vAlign w:val="center"/>
          </w:tcPr>
          <w:p w14:paraId="75BE427D"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2317-12</w:t>
            </w:r>
          </w:p>
        </w:tc>
      </w:tr>
      <w:tr w:rsidR="0057201B" w:rsidRPr="00AE3A84" w14:paraId="1DA55C98" w14:textId="77777777" w:rsidTr="005615BA">
        <w:tc>
          <w:tcPr>
            <w:tcW w:w="544" w:type="dxa"/>
            <w:vAlign w:val="center"/>
          </w:tcPr>
          <w:p w14:paraId="52389D67"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15</w:t>
            </w:r>
          </w:p>
        </w:tc>
        <w:tc>
          <w:tcPr>
            <w:tcW w:w="3253" w:type="dxa"/>
            <w:vAlign w:val="center"/>
          </w:tcPr>
          <w:p w14:paraId="60FB5913"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Victor</w:t>
            </w:r>
            <w:r w:rsidRPr="00AE3A84">
              <w:rPr>
                <w:rFonts w:ascii="Cambria" w:hAnsi="Cambria"/>
                <w:spacing w:val="8"/>
                <w:sz w:val="20"/>
                <w:szCs w:val="20"/>
              </w:rPr>
              <w:t xml:space="preserve"> </w:t>
            </w:r>
            <w:r w:rsidRPr="00AE3A84">
              <w:rPr>
                <w:rFonts w:ascii="Cambria" w:hAnsi="Cambria"/>
                <w:spacing w:val="-1"/>
                <w:sz w:val="20"/>
                <w:szCs w:val="20"/>
              </w:rPr>
              <w:t>Patricio</w:t>
            </w:r>
            <w:r w:rsidRPr="00AE3A84">
              <w:rPr>
                <w:rFonts w:ascii="Cambria" w:hAnsi="Cambria"/>
                <w:spacing w:val="8"/>
                <w:sz w:val="20"/>
                <w:szCs w:val="20"/>
              </w:rPr>
              <w:t xml:space="preserve"> </w:t>
            </w:r>
            <w:r w:rsidRPr="00AE3A84">
              <w:rPr>
                <w:rFonts w:ascii="Cambria" w:hAnsi="Cambria"/>
                <w:spacing w:val="-1"/>
                <w:sz w:val="20"/>
                <w:szCs w:val="20"/>
              </w:rPr>
              <w:t>Oporto</w:t>
            </w:r>
            <w:r w:rsidRPr="00AE3A84">
              <w:rPr>
                <w:rFonts w:ascii="Cambria" w:hAnsi="Cambria"/>
                <w:spacing w:val="8"/>
                <w:sz w:val="20"/>
                <w:szCs w:val="20"/>
              </w:rPr>
              <w:t xml:space="preserve"> </w:t>
            </w:r>
            <w:r w:rsidRPr="00AE3A84">
              <w:rPr>
                <w:rFonts w:ascii="Cambria" w:hAnsi="Cambria"/>
                <w:spacing w:val="-1"/>
                <w:sz w:val="20"/>
                <w:szCs w:val="20"/>
              </w:rPr>
              <w:t>Sotomayor</w:t>
            </w:r>
          </w:p>
        </w:tc>
        <w:tc>
          <w:tcPr>
            <w:tcW w:w="1328" w:type="dxa"/>
            <w:vAlign w:val="center"/>
          </w:tcPr>
          <w:p w14:paraId="259513E2"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Chile</w:t>
            </w:r>
          </w:p>
        </w:tc>
        <w:tc>
          <w:tcPr>
            <w:tcW w:w="1260" w:type="dxa"/>
            <w:vAlign w:val="center"/>
          </w:tcPr>
          <w:p w14:paraId="632880BE" w14:textId="77777777" w:rsidR="0057201B" w:rsidRPr="00AE3A84" w:rsidRDefault="0057201B">
            <w:pPr>
              <w:jc w:val="center"/>
              <w:rPr>
                <w:rFonts w:ascii="Cambria" w:hAnsi="Cambria"/>
                <w:spacing w:val="-2"/>
                <w:sz w:val="20"/>
                <w:szCs w:val="20"/>
              </w:rPr>
            </w:pPr>
            <w:r>
              <w:rPr>
                <w:rFonts w:ascii="Cambria" w:hAnsi="Cambria"/>
                <w:spacing w:val="-2"/>
                <w:sz w:val="20"/>
                <w:szCs w:val="20"/>
              </w:rPr>
              <w:t>73/22</w:t>
            </w:r>
          </w:p>
        </w:tc>
        <w:tc>
          <w:tcPr>
            <w:tcW w:w="1440" w:type="dxa"/>
            <w:vAlign w:val="center"/>
          </w:tcPr>
          <w:p w14:paraId="23DFE958"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5/10/2022</w:t>
            </w:r>
          </w:p>
        </w:tc>
        <w:tc>
          <w:tcPr>
            <w:tcW w:w="1890" w:type="dxa"/>
            <w:vAlign w:val="center"/>
          </w:tcPr>
          <w:p w14:paraId="60079328"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2429-12</w:t>
            </w:r>
          </w:p>
        </w:tc>
      </w:tr>
      <w:tr w:rsidR="0057201B" w:rsidRPr="00AE3A84" w14:paraId="0E11D874" w14:textId="77777777" w:rsidTr="005615BA">
        <w:tc>
          <w:tcPr>
            <w:tcW w:w="544" w:type="dxa"/>
            <w:vAlign w:val="center"/>
          </w:tcPr>
          <w:p w14:paraId="6BDDFEBE"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16</w:t>
            </w:r>
          </w:p>
        </w:tc>
        <w:tc>
          <w:tcPr>
            <w:tcW w:w="3253" w:type="dxa"/>
            <w:vAlign w:val="center"/>
          </w:tcPr>
          <w:p w14:paraId="3E82C2D3" w14:textId="77777777" w:rsidR="0057201B" w:rsidRPr="008B09BF" w:rsidRDefault="0057201B">
            <w:pPr>
              <w:rPr>
                <w:rFonts w:ascii="Cambria" w:hAnsi="Cambria"/>
                <w:sz w:val="20"/>
                <w:szCs w:val="20"/>
              </w:rPr>
            </w:pPr>
            <w:r w:rsidRPr="008B09BF">
              <w:rPr>
                <w:rFonts w:ascii="Cambria" w:hAnsi="Cambria"/>
                <w:spacing w:val="-1"/>
                <w:sz w:val="20"/>
                <w:szCs w:val="20"/>
              </w:rPr>
              <w:t>Jorge</w:t>
            </w:r>
            <w:r w:rsidRPr="008B09BF">
              <w:rPr>
                <w:rFonts w:ascii="Cambria" w:hAnsi="Cambria"/>
                <w:spacing w:val="6"/>
                <w:sz w:val="20"/>
                <w:szCs w:val="20"/>
              </w:rPr>
              <w:t xml:space="preserve"> </w:t>
            </w:r>
            <w:r w:rsidRPr="008B09BF">
              <w:rPr>
                <w:rFonts w:ascii="Cambria" w:hAnsi="Cambria"/>
                <w:spacing w:val="-1"/>
                <w:sz w:val="20"/>
                <w:szCs w:val="20"/>
              </w:rPr>
              <w:t>Gustavo</w:t>
            </w:r>
            <w:r w:rsidRPr="008B09BF">
              <w:rPr>
                <w:rFonts w:ascii="Cambria" w:hAnsi="Cambria"/>
                <w:spacing w:val="4"/>
                <w:sz w:val="20"/>
                <w:szCs w:val="20"/>
              </w:rPr>
              <w:t xml:space="preserve"> </w:t>
            </w:r>
            <w:r w:rsidRPr="008B09BF">
              <w:rPr>
                <w:rFonts w:ascii="Cambria" w:hAnsi="Cambria"/>
                <w:spacing w:val="-1"/>
                <w:sz w:val="20"/>
                <w:szCs w:val="20"/>
              </w:rPr>
              <w:t>Barberis</w:t>
            </w:r>
            <w:r w:rsidRPr="008B09BF">
              <w:rPr>
                <w:rFonts w:ascii="Cambria" w:hAnsi="Cambria"/>
                <w:spacing w:val="5"/>
                <w:sz w:val="20"/>
                <w:szCs w:val="20"/>
              </w:rPr>
              <w:t xml:space="preserve"> </w:t>
            </w:r>
            <w:r w:rsidRPr="008B09BF">
              <w:rPr>
                <w:rFonts w:ascii="Cambria" w:hAnsi="Cambria"/>
                <w:sz w:val="20"/>
                <w:szCs w:val="20"/>
              </w:rPr>
              <w:t>et a</w:t>
            </w:r>
            <w:r>
              <w:rPr>
                <w:rFonts w:ascii="Cambria" w:hAnsi="Cambria"/>
                <w:sz w:val="20"/>
                <w:szCs w:val="20"/>
              </w:rPr>
              <w:t>l.</w:t>
            </w:r>
          </w:p>
        </w:tc>
        <w:tc>
          <w:tcPr>
            <w:tcW w:w="1328" w:type="dxa"/>
            <w:vAlign w:val="center"/>
          </w:tcPr>
          <w:p w14:paraId="3978DF9C"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Argentina</w:t>
            </w:r>
          </w:p>
        </w:tc>
        <w:tc>
          <w:tcPr>
            <w:tcW w:w="1260" w:type="dxa"/>
            <w:vAlign w:val="center"/>
          </w:tcPr>
          <w:p w14:paraId="6D273E08" w14:textId="77777777" w:rsidR="0057201B" w:rsidRPr="00AE3A84" w:rsidRDefault="0057201B">
            <w:pPr>
              <w:jc w:val="center"/>
              <w:rPr>
                <w:rFonts w:ascii="Cambria" w:hAnsi="Cambria"/>
                <w:spacing w:val="-2"/>
                <w:sz w:val="20"/>
                <w:szCs w:val="20"/>
              </w:rPr>
            </w:pPr>
            <w:r>
              <w:rPr>
                <w:rFonts w:ascii="Cambria" w:hAnsi="Cambria"/>
                <w:spacing w:val="-2"/>
                <w:sz w:val="20"/>
                <w:szCs w:val="20"/>
              </w:rPr>
              <w:t>80/22</w:t>
            </w:r>
          </w:p>
        </w:tc>
        <w:tc>
          <w:tcPr>
            <w:tcW w:w="1440" w:type="dxa"/>
            <w:vAlign w:val="center"/>
          </w:tcPr>
          <w:p w14:paraId="1583BB5C"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4/24/2022</w:t>
            </w:r>
          </w:p>
        </w:tc>
        <w:tc>
          <w:tcPr>
            <w:tcW w:w="1890" w:type="dxa"/>
            <w:vAlign w:val="center"/>
          </w:tcPr>
          <w:p w14:paraId="79B77509"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1147-08</w:t>
            </w:r>
          </w:p>
        </w:tc>
      </w:tr>
      <w:tr w:rsidR="0057201B" w:rsidRPr="00AE3A84" w14:paraId="36AE1348" w14:textId="77777777" w:rsidTr="005615BA">
        <w:tc>
          <w:tcPr>
            <w:tcW w:w="544" w:type="dxa"/>
            <w:vAlign w:val="center"/>
          </w:tcPr>
          <w:p w14:paraId="5DA9891F"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17</w:t>
            </w:r>
          </w:p>
        </w:tc>
        <w:tc>
          <w:tcPr>
            <w:tcW w:w="3253" w:type="dxa"/>
            <w:vAlign w:val="center"/>
          </w:tcPr>
          <w:p w14:paraId="4BFE3FD4"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Alfonso</w:t>
            </w:r>
            <w:r w:rsidRPr="00AE3A84">
              <w:rPr>
                <w:rFonts w:ascii="Cambria" w:hAnsi="Cambria"/>
                <w:spacing w:val="5"/>
                <w:sz w:val="20"/>
                <w:szCs w:val="20"/>
              </w:rPr>
              <w:t xml:space="preserve"> </w:t>
            </w:r>
            <w:r w:rsidRPr="00AE3A84">
              <w:rPr>
                <w:rFonts w:ascii="Cambria" w:hAnsi="Cambria"/>
                <w:spacing w:val="-1"/>
                <w:sz w:val="20"/>
                <w:szCs w:val="20"/>
              </w:rPr>
              <w:t>Harb</w:t>
            </w:r>
            <w:r w:rsidRPr="00AE3A84">
              <w:rPr>
                <w:rFonts w:ascii="Cambria" w:hAnsi="Cambria"/>
                <w:spacing w:val="7"/>
                <w:sz w:val="20"/>
                <w:szCs w:val="20"/>
              </w:rPr>
              <w:t xml:space="preserve"> </w:t>
            </w:r>
            <w:r w:rsidRPr="00AE3A84">
              <w:rPr>
                <w:rFonts w:ascii="Cambria" w:hAnsi="Cambria"/>
                <w:spacing w:val="-1"/>
                <w:sz w:val="20"/>
                <w:szCs w:val="20"/>
              </w:rPr>
              <w:t>Viteri</w:t>
            </w:r>
          </w:p>
        </w:tc>
        <w:tc>
          <w:tcPr>
            <w:tcW w:w="1328" w:type="dxa"/>
            <w:vAlign w:val="center"/>
          </w:tcPr>
          <w:p w14:paraId="73E3927C"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Ecuador</w:t>
            </w:r>
          </w:p>
        </w:tc>
        <w:tc>
          <w:tcPr>
            <w:tcW w:w="1260" w:type="dxa"/>
            <w:vAlign w:val="center"/>
          </w:tcPr>
          <w:p w14:paraId="7C77A384" w14:textId="77777777" w:rsidR="0057201B" w:rsidRPr="00AE3A84" w:rsidRDefault="0057201B">
            <w:pPr>
              <w:jc w:val="center"/>
              <w:rPr>
                <w:rFonts w:ascii="Cambria" w:hAnsi="Cambria"/>
                <w:spacing w:val="-2"/>
                <w:sz w:val="20"/>
                <w:szCs w:val="20"/>
              </w:rPr>
            </w:pPr>
            <w:r>
              <w:rPr>
                <w:rFonts w:ascii="Cambria" w:hAnsi="Cambria"/>
                <w:spacing w:val="-2"/>
                <w:sz w:val="20"/>
                <w:szCs w:val="20"/>
              </w:rPr>
              <w:t>89/22</w:t>
            </w:r>
          </w:p>
        </w:tc>
        <w:tc>
          <w:tcPr>
            <w:tcW w:w="1440" w:type="dxa"/>
            <w:vAlign w:val="center"/>
          </w:tcPr>
          <w:p w14:paraId="14C9048E"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4/24/2022</w:t>
            </w:r>
          </w:p>
        </w:tc>
        <w:tc>
          <w:tcPr>
            <w:tcW w:w="1890" w:type="dxa"/>
            <w:vAlign w:val="center"/>
          </w:tcPr>
          <w:p w14:paraId="7EC069F7"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1123-13</w:t>
            </w:r>
          </w:p>
        </w:tc>
      </w:tr>
      <w:tr w:rsidR="0057201B" w:rsidRPr="00AE3A84" w14:paraId="0CD2938C" w14:textId="77777777" w:rsidTr="005615BA">
        <w:tc>
          <w:tcPr>
            <w:tcW w:w="544" w:type="dxa"/>
            <w:vAlign w:val="center"/>
          </w:tcPr>
          <w:p w14:paraId="4F267005"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18</w:t>
            </w:r>
          </w:p>
        </w:tc>
        <w:tc>
          <w:tcPr>
            <w:tcW w:w="3253" w:type="dxa"/>
            <w:vAlign w:val="center"/>
          </w:tcPr>
          <w:p w14:paraId="10A458DE"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Javier</w:t>
            </w:r>
            <w:r w:rsidRPr="00AE3A84">
              <w:rPr>
                <w:rFonts w:ascii="Cambria" w:hAnsi="Cambria"/>
                <w:spacing w:val="5"/>
                <w:sz w:val="20"/>
                <w:szCs w:val="20"/>
              </w:rPr>
              <w:t xml:space="preserve"> </w:t>
            </w:r>
            <w:r w:rsidRPr="00AE3A84">
              <w:rPr>
                <w:rFonts w:ascii="Cambria" w:hAnsi="Cambria"/>
                <w:spacing w:val="-1"/>
                <w:sz w:val="20"/>
                <w:szCs w:val="20"/>
              </w:rPr>
              <w:t>Hurtado</w:t>
            </w:r>
            <w:r w:rsidRPr="00AE3A84">
              <w:rPr>
                <w:rFonts w:ascii="Cambria" w:hAnsi="Cambria"/>
                <w:spacing w:val="5"/>
                <w:sz w:val="20"/>
                <w:szCs w:val="20"/>
              </w:rPr>
              <w:t xml:space="preserve"> </w:t>
            </w:r>
            <w:r w:rsidRPr="00AE3A84">
              <w:rPr>
                <w:rFonts w:ascii="Cambria" w:hAnsi="Cambria"/>
                <w:spacing w:val="-1"/>
                <w:sz w:val="20"/>
                <w:szCs w:val="20"/>
              </w:rPr>
              <w:t>Arias</w:t>
            </w:r>
          </w:p>
        </w:tc>
        <w:tc>
          <w:tcPr>
            <w:tcW w:w="1328" w:type="dxa"/>
            <w:vAlign w:val="center"/>
          </w:tcPr>
          <w:p w14:paraId="0BF20974"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5F616195" w14:textId="77777777" w:rsidR="0057201B" w:rsidRPr="00AE3A84" w:rsidRDefault="0057201B">
            <w:pPr>
              <w:jc w:val="center"/>
              <w:rPr>
                <w:rFonts w:ascii="Cambria" w:hAnsi="Cambria"/>
                <w:spacing w:val="-2"/>
                <w:sz w:val="20"/>
                <w:szCs w:val="20"/>
              </w:rPr>
            </w:pPr>
            <w:r>
              <w:rPr>
                <w:rFonts w:ascii="Cambria" w:hAnsi="Cambria"/>
                <w:spacing w:val="-2"/>
                <w:sz w:val="20"/>
                <w:szCs w:val="20"/>
              </w:rPr>
              <w:t>184/22</w:t>
            </w:r>
          </w:p>
        </w:tc>
        <w:tc>
          <w:tcPr>
            <w:tcW w:w="1440" w:type="dxa"/>
            <w:vAlign w:val="center"/>
          </w:tcPr>
          <w:p w14:paraId="35E9850B"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4/30/2022</w:t>
            </w:r>
          </w:p>
        </w:tc>
        <w:tc>
          <w:tcPr>
            <w:tcW w:w="1890" w:type="dxa"/>
            <w:vAlign w:val="center"/>
          </w:tcPr>
          <w:p w14:paraId="5AA1D0C2"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536-12</w:t>
            </w:r>
          </w:p>
        </w:tc>
      </w:tr>
      <w:tr w:rsidR="0057201B" w:rsidRPr="00AE3A84" w14:paraId="620CC536" w14:textId="77777777" w:rsidTr="005615BA">
        <w:tc>
          <w:tcPr>
            <w:tcW w:w="544" w:type="dxa"/>
            <w:vAlign w:val="center"/>
          </w:tcPr>
          <w:p w14:paraId="05731903"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19</w:t>
            </w:r>
          </w:p>
        </w:tc>
        <w:tc>
          <w:tcPr>
            <w:tcW w:w="3253" w:type="dxa"/>
            <w:vAlign w:val="center"/>
          </w:tcPr>
          <w:p w14:paraId="2B932F94"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Manuel</w:t>
            </w:r>
            <w:r w:rsidRPr="00AE3A84">
              <w:rPr>
                <w:rFonts w:ascii="Cambria" w:hAnsi="Cambria"/>
                <w:spacing w:val="5"/>
                <w:sz w:val="20"/>
                <w:szCs w:val="20"/>
              </w:rPr>
              <w:t xml:space="preserve"> </w:t>
            </w:r>
            <w:r w:rsidRPr="00AE3A84">
              <w:rPr>
                <w:rFonts w:ascii="Cambria" w:hAnsi="Cambria"/>
                <w:spacing w:val="-1"/>
                <w:sz w:val="20"/>
                <w:szCs w:val="20"/>
              </w:rPr>
              <w:t>Enrique</w:t>
            </w:r>
            <w:r w:rsidRPr="00AE3A84">
              <w:rPr>
                <w:rFonts w:ascii="Cambria" w:hAnsi="Cambria"/>
                <w:spacing w:val="7"/>
                <w:sz w:val="20"/>
                <w:szCs w:val="20"/>
              </w:rPr>
              <w:t xml:space="preserve"> </w:t>
            </w:r>
            <w:r w:rsidRPr="00AE3A84">
              <w:rPr>
                <w:rFonts w:ascii="Cambria" w:hAnsi="Cambria"/>
                <w:spacing w:val="-1"/>
                <w:sz w:val="20"/>
                <w:szCs w:val="20"/>
              </w:rPr>
              <w:t>Leiva</w:t>
            </w:r>
            <w:r w:rsidRPr="00AE3A84">
              <w:rPr>
                <w:rFonts w:ascii="Cambria" w:hAnsi="Cambria"/>
                <w:spacing w:val="5"/>
                <w:sz w:val="20"/>
                <w:szCs w:val="20"/>
              </w:rPr>
              <w:t xml:space="preserve"> </w:t>
            </w:r>
            <w:r w:rsidRPr="00AE3A84">
              <w:rPr>
                <w:rFonts w:ascii="Cambria" w:hAnsi="Cambria"/>
                <w:sz w:val="20"/>
                <w:szCs w:val="20"/>
              </w:rPr>
              <w:t>Oliva</w:t>
            </w:r>
          </w:p>
        </w:tc>
        <w:tc>
          <w:tcPr>
            <w:tcW w:w="1328" w:type="dxa"/>
            <w:vAlign w:val="center"/>
          </w:tcPr>
          <w:p w14:paraId="4895100A"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Honduras</w:t>
            </w:r>
          </w:p>
        </w:tc>
        <w:tc>
          <w:tcPr>
            <w:tcW w:w="1260" w:type="dxa"/>
            <w:vAlign w:val="center"/>
          </w:tcPr>
          <w:p w14:paraId="19953038" w14:textId="77777777" w:rsidR="0057201B" w:rsidRPr="00AE3A84" w:rsidRDefault="0057201B">
            <w:pPr>
              <w:jc w:val="center"/>
              <w:rPr>
                <w:rFonts w:ascii="Cambria" w:hAnsi="Cambria"/>
                <w:spacing w:val="-2"/>
                <w:sz w:val="20"/>
                <w:szCs w:val="20"/>
              </w:rPr>
            </w:pPr>
            <w:r>
              <w:rPr>
                <w:rFonts w:ascii="Cambria" w:hAnsi="Cambria"/>
                <w:spacing w:val="-2"/>
                <w:sz w:val="20"/>
                <w:szCs w:val="20"/>
              </w:rPr>
              <w:t>107/22</w:t>
            </w:r>
          </w:p>
        </w:tc>
        <w:tc>
          <w:tcPr>
            <w:tcW w:w="1440" w:type="dxa"/>
            <w:vAlign w:val="center"/>
          </w:tcPr>
          <w:p w14:paraId="0B678CFE"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5/9/2022</w:t>
            </w:r>
          </w:p>
        </w:tc>
        <w:tc>
          <w:tcPr>
            <w:tcW w:w="1890" w:type="dxa"/>
            <w:vAlign w:val="center"/>
          </w:tcPr>
          <w:p w14:paraId="1E98AC0A"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375-14</w:t>
            </w:r>
          </w:p>
        </w:tc>
      </w:tr>
      <w:tr w:rsidR="0057201B" w:rsidRPr="00AE3A84" w14:paraId="5B6682F7" w14:textId="77777777" w:rsidTr="005615BA">
        <w:tc>
          <w:tcPr>
            <w:tcW w:w="544" w:type="dxa"/>
            <w:vAlign w:val="center"/>
          </w:tcPr>
          <w:p w14:paraId="1EF690B2"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20</w:t>
            </w:r>
          </w:p>
        </w:tc>
        <w:tc>
          <w:tcPr>
            <w:tcW w:w="3253" w:type="dxa"/>
            <w:vAlign w:val="center"/>
          </w:tcPr>
          <w:p w14:paraId="7419BB9A"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Giraldo</w:t>
            </w:r>
            <w:r w:rsidRPr="00AE3A84">
              <w:rPr>
                <w:rFonts w:ascii="Cambria" w:hAnsi="Cambria"/>
                <w:spacing w:val="7"/>
                <w:sz w:val="20"/>
                <w:szCs w:val="20"/>
              </w:rPr>
              <w:t xml:space="preserve"> </w:t>
            </w:r>
            <w:r w:rsidRPr="00AE3A84">
              <w:rPr>
                <w:rFonts w:ascii="Cambria" w:hAnsi="Cambria"/>
                <w:spacing w:val="-1"/>
                <w:sz w:val="20"/>
                <w:szCs w:val="20"/>
              </w:rPr>
              <w:t>Álvarez</w:t>
            </w:r>
            <w:r>
              <w:rPr>
                <w:rFonts w:ascii="Cambria" w:hAnsi="Cambria"/>
                <w:spacing w:val="-1"/>
                <w:sz w:val="20"/>
                <w:szCs w:val="20"/>
              </w:rPr>
              <w:t xml:space="preserve"> Family</w:t>
            </w:r>
          </w:p>
        </w:tc>
        <w:tc>
          <w:tcPr>
            <w:tcW w:w="1328" w:type="dxa"/>
            <w:vAlign w:val="center"/>
          </w:tcPr>
          <w:p w14:paraId="1A3EF2F7"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7BFBB67C" w14:textId="77777777" w:rsidR="0057201B" w:rsidRPr="00AE3A84" w:rsidRDefault="0057201B">
            <w:pPr>
              <w:jc w:val="center"/>
              <w:rPr>
                <w:rFonts w:ascii="Cambria" w:hAnsi="Cambria"/>
                <w:spacing w:val="-2"/>
                <w:sz w:val="20"/>
                <w:szCs w:val="20"/>
              </w:rPr>
            </w:pPr>
            <w:r>
              <w:rPr>
                <w:rFonts w:ascii="Cambria" w:hAnsi="Cambria"/>
                <w:spacing w:val="-2"/>
                <w:sz w:val="20"/>
                <w:szCs w:val="20"/>
              </w:rPr>
              <w:t>119/22</w:t>
            </w:r>
          </w:p>
        </w:tc>
        <w:tc>
          <w:tcPr>
            <w:tcW w:w="1440" w:type="dxa"/>
            <w:vAlign w:val="center"/>
          </w:tcPr>
          <w:p w14:paraId="02949B34"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5/17/2022</w:t>
            </w:r>
          </w:p>
        </w:tc>
        <w:tc>
          <w:tcPr>
            <w:tcW w:w="1890" w:type="dxa"/>
            <w:vAlign w:val="center"/>
          </w:tcPr>
          <w:p w14:paraId="1A12B997"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609-12</w:t>
            </w:r>
          </w:p>
        </w:tc>
      </w:tr>
      <w:tr w:rsidR="0057201B" w:rsidRPr="00AE3A84" w14:paraId="72E8B155" w14:textId="77777777" w:rsidTr="005615BA">
        <w:tc>
          <w:tcPr>
            <w:tcW w:w="544" w:type="dxa"/>
            <w:vAlign w:val="center"/>
          </w:tcPr>
          <w:p w14:paraId="06BB158D"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21</w:t>
            </w:r>
          </w:p>
        </w:tc>
        <w:tc>
          <w:tcPr>
            <w:tcW w:w="3253" w:type="dxa"/>
            <w:vAlign w:val="center"/>
          </w:tcPr>
          <w:p w14:paraId="52367134"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Iber</w:t>
            </w:r>
            <w:r w:rsidRPr="00AE3A84">
              <w:rPr>
                <w:rFonts w:ascii="Cambria" w:hAnsi="Cambria"/>
                <w:spacing w:val="6"/>
                <w:sz w:val="20"/>
                <w:szCs w:val="20"/>
              </w:rPr>
              <w:t xml:space="preserve"> </w:t>
            </w:r>
            <w:r w:rsidRPr="00AE3A84">
              <w:rPr>
                <w:rFonts w:ascii="Cambria" w:hAnsi="Cambria"/>
                <w:spacing w:val="-1"/>
                <w:sz w:val="20"/>
                <w:szCs w:val="20"/>
              </w:rPr>
              <w:t>Quintero</w:t>
            </w:r>
            <w:r w:rsidRPr="00AE3A84">
              <w:rPr>
                <w:rFonts w:ascii="Cambria" w:hAnsi="Cambria"/>
                <w:spacing w:val="7"/>
                <w:sz w:val="20"/>
                <w:szCs w:val="20"/>
              </w:rPr>
              <w:t xml:space="preserve"> </w:t>
            </w:r>
            <w:r w:rsidRPr="00AE3A84">
              <w:rPr>
                <w:rFonts w:ascii="Cambria" w:hAnsi="Cambria"/>
                <w:spacing w:val="-1"/>
                <w:sz w:val="20"/>
                <w:szCs w:val="20"/>
              </w:rPr>
              <w:t>Álvarez</w:t>
            </w:r>
          </w:p>
        </w:tc>
        <w:tc>
          <w:tcPr>
            <w:tcW w:w="1328" w:type="dxa"/>
            <w:vAlign w:val="center"/>
          </w:tcPr>
          <w:p w14:paraId="0DA1AD76"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0E884BFB" w14:textId="77777777" w:rsidR="0057201B" w:rsidRPr="00AE3A84" w:rsidRDefault="0057201B">
            <w:pPr>
              <w:jc w:val="center"/>
              <w:rPr>
                <w:rFonts w:ascii="Cambria" w:hAnsi="Cambria"/>
                <w:spacing w:val="-2"/>
                <w:sz w:val="20"/>
                <w:szCs w:val="20"/>
              </w:rPr>
            </w:pPr>
            <w:r w:rsidRPr="005A1A85">
              <w:rPr>
                <w:rFonts w:ascii="Cambria" w:hAnsi="Cambria"/>
                <w:spacing w:val="-2"/>
                <w:sz w:val="20"/>
                <w:szCs w:val="20"/>
              </w:rPr>
              <w:t>120/22</w:t>
            </w:r>
          </w:p>
        </w:tc>
        <w:tc>
          <w:tcPr>
            <w:tcW w:w="1440" w:type="dxa"/>
            <w:vAlign w:val="center"/>
          </w:tcPr>
          <w:p w14:paraId="1DD793EF"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5/17/2022</w:t>
            </w:r>
          </w:p>
        </w:tc>
        <w:tc>
          <w:tcPr>
            <w:tcW w:w="1890" w:type="dxa"/>
            <w:vAlign w:val="center"/>
          </w:tcPr>
          <w:p w14:paraId="7252F0B1"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779-12</w:t>
            </w:r>
          </w:p>
        </w:tc>
      </w:tr>
      <w:tr w:rsidR="0057201B" w:rsidRPr="00AE3A84" w14:paraId="042F1C97" w14:textId="77777777" w:rsidTr="005615BA">
        <w:tc>
          <w:tcPr>
            <w:tcW w:w="544" w:type="dxa"/>
            <w:vAlign w:val="center"/>
          </w:tcPr>
          <w:p w14:paraId="63E7ED9B"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22</w:t>
            </w:r>
          </w:p>
        </w:tc>
        <w:tc>
          <w:tcPr>
            <w:tcW w:w="3253" w:type="dxa"/>
            <w:vAlign w:val="center"/>
          </w:tcPr>
          <w:p w14:paraId="53934A85"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Néstor</w:t>
            </w:r>
            <w:r w:rsidRPr="00AE3A84">
              <w:rPr>
                <w:rFonts w:ascii="Cambria" w:hAnsi="Cambria"/>
                <w:spacing w:val="8"/>
                <w:sz w:val="20"/>
                <w:szCs w:val="20"/>
              </w:rPr>
              <w:t xml:space="preserve"> </w:t>
            </w:r>
            <w:r w:rsidRPr="00AE3A84">
              <w:rPr>
                <w:rFonts w:ascii="Cambria" w:hAnsi="Cambria"/>
                <w:spacing w:val="-2"/>
                <w:sz w:val="20"/>
                <w:szCs w:val="20"/>
              </w:rPr>
              <w:t>Marroquín</w:t>
            </w:r>
            <w:r w:rsidRPr="00AE3A84">
              <w:rPr>
                <w:rFonts w:ascii="Cambria" w:hAnsi="Cambria"/>
                <w:spacing w:val="9"/>
                <w:sz w:val="20"/>
                <w:szCs w:val="20"/>
              </w:rPr>
              <w:t xml:space="preserve"> </w:t>
            </w:r>
            <w:r w:rsidRPr="00AE3A84">
              <w:rPr>
                <w:rFonts w:ascii="Cambria" w:hAnsi="Cambria"/>
                <w:spacing w:val="-1"/>
                <w:sz w:val="20"/>
                <w:szCs w:val="20"/>
              </w:rPr>
              <w:t>Carrera</w:t>
            </w:r>
          </w:p>
        </w:tc>
        <w:tc>
          <w:tcPr>
            <w:tcW w:w="1328" w:type="dxa"/>
            <w:vAlign w:val="center"/>
          </w:tcPr>
          <w:p w14:paraId="549EA9C8"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Ecuador</w:t>
            </w:r>
          </w:p>
        </w:tc>
        <w:tc>
          <w:tcPr>
            <w:tcW w:w="1260" w:type="dxa"/>
            <w:vAlign w:val="center"/>
          </w:tcPr>
          <w:p w14:paraId="65E432D9" w14:textId="77777777" w:rsidR="0057201B" w:rsidRPr="00AE3A84" w:rsidRDefault="0057201B">
            <w:pPr>
              <w:jc w:val="center"/>
              <w:rPr>
                <w:rFonts w:ascii="Cambria" w:hAnsi="Cambria"/>
                <w:spacing w:val="-2"/>
                <w:sz w:val="20"/>
                <w:szCs w:val="20"/>
              </w:rPr>
            </w:pPr>
            <w:r w:rsidRPr="005A1A85">
              <w:rPr>
                <w:rFonts w:ascii="Cambria" w:hAnsi="Cambria"/>
                <w:spacing w:val="-2"/>
                <w:sz w:val="20"/>
                <w:szCs w:val="20"/>
              </w:rPr>
              <w:t>126/22</w:t>
            </w:r>
          </w:p>
        </w:tc>
        <w:tc>
          <w:tcPr>
            <w:tcW w:w="1440" w:type="dxa"/>
            <w:vAlign w:val="center"/>
          </w:tcPr>
          <w:p w14:paraId="7E7F9CD3"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6/6/2022</w:t>
            </w:r>
          </w:p>
        </w:tc>
        <w:tc>
          <w:tcPr>
            <w:tcW w:w="1890" w:type="dxa"/>
            <w:vAlign w:val="center"/>
          </w:tcPr>
          <w:p w14:paraId="00B03D5F"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1008-13</w:t>
            </w:r>
          </w:p>
        </w:tc>
      </w:tr>
      <w:tr w:rsidR="0057201B" w:rsidRPr="00AE3A84" w14:paraId="0BA37FFE" w14:textId="77777777" w:rsidTr="005615BA">
        <w:tc>
          <w:tcPr>
            <w:tcW w:w="544" w:type="dxa"/>
            <w:vAlign w:val="center"/>
          </w:tcPr>
          <w:p w14:paraId="1E686D61"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23</w:t>
            </w:r>
          </w:p>
        </w:tc>
        <w:tc>
          <w:tcPr>
            <w:tcW w:w="3253" w:type="dxa"/>
            <w:vAlign w:val="center"/>
          </w:tcPr>
          <w:p w14:paraId="2738DAC5"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José</w:t>
            </w:r>
            <w:r w:rsidRPr="00AE3A84">
              <w:rPr>
                <w:rFonts w:ascii="Cambria" w:hAnsi="Cambria"/>
                <w:spacing w:val="9"/>
                <w:sz w:val="20"/>
                <w:szCs w:val="20"/>
              </w:rPr>
              <w:t xml:space="preserve"> </w:t>
            </w:r>
            <w:r w:rsidRPr="00AE3A84">
              <w:rPr>
                <w:rFonts w:ascii="Cambria" w:hAnsi="Cambria"/>
                <w:spacing w:val="-1"/>
                <w:sz w:val="20"/>
                <w:szCs w:val="20"/>
              </w:rPr>
              <w:t>Carlos</w:t>
            </w:r>
            <w:r w:rsidRPr="00AE3A84">
              <w:rPr>
                <w:rFonts w:ascii="Cambria" w:hAnsi="Cambria"/>
                <w:spacing w:val="7"/>
                <w:sz w:val="20"/>
                <w:szCs w:val="20"/>
              </w:rPr>
              <w:t xml:space="preserve"> </w:t>
            </w:r>
            <w:r w:rsidRPr="00AE3A84">
              <w:rPr>
                <w:rFonts w:ascii="Cambria" w:hAnsi="Cambria"/>
                <w:spacing w:val="-1"/>
                <w:sz w:val="20"/>
                <w:szCs w:val="20"/>
              </w:rPr>
              <w:t>Antonio</w:t>
            </w:r>
            <w:r w:rsidRPr="00AE3A84">
              <w:rPr>
                <w:rFonts w:ascii="Cambria" w:hAnsi="Cambria"/>
                <w:spacing w:val="7"/>
                <w:sz w:val="20"/>
                <w:szCs w:val="20"/>
              </w:rPr>
              <w:t xml:space="preserve"> </w:t>
            </w:r>
            <w:r w:rsidRPr="00AE3A84">
              <w:rPr>
                <w:rFonts w:ascii="Cambria" w:hAnsi="Cambria"/>
                <w:spacing w:val="-1"/>
                <w:sz w:val="20"/>
                <w:szCs w:val="20"/>
              </w:rPr>
              <w:t>Scortechini</w:t>
            </w:r>
          </w:p>
        </w:tc>
        <w:tc>
          <w:tcPr>
            <w:tcW w:w="1328" w:type="dxa"/>
            <w:vAlign w:val="center"/>
          </w:tcPr>
          <w:p w14:paraId="4B2D786B"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Argentina</w:t>
            </w:r>
          </w:p>
        </w:tc>
        <w:tc>
          <w:tcPr>
            <w:tcW w:w="1260" w:type="dxa"/>
            <w:vAlign w:val="center"/>
          </w:tcPr>
          <w:p w14:paraId="2A716F96" w14:textId="77777777" w:rsidR="0057201B" w:rsidRPr="00AE3A84" w:rsidRDefault="0057201B">
            <w:pPr>
              <w:jc w:val="center"/>
              <w:rPr>
                <w:rFonts w:ascii="Cambria" w:hAnsi="Cambria"/>
                <w:spacing w:val="-2"/>
                <w:sz w:val="20"/>
                <w:szCs w:val="20"/>
              </w:rPr>
            </w:pPr>
            <w:r w:rsidRPr="005A1A85">
              <w:rPr>
                <w:rFonts w:ascii="Cambria" w:hAnsi="Cambria"/>
                <w:spacing w:val="-2"/>
                <w:sz w:val="20"/>
                <w:szCs w:val="20"/>
              </w:rPr>
              <w:t>131/22</w:t>
            </w:r>
          </w:p>
        </w:tc>
        <w:tc>
          <w:tcPr>
            <w:tcW w:w="1440" w:type="dxa"/>
            <w:vAlign w:val="center"/>
          </w:tcPr>
          <w:p w14:paraId="5CD28D08"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6/6/2022</w:t>
            </w:r>
          </w:p>
        </w:tc>
        <w:tc>
          <w:tcPr>
            <w:tcW w:w="1890" w:type="dxa"/>
            <w:vAlign w:val="center"/>
          </w:tcPr>
          <w:p w14:paraId="147946F2"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1176-12</w:t>
            </w:r>
          </w:p>
        </w:tc>
      </w:tr>
      <w:tr w:rsidR="0057201B" w:rsidRPr="00AE3A84" w14:paraId="075E2650" w14:textId="77777777" w:rsidTr="005615BA">
        <w:tc>
          <w:tcPr>
            <w:tcW w:w="544" w:type="dxa"/>
            <w:vAlign w:val="center"/>
          </w:tcPr>
          <w:p w14:paraId="1A71F118"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24</w:t>
            </w:r>
          </w:p>
        </w:tc>
        <w:tc>
          <w:tcPr>
            <w:tcW w:w="3253" w:type="dxa"/>
            <w:vAlign w:val="center"/>
          </w:tcPr>
          <w:p w14:paraId="203AD394"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Mario</w:t>
            </w:r>
            <w:r w:rsidRPr="00AE3A84">
              <w:rPr>
                <w:rFonts w:ascii="Cambria" w:hAnsi="Cambria"/>
                <w:spacing w:val="5"/>
                <w:sz w:val="20"/>
                <w:szCs w:val="20"/>
              </w:rPr>
              <w:t xml:space="preserve"> </w:t>
            </w:r>
            <w:r w:rsidRPr="00AE3A84">
              <w:rPr>
                <w:rFonts w:ascii="Cambria" w:hAnsi="Cambria"/>
                <w:spacing w:val="-1"/>
                <w:sz w:val="20"/>
                <w:szCs w:val="20"/>
              </w:rPr>
              <w:t>Danillo</w:t>
            </w:r>
            <w:r w:rsidRPr="00AE3A84">
              <w:rPr>
                <w:rFonts w:ascii="Cambria" w:hAnsi="Cambria"/>
                <w:spacing w:val="6"/>
                <w:sz w:val="20"/>
                <w:szCs w:val="20"/>
              </w:rPr>
              <w:t xml:space="preserve"> </w:t>
            </w:r>
            <w:r w:rsidRPr="00AE3A84">
              <w:rPr>
                <w:rFonts w:ascii="Cambria" w:hAnsi="Cambria"/>
                <w:spacing w:val="-1"/>
                <w:sz w:val="20"/>
                <w:szCs w:val="20"/>
              </w:rPr>
              <w:t>Campos</w:t>
            </w:r>
            <w:r w:rsidRPr="00AE3A84">
              <w:rPr>
                <w:rFonts w:ascii="Cambria" w:hAnsi="Cambria"/>
                <w:spacing w:val="6"/>
                <w:sz w:val="20"/>
                <w:szCs w:val="20"/>
              </w:rPr>
              <w:t xml:space="preserve"> </w:t>
            </w:r>
            <w:r w:rsidRPr="00AE3A84">
              <w:rPr>
                <w:rFonts w:ascii="Cambria" w:hAnsi="Cambria"/>
                <w:spacing w:val="-1"/>
                <w:sz w:val="20"/>
                <w:szCs w:val="20"/>
              </w:rPr>
              <w:t>Bonilla</w:t>
            </w:r>
          </w:p>
        </w:tc>
        <w:tc>
          <w:tcPr>
            <w:tcW w:w="1328" w:type="dxa"/>
            <w:vAlign w:val="center"/>
          </w:tcPr>
          <w:p w14:paraId="0BD38E8A"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Ecuador</w:t>
            </w:r>
          </w:p>
        </w:tc>
        <w:tc>
          <w:tcPr>
            <w:tcW w:w="1260" w:type="dxa"/>
            <w:vAlign w:val="center"/>
          </w:tcPr>
          <w:p w14:paraId="4E0FF955" w14:textId="77777777" w:rsidR="0057201B" w:rsidRPr="00AE3A84" w:rsidRDefault="0057201B">
            <w:pPr>
              <w:jc w:val="center"/>
              <w:rPr>
                <w:rFonts w:ascii="Cambria" w:hAnsi="Cambria"/>
                <w:spacing w:val="-2"/>
                <w:sz w:val="20"/>
                <w:szCs w:val="20"/>
              </w:rPr>
            </w:pPr>
            <w:r w:rsidRPr="005A1A85">
              <w:rPr>
                <w:rFonts w:ascii="Cambria" w:hAnsi="Cambria"/>
                <w:spacing w:val="-2"/>
                <w:sz w:val="20"/>
                <w:szCs w:val="20"/>
              </w:rPr>
              <w:t>133/22</w:t>
            </w:r>
          </w:p>
        </w:tc>
        <w:tc>
          <w:tcPr>
            <w:tcW w:w="1440" w:type="dxa"/>
            <w:vAlign w:val="center"/>
          </w:tcPr>
          <w:p w14:paraId="55DD0A5E"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6/6/2022</w:t>
            </w:r>
          </w:p>
        </w:tc>
        <w:tc>
          <w:tcPr>
            <w:tcW w:w="1890" w:type="dxa"/>
            <w:vAlign w:val="center"/>
          </w:tcPr>
          <w:p w14:paraId="1BE3A5D9"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104-14</w:t>
            </w:r>
          </w:p>
        </w:tc>
      </w:tr>
      <w:tr w:rsidR="0057201B" w:rsidRPr="00AE3A84" w14:paraId="1775ECF7" w14:textId="77777777" w:rsidTr="005615BA">
        <w:tc>
          <w:tcPr>
            <w:tcW w:w="544" w:type="dxa"/>
            <w:vAlign w:val="center"/>
          </w:tcPr>
          <w:p w14:paraId="41F0928B"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25</w:t>
            </w:r>
          </w:p>
        </w:tc>
        <w:tc>
          <w:tcPr>
            <w:tcW w:w="3253" w:type="dxa"/>
            <w:vAlign w:val="center"/>
          </w:tcPr>
          <w:p w14:paraId="4532C346"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Aurora</w:t>
            </w:r>
            <w:r w:rsidRPr="00AE3A84">
              <w:rPr>
                <w:rFonts w:ascii="Cambria" w:hAnsi="Cambria"/>
                <w:spacing w:val="7"/>
                <w:sz w:val="20"/>
                <w:szCs w:val="20"/>
              </w:rPr>
              <w:t xml:space="preserve"> </w:t>
            </w:r>
            <w:r w:rsidRPr="00AE3A84">
              <w:rPr>
                <w:rFonts w:ascii="Cambria" w:hAnsi="Cambria"/>
                <w:spacing w:val="-1"/>
                <w:sz w:val="20"/>
                <w:szCs w:val="20"/>
              </w:rPr>
              <w:t>García</w:t>
            </w:r>
            <w:r w:rsidRPr="00AE3A84">
              <w:rPr>
                <w:rFonts w:ascii="Cambria" w:hAnsi="Cambria"/>
                <w:spacing w:val="8"/>
                <w:sz w:val="20"/>
                <w:szCs w:val="20"/>
              </w:rPr>
              <w:t xml:space="preserve"> </w:t>
            </w:r>
            <w:r w:rsidRPr="00AE3A84">
              <w:rPr>
                <w:rFonts w:ascii="Cambria" w:hAnsi="Cambria"/>
                <w:spacing w:val="-1"/>
                <w:sz w:val="20"/>
                <w:szCs w:val="20"/>
              </w:rPr>
              <w:t>López</w:t>
            </w:r>
          </w:p>
        </w:tc>
        <w:tc>
          <w:tcPr>
            <w:tcW w:w="1328" w:type="dxa"/>
            <w:vAlign w:val="center"/>
          </w:tcPr>
          <w:p w14:paraId="477A3A08"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M</w:t>
            </w:r>
            <w:r>
              <w:rPr>
                <w:rFonts w:ascii="Cambria" w:hAnsi="Cambria"/>
                <w:spacing w:val="-1"/>
                <w:sz w:val="20"/>
                <w:szCs w:val="20"/>
              </w:rPr>
              <w:t>e</w:t>
            </w:r>
            <w:r w:rsidRPr="00AE3A84">
              <w:rPr>
                <w:rFonts w:ascii="Cambria" w:hAnsi="Cambria"/>
                <w:spacing w:val="-1"/>
                <w:sz w:val="20"/>
                <w:szCs w:val="20"/>
              </w:rPr>
              <w:t>xico</w:t>
            </w:r>
          </w:p>
        </w:tc>
        <w:tc>
          <w:tcPr>
            <w:tcW w:w="1260" w:type="dxa"/>
            <w:vAlign w:val="center"/>
          </w:tcPr>
          <w:p w14:paraId="37112A6F" w14:textId="77777777" w:rsidR="0057201B" w:rsidRPr="00AE3A84" w:rsidRDefault="0057201B">
            <w:pPr>
              <w:jc w:val="center"/>
              <w:rPr>
                <w:rFonts w:ascii="Cambria" w:hAnsi="Cambria"/>
                <w:spacing w:val="-2"/>
                <w:sz w:val="20"/>
                <w:szCs w:val="20"/>
              </w:rPr>
            </w:pPr>
            <w:r>
              <w:rPr>
                <w:rFonts w:ascii="Cambria" w:hAnsi="Cambria"/>
                <w:spacing w:val="-2"/>
                <w:sz w:val="20"/>
                <w:szCs w:val="20"/>
              </w:rPr>
              <w:t>111/22</w:t>
            </w:r>
          </w:p>
        </w:tc>
        <w:tc>
          <w:tcPr>
            <w:tcW w:w="1440" w:type="dxa"/>
            <w:vAlign w:val="center"/>
          </w:tcPr>
          <w:p w14:paraId="2895C2E3"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6/10/2022</w:t>
            </w:r>
          </w:p>
        </w:tc>
        <w:tc>
          <w:tcPr>
            <w:tcW w:w="1890" w:type="dxa"/>
            <w:vAlign w:val="center"/>
          </w:tcPr>
          <w:p w14:paraId="14623AC9"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1590-12</w:t>
            </w:r>
          </w:p>
        </w:tc>
      </w:tr>
      <w:tr w:rsidR="0057201B" w:rsidRPr="00AE3A84" w14:paraId="63D6C156" w14:textId="77777777" w:rsidTr="005615BA">
        <w:tc>
          <w:tcPr>
            <w:tcW w:w="544" w:type="dxa"/>
            <w:vAlign w:val="center"/>
          </w:tcPr>
          <w:p w14:paraId="22107F32"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26</w:t>
            </w:r>
          </w:p>
        </w:tc>
        <w:tc>
          <w:tcPr>
            <w:tcW w:w="3253" w:type="dxa"/>
            <w:vAlign w:val="center"/>
          </w:tcPr>
          <w:p w14:paraId="6DEC753B" w14:textId="77777777" w:rsidR="0057201B" w:rsidRPr="008B09BF" w:rsidRDefault="0057201B">
            <w:pPr>
              <w:rPr>
                <w:rFonts w:ascii="Cambria" w:hAnsi="Cambria"/>
                <w:sz w:val="20"/>
                <w:szCs w:val="20"/>
              </w:rPr>
            </w:pPr>
            <w:r w:rsidRPr="008B09BF">
              <w:rPr>
                <w:rFonts w:ascii="Cambria" w:hAnsi="Cambria"/>
                <w:spacing w:val="-1"/>
                <w:sz w:val="20"/>
                <w:szCs w:val="20"/>
              </w:rPr>
              <w:t>Father</w:t>
            </w:r>
            <w:r w:rsidRPr="008B09BF">
              <w:rPr>
                <w:rFonts w:ascii="Cambria" w:hAnsi="Cambria"/>
                <w:spacing w:val="4"/>
                <w:sz w:val="20"/>
                <w:szCs w:val="20"/>
              </w:rPr>
              <w:t xml:space="preserve"> </w:t>
            </w:r>
            <w:r w:rsidRPr="008B09BF">
              <w:rPr>
                <w:rFonts w:ascii="Cambria" w:hAnsi="Cambria"/>
                <w:spacing w:val="-1"/>
                <w:sz w:val="20"/>
                <w:szCs w:val="20"/>
              </w:rPr>
              <w:t>XY</w:t>
            </w:r>
            <w:r w:rsidRPr="008B09BF">
              <w:rPr>
                <w:rFonts w:ascii="Cambria" w:hAnsi="Cambria"/>
                <w:spacing w:val="4"/>
                <w:sz w:val="20"/>
                <w:szCs w:val="20"/>
              </w:rPr>
              <w:t xml:space="preserve"> </w:t>
            </w:r>
            <w:r w:rsidRPr="008B09BF">
              <w:rPr>
                <w:rFonts w:ascii="Cambria" w:hAnsi="Cambria"/>
                <w:sz w:val="20"/>
                <w:szCs w:val="20"/>
              </w:rPr>
              <w:t xml:space="preserve">and </w:t>
            </w:r>
            <w:r>
              <w:rPr>
                <w:rFonts w:ascii="Cambria" w:hAnsi="Cambria"/>
                <w:sz w:val="20"/>
                <w:szCs w:val="20"/>
              </w:rPr>
              <w:t>Boy</w:t>
            </w:r>
            <w:r w:rsidRPr="008B09BF">
              <w:rPr>
                <w:rFonts w:ascii="Cambria" w:hAnsi="Cambria"/>
                <w:spacing w:val="2"/>
                <w:sz w:val="20"/>
                <w:szCs w:val="20"/>
              </w:rPr>
              <w:t xml:space="preserve"> </w:t>
            </w:r>
            <w:r w:rsidRPr="008B09BF">
              <w:rPr>
                <w:rFonts w:ascii="Cambria" w:hAnsi="Cambria"/>
                <w:sz w:val="20"/>
                <w:szCs w:val="20"/>
              </w:rPr>
              <w:t>ZZ</w:t>
            </w:r>
          </w:p>
        </w:tc>
        <w:tc>
          <w:tcPr>
            <w:tcW w:w="1328" w:type="dxa"/>
            <w:vAlign w:val="center"/>
          </w:tcPr>
          <w:p w14:paraId="235A50FF"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Argentina</w:t>
            </w:r>
          </w:p>
        </w:tc>
        <w:tc>
          <w:tcPr>
            <w:tcW w:w="1260" w:type="dxa"/>
            <w:vAlign w:val="center"/>
          </w:tcPr>
          <w:p w14:paraId="5AE20427" w14:textId="77777777" w:rsidR="0057201B" w:rsidRPr="00AE3A84" w:rsidRDefault="0057201B">
            <w:pPr>
              <w:jc w:val="center"/>
              <w:rPr>
                <w:rFonts w:ascii="Cambria" w:hAnsi="Cambria"/>
                <w:spacing w:val="-2"/>
                <w:sz w:val="20"/>
                <w:szCs w:val="20"/>
              </w:rPr>
            </w:pPr>
            <w:r>
              <w:rPr>
                <w:rFonts w:ascii="Cambria" w:hAnsi="Cambria"/>
                <w:spacing w:val="-2"/>
                <w:sz w:val="20"/>
                <w:szCs w:val="20"/>
              </w:rPr>
              <w:t>135/22</w:t>
            </w:r>
          </w:p>
        </w:tc>
        <w:tc>
          <w:tcPr>
            <w:tcW w:w="1440" w:type="dxa"/>
            <w:vAlign w:val="center"/>
          </w:tcPr>
          <w:p w14:paraId="2BC62AE1"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6/22/2022</w:t>
            </w:r>
          </w:p>
        </w:tc>
        <w:tc>
          <w:tcPr>
            <w:tcW w:w="1890" w:type="dxa"/>
            <w:vAlign w:val="center"/>
          </w:tcPr>
          <w:p w14:paraId="6C67C3FD"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1810-17</w:t>
            </w:r>
          </w:p>
        </w:tc>
      </w:tr>
      <w:tr w:rsidR="0057201B" w:rsidRPr="00AE3A84" w14:paraId="5AFE7EDD" w14:textId="77777777" w:rsidTr="005615BA">
        <w:tc>
          <w:tcPr>
            <w:tcW w:w="544" w:type="dxa"/>
            <w:vAlign w:val="center"/>
          </w:tcPr>
          <w:p w14:paraId="40C3E6F8"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27</w:t>
            </w:r>
          </w:p>
        </w:tc>
        <w:tc>
          <w:tcPr>
            <w:tcW w:w="3253" w:type="dxa"/>
            <w:vAlign w:val="center"/>
          </w:tcPr>
          <w:p w14:paraId="3680930F"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Desiderio</w:t>
            </w:r>
            <w:r w:rsidRPr="00AE3A84">
              <w:rPr>
                <w:rFonts w:ascii="Cambria" w:hAnsi="Cambria"/>
                <w:spacing w:val="9"/>
                <w:sz w:val="20"/>
                <w:szCs w:val="20"/>
              </w:rPr>
              <w:t xml:space="preserve"> </w:t>
            </w:r>
            <w:r w:rsidRPr="00AE3A84">
              <w:rPr>
                <w:rFonts w:ascii="Cambria" w:hAnsi="Cambria"/>
                <w:spacing w:val="-1"/>
                <w:sz w:val="20"/>
                <w:szCs w:val="20"/>
              </w:rPr>
              <w:t>Bonilla</w:t>
            </w:r>
            <w:r w:rsidRPr="00AE3A84">
              <w:rPr>
                <w:rFonts w:ascii="Cambria" w:hAnsi="Cambria"/>
                <w:spacing w:val="10"/>
                <w:sz w:val="20"/>
                <w:szCs w:val="20"/>
              </w:rPr>
              <w:t xml:space="preserve"> </w:t>
            </w:r>
            <w:r w:rsidRPr="00AE3A84">
              <w:rPr>
                <w:rFonts w:ascii="Cambria" w:hAnsi="Cambria"/>
                <w:spacing w:val="-1"/>
                <w:sz w:val="20"/>
                <w:szCs w:val="20"/>
              </w:rPr>
              <w:t>Lamprea</w:t>
            </w:r>
          </w:p>
        </w:tc>
        <w:tc>
          <w:tcPr>
            <w:tcW w:w="1328" w:type="dxa"/>
            <w:vAlign w:val="center"/>
          </w:tcPr>
          <w:p w14:paraId="7D966D8E"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0EF5C8E4" w14:textId="77777777" w:rsidR="0057201B" w:rsidRPr="00AE3A84" w:rsidRDefault="0057201B">
            <w:pPr>
              <w:jc w:val="center"/>
              <w:rPr>
                <w:rFonts w:ascii="Cambria" w:hAnsi="Cambria"/>
                <w:spacing w:val="-2"/>
                <w:sz w:val="20"/>
                <w:szCs w:val="20"/>
              </w:rPr>
            </w:pPr>
            <w:r>
              <w:rPr>
                <w:rFonts w:ascii="Cambria" w:hAnsi="Cambria"/>
                <w:spacing w:val="-2"/>
                <w:sz w:val="20"/>
                <w:szCs w:val="20"/>
              </w:rPr>
              <w:t>146/22</w:t>
            </w:r>
          </w:p>
        </w:tc>
        <w:tc>
          <w:tcPr>
            <w:tcW w:w="1440" w:type="dxa"/>
            <w:vAlign w:val="center"/>
          </w:tcPr>
          <w:p w14:paraId="06288050"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6/24/2022</w:t>
            </w:r>
          </w:p>
        </w:tc>
        <w:tc>
          <w:tcPr>
            <w:tcW w:w="1890" w:type="dxa"/>
            <w:vAlign w:val="center"/>
          </w:tcPr>
          <w:p w14:paraId="5ACF3A5A"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69-12</w:t>
            </w:r>
          </w:p>
        </w:tc>
      </w:tr>
      <w:tr w:rsidR="0057201B" w:rsidRPr="00AE3A84" w14:paraId="6F712A18" w14:textId="77777777" w:rsidTr="005615BA">
        <w:tc>
          <w:tcPr>
            <w:tcW w:w="544" w:type="dxa"/>
            <w:vAlign w:val="center"/>
          </w:tcPr>
          <w:p w14:paraId="7055BAE6"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28</w:t>
            </w:r>
          </w:p>
        </w:tc>
        <w:tc>
          <w:tcPr>
            <w:tcW w:w="3253" w:type="dxa"/>
            <w:vAlign w:val="center"/>
          </w:tcPr>
          <w:p w14:paraId="23F008DC"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Jorge</w:t>
            </w:r>
            <w:r w:rsidRPr="00AE3A84">
              <w:rPr>
                <w:rFonts w:ascii="Cambria" w:hAnsi="Cambria"/>
                <w:spacing w:val="7"/>
                <w:sz w:val="20"/>
                <w:szCs w:val="20"/>
              </w:rPr>
              <w:t xml:space="preserve"> </w:t>
            </w:r>
            <w:r w:rsidRPr="00AE3A84">
              <w:rPr>
                <w:rFonts w:ascii="Cambria" w:hAnsi="Cambria"/>
                <w:spacing w:val="-1"/>
                <w:sz w:val="20"/>
                <w:szCs w:val="20"/>
              </w:rPr>
              <w:t>Isaac</w:t>
            </w:r>
            <w:r w:rsidRPr="00AE3A84">
              <w:rPr>
                <w:rFonts w:ascii="Cambria" w:hAnsi="Cambria"/>
                <w:spacing w:val="7"/>
                <w:sz w:val="20"/>
                <w:szCs w:val="20"/>
              </w:rPr>
              <w:t xml:space="preserve"> </w:t>
            </w:r>
            <w:r w:rsidRPr="00AE3A84">
              <w:rPr>
                <w:rFonts w:ascii="Cambria" w:hAnsi="Cambria"/>
                <w:spacing w:val="-1"/>
                <w:sz w:val="20"/>
                <w:szCs w:val="20"/>
              </w:rPr>
              <w:t>Rodelo</w:t>
            </w:r>
            <w:r w:rsidRPr="00AE3A84">
              <w:rPr>
                <w:rFonts w:ascii="Cambria" w:hAnsi="Cambria"/>
                <w:spacing w:val="5"/>
                <w:sz w:val="20"/>
                <w:szCs w:val="20"/>
              </w:rPr>
              <w:t xml:space="preserve"> </w:t>
            </w:r>
            <w:r w:rsidRPr="00AE3A84">
              <w:rPr>
                <w:rFonts w:ascii="Cambria" w:hAnsi="Cambria"/>
                <w:spacing w:val="-1"/>
                <w:sz w:val="20"/>
                <w:szCs w:val="20"/>
              </w:rPr>
              <w:t>Menco</w:t>
            </w:r>
          </w:p>
        </w:tc>
        <w:tc>
          <w:tcPr>
            <w:tcW w:w="1328" w:type="dxa"/>
            <w:vAlign w:val="center"/>
          </w:tcPr>
          <w:p w14:paraId="4A90AAC6"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2AF45961" w14:textId="77777777" w:rsidR="0057201B" w:rsidRPr="00AE3A84" w:rsidRDefault="0057201B">
            <w:pPr>
              <w:jc w:val="center"/>
              <w:rPr>
                <w:rFonts w:ascii="Cambria" w:hAnsi="Cambria"/>
                <w:spacing w:val="-2"/>
                <w:sz w:val="20"/>
                <w:szCs w:val="20"/>
              </w:rPr>
            </w:pPr>
            <w:r>
              <w:rPr>
                <w:rFonts w:ascii="Cambria" w:hAnsi="Cambria"/>
                <w:spacing w:val="-2"/>
                <w:sz w:val="20"/>
                <w:szCs w:val="20"/>
              </w:rPr>
              <w:t>136/22</w:t>
            </w:r>
          </w:p>
        </w:tc>
        <w:tc>
          <w:tcPr>
            <w:tcW w:w="1440" w:type="dxa"/>
            <w:vAlign w:val="center"/>
          </w:tcPr>
          <w:p w14:paraId="7B15A3D8"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6/27/2022</w:t>
            </w:r>
          </w:p>
        </w:tc>
        <w:tc>
          <w:tcPr>
            <w:tcW w:w="1890" w:type="dxa"/>
            <w:vAlign w:val="center"/>
          </w:tcPr>
          <w:p w14:paraId="083B8BDC"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428-12</w:t>
            </w:r>
          </w:p>
        </w:tc>
      </w:tr>
      <w:tr w:rsidR="0057201B" w:rsidRPr="00AE3A84" w14:paraId="57DBF3E4" w14:textId="77777777" w:rsidTr="005615BA">
        <w:tc>
          <w:tcPr>
            <w:tcW w:w="544" w:type="dxa"/>
            <w:vAlign w:val="center"/>
          </w:tcPr>
          <w:p w14:paraId="6368DD3E"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29</w:t>
            </w:r>
          </w:p>
        </w:tc>
        <w:tc>
          <w:tcPr>
            <w:tcW w:w="3253" w:type="dxa"/>
            <w:vAlign w:val="center"/>
          </w:tcPr>
          <w:p w14:paraId="48FC7D8C"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Cleuza</w:t>
            </w:r>
            <w:r w:rsidRPr="00AE3A84">
              <w:rPr>
                <w:rFonts w:ascii="Cambria" w:hAnsi="Cambria"/>
                <w:spacing w:val="12"/>
                <w:sz w:val="20"/>
                <w:szCs w:val="20"/>
              </w:rPr>
              <w:t xml:space="preserve"> </w:t>
            </w:r>
            <w:r w:rsidRPr="00AE3A84">
              <w:rPr>
                <w:rFonts w:ascii="Cambria" w:hAnsi="Cambria"/>
                <w:spacing w:val="-1"/>
                <w:sz w:val="20"/>
                <w:szCs w:val="20"/>
              </w:rPr>
              <w:t>Boschilia</w:t>
            </w:r>
          </w:p>
        </w:tc>
        <w:tc>
          <w:tcPr>
            <w:tcW w:w="1328" w:type="dxa"/>
            <w:vAlign w:val="center"/>
          </w:tcPr>
          <w:p w14:paraId="19693E86"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Bra</w:t>
            </w:r>
            <w:r>
              <w:rPr>
                <w:rFonts w:ascii="Cambria" w:hAnsi="Cambria"/>
                <w:spacing w:val="-1"/>
                <w:sz w:val="20"/>
                <w:szCs w:val="20"/>
              </w:rPr>
              <w:t>z</w:t>
            </w:r>
            <w:r w:rsidRPr="00AE3A84">
              <w:rPr>
                <w:rFonts w:ascii="Cambria" w:hAnsi="Cambria"/>
                <w:spacing w:val="-1"/>
                <w:sz w:val="20"/>
                <w:szCs w:val="20"/>
              </w:rPr>
              <w:t>il</w:t>
            </w:r>
          </w:p>
        </w:tc>
        <w:tc>
          <w:tcPr>
            <w:tcW w:w="1260" w:type="dxa"/>
            <w:vAlign w:val="center"/>
          </w:tcPr>
          <w:p w14:paraId="75906C46" w14:textId="77777777" w:rsidR="0057201B" w:rsidRPr="00AE3A84" w:rsidRDefault="0057201B">
            <w:pPr>
              <w:jc w:val="center"/>
              <w:rPr>
                <w:rFonts w:ascii="Cambria" w:hAnsi="Cambria"/>
                <w:spacing w:val="-2"/>
                <w:sz w:val="20"/>
                <w:szCs w:val="20"/>
              </w:rPr>
            </w:pPr>
            <w:r>
              <w:rPr>
                <w:rFonts w:ascii="Cambria" w:hAnsi="Cambria"/>
                <w:spacing w:val="-2"/>
                <w:sz w:val="20"/>
                <w:szCs w:val="20"/>
              </w:rPr>
              <w:t>141/22</w:t>
            </w:r>
          </w:p>
        </w:tc>
        <w:tc>
          <w:tcPr>
            <w:tcW w:w="1440" w:type="dxa"/>
            <w:vAlign w:val="center"/>
          </w:tcPr>
          <w:p w14:paraId="4096B237"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6/27/2022</w:t>
            </w:r>
          </w:p>
        </w:tc>
        <w:tc>
          <w:tcPr>
            <w:tcW w:w="1890" w:type="dxa"/>
            <w:vAlign w:val="center"/>
          </w:tcPr>
          <w:p w14:paraId="703FBA53"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355-12</w:t>
            </w:r>
          </w:p>
        </w:tc>
      </w:tr>
      <w:tr w:rsidR="0057201B" w:rsidRPr="00AE3A84" w14:paraId="138E962C" w14:textId="77777777" w:rsidTr="005615BA">
        <w:tc>
          <w:tcPr>
            <w:tcW w:w="544" w:type="dxa"/>
            <w:vAlign w:val="center"/>
          </w:tcPr>
          <w:p w14:paraId="2C2867D7"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30</w:t>
            </w:r>
          </w:p>
        </w:tc>
        <w:tc>
          <w:tcPr>
            <w:tcW w:w="3253" w:type="dxa"/>
            <w:vAlign w:val="center"/>
          </w:tcPr>
          <w:p w14:paraId="2524802B"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AR"/>
              </w:rPr>
              <w:t>Ana</w:t>
            </w:r>
            <w:r w:rsidRPr="00AE3A84">
              <w:rPr>
                <w:rFonts w:ascii="Cambria" w:hAnsi="Cambria"/>
                <w:spacing w:val="3"/>
                <w:sz w:val="20"/>
                <w:szCs w:val="20"/>
                <w:lang w:val="es-AR"/>
              </w:rPr>
              <w:t xml:space="preserve"> </w:t>
            </w:r>
            <w:r w:rsidRPr="00AE3A84">
              <w:rPr>
                <w:rFonts w:ascii="Cambria" w:hAnsi="Cambria"/>
                <w:spacing w:val="-1"/>
                <w:sz w:val="20"/>
                <w:szCs w:val="20"/>
                <w:lang w:val="es-AR"/>
              </w:rPr>
              <w:t>Delia</w:t>
            </w:r>
            <w:r w:rsidRPr="00AE3A84">
              <w:rPr>
                <w:rFonts w:ascii="Cambria" w:hAnsi="Cambria"/>
                <w:spacing w:val="4"/>
                <w:sz w:val="20"/>
                <w:szCs w:val="20"/>
                <w:lang w:val="es-AR"/>
              </w:rPr>
              <w:t xml:space="preserve"> </w:t>
            </w:r>
            <w:r w:rsidRPr="00AE3A84">
              <w:rPr>
                <w:rFonts w:ascii="Cambria" w:hAnsi="Cambria"/>
                <w:spacing w:val="-1"/>
                <w:sz w:val="20"/>
                <w:szCs w:val="20"/>
                <w:lang w:val="es-AR"/>
              </w:rPr>
              <w:t>Campo</w:t>
            </w:r>
            <w:r w:rsidRPr="00AE3A84">
              <w:rPr>
                <w:rFonts w:ascii="Cambria" w:hAnsi="Cambria"/>
                <w:spacing w:val="3"/>
                <w:sz w:val="20"/>
                <w:szCs w:val="20"/>
                <w:lang w:val="es-AR"/>
              </w:rPr>
              <w:t xml:space="preserve"> </w:t>
            </w:r>
            <w:r w:rsidRPr="00AE3A84">
              <w:rPr>
                <w:rFonts w:ascii="Cambria" w:hAnsi="Cambria"/>
                <w:sz w:val="20"/>
                <w:szCs w:val="20"/>
                <w:lang w:val="es-AR"/>
              </w:rPr>
              <w:t>Peláez</w:t>
            </w:r>
            <w:r w:rsidRPr="00AE3A84">
              <w:rPr>
                <w:rFonts w:ascii="Cambria" w:hAnsi="Cambria"/>
                <w:spacing w:val="5"/>
                <w:sz w:val="20"/>
                <w:szCs w:val="20"/>
                <w:lang w:val="es-AR"/>
              </w:rPr>
              <w:t xml:space="preserve"> </w:t>
            </w:r>
            <w:r>
              <w:rPr>
                <w:rFonts w:ascii="Cambria" w:hAnsi="Cambria"/>
                <w:sz w:val="20"/>
                <w:szCs w:val="20"/>
                <w:lang w:val="es-AR"/>
              </w:rPr>
              <w:t>and Family</w:t>
            </w:r>
          </w:p>
        </w:tc>
        <w:tc>
          <w:tcPr>
            <w:tcW w:w="1328" w:type="dxa"/>
            <w:vAlign w:val="center"/>
          </w:tcPr>
          <w:p w14:paraId="0455BC07"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681B1A2E" w14:textId="77777777" w:rsidR="0057201B" w:rsidRPr="00AE3A84" w:rsidRDefault="0057201B">
            <w:pPr>
              <w:jc w:val="center"/>
              <w:rPr>
                <w:rFonts w:ascii="Cambria" w:hAnsi="Cambria"/>
                <w:spacing w:val="-2"/>
                <w:sz w:val="20"/>
                <w:szCs w:val="20"/>
              </w:rPr>
            </w:pPr>
            <w:r>
              <w:rPr>
                <w:rFonts w:ascii="Cambria" w:hAnsi="Cambria"/>
                <w:spacing w:val="-2"/>
                <w:sz w:val="20"/>
                <w:szCs w:val="20"/>
              </w:rPr>
              <w:t>153/22</w:t>
            </w:r>
          </w:p>
        </w:tc>
        <w:tc>
          <w:tcPr>
            <w:tcW w:w="1440" w:type="dxa"/>
            <w:vAlign w:val="center"/>
          </w:tcPr>
          <w:p w14:paraId="72C8350B"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6/30/2022</w:t>
            </w:r>
          </w:p>
        </w:tc>
        <w:tc>
          <w:tcPr>
            <w:tcW w:w="1890" w:type="dxa"/>
            <w:vAlign w:val="center"/>
          </w:tcPr>
          <w:p w14:paraId="05A7DB24"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1466-08</w:t>
            </w:r>
          </w:p>
        </w:tc>
      </w:tr>
      <w:tr w:rsidR="0057201B" w:rsidRPr="00AE3A84" w14:paraId="676A71C8" w14:textId="77777777" w:rsidTr="005615BA">
        <w:tc>
          <w:tcPr>
            <w:tcW w:w="544" w:type="dxa"/>
            <w:vAlign w:val="center"/>
          </w:tcPr>
          <w:p w14:paraId="6023E242"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31</w:t>
            </w:r>
          </w:p>
        </w:tc>
        <w:tc>
          <w:tcPr>
            <w:tcW w:w="3253" w:type="dxa"/>
            <w:vAlign w:val="center"/>
          </w:tcPr>
          <w:p w14:paraId="5BABFABB"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AR"/>
              </w:rPr>
              <w:t>Ángel</w:t>
            </w:r>
            <w:r w:rsidRPr="00AE3A84">
              <w:rPr>
                <w:rFonts w:ascii="Cambria" w:hAnsi="Cambria"/>
                <w:spacing w:val="5"/>
                <w:sz w:val="20"/>
                <w:szCs w:val="20"/>
                <w:lang w:val="es-AR"/>
              </w:rPr>
              <w:t xml:space="preserve"> </w:t>
            </w:r>
            <w:r w:rsidRPr="00AE3A84">
              <w:rPr>
                <w:rFonts w:ascii="Cambria" w:hAnsi="Cambria"/>
                <w:sz w:val="20"/>
                <w:szCs w:val="20"/>
                <w:lang w:val="es-AR"/>
              </w:rPr>
              <w:t>Octavio</w:t>
            </w:r>
            <w:r w:rsidRPr="00AE3A84">
              <w:rPr>
                <w:rFonts w:ascii="Cambria" w:hAnsi="Cambria"/>
                <w:spacing w:val="5"/>
                <w:sz w:val="20"/>
                <w:szCs w:val="20"/>
                <w:lang w:val="es-AR"/>
              </w:rPr>
              <w:t xml:space="preserve"> </w:t>
            </w:r>
            <w:r w:rsidRPr="00AE3A84">
              <w:rPr>
                <w:rFonts w:ascii="Cambria" w:hAnsi="Cambria"/>
                <w:spacing w:val="-1"/>
                <w:sz w:val="20"/>
                <w:szCs w:val="20"/>
                <w:lang w:val="es-AR"/>
              </w:rPr>
              <w:t>Riaño</w:t>
            </w:r>
            <w:r w:rsidRPr="00AE3A84">
              <w:rPr>
                <w:rFonts w:ascii="Cambria" w:hAnsi="Cambria"/>
                <w:spacing w:val="4"/>
                <w:sz w:val="20"/>
                <w:szCs w:val="20"/>
                <w:lang w:val="es-AR"/>
              </w:rPr>
              <w:t xml:space="preserve"> </w:t>
            </w:r>
            <w:r w:rsidRPr="00AE3A84">
              <w:rPr>
                <w:rFonts w:ascii="Cambria" w:hAnsi="Cambria"/>
                <w:spacing w:val="-1"/>
                <w:sz w:val="20"/>
                <w:szCs w:val="20"/>
                <w:lang w:val="es-AR"/>
              </w:rPr>
              <w:t>Cadena</w:t>
            </w:r>
            <w:r w:rsidRPr="00AE3A84">
              <w:rPr>
                <w:rFonts w:ascii="Cambria" w:hAnsi="Cambria"/>
                <w:spacing w:val="6"/>
                <w:sz w:val="20"/>
                <w:szCs w:val="20"/>
                <w:lang w:val="es-AR"/>
              </w:rPr>
              <w:t xml:space="preserve"> </w:t>
            </w:r>
            <w:r>
              <w:rPr>
                <w:rFonts w:ascii="Cambria" w:hAnsi="Cambria"/>
                <w:sz w:val="20"/>
                <w:szCs w:val="20"/>
                <w:lang w:val="es-AR"/>
              </w:rPr>
              <w:t>and Relatives</w:t>
            </w:r>
          </w:p>
        </w:tc>
        <w:tc>
          <w:tcPr>
            <w:tcW w:w="1328" w:type="dxa"/>
            <w:vAlign w:val="center"/>
          </w:tcPr>
          <w:p w14:paraId="6FBEC254"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04320E06" w14:textId="77777777" w:rsidR="0057201B" w:rsidRPr="00AE3A84" w:rsidRDefault="0057201B">
            <w:pPr>
              <w:jc w:val="center"/>
              <w:rPr>
                <w:rFonts w:ascii="Cambria" w:hAnsi="Cambria"/>
                <w:spacing w:val="-2"/>
                <w:sz w:val="20"/>
                <w:szCs w:val="20"/>
              </w:rPr>
            </w:pPr>
            <w:r>
              <w:rPr>
                <w:rFonts w:ascii="Cambria" w:hAnsi="Cambria"/>
                <w:spacing w:val="-2"/>
                <w:sz w:val="20"/>
                <w:szCs w:val="20"/>
              </w:rPr>
              <w:t>154/22</w:t>
            </w:r>
          </w:p>
        </w:tc>
        <w:tc>
          <w:tcPr>
            <w:tcW w:w="1440" w:type="dxa"/>
            <w:vAlign w:val="center"/>
          </w:tcPr>
          <w:p w14:paraId="0F50B940"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6/30/2022</w:t>
            </w:r>
          </w:p>
        </w:tc>
        <w:tc>
          <w:tcPr>
            <w:tcW w:w="1890" w:type="dxa"/>
            <w:vAlign w:val="center"/>
          </w:tcPr>
          <w:p w14:paraId="26DF8127"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1471-09</w:t>
            </w:r>
          </w:p>
        </w:tc>
      </w:tr>
      <w:tr w:rsidR="0057201B" w:rsidRPr="00AE3A84" w14:paraId="3ADB3E22" w14:textId="77777777" w:rsidTr="005615BA">
        <w:tc>
          <w:tcPr>
            <w:tcW w:w="544" w:type="dxa"/>
            <w:vAlign w:val="center"/>
          </w:tcPr>
          <w:p w14:paraId="799C03D5"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32</w:t>
            </w:r>
          </w:p>
        </w:tc>
        <w:tc>
          <w:tcPr>
            <w:tcW w:w="3253" w:type="dxa"/>
            <w:vAlign w:val="center"/>
          </w:tcPr>
          <w:p w14:paraId="714BFE15"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Ernesto</w:t>
            </w:r>
            <w:r w:rsidRPr="00AE3A84">
              <w:rPr>
                <w:rFonts w:ascii="Cambria" w:hAnsi="Cambria"/>
                <w:spacing w:val="5"/>
                <w:sz w:val="20"/>
                <w:szCs w:val="20"/>
              </w:rPr>
              <w:t xml:space="preserve"> </w:t>
            </w:r>
            <w:r w:rsidRPr="00AE3A84">
              <w:rPr>
                <w:rFonts w:ascii="Cambria" w:hAnsi="Cambria"/>
                <w:spacing w:val="-1"/>
                <w:sz w:val="20"/>
                <w:szCs w:val="20"/>
              </w:rPr>
              <w:t>Armando</w:t>
            </w:r>
            <w:r w:rsidRPr="00AE3A84">
              <w:rPr>
                <w:rFonts w:ascii="Cambria" w:hAnsi="Cambria"/>
                <w:spacing w:val="6"/>
                <w:sz w:val="20"/>
                <w:szCs w:val="20"/>
              </w:rPr>
              <w:t xml:space="preserve"> </w:t>
            </w:r>
            <w:r w:rsidRPr="00AE3A84">
              <w:rPr>
                <w:rFonts w:ascii="Cambria" w:hAnsi="Cambria"/>
                <w:spacing w:val="-1"/>
                <w:sz w:val="20"/>
                <w:szCs w:val="20"/>
              </w:rPr>
              <w:t>Ortiz</w:t>
            </w:r>
            <w:r w:rsidRPr="00AE3A84">
              <w:rPr>
                <w:rFonts w:ascii="Cambria" w:hAnsi="Cambria"/>
                <w:spacing w:val="8"/>
                <w:sz w:val="20"/>
                <w:szCs w:val="20"/>
              </w:rPr>
              <w:t xml:space="preserve"> </w:t>
            </w:r>
            <w:r w:rsidRPr="00AE3A84">
              <w:rPr>
                <w:rFonts w:ascii="Cambria" w:hAnsi="Cambria"/>
                <w:spacing w:val="-1"/>
                <w:sz w:val="20"/>
                <w:szCs w:val="20"/>
              </w:rPr>
              <w:t>Martínez</w:t>
            </w:r>
          </w:p>
        </w:tc>
        <w:tc>
          <w:tcPr>
            <w:tcW w:w="1328" w:type="dxa"/>
            <w:vAlign w:val="center"/>
          </w:tcPr>
          <w:p w14:paraId="0B5F67A4"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6617A35E" w14:textId="77777777" w:rsidR="0057201B" w:rsidRPr="00AE3A84" w:rsidRDefault="0057201B">
            <w:pPr>
              <w:jc w:val="center"/>
              <w:rPr>
                <w:rFonts w:ascii="Cambria" w:hAnsi="Cambria"/>
                <w:spacing w:val="-2"/>
                <w:sz w:val="20"/>
                <w:szCs w:val="20"/>
              </w:rPr>
            </w:pPr>
            <w:r>
              <w:rPr>
                <w:rFonts w:ascii="Cambria" w:hAnsi="Cambria"/>
                <w:spacing w:val="-2"/>
                <w:sz w:val="20"/>
                <w:szCs w:val="20"/>
              </w:rPr>
              <w:t>155/22</w:t>
            </w:r>
          </w:p>
        </w:tc>
        <w:tc>
          <w:tcPr>
            <w:tcW w:w="1440" w:type="dxa"/>
            <w:vAlign w:val="center"/>
          </w:tcPr>
          <w:p w14:paraId="33E32E1B"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7/5/2022</w:t>
            </w:r>
          </w:p>
        </w:tc>
        <w:tc>
          <w:tcPr>
            <w:tcW w:w="1890" w:type="dxa"/>
            <w:vAlign w:val="center"/>
          </w:tcPr>
          <w:p w14:paraId="2D6C9D4C"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1102-09</w:t>
            </w:r>
          </w:p>
        </w:tc>
      </w:tr>
      <w:tr w:rsidR="0057201B" w:rsidRPr="00AE3A84" w14:paraId="74AAC793" w14:textId="77777777" w:rsidTr="005615BA">
        <w:tc>
          <w:tcPr>
            <w:tcW w:w="544" w:type="dxa"/>
            <w:vAlign w:val="center"/>
          </w:tcPr>
          <w:p w14:paraId="07EB69CF"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33</w:t>
            </w:r>
          </w:p>
        </w:tc>
        <w:tc>
          <w:tcPr>
            <w:tcW w:w="3253" w:type="dxa"/>
            <w:vAlign w:val="center"/>
          </w:tcPr>
          <w:p w14:paraId="6D46DA4D"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AR"/>
              </w:rPr>
              <w:t>Rubén</w:t>
            </w:r>
            <w:r w:rsidRPr="00AE3A84">
              <w:rPr>
                <w:rFonts w:ascii="Cambria" w:hAnsi="Cambria"/>
                <w:spacing w:val="5"/>
                <w:sz w:val="20"/>
                <w:szCs w:val="20"/>
                <w:lang w:val="es-AR"/>
              </w:rPr>
              <w:t xml:space="preserve"> </w:t>
            </w:r>
            <w:r w:rsidRPr="00AE3A84">
              <w:rPr>
                <w:rFonts w:ascii="Cambria" w:hAnsi="Cambria"/>
                <w:spacing w:val="-1"/>
                <w:sz w:val="20"/>
                <w:szCs w:val="20"/>
                <w:lang w:val="es-AR"/>
              </w:rPr>
              <w:t>Darío</w:t>
            </w:r>
            <w:r w:rsidRPr="00AE3A84">
              <w:rPr>
                <w:rFonts w:ascii="Cambria" w:hAnsi="Cambria"/>
                <w:spacing w:val="4"/>
                <w:sz w:val="20"/>
                <w:szCs w:val="20"/>
                <w:lang w:val="es-AR"/>
              </w:rPr>
              <w:t xml:space="preserve"> </w:t>
            </w:r>
            <w:r w:rsidRPr="00AE3A84">
              <w:rPr>
                <w:rFonts w:ascii="Cambria" w:hAnsi="Cambria"/>
                <w:spacing w:val="-1"/>
                <w:sz w:val="20"/>
                <w:szCs w:val="20"/>
                <w:lang w:val="es-AR"/>
              </w:rPr>
              <w:t>Arango</w:t>
            </w:r>
            <w:r w:rsidRPr="00AE3A84">
              <w:rPr>
                <w:rFonts w:ascii="Cambria" w:hAnsi="Cambria"/>
                <w:spacing w:val="4"/>
                <w:sz w:val="20"/>
                <w:szCs w:val="20"/>
                <w:lang w:val="es-AR"/>
              </w:rPr>
              <w:t xml:space="preserve"> </w:t>
            </w:r>
            <w:r w:rsidRPr="00AE3A84">
              <w:rPr>
                <w:rFonts w:ascii="Cambria" w:hAnsi="Cambria"/>
                <w:spacing w:val="-1"/>
                <w:sz w:val="20"/>
                <w:szCs w:val="20"/>
                <w:lang w:val="es-AR"/>
              </w:rPr>
              <w:t>García</w:t>
            </w:r>
            <w:r w:rsidRPr="00AE3A84">
              <w:rPr>
                <w:rFonts w:ascii="Cambria" w:hAnsi="Cambria"/>
                <w:spacing w:val="5"/>
                <w:sz w:val="20"/>
                <w:szCs w:val="20"/>
                <w:lang w:val="es-AR"/>
              </w:rPr>
              <w:t xml:space="preserve"> </w:t>
            </w:r>
            <w:r>
              <w:rPr>
                <w:rFonts w:ascii="Cambria" w:hAnsi="Cambria"/>
                <w:sz w:val="20"/>
                <w:szCs w:val="20"/>
                <w:lang w:val="es-AR"/>
              </w:rPr>
              <w:t>and Relatives</w:t>
            </w:r>
          </w:p>
        </w:tc>
        <w:tc>
          <w:tcPr>
            <w:tcW w:w="1328" w:type="dxa"/>
            <w:vAlign w:val="center"/>
          </w:tcPr>
          <w:p w14:paraId="5231AD57"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56D3B5B3" w14:textId="77777777" w:rsidR="0057201B" w:rsidRPr="00AE3A84" w:rsidRDefault="0057201B">
            <w:pPr>
              <w:jc w:val="center"/>
              <w:rPr>
                <w:rFonts w:ascii="Cambria" w:hAnsi="Cambria"/>
                <w:spacing w:val="-2"/>
                <w:sz w:val="20"/>
                <w:szCs w:val="20"/>
              </w:rPr>
            </w:pPr>
            <w:r>
              <w:rPr>
                <w:rFonts w:ascii="Cambria" w:hAnsi="Cambria"/>
                <w:spacing w:val="-2"/>
                <w:sz w:val="20"/>
                <w:szCs w:val="20"/>
              </w:rPr>
              <w:t>175/22</w:t>
            </w:r>
          </w:p>
        </w:tc>
        <w:tc>
          <w:tcPr>
            <w:tcW w:w="1440" w:type="dxa"/>
            <w:vAlign w:val="center"/>
          </w:tcPr>
          <w:p w14:paraId="12EE7EBA"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7/21/2022</w:t>
            </w:r>
          </w:p>
        </w:tc>
        <w:tc>
          <w:tcPr>
            <w:tcW w:w="1890" w:type="dxa"/>
            <w:vAlign w:val="center"/>
          </w:tcPr>
          <w:p w14:paraId="62807238"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1612-10</w:t>
            </w:r>
          </w:p>
        </w:tc>
      </w:tr>
      <w:tr w:rsidR="0057201B" w:rsidRPr="00AE3A84" w14:paraId="5764C406" w14:textId="77777777" w:rsidTr="005615BA">
        <w:tc>
          <w:tcPr>
            <w:tcW w:w="544" w:type="dxa"/>
            <w:vAlign w:val="center"/>
          </w:tcPr>
          <w:p w14:paraId="56B74E8F"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34</w:t>
            </w:r>
          </w:p>
        </w:tc>
        <w:tc>
          <w:tcPr>
            <w:tcW w:w="3253" w:type="dxa"/>
            <w:vAlign w:val="center"/>
          </w:tcPr>
          <w:p w14:paraId="514D9D0A"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Tomás</w:t>
            </w:r>
            <w:r w:rsidRPr="00AE3A84">
              <w:rPr>
                <w:rFonts w:ascii="Cambria" w:hAnsi="Cambria"/>
                <w:spacing w:val="8"/>
                <w:sz w:val="20"/>
                <w:szCs w:val="20"/>
              </w:rPr>
              <w:t xml:space="preserve"> </w:t>
            </w:r>
            <w:r w:rsidRPr="00AE3A84">
              <w:rPr>
                <w:rFonts w:ascii="Cambria" w:hAnsi="Cambria"/>
                <w:spacing w:val="-1"/>
                <w:sz w:val="20"/>
                <w:szCs w:val="20"/>
              </w:rPr>
              <w:t>Mendezú</w:t>
            </w:r>
            <w:r w:rsidRPr="00AE3A84">
              <w:rPr>
                <w:rFonts w:ascii="Cambria" w:hAnsi="Cambria"/>
                <w:spacing w:val="8"/>
                <w:sz w:val="20"/>
                <w:szCs w:val="20"/>
              </w:rPr>
              <w:t xml:space="preserve"> </w:t>
            </w:r>
            <w:r w:rsidRPr="00AE3A84">
              <w:rPr>
                <w:rFonts w:ascii="Cambria" w:hAnsi="Cambria"/>
                <w:spacing w:val="-1"/>
                <w:sz w:val="20"/>
                <w:szCs w:val="20"/>
              </w:rPr>
              <w:t>Arcia</w:t>
            </w:r>
          </w:p>
        </w:tc>
        <w:tc>
          <w:tcPr>
            <w:tcW w:w="1328" w:type="dxa"/>
            <w:vAlign w:val="center"/>
          </w:tcPr>
          <w:p w14:paraId="298E6159"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Per</w:t>
            </w:r>
            <w:r>
              <w:rPr>
                <w:rFonts w:ascii="Cambria" w:hAnsi="Cambria"/>
                <w:spacing w:val="-1"/>
                <w:sz w:val="20"/>
                <w:szCs w:val="20"/>
              </w:rPr>
              <w:t>u</w:t>
            </w:r>
          </w:p>
        </w:tc>
        <w:tc>
          <w:tcPr>
            <w:tcW w:w="1260" w:type="dxa"/>
            <w:vAlign w:val="center"/>
          </w:tcPr>
          <w:p w14:paraId="56396F91" w14:textId="77777777" w:rsidR="0057201B" w:rsidRPr="00AE3A84" w:rsidRDefault="0057201B">
            <w:pPr>
              <w:jc w:val="center"/>
              <w:rPr>
                <w:rFonts w:ascii="Cambria" w:hAnsi="Cambria"/>
                <w:spacing w:val="-2"/>
                <w:sz w:val="20"/>
                <w:szCs w:val="20"/>
              </w:rPr>
            </w:pPr>
            <w:r>
              <w:rPr>
                <w:rFonts w:ascii="Cambria" w:hAnsi="Cambria"/>
                <w:spacing w:val="-2"/>
                <w:sz w:val="20"/>
                <w:szCs w:val="20"/>
              </w:rPr>
              <w:t>179/22</w:t>
            </w:r>
          </w:p>
        </w:tc>
        <w:tc>
          <w:tcPr>
            <w:tcW w:w="1440" w:type="dxa"/>
            <w:vAlign w:val="center"/>
          </w:tcPr>
          <w:p w14:paraId="7479FE84"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7/21/2022</w:t>
            </w:r>
          </w:p>
        </w:tc>
        <w:tc>
          <w:tcPr>
            <w:tcW w:w="1890" w:type="dxa"/>
            <w:vAlign w:val="center"/>
          </w:tcPr>
          <w:p w14:paraId="0725FCED"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1909-13</w:t>
            </w:r>
          </w:p>
        </w:tc>
      </w:tr>
      <w:tr w:rsidR="0057201B" w:rsidRPr="00AE3A84" w14:paraId="22B30CE5" w14:textId="77777777" w:rsidTr="005615BA">
        <w:tc>
          <w:tcPr>
            <w:tcW w:w="544" w:type="dxa"/>
            <w:vAlign w:val="center"/>
          </w:tcPr>
          <w:p w14:paraId="4FC0EF4C"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35</w:t>
            </w:r>
          </w:p>
        </w:tc>
        <w:tc>
          <w:tcPr>
            <w:tcW w:w="3253" w:type="dxa"/>
            <w:vAlign w:val="center"/>
          </w:tcPr>
          <w:p w14:paraId="37A91DA3" w14:textId="77777777" w:rsidR="0057201B" w:rsidRPr="00B51185" w:rsidRDefault="0057201B">
            <w:pPr>
              <w:rPr>
                <w:rFonts w:ascii="Cambria" w:hAnsi="Cambria"/>
                <w:sz w:val="20"/>
                <w:szCs w:val="20"/>
              </w:rPr>
            </w:pPr>
            <w:r w:rsidRPr="00B51185">
              <w:rPr>
                <w:rFonts w:ascii="Cambria" w:hAnsi="Cambria"/>
                <w:spacing w:val="-1"/>
                <w:sz w:val="20"/>
                <w:szCs w:val="20"/>
              </w:rPr>
              <w:t>Christian</w:t>
            </w:r>
            <w:r w:rsidRPr="00B51185">
              <w:rPr>
                <w:rFonts w:ascii="Cambria" w:hAnsi="Cambria"/>
                <w:spacing w:val="5"/>
                <w:sz w:val="20"/>
                <w:szCs w:val="20"/>
              </w:rPr>
              <w:t xml:space="preserve"> </w:t>
            </w:r>
            <w:r w:rsidRPr="00B51185">
              <w:rPr>
                <w:rFonts w:ascii="Cambria" w:hAnsi="Cambria"/>
                <w:spacing w:val="-1"/>
                <w:sz w:val="20"/>
                <w:szCs w:val="20"/>
              </w:rPr>
              <w:t>Garralaga</w:t>
            </w:r>
            <w:r w:rsidRPr="00B51185">
              <w:rPr>
                <w:rFonts w:ascii="Cambria" w:hAnsi="Cambria"/>
                <w:spacing w:val="5"/>
                <w:sz w:val="20"/>
                <w:szCs w:val="20"/>
              </w:rPr>
              <w:t xml:space="preserve"> </w:t>
            </w:r>
            <w:r w:rsidRPr="00B51185">
              <w:rPr>
                <w:rFonts w:ascii="Cambria" w:hAnsi="Cambria"/>
                <w:spacing w:val="-1"/>
                <w:sz w:val="20"/>
                <w:szCs w:val="20"/>
              </w:rPr>
              <w:t>Alonso</w:t>
            </w:r>
            <w:r w:rsidRPr="00B51185">
              <w:rPr>
                <w:rFonts w:ascii="Cambria" w:hAnsi="Cambria"/>
                <w:spacing w:val="3"/>
                <w:sz w:val="20"/>
                <w:szCs w:val="20"/>
              </w:rPr>
              <w:t xml:space="preserve"> </w:t>
            </w:r>
            <w:r w:rsidRPr="00B51185">
              <w:rPr>
                <w:rFonts w:ascii="Cambria" w:hAnsi="Cambria"/>
                <w:sz w:val="20"/>
                <w:szCs w:val="20"/>
              </w:rPr>
              <w:t>and</w:t>
            </w:r>
            <w:r w:rsidRPr="00B51185">
              <w:rPr>
                <w:rFonts w:ascii="Cambria" w:hAnsi="Cambria"/>
                <w:spacing w:val="5"/>
                <w:sz w:val="20"/>
                <w:szCs w:val="20"/>
              </w:rPr>
              <w:t xml:space="preserve"> </w:t>
            </w:r>
            <w:r w:rsidRPr="00B51185">
              <w:rPr>
                <w:rFonts w:ascii="Cambria" w:hAnsi="Cambria"/>
                <w:spacing w:val="-1"/>
                <w:sz w:val="20"/>
                <w:szCs w:val="20"/>
              </w:rPr>
              <w:t>A.</w:t>
            </w:r>
          </w:p>
        </w:tc>
        <w:tc>
          <w:tcPr>
            <w:tcW w:w="1328" w:type="dxa"/>
            <w:vAlign w:val="center"/>
          </w:tcPr>
          <w:p w14:paraId="6DE2C6AF"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Chile</w:t>
            </w:r>
          </w:p>
        </w:tc>
        <w:tc>
          <w:tcPr>
            <w:tcW w:w="1260" w:type="dxa"/>
            <w:vAlign w:val="center"/>
          </w:tcPr>
          <w:p w14:paraId="2FED2AED" w14:textId="77777777" w:rsidR="0057201B" w:rsidRPr="00AE3A84" w:rsidRDefault="0057201B">
            <w:pPr>
              <w:jc w:val="center"/>
              <w:rPr>
                <w:rFonts w:ascii="Cambria" w:hAnsi="Cambria"/>
                <w:spacing w:val="-2"/>
                <w:sz w:val="20"/>
                <w:szCs w:val="20"/>
              </w:rPr>
            </w:pPr>
            <w:r>
              <w:rPr>
                <w:rFonts w:ascii="Cambria" w:hAnsi="Cambria"/>
                <w:spacing w:val="-2"/>
                <w:sz w:val="20"/>
                <w:szCs w:val="20"/>
              </w:rPr>
              <w:t>172/22</w:t>
            </w:r>
          </w:p>
        </w:tc>
        <w:tc>
          <w:tcPr>
            <w:tcW w:w="1440" w:type="dxa"/>
            <w:vAlign w:val="center"/>
          </w:tcPr>
          <w:p w14:paraId="3894899C"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7/22/2022</w:t>
            </w:r>
          </w:p>
        </w:tc>
        <w:tc>
          <w:tcPr>
            <w:tcW w:w="1890" w:type="dxa"/>
            <w:vAlign w:val="center"/>
          </w:tcPr>
          <w:p w14:paraId="356FF266"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1616-12</w:t>
            </w:r>
          </w:p>
        </w:tc>
      </w:tr>
      <w:tr w:rsidR="0057201B" w:rsidRPr="00AE3A84" w14:paraId="131AE732" w14:textId="77777777" w:rsidTr="005615BA">
        <w:tc>
          <w:tcPr>
            <w:tcW w:w="544" w:type="dxa"/>
            <w:vAlign w:val="center"/>
          </w:tcPr>
          <w:p w14:paraId="4A027EDD"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36</w:t>
            </w:r>
          </w:p>
        </w:tc>
        <w:tc>
          <w:tcPr>
            <w:tcW w:w="3253" w:type="dxa"/>
            <w:vAlign w:val="center"/>
          </w:tcPr>
          <w:p w14:paraId="5CC9BDAC"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AR"/>
              </w:rPr>
              <w:t>Hernando</w:t>
            </w:r>
            <w:r w:rsidRPr="00AE3A84">
              <w:rPr>
                <w:rFonts w:ascii="Cambria" w:hAnsi="Cambria"/>
                <w:spacing w:val="4"/>
                <w:sz w:val="20"/>
                <w:szCs w:val="20"/>
                <w:lang w:val="es-AR"/>
              </w:rPr>
              <w:t xml:space="preserve"> </w:t>
            </w:r>
            <w:r w:rsidRPr="00AE3A84">
              <w:rPr>
                <w:rFonts w:ascii="Cambria" w:hAnsi="Cambria"/>
                <w:spacing w:val="-1"/>
                <w:sz w:val="20"/>
                <w:szCs w:val="20"/>
                <w:lang w:val="es-AR"/>
              </w:rPr>
              <w:t>Martínez</w:t>
            </w:r>
            <w:r w:rsidRPr="00AE3A84">
              <w:rPr>
                <w:rFonts w:ascii="Cambria" w:hAnsi="Cambria"/>
                <w:spacing w:val="7"/>
                <w:sz w:val="20"/>
                <w:szCs w:val="20"/>
                <w:lang w:val="es-AR"/>
              </w:rPr>
              <w:t xml:space="preserve"> </w:t>
            </w:r>
            <w:r w:rsidRPr="00AE3A84">
              <w:rPr>
                <w:rFonts w:ascii="Cambria" w:hAnsi="Cambria"/>
                <w:spacing w:val="-1"/>
                <w:sz w:val="20"/>
                <w:szCs w:val="20"/>
                <w:lang w:val="es-AR"/>
              </w:rPr>
              <w:t>Novoa</w:t>
            </w:r>
            <w:r w:rsidRPr="00AE3A84">
              <w:rPr>
                <w:rFonts w:ascii="Cambria" w:hAnsi="Cambria"/>
                <w:spacing w:val="5"/>
                <w:sz w:val="20"/>
                <w:szCs w:val="20"/>
                <w:lang w:val="es-AR"/>
              </w:rPr>
              <w:t xml:space="preserve"> </w:t>
            </w:r>
            <w:r>
              <w:rPr>
                <w:rFonts w:ascii="Cambria" w:hAnsi="Cambria"/>
                <w:sz w:val="20"/>
                <w:szCs w:val="20"/>
                <w:lang w:val="es-AR"/>
              </w:rPr>
              <w:t>et al.</w:t>
            </w:r>
          </w:p>
        </w:tc>
        <w:tc>
          <w:tcPr>
            <w:tcW w:w="1328" w:type="dxa"/>
            <w:vAlign w:val="center"/>
          </w:tcPr>
          <w:p w14:paraId="427E6413"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05D1F8A9" w14:textId="77777777" w:rsidR="0057201B" w:rsidRPr="00AE3A84" w:rsidRDefault="0057201B">
            <w:pPr>
              <w:jc w:val="center"/>
              <w:rPr>
                <w:rFonts w:ascii="Cambria" w:hAnsi="Cambria"/>
                <w:spacing w:val="-2"/>
                <w:sz w:val="20"/>
                <w:szCs w:val="20"/>
              </w:rPr>
            </w:pPr>
            <w:r>
              <w:rPr>
                <w:rFonts w:ascii="Cambria" w:hAnsi="Cambria"/>
                <w:spacing w:val="-2"/>
                <w:sz w:val="20"/>
                <w:szCs w:val="20"/>
              </w:rPr>
              <w:t>173/22</w:t>
            </w:r>
          </w:p>
        </w:tc>
        <w:tc>
          <w:tcPr>
            <w:tcW w:w="1440" w:type="dxa"/>
            <w:vAlign w:val="center"/>
          </w:tcPr>
          <w:p w14:paraId="633D1102"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7/22/2022</w:t>
            </w:r>
          </w:p>
        </w:tc>
        <w:tc>
          <w:tcPr>
            <w:tcW w:w="1890" w:type="dxa"/>
            <w:vAlign w:val="center"/>
          </w:tcPr>
          <w:p w14:paraId="38C25A9C"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916-10</w:t>
            </w:r>
          </w:p>
        </w:tc>
      </w:tr>
      <w:tr w:rsidR="0057201B" w:rsidRPr="00AE3A84" w14:paraId="7E4F4F29" w14:textId="77777777" w:rsidTr="005615BA">
        <w:tc>
          <w:tcPr>
            <w:tcW w:w="544" w:type="dxa"/>
            <w:vAlign w:val="center"/>
          </w:tcPr>
          <w:p w14:paraId="0A241873"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37</w:t>
            </w:r>
          </w:p>
        </w:tc>
        <w:tc>
          <w:tcPr>
            <w:tcW w:w="3253" w:type="dxa"/>
            <w:vAlign w:val="center"/>
          </w:tcPr>
          <w:p w14:paraId="6848F3C3" w14:textId="77777777" w:rsidR="0057201B" w:rsidRPr="00392B07" w:rsidRDefault="0057201B">
            <w:pPr>
              <w:rPr>
                <w:rFonts w:ascii="Cambria" w:hAnsi="Cambria"/>
                <w:sz w:val="20"/>
                <w:szCs w:val="20"/>
              </w:rPr>
            </w:pPr>
            <w:r w:rsidRPr="00392B07">
              <w:rPr>
                <w:rFonts w:ascii="Cambria" w:hAnsi="Cambria"/>
                <w:spacing w:val="-1"/>
                <w:sz w:val="20"/>
                <w:szCs w:val="20"/>
              </w:rPr>
              <w:t xml:space="preserve">Employees of the Public Company </w:t>
            </w:r>
            <w:r w:rsidRPr="00392B07">
              <w:rPr>
                <w:rFonts w:ascii="Cambria" w:hAnsi="Cambria"/>
                <w:spacing w:val="-2"/>
                <w:sz w:val="20"/>
                <w:szCs w:val="20"/>
              </w:rPr>
              <w:t>Hidrocarburos</w:t>
            </w:r>
            <w:r w:rsidRPr="00392B07">
              <w:rPr>
                <w:rFonts w:ascii="Cambria" w:hAnsi="Cambria"/>
                <w:spacing w:val="5"/>
                <w:sz w:val="20"/>
                <w:szCs w:val="20"/>
              </w:rPr>
              <w:t xml:space="preserve"> </w:t>
            </w:r>
            <w:r w:rsidRPr="00392B07">
              <w:rPr>
                <w:rFonts w:ascii="Cambria" w:hAnsi="Cambria"/>
                <w:spacing w:val="-1"/>
                <w:sz w:val="20"/>
                <w:szCs w:val="20"/>
              </w:rPr>
              <w:t>del</w:t>
            </w:r>
            <w:r w:rsidRPr="00392B07">
              <w:rPr>
                <w:rFonts w:ascii="Cambria" w:hAnsi="Cambria"/>
                <w:spacing w:val="5"/>
                <w:sz w:val="20"/>
                <w:szCs w:val="20"/>
              </w:rPr>
              <w:t xml:space="preserve"> </w:t>
            </w:r>
            <w:r w:rsidRPr="00392B07">
              <w:rPr>
                <w:rFonts w:ascii="Cambria" w:hAnsi="Cambria"/>
                <w:spacing w:val="-1"/>
                <w:sz w:val="20"/>
                <w:szCs w:val="20"/>
              </w:rPr>
              <w:t>Ecuador</w:t>
            </w:r>
          </w:p>
        </w:tc>
        <w:tc>
          <w:tcPr>
            <w:tcW w:w="1328" w:type="dxa"/>
            <w:vAlign w:val="center"/>
          </w:tcPr>
          <w:p w14:paraId="51BC5F73"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Ecuador</w:t>
            </w:r>
          </w:p>
        </w:tc>
        <w:tc>
          <w:tcPr>
            <w:tcW w:w="1260" w:type="dxa"/>
            <w:vAlign w:val="center"/>
          </w:tcPr>
          <w:p w14:paraId="42A68FED" w14:textId="77777777" w:rsidR="0057201B" w:rsidRPr="00AE3A84" w:rsidRDefault="0057201B">
            <w:pPr>
              <w:jc w:val="center"/>
              <w:rPr>
                <w:rFonts w:ascii="Cambria" w:hAnsi="Cambria"/>
                <w:spacing w:val="-2"/>
                <w:sz w:val="20"/>
                <w:szCs w:val="20"/>
              </w:rPr>
            </w:pPr>
            <w:r>
              <w:rPr>
                <w:rFonts w:ascii="Cambria" w:hAnsi="Cambria"/>
                <w:spacing w:val="-2"/>
                <w:sz w:val="20"/>
                <w:szCs w:val="20"/>
              </w:rPr>
              <w:t>178/22</w:t>
            </w:r>
          </w:p>
        </w:tc>
        <w:tc>
          <w:tcPr>
            <w:tcW w:w="1440" w:type="dxa"/>
            <w:vAlign w:val="center"/>
          </w:tcPr>
          <w:p w14:paraId="0AEC4613"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7/25/2022</w:t>
            </w:r>
          </w:p>
        </w:tc>
        <w:tc>
          <w:tcPr>
            <w:tcW w:w="1890" w:type="dxa"/>
            <w:vAlign w:val="center"/>
          </w:tcPr>
          <w:p w14:paraId="25490B9D"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1628-12</w:t>
            </w:r>
          </w:p>
        </w:tc>
      </w:tr>
      <w:tr w:rsidR="0057201B" w:rsidRPr="00AE3A84" w14:paraId="5FA6D621" w14:textId="77777777" w:rsidTr="005615BA">
        <w:tc>
          <w:tcPr>
            <w:tcW w:w="544" w:type="dxa"/>
            <w:vAlign w:val="center"/>
          </w:tcPr>
          <w:p w14:paraId="439CE2E3"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38</w:t>
            </w:r>
          </w:p>
        </w:tc>
        <w:tc>
          <w:tcPr>
            <w:tcW w:w="3253" w:type="dxa"/>
            <w:vAlign w:val="center"/>
          </w:tcPr>
          <w:p w14:paraId="74B8F634"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Michael</w:t>
            </w:r>
            <w:r w:rsidRPr="00AE3A84">
              <w:rPr>
                <w:rFonts w:ascii="Cambria" w:hAnsi="Cambria"/>
                <w:spacing w:val="8"/>
                <w:sz w:val="20"/>
                <w:szCs w:val="20"/>
              </w:rPr>
              <w:t xml:space="preserve"> </w:t>
            </w:r>
            <w:r w:rsidRPr="00AE3A84">
              <w:rPr>
                <w:rFonts w:ascii="Cambria" w:hAnsi="Cambria"/>
                <w:spacing w:val="-1"/>
                <w:sz w:val="20"/>
                <w:szCs w:val="20"/>
              </w:rPr>
              <w:t>Anthony</w:t>
            </w:r>
            <w:r w:rsidRPr="00AE3A84">
              <w:rPr>
                <w:rFonts w:ascii="Cambria" w:hAnsi="Cambria"/>
                <w:spacing w:val="8"/>
                <w:sz w:val="20"/>
                <w:szCs w:val="20"/>
              </w:rPr>
              <w:t xml:space="preserve"> </w:t>
            </w:r>
            <w:r w:rsidRPr="00AE3A84">
              <w:rPr>
                <w:rFonts w:ascii="Cambria" w:hAnsi="Cambria"/>
                <w:spacing w:val="-1"/>
                <w:sz w:val="20"/>
                <w:szCs w:val="20"/>
              </w:rPr>
              <w:t>Brown</w:t>
            </w:r>
          </w:p>
        </w:tc>
        <w:tc>
          <w:tcPr>
            <w:tcW w:w="1328" w:type="dxa"/>
            <w:vAlign w:val="center"/>
          </w:tcPr>
          <w:p w14:paraId="76CA1DA0" w14:textId="77777777" w:rsidR="0057201B" w:rsidRPr="00AE3A84" w:rsidRDefault="0057201B">
            <w:pPr>
              <w:rPr>
                <w:rFonts w:ascii="Cambria" w:hAnsi="Cambria"/>
                <w:sz w:val="20"/>
                <w:szCs w:val="20"/>
                <w:lang w:val="es-ES_tradnl"/>
              </w:rPr>
            </w:pPr>
            <w:r>
              <w:rPr>
                <w:rFonts w:ascii="Cambria" w:hAnsi="Cambria"/>
                <w:spacing w:val="-1"/>
                <w:sz w:val="20"/>
                <w:szCs w:val="20"/>
              </w:rPr>
              <w:t>United States</w:t>
            </w:r>
          </w:p>
        </w:tc>
        <w:tc>
          <w:tcPr>
            <w:tcW w:w="1260" w:type="dxa"/>
            <w:vAlign w:val="center"/>
          </w:tcPr>
          <w:p w14:paraId="42DF8354" w14:textId="77777777" w:rsidR="0057201B" w:rsidRPr="00AE3A84" w:rsidRDefault="0057201B">
            <w:pPr>
              <w:jc w:val="center"/>
              <w:rPr>
                <w:rFonts w:ascii="Cambria" w:hAnsi="Cambria"/>
                <w:spacing w:val="-2"/>
                <w:sz w:val="20"/>
                <w:szCs w:val="20"/>
              </w:rPr>
            </w:pPr>
            <w:r>
              <w:rPr>
                <w:rFonts w:ascii="Cambria" w:hAnsi="Cambria"/>
                <w:spacing w:val="-2"/>
                <w:sz w:val="20"/>
                <w:szCs w:val="20"/>
              </w:rPr>
              <w:t>182/22</w:t>
            </w:r>
          </w:p>
        </w:tc>
        <w:tc>
          <w:tcPr>
            <w:tcW w:w="1440" w:type="dxa"/>
            <w:vAlign w:val="center"/>
          </w:tcPr>
          <w:p w14:paraId="13BDFF44"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7/27/2022</w:t>
            </w:r>
          </w:p>
        </w:tc>
        <w:tc>
          <w:tcPr>
            <w:tcW w:w="1890" w:type="dxa"/>
            <w:vAlign w:val="center"/>
          </w:tcPr>
          <w:p w14:paraId="7AF68DB2"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1334-16</w:t>
            </w:r>
          </w:p>
        </w:tc>
      </w:tr>
      <w:tr w:rsidR="0057201B" w:rsidRPr="00AE3A84" w14:paraId="18CC50CB" w14:textId="77777777" w:rsidTr="005615BA">
        <w:tc>
          <w:tcPr>
            <w:tcW w:w="544" w:type="dxa"/>
            <w:vAlign w:val="center"/>
          </w:tcPr>
          <w:p w14:paraId="1E71A28E"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39</w:t>
            </w:r>
          </w:p>
        </w:tc>
        <w:tc>
          <w:tcPr>
            <w:tcW w:w="3253" w:type="dxa"/>
            <w:vAlign w:val="center"/>
          </w:tcPr>
          <w:p w14:paraId="0875F103" w14:textId="77777777" w:rsidR="0057201B" w:rsidRPr="000E5866" w:rsidRDefault="0057201B">
            <w:pPr>
              <w:rPr>
                <w:rFonts w:ascii="Cambria" w:hAnsi="Cambria"/>
                <w:sz w:val="20"/>
                <w:szCs w:val="20"/>
              </w:rPr>
            </w:pPr>
            <w:r w:rsidRPr="00AE3A84">
              <w:rPr>
                <w:rFonts w:ascii="Cambria" w:hAnsi="Cambria"/>
                <w:sz w:val="20"/>
                <w:szCs w:val="20"/>
              </w:rPr>
              <w:t>Omar</w:t>
            </w:r>
            <w:r w:rsidRPr="00AE3A84">
              <w:rPr>
                <w:rFonts w:ascii="Cambria" w:hAnsi="Cambria"/>
                <w:spacing w:val="3"/>
                <w:sz w:val="20"/>
                <w:szCs w:val="20"/>
              </w:rPr>
              <w:t xml:space="preserve"> </w:t>
            </w:r>
            <w:r w:rsidRPr="00AE3A84">
              <w:rPr>
                <w:rFonts w:ascii="Cambria" w:hAnsi="Cambria"/>
                <w:spacing w:val="-1"/>
                <w:sz w:val="20"/>
                <w:szCs w:val="20"/>
              </w:rPr>
              <w:t>Askia</w:t>
            </w:r>
            <w:r w:rsidRPr="00AE3A84">
              <w:rPr>
                <w:rFonts w:ascii="Cambria" w:hAnsi="Cambria"/>
                <w:spacing w:val="4"/>
                <w:sz w:val="20"/>
                <w:szCs w:val="20"/>
              </w:rPr>
              <w:t xml:space="preserve"> </w:t>
            </w:r>
            <w:r w:rsidRPr="00AE3A84">
              <w:rPr>
                <w:rFonts w:ascii="Cambria" w:hAnsi="Cambria"/>
                <w:spacing w:val="-1"/>
                <w:sz w:val="20"/>
                <w:szCs w:val="20"/>
              </w:rPr>
              <w:t>Ali</w:t>
            </w:r>
            <w:r w:rsidRPr="00AE3A84">
              <w:rPr>
                <w:rFonts w:ascii="Cambria" w:hAnsi="Cambria"/>
                <w:spacing w:val="4"/>
                <w:sz w:val="20"/>
                <w:szCs w:val="20"/>
              </w:rPr>
              <w:t xml:space="preserve"> </w:t>
            </w:r>
            <w:r w:rsidRPr="00AE3A84">
              <w:rPr>
                <w:rFonts w:ascii="Cambria" w:hAnsi="Cambria"/>
                <w:spacing w:val="-1"/>
                <w:sz w:val="20"/>
                <w:szCs w:val="20"/>
              </w:rPr>
              <w:t>(aka</w:t>
            </w:r>
            <w:r w:rsidRPr="00AE3A84">
              <w:rPr>
                <w:rFonts w:ascii="Cambria" w:hAnsi="Cambria"/>
                <w:spacing w:val="4"/>
                <w:sz w:val="20"/>
                <w:szCs w:val="20"/>
              </w:rPr>
              <w:t xml:space="preserve"> </w:t>
            </w:r>
            <w:r w:rsidRPr="00AE3A84">
              <w:rPr>
                <w:rFonts w:ascii="Cambria" w:hAnsi="Cambria"/>
                <w:spacing w:val="-1"/>
                <w:sz w:val="20"/>
                <w:szCs w:val="20"/>
              </w:rPr>
              <w:t>Edward</w:t>
            </w:r>
            <w:r w:rsidRPr="00AE3A84">
              <w:rPr>
                <w:rFonts w:ascii="Cambria" w:hAnsi="Cambria"/>
                <w:spacing w:val="4"/>
                <w:sz w:val="20"/>
                <w:szCs w:val="20"/>
              </w:rPr>
              <w:t xml:space="preserve"> </w:t>
            </w:r>
            <w:r w:rsidRPr="00AE3A84">
              <w:rPr>
                <w:rFonts w:ascii="Cambria" w:hAnsi="Cambria"/>
                <w:spacing w:val="-1"/>
                <w:sz w:val="20"/>
                <w:szCs w:val="20"/>
              </w:rPr>
              <w:t>Sistrunk)</w:t>
            </w:r>
          </w:p>
        </w:tc>
        <w:tc>
          <w:tcPr>
            <w:tcW w:w="1328" w:type="dxa"/>
            <w:vAlign w:val="center"/>
          </w:tcPr>
          <w:p w14:paraId="2FABC83F" w14:textId="77777777" w:rsidR="0057201B" w:rsidRPr="00AE3A84" w:rsidRDefault="0057201B">
            <w:pPr>
              <w:rPr>
                <w:rFonts w:ascii="Cambria" w:hAnsi="Cambria"/>
                <w:sz w:val="20"/>
                <w:szCs w:val="20"/>
                <w:lang w:val="es-ES_tradnl"/>
              </w:rPr>
            </w:pPr>
            <w:r>
              <w:rPr>
                <w:rFonts w:ascii="Cambria" w:hAnsi="Cambria"/>
                <w:spacing w:val="-1"/>
                <w:sz w:val="20"/>
                <w:szCs w:val="20"/>
              </w:rPr>
              <w:t>United States</w:t>
            </w:r>
          </w:p>
        </w:tc>
        <w:tc>
          <w:tcPr>
            <w:tcW w:w="1260" w:type="dxa"/>
            <w:vAlign w:val="center"/>
          </w:tcPr>
          <w:p w14:paraId="6C2DEFA7" w14:textId="77777777" w:rsidR="0057201B" w:rsidRPr="00AE3A84" w:rsidRDefault="0057201B">
            <w:pPr>
              <w:jc w:val="center"/>
              <w:rPr>
                <w:rFonts w:ascii="Cambria" w:hAnsi="Cambria"/>
                <w:spacing w:val="-2"/>
                <w:sz w:val="20"/>
                <w:szCs w:val="20"/>
              </w:rPr>
            </w:pPr>
            <w:r>
              <w:rPr>
                <w:rFonts w:ascii="Cambria" w:hAnsi="Cambria"/>
                <w:spacing w:val="-2"/>
                <w:sz w:val="20"/>
                <w:szCs w:val="20"/>
              </w:rPr>
              <w:t>189/22</w:t>
            </w:r>
          </w:p>
        </w:tc>
        <w:tc>
          <w:tcPr>
            <w:tcW w:w="1440" w:type="dxa"/>
            <w:vAlign w:val="center"/>
          </w:tcPr>
          <w:p w14:paraId="394FC08C"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8/3/2022</w:t>
            </w:r>
          </w:p>
        </w:tc>
        <w:tc>
          <w:tcPr>
            <w:tcW w:w="1890" w:type="dxa"/>
            <w:vAlign w:val="center"/>
          </w:tcPr>
          <w:p w14:paraId="439A7D79"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1963-16</w:t>
            </w:r>
          </w:p>
        </w:tc>
      </w:tr>
      <w:tr w:rsidR="0057201B" w:rsidRPr="00AE3A84" w14:paraId="4BB7BA69" w14:textId="77777777" w:rsidTr="005615BA">
        <w:tc>
          <w:tcPr>
            <w:tcW w:w="544" w:type="dxa"/>
            <w:vAlign w:val="center"/>
          </w:tcPr>
          <w:p w14:paraId="71443A4F"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40</w:t>
            </w:r>
          </w:p>
        </w:tc>
        <w:tc>
          <w:tcPr>
            <w:tcW w:w="3253" w:type="dxa"/>
            <w:vAlign w:val="center"/>
          </w:tcPr>
          <w:p w14:paraId="617DDC3D"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AR"/>
              </w:rPr>
              <w:t>Luis</w:t>
            </w:r>
            <w:r w:rsidRPr="00AE3A84">
              <w:rPr>
                <w:rFonts w:ascii="Cambria" w:hAnsi="Cambria"/>
                <w:spacing w:val="4"/>
                <w:sz w:val="20"/>
                <w:szCs w:val="20"/>
                <w:lang w:val="es-AR"/>
              </w:rPr>
              <w:t xml:space="preserve"> </w:t>
            </w:r>
            <w:r w:rsidRPr="00AE3A84">
              <w:rPr>
                <w:rFonts w:ascii="Cambria" w:hAnsi="Cambria"/>
                <w:spacing w:val="-1"/>
                <w:sz w:val="20"/>
                <w:szCs w:val="20"/>
                <w:lang w:val="es-AR"/>
              </w:rPr>
              <w:t>Alejandro</w:t>
            </w:r>
            <w:r w:rsidRPr="00AE3A84">
              <w:rPr>
                <w:rFonts w:ascii="Cambria" w:hAnsi="Cambria"/>
                <w:spacing w:val="3"/>
                <w:sz w:val="20"/>
                <w:szCs w:val="20"/>
                <w:lang w:val="es-AR"/>
              </w:rPr>
              <w:t xml:space="preserve"> </w:t>
            </w:r>
            <w:r w:rsidRPr="00AE3A84">
              <w:rPr>
                <w:rFonts w:ascii="Cambria" w:hAnsi="Cambria"/>
                <w:spacing w:val="-1"/>
                <w:sz w:val="20"/>
                <w:szCs w:val="20"/>
                <w:lang w:val="es-AR"/>
              </w:rPr>
              <w:t>Cárdenas</w:t>
            </w:r>
            <w:r w:rsidRPr="00AE3A84">
              <w:rPr>
                <w:rFonts w:ascii="Cambria" w:hAnsi="Cambria"/>
                <w:spacing w:val="5"/>
                <w:sz w:val="20"/>
                <w:szCs w:val="20"/>
                <w:lang w:val="es-AR"/>
              </w:rPr>
              <w:t xml:space="preserve"> </w:t>
            </w:r>
            <w:r w:rsidRPr="00AE3A84">
              <w:rPr>
                <w:rFonts w:ascii="Cambria" w:hAnsi="Cambria"/>
                <w:spacing w:val="-1"/>
                <w:sz w:val="20"/>
                <w:szCs w:val="20"/>
                <w:lang w:val="es-AR"/>
              </w:rPr>
              <w:t>Tafur</w:t>
            </w:r>
            <w:r w:rsidRPr="00AE3A84">
              <w:rPr>
                <w:rFonts w:ascii="Cambria" w:hAnsi="Cambria"/>
                <w:spacing w:val="3"/>
                <w:sz w:val="20"/>
                <w:szCs w:val="20"/>
                <w:lang w:val="es-AR"/>
              </w:rPr>
              <w:t xml:space="preserve"> </w:t>
            </w:r>
            <w:r>
              <w:rPr>
                <w:rFonts w:ascii="Cambria" w:hAnsi="Cambria"/>
                <w:sz w:val="20"/>
                <w:szCs w:val="20"/>
                <w:lang w:val="es-AR"/>
              </w:rPr>
              <w:t>and Family</w:t>
            </w:r>
          </w:p>
        </w:tc>
        <w:tc>
          <w:tcPr>
            <w:tcW w:w="1328" w:type="dxa"/>
            <w:vAlign w:val="center"/>
          </w:tcPr>
          <w:p w14:paraId="3476ED99"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5185CD77" w14:textId="77777777" w:rsidR="0057201B" w:rsidRPr="00AE3A84" w:rsidRDefault="0057201B">
            <w:pPr>
              <w:jc w:val="center"/>
              <w:rPr>
                <w:rFonts w:ascii="Cambria" w:hAnsi="Cambria"/>
                <w:spacing w:val="-2"/>
                <w:sz w:val="20"/>
                <w:szCs w:val="20"/>
              </w:rPr>
            </w:pPr>
            <w:r>
              <w:rPr>
                <w:rFonts w:ascii="Cambria" w:hAnsi="Cambria"/>
                <w:spacing w:val="-2"/>
                <w:sz w:val="20"/>
                <w:szCs w:val="20"/>
              </w:rPr>
              <w:t>193/22</w:t>
            </w:r>
          </w:p>
        </w:tc>
        <w:tc>
          <w:tcPr>
            <w:tcW w:w="1440" w:type="dxa"/>
            <w:vAlign w:val="center"/>
          </w:tcPr>
          <w:p w14:paraId="152821A1"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8/3/2022</w:t>
            </w:r>
          </w:p>
        </w:tc>
        <w:tc>
          <w:tcPr>
            <w:tcW w:w="1890" w:type="dxa"/>
            <w:vAlign w:val="center"/>
          </w:tcPr>
          <w:p w14:paraId="3F9ED755"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1153-12</w:t>
            </w:r>
          </w:p>
        </w:tc>
      </w:tr>
      <w:tr w:rsidR="0057201B" w:rsidRPr="00AE3A84" w14:paraId="053A4E79" w14:textId="77777777" w:rsidTr="005615BA">
        <w:tc>
          <w:tcPr>
            <w:tcW w:w="544" w:type="dxa"/>
            <w:vAlign w:val="center"/>
          </w:tcPr>
          <w:p w14:paraId="62772283"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41</w:t>
            </w:r>
          </w:p>
        </w:tc>
        <w:tc>
          <w:tcPr>
            <w:tcW w:w="3253" w:type="dxa"/>
            <w:vAlign w:val="center"/>
          </w:tcPr>
          <w:p w14:paraId="0F73E9AA"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AR"/>
              </w:rPr>
              <w:t>Ana</w:t>
            </w:r>
            <w:r w:rsidRPr="00AE3A84">
              <w:rPr>
                <w:rFonts w:ascii="Cambria" w:hAnsi="Cambria"/>
                <w:spacing w:val="4"/>
                <w:sz w:val="20"/>
                <w:szCs w:val="20"/>
                <w:lang w:val="es-AR"/>
              </w:rPr>
              <w:t xml:space="preserve"> </w:t>
            </w:r>
            <w:r w:rsidRPr="00AE3A84">
              <w:rPr>
                <w:rFonts w:ascii="Cambria" w:hAnsi="Cambria"/>
                <w:spacing w:val="-1"/>
                <w:sz w:val="20"/>
                <w:szCs w:val="20"/>
                <w:lang w:val="es-AR"/>
              </w:rPr>
              <w:t>María</w:t>
            </w:r>
            <w:r w:rsidRPr="00AE3A84">
              <w:rPr>
                <w:rFonts w:ascii="Cambria" w:hAnsi="Cambria"/>
                <w:spacing w:val="4"/>
                <w:sz w:val="20"/>
                <w:szCs w:val="20"/>
                <w:lang w:val="es-AR"/>
              </w:rPr>
              <w:t xml:space="preserve"> </w:t>
            </w:r>
            <w:r w:rsidRPr="00AE3A84">
              <w:rPr>
                <w:rFonts w:ascii="Cambria" w:hAnsi="Cambria"/>
                <w:spacing w:val="-1"/>
                <w:sz w:val="20"/>
                <w:szCs w:val="20"/>
                <w:lang w:val="es-AR"/>
              </w:rPr>
              <w:t>Rodríguez</w:t>
            </w:r>
            <w:r w:rsidRPr="00AE3A84">
              <w:rPr>
                <w:rFonts w:ascii="Cambria" w:hAnsi="Cambria"/>
                <w:spacing w:val="6"/>
                <w:sz w:val="20"/>
                <w:szCs w:val="20"/>
                <w:lang w:val="es-AR"/>
              </w:rPr>
              <w:t xml:space="preserve"> </w:t>
            </w:r>
            <w:r>
              <w:rPr>
                <w:rFonts w:ascii="Cambria" w:hAnsi="Cambria"/>
                <w:sz w:val="20"/>
                <w:szCs w:val="20"/>
                <w:lang w:val="es-AR"/>
              </w:rPr>
              <w:t>et al.</w:t>
            </w:r>
          </w:p>
        </w:tc>
        <w:tc>
          <w:tcPr>
            <w:tcW w:w="1328" w:type="dxa"/>
            <w:vAlign w:val="center"/>
          </w:tcPr>
          <w:p w14:paraId="6CD7CBB6"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Honduras</w:t>
            </w:r>
          </w:p>
        </w:tc>
        <w:tc>
          <w:tcPr>
            <w:tcW w:w="1260" w:type="dxa"/>
            <w:vAlign w:val="center"/>
          </w:tcPr>
          <w:p w14:paraId="2DAF04B9" w14:textId="77777777" w:rsidR="0057201B" w:rsidRPr="00AE3A84" w:rsidRDefault="0057201B">
            <w:pPr>
              <w:jc w:val="center"/>
              <w:rPr>
                <w:rFonts w:ascii="Cambria" w:hAnsi="Cambria"/>
                <w:spacing w:val="-2"/>
                <w:sz w:val="20"/>
                <w:szCs w:val="20"/>
              </w:rPr>
            </w:pPr>
            <w:r>
              <w:rPr>
                <w:rFonts w:ascii="Cambria" w:hAnsi="Cambria"/>
                <w:spacing w:val="-2"/>
                <w:sz w:val="20"/>
                <w:szCs w:val="20"/>
              </w:rPr>
              <w:t>206/22</w:t>
            </w:r>
          </w:p>
        </w:tc>
        <w:tc>
          <w:tcPr>
            <w:tcW w:w="1440" w:type="dxa"/>
            <w:vAlign w:val="center"/>
          </w:tcPr>
          <w:p w14:paraId="2E54ED92"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8/11/2022</w:t>
            </w:r>
          </w:p>
        </w:tc>
        <w:tc>
          <w:tcPr>
            <w:tcW w:w="1890" w:type="dxa"/>
            <w:vAlign w:val="center"/>
          </w:tcPr>
          <w:p w14:paraId="0B2AD501"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862-15</w:t>
            </w:r>
          </w:p>
        </w:tc>
      </w:tr>
      <w:tr w:rsidR="0057201B" w:rsidRPr="00AE3A84" w14:paraId="6C6A53E5" w14:textId="77777777" w:rsidTr="005615BA">
        <w:tc>
          <w:tcPr>
            <w:tcW w:w="544" w:type="dxa"/>
            <w:vAlign w:val="center"/>
          </w:tcPr>
          <w:p w14:paraId="28E139E5"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lastRenderedPageBreak/>
              <w:t>42</w:t>
            </w:r>
          </w:p>
        </w:tc>
        <w:tc>
          <w:tcPr>
            <w:tcW w:w="3253" w:type="dxa"/>
            <w:vAlign w:val="center"/>
          </w:tcPr>
          <w:p w14:paraId="6376DA09"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Gerardo</w:t>
            </w:r>
            <w:r w:rsidRPr="00AE3A84">
              <w:rPr>
                <w:rFonts w:ascii="Cambria" w:hAnsi="Cambria"/>
                <w:spacing w:val="11"/>
                <w:sz w:val="20"/>
                <w:szCs w:val="20"/>
              </w:rPr>
              <w:t xml:space="preserve"> </w:t>
            </w:r>
            <w:r w:rsidRPr="00AE3A84">
              <w:rPr>
                <w:rFonts w:ascii="Cambria" w:hAnsi="Cambria"/>
                <w:spacing w:val="-1"/>
                <w:sz w:val="20"/>
                <w:szCs w:val="20"/>
              </w:rPr>
              <w:t>Maidana</w:t>
            </w:r>
          </w:p>
        </w:tc>
        <w:tc>
          <w:tcPr>
            <w:tcW w:w="1328" w:type="dxa"/>
            <w:vAlign w:val="center"/>
          </w:tcPr>
          <w:p w14:paraId="61976EEC"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Argentina</w:t>
            </w:r>
          </w:p>
        </w:tc>
        <w:tc>
          <w:tcPr>
            <w:tcW w:w="1260" w:type="dxa"/>
            <w:vAlign w:val="center"/>
          </w:tcPr>
          <w:p w14:paraId="098743E8" w14:textId="77777777" w:rsidR="0057201B" w:rsidRPr="00AE3A84" w:rsidRDefault="0057201B">
            <w:pPr>
              <w:jc w:val="center"/>
              <w:rPr>
                <w:rFonts w:ascii="Cambria" w:hAnsi="Cambria"/>
                <w:spacing w:val="-2"/>
                <w:sz w:val="20"/>
                <w:szCs w:val="20"/>
              </w:rPr>
            </w:pPr>
            <w:r>
              <w:rPr>
                <w:rFonts w:ascii="Cambria" w:hAnsi="Cambria"/>
                <w:spacing w:val="-2"/>
                <w:sz w:val="20"/>
                <w:szCs w:val="20"/>
              </w:rPr>
              <w:t>195/22</w:t>
            </w:r>
          </w:p>
        </w:tc>
        <w:tc>
          <w:tcPr>
            <w:tcW w:w="1440" w:type="dxa"/>
            <w:vAlign w:val="center"/>
          </w:tcPr>
          <w:p w14:paraId="2544CB89"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8/13/2022</w:t>
            </w:r>
          </w:p>
        </w:tc>
        <w:tc>
          <w:tcPr>
            <w:tcW w:w="1890" w:type="dxa"/>
            <w:vAlign w:val="center"/>
          </w:tcPr>
          <w:p w14:paraId="5B411FB5"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51-17</w:t>
            </w:r>
          </w:p>
        </w:tc>
      </w:tr>
      <w:tr w:rsidR="0057201B" w:rsidRPr="00AE3A84" w14:paraId="23D123AF" w14:textId="77777777" w:rsidTr="005615BA">
        <w:tc>
          <w:tcPr>
            <w:tcW w:w="544" w:type="dxa"/>
            <w:vAlign w:val="center"/>
          </w:tcPr>
          <w:p w14:paraId="46215CAC"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43</w:t>
            </w:r>
          </w:p>
        </w:tc>
        <w:tc>
          <w:tcPr>
            <w:tcW w:w="3253" w:type="dxa"/>
            <w:vAlign w:val="center"/>
          </w:tcPr>
          <w:p w14:paraId="08ECFC4B"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Dionisio</w:t>
            </w:r>
            <w:r w:rsidRPr="00AE3A84">
              <w:rPr>
                <w:rFonts w:ascii="Cambria" w:hAnsi="Cambria"/>
                <w:spacing w:val="6"/>
                <w:sz w:val="20"/>
                <w:szCs w:val="20"/>
              </w:rPr>
              <w:t xml:space="preserve"> </w:t>
            </w:r>
            <w:r w:rsidRPr="00AE3A84">
              <w:rPr>
                <w:rFonts w:ascii="Cambria" w:hAnsi="Cambria"/>
                <w:spacing w:val="-1"/>
                <w:sz w:val="20"/>
                <w:szCs w:val="20"/>
              </w:rPr>
              <w:t>Martínez</w:t>
            </w:r>
            <w:r w:rsidRPr="00AE3A84">
              <w:rPr>
                <w:rFonts w:ascii="Cambria" w:hAnsi="Cambria"/>
                <w:spacing w:val="9"/>
                <w:sz w:val="20"/>
                <w:szCs w:val="20"/>
              </w:rPr>
              <w:t xml:space="preserve"> </w:t>
            </w:r>
            <w:r w:rsidRPr="00AE3A84">
              <w:rPr>
                <w:rFonts w:ascii="Cambria" w:hAnsi="Cambria"/>
                <w:sz w:val="20"/>
                <w:szCs w:val="20"/>
              </w:rPr>
              <w:t>Silva</w:t>
            </w:r>
          </w:p>
        </w:tc>
        <w:tc>
          <w:tcPr>
            <w:tcW w:w="1328" w:type="dxa"/>
            <w:vAlign w:val="center"/>
          </w:tcPr>
          <w:p w14:paraId="06977981"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M</w:t>
            </w:r>
            <w:r>
              <w:rPr>
                <w:rFonts w:ascii="Cambria" w:hAnsi="Cambria"/>
                <w:spacing w:val="-1"/>
                <w:sz w:val="20"/>
                <w:szCs w:val="20"/>
              </w:rPr>
              <w:t>e</w:t>
            </w:r>
            <w:r w:rsidRPr="00AE3A84">
              <w:rPr>
                <w:rFonts w:ascii="Cambria" w:hAnsi="Cambria"/>
                <w:spacing w:val="-1"/>
                <w:sz w:val="20"/>
                <w:szCs w:val="20"/>
              </w:rPr>
              <w:t>xico</w:t>
            </w:r>
          </w:p>
        </w:tc>
        <w:tc>
          <w:tcPr>
            <w:tcW w:w="1260" w:type="dxa"/>
            <w:vAlign w:val="center"/>
          </w:tcPr>
          <w:p w14:paraId="7C1CFC70" w14:textId="77777777" w:rsidR="0057201B" w:rsidRPr="00AE3A84" w:rsidRDefault="0057201B">
            <w:pPr>
              <w:jc w:val="center"/>
              <w:rPr>
                <w:rFonts w:ascii="Cambria" w:hAnsi="Cambria"/>
                <w:spacing w:val="-2"/>
                <w:sz w:val="20"/>
                <w:szCs w:val="20"/>
              </w:rPr>
            </w:pPr>
            <w:r>
              <w:rPr>
                <w:rFonts w:ascii="Cambria" w:hAnsi="Cambria"/>
                <w:spacing w:val="-2"/>
                <w:sz w:val="20"/>
                <w:szCs w:val="20"/>
              </w:rPr>
              <w:t>198/22</w:t>
            </w:r>
          </w:p>
        </w:tc>
        <w:tc>
          <w:tcPr>
            <w:tcW w:w="1440" w:type="dxa"/>
            <w:vAlign w:val="center"/>
          </w:tcPr>
          <w:p w14:paraId="7F0D45D3"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8/13/2022</w:t>
            </w:r>
          </w:p>
        </w:tc>
        <w:tc>
          <w:tcPr>
            <w:tcW w:w="1890" w:type="dxa"/>
            <w:vAlign w:val="center"/>
          </w:tcPr>
          <w:p w14:paraId="3B3CBAA5"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866-10</w:t>
            </w:r>
          </w:p>
        </w:tc>
      </w:tr>
      <w:tr w:rsidR="0057201B" w:rsidRPr="00AE3A84" w14:paraId="0B0A14F8" w14:textId="77777777" w:rsidTr="005615BA">
        <w:tc>
          <w:tcPr>
            <w:tcW w:w="544" w:type="dxa"/>
            <w:vAlign w:val="center"/>
          </w:tcPr>
          <w:p w14:paraId="2952BEF3"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44</w:t>
            </w:r>
          </w:p>
        </w:tc>
        <w:tc>
          <w:tcPr>
            <w:tcW w:w="3253" w:type="dxa"/>
            <w:vAlign w:val="center"/>
          </w:tcPr>
          <w:p w14:paraId="667449F7"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Leonel</w:t>
            </w:r>
            <w:r w:rsidRPr="00AE3A84">
              <w:rPr>
                <w:rFonts w:ascii="Cambria" w:hAnsi="Cambria"/>
                <w:spacing w:val="8"/>
                <w:sz w:val="20"/>
                <w:szCs w:val="20"/>
              </w:rPr>
              <w:t xml:space="preserve"> </w:t>
            </w:r>
            <w:r w:rsidRPr="00AE3A84">
              <w:rPr>
                <w:rFonts w:ascii="Cambria" w:hAnsi="Cambria"/>
                <w:spacing w:val="-1"/>
                <w:sz w:val="20"/>
                <w:szCs w:val="20"/>
              </w:rPr>
              <w:t>Sandoval</w:t>
            </w:r>
            <w:r w:rsidRPr="00AE3A84">
              <w:rPr>
                <w:rFonts w:ascii="Cambria" w:hAnsi="Cambria"/>
                <w:spacing w:val="8"/>
                <w:sz w:val="20"/>
                <w:szCs w:val="20"/>
              </w:rPr>
              <w:t xml:space="preserve"> </w:t>
            </w:r>
            <w:r w:rsidRPr="00AE3A84">
              <w:rPr>
                <w:rFonts w:ascii="Cambria" w:hAnsi="Cambria"/>
                <w:spacing w:val="-1"/>
                <w:sz w:val="20"/>
                <w:szCs w:val="20"/>
              </w:rPr>
              <w:t>Villeda</w:t>
            </w:r>
          </w:p>
        </w:tc>
        <w:tc>
          <w:tcPr>
            <w:tcW w:w="1328" w:type="dxa"/>
            <w:vAlign w:val="center"/>
          </w:tcPr>
          <w:p w14:paraId="164672D5"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El</w:t>
            </w:r>
            <w:r w:rsidRPr="00AE3A84">
              <w:rPr>
                <w:rFonts w:ascii="Cambria" w:hAnsi="Cambria"/>
                <w:spacing w:val="6"/>
                <w:sz w:val="20"/>
                <w:szCs w:val="20"/>
              </w:rPr>
              <w:t xml:space="preserve"> </w:t>
            </w:r>
            <w:r w:rsidRPr="00AE3A84">
              <w:rPr>
                <w:rFonts w:ascii="Cambria" w:hAnsi="Cambria"/>
                <w:spacing w:val="-1"/>
                <w:sz w:val="20"/>
                <w:szCs w:val="20"/>
              </w:rPr>
              <w:t>Salvador</w:t>
            </w:r>
          </w:p>
        </w:tc>
        <w:tc>
          <w:tcPr>
            <w:tcW w:w="1260" w:type="dxa"/>
            <w:vAlign w:val="center"/>
          </w:tcPr>
          <w:p w14:paraId="27B010A6" w14:textId="77777777" w:rsidR="0057201B" w:rsidRPr="00AE3A84" w:rsidRDefault="0057201B">
            <w:pPr>
              <w:jc w:val="center"/>
              <w:rPr>
                <w:rFonts w:ascii="Cambria" w:hAnsi="Cambria"/>
                <w:spacing w:val="-2"/>
                <w:sz w:val="20"/>
                <w:szCs w:val="20"/>
              </w:rPr>
            </w:pPr>
            <w:r>
              <w:rPr>
                <w:rFonts w:ascii="Cambria" w:hAnsi="Cambria"/>
                <w:spacing w:val="-2"/>
                <w:sz w:val="20"/>
                <w:szCs w:val="20"/>
              </w:rPr>
              <w:t>200/22</w:t>
            </w:r>
          </w:p>
        </w:tc>
        <w:tc>
          <w:tcPr>
            <w:tcW w:w="1440" w:type="dxa"/>
            <w:vAlign w:val="center"/>
          </w:tcPr>
          <w:p w14:paraId="287B7DC8"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8/13/2022</w:t>
            </w:r>
          </w:p>
        </w:tc>
        <w:tc>
          <w:tcPr>
            <w:tcW w:w="1890" w:type="dxa"/>
            <w:vAlign w:val="center"/>
          </w:tcPr>
          <w:p w14:paraId="24953474"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1425-12</w:t>
            </w:r>
          </w:p>
        </w:tc>
      </w:tr>
      <w:tr w:rsidR="0057201B" w:rsidRPr="00AE3A84" w14:paraId="7B6F4680" w14:textId="77777777" w:rsidTr="005615BA">
        <w:tc>
          <w:tcPr>
            <w:tcW w:w="544" w:type="dxa"/>
            <w:vAlign w:val="center"/>
          </w:tcPr>
          <w:p w14:paraId="1CD324DE"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45</w:t>
            </w:r>
          </w:p>
        </w:tc>
        <w:tc>
          <w:tcPr>
            <w:tcW w:w="3253" w:type="dxa"/>
            <w:vAlign w:val="center"/>
          </w:tcPr>
          <w:p w14:paraId="6B3A2A05"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Hernando</w:t>
            </w:r>
            <w:r w:rsidRPr="00AE3A84">
              <w:rPr>
                <w:rFonts w:ascii="Cambria" w:hAnsi="Cambria"/>
                <w:spacing w:val="10"/>
                <w:sz w:val="20"/>
                <w:szCs w:val="20"/>
              </w:rPr>
              <w:t xml:space="preserve"> </w:t>
            </w:r>
            <w:r w:rsidRPr="00AE3A84">
              <w:rPr>
                <w:rFonts w:ascii="Cambria" w:hAnsi="Cambria"/>
                <w:spacing w:val="-1"/>
                <w:sz w:val="20"/>
                <w:szCs w:val="20"/>
              </w:rPr>
              <w:t>Ramírez</w:t>
            </w:r>
            <w:r w:rsidRPr="00AE3A84">
              <w:rPr>
                <w:rFonts w:ascii="Cambria" w:hAnsi="Cambria"/>
                <w:spacing w:val="13"/>
                <w:sz w:val="20"/>
                <w:szCs w:val="20"/>
              </w:rPr>
              <w:t xml:space="preserve"> </w:t>
            </w:r>
            <w:r w:rsidRPr="00AE3A84">
              <w:rPr>
                <w:rFonts w:ascii="Cambria" w:hAnsi="Cambria"/>
                <w:spacing w:val="-1"/>
                <w:sz w:val="20"/>
                <w:szCs w:val="20"/>
              </w:rPr>
              <w:t>Arboleda</w:t>
            </w:r>
          </w:p>
        </w:tc>
        <w:tc>
          <w:tcPr>
            <w:tcW w:w="1328" w:type="dxa"/>
            <w:vAlign w:val="center"/>
          </w:tcPr>
          <w:p w14:paraId="316AE5B2"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6CFABC72" w14:textId="77777777" w:rsidR="0057201B" w:rsidRPr="00AE3A84" w:rsidRDefault="0057201B">
            <w:pPr>
              <w:jc w:val="center"/>
              <w:rPr>
                <w:rFonts w:ascii="Cambria" w:hAnsi="Cambria"/>
                <w:spacing w:val="-2"/>
                <w:sz w:val="20"/>
                <w:szCs w:val="20"/>
              </w:rPr>
            </w:pPr>
            <w:r>
              <w:rPr>
                <w:rFonts w:ascii="Cambria" w:hAnsi="Cambria"/>
                <w:spacing w:val="-2"/>
                <w:sz w:val="20"/>
                <w:szCs w:val="20"/>
              </w:rPr>
              <w:t>201/22</w:t>
            </w:r>
          </w:p>
        </w:tc>
        <w:tc>
          <w:tcPr>
            <w:tcW w:w="1440" w:type="dxa"/>
            <w:vAlign w:val="center"/>
          </w:tcPr>
          <w:p w14:paraId="6A1C58FF"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8/13/2022</w:t>
            </w:r>
          </w:p>
        </w:tc>
        <w:tc>
          <w:tcPr>
            <w:tcW w:w="1890" w:type="dxa"/>
            <w:vAlign w:val="center"/>
          </w:tcPr>
          <w:p w14:paraId="5C8F2AF1"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1703-09</w:t>
            </w:r>
          </w:p>
        </w:tc>
      </w:tr>
      <w:tr w:rsidR="0057201B" w:rsidRPr="00AE3A84" w14:paraId="21840E6E" w14:textId="77777777" w:rsidTr="005615BA">
        <w:tc>
          <w:tcPr>
            <w:tcW w:w="544" w:type="dxa"/>
            <w:vAlign w:val="center"/>
          </w:tcPr>
          <w:p w14:paraId="76F08C5D"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46</w:t>
            </w:r>
          </w:p>
        </w:tc>
        <w:tc>
          <w:tcPr>
            <w:tcW w:w="3253" w:type="dxa"/>
            <w:vAlign w:val="center"/>
          </w:tcPr>
          <w:p w14:paraId="0545D356" w14:textId="77777777" w:rsidR="0057201B" w:rsidRPr="00392B07" w:rsidRDefault="0057201B">
            <w:pPr>
              <w:rPr>
                <w:rFonts w:ascii="Cambria" w:hAnsi="Cambria"/>
                <w:sz w:val="20"/>
                <w:szCs w:val="20"/>
              </w:rPr>
            </w:pPr>
            <w:r w:rsidRPr="00392B07">
              <w:rPr>
                <w:rFonts w:ascii="Cambria" w:hAnsi="Cambria"/>
                <w:spacing w:val="-1"/>
                <w:sz w:val="20"/>
                <w:szCs w:val="20"/>
              </w:rPr>
              <w:t>María</w:t>
            </w:r>
            <w:r w:rsidRPr="00392B07">
              <w:rPr>
                <w:rFonts w:ascii="Cambria" w:hAnsi="Cambria"/>
                <w:spacing w:val="4"/>
                <w:sz w:val="20"/>
                <w:szCs w:val="20"/>
              </w:rPr>
              <w:t xml:space="preserve"> </w:t>
            </w:r>
            <w:r w:rsidRPr="00392B07">
              <w:rPr>
                <w:rFonts w:ascii="Cambria" w:hAnsi="Cambria"/>
                <w:spacing w:val="-1"/>
                <w:sz w:val="20"/>
                <w:szCs w:val="20"/>
              </w:rPr>
              <w:t>Roselia</w:t>
            </w:r>
            <w:r w:rsidRPr="00392B07">
              <w:rPr>
                <w:rFonts w:ascii="Cambria" w:hAnsi="Cambria"/>
                <w:spacing w:val="4"/>
                <w:sz w:val="20"/>
                <w:szCs w:val="20"/>
              </w:rPr>
              <w:t xml:space="preserve"> </w:t>
            </w:r>
            <w:r w:rsidRPr="00392B07">
              <w:rPr>
                <w:rFonts w:ascii="Cambria" w:hAnsi="Cambria"/>
                <w:spacing w:val="-1"/>
                <w:sz w:val="20"/>
                <w:szCs w:val="20"/>
              </w:rPr>
              <w:t>Sánchez</w:t>
            </w:r>
            <w:r w:rsidRPr="00392B07">
              <w:rPr>
                <w:rFonts w:ascii="Cambria" w:hAnsi="Cambria"/>
                <w:spacing w:val="6"/>
                <w:sz w:val="20"/>
                <w:szCs w:val="20"/>
              </w:rPr>
              <w:t xml:space="preserve"> </w:t>
            </w:r>
            <w:r w:rsidRPr="00392B07">
              <w:rPr>
                <w:rFonts w:ascii="Cambria" w:hAnsi="Cambria"/>
                <w:spacing w:val="-1"/>
                <w:sz w:val="20"/>
                <w:szCs w:val="20"/>
              </w:rPr>
              <w:t>de</w:t>
            </w:r>
            <w:r w:rsidRPr="00392B07">
              <w:rPr>
                <w:rFonts w:ascii="Cambria" w:hAnsi="Cambria"/>
                <w:spacing w:val="6"/>
                <w:sz w:val="20"/>
                <w:szCs w:val="20"/>
              </w:rPr>
              <w:t xml:space="preserve"> </w:t>
            </w:r>
            <w:r w:rsidRPr="00392B07">
              <w:rPr>
                <w:rFonts w:ascii="Cambria" w:hAnsi="Cambria"/>
                <w:spacing w:val="-1"/>
                <w:sz w:val="20"/>
                <w:szCs w:val="20"/>
              </w:rPr>
              <w:t>Ramírez</w:t>
            </w:r>
            <w:r w:rsidRPr="00392B07">
              <w:rPr>
                <w:rFonts w:ascii="Cambria" w:hAnsi="Cambria"/>
                <w:spacing w:val="5"/>
                <w:sz w:val="20"/>
                <w:szCs w:val="20"/>
              </w:rPr>
              <w:t xml:space="preserve"> and other Relatives of Police </w:t>
            </w:r>
            <w:r>
              <w:rPr>
                <w:rFonts w:ascii="Cambria" w:hAnsi="Cambria"/>
                <w:spacing w:val="5"/>
                <w:sz w:val="20"/>
                <w:szCs w:val="20"/>
              </w:rPr>
              <w:t xml:space="preserve">Officers </w:t>
            </w:r>
            <w:r w:rsidRPr="004E06E9">
              <w:rPr>
                <w:rFonts w:ascii="Cambria" w:hAnsi="Cambria"/>
                <w:spacing w:val="5"/>
                <w:sz w:val="20"/>
                <w:szCs w:val="20"/>
              </w:rPr>
              <w:t>Killed in Medellín</w:t>
            </w:r>
            <w:r>
              <w:rPr>
                <w:rFonts w:ascii="Cambria" w:hAnsi="Cambria"/>
                <w:sz w:val="20"/>
                <w:szCs w:val="20"/>
              </w:rPr>
              <w:t xml:space="preserve"> </w:t>
            </w:r>
            <w:r w:rsidRPr="004E06E9">
              <w:rPr>
                <w:rFonts w:ascii="Cambria" w:hAnsi="Cambria"/>
                <w:spacing w:val="5"/>
                <w:sz w:val="20"/>
                <w:szCs w:val="20"/>
              </w:rPr>
              <w:t xml:space="preserve">due to Drug Trafficking </w:t>
            </w:r>
          </w:p>
        </w:tc>
        <w:tc>
          <w:tcPr>
            <w:tcW w:w="1328" w:type="dxa"/>
            <w:vAlign w:val="center"/>
          </w:tcPr>
          <w:p w14:paraId="62C92DFB"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5AF5E8AC" w14:textId="77777777" w:rsidR="0057201B" w:rsidRPr="00AE3A84" w:rsidRDefault="0057201B">
            <w:pPr>
              <w:jc w:val="center"/>
              <w:rPr>
                <w:rFonts w:ascii="Cambria" w:hAnsi="Cambria"/>
                <w:spacing w:val="-2"/>
                <w:sz w:val="20"/>
                <w:szCs w:val="20"/>
              </w:rPr>
            </w:pPr>
            <w:r>
              <w:rPr>
                <w:rFonts w:ascii="Cambria" w:hAnsi="Cambria"/>
                <w:spacing w:val="-2"/>
                <w:sz w:val="20"/>
                <w:szCs w:val="20"/>
              </w:rPr>
              <w:t>209/22</w:t>
            </w:r>
          </w:p>
        </w:tc>
        <w:tc>
          <w:tcPr>
            <w:tcW w:w="1440" w:type="dxa"/>
            <w:vAlign w:val="center"/>
          </w:tcPr>
          <w:p w14:paraId="26EBFD4E"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8/13/2022</w:t>
            </w:r>
          </w:p>
        </w:tc>
        <w:tc>
          <w:tcPr>
            <w:tcW w:w="1890" w:type="dxa"/>
            <w:vAlign w:val="center"/>
          </w:tcPr>
          <w:p w14:paraId="4661659D"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435-09</w:t>
            </w:r>
          </w:p>
        </w:tc>
      </w:tr>
      <w:tr w:rsidR="0057201B" w:rsidRPr="00AE3A84" w14:paraId="2E78B252" w14:textId="77777777" w:rsidTr="005615BA">
        <w:tc>
          <w:tcPr>
            <w:tcW w:w="544" w:type="dxa"/>
            <w:vAlign w:val="center"/>
          </w:tcPr>
          <w:p w14:paraId="622A55FE"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47</w:t>
            </w:r>
          </w:p>
        </w:tc>
        <w:tc>
          <w:tcPr>
            <w:tcW w:w="3253" w:type="dxa"/>
            <w:vAlign w:val="center"/>
          </w:tcPr>
          <w:p w14:paraId="0D31EEC8"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Jaime</w:t>
            </w:r>
            <w:r w:rsidRPr="00AE3A84">
              <w:rPr>
                <w:rFonts w:ascii="Cambria" w:hAnsi="Cambria"/>
                <w:spacing w:val="7"/>
                <w:sz w:val="20"/>
                <w:szCs w:val="20"/>
              </w:rPr>
              <w:t xml:space="preserve"> </w:t>
            </w:r>
            <w:r w:rsidRPr="00AE3A84">
              <w:rPr>
                <w:rFonts w:ascii="Cambria" w:hAnsi="Cambria"/>
                <w:spacing w:val="-1"/>
                <w:sz w:val="20"/>
                <w:szCs w:val="20"/>
              </w:rPr>
              <w:t>Efraín</w:t>
            </w:r>
            <w:r w:rsidRPr="00AE3A84">
              <w:rPr>
                <w:rFonts w:ascii="Cambria" w:hAnsi="Cambria"/>
                <w:spacing w:val="7"/>
                <w:sz w:val="20"/>
                <w:szCs w:val="20"/>
              </w:rPr>
              <w:t xml:space="preserve"> </w:t>
            </w:r>
            <w:r w:rsidRPr="00AE3A84">
              <w:rPr>
                <w:rFonts w:ascii="Cambria" w:hAnsi="Cambria"/>
                <w:spacing w:val="-1"/>
                <w:sz w:val="20"/>
                <w:szCs w:val="20"/>
              </w:rPr>
              <w:t>Llango</w:t>
            </w:r>
            <w:r w:rsidRPr="00AE3A84">
              <w:rPr>
                <w:rFonts w:ascii="Cambria" w:hAnsi="Cambria"/>
                <w:spacing w:val="5"/>
                <w:sz w:val="20"/>
                <w:szCs w:val="20"/>
              </w:rPr>
              <w:t xml:space="preserve"> </w:t>
            </w:r>
            <w:r w:rsidRPr="00AE3A84">
              <w:rPr>
                <w:rFonts w:ascii="Cambria" w:hAnsi="Cambria"/>
                <w:spacing w:val="-1"/>
                <w:sz w:val="20"/>
                <w:szCs w:val="20"/>
              </w:rPr>
              <w:t>Pumashunta</w:t>
            </w:r>
          </w:p>
        </w:tc>
        <w:tc>
          <w:tcPr>
            <w:tcW w:w="1328" w:type="dxa"/>
            <w:vAlign w:val="center"/>
          </w:tcPr>
          <w:p w14:paraId="4FA22BA6"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Ecuador</w:t>
            </w:r>
          </w:p>
        </w:tc>
        <w:tc>
          <w:tcPr>
            <w:tcW w:w="1260" w:type="dxa"/>
            <w:vAlign w:val="center"/>
          </w:tcPr>
          <w:p w14:paraId="1B71539A" w14:textId="77777777" w:rsidR="0057201B" w:rsidRPr="00AE3A84" w:rsidRDefault="0057201B">
            <w:pPr>
              <w:jc w:val="center"/>
              <w:rPr>
                <w:rFonts w:ascii="Cambria" w:hAnsi="Cambria"/>
                <w:spacing w:val="-2"/>
                <w:sz w:val="20"/>
                <w:szCs w:val="20"/>
              </w:rPr>
            </w:pPr>
            <w:r>
              <w:rPr>
                <w:rFonts w:ascii="Cambria" w:hAnsi="Cambria"/>
                <w:spacing w:val="-2"/>
                <w:sz w:val="20"/>
                <w:szCs w:val="20"/>
              </w:rPr>
              <w:t>211/22</w:t>
            </w:r>
          </w:p>
        </w:tc>
        <w:tc>
          <w:tcPr>
            <w:tcW w:w="1440" w:type="dxa"/>
            <w:vAlign w:val="center"/>
          </w:tcPr>
          <w:p w14:paraId="65A0FBAE"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8/13/2022</w:t>
            </w:r>
          </w:p>
        </w:tc>
        <w:tc>
          <w:tcPr>
            <w:tcW w:w="1890" w:type="dxa"/>
            <w:vAlign w:val="center"/>
          </w:tcPr>
          <w:p w14:paraId="6BE44003"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332-12</w:t>
            </w:r>
          </w:p>
        </w:tc>
      </w:tr>
      <w:tr w:rsidR="0057201B" w:rsidRPr="00AE3A84" w14:paraId="3808BFDE" w14:textId="77777777" w:rsidTr="005615BA">
        <w:tc>
          <w:tcPr>
            <w:tcW w:w="544" w:type="dxa"/>
            <w:vAlign w:val="center"/>
          </w:tcPr>
          <w:p w14:paraId="675DB7BF"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48</w:t>
            </w:r>
          </w:p>
        </w:tc>
        <w:tc>
          <w:tcPr>
            <w:tcW w:w="3253" w:type="dxa"/>
            <w:vAlign w:val="center"/>
          </w:tcPr>
          <w:p w14:paraId="115F10ED" w14:textId="77777777" w:rsidR="0057201B" w:rsidRPr="00AE3A84" w:rsidRDefault="0057201B">
            <w:pPr>
              <w:rPr>
                <w:rFonts w:ascii="Cambria" w:hAnsi="Cambria"/>
                <w:sz w:val="20"/>
                <w:szCs w:val="20"/>
              </w:rPr>
            </w:pPr>
            <w:r w:rsidRPr="00AE3A84">
              <w:rPr>
                <w:rFonts w:ascii="Cambria" w:hAnsi="Cambria"/>
                <w:spacing w:val="-2"/>
                <w:sz w:val="20"/>
                <w:szCs w:val="20"/>
              </w:rPr>
              <w:t>Lori</w:t>
            </w:r>
            <w:r w:rsidRPr="00AE3A84">
              <w:rPr>
                <w:rFonts w:ascii="Cambria" w:hAnsi="Cambria"/>
                <w:spacing w:val="4"/>
                <w:sz w:val="20"/>
                <w:szCs w:val="20"/>
              </w:rPr>
              <w:t xml:space="preserve"> </w:t>
            </w:r>
            <w:r w:rsidRPr="00AE3A84">
              <w:rPr>
                <w:rFonts w:ascii="Cambria" w:hAnsi="Cambria"/>
                <w:spacing w:val="-1"/>
                <w:sz w:val="20"/>
                <w:szCs w:val="20"/>
              </w:rPr>
              <w:t>Handrahan</w:t>
            </w:r>
            <w:r w:rsidRPr="00AE3A84">
              <w:rPr>
                <w:rFonts w:ascii="Cambria" w:hAnsi="Cambria"/>
                <w:spacing w:val="4"/>
                <w:sz w:val="20"/>
                <w:szCs w:val="20"/>
              </w:rPr>
              <w:t xml:space="preserve"> </w:t>
            </w:r>
            <w:r w:rsidRPr="00AE3A84">
              <w:rPr>
                <w:rFonts w:ascii="Cambria" w:hAnsi="Cambria"/>
                <w:spacing w:val="-1"/>
                <w:sz w:val="20"/>
                <w:szCs w:val="20"/>
              </w:rPr>
              <w:t>and</w:t>
            </w:r>
            <w:r w:rsidRPr="00AE3A84">
              <w:rPr>
                <w:rFonts w:ascii="Cambria" w:hAnsi="Cambria"/>
                <w:spacing w:val="4"/>
                <w:sz w:val="20"/>
                <w:szCs w:val="20"/>
              </w:rPr>
              <w:t xml:space="preserve"> </w:t>
            </w:r>
            <w:r w:rsidRPr="00AE3A84">
              <w:rPr>
                <w:rFonts w:ascii="Cambria" w:hAnsi="Cambria"/>
                <w:spacing w:val="-1"/>
                <w:sz w:val="20"/>
                <w:szCs w:val="20"/>
              </w:rPr>
              <w:t>her</w:t>
            </w:r>
            <w:r w:rsidRPr="00AE3A84">
              <w:rPr>
                <w:rFonts w:ascii="Cambria" w:hAnsi="Cambria"/>
                <w:spacing w:val="3"/>
                <w:sz w:val="20"/>
                <w:szCs w:val="20"/>
              </w:rPr>
              <w:t xml:space="preserve"> </w:t>
            </w:r>
            <w:r>
              <w:rPr>
                <w:rFonts w:ascii="Cambria" w:hAnsi="Cambria"/>
                <w:spacing w:val="-1"/>
                <w:sz w:val="20"/>
                <w:szCs w:val="20"/>
              </w:rPr>
              <w:t>D</w:t>
            </w:r>
            <w:r w:rsidRPr="00AE3A84">
              <w:rPr>
                <w:rFonts w:ascii="Cambria" w:hAnsi="Cambria"/>
                <w:spacing w:val="-1"/>
                <w:sz w:val="20"/>
                <w:szCs w:val="20"/>
              </w:rPr>
              <w:t>aughter</w:t>
            </w:r>
            <w:r w:rsidRPr="00AE3A84">
              <w:rPr>
                <w:rFonts w:ascii="Cambria" w:hAnsi="Cambria"/>
                <w:spacing w:val="4"/>
                <w:sz w:val="20"/>
                <w:szCs w:val="20"/>
              </w:rPr>
              <w:t xml:space="preserve"> </w:t>
            </w:r>
            <w:r w:rsidRPr="00AE3A84">
              <w:rPr>
                <w:rFonts w:ascii="Cambria" w:hAnsi="Cambria"/>
                <w:spacing w:val="-1"/>
                <w:sz w:val="20"/>
                <w:szCs w:val="20"/>
              </w:rPr>
              <w:t>M.M.</w:t>
            </w:r>
          </w:p>
        </w:tc>
        <w:tc>
          <w:tcPr>
            <w:tcW w:w="1328" w:type="dxa"/>
            <w:vAlign w:val="center"/>
          </w:tcPr>
          <w:p w14:paraId="07191537" w14:textId="77777777" w:rsidR="0057201B" w:rsidRPr="00AE3A84" w:rsidRDefault="0057201B">
            <w:pPr>
              <w:rPr>
                <w:rFonts w:ascii="Cambria" w:hAnsi="Cambria"/>
                <w:sz w:val="20"/>
                <w:szCs w:val="20"/>
                <w:lang w:val="es-ES_tradnl"/>
              </w:rPr>
            </w:pPr>
            <w:r>
              <w:rPr>
                <w:rFonts w:ascii="Cambria" w:hAnsi="Cambria"/>
                <w:spacing w:val="-1"/>
                <w:sz w:val="20"/>
                <w:szCs w:val="20"/>
              </w:rPr>
              <w:t>United States</w:t>
            </w:r>
          </w:p>
        </w:tc>
        <w:tc>
          <w:tcPr>
            <w:tcW w:w="1260" w:type="dxa"/>
            <w:vAlign w:val="center"/>
          </w:tcPr>
          <w:p w14:paraId="684F8C89" w14:textId="77777777" w:rsidR="0057201B" w:rsidRPr="00AE3A84" w:rsidRDefault="0057201B">
            <w:pPr>
              <w:jc w:val="center"/>
              <w:rPr>
                <w:rFonts w:ascii="Cambria" w:hAnsi="Cambria"/>
                <w:spacing w:val="-2"/>
                <w:sz w:val="20"/>
                <w:szCs w:val="20"/>
              </w:rPr>
            </w:pPr>
            <w:r>
              <w:rPr>
                <w:rFonts w:ascii="Cambria" w:hAnsi="Cambria"/>
                <w:spacing w:val="-2"/>
                <w:sz w:val="20"/>
                <w:szCs w:val="20"/>
              </w:rPr>
              <w:t>217/22</w:t>
            </w:r>
          </w:p>
        </w:tc>
        <w:tc>
          <w:tcPr>
            <w:tcW w:w="1440" w:type="dxa"/>
            <w:vAlign w:val="center"/>
          </w:tcPr>
          <w:p w14:paraId="4ECF4E64"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8/13/2022</w:t>
            </w:r>
          </w:p>
        </w:tc>
        <w:tc>
          <w:tcPr>
            <w:tcW w:w="1890" w:type="dxa"/>
            <w:vAlign w:val="center"/>
          </w:tcPr>
          <w:p w14:paraId="01FF3E61"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1134-14</w:t>
            </w:r>
          </w:p>
        </w:tc>
      </w:tr>
      <w:tr w:rsidR="0057201B" w:rsidRPr="00AE3A84" w14:paraId="7F8D479E" w14:textId="77777777" w:rsidTr="005615BA">
        <w:tc>
          <w:tcPr>
            <w:tcW w:w="544" w:type="dxa"/>
            <w:vAlign w:val="center"/>
          </w:tcPr>
          <w:p w14:paraId="42B57D12"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49</w:t>
            </w:r>
          </w:p>
        </w:tc>
        <w:tc>
          <w:tcPr>
            <w:tcW w:w="3253" w:type="dxa"/>
            <w:vAlign w:val="center"/>
          </w:tcPr>
          <w:p w14:paraId="478BE8B7"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Ana</w:t>
            </w:r>
            <w:r w:rsidRPr="00AE3A84">
              <w:rPr>
                <w:rFonts w:ascii="Cambria" w:hAnsi="Cambria"/>
                <w:spacing w:val="6"/>
                <w:sz w:val="20"/>
                <w:szCs w:val="20"/>
              </w:rPr>
              <w:t xml:space="preserve"> </w:t>
            </w:r>
            <w:r w:rsidRPr="00AE3A84">
              <w:rPr>
                <w:rFonts w:ascii="Cambria" w:hAnsi="Cambria"/>
                <w:spacing w:val="-1"/>
                <w:sz w:val="20"/>
                <w:szCs w:val="20"/>
              </w:rPr>
              <w:t>Luzmilla</w:t>
            </w:r>
            <w:r w:rsidRPr="00AE3A84">
              <w:rPr>
                <w:rFonts w:ascii="Cambria" w:hAnsi="Cambria"/>
                <w:spacing w:val="7"/>
                <w:sz w:val="20"/>
                <w:szCs w:val="20"/>
              </w:rPr>
              <w:t xml:space="preserve"> </w:t>
            </w:r>
            <w:r w:rsidRPr="00AE3A84">
              <w:rPr>
                <w:rFonts w:ascii="Cambria" w:hAnsi="Cambria"/>
                <w:spacing w:val="-1"/>
                <w:sz w:val="20"/>
                <w:szCs w:val="20"/>
              </w:rPr>
              <w:t>Espinoza</w:t>
            </w:r>
            <w:r w:rsidRPr="00AE3A84">
              <w:rPr>
                <w:rFonts w:ascii="Cambria" w:hAnsi="Cambria"/>
                <w:spacing w:val="7"/>
                <w:sz w:val="20"/>
                <w:szCs w:val="20"/>
              </w:rPr>
              <w:t xml:space="preserve"> </w:t>
            </w:r>
            <w:r w:rsidRPr="00AE3A84">
              <w:rPr>
                <w:rFonts w:ascii="Cambria" w:hAnsi="Cambria"/>
                <w:spacing w:val="-1"/>
                <w:sz w:val="20"/>
                <w:szCs w:val="20"/>
              </w:rPr>
              <w:t>Sánchez</w:t>
            </w:r>
          </w:p>
        </w:tc>
        <w:tc>
          <w:tcPr>
            <w:tcW w:w="1328" w:type="dxa"/>
            <w:vAlign w:val="center"/>
          </w:tcPr>
          <w:p w14:paraId="5D6B91C4"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Per</w:t>
            </w:r>
            <w:r>
              <w:rPr>
                <w:rFonts w:ascii="Cambria" w:hAnsi="Cambria"/>
                <w:spacing w:val="-1"/>
                <w:sz w:val="20"/>
                <w:szCs w:val="20"/>
              </w:rPr>
              <w:t>u</w:t>
            </w:r>
          </w:p>
        </w:tc>
        <w:tc>
          <w:tcPr>
            <w:tcW w:w="1260" w:type="dxa"/>
            <w:vAlign w:val="center"/>
          </w:tcPr>
          <w:p w14:paraId="02C3EB84" w14:textId="77777777" w:rsidR="0057201B" w:rsidRPr="00AE3A84" w:rsidRDefault="0057201B">
            <w:pPr>
              <w:jc w:val="center"/>
              <w:rPr>
                <w:rFonts w:ascii="Cambria" w:hAnsi="Cambria"/>
                <w:spacing w:val="-2"/>
                <w:sz w:val="20"/>
                <w:szCs w:val="20"/>
              </w:rPr>
            </w:pPr>
            <w:r>
              <w:rPr>
                <w:rFonts w:ascii="Cambria" w:hAnsi="Cambria"/>
                <w:spacing w:val="-2"/>
                <w:sz w:val="20"/>
                <w:szCs w:val="20"/>
              </w:rPr>
              <w:t>356/22</w:t>
            </w:r>
          </w:p>
        </w:tc>
        <w:tc>
          <w:tcPr>
            <w:tcW w:w="1440" w:type="dxa"/>
            <w:vAlign w:val="center"/>
          </w:tcPr>
          <w:p w14:paraId="312EDC3A"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12/14/2022</w:t>
            </w:r>
          </w:p>
        </w:tc>
        <w:tc>
          <w:tcPr>
            <w:tcW w:w="1890" w:type="dxa"/>
            <w:vAlign w:val="center"/>
          </w:tcPr>
          <w:p w14:paraId="6DC37C87"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1513-14</w:t>
            </w:r>
          </w:p>
        </w:tc>
      </w:tr>
      <w:tr w:rsidR="0057201B" w:rsidRPr="00AE3A84" w14:paraId="4DFE83FC" w14:textId="77777777" w:rsidTr="005615BA">
        <w:tc>
          <w:tcPr>
            <w:tcW w:w="544" w:type="dxa"/>
            <w:vAlign w:val="center"/>
          </w:tcPr>
          <w:p w14:paraId="6A016CE9"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50</w:t>
            </w:r>
          </w:p>
        </w:tc>
        <w:tc>
          <w:tcPr>
            <w:tcW w:w="3253" w:type="dxa"/>
            <w:vAlign w:val="center"/>
          </w:tcPr>
          <w:p w14:paraId="53BC11DE" w14:textId="77777777" w:rsidR="0057201B" w:rsidRPr="00392B07" w:rsidRDefault="0057201B">
            <w:pPr>
              <w:rPr>
                <w:rFonts w:ascii="Cambria" w:hAnsi="Cambria"/>
                <w:sz w:val="20"/>
                <w:szCs w:val="20"/>
              </w:rPr>
            </w:pPr>
            <w:r w:rsidRPr="00392B07">
              <w:rPr>
                <w:rFonts w:ascii="Cambria" w:hAnsi="Cambria"/>
                <w:spacing w:val="-1"/>
                <w:sz w:val="20"/>
                <w:szCs w:val="20"/>
              </w:rPr>
              <w:t>Jorge</w:t>
            </w:r>
            <w:r w:rsidRPr="00392B07">
              <w:rPr>
                <w:rFonts w:ascii="Cambria" w:hAnsi="Cambria"/>
                <w:spacing w:val="6"/>
                <w:sz w:val="20"/>
                <w:szCs w:val="20"/>
              </w:rPr>
              <w:t xml:space="preserve"> </w:t>
            </w:r>
            <w:r w:rsidRPr="00392B07">
              <w:rPr>
                <w:rFonts w:ascii="Cambria" w:hAnsi="Cambria"/>
                <w:spacing w:val="-1"/>
                <w:sz w:val="20"/>
                <w:szCs w:val="20"/>
              </w:rPr>
              <w:t>Alberto</w:t>
            </w:r>
            <w:r w:rsidRPr="00392B07">
              <w:rPr>
                <w:rFonts w:ascii="Cambria" w:hAnsi="Cambria"/>
                <w:spacing w:val="3"/>
                <w:sz w:val="20"/>
                <w:szCs w:val="20"/>
              </w:rPr>
              <w:t xml:space="preserve"> </w:t>
            </w:r>
            <w:r w:rsidRPr="00392B07">
              <w:rPr>
                <w:rFonts w:ascii="Cambria" w:hAnsi="Cambria"/>
                <w:spacing w:val="-1"/>
                <w:sz w:val="20"/>
                <w:szCs w:val="20"/>
              </w:rPr>
              <w:t>Pardo</w:t>
            </w:r>
            <w:r w:rsidRPr="00392B07">
              <w:rPr>
                <w:rFonts w:ascii="Cambria" w:hAnsi="Cambria"/>
                <w:spacing w:val="4"/>
                <w:sz w:val="20"/>
                <w:szCs w:val="20"/>
              </w:rPr>
              <w:t xml:space="preserve"> </w:t>
            </w:r>
            <w:r w:rsidRPr="00392B07">
              <w:rPr>
                <w:rFonts w:ascii="Cambria" w:hAnsi="Cambria"/>
                <w:sz w:val="20"/>
                <w:szCs w:val="20"/>
              </w:rPr>
              <w:t>and F</w:t>
            </w:r>
            <w:r>
              <w:rPr>
                <w:rFonts w:ascii="Cambria" w:hAnsi="Cambria"/>
                <w:sz w:val="20"/>
                <w:szCs w:val="20"/>
              </w:rPr>
              <w:t>amily</w:t>
            </w:r>
          </w:p>
        </w:tc>
        <w:tc>
          <w:tcPr>
            <w:tcW w:w="1328" w:type="dxa"/>
            <w:vAlign w:val="center"/>
          </w:tcPr>
          <w:p w14:paraId="710648B6"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192070DF" w14:textId="77777777" w:rsidR="0057201B" w:rsidRPr="00AE3A84" w:rsidRDefault="0057201B">
            <w:pPr>
              <w:jc w:val="center"/>
              <w:rPr>
                <w:rFonts w:ascii="Cambria" w:hAnsi="Cambria"/>
                <w:spacing w:val="-2"/>
                <w:sz w:val="20"/>
                <w:szCs w:val="20"/>
              </w:rPr>
            </w:pPr>
            <w:r>
              <w:rPr>
                <w:rFonts w:ascii="Cambria" w:hAnsi="Cambria"/>
                <w:spacing w:val="-2"/>
                <w:sz w:val="20"/>
                <w:szCs w:val="20"/>
              </w:rPr>
              <w:t>218/22</w:t>
            </w:r>
          </w:p>
        </w:tc>
        <w:tc>
          <w:tcPr>
            <w:tcW w:w="1440" w:type="dxa"/>
            <w:vAlign w:val="center"/>
          </w:tcPr>
          <w:p w14:paraId="0C96CD24"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8/15/2022</w:t>
            </w:r>
          </w:p>
        </w:tc>
        <w:tc>
          <w:tcPr>
            <w:tcW w:w="1890" w:type="dxa"/>
            <w:vAlign w:val="center"/>
          </w:tcPr>
          <w:p w14:paraId="1048A56A"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2128-12</w:t>
            </w:r>
          </w:p>
        </w:tc>
      </w:tr>
      <w:tr w:rsidR="0057201B" w:rsidRPr="00AE3A84" w14:paraId="6B05FF27" w14:textId="77777777" w:rsidTr="005615BA">
        <w:tc>
          <w:tcPr>
            <w:tcW w:w="544" w:type="dxa"/>
            <w:vAlign w:val="center"/>
          </w:tcPr>
          <w:p w14:paraId="381A4864" w14:textId="77777777" w:rsidR="0057201B" w:rsidRPr="00AE3A84" w:rsidRDefault="0057201B">
            <w:pPr>
              <w:rPr>
                <w:rFonts w:ascii="Cambria" w:hAnsi="Cambria"/>
                <w:sz w:val="20"/>
                <w:szCs w:val="20"/>
                <w:lang w:val="es-ES_tradnl"/>
              </w:rPr>
            </w:pPr>
            <w:r w:rsidRPr="00AE3A84">
              <w:rPr>
                <w:rFonts w:ascii="Cambria" w:hAnsi="Cambria"/>
                <w:spacing w:val="-2"/>
                <w:sz w:val="20"/>
                <w:szCs w:val="20"/>
              </w:rPr>
              <w:t>51</w:t>
            </w:r>
          </w:p>
        </w:tc>
        <w:tc>
          <w:tcPr>
            <w:tcW w:w="3253" w:type="dxa"/>
            <w:vAlign w:val="center"/>
          </w:tcPr>
          <w:p w14:paraId="6358091B"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Bienvenido</w:t>
            </w:r>
            <w:r w:rsidRPr="00AE3A84">
              <w:rPr>
                <w:rFonts w:ascii="Cambria" w:hAnsi="Cambria"/>
                <w:spacing w:val="17"/>
                <w:sz w:val="20"/>
                <w:szCs w:val="20"/>
              </w:rPr>
              <w:t xml:space="preserve"> </w:t>
            </w:r>
            <w:r w:rsidRPr="00AE3A84">
              <w:rPr>
                <w:rFonts w:ascii="Cambria" w:hAnsi="Cambria"/>
                <w:spacing w:val="-1"/>
                <w:sz w:val="20"/>
                <w:szCs w:val="20"/>
              </w:rPr>
              <w:t>Rodríguez</w:t>
            </w:r>
          </w:p>
        </w:tc>
        <w:tc>
          <w:tcPr>
            <w:tcW w:w="1328" w:type="dxa"/>
            <w:vAlign w:val="center"/>
          </w:tcPr>
          <w:p w14:paraId="43623669" w14:textId="77777777" w:rsidR="0057201B" w:rsidRPr="00AE3A84" w:rsidRDefault="0057201B">
            <w:pPr>
              <w:rPr>
                <w:rFonts w:ascii="Cambria" w:hAnsi="Cambria"/>
                <w:sz w:val="20"/>
                <w:szCs w:val="20"/>
                <w:lang w:val="es-ES_tradnl"/>
              </w:rPr>
            </w:pPr>
            <w:r>
              <w:rPr>
                <w:rFonts w:ascii="Cambria" w:hAnsi="Cambria"/>
                <w:spacing w:val="-1"/>
                <w:sz w:val="20"/>
                <w:szCs w:val="20"/>
              </w:rPr>
              <w:t>United States</w:t>
            </w:r>
          </w:p>
        </w:tc>
        <w:tc>
          <w:tcPr>
            <w:tcW w:w="1260" w:type="dxa"/>
            <w:vAlign w:val="center"/>
          </w:tcPr>
          <w:p w14:paraId="29CE3FAD" w14:textId="77777777" w:rsidR="0057201B" w:rsidRPr="00AE3A84" w:rsidRDefault="0057201B">
            <w:pPr>
              <w:jc w:val="center"/>
              <w:rPr>
                <w:rFonts w:ascii="Cambria" w:hAnsi="Cambria"/>
                <w:spacing w:val="-2"/>
                <w:sz w:val="20"/>
                <w:szCs w:val="20"/>
              </w:rPr>
            </w:pPr>
            <w:r>
              <w:rPr>
                <w:rFonts w:ascii="Cambria" w:hAnsi="Cambria"/>
                <w:spacing w:val="-2"/>
                <w:sz w:val="20"/>
                <w:szCs w:val="20"/>
              </w:rPr>
              <w:t>224/22</w:t>
            </w:r>
          </w:p>
        </w:tc>
        <w:tc>
          <w:tcPr>
            <w:tcW w:w="1440" w:type="dxa"/>
            <w:vAlign w:val="center"/>
          </w:tcPr>
          <w:p w14:paraId="686D880B"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8/18/2022</w:t>
            </w:r>
          </w:p>
        </w:tc>
        <w:tc>
          <w:tcPr>
            <w:tcW w:w="1890" w:type="dxa"/>
            <w:vAlign w:val="center"/>
          </w:tcPr>
          <w:p w14:paraId="4D08F0AD"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1665-18</w:t>
            </w:r>
          </w:p>
        </w:tc>
      </w:tr>
      <w:tr w:rsidR="0057201B" w:rsidRPr="00AE3A84" w14:paraId="717DB134" w14:textId="77777777" w:rsidTr="005615BA">
        <w:tc>
          <w:tcPr>
            <w:tcW w:w="544" w:type="dxa"/>
            <w:vAlign w:val="center"/>
          </w:tcPr>
          <w:p w14:paraId="601A60FE"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52</w:t>
            </w:r>
          </w:p>
        </w:tc>
        <w:tc>
          <w:tcPr>
            <w:tcW w:w="3253" w:type="dxa"/>
            <w:vAlign w:val="center"/>
          </w:tcPr>
          <w:p w14:paraId="6F07EAC7"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AR"/>
              </w:rPr>
              <w:t>Deyner</w:t>
            </w:r>
            <w:r w:rsidRPr="00AE3A84">
              <w:rPr>
                <w:rFonts w:ascii="Cambria" w:hAnsi="Cambria"/>
                <w:spacing w:val="3"/>
                <w:sz w:val="20"/>
                <w:szCs w:val="20"/>
                <w:lang w:val="es-AR"/>
              </w:rPr>
              <w:t xml:space="preserve"> </w:t>
            </w:r>
            <w:r w:rsidRPr="00AE3A84">
              <w:rPr>
                <w:rFonts w:ascii="Cambria" w:hAnsi="Cambria"/>
                <w:spacing w:val="-1"/>
                <w:sz w:val="20"/>
                <w:szCs w:val="20"/>
                <w:lang w:val="es-AR"/>
              </w:rPr>
              <w:t>Andrés</w:t>
            </w:r>
            <w:r w:rsidRPr="00AE3A84">
              <w:rPr>
                <w:rFonts w:ascii="Cambria" w:hAnsi="Cambria"/>
                <w:spacing w:val="5"/>
                <w:sz w:val="20"/>
                <w:szCs w:val="20"/>
                <w:lang w:val="es-AR"/>
              </w:rPr>
              <w:t xml:space="preserve"> </w:t>
            </w:r>
            <w:r w:rsidRPr="00AE3A84">
              <w:rPr>
                <w:rFonts w:ascii="Cambria" w:hAnsi="Cambria"/>
                <w:spacing w:val="-1"/>
                <w:sz w:val="20"/>
                <w:szCs w:val="20"/>
                <w:lang w:val="es-AR"/>
              </w:rPr>
              <w:t>Guerra</w:t>
            </w:r>
            <w:r w:rsidRPr="00AE3A84">
              <w:rPr>
                <w:rFonts w:ascii="Cambria" w:hAnsi="Cambria"/>
                <w:spacing w:val="6"/>
                <w:sz w:val="20"/>
                <w:szCs w:val="20"/>
                <w:lang w:val="es-AR"/>
              </w:rPr>
              <w:t xml:space="preserve"> </w:t>
            </w:r>
            <w:r w:rsidRPr="00AE3A84">
              <w:rPr>
                <w:rFonts w:ascii="Cambria" w:hAnsi="Cambria"/>
                <w:spacing w:val="-1"/>
                <w:sz w:val="20"/>
                <w:szCs w:val="20"/>
                <w:lang w:val="es-AR"/>
              </w:rPr>
              <w:t>Tuberquia</w:t>
            </w:r>
            <w:r w:rsidRPr="00AE3A84">
              <w:rPr>
                <w:rFonts w:ascii="Cambria" w:hAnsi="Cambria"/>
                <w:spacing w:val="5"/>
                <w:sz w:val="20"/>
                <w:szCs w:val="20"/>
                <w:lang w:val="es-AR"/>
              </w:rPr>
              <w:t xml:space="preserve"> </w:t>
            </w:r>
            <w:r>
              <w:rPr>
                <w:rFonts w:ascii="Cambria" w:hAnsi="Cambria"/>
                <w:sz w:val="20"/>
                <w:szCs w:val="20"/>
                <w:lang w:val="es-AR"/>
              </w:rPr>
              <w:t>et al.</w:t>
            </w:r>
          </w:p>
        </w:tc>
        <w:tc>
          <w:tcPr>
            <w:tcW w:w="1328" w:type="dxa"/>
            <w:vAlign w:val="center"/>
          </w:tcPr>
          <w:p w14:paraId="1DC6D3D3"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6FB8FF1F" w14:textId="77777777" w:rsidR="0057201B" w:rsidRPr="00AE3A84" w:rsidRDefault="0057201B">
            <w:pPr>
              <w:jc w:val="center"/>
              <w:rPr>
                <w:rFonts w:ascii="Cambria" w:hAnsi="Cambria"/>
                <w:spacing w:val="-2"/>
                <w:sz w:val="20"/>
                <w:szCs w:val="20"/>
              </w:rPr>
            </w:pPr>
            <w:r>
              <w:rPr>
                <w:rFonts w:ascii="Cambria" w:hAnsi="Cambria"/>
                <w:spacing w:val="-2"/>
                <w:sz w:val="20"/>
                <w:szCs w:val="20"/>
              </w:rPr>
              <w:t>212/22</w:t>
            </w:r>
          </w:p>
        </w:tc>
        <w:tc>
          <w:tcPr>
            <w:tcW w:w="1440" w:type="dxa"/>
            <w:vAlign w:val="center"/>
          </w:tcPr>
          <w:p w14:paraId="27202E51"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8/24/2022</w:t>
            </w:r>
          </w:p>
        </w:tc>
        <w:tc>
          <w:tcPr>
            <w:tcW w:w="1890" w:type="dxa"/>
            <w:vAlign w:val="center"/>
          </w:tcPr>
          <w:p w14:paraId="189D9C31"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1306-08</w:t>
            </w:r>
          </w:p>
        </w:tc>
      </w:tr>
      <w:tr w:rsidR="0057201B" w:rsidRPr="00AE3A84" w14:paraId="09ACD2F1" w14:textId="77777777" w:rsidTr="005615BA">
        <w:tc>
          <w:tcPr>
            <w:tcW w:w="544" w:type="dxa"/>
            <w:vAlign w:val="center"/>
          </w:tcPr>
          <w:p w14:paraId="7E041AF0"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53</w:t>
            </w:r>
          </w:p>
        </w:tc>
        <w:tc>
          <w:tcPr>
            <w:tcW w:w="3253" w:type="dxa"/>
            <w:vAlign w:val="center"/>
          </w:tcPr>
          <w:p w14:paraId="7E8A5D8C"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Ruben</w:t>
            </w:r>
            <w:r w:rsidRPr="00AE3A84">
              <w:rPr>
                <w:rFonts w:ascii="Cambria" w:hAnsi="Cambria"/>
                <w:spacing w:val="4"/>
                <w:sz w:val="20"/>
                <w:szCs w:val="20"/>
              </w:rPr>
              <w:t xml:space="preserve"> </w:t>
            </w:r>
            <w:r w:rsidRPr="00AE3A84">
              <w:rPr>
                <w:rFonts w:ascii="Cambria" w:hAnsi="Cambria"/>
                <w:spacing w:val="-1"/>
                <w:sz w:val="20"/>
                <w:szCs w:val="20"/>
              </w:rPr>
              <w:t>Valbuena,</w:t>
            </w:r>
            <w:r w:rsidRPr="00AE3A84">
              <w:rPr>
                <w:rFonts w:ascii="Cambria" w:hAnsi="Cambria"/>
                <w:spacing w:val="6"/>
                <w:sz w:val="20"/>
                <w:szCs w:val="20"/>
              </w:rPr>
              <w:t xml:space="preserve"> </w:t>
            </w:r>
            <w:r w:rsidRPr="00AE3A84">
              <w:rPr>
                <w:rFonts w:ascii="Cambria" w:hAnsi="Cambria"/>
                <w:spacing w:val="-1"/>
                <w:sz w:val="20"/>
                <w:szCs w:val="20"/>
              </w:rPr>
              <w:t>Lisbeth</w:t>
            </w:r>
            <w:r w:rsidRPr="00AE3A84">
              <w:rPr>
                <w:rFonts w:ascii="Cambria" w:hAnsi="Cambria"/>
                <w:spacing w:val="5"/>
                <w:sz w:val="20"/>
                <w:szCs w:val="20"/>
              </w:rPr>
              <w:t xml:space="preserve"> </w:t>
            </w:r>
            <w:r w:rsidRPr="00AE3A84">
              <w:rPr>
                <w:rFonts w:ascii="Cambria" w:hAnsi="Cambria"/>
                <w:spacing w:val="-1"/>
                <w:sz w:val="20"/>
                <w:szCs w:val="20"/>
              </w:rPr>
              <w:t>Figallo</w:t>
            </w:r>
            <w:r>
              <w:rPr>
                <w:rFonts w:ascii="Cambria" w:hAnsi="Cambria"/>
                <w:spacing w:val="-1"/>
                <w:sz w:val="20"/>
                <w:szCs w:val="20"/>
              </w:rPr>
              <w:t>,</w:t>
            </w:r>
            <w:r w:rsidRPr="00AE3A84">
              <w:rPr>
                <w:rFonts w:ascii="Cambria" w:hAnsi="Cambria"/>
                <w:spacing w:val="4"/>
                <w:sz w:val="20"/>
                <w:szCs w:val="20"/>
              </w:rPr>
              <w:t xml:space="preserve"> </w:t>
            </w:r>
            <w:r w:rsidRPr="00AE3A84">
              <w:rPr>
                <w:rFonts w:ascii="Cambria" w:hAnsi="Cambria"/>
                <w:spacing w:val="-1"/>
                <w:sz w:val="20"/>
                <w:szCs w:val="20"/>
              </w:rPr>
              <w:t>and</w:t>
            </w:r>
            <w:r w:rsidRPr="00AE3A84">
              <w:rPr>
                <w:rFonts w:ascii="Cambria" w:hAnsi="Cambria"/>
                <w:spacing w:val="5"/>
                <w:sz w:val="20"/>
                <w:szCs w:val="20"/>
              </w:rPr>
              <w:t xml:space="preserve"> </w:t>
            </w:r>
            <w:r>
              <w:rPr>
                <w:rFonts w:ascii="Cambria" w:hAnsi="Cambria"/>
                <w:spacing w:val="-1"/>
                <w:sz w:val="20"/>
                <w:szCs w:val="20"/>
              </w:rPr>
              <w:t>F</w:t>
            </w:r>
            <w:r w:rsidRPr="00AE3A84">
              <w:rPr>
                <w:rFonts w:ascii="Cambria" w:hAnsi="Cambria"/>
                <w:spacing w:val="-1"/>
                <w:sz w:val="20"/>
                <w:szCs w:val="20"/>
              </w:rPr>
              <w:t>amily</w:t>
            </w:r>
          </w:p>
        </w:tc>
        <w:tc>
          <w:tcPr>
            <w:tcW w:w="1328" w:type="dxa"/>
            <w:vAlign w:val="center"/>
          </w:tcPr>
          <w:p w14:paraId="1D33C783"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Canad</w:t>
            </w:r>
            <w:r>
              <w:rPr>
                <w:rFonts w:ascii="Cambria" w:hAnsi="Cambria"/>
                <w:spacing w:val="-1"/>
                <w:sz w:val="20"/>
                <w:szCs w:val="20"/>
              </w:rPr>
              <w:t>a</w:t>
            </w:r>
          </w:p>
        </w:tc>
        <w:tc>
          <w:tcPr>
            <w:tcW w:w="1260" w:type="dxa"/>
            <w:vAlign w:val="center"/>
          </w:tcPr>
          <w:p w14:paraId="6679A59C" w14:textId="77777777" w:rsidR="0057201B" w:rsidRPr="00AE3A84" w:rsidRDefault="0057201B">
            <w:pPr>
              <w:jc w:val="center"/>
              <w:rPr>
                <w:rFonts w:ascii="Cambria" w:hAnsi="Cambria"/>
                <w:spacing w:val="-2"/>
                <w:sz w:val="20"/>
                <w:szCs w:val="20"/>
              </w:rPr>
            </w:pPr>
            <w:r>
              <w:rPr>
                <w:rFonts w:ascii="Cambria" w:hAnsi="Cambria"/>
                <w:spacing w:val="-2"/>
                <w:sz w:val="20"/>
                <w:szCs w:val="20"/>
              </w:rPr>
              <w:t>251/22</w:t>
            </w:r>
          </w:p>
        </w:tc>
        <w:tc>
          <w:tcPr>
            <w:tcW w:w="1440" w:type="dxa"/>
            <w:vAlign w:val="center"/>
          </w:tcPr>
          <w:p w14:paraId="63D33447"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8/26/2022</w:t>
            </w:r>
          </w:p>
        </w:tc>
        <w:tc>
          <w:tcPr>
            <w:tcW w:w="1890" w:type="dxa"/>
            <w:vAlign w:val="center"/>
          </w:tcPr>
          <w:p w14:paraId="38896322"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311-17</w:t>
            </w:r>
          </w:p>
        </w:tc>
      </w:tr>
      <w:tr w:rsidR="0057201B" w:rsidRPr="00AE3A84" w14:paraId="5D65CF43" w14:textId="77777777" w:rsidTr="005615BA">
        <w:tc>
          <w:tcPr>
            <w:tcW w:w="544" w:type="dxa"/>
            <w:vAlign w:val="center"/>
          </w:tcPr>
          <w:p w14:paraId="462514E2"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54</w:t>
            </w:r>
          </w:p>
        </w:tc>
        <w:tc>
          <w:tcPr>
            <w:tcW w:w="3253" w:type="dxa"/>
            <w:vAlign w:val="center"/>
          </w:tcPr>
          <w:p w14:paraId="179EF7D3"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Max</w:t>
            </w:r>
            <w:r w:rsidRPr="00AE3A84">
              <w:rPr>
                <w:rFonts w:ascii="Cambria" w:hAnsi="Cambria"/>
                <w:spacing w:val="4"/>
                <w:sz w:val="20"/>
                <w:szCs w:val="20"/>
              </w:rPr>
              <w:t xml:space="preserve"> </w:t>
            </w:r>
            <w:r w:rsidRPr="00AE3A84">
              <w:rPr>
                <w:rFonts w:ascii="Cambria" w:hAnsi="Cambria"/>
                <w:spacing w:val="-1"/>
                <w:sz w:val="20"/>
                <w:szCs w:val="20"/>
              </w:rPr>
              <w:t>Pharr</w:t>
            </w:r>
          </w:p>
        </w:tc>
        <w:tc>
          <w:tcPr>
            <w:tcW w:w="1328" w:type="dxa"/>
            <w:vAlign w:val="center"/>
          </w:tcPr>
          <w:p w14:paraId="48960556" w14:textId="77777777" w:rsidR="0057201B" w:rsidRPr="00AE3A84" w:rsidRDefault="0057201B">
            <w:pPr>
              <w:rPr>
                <w:rFonts w:ascii="Cambria" w:hAnsi="Cambria"/>
                <w:sz w:val="20"/>
                <w:szCs w:val="20"/>
                <w:lang w:val="es-ES_tradnl"/>
              </w:rPr>
            </w:pPr>
            <w:r>
              <w:rPr>
                <w:rFonts w:ascii="Cambria" w:hAnsi="Cambria"/>
                <w:spacing w:val="-1"/>
                <w:sz w:val="20"/>
                <w:szCs w:val="20"/>
              </w:rPr>
              <w:t>United States</w:t>
            </w:r>
          </w:p>
        </w:tc>
        <w:tc>
          <w:tcPr>
            <w:tcW w:w="1260" w:type="dxa"/>
            <w:vAlign w:val="center"/>
          </w:tcPr>
          <w:p w14:paraId="3E578A1C" w14:textId="77777777" w:rsidR="0057201B" w:rsidRPr="00AE3A84" w:rsidRDefault="0057201B">
            <w:pPr>
              <w:jc w:val="center"/>
              <w:rPr>
                <w:rFonts w:ascii="Cambria" w:hAnsi="Cambria"/>
                <w:spacing w:val="-2"/>
                <w:sz w:val="20"/>
                <w:szCs w:val="20"/>
              </w:rPr>
            </w:pPr>
            <w:r>
              <w:rPr>
                <w:rFonts w:ascii="Cambria" w:hAnsi="Cambria"/>
                <w:spacing w:val="-2"/>
                <w:sz w:val="20"/>
                <w:szCs w:val="20"/>
              </w:rPr>
              <w:t>227/22</w:t>
            </w:r>
          </w:p>
        </w:tc>
        <w:tc>
          <w:tcPr>
            <w:tcW w:w="1440" w:type="dxa"/>
            <w:vAlign w:val="center"/>
          </w:tcPr>
          <w:p w14:paraId="3F5A3428"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8/27/2022</w:t>
            </w:r>
          </w:p>
        </w:tc>
        <w:tc>
          <w:tcPr>
            <w:tcW w:w="1890" w:type="dxa"/>
            <w:vAlign w:val="center"/>
          </w:tcPr>
          <w:p w14:paraId="028FB029"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392-16</w:t>
            </w:r>
          </w:p>
        </w:tc>
      </w:tr>
      <w:tr w:rsidR="0057201B" w:rsidRPr="00AE3A84" w14:paraId="7B70232E" w14:textId="77777777" w:rsidTr="005615BA">
        <w:tc>
          <w:tcPr>
            <w:tcW w:w="544" w:type="dxa"/>
            <w:vAlign w:val="center"/>
          </w:tcPr>
          <w:p w14:paraId="25CD2A4A"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55</w:t>
            </w:r>
          </w:p>
        </w:tc>
        <w:tc>
          <w:tcPr>
            <w:tcW w:w="3253" w:type="dxa"/>
            <w:vAlign w:val="center"/>
          </w:tcPr>
          <w:p w14:paraId="4ADC2768"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José</w:t>
            </w:r>
            <w:r w:rsidRPr="00AE3A84">
              <w:rPr>
                <w:rFonts w:ascii="Cambria" w:hAnsi="Cambria"/>
                <w:spacing w:val="8"/>
                <w:sz w:val="20"/>
                <w:szCs w:val="20"/>
              </w:rPr>
              <w:t xml:space="preserve"> </w:t>
            </w:r>
            <w:r w:rsidRPr="00AE3A84">
              <w:rPr>
                <w:rFonts w:ascii="Cambria" w:hAnsi="Cambria"/>
                <w:spacing w:val="-1"/>
                <w:sz w:val="20"/>
                <w:szCs w:val="20"/>
              </w:rPr>
              <w:t>Adolfo</w:t>
            </w:r>
            <w:r w:rsidRPr="00AE3A84">
              <w:rPr>
                <w:rFonts w:ascii="Cambria" w:hAnsi="Cambria"/>
                <w:spacing w:val="7"/>
                <w:sz w:val="20"/>
                <w:szCs w:val="20"/>
              </w:rPr>
              <w:t xml:space="preserve"> </w:t>
            </w:r>
            <w:r w:rsidRPr="00AE3A84">
              <w:rPr>
                <w:rFonts w:ascii="Cambria" w:hAnsi="Cambria"/>
                <w:spacing w:val="-1"/>
                <w:sz w:val="20"/>
                <w:szCs w:val="20"/>
              </w:rPr>
              <w:t>Reyes</w:t>
            </w:r>
            <w:r w:rsidRPr="00AE3A84">
              <w:rPr>
                <w:rFonts w:ascii="Cambria" w:hAnsi="Cambria"/>
                <w:spacing w:val="8"/>
                <w:sz w:val="20"/>
                <w:szCs w:val="20"/>
              </w:rPr>
              <w:t xml:space="preserve"> </w:t>
            </w:r>
            <w:r w:rsidRPr="00AE3A84">
              <w:rPr>
                <w:rFonts w:ascii="Cambria" w:hAnsi="Cambria"/>
                <w:spacing w:val="-1"/>
                <w:sz w:val="20"/>
                <w:szCs w:val="20"/>
              </w:rPr>
              <w:t>Calderón</w:t>
            </w:r>
          </w:p>
        </w:tc>
        <w:tc>
          <w:tcPr>
            <w:tcW w:w="1328" w:type="dxa"/>
            <w:vAlign w:val="center"/>
          </w:tcPr>
          <w:p w14:paraId="7AE0A867"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Guatemala</w:t>
            </w:r>
          </w:p>
        </w:tc>
        <w:tc>
          <w:tcPr>
            <w:tcW w:w="1260" w:type="dxa"/>
            <w:vAlign w:val="center"/>
          </w:tcPr>
          <w:p w14:paraId="17A97FA4" w14:textId="77777777" w:rsidR="0057201B" w:rsidRPr="00AE3A84" w:rsidRDefault="0057201B">
            <w:pPr>
              <w:jc w:val="center"/>
              <w:rPr>
                <w:rFonts w:ascii="Cambria" w:hAnsi="Cambria"/>
                <w:spacing w:val="-2"/>
                <w:sz w:val="20"/>
                <w:szCs w:val="20"/>
              </w:rPr>
            </w:pPr>
            <w:r>
              <w:rPr>
                <w:rFonts w:ascii="Cambria" w:hAnsi="Cambria"/>
                <w:spacing w:val="-2"/>
                <w:sz w:val="20"/>
                <w:szCs w:val="20"/>
              </w:rPr>
              <w:t>252/22</w:t>
            </w:r>
          </w:p>
        </w:tc>
        <w:tc>
          <w:tcPr>
            <w:tcW w:w="1440" w:type="dxa"/>
            <w:vAlign w:val="center"/>
          </w:tcPr>
          <w:p w14:paraId="5C9272BE"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8/27/2022</w:t>
            </w:r>
          </w:p>
        </w:tc>
        <w:tc>
          <w:tcPr>
            <w:tcW w:w="1890" w:type="dxa"/>
            <w:vAlign w:val="center"/>
          </w:tcPr>
          <w:p w14:paraId="7948DDC1"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1190-08</w:t>
            </w:r>
          </w:p>
        </w:tc>
      </w:tr>
      <w:tr w:rsidR="0057201B" w:rsidRPr="00AE3A84" w14:paraId="790881C2" w14:textId="77777777" w:rsidTr="005615BA">
        <w:tc>
          <w:tcPr>
            <w:tcW w:w="544" w:type="dxa"/>
            <w:vAlign w:val="center"/>
          </w:tcPr>
          <w:p w14:paraId="18029579"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56</w:t>
            </w:r>
          </w:p>
        </w:tc>
        <w:tc>
          <w:tcPr>
            <w:tcW w:w="3253" w:type="dxa"/>
            <w:vAlign w:val="center"/>
          </w:tcPr>
          <w:p w14:paraId="362CFCE1"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Santos</w:t>
            </w:r>
            <w:r w:rsidRPr="00AE3A84">
              <w:rPr>
                <w:rFonts w:ascii="Cambria" w:hAnsi="Cambria"/>
                <w:spacing w:val="4"/>
                <w:sz w:val="20"/>
                <w:szCs w:val="20"/>
              </w:rPr>
              <w:t xml:space="preserve"> </w:t>
            </w:r>
            <w:r w:rsidRPr="00AE3A84">
              <w:rPr>
                <w:rFonts w:ascii="Cambria" w:hAnsi="Cambria"/>
                <w:spacing w:val="-1"/>
                <w:sz w:val="20"/>
                <w:szCs w:val="20"/>
              </w:rPr>
              <w:t>Julio</w:t>
            </w:r>
            <w:r w:rsidRPr="00AE3A84">
              <w:rPr>
                <w:rFonts w:ascii="Cambria" w:hAnsi="Cambria"/>
                <w:spacing w:val="4"/>
                <w:sz w:val="20"/>
                <w:szCs w:val="20"/>
              </w:rPr>
              <w:t xml:space="preserve"> </w:t>
            </w:r>
            <w:r w:rsidRPr="00AE3A84">
              <w:rPr>
                <w:rFonts w:ascii="Cambria" w:hAnsi="Cambria"/>
                <w:spacing w:val="-1"/>
                <w:sz w:val="20"/>
                <w:szCs w:val="20"/>
              </w:rPr>
              <w:t>Bello</w:t>
            </w:r>
            <w:r w:rsidRPr="00AE3A84">
              <w:rPr>
                <w:rFonts w:ascii="Cambria" w:hAnsi="Cambria"/>
                <w:spacing w:val="4"/>
                <w:sz w:val="20"/>
                <w:szCs w:val="20"/>
              </w:rPr>
              <w:t xml:space="preserve"> </w:t>
            </w:r>
            <w:r w:rsidRPr="00AE3A84">
              <w:rPr>
                <w:rFonts w:ascii="Cambria" w:hAnsi="Cambria"/>
                <w:spacing w:val="-1"/>
                <w:sz w:val="20"/>
                <w:szCs w:val="20"/>
              </w:rPr>
              <w:t>Ríos</w:t>
            </w:r>
          </w:p>
        </w:tc>
        <w:tc>
          <w:tcPr>
            <w:tcW w:w="1328" w:type="dxa"/>
            <w:vAlign w:val="center"/>
          </w:tcPr>
          <w:p w14:paraId="76EE06DF"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Per</w:t>
            </w:r>
            <w:r>
              <w:rPr>
                <w:rFonts w:ascii="Cambria" w:hAnsi="Cambria"/>
                <w:spacing w:val="-1"/>
                <w:sz w:val="20"/>
                <w:szCs w:val="20"/>
              </w:rPr>
              <w:t>u</w:t>
            </w:r>
          </w:p>
        </w:tc>
        <w:tc>
          <w:tcPr>
            <w:tcW w:w="1260" w:type="dxa"/>
            <w:vAlign w:val="center"/>
          </w:tcPr>
          <w:p w14:paraId="248A8FA0" w14:textId="77777777" w:rsidR="0057201B" w:rsidRPr="00AE3A84" w:rsidRDefault="0057201B">
            <w:pPr>
              <w:jc w:val="center"/>
              <w:rPr>
                <w:rFonts w:ascii="Cambria" w:hAnsi="Cambria"/>
                <w:spacing w:val="-2"/>
                <w:sz w:val="20"/>
                <w:szCs w:val="20"/>
              </w:rPr>
            </w:pPr>
            <w:r>
              <w:rPr>
                <w:rFonts w:ascii="Cambria" w:hAnsi="Cambria"/>
                <w:spacing w:val="-2"/>
                <w:sz w:val="20"/>
                <w:szCs w:val="20"/>
              </w:rPr>
              <w:t>264/22</w:t>
            </w:r>
          </w:p>
        </w:tc>
        <w:tc>
          <w:tcPr>
            <w:tcW w:w="1440" w:type="dxa"/>
            <w:vAlign w:val="center"/>
          </w:tcPr>
          <w:p w14:paraId="72B4B547"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8/27/2022</w:t>
            </w:r>
          </w:p>
        </w:tc>
        <w:tc>
          <w:tcPr>
            <w:tcW w:w="1890" w:type="dxa"/>
            <w:vAlign w:val="center"/>
          </w:tcPr>
          <w:p w14:paraId="199B61ED"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437-09</w:t>
            </w:r>
          </w:p>
        </w:tc>
      </w:tr>
      <w:tr w:rsidR="0057201B" w:rsidRPr="00AE3A84" w14:paraId="63AE82D1" w14:textId="77777777" w:rsidTr="005615BA">
        <w:tc>
          <w:tcPr>
            <w:tcW w:w="544" w:type="dxa"/>
            <w:vAlign w:val="center"/>
          </w:tcPr>
          <w:p w14:paraId="5666E650"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57</w:t>
            </w:r>
          </w:p>
        </w:tc>
        <w:tc>
          <w:tcPr>
            <w:tcW w:w="3253" w:type="dxa"/>
            <w:vAlign w:val="center"/>
          </w:tcPr>
          <w:p w14:paraId="449E6833"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AR"/>
              </w:rPr>
              <w:t>Columba</w:t>
            </w:r>
            <w:r w:rsidRPr="00AE3A84">
              <w:rPr>
                <w:rFonts w:ascii="Cambria" w:hAnsi="Cambria"/>
                <w:spacing w:val="5"/>
                <w:sz w:val="20"/>
                <w:szCs w:val="20"/>
                <w:lang w:val="es-AR"/>
              </w:rPr>
              <w:t xml:space="preserve"> </w:t>
            </w:r>
            <w:r w:rsidRPr="00AE3A84">
              <w:rPr>
                <w:rFonts w:ascii="Cambria" w:hAnsi="Cambria"/>
                <w:spacing w:val="-1"/>
                <w:sz w:val="20"/>
                <w:szCs w:val="20"/>
                <w:lang w:val="es-AR"/>
              </w:rPr>
              <w:t>María</w:t>
            </w:r>
            <w:r w:rsidRPr="00AE3A84">
              <w:rPr>
                <w:rFonts w:ascii="Cambria" w:hAnsi="Cambria"/>
                <w:spacing w:val="5"/>
                <w:sz w:val="20"/>
                <w:szCs w:val="20"/>
                <w:lang w:val="es-AR"/>
              </w:rPr>
              <w:t xml:space="preserve"> </w:t>
            </w:r>
            <w:r w:rsidRPr="00AE3A84">
              <w:rPr>
                <w:rFonts w:ascii="Cambria" w:hAnsi="Cambria"/>
                <w:spacing w:val="-1"/>
                <w:sz w:val="20"/>
                <w:szCs w:val="20"/>
                <w:lang w:val="es-AR"/>
              </w:rPr>
              <w:t>del</w:t>
            </w:r>
            <w:r w:rsidRPr="00AE3A84">
              <w:rPr>
                <w:rFonts w:ascii="Cambria" w:hAnsi="Cambria"/>
                <w:spacing w:val="5"/>
                <w:sz w:val="20"/>
                <w:szCs w:val="20"/>
                <w:lang w:val="es-AR"/>
              </w:rPr>
              <w:t xml:space="preserve"> </w:t>
            </w:r>
            <w:r w:rsidRPr="00AE3A84">
              <w:rPr>
                <w:rFonts w:ascii="Cambria" w:hAnsi="Cambria"/>
                <w:spacing w:val="-2"/>
                <w:sz w:val="20"/>
                <w:szCs w:val="20"/>
                <w:lang w:val="es-AR"/>
              </w:rPr>
              <w:t>Socorro</w:t>
            </w:r>
            <w:r w:rsidRPr="00AE3A84">
              <w:rPr>
                <w:rFonts w:ascii="Cambria" w:hAnsi="Cambria"/>
                <w:spacing w:val="4"/>
                <w:sz w:val="20"/>
                <w:szCs w:val="20"/>
                <w:lang w:val="es-AR"/>
              </w:rPr>
              <w:t xml:space="preserve"> </w:t>
            </w:r>
            <w:r w:rsidRPr="00AE3A84">
              <w:rPr>
                <w:rFonts w:ascii="Cambria" w:hAnsi="Cambria"/>
                <w:spacing w:val="-1"/>
                <w:sz w:val="20"/>
                <w:szCs w:val="20"/>
                <w:lang w:val="es-AR"/>
              </w:rPr>
              <w:t>Melania</w:t>
            </w:r>
            <w:r w:rsidRPr="00AE3A84">
              <w:rPr>
                <w:rFonts w:ascii="Cambria" w:hAnsi="Cambria"/>
                <w:spacing w:val="5"/>
                <w:sz w:val="20"/>
                <w:szCs w:val="20"/>
                <w:lang w:val="es-AR"/>
              </w:rPr>
              <w:t xml:space="preserve"> </w:t>
            </w:r>
            <w:r w:rsidRPr="00AE3A84">
              <w:rPr>
                <w:rFonts w:ascii="Cambria" w:hAnsi="Cambria"/>
                <w:spacing w:val="-1"/>
                <w:sz w:val="20"/>
                <w:szCs w:val="20"/>
                <w:lang w:val="es-AR"/>
              </w:rPr>
              <w:t>del</w:t>
            </w:r>
            <w:r w:rsidRPr="00AE3A84">
              <w:rPr>
                <w:rFonts w:ascii="Cambria" w:hAnsi="Cambria"/>
                <w:spacing w:val="6"/>
                <w:sz w:val="20"/>
                <w:szCs w:val="20"/>
                <w:lang w:val="es-AR"/>
              </w:rPr>
              <w:t xml:space="preserve"> </w:t>
            </w:r>
            <w:r w:rsidRPr="00AE3A84">
              <w:rPr>
                <w:rFonts w:ascii="Cambria" w:hAnsi="Cambria"/>
                <w:spacing w:val="-1"/>
                <w:sz w:val="20"/>
                <w:szCs w:val="20"/>
                <w:lang w:val="es-AR"/>
              </w:rPr>
              <w:t>Carpio</w:t>
            </w:r>
            <w:r w:rsidRPr="00AE3A84">
              <w:rPr>
                <w:rFonts w:ascii="Cambria" w:hAnsi="Cambria"/>
                <w:spacing w:val="4"/>
                <w:sz w:val="20"/>
                <w:szCs w:val="20"/>
                <w:lang w:val="es-AR"/>
              </w:rPr>
              <w:t xml:space="preserve"> </w:t>
            </w:r>
            <w:r w:rsidRPr="00AE3A84">
              <w:rPr>
                <w:rFonts w:ascii="Cambria" w:hAnsi="Cambria"/>
                <w:spacing w:val="-1"/>
                <w:sz w:val="20"/>
                <w:szCs w:val="20"/>
                <w:lang w:val="es-AR"/>
              </w:rPr>
              <w:t>Rodríguez</w:t>
            </w:r>
            <w:r w:rsidRPr="00AE3A84">
              <w:rPr>
                <w:rFonts w:ascii="Cambria" w:hAnsi="Cambria"/>
                <w:spacing w:val="6"/>
                <w:sz w:val="20"/>
                <w:szCs w:val="20"/>
                <w:lang w:val="es-AR"/>
              </w:rPr>
              <w:t xml:space="preserve"> </w:t>
            </w:r>
            <w:r w:rsidRPr="00AE3A84">
              <w:rPr>
                <w:rFonts w:ascii="Cambria" w:hAnsi="Cambria"/>
                <w:spacing w:val="-1"/>
                <w:sz w:val="20"/>
                <w:szCs w:val="20"/>
                <w:lang w:val="es-AR"/>
              </w:rPr>
              <w:t>de</w:t>
            </w:r>
            <w:r w:rsidRPr="00AE3A84">
              <w:rPr>
                <w:rFonts w:ascii="Cambria" w:hAnsi="Cambria"/>
                <w:spacing w:val="6"/>
                <w:sz w:val="20"/>
                <w:szCs w:val="20"/>
                <w:lang w:val="es-AR"/>
              </w:rPr>
              <w:t xml:space="preserve"> </w:t>
            </w:r>
            <w:r w:rsidRPr="00AE3A84">
              <w:rPr>
                <w:rFonts w:ascii="Cambria" w:hAnsi="Cambria"/>
                <w:spacing w:val="-1"/>
                <w:sz w:val="20"/>
                <w:szCs w:val="20"/>
                <w:lang w:val="es-AR"/>
              </w:rPr>
              <w:t>Abarca</w:t>
            </w:r>
          </w:p>
        </w:tc>
        <w:tc>
          <w:tcPr>
            <w:tcW w:w="1328" w:type="dxa"/>
            <w:vAlign w:val="center"/>
          </w:tcPr>
          <w:p w14:paraId="0C103DE7"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Per</w:t>
            </w:r>
            <w:r>
              <w:rPr>
                <w:rFonts w:ascii="Cambria" w:hAnsi="Cambria"/>
                <w:spacing w:val="-1"/>
                <w:sz w:val="20"/>
                <w:szCs w:val="20"/>
              </w:rPr>
              <w:t>u</w:t>
            </w:r>
          </w:p>
        </w:tc>
        <w:tc>
          <w:tcPr>
            <w:tcW w:w="1260" w:type="dxa"/>
            <w:vAlign w:val="center"/>
          </w:tcPr>
          <w:p w14:paraId="6623846F" w14:textId="77777777" w:rsidR="0057201B" w:rsidRPr="00AE3A84" w:rsidRDefault="0057201B">
            <w:pPr>
              <w:jc w:val="center"/>
              <w:rPr>
                <w:rFonts w:ascii="Cambria" w:hAnsi="Cambria"/>
                <w:spacing w:val="-2"/>
                <w:sz w:val="20"/>
                <w:szCs w:val="20"/>
              </w:rPr>
            </w:pPr>
            <w:r>
              <w:rPr>
                <w:rFonts w:ascii="Cambria" w:hAnsi="Cambria"/>
                <w:spacing w:val="-2"/>
                <w:sz w:val="20"/>
                <w:szCs w:val="20"/>
              </w:rPr>
              <w:t>265/22</w:t>
            </w:r>
          </w:p>
        </w:tc>
        <w:tc>
          <w:tcPr>
            <w:tcW w:w="1440" w:type="dxa"/>
            <w:vAlign w:val="center"/>
          </w:tcPr>
          <w:p w14:paraId="7B9C7508"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8/27/2022</w:t>
            </w:r>
          </w:p>
        </w:tc>
        <w:tc>
          <w:tcPr>
            <w:tcW w:w="1890" w:type="dxa"/>
            <w:vAlign w:val="center"/>
          </w:tcPr>
          <w:p w14:paraId="3C42A486"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2167-13</w:t>
            </w:r>
          </w:p>
        </w:tc>
      </w:tr>
      <w:tr w:rsidR="0057201B" w:rsidRPr="00AE3A84" w14:paraId="0B8D0AE7" w14:textId="77777777" w:rsidTr="005615BA">
        <w:tc>
          <w:tcPr>
            <w:tcW w:w="544" w:type="dxa"/>
            <w:vAlign w:val="center"/>
          </w:tcPr>
          <w:p w14:paraId="38DD7979"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58</w:t>
            </w:r>
          </w:p>
        </w:tc>
        <w:tc>
          <w:tcPr>
            <w:tcW w:w="3253" w:type="dxa"/>
            <w:vAlign w:val="center"/>
          </w:tcPr>
          <w:p w14:paraId="2389DFDD" w14:textId="77777777" w:rsidR="0057201B" w:rsidRPr="00AE3A84" w:rsidRDefault="0057201B" w:rsidP="00D5036B">
            <w:pPr>
              <w:rPr>
                <w:rFonts w:ascii="Cambria" w:hAnsi="Cambria"/>
                <w:sz w:val="20"/>
                <w:szCs w:val="20"/>
                <w:lang w:val="es-ES_tradnl"/>
              </w:rPr>
            </w:pPr>
            <w:r w:rsidRPr="00AE3A84">
              <w:rPr>
                <w:rFonts w:ascii="Cambria" w:hAnsi="Cambria"/>
                <w:spacing w:val="-1"/>
                <w:sz w:val="20"/>
                <w:szCs w:val="20"/>
              </w:rPr>
              <w:t>Jamar</w:t>
            </w:r>
            <w:r w:rsidRPr="00AE3A84">
              <w:rPr>
                <w:rFonts w:ascii="Cambria" w:hAnsi="Cambria"/>
                <w:spacing w:val="4"/>
                <w:sz w:val="20"/>
                <w:szCs w:val="20"/>
              </w:rPr>
              <w:t xml:space="preserve"> </w:t>
            </w:r>
            <w:r w:rsidRPr="00AE3A84">
              <w:rPr>
                <w:rFonts w:ascii="Cambria" w:hAnsi="Cambria"/>
                <w:spacing w:val="-1"/>
                <w:sz w:val="20"/>
                <w:szCs w:val="20"/>
              </w:rPr>
              <w:t>Blaine</w:t>
            </w:r>
            <w:r w:rsidRPr="00AE3A84">
              <w:rPr>
                <w:rFonts w:ascii="Cambria" w:hAnsi="Cambria"/>
                <w:spacing w:val="7"/>
                <w:sz w:val="20"/>
                <w:szCs w:val="20"/>
              </w:rPr>
              <w:t xml:space="preserve"> </w:t>
            </w:r>
            <w:r w:rsidRPr="00AE3A84">
              <w:rPr>
                <w:rFonts w:ascii="Cambria" w:hAnsi="Cambria"/>
                <w:spacing w:val="-1"/>
                <w:sz w:val="20"/>
                <w:szCs w:val="20"/>
              </w:rPr>
              <w:t>Perry</w:t>
            </w:r>
          </w:p>
        </w:tc>
        <w:tc>
          <w:tcPr>
            <w:tcW w:w="1328" w:type="dxa"/>
            <w:vAlign w:val="center"/>
          </w:tcPr>
          <w:p w14:paraId="7B5DF101" w14:textId="77777777" w:rsidR="0057201B" w:rsidRPr="00AE3A84" w:rsidRDefault="0057201B" w:rsidP="00D5036B">
            <w:pPr>
              <w:rPr>
                <w:rFonts w:ascii="Cambria" w:hAnsi="Cambria"/>
                <w:sz w:val="20"/>
                <w:szCs w:val="20"/>
                <w:lang w:val="es-ES_tradnl"/>
              </w:rPr>
            </w:pPr>
            <w:r>
              <w:rPr>
                <w:rFonts w:ascii="Cambria" w:hAnsi="Cambria"/>
                <w:spacing w:val="-1"/>
                <w:sz w:val="20"/>
                <w:szCs w:val="20"/>
              </w:rPr>
              <w:t>United States</w:t>
            </w:r>
          </w:p>
        </w:tc>
        <w:tc>
          <w:tcPr>
            <w:tcW w:w="1260" w:type="dxa"/>
            <w:vAlign w:val="center"/>
          </w:tcPr>
          <w:p w14:paraId="5DF3BDC1" w14:textId="77777777" w:rsidR="0057201B" w:rsidRPr="00AE3A84" w:rsidRDefault="0057201B" w:rsidP="00D5036B">
            <w:pPr>
              <w:jc w:val="center"/>
              <w:rPr>
                <w:rFonts w:ascii="Cambria" w:hAnsi="Cambria"/>
                <w:spacing w:val="-2"/>
                <w:sz w:val="20"/>
                <w:szCs w:val="20"/>
              </w:rPr>
            </w:pPr>
            <w:r>
              <w:rPr>
                <w:rFonts w:ascii="Cambria" w:hAnsi="Cambria"/>
                <w:spacing w:val="-2"/>
                <w:sz w:val="20"/>
                <w:szCs w:val="20"/>
              </w:rPr>
              <w:t>230/22</w:t>
            </w:r>
          </w:p>
        </w:tc>
        <w:tc>
          <w:tcPr>
            <w:tcW w:w="1440" w:type="dxa"/>
            <w:vAlign w:val="center"/>
          </w:tcPr>
          <w:p w14:paraId="6AC381D5"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9/12/2022</w:t>
            </w:r>
          </w:p>
        </w:tc>
        <w:tc>
          <w:tcPr>
            <w:tcW w:w="1890" w:type="dxa"/>
            <w:vAlign w:val="center"/>
          </w:tcPr>
          <w:p w14:paraId="6958B7B8"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340-16</w:t>
            </w:r>
          </w:p>
        </w:tc>
      </w:tr>
      <w:tr w:rsidR="0057201B" w:rsidRPr="00AE3A84" w14:paraId="7545A99E" w14:textId="77777777" w:rsidTr="005615BA">
        <w:tc>
          <w:tcPr>
            <w:tcW w:w="544" w:type="dxa"/>
            <w:vAlign w:val="center"/>
          </w:tcPr>
          <w:p w14:paraId="3CE7F977"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59</w:t>
            </w:r>
          </w:p>
        </w:tc>
        <w:tc>
          <w:tcPr>
            <w:tcW w:w="3253" w:type="dxa"/>
          </w:tcPr>
          <w:p w14:paraId="2A5A10E4" w14:textId="77777777" w:rsidR="0057201B" w:rsidRPr="00AE3A84" w:rsidRDefault="0057201B">
            <w:pPr>
              <w:rPr>
                <w:rFonts w:ascii="Cambria" w:hAnsi="Cambria"/>
                <w:sz w:val="20"/>
                <w:szCs w:val="20"/>
                <w:lang w:val="es-ES_tradnl"/>
              </w:rPr>
            </w:pPr>
            <w:r w:rsidRPr="00F11596">
              <w:rPr>
                <w:rFonts w:ascii="Cambria" w:hAnsi="Cambria"/>
                <w:spacing w:val="-1"/>
                <w:sz w:val="20"/>
                <w:szCs w:val="20"/>
                <w:lang w:val="es-CO"/>
              </w:rPr>
              <w:t>Relatives of</w:t>
            </w:r>
            <w:r w:rsidRPr="000E5866">
              <w:rPr>
                <w:rFonts w:ascii="Cambria" w:hAnsi="Cambria"/>
                <w:spacing w:val="-1"/>
                <w:sz w:val="20"/>
                <w:szCs w:val="20"/>
                <w:lang w:val="es-CO"/>
              </w:rPr>
              <w:t xml:space="preserve"> Ercid</w:t>
            </w:r>
            <w:r w:rsidRPr="000E5866">
              <w:rPr>
                <w:rFonts w:ascii="Cambria" w:hAnsi="Cambria"/>
                <w:spacing w:val="4"/>
                <w:sz w:val="20"/>
                <w:szCs w:val="20"/>
                <w:lang w:val="es-CO"/>
              </w:rPr>
              <w:t xml:space="preserve"> </w:t>
            </w:r>
            <w:r w:rsidRPr="000E5866">
              <w:rPr>
                <w:rFonts w:ascii="Cambria" w:hAnsi="Cambria"/>
                <w:spacing w:val="-1"/>
                <w:sz w:val="20"/>
                <w:szCs w:val="20"/>
                <w:lang w:val="es-CO"/>
              </w:rPr>
              <w:t>Rivas</w:t>
            </w:r>
            <w:r w:rsidRPr="000E5866">
              <w:rPr>
                <w:rFonts w:ascii="Cambria" w:hAnsi="Cambria"/>
                <w:spacing w:val="4"/>
                <w:sz w:val="20"/>
                <w:szCs w:val="20"/>
                <w:lang w:val="es-CO"/>
              </w:rPr>
              <w:t xml:space="preserve"> </w:t>
            </w:r>
            <w:r w:rsidRPr="000E5866">
              <w:rPr>
                <w:rFonts w:ascii="Cambria" w:hAnsi="Cambria"/>
                <w:sz w:val="20"/>
                <w:szCs w:val="20"/>
                <w:lang w:val="es-CO"/>
              </w:rPr>
              <w:t>Salas</w:t>
            </w:r>
            <w:r w:rsidRPr="000E5866">
              <w:rPr>
                <w:rFonts w:ascii="Cambria" w:hAnsi="Cambria"/>
                <w:spacing w:val="3"/>
                <w:sz w:val="20"/>
                <w:szCs w:val="20"/>
                <w:lang w:val="es-CO"/>
              </w:rPr>
              <w:t xml:space="preserve"> </w:t>
            </w:r>
            <w:r>
              <w:rPr>
                <w:rFonts w:ascii="Cambria" w:hAnsi="Cambria"/>
                <w:sz w:val="20"/>
                <w:szCs w:val="20"/>
                <w:lang w:val="es-CO"/>
              </w:rPr>
              <w:t>and</w:t>
            </w:r>
            <w:r w:rsidRPr="000E5866">
              <w:rPr>
                <w:rFonts w:ascii="Cambria" w:hAnsi="Cambria"/>
                <w:spacing w:val="4"/>
                <w:sz w:val="20"/>
                <w:szCs w:val="20"/>
                <w:lang w:val="es-CO"/>
              </w:rPr>
              <w:t xml:space="preserve"> </w:t>
            </w:r>
            <w:r w:rsidRPr="000E5866">
              <w:rPr>
                <w:rFonts w:ascii="Cambria" w:hAnsi="Cambria"/>
                <w:spacing w:val="-1"/>
                <w:sz w:val="20"/>
                <w:szCs w:val="20"/>
                <w:lang w:val="es-CO"/>
              </w:rPr>
              <w:t>Felix</w:t>
            </w:r>
            <w:r w:rsidRPr="000E5866">
              <w:rPr>
                <w:rFonts w:ascii="Cambria" w:hAnsi="Cambria"/>
                <w:spacing w:val="3"/>
                <w:sz w:val="20"/>
                <w:szCs w:val="20"/>
                <w:lang w:val="es-CO"/>
              </w:rPr>
              <w:t xml:space="preserve"> </w:t>
            </w:r>
            <w:r w:rsidRPr="000E5866">
              <w:rPr>
                <w:rFonts w:ascii="Cambria" w:hAnsi="Cambria"/>
                <w:spacing w:val="-2"/>
                <w:sz w:val="20"/>
                <w:szCs w:val="20"/>
                <w:lang w:val="es-CO"/>
              </w:rPr>
              <w:t>Arturo</w:t>
            </w:r>
            <w:r w:rsidRPr="000E5866">
              <w:rPr>
                <w:rFonts w:ascii="Cambria" w:hAnsi="Cambria"/>
                <w:spacing w:val="2"/>
                <w:sz w:val="20"/>
                <w:szCs w:val="20"/>
                <w:lang w:val="es-CO"/>
              </w:rPr>
              <w:t xml:space="preserve"> </w:t>
            </w:r>
            <w:r w:rsidRPr="000E5866">
              <w:rPr>
                <w:rFonts w:ascii="Cambria" w:hAnsi="Cambria"/>
                <w:spacing w:val="-1"/>
                <w:sz w:val="20"/>
                <w:szCs w:val="20"/>
                <w:lang w:val="es-CO"/>
              </w:rPr>
              <w:t>Torres</w:t>
            </w:r>
            <w:r w:rsidRPr="000E5866">
              <w:rPr>
                <w:rFonts w:ascii="Cambria" w:hAnsi="Cambria"/>
                <w:spacing w:val="4"/>
                <w:sz w:val="20"/>
                <w:szCs w:val="20"/>
                <w:lang w:val="es-CO"/>
              </w:rPr>
              <w:t xml:space="preserve"> </w:t>
            </w:r>
            <w:r w:rsidRPr="000E5866">
              <w:rPr>
                <w:rFonts w:ascii="Cambria" w:hAnsi="Cambria"/>
                <w:spacing w:val="-1"/>
                <w:sz w:val="20"/>
                <w:szCs w:val="20"/>
                <w:lang w:val="es-CO"/>
              </w:rPr>
              <w:t>Ortiz</w:t>
            </w:r>
          </w:p>
        </w:tc>
        <w:tc>
          <w:tcPr>
            <w:tcW w:w="1328" w:type="dxa"/>
          </w:tcPr>
          <w:p w14:paraId="5C46B951"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20404500" w14:textId="77777777" w:rsidR="0057201B" w:rsidRPr="00AE3A84" w:rsidRDefault="0057201B">
            <w:pPr>
              <w:jc w:val="center"/>
              <w:rPr>
                <w:rFonts w:ascii="Cambria" w:hAnsi="Cambria"/>
                <w:spacing w:val="-2"/>
                <w:sz w:val="20"/>
                <w:szCs w:val="20"/>
              </w:rPr>
            </w:pPr>
            <w:r>
              <w:rPr>
                <w:rFonts w:ascii="Cambria" w:hAnsi="Cambria"/>
                <w:spacing w:val="-2"/>
                <w:sz w:val="20"/>
                <w:szCs w:val="20"/>
              </w:rPr>
              <w:t>233/22</w:t>
            </w:r>
          </w:p>
        </w:tc>
        <w:tc>
          <w:tcPr>
            <w:tcW w:w="1440" w:type="dxa"/>
            <w:vAlign w:val="center"/>
          </w:tcPr>
          <w:p w14:paraId="5CA3CC0B"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9/14/2022</w:t>
            </w:r>
          </w:p>
        </w:tc>
        <w:tc>
          <w:tcPr>
            <w:tcW w:w="1890" w:type="dxa"/>
            <w:vAlign w:val="center"/>
          </w:tcPr>
          <w:p w14:paraId="12D7A0EF"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1482-13</w:t>
            </w:r>
          </w:p>
        </w:tc>
      </w:tr>
      <w:tr w:rsidR="0057201B" w:rsidRPr="00AE3A84" w14:paraId="79E00D0E" w14:textId="77777777" w:rsidTr="005615BA">
        <w:tc>
          <w:tcPr>
            <w:tcW w:w="544" w:type="dxa"/>
            <w:vAlign w:val="center"/>
          </w:tcPr>
          <w:p w14:paraId="0C890677"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60</w:t>
            </w:r>
          </w:p>
        </w:tc>
        <w:tc>
          <w:tcPr>
            <w:tcW w:w="3253" w:type="dxa"/>
          </w:tcPr>
          <w:p w14:paraId="7FC9C4A4"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Leslie</w:t>
            </w:r>
            <w:r w:rsidRPr="00AE3A84">
              <w:rPr>
                <w:rFonts w:ascii="Cambria" w:hAnsi="Cambria"/>
                <w:spacing w:val="6"/>
                <w:sz w:val="20"/>
                <w:szCs w:val="20"/>
              </w:rPr>
              <w:t xml:space="preserve"> </w:t>
            </w:r>
            <w:r w:rsidRPr="00AE3A84">
              <w:rPr>
                <w:rFonts w:ascii="Cambria" w:hAnsi="Cambria"/>
                <w:spacing w:val="-1"/>
                <w:sz w:val="20"/>
                <w:szCs w:val="20"/>
              </w:rPr>
              <w:t>del</w:t>
            </w:r>
            <w:r w:rsidRPr="00AE3A84">
              <w:rPr>
                <w:rFonts w:ascii="Cambria" w:hAnsi="Cambria"/>
                <w:spacing w:val="6"/>
                <w:sz w:val="20"/>
                <w:szCs w:val="20"/>
              </w:rPr>
              <w:t xml:space="preserve"> </w:t>
            </w:r>
            <w:r w:rsidRPr="00AE3A84">
              <w:rPr>
                <w:rFonts w:ascii="Cambria" w:hAnsi="Cambria"/>
                <w:spacing w:val="-1"/>
                <w:sz w:val="20"/>
                <w:szCs w:val="20"/>
              </w:rPr>
              <w:t>Rosario</w:t>
            </w:r>
            <w:r w:rsidRPr="00AE3A84">
              <w:rPr>
                <w:rFonts w:ascii="Cambria" w:hAnsi="Cambria"/>
                <w:spacing w:val="4"/>
                <w:sz w:val="20"/>
                <w:szCs w:val="20"/>
              </w:rPr>
              <w:t xml:space="preserve"> </w:t>
            </w:r>
            <w:r w:rsidRPr="00AE3A84">
              <w:rPr>
                <w:rFonts w:ascii="Cambria" w:hAnsi="Cambria"/>
                <w:sz w:val="20"/>
                <w:szCs w:val="20"/>
              </w:rPr>
              <w:t>Vega</w:t>
            </w:r>
          </w:p>
        </w:tc>
        <w:tc>
          <w:tcPr>
            <w:tcW w:w="1328" w:type="dxa"/>
          </w:tcPr>
          <w:p w14:paraId="7A89B75E"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Ecuador</w:t>
            </w:r>
          </w:p>
        </w:tc>
        <w:tc>
          <w:tcPr>
            <w:tcW w:w="1260" w:type="dxa"/>
            <w:vAlign w:val="center"/>
          </w:tcPr>
          <w:p w14:paraId="104C91A7" w14:textId="77777777" w:rsidR="0057201B" w:rsidRPr="00AE3A84" w:rsidRDefault="0057201B">
            <w:pPr>
              <w:jc w:val="center"/>
              <w:rPr>
                <w:rFonts w:ascii="Cambria" w:hAnsi="Cambria"/>
                <w:spacing w:val="-2"/>
                <w:sz w:val="20"/>
                <w:szCs w:val="20"/>
              </w:rPr>
            </w:pPr>
            <w:r>
              <w:rPr>
                <w:rFonts w:ascii="Cambria" w:hAnsi="Cambria"/>
                <w:spacing w:val="-2"/>
                <w:sz w:val="20"/>
                <w:szCs w:val="20"/>
              </w:rPr>
              <w:t>234/22</w:t>
            </w:r>
          </w:p>
        </w:tc>
        <w:tc>
          <w:tcPr>
            <w:tcW w:w="1440" w:type="dxa"/>
            <w:vAlign w:val="center"/>
          </w:tcPr>
          <w:p w14:paraId="647C7AEC"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9/15/2022</w:t>
            </w:r>
          </w:p>
        </w:tc>
        <w:tc>
          <w:tcPr>
            <w:tcW w:w="1890" w:type="dxa"/>
            <w:vAlign w:val="center"/>
          </w:tcPr>
          <w:p w14:paraId="1684A5F9"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1408-14</w:t>
            </w:r>
          </w:p>
        </w:tc>
      </w:tr>
      <w:tr w:rsidR="0057201B" w:rsidRPr="00AE3A84" w14:paraId="24B527A8" w14:textId="77777777" w:rsidTr="005615BA">
        <w:tc>
          <w:tcPr>
            <w:tcW w:w="544" w:type="dxa"/>
          </w:tcPr>
          <w:p w14:paraId="2361DCDB"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61</w:t>
            </w:r>
          </w:p>
        </w:tc>
        <w:tc>
          <w:tcPr>
            <w:tcW w:w="3253" w:type="dxa"/>
          </w:tcPr>
          <w:p w14:paraId="7C628051"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José</w:t>
            </w:r>
            <w:r w:rsidRPr="00AE3A84">
              <w:rPr>
                <w:rFonts w:ascii="Cambria" w:hAnsi="Cambria"/>
                <w:spacing w:val="7"/>
                <w:sz w:val="20"/>
                <w:szCs w:val="20"/>
              </w:rPr>
              <w:t xml:space="preserve"> </w:t>
            </w:r>
            <w:r w:rsidRPr="00AE3A84">
              <w:rPr>
                <w:rFonts w:ascii="Cambria" w:hAnsi="Cambria"/>
                <w:spacing w:val="-1"/>
                <w:sz w:val="20"/>
                <w:szCs w:val="20"/>
              </w:rPr>
              <w:t>Nicolás</w:t>
            </w:r>
            <w:r w:rsidRPr="00AE3A84">
              <w:rPr>
                <w:rFonts w:ascii="Cambria" w:hAnsi="Cambria"/>
                <w:spacing w:val="7"/>
                <w:sz w:val="20"/>
                <w:szCs w:val="20"/>
              </w:rPr>
              <w:t xml:space="preserve"> </w:t>
            </w:r>
            <w:r w:rsidRPr="00AE3A84">
              <w:rPr>
                <w:rFonts w:ascii="Cambria" w:hAnsi="Cambria"/>
                <w:spacing w:val="-1"/>
                <w:sz w:val="20"/>
                <w:szCs w:val="20"/>
              </w:rPr>
              <w:t>Chain</w:t>
            </w:r>
          </w:p>
        </w:tc>
        <w:tc>
          <w:tcPr>
            <w:tcW w:w="1328" w:type="dxa"/>
          </w:tcPr>
          <w:p w14:paraId="69E19D8F"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Argentina</w:t>
            </w:r>
          </w:p>
        </w:tc>
        <w:tc>
          <w:tcPr>
            <w:tcW w:w="1260" w:type="dxa"/>
            <w:vAlign w:val="center"/>
          </w:tcPr>
          <w:p w14:paraId="0F6653CA" w14:textId="77777777" w:rsidR="0057201B" w:rsidRPr="00AE3A84" w:rsidRDefault="0057201B">
            <w:pPr>
              <w:jc w:val="center"/>
              <w:rPr>
                <w:rFonts w:ascii="Cambria" w:hAnsi="Cambria"/>
                <w:spacing w:val="-2"/>
                <w:sz w:val="20"/>
                <w:szCs w:val="20"/>
              </w:rPr>
            </w:pPr>
            <w:r>
              <w:rPr>
                <w:rFonts w:ascii="Cambria" w:hAnsi="Cambria"/>
                <w:spacing w:val="-2"/>
                <w:sz w:val="20"/>
                <w:szCs w:val="20"/>
              </w:rPr>
              <w:t>237/22</w:t>
            </w:r>
          </w:p>
        </w:tc>
        <w:tc>
          <w:tcPr>
            <w:tcW w:w="1440" w:type="dxa"/>
            <w:vAlign w:val="center"/>
          </w:tcPr>
          <w:p w14:paraId="63A921E1"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9/15/2022</w:t>
            </w:r>
          </w:p>
        </w:tc>
        <w:tc>
          <w:tcPr>
            <w:tcW w:w="1890" w:type="dxa"/>
            <w:vAlign w:val="center"/>
          </w:tcPr>
          <w:p w14:paraId="6A85A91A"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1789-14</w:t>
            </w:r>
          </w:p>
        </w:tc>
      </w:tr>
      <w:tr w:rsidR="0057201B" w:rsidRPr="00AE3A84" w14:paraId="4A4013EF" w14:textId="77777777" w:rsidTr="005615BA">
        <w:tc>
          <w:tcPr>
            <w:tcW w:w="544" w:type="dxa"/>
          </w:tcPr>
          <w:p w14:paraId="54BF305F"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62</w:t>
            </w:r>
          </w:p>
        </w:tc>
        <w:tc>
          <w:tcPr>
            <w:tcW w:w="3253" w:type="dxa"/>
          </w:tcPr>
          <w:p w14:paraId="45AF8C45" w14:textId="77777777" w:rsidR="0057201B" w:rsidRPr="00B51185" w:rsidRDefault="0057201B">
            <w:pPr>
              <w:rPr>
                <w:rFonts w:ascii="Cambria" w:hAnsi="Cambria"/>
                <w:sz w:val="20"/>
                <w:szCs w:val="20"/>
                <w:lang w:val="pt-BR"/>
              </w:rPr>
            </w:pPr>
            <w:r w:rsidRPr="00B51185">
              <w:rPr>
                <w:rFonts w:ascii="Cambria" w:hAnsi="Cambria"/>
                <w:spacing w:val="-1"/>
                <w:sz w:val="20"/>
                <w:szCs w:val="20"/>
                <w:lang w:val="pt-BR"/>
              </w:rPr>
              <w:t>Relatives of Julio</w:t>
            </w:r>
            <w:r w:rsidRPr="00B51185">
              <w:rPr>
                <w:rFonts w:ascii="Cambria" w:hAnsi="Cambria"/>
                <w:spacing w:val="4"/>
                <w:sz w:val="20"/>
                <w:szCs w:val="20"/>
                <w:lang w:val="pt-BR"/>
              </w:rPr>
              <w:t xml:space="preserve"> </w:t>
            </w:r>
            <w:r w:rsidRPr="00B51185">
              <w:rPr>
                <w:rFonts w:ascii="Cambria" w:hAnsi="Cambria"/>
                <w:spacing w:val="-1"/>
                <w:sz w:val="20"/>
                <w:szCs w:val="20"/>
                <w:lang w:val="pt-BR"/>
              </w:rPr>
              <w:t>César</w:t>
            </w:r>
            <w:r w:rsidRPr="00B51185">
              <w:rPr>
                <w:rFonts w:ascii="Cambria" w:hAnsi="Cambria"/>
                <w:spacing w:val="4"/>
                <w:sz w:val="20"/>
                <w:szCs w:val="20"/>
                <w:lang w:val="pt-BR"/>
              </w:rPr>
              <w:t xml:space="preserve"> </w:t>
            </w:r>
            <w:r w:rsidRPr="00B51185">
              <w:rPr>
                <w:rFonts w:ascii="Cambria" w:hAnsi="Cambria"/>
                <w:spacing w:val="-1"/>
                <w:sz w:val="20"/>
                <w:szCs w:val="20"/>
                <w:lang w:val="pt-BR"/>
              </w:rPr>
              <w:t>Cardona</w:t>
            </w:r>
            <w:r w:rsidRPr="00B51185">
              <w:rPr>
                <w:rFonts w:ascii="Cambria" w:hAnsi="Cambria"/>
                <w:spacing w:val="6"/>
                <w:sz w:val="20"/>
                <w:szCs w:val="20"/>
                <w:lang w:val="pt-BR"/>
              </w:rPr>
              <w:t xml:space="preserve"> </w:t>
            </w:r>
            <w:r w:rsidRPr="00B51185">
              <w:rPr>
                <w:rFonts w:ascii="Cambria" w:hAnsi="Cambria"/>
                <w:spacing w:val="-1"/>
                <w:sz w:val="20"/>
                <w:szCs w:val="20"/>
                <w:lang w:val="pt-BR"/>
              </w:rPr>
              <w:t>Lozano</w:t>
            </w:r>
          </w:p>
        </w:tc>
        <w:tc>
          <w:tcPr>
            <w:tcW w:w="1328" w:type="dxa"/>
          </w:tcPr>
          <w:p w14:paraId="7AA51226"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29B628E7" w14:textId="77777777" w:rsidR="0057201B" w:rsidRPr="00AE3A84" w:rsidRDefault="0057201B">
            <w:pPr>
              <w:jc w:val="center"/>
              <w:rPr>
                <w:rFonts w:ascii="Cambria" w:hAnsi="Cambria"/>
                <w:spacing w:val="-2"/>
                <w:sz w:val="20"/>
                <w:szCs w:val="20"/>
              </w:rPr>
            </w:pPr>
            <w:r>
              <w:rPr>
                <w:rFonts w:ascii="Cambria" w:hAnsi="Cambria"/>
                <w:spacing w:val="-2"/>
                <w:sz w:val="20"/>
                <w:szCs w:val="20"/>
              </w:rPr>
              <w:t>236/22</w:t>
            </w:r>
          </w:p>
        </w:tc>
        <w:tc>
          <w:tcPr>
            <w:tcW w:w="1440" w:type="dxa"/>
            <w:vAlign w:val="center"/>
          </w:tcPr>
          <w:p w14:paraId="4C4BEB60"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9/17/2022</w:t>
            </w:r>
          </w:p>
        </w:tc>
        <w:tc>
          <w:tcPr>
            <w:tcW w:w="1890" w:type="dxa"/>
            <w:vAlign w:val="center"/>
          </w:tcPr>
          <w:p w14:paraId="1791AA54"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1828-12</w:t>
            </w:r>
          </w:p>
        </w:tc>
      </w:tr>
      <w:tr w:rsidR="0057201B" w:rsidRPr="00AE3A84" w14:paraId="6B412F62" w14:textId="77777777" w:rsidTr="005615BA">
        <w:tc>
          <w:tcPr>
            <w:tcW w:w="544" w:type="dxa"/>
          </w:tcPr>
          <w:p w14:paraId="1749933D"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63</w:t>
            </w:r>
          </w:p>
        </w:tc>
        <w:tc>
          <w:tcPr>
            <w:tcW w:w="3253" w:type="dxa"/>
          </w:tcPr>
          <w:p w14:paraId="7CA255B6"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Zuluaga</w:t>
            </w:r>
            <w:r w:rsidRPr="00AE3A84">
              <w:rPr>
                <w:rFonts w:ascii="Cambria" w:hAnsi="Cambria"/>
                <w:spacing w:val="8"/>
                <w:sz w:val="20"/>
                <w:szCs w:val="20"/>
              </w:rPr>
              <w:t xml:space="preserve"> </w:t>
            </w:r>
            <w:r w:rsidRPr="00AE3A84">
              <w:rPr>
                <w:rFonts w:ascii="Cambria" w:hAnsi="Cambria"/>
                <w:spacing w:val="-1"/>
                <w:sz w:val="20"/>
                <w:szCs w:val="20"/>
              </w:rPr>
              <w:t>Obando</w:t>
            </w:r>
            <w:r>
              <w:rPr>
                <w:rFonts w:ascii="Cambria" w:hAnsi="Cambria"/>
                <w:spacing w:val="-1"/>
                <w:sz w:val="20"/>
                <w:szCs w:val="20"/>
              </w:rPr>
              <w:t xml:space="preserve"> Family</w:t>
            </w:r>
          </w:p>
        </w:tc>
        <w:tc>
          <w:tcPr>
            <w:tcW w:w="1328" w:type="dxa"/>
          </w:tcPr>
          <w:p w14:paraId="7ABF1D0D"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10CA7855" w14:textId="77777777" w:rsidR="0057201B" w:rsidRPr="00AE3A84" w:rsidRDefault="0057201B">
            <w:pPr>
              <w:jc w:val="center"/>
              <w:rPr>
                <w:rFonts w:ascii="Cambria" w:hAnsi="Cambria"/>
                <w:spacing w:val="-2"/>
                <w:sz w:val="20"/>
                <w:szCs w:val="20"/>
              </w:rPr>
            </w:pPr>
            <w:r>
              <w:rPr>
                <w:rFonts w:ascii="Cambria" w:hAnsi="Cambria"/>
                <w:spacing w:val="-2"/>
                <w:sz w:val="20"/>
                <w:szCs w:val="20"/>
              </w:rPr>
              <w:t>241/22</w:t>
            </w:r>
          </w:p>
        </w:tc>
        <w:tc>
          <w:tcPr>
            <w:tcW w:w="1440" w:type="dxa"/>
            <w:vAlign w:val="center"/>
          </w:tcPr>
          <w:p w14:paraId="42770B0D"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9/26/2022</w:t>
            </w:r>
          </w:p>
        </w:tc>
        <w:tc>
          <w:tcPr>
            <w:tcW w:w="1890" w:type="dxa"/>
            <w:vAlign w:val="center"/>
          </w:tcPr>
          <w:p w14:paraId="6BEFD813"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2377-12</w:t>
            </w:r>
          </w:p>
        </w:tc>
      </w:tr>
      <w:tr w:rsidR="0057201B" w:rsidRPr="00AE3A84" w14:paraId="00C5F508" w14:textId="77777777" w:rsidTr="005615BA">
        <w:tc>
          <w:tcPr>
            <w:tcW w:w="544" w:type="dxa"/>
          </w:tcPr>
          <w:p w14:paraId="3EC3C4C1"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64</w:t>
            </w:r>
          </w:p>
        </w:tc>
        <w:tc>
          <w:tcPr>
            <w:tcW w:w="3253" w:type="dxa"/>
          </w:tcPr>
          <w:p w14:paraId="775FE738"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Mario</w:t>
            </w:r>
            <w:r w:rsidRPr="00AE3A84">
              <w:rPr>
                <w:rFonts w:ascii="Cambria" w:hAnsi="Cambria"/>
                <w:spacing w:val="7"/>
                <w:sz w:val="20"/>
                <w:szCs w:val="20"/>
              </w:rPr>
              <w:t xml:space="preserve"> </w:t>
            </w:r>
            <w:r w:rsidRPr="00AE3A84">
              <w:rPr>
                <w:rFonts w:ascii="Cambria" w:hAnsi="Cambria"/>
                <w:spacing w:val="-1"/>
                <w:sz w:val="20"/>
                <w:szCs w:val="20"/>
              </w:rPr>
              <w:t>Chevez</w:t>
            </w:r>
            <w:r w:rsidRPr="00AE3A84">
              <w:rPr>
                <w:rFonts w:ascii="Cambria" w:hAnsi="Cambria"/>
                <w:spacing w:val="9"/>
                <w:sz w:val="20"/>
                <w:szCs w:val="20"/>
              </w:rPr>
              <w:t xml:space="preserve"> </w:t>
            </w:r>
            <w:r w:rsidRPr="00AE3A84">
              <w:rPr>
                <w:rFonts w:ascii="Cambria" w:hAnsi="Cambria"/>
                <w:spacing w:val="-1"/>
                <w:sz w:val="20"/>
                <w:szCs w:val="20"/>
              </w:rPr>
              <w:t>Arguedas</w:t>
            </w:r>
          </w:p>
        </w:tc>
        <w:tc>
          <w:tcPr>
            <w:tcW w:w="1328" w:type="dxa"/>
          </w:tcPr>
          <w:p w14:paraId="353637A5"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Costa</w:t>
            </w:r>
            <w:r w:rsidRPr="00AE3A84">
              <w:rPr>
                <w:rFonts w:ascii="Cambria" w:hAnsi="Cambria"/>
                <w:spacing w:val="7"/>
                <w:sz w:val="20"/>
                <w:szCs w:val="20"/>
              </w:rPr>
              <w:t xml:space="preserve"> </w:t>
            </w:r>
            <w:r w:rsidRPr="00AE3A84">
              <w:rPr>
                <w:rFonts w:ascii="Cambria" w:hAnsi="Cambria"/>
                <w:spacing w:val="-1"/>
                <w:sz w:val="20"/>
                <w:szCs w:val="20"/>
              </w:rPr>
              <w:t>Rica</w:t>
            </w:r>
          </w:p>
        </w:tc>
        <w:tc>
          <w:tcPr>
            <w:tcW w:w="1260" w:type="dxa"/>
            <w:vAlign w:val="center"/>
          </w:tcPr>
          <w:p w14:paraId="7C0188C8" w14:textId="77777777" w:rsidR="0057201B" w:rsidRPr="00AE3A84" w:rsidRDefault="0057201B">
            <w:pPr>
              <w:jc w:val="center"/>
              <w:rPr>
                <w:rFonts w:ascii="Cambria" w:hAnsi="Cambria"/>
                <w:spacing w:val="-2"/>
                <w:sz w:val="20"/>
                <w:szCs w:val="20"/>
              </w:rPr>
            </w:pPr>
            <w:r>
              <w:rPr>
                <w:rFonts w:ascii="Cambria" w:hAnsi="Cambria"/>
                <w:spacing w:val="-2"/>
                <w:sz w:val="20"/>
                <w:szCs w:val="20"/>
              </w:rPr>
              <w:t>263/22</w:t>
            </w:r>
          </w:p>
        </w:tc>
        <w:tc>
          <w:tcPr>
            <w:tcW w:w="1440" w:type="dxa"/>
            <w:vAlign w:val="center"/>
          </w:tcPr>
          <w:p w14:paraId="61E96AAC"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9/28/2022</w:t>
            </w:r>
          </w:p>
        </w:tc>
        <w:tc>
          <w:tcPr>
            <w:tcW w:w="1890" w:type="dxa"/>
            <w:vAlign w:val="center"/>
          </w:tcPr>
          <w:p w14:paraId="52AE38CD"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105-13</w:t>
            </w:r>
          </w:p>
        </w:tc>
      </w:tr>
      <w:tr w:rsidR="0057201B" w:rsidRPr="00AE3A84" w14:paraId="595D656D" w14:textId="77777777" w:rsidTr="005615BA">
        <w:tc>
          <w:tcPr>
            <w:tcW w:w="544" w:type="dxa"/>
          </w:tcPr>
          <w:p w14:paraId="4555DE3E"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65</w:t>
            </w:r>
          </w:p>
        </w:tc>
        <w:tc>
          <w:tcPr>
            <w:tcW w:w="3253" w:type="dxa"/>
          </w:tcPr>
          <w:p w14:paraId="0A3BBC0E"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Luis</w:t>
            </w:r>
            <w:r w:rsidRPr="00AE3A84">
              <w:rPr>
                <w:rFonts w:ascii="Cambria" w:hAnsi="Cambria"/>
                <w:spacing w:val="5"/>
                <w:sz w:val="20"/>
                <w:szCs w:val="20"/>
              </w:rPr>
              <w:t xml:space="preserve"> </w:t>
            </w:r>
            <w:r w:rsidRPr="00AE3A84">
              <w:rPr>
                <w:rFonts w:ascii="Cambria" w:hAnsi="Cambria"/>
                <w:spacing w:val="-1"/>
                <w:sz w:val="20"/>
                <w:szCs w:val="20"/>
              </w:rPr>
              <w:t>Alfonso</w:t>
            </w:r>
            <w:r w:rsidRPr="00AE3A84">
              <w:rPr>
                <w:rFonts w:ascii="Cambria" w:hAnsi="Cambria"/>
                <w:spacing w:val="3"/>
                <w:sz w:val="20"/>
                <w:szCs w:val="20"/>
              </w:rPr>
              <w:t xml:space="preserve"> </w:t>
            </w:r>
            <w:r w:rsidRPr="00AE3A84">
              <w:rPr>
                <w:rFonts w:ascii="Cambria" w:hAnsi="Cambria"/>
                <w:spacing w:val="-1"/>
                <w:sz w:val="20"/>
                <w:szCs w:val="20"/>
              </w:rPr>
              <w:t>Foncea</w:t>
            </w:r>
            <w:r w:rsidRPr="00AE3A84">
              <w:rPr>
                <w:rFonts w:ascii="Cambria" w:hAnsi="Cambria"/>
                <w:spacing w:val="6"/>
                <w:sz w:val="20"/>
                <w:szCs w:val="20"/>
              </w:rPr>
              <w:t xml:space="preserve"> </w:t>
            </w:r>
            <w:r w:rsidRPr="00AE3A84">
              <w:rPr>
                <w:rFonts w:ascii="Cambria" w:hAnsi="Cambria"/>
                <w:spacing w:val="-1"/>
                <w:sz w:val="20"/>
                <w:szCs w:val="20"/>
              </w:rPr>
              <w:t>Eva</w:t>
            </w:r>
          </w:p>
        </w:tc>
        <w:tc>
          <w:tcPr>
            <w:tcW w:w="1328" w:type="dxa"/>
          </w:tcPr>
          <w:p w14:paraId="30AA27A0"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Ecuador</w:t>
            </w:r>
          </w:p>
        </w:tc>
        <w:tc>
          <w:tcPr>
            <w:tcW w:w="1260" w:type="dxa"/>
            <w:vAlign w:val="center"/>
          </w:tcPr>
          <w:p w14:paraId="0ABEE3FE" w14:textId="77777777" w:rsidR="0057201B" w:rsidRPr="00AE3A84" w:rsidRDefault="0057201B">
            <w:pPr>
              <w:jc w:val="center"/>
              <w:rPr>
                <w:rFonts w:ascii="Cambria" w:hAnsi="Cambria"/>
                <w:spacing w:val="-2"/>
                <w:sz w:val="20"/>
                <w:szCs w:val="20"/>
              </w:rPr>
            </w:pPr>
            <w:r>
              <w:rPr>
                <w:rFonts w:ascii="Cambria" w:hAnsi="Cambria"/>
                <w:spacing w:val="-2"/>
                <w:sz w:val="20"/>
                <w:szCs w:val="20"/>
              </w:rPr>
              <w:t>256/22</w:t>
            </w:r>
          </w:p>
        </w:tc>
        <w:tc>
          <w:tcPr>
            <w:tcW w:w="1440" w:type="dxa"/>
            <w:vAlign w:val="center"/>
          </w:tcPr>
          <w:p w14:paraId="583D49F5"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10/3/2022</w:t>
            </w:r>
          </w:p>
        </w:tc>
        <w:tc>
          <w:tcPr>
            <w:tcW w:w="1890" w:type="dxa"/>
            <w:vAlign w:val="center"/>
          </w:tcPr>
          <w:p w14:paraId="424B2F2B"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317-14</w:t>
            </w:r>
          </w:p>
        </w:tc>
      </w:tr>
      <w:tr w:rsidR="0057201B" w:rsidRPr="00AE3A84" w14:paraId="71B2D7AB" w14:textId="77777777" w:rsidTr="005615BA">
        <w:tc>
          <w:tcPr>
            <w:tcW w:w="544" w:type="dxa"/>
          </w:tcPr>
          <w:p w14:paraId="6F08FA82"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66</w:t>
            </w:r>
          </w:p>
        </w:tc>
        <w:tc>
          <w:tcPr>
            <w:tcW w:w="3253" w:type="dxa"/>
          </w:tcPr>
          <w:p w14:paraId="467F4D5B"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Margot</w:t>
            </w:r>
            <w:r w:rsidRPr="00AE3A84">
              <w:rPr>
                <w:rFonts w:ascii="Cambria" w:hAnsi="Cambria"/>
                <w:spacing w:val="11"/>
                <w:sz w:val="20"/>
                <w:szCs w:val="20"/>
              </w:rPr>
              <w:t xml:space="preserve"> </w:t>
            </w:r>
            <w:r w:rsidRPr="00AE3A84">
              <w:rPr>
                <w:rFonts w:ascii="Cambria" w:hAnsi="Cambria"/>
                <w:spacing w:val="-2"/>
                <w:sz w:val="20"/>
                <w:szCs w:val="20"/>
              </w:rPr>
              <w:t>Tonore</w:t>
            </w:r>
            <w:r w:rsidRPr="00AE3A84">
              <w:rPr>
                <w:rFonts w:ascii="Cambria" w:hAnsi="Cambria"/>
                <w:spacing w:val="12"/>
                <w:sz w:val="20"/>
                <w:szCs w:val="20"/>
              </w:rPr>
              <w:t xml:space="preserve"> </w:t>
            </w:r>
            <w:r w:rsidRPr="00AE3A84">
              <w:rPr>
                <w:rFonts w:ascii="Cambria" w:hAnsi="Cambria"/>
                <w:spacing w:val="-2"/>
                <w:sz w:val="20"/>
                <w:szCs w:val="20"/>
              </w:rPr>
              <w:t>Arredondo</w:t>
            </w:r>
          </w:p>
        </w:tc>
        <w:tc>
          <w:tcPr>
            <w:tcW w:w="1328" w:type="dxa"/>
          </w:tcPr>
          <w:p w14:paraId="1CC766EA"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Argentina</w:t>
            </w:r>
          </w:p>
        </w:tc>
        <w:tc>
          <w:tcPr>
            <w:tcW w:w="1260" w:type="dxa"/>
            <w:vAlign w:val="center"/>
          </w:tcPr>
          <w:p w14:paraId="28C3E418" w14:textId="77777777" w:rsidR="0057201B" w:rsidRPr="00AE3A84" w:rsidRDefault="0057201B">
            <w:pPr>
              <w:jc w:val="center"/>
              <w:rPr>
                <w:rFonts w:ascii="Cambria" w:hAnsi="Cambria"/>
                <w:spacing w:val="-2"/>
                <w:sz w:val="20"/>
                <w:szCs w:val="20"/>
              </w:rPr>
            </w:pPr>
            <w:r>
              <w:rPr>
                <w:rFonts w:ascii="Cambria" w:hAnsi="Cambria"/>
                <w:spacing w:val="-2"/>
                <w:sz w:val="20"/>
                <w:szCs w:val="20"/>
              </w:rPr>
              <w:t>260/22</w:t>
            </w:r>
          </w:p>
        </w:tc>
        <w:tc>
          <w:tcPr>
            <w:tcW w:w="1440" w:type="dxa"/>
            <w:vAlign w:val="center"/>
          </w:tcPr>
          <w:p w14:paraId="7E123253"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10/3/2022</w:t>
            </w:r>
          </w:p>
        </w:tc>
        <w:tc>
          <w:tcPr>
            <w:tcW w:w="1890" w:type="dxa"/>
            <w:vAlign w:val="center"/>
          </w:tcPr>
          <w:p w14:paraId="1B21908B"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1787-11</w:t>
            </w:r>
          </w:p>
        </w:tc>
      </w:tr>
      <w:tr w:rsidR="0057201B" w:rsidRPr="00AE3A84" w14:paraId="2A427544" w14:textId="77777777" w:rsidTr="005615BA">
        <w:tc>
          <w:tcPr>
            <w:tcW w:w="544" w:type="dxa"/>
          </w:tcPr>
          <w:p w14:paraId="7508BDA5"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67</w:t>
            </w:r>
          </w:p>
        </w:tc>
        <w:tc>
          <w:tcPr>
            <w:tcW w:w="3253" w:type="dxa"/>
          </w:tcPr>
          <w:p w14:paraId="6B604CF6"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AR"/>
              </w:rPr>
              <w:t>Luis</w:t>
            </w:r>
            <w:r w:rsidRPr="00AE3A84">
              <w:rPr>
                <w:rFonts w:ascii="Cambria" w:hAnsi="Cambria"/>
                <w:spacing w:val="4"/>
                <w:sz w:val="20"/>
                <w:szCs w:val="20"/>
                <w:lang w:val="es-AR"/>
              </w:rPr>
              <w:t xml:space="preserve"> </w:t>
            </w:r>
            <w:r w:rsidRPr="00AE3A84">
              <w:rPr>
                <w:rFonts w:ascii="Cambria" w:hAnsi="Cambria"/>
                <w:spacing w:val="-1"/>
                <w:sz w:val="20"/>
                <w:szCs w:val="20"/>
                <w:lang w:val="es-AR"/>
              </w:rPr>
              <w:t>Alberto</w:t>
            </w:r>
            <w:r w:rsidRPr="00AE3A84">
              <w:rPr>
                <w:rFonts w:ascii="Cambria" w:hAnsi="Cambria"/>
                <w:spacing w:val="4"/>
                <w:sz w:val="20"/>
                <w:szCs w:val="20"/>
                <w:lang w:val="es-AR"/>
              </w:rPr>
              <w:t xml:space="preserve"> </w:t>
            </w:r>
            <w:r w:rsidRPr="00AE3A84">
              <w:rPr>
                <w:rFonts w:ascii="Cambria" w:hAnsi="Cambria"/>
                <w:spacing w:val="-1"/>
                <w:sz w:val="20"/>
                <w:szCs w:val="20"/>
                <w:lang w:val="es-AR"/>
              </w:rPr>
              <w:t>Calderón</w:t>
            </w:r>
            <w:r w:rsidRPr="00AE3A84">
              <w:rPr>
                <w:rFonts w:ascii="Cambria" w:hAnsi="Cambria"/>
                <w:spacing w:val="4"/>
                <w:sz w:val="20"/>
                <w:szCs w:val="20"/>
                <w:lang w:val="es-AR"/>
              </w:rPr>
              <w:t xml:space="preserve"> </w:t>
            </w:r>
            <w:r w:rsidRPr="00AE3A84">
              <w:rPr>
                <w:rFonts w:ascii="Cambria" w:hAnsi="Cambria"/>
                <w:spacing w:val="-1"/>
                <w:sz w:val="20"/>
                <w:szCs w:val="20"/>
                <w:lang w:val="es-AR"/>
              </w:rPr>
              <w:t>Pardo</w:t>
            </w:r>
            <w:r w:rsidRPr="00AE3A84">
              <w:rPr>
                <w:rFonts w:ascii="Cambria" w:hAnsi="Cambria"/>
                <w:spacing w:val="4"/>
                <w:sz w:val="20"/>
                <w:szCs w:val="20"/>
                <w:lang w:val="es-AR"/>
              </w:rPr>
              <w:t xml:space="preserve"> </w:t>
            </w:r>
            <w:r>
              <w:rPr>
                <w:rFonts w:ascii="Cambria" w:hAnsi="Cambria"/>
                <w:sz w:val="20"/>
                <w:szCs w:val="20"/>
                <w:lang w:val="es-AR"/>
              </w:rPr>
              <w:t>et al.</w:t>
            </w:r>
          </w:p>
        </w:tc>
        <w:tc>
          <w:tcPr>
            <w:tcW w:w="1328" w:type="dxa"/>
          </w:tcPr>
          <w:p w14:paraId="68757A77"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7DE8263B" w14:textId="77777777" w:rsidR="0057201B" w:rsidRPr="00AE3A84" w:rsidRDefault="0057201B">
            <w:pPr>
              <w:jc w:val="center"/>
              <w:rPr>
                <w:rFonts w:ascii="Cambria" w:hAnsi="Cambria"/>
                <w:spacing w:val="-2"/>
                <w:sz w:val="20"/>
                <w:szCs w:val="20"/>
              </w:rPr>
            </w:pPr>
            <w:r>
              <w:rPr>
                <w:rFonts w:ascii="Cambria" w:hAnsi="Cambria"/>
                <w:spacing w:val="-2"/>
                <w:sz w:val="20"/>
                <w:szCs w:val="20"/>
              </w:rPr>
              <w:t>261/22</w:t>
            </w:r>
          </w:p>
        </w:tc>
        <w:tc>
          <w:tcPr>
            <w:tcW w:w="1440" w:type="dxa"/>
            <w:vAlign w:val="center"/>
          </w:tcPr>
          <w:p w14:paraId="4E0FA111"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10/3/2022</w:t>
            </w:r>
          </w:p>
        </w:tc>
        <w:tc>
          <w:tcPr>
            <w:tcW w:w="1890" w:type="dxa"/>
            <w:vAlign w:val="center"/>
          </w:tcPr>
          <w:p w14:paraId="48A2D7ED"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597-09</w:t>
            </w:r>
          </w:p>
        </w:tc>
      </w:tr>
      <w:tr w:rsidR="0057201B" w:rsidRPr="00AE3A84" w14:paraId="5EB60FDC" w14:textId="77777777" w:rsidTr="005615BA">
        <w:tc>
          <w:tcPr>
            <w:tcW w:w="544" w:type="dxa"/>
          </w:tcPr>
          <w:p w14:paraId="52998732"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68</w:t>
            </w:r>
          </w:p>
        </w:tc>
        <w:tc>
          <w:tcPr>
            <w:tcW w:w="3253" w:type="dxa"/>
          </w:tcPr>
          <w:p w14:paraId="66E46CAB"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Carlos</w:t>
            </w:r>
            <w:r w:rsidRPr="00AE3A84">
              <w:rPr>
                <w:rFonts w:ascii="Cambria" w:hAnsi="Cambria"/>
                <w:spacing w:val="7"/>
                <w:sz w:val="20"/>
                <w:szCs w:val="20"/>
              </w:rPr>
              <w:t xml:space="preserve"> </w:t>
            </w:r>
            <w:r w:rsidRPr="00AE3A84">
              <w:rPr>
                <w:rFonts w:ascii="Cambria" w:hAnsi="Cambria"/>
                <w:spacing w:val="-1"/>
                <w:sz w:val="20"/>
                <w:szCs w:val="20"/>
              </w:rPr>
              <w:t>Jaime</w:t>
            </w:r>
            <w:r w:rsidRPr="00AE3A84">
              <w:rPr>
                <w:rFonts w:ascii="Cambria" w:hAnsi="Cambria"/>
                <w:spacing w:val="9"/>
                <w:sz w:val="20"/>
                <w:szCs w:val="20"/>
              </w:rPr>
              <w:t xml:space="preserve"> </w:t>
            </w:r>
            <w:r w:rsidRPr="00AE3A84">
              <w:rPr>
                <w:rFonts w:ascii="Cambria" w:hAnsi="Cambria"/>
                <w:spacing w:val="-1"/>
                <w:sz w:val="20"/>
                <w:szCs w:val="20"/>
              </w:rPr>
              <w:t>Nicolau</w:t>
            </w:r>
          </w:p>
        </w:tc>
        <w:tc>
          <w:tcPr>
            <w:tcW w:w="1328" w:type="dxa"/>
          </w:tcPr>
          <w:p w14:paraId="6429BE5A"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Argentina</w:t>
            </w:r>
          </w:p>
        </w:tc>
        <w:tc>
          <w:tcPr>
            <w:tcW w:w="1260" w:type="dxa"/>
            <w:vAlign w:val="center"/>
          </w:tcPr>
          <w:p w14:paraId="3078618E" w14:textId="77777777" w:rsidR="0057201B" w:rsidRPr="00AE3A84" w:rsidRDefault="0057201B">
            <w:pPr>
              <w:jc w:val="center"/>
              <w:rPr>
                <w:rFonts w:ascii="Cambria" w:hAnsi="Cambria"/>
                <w:spacing w:val="-2"/>
                <w:sz w:val="20"/>
                <w:szCs w:val="20"/>
              </w:rPr>
            </w:pPr>
            <w:r>
              <w:rPr>
                <w:rFonts w:ascii="Cambria" w:hAnsi="Cambria"/>
                <w:spacing w:val="-2"/>
                <w:sz w:val="20"/>
                <w:szCs w:val="20"/>
              </w:rPr>
              <w:t>294/22</w:t>
            </w:r>
          </w:p>
        </w:tc>
        <w:tc>
          <w:tcPr>
            <w:tcW w:w="1440" w:type="dxa"/>
            <w:vAlign w:val="center"/>
          </w:tcPr>
          <w:p w14:paraId="15435CC8"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10/19/2022</w:t>
            </w:r>
          </w:p>
        </w:tc>
        <w:tc>
          <w:tcPr>
            <w:tcW w:w="1890" w:type="dxa"/>
            <w:vAlign w:val="center"/>
          </w:tcPr>
          <w:p w14:paraId="544B101D"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1529-08</w:t>
            </w:r>
          </w:p>
        </w:tc>
      </w:tr>
      <w:tr w:rsidR="0057201B" w:rsidRPr="00AE3A84" w14:paraId="209F9571" w14:textId="77777777" w:rsidTr="005615BA">
        <w:tc>
          <w:tcPr>
            <w:tcW w:w="544" w:type="dxa"/>
          </w:tcPr>
          <w:p w14:paraId="098B5746"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69</w:t>
            </w:r>
          </w:p>
        </w:tc>
        <w:tc>
          <w:tcPr>
            <w:tcW w:w="3253" w:type="dxa"/>
          </w:tcPr>
          <w:p w14:paraId="419FBE92"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Jonathan</w:t>
            </w:r>
            <w:r w:rsidRPr="00AE3A84">
              <w:rPr>
                <w:rFonts w:ascii="Cambria" w:hAnsi="Cambria"/>
                <w:spacing w:val="9"/>
                <w:sz w:val="20"/>
                <w:szCs w:val="20"/>
              </w:rPr>
              <w:t xml:space="preserve"> </w:t>
            </w:r>
            <w:r w:rsidRPr="00AE3A84">
              <w:rPr>
                <w:rFonts w:ascii="Cambria" w:hAnsi="Cambria"/>
                <w:spacing w:val="-2"/>
                <w:sz w:val="20"/>
                <w:szCs w:val="20"/>
              </w:rPr>
              <w:t>Moreyra</w:t>
            </w:r>
            <w:r w:rsidRPr="00AE3A84">
              <w:rPr>
                <w:rFonts w:ascii="Cambria" w:hAnsi="Cambria"/>
                <w:spacing w:val="9"/>
                <w:sz w:val="20"/>
                <w:szCs w:val="20"/>
              </w:rPr>
              <w:t xml:space="preserve"> </w:t>
            </w:r>
            <w:r w:rsidRPr="00AE3A84">
              <w:rPr>
                <w:rFonts w:ascii="Cambria" w:hAnsi="Cambria"/>
                <w:spacing w:val="-1"/>
                <w:sz w:val="20"/>
                <w:szCs w:val="20"/>
              </w:rPr>
              <w:t>Cironi</w:t>
            </w:r>
          </w:p>
        </w:tc>
        <w:tc>
          <w:tcPr>
            <w:tcW w:w="1328" w:type="dxa"/>
          </w:tcPr>
          <w:p w14:paraId="285EABFA"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Argentina</w:t>
            </w:r>
          </w:p>
        </w:tc>
        <w:tc>
          <w:tcPr>
            <w:tcW w:w="1260" w:type="dxa"/>
            <w:vAlign w:val="center"/>
          </w:tcPr>
          <w:p w14:paraId="52F84D7E" w14:textId="77777777" w:rsidR="0057201B" w:rsidRPr="00AE3A84" w:rsidRDefault="0057201B">
            <w:pPr>
              <w:jc w:val="center"/>
              <w:rPr>
                <w:rFonts w:ascii="Cambria" w:hAnsi="Cambria"/>
                <w:spacing w:val="-2"/>
                <w:sz w:val="20"/>
                <w:szCs w:val="20"/>
              </w:rPr>
            </w:pPr>
            <w:r>
              <w:rPr>
                <w:rFonts w:ascii="Cambria" w:hAnsi="Cambria"/>
                <w:spacing w:val="-2"/>
                <w:sz w:val="20"/>
                <w:szCs w:val="20"/>
              </w:rPr>
              <w:t>297/22</w:t>
            </w:r>
          </w:p>
        </w:tc>
        <w:tc>
          <w:tcPr>
            <w:tcW w:w="1440" w:type="dxa"/>
            <w:vAlign w:val="center"/>
          </w:tcPr>
          <w:p w14:paraId="1AC1B30B"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10/21/2022</w:t>
            </w:r>
          </w:p>
        </w:tc>
        <w:tc>
          <w:tcPr>
            <w:tcW w:w="1890" w:type="dxa"/>
            <w:vAlign w:val="center"/>
          </w:tcPr>
          <w:p w14:paraId="13FE5F6D"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1719-15</w:t>
            </w:r>
          </w:p>
        </w:tc>
      </w:tr>
      <w:tr w:rsidR="0057201B" w:rsidRPr="00AE3A84" w14:paraId="01B4478F" w14:textId="77777777" w:rsidTr="005615BA">
        <w:tc>
          <w:tcPr>
            <w:tcW w:w="544" w:type="dxa"/>
          </w:tcPr>
          <w:p w14:paraId="2534D669"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70</w:t>
            </w:r>
          </w:p>
        </w:tc>
        <w:tc>
          <w:tcPr>
            <w:tcW w:w="3253" w:type="dxa"/>
          </w:tcPr>
          <w:p w14:paraId="7712431F" w14:textId="77777777" w:rsidR="0057201B" w:rsidRPr="00114F7F" w:rsidRDefault="0057201B">
            <w:pPr>
              <w:rPr>
                <w:rFonts w:ascii="Cambria" w:hAnsi="Cambria"/>
                <w:sz w:val="20"/>
                <w:szCs w:val="20"/>
              </w:rPr>
            </w:pPr>
            <w:r w:rsidRPr="00114F7F">
              <w:rPr>
                <w:rFonts w:ascii="Cambria" w:hAnsi="Cambria"/>
                <w:sz w:val="20"/>
                <w:szCs w:val="20"/>
              </w:rPr>
              <w:t>Iván</w:t>
            </w:r>
            <w:r w:rsidRPr="00114F7F">
              <w:rPr>
                <w:rFonts w:ascii="Cambria" w:hAnsi="Cambria"/>
                <w:spacing w:val="4"/>
                <w:sz w:val="20"/>
                <w:szCs w:val="20"/>
              </w:rPr>
              <w:t xml:space="preserve"> </w:t>
            </w:r>
            <w:r w:rsidRPr="00114F7F">
              <w:rPr>
                <w:rFonts w:ascii="Cambria" w:hAnsi="Cambria"/>
                <w:spacing w:val="-1"/>
                <w:sz w:val="20"/>
                <w:szCs w:val="20"/>
              </w:rPr>
              <w:t>Darío</w:t>
            </w:r>
            <w:r w:rsidRPr="00114F7F">
              <w:rPr>
                <w:rFonts w:ascii="Cambria" w:hAnsi="Cambria"/>
                <w:spacing w:val="4"/>
                <w:sz w:val="20"/>
                <w:szCs w:val="20"/>
              </w:rPr>
              <w:t xml:space="preserve"> </w:t>
            </w:r>
            <w:r w:rsidRPr="00114F7F">
              <w:rPr>
                <w:rFonts w:ascii="Cambria" w:hAnsi="Cambria"/>
                <w:spacing w:val="-1"/>
                <w:sz w:val="20"/>
                <w:szCs w:val="20"/>
              </w:rPr>
              <w:t>Henao</w:t>
            </w:r>
            <w:r w:rsidRPr="00114F7F">
              <w:rPr>
                <w:rFonts w:ascii="Cambria" w:hAnsi="Cambria"/>
                <w:spacing w:val="4"/>
                <w:sz w:val="20"/>
                <w:szCs w:val="20"/>
              </w:rPr>
              <w:t xml:space="preserve"> </w:t>
            </w:r>
            <w:r w:rsidRPr="00114F7F">
              <w:rPr>
                <w:rFonts w:ascii="Cambria" w:hAnsi="Cambria"/>
                <w:spacing w:val="-1"/>
                <w:sz w:val="20"/>
                <w:szCs w:val="20"/>
              </w:rPr>
              <w:t>Sanabria</w:t>
            </w:r>
            <w:r w:rsidRPr="00114F7F">
              <w:rPr>
                <w:rFonts w:ascii="Cambria" w:hAnsi="Cambria"/>
                <w:spacing w:val="4"/>
                <w:sz w:val="20"/>
                <w:szCs w:val="20"/>
              </w:rPr>
              <w:t xml:space="preserve"> </w:t>
            </w:r>
            <w:r w:rsidRPr="00114F7F">
              <w:rPr>
                <w:rFonts w:ascii="Cambria" w:hAnsi="Cambria"/>
                <w:sz w:val="20"/>
                <w:szCs w:val="20"/>
              </w:rPr>
              <w:t>and Relatives</w:t>
            </w:r>
          </w:p>
        </w:tc>
        <w:tc>
          <w:tcPr>
            <w:tcW w:w="1328" w:type="dxa"/>
          </w:tcPr>
          <w:p w14:paraId="12A5F952"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Colombia</w:t>
            </w:r>
          </w:p>
        </w:tc>
        <w:tc>
          <w:tcPr>
            <w:tcW w:w="1260" w:type="dxa"/>
            <w:vAlign w:val="center"/>
          </w:tcPr>
          <w:p w14:paraId="045A786A" w14:textId="77777777" w:rsidR="0057201B" w:rsidRPr="00AE3A84" w:rsidRDefault="0057201B">
            <w:pPr>
              <w:jc w:val="center"/>
              <w:rPr>
                <w:rFonts w:ascii="Cambria" w:hAnsi="Cambria"/>
                <w:spacing w:val="-2"/>
                <w:sz w:val="20"/>
                <w:szCs w:val="20"/>
              </w:rPr>
            </w:pPr>
            <w:r>
              <w:rPr>
                <w:rFonts w:ascii="Cambria" w:hAnsi="Cambria"/>
                <w:spacing w:val="-2"/>
                <w:sz w:val="20"/>
                <w:szCs w:val="20"/>
              </w:rPr>
              <w:t>299/22</w:t>
            </w:r>
          </w:p>
        </w:tc>
        <w:tc>
          <w:tcPr>
            <w:tcW w:w="1440" w:type="dxa"/>
            <w:vAlign w:val="center"/>
          </w:tcPr>
          <w:p w14:paraId="1DCA21C6"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10/21/2022</w:t>
            </w:r>
          </w:p>
        </w:tc>
        <w:tc>
          <w:tcPr>
            <w:tcW w:w="1890" w:type="dxa"/>
            <w:vAlign w:val="center"/>
          </w:tcPr>
          <w:p w14:paraId="6E7E634C"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1943-12</w:t>
            </w:r>
          </w:p>
        </w:tc>
      </w:tr>
      <w:tr w:rsidR="0057201B" w:rsidRPr="00AE3A84" w14:paraId="64448F48" w14:textId="77777777" w:rsidTr="005615BA">
        <w:tc>
          <w:tcPr>
            <w:tcW w:w="544" w:type="dxa"/>
          </w:tcPr>
          <w:p w14:paraId="7C29F09E"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71</w:t>
            </w:r>
          </w:p>
        </w:tc>
        <w:tc>
          <w:tcPr>
            <w:tcW w:w="3253" w:type="dxa"/>
          </w:tcPr>
          <w:p w14:paraId="7000DC07" w14:textId="77777777" w:rsidR="0057201B" w:rsidRPr="00AE3A84" w:rsidRDefault="0057201B">
            <w:pPr>
              <w:rPr>
                <w:rFonts w:ascii="Cambria" w:hAnsi="Cambria"/>
                <w:sz w:val="20"/>
                <w:szCs w:val="20"/>
              </w:rPr>
            </w:pPr>
            <w:r w:rsidRPr="00AE3A84">
              <w:rPr>
                <w:rFonts w:ascii="Cambria" w:hAnsi="Cambria"/>
                <w:spacing w:val="-1"/>
                <w:sz w:val="20"/>
                <w:szCs w:val="20"/>
              </w:rPr>
              <w:t>Ismail</w:t>
            </w:r>
            <w:r w:rsidRPr="00AE3A84">
              <w:rPr>
                <w:rFonts w:ascii="Cambria" w:hAnsi="Cambria"/>
                <w:spacing w:val="4"/>
                <w:sz w:val="20"/>
                <w:szCs w:val="20"/>
              </w:rPr>
              <w:t xml:space="preserve"> </w:t>
            </w:r>
            <w:r w:rsidRPr="00AE3A84">
              <w:rPr>
                <w:rFonts w:ascii="Cambria" w:hAnsi="Cambria"/>
                <w:spacing w:val="-1"/>
                <w:sz w:val="20"/>
                <w:szCs w:val="20"/>
              </w:rPr>
              <w:t>Elshikh</w:t>
            </w:r>
            <w:r w:rsidRPr="00AE3A84">
              <w:rPr>
                <w:rFonts w:ascii="Cambria" w:hAnsi="Cambria"/>
                <w:spacing w:val="4"/>
                <w:sz w:val="20"/>
                <w:szCs w:val="20"/>
              </w:rPr>
              <w:t xml:space="preserve"> </w:t>
            </w:r>
            <w:r w:rsidRPr="00AE3A84">
              <w:rPr>
                <w:rFonts w:ascii="Cambria" w:hAnsi="Cambria"/>
                <w:sz w:val="20"/>
                <w:szCs w:val="20"/>
              </w:rPr>
              <w:t>&amp;</w:t>
            </w:r>
            <w:r w:rsidRPr="00AE3A84">
              <w:rPr>
                <w:rFonts w:ascii="Cambria" w:hAnsi="Cambria"/>
                <w:spacing w:val="7"/>
                <w:sz w:val="20"/>
                <w:szCs w:val="20"/>
              </w:rPr>
              <w:t xml:space="preserve"> </w:t>
            </w:r>
            <w:r w:rsidRPr="00AE3A84">
              <w:rPr>
                <w:rFonts w:ascii="Cambria" w:hAnsi="Cambria"/>
                <w:spacing w:val="-1"/>
                <w:sz w:val="20"/>
                <w:szCs w:val="20"/>
              </w:rPr>
              <w:t>The</w:t>
            </w:r>
            <w:r w:rsidRPr="00AE3A84">
              <w:rPr>
                <w:rFonts w:ascii="Cambria" w:hAnsi="Cambria"/>
                <w:spacing w:val="5"/>
                <w:sz w:val="20"/>
                <w:szCs w:val="20"/>
              </w:rPr>
              <w:t xml:space="preserve"> </w:t>
            </w:r>
            <w:r w:rsidRPr="00AE3A84">
              <w:rPr>
                <w:rFonts w:ascii="Cambria" w:hAnsi="Cambria"/>
                <w:spacing w:val="-1"/>
                <w:sz w:val="20"/>
                <w:szCs w:val="20"/>
              </w:rPr>
              <w:t>Muslim</w:t>
            </w:r>
            <w:r w:rsidRPr="00AE3A84">
              <w:rPr>
                <w:rFonts w:ascii="Cambria" w:hAnsi="Cambria"/>
                <w:spacing w:val="6"/>
                <w:sz w:val="20"/>
                <w:szCs w:val="20"/>
              </w:rPr>
              <w:t xml:space="preserve"> </w:t>
            </w:r>
            <w:r w:rsidRPr="00AE3A84">
              <w:rPr>
                <w:rFonts w:ascii="Cambria" w:hAnsi="Cambria"/>
                <w:spacing w:val="-1"/>
                <w:sz w:val="20"/>
                <w:szCs w:val="20"/>
              </w:rPr>
              <w:t>Association</w:t>
            </w:r>
            <w:r w:rsidRPr="00AE3A84">
              <w:rPr>
                <w:rFonts w:ascii="Cambria" w:hAnsi="Cambria"/>
                <w:spacing w:val="4"/>
                <w:sz w:val="20"/>
                <w:szCs w:val="20"/>
              </w:rPr>
              <w:t xml:space="preserve"> </w:t>
            </w:r>
            <w:r w:rsidRPr="00AE3A84">
              <w:rPr>
                <w:rFonts w:ascii="Cambria" w:hAnsi="Cambria"/>
                <w:spacing w:val="-1"/>
                <w:sz w:val="20"/>
                <w:szCs w:val="20"/>
              </w:rPr>
              <w:t>of</w:t>
            </w:r>
            <w:r w:rsidRPr="00AE3A84">
              <w:rPr>
                <w:rFonts w:ascii="Cambria" w:hAnsi="Cambria"/>
                <w:spacing w:val="5"/>
                <w:sz w:val="20"/>
                <w:szCs w:val="20"/>
              </w:rPr>
              <w:t xml:space="preserve"> </w:t>
            </w:r>
            <w:r w:rsidRPr="00AE3A84">
              <w:rPr>
                <w:rFonts w:ascii="Cambria" w:hAnsi="Cambria"/>
                <w:sz w:val="20"/>
                <w:szCs w:val="20"/>
              </w:rPr>
              <w:t>Hawaii</w:t>
            </w:r>
          </w:p>
        </w:tc>
        <w:tc>
          <w:tcPr>
            <w:tcW w:w="1328" w:type="dxa"/>
          </w:tcPr>
          <w:p w14:paraId="6C05E869" w14:textId="77777777" w:rsidR="0057201B" w:rsidRPr="00AE3A84" w:rsidRDefault="0057201B">
            <w:pPr>
              <w:rPr>
                <w:rFonts w:ascii="Cambria" w:hAnsi="Cambria"/>
                <w:sz w:val="20"/>
                <w:szCs w:val="20"/>
                <w:lang w:val="es-ES_tradnl"/>
              </w:rPr>
            </w:pPr>
            <w:r>
              <w:rPr>
                <w:rFonts w:ascii="Cambria" w:hAnsi="Cambria"/>
                <w:spacing w:val="-1"/>
                <w:sz w:val="20"/>
                <w:szCs w:val="20"/>
              </w:rPr>
              <w:t>United States</w:t>
            </w:r>
          </w:p>
        </w:tc>
        <w:tc>
          <w:tcPr>
            <w:tcW w:w="1260" w:type="dxa"/>
            <w:vAlign w:val="center"/>
          </w:tcPr>
          <w:p w14:paraId="39B1E554" w14:textId="77777777" w:rsidR="0057201B" w:rsidRPr="00AE3A84" w:rsidRDefault="0057201B">
            <w:pPr>
              <w:jc w:val="center"/>
              <w:rPr>
                <w:rFonts w:ascii="Cambria" w:hAnsi="Cambria"/>
                <w:spacing w:val="-2"/>
                <w:sz w:val="20"/>
                <w:szCs w:val="20"/>
              </w:rPr>
            </w:pPr>
            <w:r>
              <w:rPr>
                <w:rFonts w:ascii="Cambria" w:hAnsi="Cambria"/>
                <w:spacing w:val="-2"/>
                <w:sz w:val="20"/>
                <w:szCs w:val="20"/>
              </w:rPr>
              <w:t>291/22</w:t>
            </w:r>
          </w:p>
        </w:tc>
        <w:tc>
          <w:tcPr>
            <w:tcW w:w="1440" w:type="dxa"/>
            <w:vAlign w:val="center"/>
          </w:tcPr>
          <w:p w14:paraId="78B7919E"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11/1/2022</w:t>
            </w:r>
          </w:p>
        </w:tc>
        <w:tc>
          <w:tcPr>
            <w:tcW w:w="1890" w:type="dxa"/>
            <w:vAlign w:val="center"/>
          </w:tcPr>
          <w:p w14:paraId="355A4CE4"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3034-18</w:t>
            </w:r>
          </w:p>
        </w:tc>
      </w:tr>
      <w:tr w:rsidR="0057201B" w:rsidRPr="00AE3A84" w14:paraId="5B86B38B" w14:textId="77777777" w:rsidTr="005615BA">
        <w:tc>
          <w:tcPr>
            <w:tcW w:w="544" w:type="dxa"/>
          </w:tcPr>
          <w:p w14:paraId="3539AFCC"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72</w:t>
            </w:r>
          </w:p>
        </w:tc>
        <w:tc>
          <w:tcPr>
            <w:tcW w:w="3253" w:type="dxa"/>
            <w:vAlign w:val="center"/>
          </w:tcPr>
          <w:p w14:paraId="0119FB82" w14:textId="77777777" w:rsidR="0057201B" w:rsidRPr="00AE3A84" w:rsidRDefault="0057201B" w:rsidP="00D5036B">
            <w:pPr>
              <w:rPr>
                <w:rFonts w:ascii="Cambria" w:hAnsi="Cambria"/>
                <w:sz w:val="20"/>
                <w:szCs w:val="20"/>
                <w:lang w:val="es-ES_tradnl"/>
              </w:rPr>
            </w:pPr>
            <w:r w:rsidRPr="00AE3A84">
              <w:rPr>
                <w:rFonts w:ascii="Cambria" w:hAnsi="Cambria"/>
                <w:spacing w:val="-1"/>
                <w:sz w:val="20"/>
                <w:szCs w:val="20"/>
              </w:rPr>
              <w:t>Bernadel</w:t>
            </w:r>
            <w:r w:rsidRPr="00AE3A84">
              <w:rPr>
                <w:rFonts w:ascii="Cambria" w:hAnsi="Cambria"/>
                <w:spacing w:val="5"/>
                <w:sz w:val="20"/>
                <w:szCs w:val="20"/>
              </w:rPr>
              <w:t xml:space="preserve"> </w:t>
            </w:r>
            <w:r w:rsidRPr="00AE3A84">
              <w:rPr>
                <w:rFonts w:ascii="Cambria" w:hAnsi="Cambria"/>
                <w:spacing w:val="-1"/>
                <w:sz w:val="20"/>
                <w:szCs w:val="20"/>
              </w:rPr>
              <w:t>Jefferson</w:t>
            </w:r>
            <w:r w:rsidRPr="00AE3A84">
              <w:rPr>
                <w:rFonts w:ascii="Cambria" w:hAnsi="Cambria"/>
                <w:spacing w:val="5"/>
                <w:sz w:val="20"/>
                <w:szCs w:val="20"/>
              </w:rPr>
              <w:t xml:space="preserve"> </w:t>
            </w:r>
            <w:r w:rsidRPr="00AE3A84">
              <w:rPr>
                <w:rFonts w:ascii="Cambria" w:hAnsi="Cambria"/>
                <w:sz w:val="20"/>
                <w:szCs w:val="20"/>
              </w:rPr>
              <w:t>et</w:t>
            </w:r>
            <w:r w:rsidRPr="00AE3A84">
              <w:rPr>
                <w:rFonts w:ascii="Cambria" w:hAnsi="Cambria"/>
                <w:spacing w:val="6"/>
                <w:sz w:val="20"/>
                <w:szCs w:val="20"/>
              </w:rPr>
              <w:t xml:space="preserve"> </w:t>
            </w:r>
            <w:r w:rsidRPr="00AE3A84">
              <w:rPr>
                <w:rFonts w:ascii="Cambria" w:hAnsi="Cambria"/>
                <w:sz w:val="20"/>
                <w:szCs w:val="20"/>
              </w:rPr>
              <w:t>al.</w:t>
            </w:r>
          </w:p>
        </w:tc>
        <w:tc>
          <w:tcPr>
            <w:tcW w:w="1328" w:type="dxa"/>
          </w:tcPr>
          <w:p w14:paraId="5CD247E6" w14:textId="77777777" w:rsidR="0057201B" w:rsidRPr="00AE3A84" w:rsidRDefault="0057201B">
            <w:pPr>
              <w:rPr>
                <w:rFonts w:ascii="Cambria" w:hAnsi="Cambria"/>
                <w:sz w:val="20"/>
                <w:szCs w:val="20"/>
                <w:lang w:val="es-ES_tradnl"/>
              </w:rPr>
            </w:pPr>
            <w:r>
              <w:rPr>
                <w:rFonts w:ascii="Cambria" w:hAnsi="Cambria"/>
                <w:spacing w:val="-1"/>
                <w:sz w:val="20"/>
                <w:szCs w:val="20"/>
              </w:rPr>
              <w:t>United States</w:t>
            </w:r>
          </w:p>
        </w:tc>
        <w:tc>
          <w:tcPr>
            <w:tcW w:w="1260" w:type="dxa"/>
            <w:vAlign w:val="center"/>
          </w:tcPr>
          <w:p w14:paraId="0A1D19B3" w14:textId="77777777" w:rsidR="0057201B" w:rsidRPr="00AE3A84" w:rsidRDefault="0057201B">
            <w:pPr>
              <w:jc w:val="center"/>
              <w:rPr>
                <w:rFonts w:ascii="Cambria" w:hAnsi="Cambria"/>
                <w:spacing w:val="-2"/>
                <w:sz w:val="20"/>
                <w:szCs w:val="20"/>
              </w:rPr>
            </w:pPr>
            <w:r>
              <w:rPr>
                <w:rFonts w:ascii="Cambria" w:hAnsi="Cambria"/>
                <w:spacing w:val="-2"/>
                <w:sz w:val="20"/>
                <w:szCs w:val="20"/>
              </w:rPr>
              <w:t>300/22</w:t>
            </w:r>
          </w:p>
        </w:tc>
        <w:tc>
          <w:tcPr>
            <w:tcW w:w="1440" w:type="dxa"/>
            <w:vAlign w:val="center"/>
          </w:tcPr>
          <w:p w14:paraId="196FB07C"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11/1/2022</w:t>
            </w:r>
          </w:p>
        </w:tc>
        <w:tc>
          <w:tcPr>
            <w:tcW w:w="1890" w:type="dxa"/>
            <w:vAlign w:val="center"/>
          </w:tcPr>
          <w:p w14:paraId="6CD25152"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2173-17</w:t>
            </w:r>
          </w:p>
        </w:tc>
      </w:tr>
      <w:tr w:rsidR="0057201B" w:rsidRPr="00AE3A84" w14:paraId="764613B6" w14:textId="77777777" w:rsidTr="005615BA">
        <w:trPr>
          <w:trHeight w:val="350"/>
        </w:trPr>
        <w:tc>
          <w:tcPr>
            <w:tcW w:w="544" w:type="dxa"/>
          </w:tcPr>
          <w:p w14:paraId="59A2C5F8"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73</w:t>
            </w:r>
          </w:p>
        </w:tc>
        <w:tc>
          <w:tcPr>
            <w:tcW w:w="3253" w:type="dxa"/>
            <w:vAlign w:val="center"/>
          </w:tcPr>
          <w:p w14:paraId="54919934" w14:textId="77777777" w:rsidR="0057201B" w:rsidRPr="00AE3A84" w:rsidRDefault="0057201B" w:rsidP="00D5036B">
            <w:pPr>
              <w:rPr>
                <w:rFonts w:ascii="Cambria" w:hAnsi="Cambria"/>
                <w:sz w:val="20"/>
                <w:szCs w:val="20"/>
                <w:lang w:val="es-ES_tradnl"/>
              </w:rPr>
            </w:pPr>
            <w:r w:rsidRPr="00AE3A84">
              <w:rPr>
                <w:rFonts w:ascii="Cambria" w:hAnsi="Cambria"/>
                <w:spacing w:val="-1"/>
                <w:sz w:val="20"/>
                <w:szCs w:val="20"/>
              </w:rPr>
              <w:t>Jerry</w:t>
            </w:r>
            <w:r w:rsidRPr="00AE3A84">
              <w:rPr>
                <w:rFonts w:ascii="Cambria" w:hAnsi="Cambria"/>
                <w:spacing w:val="5"/>
                <w:sz w:val="20"/>
                <w:szCs w:val="20"/>
              </w:rPr>
              <w:t xml:space="preserve"> </w:t>
            </w:r>
            <w:r w:rsidRPr="00AE3A84">
              <w:rPr>
                <w:rFonts w:ascii="Cambria" w:hAnsi="Cambria"/>
                <w:spacing w:val="-1"/>
                <w:sz w:val="20"/>
                <w:szCs w:val="20"/>
              </w:rPr>
              <w:t>Neil</w:t>
            </w:r>
            <w:r w:rsidRPr="00AE3A84">
              <w:rPr>
                <w:rFonts w:ascii="Cambria" w:hAnsi="Cambria"/>
                <w:spacing w:val="6"/>
                <w:sz w:val="20"/>
                <w:szCs w:val="20"/>
              </w:rPr>
              <w:t xml:space="preserve"> </w:t>
            </w:r>
            <w:r w:rsidRPr="00AE3A84">
              <w:rPr>
                <w:rFonts w:ascii="Cambria" w:hAnsi="Cambria"/>
                <w:spacing w:val="-1"/>
                <w:sz w:val="20"/>
                <w:szCs w:val="20"/>
              </w:rPr>
              <w:t>Alfred</w:t>
            </w:r>
          </w:p>
        </w:tc>
        <w:tc>
          <w:tcPr>
            <w:tcW w:w="1328" w:type="dxa"/>
          </w:tcPr>
          <w:p w14:paraId="70AF3F1F" w14:textId="77777777" w:rsidR="0057201B" w:rsidRPr="00AE3A84" w:rsidRDefault="0057201B">
            <w:pPr>
              <w:rPr>
                <w:rFonts w:ascii="Cambria" w:hAnsi="Cambria"/>
                <w:sz w:val="20"/>
                <w:szCs w:val="20"/>
                <w:lang w:val="es-ES_tradnl"/>
              </w:rPr>
            </w:pPr>
            <w:r>
              <w:rPr>
                <w:rFonts w:ascii="Cambria" w:hAnsi="Cambria"/>
                <w:spacing w:val="-1"/>
                <w:sz w:val="20"/>
                <w:szCs w:val="20"/>
              </w:rPr>
              <w:t>United States</w:t>
            </w:r>
          </w:p>
        </w:tc>
        <w:tc>
          <w:tcPr>
            <w:tcW w:w="1260" w:type="dxa"/>
            <w:vAlign w:val="center"/>
          </w:tcPr>
          <w:p w14:paraId="0E15834C" w14:textId="77777777" w:rsidR="0057201B" w:rsidRPr="00AE3A84" w:rsidRDefault="0057201B">
            <w:pPr>
              <w:jc w:val="center"/>
              <w:rPr>
                <w:rFonts w:ascii="Cambria" w:hAnsi="Cambria"/>
                <w:spacing w:val="-2"/>
                <w:sz w:val="20"/>
                <w:szCs w:val="20"/>
              </w:rPr>
            </w:pPr>
            <w:r>
              <w:rPr>
                <w:rFonts w:ascii="Cambria" w:hAnsi="Cambria"/>
                <w:spacing w:val="-2"/>
                <w:sz w:val="20"/>
                <w:szCs w:val="20"/>
              </w:rPr>
              <w:t>304/22</w:t>
            </w:r>
          </w:p>
        </w:tc>
        <w:tc>
          <w:tcPr>
            <w:tcW w:w="1440" w:type="dxa"/>
            <w:vAlign w:val="center"/>
          </w:tcPr>
          <w:p w14:paraId="6A5AB7F9"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11/8/2022</w:t>
            </w:r>
          </w:p>
        </w:tc>
        <w:tc>
          <w:tcPr>
            <w:tcW w:w="1890" w:type="dxa"/>
            <w:vAlign w:val="center"/>
          </w:tcPr>
          <w:p w14:paraId="3550C298"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2548-18</w:t>
            </w:r>
          </w:p>
        </w:tc>
      </w:tr>
      <w:tr w:rsidR="0057201B" w:rsidRPr="00AE3A84" w14:paraId="692AAB8A" w14:textId="77777777" w:rsidTr="005615BA">
        <w:tc>
          <w:tcPr>
            <w:tcW w:w="544" w:type="dxa"/>
          </w:tcPr>
          <w:p w14:paraId="796F2CCB"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74</w:t>
            </w:r>
          </w:p>
        </w:tc>
        <w:tc>
          <w:tcPr>
            <w:tcW w:w="3253" w:type="dxa"/>
          </w:tcPr>
          <w:p w14:paraId="3916555E"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ES_tradnl"/>
              </w:rPr>
              <w:t>Freddy</w:t>
            </w:r>
            <w:r w:rsidRPr="00AE3A84">
              <w:rPr>
                <w:rFonts w:ascii="Cambria" w:hAnsi="Cambria"/>
                <w:spacing w:val="5"/>
                <w:sz w:val="20"/>
                <w:szCs w:val="20"/>
                <w:lang w:val="es-ES_tradnl"/>
              </w:rPr>
              <w:t xml:space="preserve"> </w:t>
            </w:r>
            <w:r w:rsidRPr="00AE3A84">
              <w:rPr>
                <w:rFonts w:ascii="Cambria" w:hAnsi="Cambria"/>
                <w:spacing w:val="-1"/>
                <w:sz w:val="20"/>
                <w:szCs w:val="20"/>
                <w:lang w:val="es-ES_tradnl"/>
              </w:rPr>
              <w:t>Álvarez</w:t>
            </w:r>
            <w:r w:rsidRPr="00AE3A84">
              <w:rPr>
                <w:rFonts w:ascii="Cambria" w:hAnsi="Cambria"/>
                <w:spacing w:val="6"/>
                <w:sz w:val="20"/>
                <w:szCs w:val="20"/>
                <w:lang w:val="es-ES_tradnl"/>
              </w:rPr>
              <w:t xml:space="preserve"> </w:t>
            </w:r>
            <w:r w:rsidRPr="00AE3A84">
              <w:rPr>
                <w:rFonts w:ascii="Cambria" w:hAnsi="Cambria"/>
                <w:spacing w:val="-1"/>
                <w:sz w:val="20"/>
                <w:szCs w:val="20"/>
                <w:lang w:val="es-ES_tradnl"/>
              </w:rPr>
              <w:t>Zárate,</w:t>
            </w:r>
            <w:r w:rsidRPr="00AE3A84">
              <w:rPr>
                <w:rFonts w:ascii="Cambria" w:hAnsi="Cambria"/>
                <w:spacing w:val="6"/>
                <w:sz w:val="20"/>
                <w:szCs w:val="20"/>
                <w:lang w:val="es-ES_tradnl"/>
              </w:rPr>
              <w:t xml:space="preserve"> </w:t>
            </w:r>
            <w:r w:rsidRPr="00AE3A84">
              <w:rPr>
                <w:rFonts w:ascii="Cambria" w:hAnsi="Cambria"/>
                <w:spacing w:val="-1"/>
                <w:sz w:val="20"/>
                <w:szCs w:val="20"/>
                <w:lang w:val="es-ES_tradnl"/>
              </w:rPr>
              <w:t>Lorenzo</w:t>
            </w:r>
            <w:r w:rsidRPr="00AE3A84">
              <w:rPr>
                <w:rFonts w:ascii="Cambria" w:hAnsi="Cambria"/>
                <w:spacing w:val="4"/>
                <w:sz w:val="20"/>
                <w:szCs w:val="20"/>
                <w:lang w:val="es-ES_tradnl"/>
              </w:rPr>
              <w:t xml:space="preserve"> </w:t>
            </w:r>
            <w:r w:rsidRPr="00AE3A84">
              <w:rPr>
                <w:rFonts w:ascii="Cambria" w:hAnsi="Cambria"/>
                <w:spacing w:val="-1"/>
                <w:sz w:val="20"/>
                <w:szCs w:val="20"/>
                <w:lang w:val="es-ES_tradnl"/>
              </w:rPr>
              <w:t>Álvarez</w:t>
            </w:r>
            <w:r w:rsidRPr="00AE3A84">
              <w:rPr>
                <w:rFonts w:ascii="Cambria" w:hAnsi="Cambria"/>
                <w:spacing w:val="7"/>
                <w:sz w:val="20"/>
                <w:szCs w:val="20"/>
                <w:lang w:val="es-ES_tradnl"/>
              </w:rPr>
              <w:t xml:space="preserve"> </w:t>
            </w:r>
            <w:r w:rsidRPr="00AE3A84">
              <w:rPr>
                <w:rFonts w:ascii="Cambria" w:hAnsi="Cambria"/>
                <w:spacing w:val="-1"/>
                <w:sz w:val="20"/>
                <w:szCs w:val="20"/>
                <w:lang w:val="es-ES_tradnl"/>
              </w:rPr>
              <w:t>Astete</w:t>
            </w:r>
            <w:r>
              <w:rPr>
                <w:rFonts w:ascii="Cambria" w:hAnsi="Cambria"/>
                <w:sz w:val="20"/>
                <w:szCs w:val="20"/>
                <w:lang w:val="es-ES_tradnl"/>
              </w:rPr>
              <w:t>, and</w:t>
            </w:r>
            <w:r w:rsidRPr="00AE3A84">
              <w:rPr>
                <w:rFonts w:ascii="Cambria" w:hAnsi="Cambria"/>
                <w:spacing w:val="5"/>
                <w:sz w:val="20"/>
                <w:szCs w:val="20"/>
                <w:lang w:val="es-ES_tradnl"/>
              </w:rPr>
              <w:t xml:space="preserve"> </w:t>
            </w:r>
            <w:r w:rsidRPr="00AE3A84">
              <w:rPr>
                <w:rFonts w:ascii="Cambria" w:hAnsi="Cambria"/>
                <w:spacing w:val="-1"/>
                <w:sz w:val="20"/>
                <w:szCs w:val="20"/>
                <w:lang w:val="es-ES_tradnl"/>
              </w:rPr>
              <w:t>Nagell</w:t>
            </w:r>
            <w:r w:rsidRPr="00AE3A84">
              <w:rPr>
                <w:rFonts w:ascii="Cambria" w:hAnsi="Cambria"/>
                <w:spacing w:val="5"/>
                <w:sz w:val="20"/>
                <w:szCs w:val="20"/>
                <w:lang w:val="es-ES_tradnl"/>
              </w:rPr>
              <w:t xml:space="preserve"> </w:t>
            </w:r>
            <w:r w:rsidRPr="00AE3A84">
              <w:rPr>
                <w:rFonts w:ascii="Cambria" w:hAnsi="Cambria"/>
                <w:spacing w:val="-1"/>
                <w:sz w:val="20"/>
                <w:szCs w:val="20"/>
                <w:lang w:val="es-ES_tradnl"/>
              </w:rPr>
              <w:t>Edmont</w:t>
            </w:r>
            <w:r w:rsidRPr="00AE3A84">
              <w:rPr>
                <w:rFonts w:ascii="Cambria" w:hAnsi="Cambria"/>
                <w:spacing w:val="5"/>
                <w:sz w:val="20"/>
                <w:szCs w:val="20"/>
                <w:lang w:val="es-ES_tradnl"/>
              </w:rPr>
              <w:t xml:space="preserve"> </w:t>
            </w:r>
            <w:r w:rsidRPr="00AE3A84">
              <w:rPr>
                <w:rFonts w:ascii="Cambria" w:hAnsi="Cambria"/>
                <w:spacing w:val="-1"/>
                <w:sz w:val="20"/>
                <w:szCs w:val="20"/>
                <w:lang w:val="es-ES_tradnl"/>
              </w:rPr>
              <w:t>Álvare</w:t>
            </w:r>
          </w:p>
        </w:tc>
        <w:tc>
          <w:tcPr>
            <w:tcW w:w="1328" w:type="dxa"/>
          </w:tcPr>
          <w:p w14:paraId="28D5C719"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Per</w:t>
            </w:r>
            <w:r>
              <w:rPr>
                <w:rFonts w:ascii="Cambria" w:hAnsi="Cambria"/>
                <w:spacing w:val="-1"/>
                <w:sz w:val="20"/>
                <w:szCs w:val="20"/>
              </w:rPr>
              <w:t>u</w:t>
            </w:r>
          </w:p>
        </w:tc>
        <w:tc>
          <w:tcPr>
            <w:tcW w:w="1260" w:type="dxa"/>
            <w:vAlign w:val="center"/>
          </w:tcPr>
          <w:p w14:paraId="2C43DCA8" w14:textId="77777777" w:rsidR="0057201B" w:rsidRPr="00AE3A84" w:rsidRDefault="0057201B">
            <w:pPr>
              <w:jc w:val="center"/>
              <w:rPr>
                <w:rFonts w:ascii="Cambria" w:hAnsi="Cambria"/>
                <w:spacing w:val="-2"/>
                <w:sz w:val="20"/>
                <w:szCs w:val="20"/>
              </w:rPr>
            </w:pPr>
            <w:r>
              <w:rPr>
                <w:rFonts w:ascii="Cambria" w:hAnsi="Cambria"/>
                <w:spacing w:val="-2"/>
                <w:sz w:val="20"/>
                <w:szCs w:val="20"/>
              </w:rPr>
              <w:t>314/22</w:t>
            </w:r>
          </w:p>
        </w:tc>
        <w:tc>
          <w:tcPr>
            <w:tcW w:w="1440" w:type="dxa"/>
            <w:vAlign w:val="center"/>
          </w:tcPr>
          <w:p w14:paraId="4274D2F3"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11/21/2022</w:t>
            </w:r>
          </w:p>
        </w:tc>
        <w:tc>
          <w:tcPr>
            <w:tcW w:w="1890" w:type="dxa"/>
            <w:vAlign w:val="center"/>
          </w:tcPr>
          <w:p w14:paraId="16CD9DC7"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1429-14</w:t>
            </w:r>
          </w:p>
        </w:tc>
      </w:tr>
      <w:tr w:rsidR="0057201B" w:rsidRPr="00AE3A84" w14:paraId="11C67AEE" w14:textId="77777777" w:rsidTr="005615BA">
        <w:tc>
          <w:tcPr>
            <w:tcW w:w="544" w:type="dxa"/>
          </w:tcPr>
          <w:p w14:paraId="2503BB94"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lastRenderedPageBreak/>
              <w:t>75</w:t>
            </w:r>
          </w:p>
        </w:tc>
        <w:tc>
          <w:tcPr>
            <w:tcW w:w="3253" w:type="dxa"/>
          </w:tcPr>
          <w:p w14:paraId="1B3FEC91"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José</w:t>
            </w:r>
            <w:r w:rsidRPr="00AE3A84">
              <w:rPr>
                <w:rFonts w:ascii="Cambria" w:hAnsi="Cambria"/>
                <w:spacing w:val="7"/>
                <w:sz w:val="20"/>
                <w:szCs w:val="20"/>
              </w:rPr>
              <w:t xml:space="preserve"> </w:t>
            </w:r>
            <w:r w:rsidRPr="00AE3A84">
              <w:rPr>
                <w:rFonts w:ascii="Cambria" w:hAnsi="Cambria"/>
                <w:spacing w:val="-1"/>
                <w:sz w:val="20"/>
                <w:szCs w:val="20"/>
              </w:rPr>
              <w:t>Luis</w:t>
            </w:r>
            <w:r w:rsidRPr="00AE3A84">
              <w:rPr>
                <w:rFonts w:ascii="Cambria" w:hAnsi="Cambria"/>
                <w:spacing w:val="5"/>
                <w:sz w:val="20"/>
                <w:szCs w:val="20"/>
              </w:rPr>
              <w:t xml:space="preserve"> </w:t>
            </w:r>
            <w:r w:rsidRPr="00AE3A84">
              <w:rPr>
                <w:rFonts w:ascii="Cambria" w:hAnsi="Cambria"/>
                <w:spacing w:val="-1"/>
                <w:sz w:val="20"/>
                <w:szCs w:val="20"/>
              </w:rPr>
              <w:t>Touzet</w:t>
            </w:r>
            <w:r w:rsidRPr="00AE3A84">
              <w:rPr>
                <w:rFonts w:ascii="Cambria" w:hAnsi="Cambria"/>
                <w:spacing w:val="6"/>
                <w:sz w:val="20"/>
                <w:szCs w:val="20"/>
              </w:rPr>
              <w:t xml:space="preserve"> </w:t>
            </w:r>
            <w:r w:rsidRPr="00AE3A84">
              <w:rPr>
                <w:rFonts w:ascii="Cambria" w:hAnsi="Cambria"/>
                <w:spacing w:val="-1"/>
                <w:sz w:val="20"/>
                <w:szCs w:val="20"/>
              </w:rPr>
              <w:t>Carrera</w:t>
            </w:r>
          </w:p>
        </w:tc>
        <w:tc>
          <w:tcPr>
            <w:tcW w:w="1328" w:type="dxa"/>
          </w:tcPr>
          <w:p w14:paraId="7E633B4E"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Per</w:t>
            </w:r>
            <w:r>
              <w:rPr>
                <w:rFonts w:ascii="Cambria" w:hAnsi="Cambria"/>
                <w:spacing w:val="-1"/>
                <w:sz w:val="20"/>
                <w:szCs w:val="20"/>
              </w:rPr>
              <w:t>u</w:t>
            </w:r>
          </w:p>
        </w:tc>
        <w:tc>
          <w:tcPr>
            <w:tcW w:w="1260" w:type="dxa"/>
            <w:vAlign w:val="center"/>
          </w:tcPr>
          <w:p w14:paraId="3FE72E39" w14:textId="77777777" w:rsidR="0057201B" w:rsidRPr="00AE3A84" w:rsidRDefault="0057201B">
            <w:pPr>
              <w:jc w:val="center"/>
              <w:rPr>
                <w:rFonts w:ascii="Cambria" w:hAnsi="Cambria"/>
                <w:spacing w:val="-2"/>
                <w:sz w:val="20"/>
                <w:szCs w:val="20"/>
              </w:rPr>
            </w:pPr>
            <w:r>
              <w:rPr>
                <w:rFonts w:ascii="Cambria" w:hAnsi="Cambria"/>
                <w:spacing w:val="-2"/>
                <w:sz w:val="20"/>
                <w:szCs w:val="20"/>
              </w:rPr>
              <w:t>318/22</w:t>
            </w:r>
          </w:p>
        </w:tc>
        <w:tc>
          <w:tcPr>
            <w:tcW w:w="1440" w:type="dxa"/>
            <w:vAlign w:val="center"/>
          </w:tcPr>
          <w:p w14:paraId="22E52989"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11/21/2022</w:t>
            </w:r>
          </w:p>
        </w:tc>
        <w:tc>
          <w:tcPr>
            <w:tcW w:w="1890" w:type="dxa"/>
            <w:vAlign w:val="center"/>
          </w:tcPr>
          <w:p w14:paraId="4C7724AA"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1796-14</w:t>
            </w:r>
          </w:p>
        </w:tc>
      </w:tr>
      <w:tr w:rsidR="0057201B" w:rsidRPr="00AE3A84" w14:paraId="7C7B2A1D" w14:textId="77777777" w:rsidTr="005615BA">
        <w:tc>
          <w:tcPr>
            <w:tcW w:w="544" w:type="dxa"/>
          </w:tcPr>
          <w:p w14:paraId="0666C8E4"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76</w:t>
            </w:r>
          </w:p>
        </w:tc>
        <w:tc>
          <w:tcPr>
            <w:tcW w:w="3253" w:type="dxa"/>
          </w:tcPr>
          <w:p w14:paraId="303590CC" w14:textId="77777777" w:rsidR="0057201B" w:rsidRPr="000A3698" w:rsidRDefault="0057201B">
            <w:pPr>
              <w:rPr>
                <w:rFonts w:ascii="Cambria" w:hAnsi="Cambria"/>
                <w:sz w:val="20"/>
                <w:szCs w:val="20"/>
                <w:lang w:val="es-ES_tradnl"/>
              </w:rPr>
            </w:pPr>
            <w:r w:rsidRPr="000A3698">
              <w:rPr>
                <w:rFonts w:ascii="Cambria" w:hAnsi="Cambria"/>
                <w:sz w:val="20"/>
                <w:szCs w:val="20"/>
              </w:rPr>
              <w:t>Martha Inés Miravete Cicero</w:t>
            </w:r>
          </w:p>
        </w:tc>
        <w:tc>
          <w:tcPr>
            <w:tcW w:w="1328" w:type="dxa"/>
          </w:tcPr>
          <w:p w14:paraId="12009DE8" w14:textId="77777777" w:rsidR="0057201B" w:rsidRPr="000A3698" w:rsidRDefault="0057201B">
            <w:pPr>
              <w:rPr>
                <w:rFonts w:ascii="Cambria" w:hAnsi="Cambria"/>
                <w:sz w:val="20"/>
                <w:szCs w:val="20"/>
                <w:lang w:val="es-ES_tradnl"/>
              </w:rPr>
            </w:pPr>
            <w:r w:rsidRPr="000A3698">
              <w:rPr>
                <w:rFonts w:ascii="Cambria" w:hAnsi="Cambria"/>
                <w:spacing w:val="-1"/>
                <w:sz w:val="20"/>
                <w:szCs w:val="20"/>
              </w:rPr>
              <w:t>Argentina</w:t>
            </w:r>
          </w:p>
        </w:tc>
        <w:tc>
          <w:tcPr>
            <w:tcW w:w="1260" w:type="dxa"/>
            <w:vAlign w:val="center"/>
          </w:tcPr>
          <w:p w14:paraId="3CB67ECF" w14:textId="77777777" w:rsidR="0057201B" w:rsidRPr="000A3698" w:rsidRDefault="0057201B">
            <w:pPr>
              <w:jc w:val="center"/>
              <w:rPr>
                <w:rFonts w:ascii="Cambria" w:hAnsi="Cambria"/>
                <w:spacing w:val="-2"/>
                <w:sz w:val="20"/>
                <w:szCs w:val="20"/>
              </w:rPr>
            </w:pPr>
            <w:r w:rsidRPr="000A3698">
              <w:rPr>
                <w:rFonts w:ascii="Cambria" w:hAnsi="Cambria"/>
                <w:spacing w:val="-2"/>
                <w:sz w:val="20"/>
                <w:szCs w:val="20"/>
              </w:rPr>
              <w:t>308/22</w:t>
            </w:r>
          </w:p>
        </w:tc>
        <w:tc>
          <w:tcPr>
            <w:tcW w:w="1440" w:type="dxa"/>
            <w:vAlign w:val="center"/>
          </w:tcPr>
          <w:p w14:paraId="402BA783" w14:textId="77777777" w:rsidR="0057201B" w:rsidRPr="000A3698" w:rsidRDefault="0057201B" w:rsidP="005F75C1">
            <w:pPr>
              <w:jc w:val="center"/>
              <w:rPr>
                <w:rFonts w:ascii="Cambria" w:hAnsi="Cambria"/>
                <w:sz w:val="20"/>
                <w:szCs w:val="20"/>
                <w:lang w:val="es-ES_tradnl"/>
              </w:rPr>
            </w:pPr>
            <w:r w:rsidRPr="000A3698">
              <w:rPr>
                <w:rFonts w:ascii="Cambria" w:hAnsi="Cambria"/>
                <w:spacing w:val="-2"/>
                <w:sz w:val="20"/>
                <w:szCs w:val="20"/>
              </w:rPr>
              <w:t>11/23/2022</w:t>
            </w:r>
          </w:p>
        </w:tc>
        <w:tc>
          <w:tcPr>
            <w:tcW w:w="1890" w:type="dxa"/>
            <w:vAlign w:val="center"/>
          </w:tcPr>
          <w:p w14:paraId="65C61E09" w14:textId="77777777" w:rsidR="0057201B" w:rsidRPr="000A3698" w:rsidRDefault="0057201B" w:rsidP="005615BA">
            <w:pPr>
              <w:jc w:val="center"/>
              <w:rPr>
                <w:rFonts w:ascii="Cambria" w:hAnsi="Cambria"/>
                <w:sz w:val="20"/>
                <w:szCs w:val="20"/>
                <w:lang w:val="es-ES_tradnl"/>
              </w:rPr>
            </w:pPr>
            <w:r w:rsidRPr="000A3698">
              <w:rPr>
                <w:rFonts w:ascii="Cambria" w:hAnsi="Cambria"/>
                <w:spacing w:val="-2"/>
                <w:sz w:val="20"/>
                <w:szCs w:val="20"/>
              </w:rPr>
              <w:t>855-13</w:t>
            </w:r>
          </w:p>
        </w:tc>
      </w:tr>
      <w:tr w:rsidR="0057201B" w:rsidRPr="00AE3A84" w14:paraId="6E157927" w14:textId="77777777" w:rsidTr="005615BA">
        <w:tc>
          <w:tcPr>
            <w:tcW w:w="544" w:type="dxa"/>
          </w:tcPr>
          <w:p w14:paraId="1C0B9B7D"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77</w:t>
            </w:r>
          </w:p>
        </w:tc>
        <w:tc>
          <w:tcPr>
            <w:tcW w:w="3253" w:type="dxa"/>
          </w:tcPr>
          <w:p w14:paraId="0458D51E" w14:textId="77777777" w:rsidR="0057201B" w:rsidRPr="00AE3A84" w:rsidRDefault="0057201B">
            <w:pPr>
              <w:rPr>
                <w:rFonts w:ascii="Cambria" w:hAnsi="Cambria"/>
                <w:sz w:val="20"/>
                <w:szCs w:val="20"/>
                <w:lang w:val="es-ES_tradnl"/>
              </w:rPr>
            </w:pPr>
            <w:r w:rsidRPr="00AE3A84">
              <w:rPr>
                <w:rFonts w:ascii="Cambria" w:hAnsi="Cambria"/>
                <w:spacing w:val="-1"/>
                <w:sz w:val="20"/>
                <w:szCs w:val="20"/>
                <w:lang w:val="es-AR"/>
              </w:rPr>
              <w:t>Luis</w:t>
            </w:r>
            <w:r w:rsidRPr="00AE3A84">
              <w:rPr>
                <w:rFonts w:ascii="Cambria" w:hAnsi="Cambria"/>
                <w:spacing w:val="4"/>
                <w:sz w:val="20"/>
                <w:szCs w:val="20"/>
                <w:lang w:val="es-AR"/>
              </w:rPr>
              <w:t xml:space="preserve"> </w:t>
            </w:r>
            <w:r w:rsidRPr="00AE3A84">
              <w:rPr>
                <w:rFonts w:ascii="Cambria" w:hAnsi="Cambria"/>
                <w:spacing w:val="-1"/>
                <w:sz w:val="20"/>
                <w:szCs w:val="20"/>
                <w:lang w:val="es-AR"/>
              </w:rPr>
              <w:t>Manuel</w:t>
            </w:r>
            <w:r w:rsidRPr="00AE3A84">
              <w:rPr>
                <w:rFonts w:ascii="Cambria" w:hAnsi="Cambria"/>
                <w:spacing w:val="5"/>
                <w:sz w:val="20"/>
                <w:szCs w:val="20"/>
                <w:lang w:val="es-AR"/>
              </w:rPr>
              <w:t xml:space="preserve"> </w:t>
            </w:r>
            <w:r w:rsidRPr="00AE3A84">
              <w:rPr>
                <w:rFonts w:ascii="Cambria" w:hAnsi="Cambria"/>
                <w:spacing w:val="-1"/>
                <w:sz w:val="20"/>
                <w:szCs w:val="20"/>
                <w:lang w:val="es-AR"/>
              </w:rPr>
              <w:t>Cáceres</w:t>
            </w:r>
            <w:r w:rsidRPr="00AE3A84">
              <w:rPr>
                <w:rFonts w:ascii="Cambria" w:hAnsi="Cambria"/>
                <w:spacing w:val="4"/>
                <w:sz w:val="20"/>
                <w:szCs w:val="20"/>
                <w:lang w:val="es-AR"/>
              </w:rPr>
              <w:t xml:space="preserve"> </w:t>
            </w:r>
            <w:r w:rsidRPr="00AE3A84">
              <w:rPr>
                <w:rFonts w:ascii="Cambria" w:hAnsi="Cambria"/>
                <w:spacing w:val="-1"/>
                <w:sz w:val="20"/>
                <w:szCs w:val="20"/>
                <w:lang w:val="es-AR"/>
              </w:rPr>
              <w:t>Yunga</w:t>
            </w:r>
            <w:r w:rsidRPr="00AE3A84">
              <w:rPr>
                <w:rFonts w:ascii="Cambria" w:hAnsi="Cambria"/>
                <w:spacing w:val="5"/>
                <w:sz w:val="20"/>
                <w:szCs w:val="20"/>
                <w:lang w:val="es-AR"/>
              </w:rPr>
              <w:t xml:space="preserve"> </w:t>
            </w:r>
            <w:r>
              <w:rPr>
                <w:rFonts w:ascii="Cambria" w:hAnsi="Cambria"/>
                <w:sz w:val="20"/>
                <w:szCs w:val="20"/>
                <w:lang w:val="es-AR"/>
              </w:rPr>
              <w:t>and Relatives</w:t>
            </w:r>
          </w:p>
        </w:tc>
        <w:tc>
          <w:tcPr>
            <w:tcW w:w="1328" w:type="dxa"/>
          </w:tcPr>
          <w:p w14:paraId="5EF4970B" w14:textId="77777777" w:rsidR="0057201B" w:rsidRPr="00AE3A84" w:rsidRDefault="0057201B">
            <w:pPr>
              <w:rPr>
                <w:rFonts w:ascii="Cambria" w:hAnsi="Cambria"/>
                <w:sz w:val="20"/>
                <w:szCs w:val="20"/>
                <w:lang w:val="es-ES_tradnl"/>
              </w:rPr>
            </w:pPr>
            <w:r w:rsidRPr="00AE3A84">
              <w:rPr>
                <w:rFonts w:ascii="Cambria" w:hAnsi="Cambria"/>
                <w:spacing w:val="-1"/>
                <w:sz w:val="20"/>
                <w:szCs w:val="20"/>
              </w:rPr>
              <w:t>Ecuador</w:t>
            </w:r>
          </w:p>
        </w:tc>
        <w:tc>
          <w:tcPr>
            <w:tcW w:w="1260" w:type="dxa"/>
            <w:vAlign w:val="center"/>
          </w:tcPr>
          <w:p w14:paraId="68537535" w14:textId="77777777" w:rsidR="0057201B" w:rsidRPr="00AE3A84" w:rsidRDefault="0057201B">
            <w:pPr>
              <w:jc w:val="center"/>
              <w:rPr>
                <w:rFonts w:ascii="Cambria" w:hAnsi="Cambria"/>
                <w:spacing w:val="-2"/>
                <w:sz w:val="20"/>
                <w:szCs w:val="20"/>
              </w:rPr>
            </w:pPr>
            <w:r>
              <w:rPr>
                <w:rFonts w:ascii="Cambria" w:hAnsi="Cambria"/>
                <w:spacing w:val="-2"/>
                <w:sz w:val="20"/>
                <w:szCs w:val="20"/>
              </w:rPr>
              <w:t>313/22</w:t>
            </w:r>
          </w:p>
        </w:tc>
        <w:tc>
          <w:tcPr>
            <w:tcW w:w="1440" w:type="dxa"/>
            <w:vAlign w:val="center"/>
          </w:tcPr>
          <w:p w14:paraId="64C467E4" w14:textId="77777777" w:rsidR="0057201B" w:rsidRPr="00AE3A84" w:rsidRDefault="0057201B" w:rsidP="005F75C1">
            <w:pPr>
              <w:jc w:val="center"/>
              <w:rPr>
                <w:rFonts w:ascii="Cambria" w:hAnsi="Cambria"/>
                <w:sz w:val="20"/>
                <w:szCs w:val="20"/>
                <w:lang w:val="es-ES_tradnl"/>
              </w:rPr>
            </w:pPr>
            <w:r w:rsidRPr="00AE3A84">
              <w:rPr>
                <w:rFonts w:ascii="Cambria" w:hAnsi="Cambria"/>
                <w:spacing w:val="-2"/>
                <w:sz w:val="20"/>
                <w:szCs w:val="20"/>
              </w:rPr>
              <w:t>11/23/2022</w:t>
            </w:r>
          </w:p>
        </w:tc>
        <w:tc>
          <w:tcPr>
            <w:tcW w:w="1890" w:type="dxa"/>
            <w:vAlign w:val="center"/>
          </w:tcPr>
          <w:p w14:paraId="5DD27669" w14:textId="77777777" w:rsidR="0057201B" w:rsidRPr="00AE3A84" w:rsidRDefault="0057201B" w:rsidP="005615BA">
            <w:pPr>
              <w:jc w:val="center"/>
              <w:rPr>
                <w:rFonts w:ascii="Cambria" w:hAnsi="Cambria"/>
                <w:sz w:val="20"/>
                <w:szCs w:val="20"/>
                <w:lang w:val="es-ES_tradnl"/>
              </w:rPr>
            </w:pPr>
            <w:r w:rsidRPr="00AE3A84">
              <w:rPr>
                <w:rFonts w:ascii="Cambria" w:hAnsi="Cambria"/>
                <w:spacing w:val="-2"/>
                <w:sz w:val="20"/>
                <w:szCs w:val="20"/>
              </w:rPr>
              <w:t>945-13</w:t>
            </w:r>
          </w:p>
        </w:tc>
      </w:tr>
      <w:tr w:rsidR="0057201B" w:rsidRPr="00AE3A84" w14:paraId="5E1D53AD" w14:textId="77777777" w:rsidTr="005615BA">
        <w:tc>
          <w:tcPr>
            <w:tcW w:w="544" w:type="dxa"/>
          </w:tcPr>
          <w:p w14:paraId="48D5B34C"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78</w:t>
            </w:r>
          </w:p>
        </w:tc>
        <w:tc>
          <w:tcPr>
            <w:tcW w:w="3253" w:type="dxa"/>
            <w:vAlign w:val="center"/>
          </w:tcPr>
          <w:p w14:paraId="494C3443" w14:textId="77777777" w:rsidR="0057201B" w:rsidRPr="00AE3A84" w:rsidRDefault="0057201B" w:rsidP="00D5036B">
            <w:pPr>
              <w:rPr>
                <w:rFonts w:ascii="Cambria" w:hAnsi="Cambria"/>
                <w:spacing w:val="-1"/>
                <w:sz w:val="20"/>
                <w:szCs w:val="20"/>
                <w:lang w:val="es-AR"/>
              </w:rPr>
            </w:pPr>
            <w:r w:rsidRPr="00AE3A84">
              <w:rPr>
                <w:rFonts w:ascii="Cambria" w:hAnsi="Cambria"/>
                <w:spacing w:val="-1"/>
                <w:sz w:val="20"/>
                <w:szCs w:val="20"/>
              </w:rPr>
              <w:t>Tawanna</w:t>
            </w:r>
            <w:r w:rsidRPr="00AE3A84">
              <w:rPr>
                <w:rFonts w:ascii="Cambria" w:hAnsi="Cambria"/>
                <w:spacing w:val="5"/>
                <w:sz w:val="20"/>
                <w:szCs w:val="20"/>
              </w:rPr>
              <w:t xml:space="preserve"> </w:t>
            </w:r>
            <w:r w:rsidRPr="00AE3A84">
              <w:rPr>
                <w:rFonts w:ascii="Cambria" w:hAnsi="Cambria"/>
                <w:spacing w:val="-1"/>
                <w:sz w:val="20"/>
                <w:szCs w:val="20"/>
              </w:rPr>
              <w:t>Wilson</w:t>
            </w:r>
            <w:r w:rsidRPr="00AE3A84">
              <w:rPr>
                <w:rFonts w:ascii="Cambria" w:hAnsi="Cambria"/>
                <w:spacing w:val="5"/>
                <w:sz w:val="20"/>
                <w:szCs w:val="20"/>
              </w:rPr>
              <w:t xml:space="preserve"> </w:t>
            </w:r>
            <w:r w:rsidRPr="00AE3A84">
              <w:rPr>
                <w:rFonts w:ascii="Cambria" w:hAnsi="Cambria"/>
                <w:spacing w:val="-1"/>
                <w:sz w:val="20"/>
                <w:szCs w:val="20"/>
              </w:rPr>
              <w:t>and</w:t>
            </w:r>
            <w:r w:rsidRPr="00AE3A84">
              <w:rPr>
                <w:rFonts w:ascii="Cambria" w:hAnsi="Cambria"/>
                <w:spacing w:val="5"/>
                <w:sz w:val="20"/>
                <w:szCs w:val="20"/>
              </w:rPr>
              <w:t xml:space="preserve"> </w:t>
            </w:r>
            <w:r>
              <w:rPr>
                <w:rFonts w:ascii="Cambria" w:hAnsi="Cambria"/>
                <w:spacing w:val="-1"/>
                <w:sz w:val="20"/>
                <w:szCs w:val="20"/>
              </w:rPr>
              <w:t>F</w:t>
            </w:r>
            <w:r w:rsidRPr="00AE3A84">
              <w:rPr>
                <w:rFonts w:ascii="Cambria" w:hAnsi="Cambria"/>
                <w:spacing w:val="-1"/>
                <w:sz w:val="20"/>
                <w:szCs w:val="20"/>
              </w:rPr>
              <w:t>amily</w:t>
            </w:r>
          </w:p>
        </w:tc>
        <w:tc>
          <w:tcPr>
            <w:tcW w:w="1328" w:type="dxa"/>
          </w:tcPr>
          <w:p w14:paraId="0B7DDD63" w14:textId="77777777" w:rsidR="0057201B" w:rsidRPr="00AE3A84" w:rsidRDefault="0057201B">
            <w:pPr>
              <w:rPr>
                <w:rFonts w:ascii="Cambria" w:hAnsi="Cambria"/>
                <w:spacing w:val="-1"/>
                <w:sz w:val="20"/>
                <w:szCs w:val="20"/>
              </w:rPr>
            </w:pPr>
            <w:r>
              <w:rPr>
                <w:rFonts w:ascii="Cambria" w:hAnsi="Cambria"/>
                <w:spacing w:val="-1"/>
                <w:sz w:val="20"/>
                <w:szCs w:val="20"/>
              </w:rPr>
              <w:t>United States</w:t>
            </w:r>
          </w:p>
        </w:tc>
        <w:tc>
          <w:tcPr>
            <w:tcW w:w="1260" w:type="dxa"/>
            <w:vAlign w:val="center"/>
          </w:tcPr>
          <w:p w14:paraId="76A2D9C8" w14:textId="77777777" w:rsidR="0057201B" w:rsidRPr="00AE3A84" w:rsidRDefault="0057201B">
            <w:pPr>
              <w:jc w:val="center"/>
              <w:rPr>
                <w:rFonts w:ascii="Cambria" w:hAnsi="Cambria"/>
                <w:spacing w:val="-2"/>
                <w:sz w:val="20"/>
                <w:szCs w:val="20"/>
              </w:rPr>
            </w:pPr>
            <w:r>
              <w:rPr>
                <w:rFonts w:ascii="Cambria" w:hAnsi="Cambria"/>
                <w:spacing w:val="-2"/>
                <w:sz w:val="20"/>
                <w:szCs w:val="20"/>
              </w:rPr>
              <w:t>319/22</w:t>
            </w:r>
          </w:p>
        </w:tc>
        <w:tc>
          <w:tcPr>
            <w:tcW w:w="1440" w:type="dxa"/>
            <w:vAlign w:val="center"/>
          </w:tcPr>
          <w:p w14:paraId="6089BE0C" w14:textId="77777777" w:rsidR="0057201B" w:rsidRPr="00AE3A84" w:rsidRDefault="0057201B" w:rsidP="005F75C1">
            <w:pPr>
              <w:jc w:val="center"/>
              <w:rPr>
                <w:rFonts w:ascii="Cambria" w:hAnsi="Cambria"/>
                <w:spacing w:val="-2"/>
                <w:sz w:val="20"/>
                <w:szCs w:val="20"/>
              </w:rPr>
            </w:pPr>
            <w:r w:rsidRPr="00AE3A84">
              <w:rPr>
                <w:rFonts w:ascii="Cambria" w:hAnsi="Cambria"/>
                <w:spacing w:val="-2"/>
                <w:sz w:val="20"/>
                <w:szCs w:val="20"/>
              </w:rPr>
              <w:t>11/23/2022</w:t>
            </w:r>
          </w:p>
        </w:tc>
        <w:tc>
          <w:tcPr>
            <w:tcW w:w="1890" w:type="dxa"/>
            <w:vAlign w:val="center"/>
          </w:tcPr>
          <w:p w14:paraId="1F4CBDE2" w14:textId="77777777" w:rsidR="0057201B" w:rsidRPr="00AE3A84" w:rsidRDefault="0057201B" w:rsidP="005615BA">
            <w:pPr>
              <w:jc w:val="center"/>
              <w:rPr>
                <w:rFonts w:ascii="Cambria" w:hAnsi="Cambria"/>
                <w:spacing w:val="-2"/>
                <w:sz w:val="20"/>
                <w:szCs w:val="20"/>
              </w:rPr>
            </w:pPr>
            <w:r w:rsidRPr="00AE3A84">
              <w:rPr>
                <w:rFonts w:ascii="Cambria" w:hAnsi="Cambria"/>
                <w:spacing w:val="-2"/>
                <w:sz w:val="20"/>
                <w:szCs w:val="20"/>
              </w:rPr>
              <w:t>1354-20</w:t>
            </w:r>
          </w:p>
        </w:tc>
      </w:tr>
      <w:tr w:rsidR="0057201B" w:rsidRPr="00AE3A84" w14:paraId="4EECF0C9" w14:textId="77777777" w:rsidTr="005615BA">
        <w:tc>
          <w:tcPr>
            <w:tcW w:w="544" w:type="dxa"/>
          </w:tcPr>
          <w:p w14:paraId="2620061D"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79</w:t>
            </w:r>
          </w:p>
        </w:tc>
        <w:tc>
          <w:tcPr>
            <w:tcW w:w="3253" w:type="dxa"/>
          </w:tcPr>
          <w:p w14:paraId="35976073" w14:textId="77777777" w:rsidR="0057201B" w:rsidRPr="00AE3A84" w:rsidRDefault="0057201B">
            <w:pPr>
              <w:rPr>
                <w:rFonts w:ascii="Cambria" w:hAnsi="Cambria"/>
                <w:spacing w:val="-1"/>
                <w:sz w:val="20"/>
                <w:szCs w:val="20"/>
                <w:lang w:val="es-AR"/>
              </w:rPr>
            </w:pPr>
            <w:r w:rsidRPr="00AE3A84">
              <w:rPr>
                <w:rFonts w:ascii="Cambria" w:hAnsi="Cambria"/>
                <w:sz w:val="20"/>
                <w:szCs w:val="20"/>
                <w:lang w:val="es-AR"/>
              </w:rPr>
              <w:t>Vilma</w:t>
            </w:r>
            <w:r w:rsidRPr="00AE3A84">
              <w:rPr>
                <w:rFonts w:ascii="Cambria" w:hAnsi="Cambria"/>
                <w:spacing w:val="4"/>
                <w:sz w:val="20"/>
                <w:szCs w:val="20"/>
                <w:lang w:val="es-AR"/>
              </w:rPr>
              <w:t xml:space="preserve"> </w:t>
            </w:r>
            <w:r w:rsidRPr="00AE3A84">
              <w:rPr>
                <w:rFonts w:ascii="Cambria" w:hAnsi="Cambria"/>
                <w:spacing w:val="-1"/>
                <w:sz w:val="20"/>
                <w:szCs w:val="20"/>
                <w:lang w:val="es-AR"/>
              </w:rPr>
              <w:t>Menjívar</w:t>
            </w:r>
            <w:r w:rsidRPr="00AE3A84">
              <w:rPr>
                <w:rFonts w:ascii="Cambria" w:hAnsi="Cambria"/>
                <w:spacing w:val="4"/>
                <w:sz w:val="20"/>
                <w:szCs w:val="20"/>
                <w:lang w:val="es-AR"/>
              </w:rPr>
              <w:t xml:space="preserve"> </w:t>
            </w:r>
            <w:r>
              <w:rPr>
                <w:rFonts w:ascii="Cambria" w:hAnsi="Cambria"/>
                <w:sz w:val="20"/>
                <w:szCs w:val="20"/>
                <w:lang w:val="es-AR"/>
              </w:rPr>
              <w:t>and</w:t>
            </w:r>
            <w:r w:rsidRPr="00AE3A84">
              <w:rPr>
                <w:rFonts w:ascii="Cambria" w:hAnsi="Cambria"/>
                <w:spacing w:val="4"/>
                <w:sz w:val="20"/>
                <w:szCs w:val="20"/>
                <w:lang w:val="es-AR"/>
              </w:rPr>
              <w:t xml:space="preserve"> </w:t>
            </w:r>
            <w:r w:rsidRPr="00AE3A84">
              <w:rPr>
                <w:rFonts w:ascii="Cambria" w:hAnsi="Cambria"/>
                <w:spacing w:val="-1"/>
                <w:sz w:val="20"/>
                <w:szCs w:val="20"/>
                <w:lang w:val="es-AR"/>
              </w:rPr>
              <w:t>Julio</w:t>
            </w:r>
            <w:r w:rsidRPr="00AE3A84">
              <w:rPr>
                <w:rFonts w:ascii="Cambria" w:hAnsi="Cambria"/>
                <w:spacing w:val="4"/>
                <w:sz w:val="20"/>
                <w:szCs w:val="20"/>
                <w:lang w:val="es-AR"/>
              </w:rPr>
              <w:t xml:space="preserve"> </w:t>
            </w:r>
            <w:r w:rsidRPr="00AE3A84">
              <w:rPr>
                <w:rFonts w:ascii="Cambria" w:hAnsi="Cambria"/>
                <w:spacing w:val="-1"/>
                <w:sz w:val="20"/>
                <w:szCs w:val="20"/>
                <w:lang w:val="es-AR"/>
              </w:rPr>
              <w:t>Martín</w:t>
            </w:r>
            <w:r w:rsidRPr="00AE3A84">
              <w:rPr>
                <w:rFonts w:ascii="Cambria" w:hAnsi="Cambria"/>
                <w:spacing w:val="5"/>
                <w:sz w:val="20"/>
                <w:szCs w:val="20"/>
                <w:lang w:val="es-AR"/>
              </w:rPr>
              <w:t xml:space="preserve"> </w:t>
            </w:r>
            <w:r w:rsidRPr="00AE3A84">
              <w:rPr>
                <w:rFonts w:ascii="Cambria" w:hAnsi="Cambria"/>
                <w:spacing w:val="-1"/>
                <w:sz w:val="20"/>
                <w:szCs w:val="20"/>
                <w:lang w:val="es-AR"/>
              </w:rPr>
              <w:t>Baltodano</w:t>
            </w:r>
          </w:p>
        </w:tc>
        <w:tc>
          <w:tcPr>
            <w:tcW w:w="1328" w:type="dxa"/>
          </w:tcPr>
          <w:p w14:paraId="0B5BF46C" w14:textId="77777777" w:rsidR="0057201B" w:rsidRPr="00AE3A84" w:rsidRDefault="0057201B">
            <w:pPr>
              <w:rPr>
                <w:rFonts w:ascii="Cambria" w:hAnsi="Cambria"/>
                <w:spacing w:val="-1"/>
                <w:sz w:val="20"/>
                <w:szCs w:val="20"/>
              </w:rPr>
            </w:pPr>
            <w:r w:rsidRPr="00AE3A84">
              <w:rPr>
                <w:rFonts w:ascii="Cambria" w:hAnsi="Cambria"/>
                <w:spacing w:val="-1"/>
                <w:sz w:val="20"/>
                <w:szCs w:val="20"/>
              </w:rPr>
              <w:t>Honduras</w:t>
            </w:r>
          </w:p>
        </w:tc>
        <w:tc>
          <w:tcPr>
            <w:tcW w:w="1260" w:type="dxa"/>
            <w:vAlign w:val="center"/>
          </w:tcPr>
          <w:p w14:paraId="61BC8223" w14:textId="77777777" w:rsidR="0057201B" w:rsidRPr="00AE3A84" w:rsidRDefault="0057201B">
            <w:pPr>
              <w:jc w:val="center"/>
              <w:rPr>
                <w:rFonts w:ascii="Cambria" w:hAnsi="Cambria"/>
                <w:spacing w:val="-2"/>
                <w:sz w:val="20"/>
                <w:szCs w:val="20"/>
              </w:rPr>
            </w:pPr>
            <w:r>
              <w:rPr>
                <w:rFonts w:ascii="Cambria" w:hAnsi="Cambria"/>
                <w:spacing w:val="-2"/>
                <w:sz w:val="20"/>
                <w:szCs w:val="20"/>
              </w:rPr>
              <w:t>321/22</w:t>
            </w:r>
          </w:p>
        </w:tc>
        <w:tc>
          <w:tcPr>
            <w:tcW w:w="1440" w:type="dxa"/>
            <w:vAlign w:val="center"/>
          </w:tcPr>
          <w:p w14:paraId="17D96DAE" w14:textId="77777777" w:rsidR="0057201B" w:rsidRPr="00AE3A84" w:rsidRDefault="0057201B" w:rsidP="005F75C1">
            <w:pPr>
              <w:jc w:val="center"/>
              <w:rPr>
                <w:rFonts w:ascii="Cambria" w:hAnsi="Cambria"/>
                <w:spacing w:val="-2"/>
                <w:sz w:val="20"/>
                <w:szCs w:val="20"/>
              </w:rPr>
            </w:pPr>
            <w:r w:rsidRPr="00AE3A84">
              <w:rPr>
                <w:rFonts w:ascii="Cambria" w:hAnsi="Cambria"/>
                <w:spacing w:val="-2"/>
                <w:sz w:val="20"/>
                <w:szCs w:val="20"/>
              </w:rPr>
              <w:t>11/26/2022</w:t>
            </w:r>
          </w:p>
        </w:tc>
        <w:tc>
          <w:tcPr>
            <w:tcW w:w="1890" w:type="dxa"/>
            <w:vAlign w:val="center"/>
          </w:tcPr>
          <w:p w14:paraId="0B517472" w14:textId="77777777" w:rsidR="0057201B" w:rsidRPr="00AE3A84" w:rsidRDefault="0057201B" w:rsidP="005615BA">
            <w:pPr>
              <w:jc w:val="center"/>
              <w:rPr>
                <w:rFonts w:ascii="Cambria" w:hAnsi="Cambria"/>
                <w:spacing w:val="-2"/>
                <w:sz w:val="20"/>
                <w:szCs w:val="20"/>
              </w:rPr>
            </w:pPr>
            <w:r w:rsidRPr="00AE3A84">
              <w:rPr>
                <w:rFonts w:ascii="Cambria" w:hAnsi="Cambria"/>
                <w:spacing w:val="-2"/>
                <w:sz w:val="20"/>
                <w:szCs w:val="20"/>
              </w:rPr>
              <w:t>45-13</w:t>
            </w:r>
          </w:p>
        </w:tc>
      </w:tr>
      <w:tr w:rsidR="0057201B" w:rsidRPr="00AE3A84" w14:paraId="2C49EFA1" w14:textId="77777777" w:rsidTr="005615BA">
        <w:tc>
          <w:tcPr>
            <w:tcW w:w="544" w:type="dxa"/>
          </w:tcPr>
          <w:p w14:paraId="72DE31C6"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80</w:t>
            </w:r>
          </w:p>
        </w:tc>
        <w:tc>
          <w:tcPr>
            <w:tcW w:w="3253" w:type="dxa"/>
          </w:tcPr>
          <w:p w14:paraId="51286234" w14:textId="77777777" w:rsidR="0057201B" w:rsidRPr="00AE3A84" w:rsidRDefault="0057201B">
            <w:pPr>
              <w:rPr>
                <w:rFonts w:ascii="Cambria" w:hAnsi="Cambria"/>
                <w:sz w:val="20"/>
                <w:szCs w:val="20"/>
                <w:lang w:val="es-AR"/>
              </w:rPr>
            </w:pPr>
            <w:r w:rsidRPr="00AE3A84">
              <w:rPr>
                <w:rFonts w:ascii="Cambria" w:hAnsi="Cambria"/>
                <w:spacing w:val="-1"/>
                <w:sz w:val="20"/>
                <w:szCs w:val="20"/>
              </w:rPr>
              <w:t>Roberto</w:t>
            </w:r>
            <w:r w:rsidRPr="00AE3A84">
              <w:rPr>
                <w:rFonts w:ascii="Cambria" w:hAnsi="Cambria"/>
                <w:spacing w:val="5"/>
                <w:sz w:val="20"/>
                <w:szCs w:val="20"/>
              </w:rPr>
              <w:t xml:space="preserve"> </w:t>
            </w:r>
            <w:r w:rsidRPr="00AE3A84">
              <w:rPr>
                <w:rFonts w:ascii="Cambria" w:hAnsi="Cambria"/>
                <w:spacing w:val="-1"/>
                <w:sz w:val="20"/>
                <w:szCs w:val="20"/>
              </w:rPr>
              <w:t>Orlando</w:t>
            </w:r>
            <w:r w:rsidRPr="00AE3A84">
              <w:rPr>
                <w:rFonts w:ascii="Cambria" w:hAnsi="Cambria"/>
                <w:spacing w:val="6"/>
                <w:sz w:val="20"/>
                <w:szCs w:val="20"/>
              </w:rPr>
              <w:t xml:space="preserve"> </w:t>
            </w:r>
            <w:r w:rsidRPr="00AE3A84">
              <w:rPr>
                <w:rFonts w:ascii="Cambria" w:hAnsi="Cambria"/>
                <w:spacing w:val="-1"/>
                <w:sz w:val="20"/>
                <w:szCs w:val="20"/>
              </w:rPr>
              <w:t>Igreda</w:t>
            </w:r>
            <w:r w:rsidRPr="00AE3A84">
              <w:rPr>
                <w:rFonts w:ascii="Cambria" w:hAnsi="Cambria"/>
                <w:spacing w:val="7"/>
                <w:sz w:val="20"/>
                <w:szCs w:val="20"/>
              </w:rPr>
              <w:t xml:space="preserve"> </w:t>
            </w:r>
            <w:r w:rsidRPr="00AE3A84">
              <w:rPr>
                <w:rFonts w:ascii="Cambria" w:hAnsi="Cambria"/>
                <w:spacing w:val="-1"/>
                <w:sz w:val="20"/>
                <w:szCs w:val="20"/>
              </w:rPr>
              <w:t>Coz</w:t>
            </w:r>
          </w:p>
        </w:tc>
        <w:tc>
          <w:tcPr>
            <w:tcW w:w="1328" w:type="dxa"/>
          </w:tcPr>
          <w:p w14:paraId="154C46AD" w14:textId="77777777" w:rsidR="0057201B" w:rsidRPr="00AE3A84" w:rsidRDefault="0057201B">
            <w:pPr>
              <w:rPr>
                <w:rFonts w:ascii="Cambria" w:hAnsi="Cambria"/>
                <w:spacing w:val="-1"/>
                <w:sz w:val="20"/>
                <w:szCs w:val="20"/>
              </w:rPr>
            </w:pPr>
            <w:r w:rsidRPr="00AE3A84">
              <w:rPr>
                <w:rFonts w:ascii="Cambria" w:hAnsi="Cambria"/>
                <w:spacing w:val="-1"/>
                <w:sz w:val="20"/>
                <w:szCs w:val="20"/>
              </w:rPr>
              <w:t>Bolivia</w:t>
            </w:r>
          </w:p>
        </w:tc>
        <w:tc>
          <w:tcPr>
            <w:tcW w:w="1260" w:type="dxa"/>
            <w:vAlign w:val="center"/>
          </w:tcPr>
          <w:p w14:paraId="2A400FE6" w14:textId="77777777" w:rsidR="0057201B" w:rsidRPr="00AE3A84" w:rsidRDefault="0057201B">
            <w:pPr>
              <w:jc w:val="center"/>
              <w:rPr>
                <w:rFonts w:ascii="Cambria" w:hAnsi="Cambria"/>
                <w:spacing w:val="-2"/>
                <w:sz w:val="20"/>
                <w:szCs w:val="20"/>
              </w:rPr>
            </w:pPr>
            <w:r w:rsidRPr="00E4606E">
              <w:rPr>
                <w:rFonts w:ascii="Cambria" w:hAnsi="Cambria"/>
                <w:spacing w:val="-2"/>
                <w:sz w:val="20"/>
                <w:szCs w:val="20"/>
              </w:rPr>
              <w:t>323/22</w:t>
            </w:r>
          </w:p>
        </w:tc>
        <w:tc>
          <w:tcPr>
            <w:tcW w:w="1440" w:type="dxa"/>
            <w:vAlign w:val="center"/>
          </w:tcPr>
          <w:p w14:paraId="76AEB51B" w14:textId="77777777" w:rsidR="0057201B" w:rsidRPr="00AE3A84" w:rsidRDefault="0057201B" w:rsidP="005F75C1">
            <w:pPr>
              <w:jc w:val="center"/>
              <w:rPr>
                <w:rFonts w:ascii="Cambria" w:hAnsi="Cambria"/>
                <w:spacing w:val="-2"/>
                <w:sz w:val="20"/>
                <w:szCs w:val="20"/>
              </w:rPr>
            </w:pPr>
            <w:r w:rsidRPr="00AE3A84">
              <w:rPr>
                <w:rFonts w:ascii="Cambria" w:hAnsi="Cambria"/>
                <w:spacing w:val="-2"/>
                <w:sz w:val="20"/>
                <w:szCs w:val="20"/>
              </w:rPr>
              <w:t>11/29/2022</w:t>
            </w:r>
          </w:p>
        </w:tc>
        <w:tc>
          <w:tcPr>
            <w:tcW w:w="1890" w:type="dxa"/>
            <w:vAlign w:val="center"/>
          </w:tcPr>
          <w:p w14:paraId="2766C2BF" w14:textId="77777777" w:rsidR="0057201B" w:rsidRPr="00AE3A84" w:rsidRDefault="0057201B" w:rsidP="005615BA">
            <w:pPr>
              <w:jc w:val="center"/>
              <w:rPr>
                <w:rFonts w:ascii="Cambria" w:hAnsi="Cambria"/>
                <w:spacing w:val="-2"/>
                <w:sz w:val="20"/>
                <w:szCs w:val="20"/>
              </w:rPr>
            </w:pPr>
            <w:r w:rsidRPr="00AE3A84">
              <w:rPr>
                <w:rFonts w:ascii="Cambria" w:hAnsi="Cambria"/>
                <w:spacing w:val="-2"/>
                <w:sz w:val="20"/>
                <w:szCs w:val="20"/>
              </w:rPr>
              <w:t>229-15</w:t>
            </w:r>
          </w:p>
        </w:tc>
      </w:tr>
      <w:tr w:rsidR="0057201B" w:rsidRPr="00AE3A84" w14:paraId="221F9ADB" w14:textId="77777777" w:rsidTr="005615BA">
        <w:tc>
          <w:tcPr>
            <w:tcW w:w="544" w:type="dxa"/>
          </w:tcPr>
          <w:p w14:paraId="2B7ACFF4"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81</w:t>
            </w:r>
          </w:p>
        </w:tc>
        <w:tc>
          <w:tcPr>
            <w:tcW w:w="3253" w:type="dxa"/>
          </w:tcPr>
          <w:p w14:paraId="21887CAA" w14:textId="77777777" w:rsidR="0057201B" w:rsidRPr="00114F7F" w:rsidRDefault="0057201B">
            <w:pPr>
              <w:rPr>
                <w:rFonts w:ascii="Cambria" w:hAnsi="Cambria"/>
                <w:spacing w:val="-1"/>
                <w:sz w:val="20"/>
                <w:szCs w:val="20"/>
              </w:rPr>
            </w:pPr>
            <w:r w:rsidRPr="00B12EC9">
              <w:rPr>
                <w:rFonts w:ascii="Cambria" w:hAnsi="Cambria"/>
                <w:spacing w:val="-1"/>
                <w:sz w:val="20"/>
                <w:szCs w:val="20"/>
              </w:rPr>
              <w:t>Marcial</w:t>
            </w:r>
            <w:r w:rsidRPr="00B12EC9">
              <w:rPr>
                <w:rFonts w:ascii="Cambria" w:hAnsi="Cambria"/>
                <w:spacing w:val="4"/>
                <w:sz w:val="20"/>
                <w:szCs w:val="20"/>
              </w:rPr>
              <w:t xml:space="preserve"> </w:t>
            </w:r>
            <w:r w:rsidRPr="00B12EC9">
              <w:rPr>
                <w:rFonts w:ascii="Cambria" w:hAnsi="Cambria"/>
                <w:spacing w:val="-1"/>
                <w:sz w:val="20"/>
                <w:szCs w:val="20"/>
              </w:rPr>
              <w:t>Rubio</w:t>
            </w:r>
            <w:r w:rsidRPr="00B12EC9">
              <w:rPr>
                <w:rFonts w:ascii="Cambria" w:hAnsi="Cambria"/>
                <w:sz w:val="20"/>
                <w:szCs w:val="20"/>
              </w:rPr>
              <w:t>et al.</w:t>
            </w:r>
            <w:r w:rsidRPr="00B12EC9">
              <w:rPr>
                <w:rFonts w:ascii="Cambria" w:hAnsi="Cambria"/>
                <w:spacing w:val="5"/>
                <w:sz w:val="20"/>
                <w:szCs w:val="20"/>
              </w:rPr>
              <w:t xml:space="preserve"> </w:t>
            </w:r>
            <w:r w:rsidRPr="00114F7F">
              <w:rPr>
                <w:rFonts w:ascii="Cambria" w:hAnsi="Cambria"/>
                <w:spacing w:val="-1"/>
                <w:sz w:val="20"/>
                <w:szCs w:val="20"/>
              </w:rPr>
              <w:t>(University Community of the Pontifical Cath</w:t>
            </w:r>
            <w:r>
              <w:rPr>
                <w:rFonts w:ascii="Cambria" w:hAnsi="Cambria"/>
                <w:spacing w:val="-1"/>
                <w:sz w:val="20"/>
                <w:szCs w:val="20"/>
              </w:rPr>
              <w:t>olic Univerity of Peru</w:t>
            </w:r>
            <w:r w:rsidRPr="00114F7F">
              <w:rPr>
                <w:rFonts w:ascii="Cambria" w:hAnsi="Cambria"/>
                <w:spacing w:val="-1"/>
                <w:sz w:val="20"/>
                <w:szCs w:val="20"/>
              </w:rPr>
              <w:t>)</w:t>
            </w:r>
          </w:p>
        </w:tc>
        <w:tc>
          <w:tcPr>
            <w:tcW w:w="1328" w:type="dxa"/>
          </w:tcPr>
          <w:p w14:paraId="0C234201" w14:textId="77777777" w:rsidR="0057201B" w:rsidRPr="00AE3A84" w:rsidRDefault="0057201B">
            <w:pPr>
              <w:rPr>
                <w:rFonts w:ascii="Cambria" w:hAnsi="Cambria"/>
                <w:spacing w:val="-1"/>
                <w:sz w:val="20"/>
                <w:szCs w:val="20"/>
              </w:rPr>
            </w:pPr>
            <w:r w:rsidRPr="00AE3A84">
              <w:rPr>
                <w:rFonts w:ascii="Cambria" w:hAnsi="Cambria"/>
                <w:spacing w:val="-1"/>
                <w:sz w:val="20"/>
                <w:szCs w:val="20"/>
              </w:rPr>
              <w:t>Per</w:t>
            </w:r>
            <w:r>
              <w:rPr>
                <w:rFonts w:ascii="Cambria" w:hAnsi="Cambria"/>
                <w:spacing w:val="-1"/>
                <w:sz w:val="20"/>
                <w:szCs w:val="20"/>
              </w:rPr>
              <w:t>u</w:t>
            </w:r>
          </w:p>
        </w:tc>
        <w:tc>
          <w:tcPr>
            <w:tcW w:w="1260" w:type="dxa"/>
            <w:vAlign w:val="center"/>
          </w:tcPr>
          <w:p w14:paraId="3FA7D557" w14:textId="77777777" w:rsidR="0057201B" w:rsidRPr="00AE3A84" w:rsidRDefault="0057201B">
            <w:pPr>
              <w:jc w:val="center"/>
              <w:rPr>
                <w:rFonts w:ascii="Cambria" w:hAnsi="Cambria"/>
                <w:spacing w:val="-2"/>
                <w:sz w:val="20"/>
                <w:szCs w:val="20"/>
              </w:rPr>
            </w:pPr>
            <w:r w:rsidRPr="00E4606E">
              <w:rPr>
                <w:rFonts w:ascii="Cambria" w:hAnsi="Cambria"/>
                <w:spacing w:val="-2"/>
                <w:sz w:val="20"/>
                <w:szCs w:val="20"/>
              </w:rPr>
              <w:t>326/22</w:t>
            </w:r>
          </w:p>
        </w:tc>
        <w:tc>
          <w:tcPr>
            <w:tcW w:w="1440" w:type="dxa"/>
            <w:vAlign w:val="center"/>
          </w:tcPr>
          <w:p w14:paraId="24B02E31" w14:textId="77777777" w:rsidR="0057201B" w:rsidRPr="00AE3A84" w:rsidRDefault="0057201B" w:rsidP="005F75C1">
            <w:pPr>
              <w:jc w:val="center"/>
              <w:rPr>
                <w:rFonts w:ascii="Cambria" w:hAnsi="Cambria"/>
                <w:spacing w:val="-2"/>
                <w:sz w:val="20"/>
                <w:szCs w:val="20"/>
              </w:rPr>
            </w:pPr>
            <w:r w:rsidRPr="00AE3A84">
              <w:rPr>
                <w:rFonts w:ascii="Cambria" w:hAnsi="Cambria"/>
                <w:spacing w:val="-2"/>
                <w:sz w:val="20"/>
                <w:szCs w:val="20"/>
              </w:rPr>
              <w:t>11/29/2022</w:t>
            </w:r>
          </w:p>
        </w:tc>
        <w:tc>
          <w:tcPr>
            <w:tcW w:w="1890" w:type="dxa"/>
            <w:vAlign w:val="center"/>
          </w:tcPr>
          <w:p w14:paraId="15E8E180" w14:textId="77777777" w:rsidR="0057201B" w:rsidRPr="00AE3A84" w:rsidRDefault="0057201B" w:rsidP="005615BA">
            <w:pPr>
              <w:jc w:val="center"/>
              <w:rPr>
                <w:rFonts w:ascii="Cambria" w:hAnsi="Cambria"/>
                <w:spacing w:val="-2"/>
                <w:sz w:val="20"/>
                <w:szCs w:val="20"/>
              </w:rPr>
            </w:pPr>
            <w:r w:rsidRPr="00AE3A84">
              <w:rPr>
                <w:rFonts w:ascii="Cambria" w:hAnsi="Cambria"/>
                <w:spacing w:val="-2"/>
                <w:sz w:val="20"/>
                <w:szCs w:val="20"/>
              </w:rPr>
              <w:t>1319-10</w:t>
            </w:r>
          </w:p>
        </w:tc>
      </w:tr>
      <w:tr w:rsidR="0057201B" w:rsidRPr="00AE3A84" w14:paraId="4F393724" w14:textId="77777777" w:rsidTr="005615BA">
        <w:tc>
          <w:tcPr>
            <w:tcW w:w="544" w:type="dxa"/>
          </w:tcPr>
          <w:p w14:paraId="3184959B"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82</w:t>
            </w:r>
          </w:p>
        </w:tc>
        <w:tc>
          <w:tcPr>
            <w:tcW w:w="3253" w:type="dxa"/>
          </w:tcPr>
          <w:p w14:paraId="466C312D" w14:textId="77777777" w:rsidR="0057201B" w:rsidRPr="00F11596" w:rsidRDefault="0057201B">
            <w:pPr>
              <w:rPr>
                <w:rFonts w:ascii="Cambria" w:hAnsi="Cambria"/>
                <w:spacing w:val="-1"/>
                <w:sz w:val="20"/>
                <w:szCs w:val="20"/>
              </w:rPr>
            </w:pPr>
            <w:r>
              <w:rPr>
                <w:rFonts w:ascii="Cambria" w:hAnsi="Cambria"/>
                <w:spacing w:val="-1"/>
                <w:sz w:val="20"/>
                <w:szCs w:val="20"/>
              </w:rPr>
              <w:t>Relatives of</w:t>
            </w:r>
            <w:r w:rsidRPr="00F11596">
              <w:rPr>
                <w:rFonts w:ascii="Cambria" w:hAnsi="Cambria"/>
                <w:spacing w:val="-1"/>
                <w:sz w:val="20"/>
                <w:szCs w:val="20"/>
              </w:rPr>
              <w:t xml:space="preserve"> Julio</w:t>
            </w:r>
            <w:r w:rsidRPr="00F11596">
              <w:rPr>
                <w:rFonts w:ascii="Cambria" w:hAnsi="Cambria"/>
                <w:spacing w:val="4"/>
                <w:sz w:val="20"/>
                <w:szCs w:val="20"/>
              </w:rPr>
              <w:t xml:space="preserve"> </w:t>
            </w:r>
            <w:r w:rsidRPr="00F11596">
              <w:rPr>
                <w:rFonts w:ascii="Cambria" w:hAnsi="Cambria"/>
                <w:spacing w:val="-1"/>
                <w:sz w:val="20"/>
                <w:szCs w:val="20"/>
              </w:rPr>
              <w:t>Roldán</w:t>
            </w:r>
            <w:r w:rsidRPr="00F11596">
              <w:rPr>
                <w:rFonts w:ascii="Cambria" w:hAnsi="Cambria"/>
                <w:spacing w:val="6"/>
                <w:sz w:val="20"/>
                <w:szCs w:val="20"/>
              </w:rPr>
              <w:t xml:space="preserve"> </w:t>
            </w:r>
            <w:r w:rsidRPr="00F11596">
              <w:rPr>
                <w:rFonts w:ascii="Cambria" w:hAnsi="Cambria"/>
                <w:spacing w:val="-1"/>
                <w:sz w:val="20"/>
                <w:szCs w:val="20"/>
              </w:rPr>
              <w:t>Burbano</w:t>
            </w:r>
            <w:r w:rsidRPr="00F11596">
              <w:rPr>
                <w:rFonts w:ascii="Cambria" w:hAnsi="Cambria"/>
                <w:spacing w:val="4"/>
                <w:sz w:val="20"/>
                <w:szCs w:val="20"/>
              </w:rPr>
              <w:t xml:space="preserve"> </w:t>
            </w:r>
            <w:r w:rsidRPr="00F11596">
              <w:rPr>
                <w:rFonts w:ascii="Cambria" w:hAnsi="Cambria"/>
                <w:spacing w:val="-1"/>
                <w:sz w:val="20"/>
                <w:szCs w:val="20"/>
              </w:rPr>
              <w:t>Lasso</w:t>
            </w:r>
          </w:p>
        </w:tc>
        <w:tc>
          <w:tcPr>
            <w:tcW w:w="1328" w:type="dxa"/>
          </w:tcPr>
          <w:p w14:paraId="3FA76B55" w14:textId="77777777" w:rsidR="0057201B" w:rsidRPr="00AE3A84" w:rsidRDefault="0057201B">
            <w:pPr>
              <w:rPr>
                <w:rFonts w:ascii="Cambria" w:hAnsi="Cambria"/>
                <w:spacing w:val="-1"/>
                <w:sz w:val="20"/>
                <w:szCs w:val="20"/>
              </w:rPr>
            </w:pPr>
            <w:r w:rsidRPr="00AE3A84">
              <w:rPr>
                <w:rFonts w:ascii="Cambria" w:hAnsi="Cambria"/>
                <w:spacing w:val="-1"/>
                <w:sz w:val="20"/>
                <w:szCs w:val="20"/>
              </w:rPr>
              <w:t>Colombia</w:t>
            </w:r>
          </w:p>
        </w:tc>
        <w:tc>
          <w:tcPr>
            <w:tcW w:w="1260" w:type="dxa"/>
            <w:vAlign w:val="center"/>
          </w:tcPr>
          <w:p w14:paraId="14CD6982" w14:textId="77777777" w:rsidR="0057201B" w:rsidRPr="00AE3A84" w:rsidRDefault="0057201B">
            <w:pPr>
              <w:jc w:val="center"/>
              <w:rPr>
                <w:rFonts w:ascii="Cambria" w:hAnsi="Cambria"/>
                <w:spacing w:val="-2"/>
                <w:sz w:val="20"/>
                <w:szCs w:val="20"/>
              </w:rPr>
            </w:pPr>
            <w:r w:rsidRPr="00E4606E">
              <w:rPr>
                <w:rFonts w:ascii="Cambria" w:hAnsi="Cambria"/>
                <w:spacing w:val="-2"/>
                <w:sz w:val="20"/>
                <w:szCs w:val="20"/>
              </w:rPr>
              <w:t>328/22</w:t>
            </w:r>
          </w:p>
        </w:tc>
        <w:tc>
          <w:tcPr>
            <w:tcW w:w="1440" w:type="dxa"/>
            <w:vAlign w:val="center"/>
          </w:tcPr>
          <w:p w14:paraId="27555A99" w14:textId="77777777" w:rsidR="0057201B" w:rsidRPr="00AE3A84" w:rsidRDefault="0057201B" w:rsidP="005F75C1">
            <w:pPr>
              <w:jc w:val="center"/>
              <w:rPr>
                <w:rFonts w:ascii="Cambria" w:hAnsi="Cambria"/>
                <w:spacing w:val="-2"/>
                <w:sz w:val="20"/>
                <w:szCs w:val="20"/>
              </w:rPr>
            </w:pPr>
            <w:r w:rsidRPr="00AE3A84">
              <w:rPr>
                <w:rFonts w:ascii="Cambria" w:hAnsi="Cambria"/>
                <w:spacing w:val="-2"/>
                <w:sz w:val="20"/>
                <w:szCs w:val="20"/>
              </w:rPr>
              <w:t>11/29/2022</w:t>
            </w:r>
          </w:p>
        </w:tc>
        <w:tc>
          <w:tcPr>
            <w:tcW w:w="1890" w:type="dxa"/>
            <w:vAlign w:val="center"/>
          </w:tcPr>
          <w:p w14:paraId="1081662B" w14:textId="77777777" w:rsidR="0057201B" w:rsidRPr="00AE3A84" w:rsidRDefault="0057201B" w:rsidP="005615BA">
            <w:pPr>
              <w:jc w:val="center"/>
              <w:rPr>
                <w:rFonts w:ascii="Cambria" w:hAnsi="Cambria"/>
                <w:spacing w:val="-2"/>
                <w:sz w:val="20"/>
                <w:szCs w:val="20"/>
              </w:rPr>
            </w:pPr>
            <w:r w:rsidRPr="00AE3A84">
              <w:rPr>
                <w:rFonts w:ascii="Cambria" w:hAnsi="Cambria"/>
                <w:spacing w:val="-2"/>
                <w:sz w:val="20"/>
                <w:szCs w:val="20"/>
              </w:rPr>
              <w:t>657-08</w:t>
            </w:r>
          </w:p>
        </w:tc>
      </w:tr>
      <w:tr w:rsidR="0057201B" w:rsidRPr="00AE3A84" w14:paraId="63348F4D" w14:textId="77777777" w:rsidTr="005615BA">
        <w:tc>
          <w:tcPr>
            <w:tcW w:w="544" w:type="dxa"/>
          </w:tcPr>
          <w:p w14:paraId="610550C5"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83</w:t>
            </w:r>
          </w:p>
        </w:tc>
        <w:tc>
          <w:tcPr>
            <w:tcW w:w="3253" w:type="dxa"/>
          </w:tcPr>
          <w:p w14:paraId="23F8769A" w14:textId="77777777" w:rsidR="0057201B" w:rsidRPr="00AE3A84" w:rsidRDefault="0057201B">
            <w:pPr>
              <w:rPr>
                <w:rFonts w:ascii="Cambria" w:hAnsi="Cambria"/>
                <w:spacing w:val="-1"/>
                <w:sz w:val="20"/>
                <w:szCs w:val="20"/>
              </w:rPr>
            </w:pPr>
            <w:r w:rsidRPr="00AE3A84">
              <w:rPr>
                <w:rFonts w:ascii="Cambria" w:hAnsi="Cambria"/>
                <w:spacing w:val="-1"/>
                <w:sz w:val="20"/>
                <w:szCs w:val="20"/>
              </w:rPr>
              <w:t>Juan</w:t>
            </w:r>
            <w:r w:rsidRPr="00AE3A84">
              <w:rPr>
                <w:rFonts w:ascii="Cambria" w:hAnsi="Cambria"/>
                <w:spacing w:val="6"/>
                <w:sz w:val="20"/>
                <w:szCs w:val="20"/>
              </w:rPr>
              <w:t xml:space="preserve"> </w:t>
            </w:r>
            <w:r w:rsidRPr="00AE3A84">
              <w:rPr>
                <w:rFonts w:ascii="Cambria" w:hAnsi="Cambria"/>
                <w:spacing w:val="-1"/>
                <w:sz w:val="20"/>
                <w:szCs w:val="20"/>
              </w:rPr>
              <w:t>Carlos</w:t>
            </w:r>
            <w:r w:rsidRPr="00AE3A84">
              <w:rPr>
                <w:rFonts w:ascii="Cambria" w:hAnsi="Cambria"/>
                <w:spacing w:val="6"/>
                <w:sz w:val="20"/>
                <w:szCs w:val="20"/>
              </w:rPr>
              <w:t xml:space="preserve"> </w:t>
            </w:r>
            <w:r w:rsidRPr="00AE3A84">
              <w:rPr>
                <w:rFonts w:ascii="Cambria" w:hAnsi="Cambria"/>
                <w:spacing w:val="-1"/>
                <w:sz w:val="20"/>
                <w:szCs w:val="20"/>
              </w:rPr>
              <w:t>Velásquez</w:t>
            </w:r>
            <w:r w:rsidRPr="00AE3A84">
              <w:rPr>
                <w:rFonts w:ascii="Cambria" w:hAnsi="Cambria"/>
                <w:spacing w:val="8"/>
                <w:sz w:val="20"/>
                <w:szCs w:val="20"/>
              </w:rPr>
              <w:t xml:space="preserve"> </w:t>
            </w:r>
            <w:r w:rsidRPr="00AE3A84">
              <w:rPr>
                <w:rFonts w:ascii="Cambria" w:hAnsi="Cambria"/>
                <w:spacing w:val="-1"/>
                <w:sz w:val="20"/>
                <w:szCs w:val="20"/>
              </w:rPr>
              <w:t>Builes</w:t>
            </w:r>
          </w:p>
        </w:tc>
        <w:tc>
          <w:tcPr>
            <w:tcW w:w="1328" w:type="dxa"/>
          </w:tcPr>
          <w:p w14:paraId="0DEAAE0B" w14:textId="77777777" w:rsidR="0057201B" w:rsidRPr="00AE3A84" w:rsidRDefault="0057201B">
            <w:pPr>
              <w:rPr>
                <w:rFonts w:ascii="Cambria" w:hAnsi="Cambria"/>
                <w:spacing w:val="-1"/>
                <w:sz w:val="20"/>
                <w:szCs w:val="20"/>
              </w:rPr>
            </w:pPr>
            <w:r w:rsidRPr="00AE3A84">
              <w:rPr>
                <w:rFonts w:ascii="Cambria" w:hAnsi="Cambria"/>
                <w:spacing w:val="-1"/>
                <w:sz w:val="20"/>
                <w:szCs w:val="20"/>
              </w:rPr>
              <w:t>Colombia</w:t>
            </w:r>
          </w:p>
        </w:tc>
        <w:tc>
          <w:tcPr>
            <w:tcW w:w="1260" w:type="dxa"/>
            <w:vAlign w:val="center"/>
          </w:tcPr>
          <w:p w14:paraId="7F238308" w14:textId="77777777" w:rsidR="0057201B" w:rsidRPr="00AE3A84" w:rsidRDefault="0057201B">
            <w:pPr>
              <w:jc w:val="center"/>
              <w:rPr>
                <w:rFonts w:ascii="Cambria" w:hAnsi="Cambria"/>
                <w:spacing w:val="-2"/>
                <w:sz w:val="20"/>
                <w:szCs w:val="20"/>
              </w:rPr>
            </w:pPr>
            <w:r w:rsidRPr="00923229">
              <w:rPr>
                <w:rFonts w:ascii="Cambria" w:hAnsi="Cambria"/>
                <w:spacing w:val="-2"/>
                <w:sz w:val="20"/>
                <w:szCs w:val="20"/>
              </w:rPr>
              <w:t>368/22</w:t>
            </w:r>
          </w:p>
        </w:tc>
        <w:tc>
          <w:tcPr>
            <w:tcW w:w="1440" w:type="dxa"/>
            <w:vAlign w:val="center"/>
          </w:tcPr>
          <w:p w14:paraId="1066BC1A" w14:textId="77777777" w:rsidR="0057201B" w:rsidRPr="00AE3A84" w:rsidRDefault="0057201B" w:rsidP="005F75C1">
            <w:pPr>
              <w:jc w:val="center"/>
              <w:rPr>
                <w:rFonts w:ascii="Cambria" w:hAnsi="Cambria"/>
                <w:spacing w:val="-2"/>
                <w:sz w:val="20"/>
                <w:szCs w:val="20"/>
              </w:rPr>
            </w:pPr>
            <w:r w:rsidRPr="00AE3A84">
              <w:rPr>
                <w:rFonts w:ascii="Cambria" w:hAnsi="Cambria"/>
                <w:spacing w:val="-2"/>
                <w:sz w:val="20"/>
                <w:szCs w:val="20"/>
              </w:rPr>
              <w:t>12/19/2022</w:t>
            </w:r>
          </w:p>
        </w:tc>
        <w:tc>
          <w:tcPr>
            <w:tcW w:w="1890" w:type="dxa"/>
            <w:vAlign w:val="center"/>
          </w:tcPr>
          <w:p w14:paraId="504ADE07" w14:textId="77777777" w:rsidR="0057201B" w:rsidRPr="00AE3A84" w:rsidRDefault="0057201B" w:rsidP="005615BA">
            <w:pPr>
              <w:jc w:val="center"/>
              <w:rPr>
                <w:rFonts w:ascii="Cambria" w:hAnsi="Cambria"/>
                <w:spacing w:val="-2"/>
                <w:sz w:val="20"/>
                <w:szCs w:val="20"/>
              </w:rPr>
            </w:pPr>
            <w:r w:rsidRPr="00AE3A84">
              <w:rPr>
                <w:rFonts w:ascii="Cambria" w:hAnsi="Cambria"/>
                <w:spacing w:val="-2"/>
                <w:sz w:val="20"/>
                <w:szCs w:val="20"/>
              </w:rPr>
              <w:t>150-12</w:t>
            </w:r>
          </w:p>
        </w:tc>
      </w:tr>
      <w:tr w:rsidR="0057201B" w:rsidRPr="00AE3A84" w14:paraId="0A4197A7" w14:textId="77777777" w:rsidTr="005615BA">
        <w:tc>
          <w:tcPr>
            <w:tcW w:w="544" w:type="dxa"/>
          </w:tcPr>
          <w:p w14:paraId="726A783A"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84</w:t>
            </w:r>
          </w:p>
        </w:tc>
        <w:tc>
          <w:tcPr>
            <w:tcW w:w="3253" w:type="dxa"/>
          </w:tcPr>
          <w:p w14:paraId="7993418D" w14:textId="77777777" w:rsidR="0057201B" w:rsidRPr="00AE3A84" w:rsidRDefault="0057201B">
            <w:pPr>
              <w:rPr>
                <w:rFonts w:ascii="Cambria" w:hAnsi="Cambria"/>
                <w:spacing w:val="-1"/>
                <w:sz w:val="20"/>
                <w:szCs w:val="20"/>
              </w:rPr>
            </w:pPr>
            <w:r w:rsidRPr="00AE3A84">
              <w:rPr>
                <w:rFonts w:ascii="Cambria" w:hAnsi="Cambria"/>
                <w:spacing w:val="-1"/>
                <w:sz w:val="20"/>
                <w:szCs w:val="20"/>
              </w:rPr>
              <w:t>Alicia</w:t>
            </w:r>
            <w:r w:rsidRPr="00AE3A84">
              <w:rPr>
                <w:rFonts w:ascii="Cambria" w:hAnsi="Cambria"/>
                <w:spacing w:val="4"/>
                <w:sz w:val="20"/>
                <w:szCs w:val="20"/>
              </w:rPr>
              <w:t xml:space="preserve"> </w:t>
            </w:r>
            <w:r w:rsidRPr="00AE3A84">
              <w:rPr>
                <w:rFonts w:ascii="Cambria" w:hAnsi="Cambria"/>
                <w:spacing w:val="-1"/>
                <w:sz w:val="20"/>
                <w:szCs w:val="20"/>
              </w:rPr>
              <w:t>López</w:t>
            </w:r>
            <w:r w:rsidRPr="00AE3A84">
              <w:rPr>
                <w:rFonts w:ascii="Cambria" w:hAnsi="Cambria"/>
                <w:spacing w:val="6"/>
                <w:sz w:val="20"/>
                <w:szCs w:val="20"/>
              </w:rPr>
              <w:t xml:space="preserve"> </w:t>
            </w:r>
            <w:r w:rsidRPr="00AE3A84">
              <w:rPr>
                <w:rFonts w:ascii="Cambria" w:hAnsi="Cambria"/>
                <w:spacing w:val="-1"/>
                <w:sz w:val="20"/>
                <w:szCs w:val="20"/>
              </w:rPr>
              <w:t>de</w:t>
            </w:r>
            <w:r w:rsidRPr="00AE3A84">
              <w:rPr>
                <w:rFonts w:ascii="Cambria" w:hAnsi="Cambria"/>
                <w:spacing w:val="5"/>
                <w:sz w:val="20"/>
                <w:szCs w:val="20"/>
              </w:rPr>
              <w:t xml:space="preserve"> </w:t>
            </w:r>
            <w:r w:rsidRPr="00AE3A84">
              <w:rPr>
                <w:rFonts w:ascii="Cambria" w:hAnsi="Cambria"/>
                <w:spacing w:val="-1"/>
                <w:sz w:val="20"/>
                <w:szCs w:val="20"/>
              </w:rPr>
              <w:t>Medina</w:t>
            </w:r>
          </w:p>
        </w:tc>
        <w:tc>
          <w:tcPr>
            <w:tcW w:w="1328" w:type="dxa"/>
          </w:tcPr>
          <w:p w14:paraId="2146C16D" w14:textId="77777777" w:rsidR="0057201B" w:rsidRPr="00AE3A84" w:rsidRDefault="0057201B">
            <w:pPr>
              <w:rPr>
                <w:rFonts w:ascii="Cambria" w:hAnsi="Cambria"/>
                <w:spacing w:val="-1"/>
                <w:sz w:val="20"/>
                <w:szCs w:val="20"/>
              </w:rPr>
            </w:pPr>
            <w:r w:rsidRPr="00AE3A84">
              <w:rPr>
                <w:rFonts w:ascii="Cambria" w:hAnsi="Cambria"/>
                <w:spacing w:val="-1"/>
                <w:sz w:val="20"/>
                <w:szCs w:val="20"/>
              </w:rPr>
              <w:t>Argentina</w:t>
            </w:r>
          </w:p>
        </w:tc>
        <w:tc>
          <w:tcPr>
            <w:tcW w:w="1260" w:type="dxa"/>
            <w:vAlign w:val="center"/>
          </w:tcPr>
          <w:p w14:paraId="3277282C" w14:textId="77777777" w:rsidR="0057201B" w:rsidRPr="00AE3A84" w:rsidRDefault="0057201B">
            <w:pPr>
              <w:jc w:val="center"/>
              <w:rPr>
                <w:rFonts w:ascii="Cambria" w:hAnsi="Cambria"/>
                <w:spacing w:val="-2"/>
                <w:sz w:val="20"/>
                <w:szCs w:val="20"/>
              </w:rPr>
            </w:pPr>
            <w:r w:rsidRPr="00923229">
              <w:rPr>
                <w:rFonts w:ascii="Cambria" w:hAnsi="Cambria"/>
                <w:spacing w:val="-2"/>
                <w:sz w:val="20"/>
                <w:szCs w:val="20"/>
              </w:rPr>
              <w:t>369/22</w:t>
            </w:r>
          </w:p>
        </w:tc>
        <w:tc>
          <w:tcPr>
            <w:tcW w:w="1440" w:type="dxa"/>
            <w:vAlign w:val="center"/>
          </w:tcPr>
          <w:p w14:paraId="204CF4F5" w14:textId="77777777" w:rsidR="0057201B" w:rsidRPr="00AE3A84" w:rsidRDefault="0057201B" w:rsidP="005F75C1">
            <w:pPr>
              <w:jc w:val="center"/>
              <w:rPr>
                <w:rFonts w:ascii="Cambria" w:hAnsi="Cambria"/>
                <w:spacing w:val="-2"/>
                <w:sz w:val="20"/>
                <w:szCs w:val="20"/>
              </w:rPr>
            </w:pPr>
            <w:r w:rsidRPr="00AE3A84">
              <w:rPr>
                <w:rFonts w:ascii="Cambria" w:hAnsi="Cambria"/>
                <w:spacing w:val="-2"/>
                <w:sz w:val="20"/>
                <w:szCs w:val="20"/>
              </w:rPr>
              <w:t>12/19/2022</w:t>
            </w:r>
          </w:p>
        </w:tc>
        <w:tc>
          <w:tcPr>
            <w:tcW w:w="1890" w:type="dxa"/>
            <w:vAlign w:val="center"/>
          </w:tcPr>
          <w:p w14:paraId="435E0DBB" w14:textId="77777777" w:rsidR="0057201B" w:rsidRPr="00AE3A84" w:rsidRDefault="0057201B" w:rsidP="005615BA">
            <w:pPr>
              <w:jc w:val="center"/>
              <w:rPr>
                <w:rFonts w:ascii="Cambria" w:hAnsi="Cambria"/>
                <w:spacing w:val="-2"/>
                <w:sz w:val="20"/>
                <w:szCs w:val="20"/>
              </w:rPr>
            </w:pPr>
            <w:r w:rsidRPr="00AE3A84">
              <w:rPr>
                <w:rFonts w:ascii="Cambria" w:hAnsi="Cambria"/>
                <w:spacing w:val="-2"/>
                <w:sz w:val="20"/>
                <w:szCs w:val="20"/>
              </w:rPr>
              <w:t>1973-12</w:t>
            </w:r>
          </w:p>
        </w:tc>
      </w:tr>
      <w:tr w:rsidR="0057201B" w:rsidRPr="00AE3A84" w14:paraId="228BADCE" w14:textId="77777777" w:rsidTr="005615BA">
        <w:tc>
          <w:tcPr>
            <w:tcW w:w="544" w:type="dxa"/>
          </w:tcPr>
          <w:p w14:paraId="1163978B"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85</w:t>
            </w:r>
          </w:p>
        </w:tc>
        <w:tc>
          <w:tcPr>
            <w:tcW w:w="3253" w:type="dxa"/>
          </w:tcPr>
          <w:p w14:paraId="34B979FA" w14:textId="77777777" w:rsidR="0057201B" w:rsidRPr="00AE3A84" w:rsidRDefault="0057201B">
            <w:pPr>
              <w:rPr>
                <w:rFonts w:ascii="Cambria" w:hAnsi="Cambria"/>
                <w:spacing w:val="-1"/>
                <w:sz w:val="20"/>
                <w:szCs w:val="20"/>
              </w:rPr>
            </w:pPr>
            <w:r w:rsidRPr="00AE3A84">
              <w:rPr>
                <w:rFonts w:ascii="Cambria" w:hAnsi="Cambria"/>
                <w:spacing w:val="-1"/>
                <w:sz w:val="20"/>
                <w:szCs w:val="20"/>
              </w:rPr>
              <w:t>Celso</w:t>
            </w:r>
            <w:r w:rsidRPr="00AE3A84">
              <w:rPr>
                <w:rFonts w:ascii="Cambria" w:hAnsi="Cambria"/>
                <w:spacing w:val="4"/>
                <w:sz w:val="20"/>
                <w:szCs w:val="20"/>
              </w:rPr>
              <w:t xml:space="preserve"> </w:t>
            </w:r>
            <w:r w:rsidRPr="00AE3A84">
              <w:rPr>
                <w:rFonts w:ascii="Cambria" w:hAnsi="Cambria"/>
                <w:spacing w:val="-1"/>
                <w:sz w:val="20"/>
                <w:szCs w:val="20"/>
              </w:rPr>
              <w:t>Jaques</w:t>
            </w:r>
            <w:r w:rsidRPr="00AE3A84">
              <w:rPr>
                <w:rFonts w:ascii="Cambria" w:hAnsi="Cambria"/>
                <w:spacing w:val="5"/>
                <w:sz w:val="20"/>
                <w:szCs w:val="20"/>
              </w:rPr>
              <w:t xml:space="preserve"> </w:t>
            </w:r>
            <w:r w:rsidRPr="00AE3A84">
              <w:rPr>
                <w:rFonts w:ascii="Cambria" w:hAnsi="Cambria"/>
                <w:spacing w:val="-1"/>
                <w:sz w:val="20"/>
                <w:szCs w:val="20"/>
              </w:rPr>
              <w:t>da</w:t>
            </w:r>
            <w:r w:rsidRPr="00AE3A84">
              <w:rPr>
                <w:rFonts w:ascii="Cambria" w:hAnsi="Cambria"/>
                <w:spacing w:val="5"/>
                <w:sz w:val="20"/>
                <w:szCs w:val="20"/>
              </w:rPr>
              <w:t xml:space="preserve"> </w:t>
            </w:r>
            <w:r w:rsidRPr="00AE3A84">
              <w:rPr>
                <w:rFonts w:ascii="Cambria" w:hAnsi="Cambria"/>
                <w:spacing w:val="-1"/>
                <w:sz w:val="20"/>
                <w:szCs w:val="20"/>
              </w:rPr>
              <w:t>Rocha</w:t>
            </w:r>
          </w:p>
        </w:tc>
        <w:tc>
          <w:tcPr>
            <w:tcW w:w="1328" w:type="dxa"/>
          </w:tcPr>
          <w:p w14:paraId="4A89346D" w14:textId="77777777" w:rsidR="0057201B" w:rsidRPr="00AE3A84" w:rsidRDefault="0057201B">
            <w:pPr>
              <w:rPr>
                <w:rFonts w:ascii="Cambria" w:hAnsi="Cambria"/>
                <w:spacing w:val="-1"/>
                <w:sz w:val="20"/>
                <w:szCs w:val="20"/>
              </w:rPr>
            </w:pPr>
            <w:r w:rsidRPr="00AE3A84">
              <w:rPr>
                <w:rFonts w:ascii="Cambria" w:hAnsi="Cambria"/>
                <w:spacing w:val="-1"/>
                <w:sz w:val="20"/>
                <w:szCs w:val="20"/>
              </w:rPr>
              <w:t>Bra</w:t>
            </w:r>
            <w:r>
              <w:rPr>
                <w:rFonts w:ascii="Cambria" w:hAnsi="Cambria"/>
                <w:spacing w:val="-1"/>
                <w:sz w:val="20"/>
                <w:szCs w:val="20"/>
              </w:rPr>
              <w:t>z</w:t>
            </w:r>
            <w:r w:rsidRPr="00AE3A84">
              <w:rPr>
                <w:rFonts w:ascii="Cambria" w:hAnsi="Cambria"/>
                <w:spacing w:val="-1"/>
                <w:sz w:val="20"/>
                <w:szCs w:val="20"/>
              </w:rPr>
              <w:t>il</w:t>
            </w:r>
          </w:p>
        </w:tc>
        <w:tc>
          <w:tcPr>
            <w:tcW w:w="1260" w:type="dxa"/>
            <w:vAlign w:val="center"/>
          </w:tcPr>
          <w:p w14:paraId="0CAD13D1" w14:textId="77777777" w:rsidR="0057201B" w:rsidRPr="00AE3A84" w:rsidRDefault="0057201B">
            <w:pPr>
              <w:jc w:val="center"/>
              <w:rPr>
                <w:rFonts w:ascii="Cambria" w:hAnsi="Cambria"/>
                <w:spacing w:val="-2"/>
                <w:sz w:val="20"/>
                <w:szCs w:val="20"/>
              </w:rPr>
            </w:pPr>
            <w:r w:rsidRPr="00923229">
              <w:rPr>
                <w:rFonts w:ascii="Cambria" w:hAnsi="Cambria"/>
                <w:spacing w:val="-2"/>
                <w:sz w:val="20"/>
                <w:szCs w:val="20"/>
              </w:rPr>
              <w:t>371/22</w:t>
            </w:r>
          </w:p>
        </w:tc>
        <w:tc>
          <w:tcPr>
            <w:tcW w:w="1440" w:type="dxa"/>
            <w:vAlign w:val="center"/>
          </w:tcPr>
          <w:p w14:paraId="66DDE0B6" w14:textId="77777777" w:rsidR="0057201B" w:rsidRPr="00AE3A84" w:rsidRDefault="0057201B" w:rsidP="005F75C1">
            <w:pPr>
              <w:jc w:val="center"/>
              <w:rPr>
                <w:rFonts w:ascii="Cambria" w:hAnsi="Cambria"/>
                <w:spacing w:val="-2"/>
                <w:sz w:val="20"/>
                <w:szCs w:val="20"/>
              </w:rPr>
            </w:pPr>
            <w:r w:rsidRPr="00AE3A84">
              <w:rPr>
                <w:rFonts w:ascii="Cambria" w:hAnsi="Cambria"/>
                <w:spacing w:val="-2"/>
                <w:sz w:val="20"/>
                <w:szCs w:val="20"/>
              </w:rPr>
              <w:t>12/19/2022</w:t>
            </w:r>
          </w:p>
        </w:tc>
        <w:tc>
          <w:tcPr>
            <w:tcW w:w="1890" w:type="dxa"/>
            <w:vAlign w:val="center"/>
          </w:tcPr>
          <w:p w14:paraId="69029143" w14:textId="77777777" w:rsidR="0057201B" w:rsidRPr="00AE3A84" w:rsidRDefault="0057201B" w:rsidP="005615BA">
            <w:pPr>
              <w:jc w:val="center"/>
              <w:rPr>
                <w:rFonts w:ascii="Cambria" w:hAnsi="Cambria"/>
                <w:spacing w:val="-2"/>
                <w:sz w:val="20"/>
                <w:szCs w:val="20"/>
              </w:rPr>
            </w:pPr>
            <w:r w:rsidRPr="00AE3A84">
              <w:rPr>
                <w:rFonts w:ascii="Cambria" w:hAnsi="Cambria"/>
                <w:spacing w:val="-2"/>
                <w:sz w:val="20"/>
                <w:szCs w:val="20"/>
              </w:rPr>
              <w:t>1957-15</w:t>
            </w:r>
          </w:p>
        </w:tc>
      </w:tr>
      <w:tr w:rsidR="0057201B" w:rsidRPr="00AE3A84" w14:paraId="379450CE" w14:textId="77777777" w:rsidTr="005615BA">
        <w:tc>
          <w:tcPr>
            <w:tcW w:w="544" w:type="dxa"/>
          </w:tcPr>
          <w:p w14:paraId="639771FA"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86</w:t>
            </w:r>
          </w:p>
        </w:tc>
        <w:tc>
          <w:tcPr>
            <w:tcW w:w="3253" w:type="dxa"/>
          </w:tcPr>
          <w:p w14:paraId="43FC8239" w14:textId="77777777" w:rsidR="0057201B" w:rsidRPr="00AE3A84" w:rsidRDefault="0057201B">
            <w:pPr>
              <w:rPr>
                <w:rFonts w:ascii="Cambria" w:hAnsi="Cambria"/>
                <w:spacing w:val="-1"/>
                <w:sz w:val="20"/>
                <w:szCs w:val="20"/>
              </w:rPr>
            </w:pPr>
            <w:r w:rsidRPr="00AE3A84">
              <w:rPr>
                <w:rFonts w:ascii="Cambria" w:hAnsi="Cambria"/>
                <w:spacing w:val="-1"/>
                <w:sz w:val="20"/>
                <w:szCs w:val="20"/>
              </w:rPr>
              <w:t>Hugues</w:t>
            </w:r>
            <w:r w:rsidRPr="00AE3A84">
              <w:rPr>
                <w:rFonts w:ascii="Cambria" w:hAnsi="Cambria"/>
                <w:spacing w:val="6"/>
                <w:sz w:val="20"/>
                <w:szCs w:val="20"/>
              </w:rPr>
              <w:t xml:space="preserve"> </w:t>
            </w:r>
            <w:r w:rsidRPr="00AE3A84">
              <w:rPr>
                <w:rFonts w:ascii="Cambria" w:hAnsi="Cambria"/>
                <w:spacing w:val="-1"/>
                <w:sz w:val="20"/>
                <w:szCs w:val="20"/>
              </w:rPr>
              <w:t>Manuel</w:t>
            </w:r>
            <w:r w:rsidRPr="00AE3A84">
              <w:rPr>
                <w:rFonts w:ascii="Cambria" w:hAnsi="Cambria"/>
                <w:spacing w:val="7"/>
                <w:sz w:val="20"/>
                <w:szCs w:val="20"/>
              </w:rPr>
              <w:t xml:space="preserve"> </w:t>
            </w:r>
            <w:r w:rsidRPr="00AE3A84">
              <w:rPr>
                <w:rFonts w:ascii="Cambria" w:hAnsi="Cambria"/>
                <w:spacing w:val="-1"/>
                <w:sz w:val="20"/>
                <w:szCs w:val="20"/>
              </w:rPr>
              <w:t>Rodríguez</w:t>
            </w:r>
            <w:r w:rsidRPr="00AE3A84">
              <w:rPr>
                <w:rFonts w:ascii="Cambria" w:hAnsi="Cambria"/>
                <w:spacing w:val="8"/>
                <w:sz w:val="20"/>
                <w:szCs w:val="20"/>
              </w:rPr>
              <w:t xml:space="preserve"> </w:t>
            </w:r>
            <w:r w:rsidRPr="00AE3A84">
              <w:rPr>
                <w:rFonts w:ascii="Cambria" w:hAnsi="Cambria"/>
                <w:spacing w:val="-1"/>
                <w:sz w:val="20"/>
                <w:szCs w:val="20"/>
              </w:rPr>
              <w:t>Fuentes</w:t>
            </w:r>
          </w:p>
        </w:tc>
        <w:tc>
          <w:tcPr>
            <w:tcW w:w="1328" w:type="dxa"/>
          </w:tcPr>
          <w:p w14:paraId="491CAEF5" w14:textId="77777777" w:rsidR="0057201B" w:rsidRPr="00AE3A84" w:rsidRDefault="0057201B">
            <w:pPr>
              <w:rPr>
                <w:rFonts w:ascii="Cambria" w:hAnsi="Cambria"/>
                <w:spacing w:val="-1"/>
                <w:sz w:val="20"/>
                <w:szCs w:val="20"/>
              </w:rPr>
            </w:pPr>
            <w:r w:rsidRPr="00AE3A84">
              <w:rPr>
                <w:rFonts w:ascii="Cambria" w:hAnsi="Cambria"/>
                <w:spacing w:val="-1"/>
                <w:sz w:val="20"/>
                <w:szCs w:val="20"/>
              </w:rPr>
              <w:t>Colombia</w:t>
            </w:r>
          </w:p>
        </w:tc>
        <w:tc>
          <w:tcPr>
            <w:tcW w:w="1260" w:type="dxa"/>
            <w:vAlign w:val="center"/>
          </w:tcPr>
          <w:p w14:paraId="6C70B635" w14:textId="77777777" w:rsidR="0057201B" w:rsidRPr="00AE3A84" w:rsidRDefault="0057201B">
            <w:pPr>
              <w:jc w:val="center"/>
              <w:rPr>
                <w:rFonts w:ascii="Cambria" w:hAnsi="Cambria"/>
                <w:spacing w:val="-2"/>
                <w:sz w:val="20"/>
                <w:szCs w:val="20"/>
              </w:rPr>
            </w:pPr>
            <w:r w:rsidRPr="00923229">
              <w:rPr>
                <w:rFonts w:ascii="Cambria" w:hAnsi="Cambria"/>
                <w:spacing w:val="-2"/>
                <w:sz w:val="20"/>
                <w:szCs w:val="20"/>
              </w:rPr>
              <w:t>375/22</w:t>
            </w:r>
          </w:p>
        </w:tc>
        <w:tc>
          <w:tcPr>
            <w:tcW w:w="1440" w:type="dxa"/>
            <w:vAlign w:val="center"/>
          </w:tcPr>
          <w:p w14:paraId="3B0AFADA" w14:textId="77777777" w:rsidR="0057201B" w:rsidRPr="00AE3A84" w:rsidRDefault="0057201B" w:rsidP="005F75C1">
            <w:pPr>
              <w:jc w:val="center"/>
              <w:rPr>
                <w:rFonts w:ascii="Cambria" w:hAnsi="Cambria"/>
                <w:spacing w:val="-2"/>
                <w:sz w:val="20"/>
                <w:szCs w:val="20"/>
              </w:rPr>
            </w:pPr>
            <w:r w:rsidRPr="00AE3A84">
              <w:rPr>
                <w:rFonts w:ascii="Cambria" w:hAnsi="Cambria"/>
                <w:spacing w:val="-2"/>
                <w:sz w:val="20"/>
                <w:szCs w:val="20"/>
              </w:rPr>
              <w:t>12/19/2022</w:t>
            </w:r>
          </w:p>
        </w:tc>
        <w:tc>
          <w:tcPr>
            <w:tcW w:w="1890" w:type="dxa"/>
            <w:vAlign w:val="center"/>
          </w:tcPr>
          <w:p w14:paraId="2F4650BE" w14:textId="77777777" w:rsidR="0057201B" w:rsidRPr="00AE3A84" w:rsidRDefault="0057201B" w:rsidP="005615BA">
            <w:pPr>
              <w:jc w:val="center"/>
              <w:rPr>
                <w:rFonts w:ascii="Cambria" w:hAnsi="Cambria"/>
                <w:spacing w:val="-2"/>
                <w:sz w:val="20"/>
                <w:szCs w:val="20"/>
              </w:rPr>
            </w:pPr>
            <w:r w:rsidRPr="00AE3A84">
              <w:rPr>
                <w:rFonts w:ascii="Cambria" w:hAnsi="Cambria"/>
                <w:spacing w:val="-2"/>
                <w:sz w:val="20"/>
                <w:szCs w:val="20"/>
              </w:rPr>
              <w:t>279-12</w:t>
            </w:r>
          </w:p>
        </w:tc>
      </w:tr>
      <w:tr w:rsidR="0057201B" w:rsidRPr="00AE3A84" w14:paraId="5D5F9203" w14:textId="77777777" w:rsidTr="005615BA">
        <w:tc>
          <w:tcPr>
            <w:tcW w:w="544" w:type="dxa"/>
          </w:tcPr>
          <w:p w14:paraId="4FECC920"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87</w:t>
            </w:r>
          </w:p>
        </w:tc>
        <w:tc>
          <w:tcPr>
            <w:tcW w:w="3253" w:type="dxa"/>
          </w:tcPr>
          <w:p w14:paraId="49ECA5BE" w14:textId="77777777" w:rsidR="0057201B" w:rsidRPr="00AE3A84" w:rsidRDefault="0057201B">
            <w:pPr>
              <w:rPr>
                <w:rFonts w:ascii="Cambria" w:hAnsi="Cambria"/>
                <w:spacing w:val="-1"/>
                <w:sz w:val="20"/>
                <w:szCs w:val="20"/>
              </w:rPr>
            </w:pPr>
            <w:r w:rsidRPr="00AE3A84">
              <w:rPr>
                <w:rFonts w:ascii="Cambria" w:hAnsi="Cambria"/>
                <w:spacing w:val="-1"/>
                <w:sz w:val="20"/>
                <w:szCs w:val="20"/>
              </w:rPr>
              <w:t>Sebastian</w:t>
            </w:r>
            <w:r w:rsidRPr="00AE3A84">
              <w:rPr>
                <w:rFonts w:ascii="Cambria" w:hAnsi="Cambria"/>
                <w:spacing w:val="5"/>
                <w:sz w:val="20"/>
                <w:szCs w:val="20"/>
              </w:rPr>
              <w:t xml:space="preserve"> </w:t>
            </w:r>
            <w:r w:rsidRPr="00AE3A84">
              <w:rPr>
                <w:rFonts w:ascii="Cambria" w:hAnsi="Cambria"/>
                <w:sz w:val="20"/>
                <w:szCs w:val="20"/>
              </w:rPr>
              <w:t>Silva</w:t>
            </w:r>
            <w:r w:rsidRPr="00AE3A84">
              <w:rPr>
                <w:rFonts w:ascii="Cambria" w:hAnsi="Cambria"/>
                <w:spacing w:val="5"/>
                <w:sz w:val="20"/>
                <w:szCs w:val="20"/>
              </w:rPr>
              <w:t xml:space="preserve"> </w:t>
            </w:r>
            <w:r w:rsidRPr="00AE3A84">
              <w:rPr>
                <w:rFonts w:ascii="Cambria" w:hAnsi="Cambria"/>
                <w:spacing w:val="-1"/>
                <w:sz w:val="20"/>
                <w:szCs w:val="20"/>
              </w:rPr>
              <w:t>Díaz</w:t>
            </w:r>
          </w:p>
        </w:tc>
        <w:tc>
          <w:tcPr>
            <w:tcW w:w="1328" w:type="dxa"/>
          </w:tcPr>
          <w:p w14:paraId="169F510D" w14:textId="77777777" w:rsidR="0057201B" w:rsidRPr="00AE3A84" w:rsidRDefault="0057201B">
            <w:pPr>
              <w:rPr>
                <w:rFonts w:ascii="Cambria" w:hAnsi="Cambria"/>
                <w:spacing w:val="-1"/>
                <w:sz w:val="20"/>
                <w:szCs w:val="20"/>
              </w:rPr>
            </w:pPr>
            <w:r w:rsidRPr="00AE3A84">
              <w:rPr>
                <w:rFonts w:ascii="Cambria" w:hAnsi="Cambria"/>
                <w:spacing w:val="-1"/>
                <w:sz w:val="20"/>
                <w:szCs w:val="20"/>
              </w:rPr>
              <w:t>Canad</w:t>
            </w:r>
            <w:r>
              <w:rPr>
                <w:rFonts w:ascii="Cambria" w:hAnsi="Cambria"/>
                <w:spacing w:val="-1"/>
                <w:sz w:val="20"/>
                <w:szCs w:val="20"/>
              </w:rPr>
              <w:t>a</w:t>
            </w:r>
          </w:p>
        </w:tc>
        <w:tc>
          <w:tcPr>
            <w:tcW w:w="1260" w:type="dxa"/>
            <w:vAlign w:val="center"/>
          </w:tcPr>
          <w:p w14:paraId="78F53031" w14:textId="77777777" w:rsidR="0057201B" w:rsidRPr="00AE3A84" w:rsidRDefault="0057201B">
            <w:pPr>
              <w:jc w:val="center"/>
              <w:rPr>
                <w:rFonts w:ascii="Cambria" w:hAnsi="Cambria"/>
                <w:spacing w:val="-2"/>
                <w:sz w:val="20"/>
                <w:szCs w:val="20"/>
              </w:rPr>
            </w:pPr>
            <w:r w:rsidRPr="00923229">
              <w:rPr>
                <w:rFonts w:ascii="Cambria" w:hAnsi="Cambria"/>
                <w:spacing w:val="-2"/>
                <w:sz w:val="20"/>
                <w:szCs w:val="20"/>
              </w:rPr>
              <w:t>381/22</w:t>
            </w:r>
          </w:p>
        </w:tc>
        <w:tc>
          <w:tcPr>
            <w:tcW w:w="1440" w:type="dxa"/>
            <w:vAlign w:val="center"/>
          </w:tcPr>
          <w:p w14:paraId="7146CB26" w14:textId="77777777" w:rsidR="0057201B" w:rsidRPr="00AE3A84" w:rsidRDefault="0057201B" w:rsidP="005F75C1">
            <w:pPr>
              <w:jc w:val="center"/>
              <w:rPr>
                <w:rFonts w:ascii="Cambria" w:hAnsi="Cambria"/>
                <w:spacing w:val="-2"/>
                <w:sz w:val="20"/>
                <w:szCs w:val="20"/>
              </w:rPr>
            </w:pPr>
            <w:r w:rsidRPr="00AE3A84">
              <w:rPr>
                <w:rFonts w:ascii="Cambria" w:hAnsi="Cambria"/>
                <w:spacing w:val="-2"/>
                <w:sz w:val="20"/>
                <w:szCs w:val="20"/>
              </w:rPr>
              <w:t>12/21/2022</w:t>
            </w:r>
          </w:p>
        </w:tc>
        <w:tc>
          <w:tcPr>
            <w:tcW w:w="1890" w:type="dxa"/>
            <w:vAlign w:val="center"/>
          </w:tcPr>
          <w:p w14:paraId="43EC5AAE" w14:textId="77777777" w:rsidR="0057201B" w:rsidRPr="00AE3A84" w:rsidRDefault="0057201B" w:rsidP="005615BA">
            <w:pPr>
              <w:jc w:val="center"/>
              <w:rPr>
                <w:rFonts w:ascii="Cambria" w:hAnsi="Cambria"/>
                <w:spacing w:val="-2"/>
                <w:sz w:val="20"/>
                <w:szCs w:val="20"/>
              </w:rPr>
            </w:pPr>
            <w:r w:rsidRPr="00AE3A84">
              <w:rPr>
                <w:rFonts w:ascii="Cambria" w:hAnsi="Cambria"/>
                <w:spacing w:val="-2"/>
                <w:sz w:val="20"/>
                <w:szCs w:val="20"/>
              </w:rPr>
              <w:t>2954-18</w:t>
            </w:r>
          </w:p>
        </w:tc>
      </w:tr>
      <w:tr w:rsidR="0057201B" w:rsidRPr="00AE3A84" w14:paraId="1BB5B3DB" w14:textId="77777777" w:rsidTr="005615BA">
        <w:tc>
          <w:tcPr>
            <w:tcW w:w="544" w:type="dxa"/>
          </w:tcPr>
          <w:p w14:paraId="36715DE6" w14:textId="77777777" w:rsidR="0057201B" w:rsidRPr="00AE3A84" w:rsidRDefault="0057201B">
            <w:pPr>
              <w:rPr>
                <w:rFonts w:ascii="Cambria" w:hAnsi="Cambria"/>
                <w:sz w:val="20"/>
                <w:szCs w:val="20"/>
                <w:lang w:val="es-ES_tradnl"/>
              </w:rPr>
            </w:pPr>
            <w:r w:rsidRPr="00AE3A84">
              <w:rPr>
                <w:rFonts w:ascii="Cambria" w:hAnsi="Cambria"/>
                <w:sz w:val="20"/>
                <w:szCs w:val="20"/>
                <w:lang w:val="es-ES_tradnl"/>
              </w:rPr>
              <w:t>88</w:t>
            </w:r>
          </w:p>
        </w:tc>
        <w:tc>
          <w:tcPr>
            <w:tcW w:w="3253" w:type="dxa"/>
            <w:vAlign w:val="center"/>
          </w:tcPr>
          <w:p w14:paraId="362C0E1B" w14:textId="77777777" w:rsidR="0057201B" w:rsidRPr="00AE3A84" w:rsidRDefault="0057201B" w:rsidP="00D5036B">
            <w:pPr>
              <w:rPr>
                <w:rFonts w:ascii="Cambria" w:hAnsi="Cambria"/>
                <w:spacing w:val="-1"/>
                <w:sz w:val="20"/>
                <w:szCs w:val="20"/>
              </w:rPr>
            </w:pPr>
            <w:r w:rsidRPr="00AE3A84">
              <w:rPr>
                <w:rFonts w:ascii="Cambria" w:hAnsi="Cambria"/>
                <w:spacing w:val="-1"/>
                <w:sz w:val="20"/>
                <w:szCs w:val="20"/>
              </w:rPr>
              <w:t>Steven</w:t>
            </w:r>
            <w:r w:rsidRPr="00AE3A84">
              <w:rPr>
                <w:rFonts w:ascii="Cambria" w:hAnsi="Cambria"/>
                <w:spacing w:val="11"/>
                <w:sz w:val="20"/>
                <w:szCs w:val="20"/>
              </w:rPr>
              <w:t xml:space="preserve"> </w:t>
            </w:r>
            <w:r w:rsidRPr="00AE3A84">
              <w:rPr>
                <w:rFonts w:ascii="Cambria" w:hAnsi="Cambria"/>
                <w:spacing w:val="-1"/>
                <w:sz w:val="20"/>
                <w:szCs w:val="20"/>
              </w:rPr>
              <w:t>McCann</w:t>
            </w:r>
          </w:p>
        </w:tc>
        <w:tc>
          <w:tcPr>
            <w:tcW w:w="1328" w:type="dxa"/>
            <w:vAlign w:val="center"/>
          </w:tcPr>
          <w:p w14:paraId="5325FB92" w14:textId="77777777" w:rsidR="0057201B" w:rsidRPr="00AE3A84" w:rsidRDefault="0057201B" w:rsidP="00D5036B">
            <w:pPr>
              <w:rPr>
                <w:rFonts w:ascii="Cambria" w:hAnsi="Cambria"/>
                <w:spacing w:val="-1"/>
                <w:sz w:val="20"/>
                <w:szCs w:val="20"/>
              </w:rPr>
            </w:pPr>
            <w:r>
              <w:rPr>
                <w:rFonts w:ascii="Cambria" w:hAnsi="Cambria"/>
                <w:spacing w:val="-1"/>
                <w:sz w:val="20"/>
                <w:szCs w:val="20"/>
              </w:rPr>
              <w:t>United States</w:t>
            </w:r>
          </w:p>
        </w:tc>
        <w:tc>
          <w:tcPr>
            <w:tcW w:w="1260" w:type="dxa"/>
            <w:vAlign w:val="center"/>
          </w:tcPr>
          <w:p w14:paraId="7331011A" w14:textId="77777777" w:rsidR="0057201B" w:rsidRPr="00AE3A84" w:rsidRDefault="0057201B" w:rsidP="00D5036B">
            <w:pPr>
              <w:jc w:val="center"/>
              <w:rPr>
                <w:rFonts w:ascii="Cambria" w:hAnsi="Cambria"/>
                <w:spacing w:val="-2"/>
                <w:sz w:val="20"/>
                <w:szCs w:val="20"/>
              </w:rPr>
            </w:pPr>
            <w:r w:rsidRPr="00923229">
              <w:rPr>
                <w:rFonts w:ascii="Cambria" w:hAnsi="Cambria"/>
                <w:spacing w:val="-2"/>
                <w:sz w:val="20"/>
                <w:szCs w:val="20"/>
              </w:rPr>
              <w:t>382/22</w:t>
            </w:r>
          </w:p>
        </w:tc>
        <w:tc>
          <w:tcPr>
            <w:tcW w:w="1440" w:type="dxa"/>
            <w:vAlign w:val="center"/>
          </w:tcPr>
          <w:p w14:paraId="3A044652" w14:textId="77777777" w:rsidR="0057201B" w:rsidRPr="00AE3A84" w:rsidRDefault="0057201B" w:rsidP="005F75C1">
            <w:pPr>
              <w:jc w:val="center"/>
              <w:rPr>
                <w:rFonts w:ascii="Cambria" w:hAnsi="Cambria"/>
                <w:spacing w:val="-2"/>
                <w:sz w:val="20"/>
                <w:szCs w:val="20"/>
              </w:rPr>
            </w:pPr>
            <w:r w:rsidRPr="00AE3A84">
              <w:rPr>
                <w:rFonts w:ascii="Cambria" w:hAnsi="Cambria"/>
                <w:spacing w:val="-2"/>
                <w:sz w:val="20"/>
                <w:szCs w:val="20"/>
              </w:rPr>
              <w:t>12/30/2022</w:t>
            </w:r>
          </w:p>
        </w:tc>
        <w:tc>
          <w:tcPr>
            <w:tcW w:w="1890" w:type="dxa"/>
            <w:vAlign w:val="center"/>
          </w:tcPr>
          <w:p w14:paraId="510A85A4" w14:textId="77777777" w:rsidR="0057201B" w:rsidRPr="00AE3A84" w:rsidRDefault="0057201B" w:rsidP="005615BA">
            <w:pPr>
              <w:jc w:val="center"/>
              <w:rPr>
                <w:rFonts w:ascii="Cambria" w:hAnsi="Cambria"/>
                <w:spacing w:val="-2"/>
                <w:sz w:val="20"/>
                <w:szCs w:val="20"/>
              </w:rPr>
            </w:pPr>
            <w:r w:rsidRPr="00AE3A84">
              <w:rPr>
                <w:rFonts w:ascii="Cambria" w:hAnsi="Cambria"/>
                <w:spacing w:val="-2"/>
                <w:sz w:val="20"/>
                <w:szCs w:val="20"/>
              </w:rPr>
              <w:t>2136-18</w:t>
            </w:r>
          </w:p>
        </w:tc>
      </w:tr>
    </w:tbl>
    <w:p w14:paraId="24C192C8" w14:textId="77777777" w:rsidR="0057201B" w:rsidRPr="00AE3A84" w:rsidRDefault="0057201B" w:rsidP="0057201B">
      <w:pPr>
        <w:rPr>
          <w:rFonts w:ascii="Cambria" w:hAnsi="Cambria"/>
          <w:lang w:val="es-ES_tradnl"/>
        </w:rPr>
      </w:pPr>
    </w:p>
    <w:p w14:paraId="3128BB4E" w14:textId="14881E09" w:rsidR="0057201B" w:rsidRPr="004B7474" w:rsidRDefault="0057201B" w:rsidP="00933F91">
      <w:pPr>
        <w:pStyle w:val="ListParagraph"/>
        <w:numPr>
          <w:ilvl w:val="0"/>
          <w:numId w:val="55"/>
        </w:numPr>
        <w:autoSpaceDE w:val="0"/>
        <w:autoSpaceDN w:val="0"/>
        <w:adjustRightInd w:val="0"/>
        <w:ind w:left="1440" w:hanging="720"/>
        <w:contextualSpacing w:val="0"/>
        <w:jc w:val="both"/>
        <w:rPr>
          <w:rFonts w:ascii="Cambria" w:hAnsi="Cambria"/>
          <w:b/>
          <w:bCs/>
          <w:sz w:val="22"/>
          <w:szCs w:val="22"/>
          <w:lang w:val="es-US"/>
        </w:rPr>
      </w:pPr>
      <w:r w:rsidRPr="004B7474">
        <w:rPr>
          <w:rFonts w:ascii="Cambria" w:hAnsi="Cambria"/>
          <w:b/>
          <w:bCs/>
          <w:sz w:val="22"/>
          <w:szCs w:val="22"/>
          <w:lang w:val="es-US"/>
        </w:rPr>
        <w:t xml:space="preserve">Archive </w:t>
      </w:r>
      <w:r w:rsidR="00242756" w:rsidRPr="004B7474">
        <w:rPr>
          <w:rFonts w:ascii="Cambria" w:hAnsi="Cambria"/>
          <w:b/>
          <w:bCs/>
          <w:sz w:val="22"/>
          <w:szCs w:val="22"/>
          <w:lang w:val="es-US"/>
        </w:rPr>
        <w:t>d</w:t>
      </w:r>
      <w:r w:rsidRPr="004B7474">
        <w:rPr>
          <w:rFonts w:ascii="Cambria" w:hAnsi="Cambria"/>
          <w:b/>
          <w:bCs/>
          <w:sz w:val="22"/>
          <w:szCs w:val="22"/>
          <w:lang w:val="es-US"/>
        </w:rPr>
        <w:t>ecisions</w:t>
      </w:r>
    </w:p>
    <w:p w14:paraId="02A65F1B" w14:textId="77777777" w:rsidR="0057201B" w:rsidRDefault="0057201B" w:rsidP="0057201B">
      <w:pPr>
        <w:pStyle w:val="BodyText"/>
        <w:jc w:val="both"/>
        <w:rPr>
          <w:lang w:val="es-US"/>
        </w:rPr>
      </w:pPr>
    </w:p>
    <w:p w14:paraId="439B3206" w14:textId="77777777" w:rsidR="0057201B" w:rsidRPr="008202A5" w:rsidRDefault="0057201B" w:rsidP="00933F91">
      <w:pPr>
        <w:pStyle w:val="BodyText"/>
        <w:widowControl/>
        <w:numPr>
          <w:ilvl w:val="0"/>
          <w:numId w:val="58"/>
        </w:numPr>
        <w:ind w:left="0" w:firstLine="720"/>
        <w:jc w:val="both"/>
      </w:pPr>
      <w:r w:rsidRPr="00A4091C">
        <w:t>On January 19, 2022, the IACHR issued its Resolution 1/22,</w:t>
      </w:r>
      <w:r w:rsidRPr="00AE3A84">
        <w:rPr>
          <w:rStyle w:val="FootnoteReference"/>
        </w:rPr>
        <w:footnoteReference w:id="4"/>
      </w:r>
      <w:r w:rsidRPr="00A4091C">
        <w:t xml:space="preserve"> in which it identified 3,357 petitions </w:t>
      </w:r>
      <w:r>
        <w:t xml:space="preserve">with </w:t>
      </w:r>
      <w:r w:rsidRPr="00A4091C">
        <w:t xml:space="preserve">procedural </w:t>
      </w:r>
      <w:r>
        <w:t>in</w:t>
      </w:r>
      <w:r w:rsidRPr="00A4091C">
        <w:t xml:space="preserve">activity </w:t>
      </w:r>
      <w:r>
        <w:t xml:space="preserve">on the part of </w:t>
      </w:r>
      <w:r w:rsidRPr="00A4091C">
        <w:t>petition</w:t>
      </w:r>
      <w:r>
        <w:t>ers</w:t>
      </w:r>
      <w:r w:rsidRPr="00A4091C">
        <w:t xml:space="preserve"> </w:t>
      </w:r>
      <w:r>
        <w:t xml:space="preserve">for periods </w:t>
      </w:r>
      <w:r w:rsidRPr="00A4091C">
        <w:t>ranging from three to more than ten years</w:t>
      </w:r>
      <w:r>
        <w:t>;</w:t>
      </w:r>
      <w:r w:rsidRPr="00A4091C">
        <w:t xml:space="preserve"> in </w:t>
      </w:r>
      <w:r>
        <w:t>the large majority</w:t>
      </w:r>
      <w:r w:rsidRPr="00A4091C">
        <w:t xml:space="preserve"> of these cases</w:t>
      </w:r>
      <w:r>
        <w:t>, this was</w:t>
      </w:r>
      <w:r w:rsidRPr="00A4091C">
        <w:t xml:space="preserve"> after the IACHR had sent a request </w:t>
      </w:r>
      <w:r>
        <w:t xml:space="preserve">asking them </w:t>
      </w:r>
      <w:r w:rsidRPr="00A4091C">
        <w:t>for a</w:t>
      </w:r>
      <w:r>
        <w:t>dditional information</w:t>
      </w:r>
      <w:r w:rsidRPr="00A4091C">
        <w:t xml:space="preserve">. </w:t>
      </w:r>
      <w:r w:rsidRPr="00C9599F">
        <w:t xml:space="preserve">This resolution </w:t>
      </w:r>
      <w:r>
        <w:t>serves as</w:t>
      </w:r>
      <w:r w:rsidRPr="00C9599F">
        <w:t xml:space="preserve"> a</w:t>
      </w:r>
      <w:r>
        <w:t xml:space="preserve"> </w:t>
      </w:r>
      <w:r w:rsidRPr="00C9599F">
        <w:t xml:space="preserve">warning </w:t>
      </w:r>
      <w:r>
        <w:t>that</w:t>
      </w:r>
      <w:r w:rsidRPr="00C9599F">
        <w:t xml:space="preserve"> th</w:t>
      </w:r>
      <w:r>
        <w:t>e</w:t>
      </w:r>
      <w:r w:rsidRPr="00C9599F">
        <w:t xml:space="preserve"> group of petitions duly identified in the annex to the resolution</w:t>
      </w:r>
      <w:r>
        <w:t xml:space="preserve"> are set to be archived</w:t>
      </w:r>
      <w:r w:rsidRPr="00C9599F">
        <w:t>, under th</w:t>
      </w:r>
      <w:r>
        <w:t>e terms of Article</w:t>
      </w:r>
      <w:r w:rsidRPr="00C9599F">
        <w:t xml:space="preserve"> 42 </w:t>
      </w:r>
      <w:r>
        <w:t xml:space="preserve">of the Rules of Procedure. In other words, if the IACHR does not receive an indication of interest from the petitioners, it may make a final decision to close the petition, in line with the aforementioned </w:t>
      </w:r>
      <w:r w:rsidRPr="008D1C91">
        <w:t>rule.</w:t>
      </w:r>
      <w:r w:rsidRPr="008202A5">
        <w:t xml:space="preserve">  </w:t>
      </w:r>
    </w:p>
    <w:p w14:paraId="33DAF842" w14:textId="77777777" w:rsidR="0057201B" w:rsidRPr="008202A5" w:rsidRDefault="0057201B" w:rsidP="0057201B">
      <w:pPr>
        <w:pStyle w:val="BodyText"/>
        <w:ind w:left="720"/>
        <w:jc w:val="both"/>
        <w:rPr>
          <w:noProof/>
        </w:rPr>
      </w:pPr>
    </w:p>
    <w:p w14:paraId="7272D1EB" w14:textId="77777777" w:rsidR="0057201B" w:rsidRPr="003C5841" w:rsidRDefault="0057201B" w:rsidP="00933F91">
      <w:pPr>
        <w:pStyle w:val="BodyText"/>
        <w:widowControl/>
        <w:numPr>
          <w:ilvl w:val="0"/>
          <w:numId w:val="58"/>
        </w:numPr>
        <w:ind w:left="0" w:firstLine="720"/>
        <w:jc w:val="both"/>
        <w:rPr>
          <w:noProof/>
        </w:rPr>
      </w:pPr>
      <w:r w:rsidRPr="003C5841">
        <w:t xml:space="preserve">The Commission also identified the archive criteria </w:t>
      </w:r>
      <w:r>
        <w:t>established</w:t>
      </w:r>
      <w:r w:rsidRPr="003C5841">
        <w:t xml:space="preserve"> in Article 42(1) of the Rules of Procedure for petitions </w:t>
      </w:r>
      <w:r>
        <w:t>under</w:t>
      </w:r>
      <w:r w:rsidRPr="003C5841">
        <w:t xml:space="preserve"> initial review</w:t>
      </w:r>
      <w:r>
        <w:t xml:space="preserve"> for</w:t>
      </w:r>
      <w:r w:rsidRPr="00901957">
        <w:t xml:space="preserve"> which a decision had been made to open </w:t>
      </w:r>
      <w:r>
        <w:t>a case</w:t>
      </w:r>
      <w:r w:rsidRPr="00AE3A84">
        <w:rPr>
          <w:vertAlign w:val="superscript"/>
        </w:rPr>
        <w:footnoteReference w:id="5"/>
      </w:r>
      <w:r w:rsidRPr="003C5841">
        <w:t xml:space="preserve"> </w:t>
      </w:r>
      <w:r>
        <w:t>and necessary information was being sought from the petitioners, and warned of the potential for an archive decision, under the terms of subparagraph 2 of the same article</w:t>
      </w:r>
      <w:r w:rsidRPr="003C5841">
        <w:t xml:space="preserve">. Consequently, on December 31, 2022, the IACHR decided to permanently archive 78 </w:t>
      </w:r>
      <w:r>
        <w:t>petitions in that stage</w:t>
      </w:r>
      <w:r w:rsidRPr="003C5841">
        <w:t xml:space="preserve">. </w:t>
      </w:r>
    </w:p>
    <w:p w14:paraId="39EC0B53" w14:textId="77777777" w:rsidR="0057201B" w:rsidRPr="003C5841" w:rsidRDefault="0057201B" w:rsidP="0057201B">
      <w:pPr>
        <w:pStyle w:val="BodyText"/>
        <w:ind w:left="720"/>
        <w:jc w:val="both"/>
      </w:pPr>
    </w:p>
    <w:p w14:paraId="2F7B38CF" w14:textId="77777777" w:rsidR="0057201B" w:rsidRPr="00427B3A" w:rsidRDefault="0057201B" w:rsidP="00933F91">
      <w:pPr>
        <w:pStyle w:val="BodyText"/>
        <w:widowControl/>
        <w:numPr>
          <w:ilvl w:val="0"/>
          <w:numId w:val="58"/>
        </w:numPr>
        <w:ind w:left="0" w:firstLine="720"/>
        <w:jc w:val="both"/>
      </w:pPr>
      <w:r w:rsidRPr="00451B1A">
        <w:t xml:space="preserve">Meanwhile, </w:t>
      </w:r>
      <w:r>
        <w:t>with regard</w:t>
      </w:r>
      <w:r w:rsidRPr="00451B1A">
        <w:t xml:space="preserve"> to </w:t>
      </w:r>
      <w:r>
        <w:t xml:space="preserve">pending </w:t>
      </w:r>
      <w:r w:rsidRPr="00451B1A">
        <w:t xml:space="preserve">cases, the Commission decided to archive a total of </w:t>
      </w:r>
      <w:r w:rsidRPr="00451B1A">
        <w:rPr>
          <w:noProof/>
        </w:rPr>
        <w:t xml:space="preserve">68 </w:t>
      </w:r>
      <w:r>
        <w:rPr>
          <w:noProof/>
        </w:rPr>
        <w:t>petitions and cases in accordance with the provisions established in Article 42 of the Rules of Procedure</w:t>
      </w:r>
      <w:r>
        <w:t>. Except for the</w:t>
      </w:r>
      <w:r w:rsidRPr="00451B1A">
        <w:t xml:space="preserve"> cases in which petition</w:t>
      </w:r>
      <w:r>
        <w:t>ers</w:t>
      </w:r>
      <w:r w:rsidRPr="00451B1A">
        <w:t xml:space="preserve"> expressly requested </w:t>
      </w:r>
      <w:r>
        <w:t>an archive decision</w:t>
      </w:r>
      <w:r w:rsidRPr="00451B1A">
        <w:t>, the IACHR announ</w:t>
      </w:r>
      <w:r>
        <w:t>ce</w:t>
      </w:r>
      <w:r w:rsidRPr="00451B1A">
        <w:t xml:space="preserve">d the archive warning </w:t>
      </w:r>
      <w:r>
        <w:t>and did not receive a timely response</w:t>
      </w:r>
      <w:r w:rsidRPr="00451B1A">
        <w:t>.</w:t>
      </w:r>
      <w:r>
        <w:t xml:space="preserve"> As a reminder,</w:t>
      </w:r>
      <w:r w:rsidRPr="00427B3A">
        <w:t xml:space="preserve"> since 2018, the Commission has </w:t>
      </w:r>
      <w:r>
        <w:t>considered</w:t>
      </w:r>
      <w:r w:rsidRPr="00427B3A">
        <w:t xml:space="preserve"> it necessary to confirm</w:t>
      </w:r>
      <w:r>
        <w:t xml:space="preserve"> petitioners’ </w:t>
      </w:r>
      <w:r w:rsidRPr="00427B3A">
        <w:t xml:space="preserve">interest in continuing with the processing of a case following a </w:t>
      </w:r>
      <w:r>
        <w:t xml:space="preserve">three-year </w:t>
      </w:r>
      <w:r w:rsidRPr="00427B3A">
        <w:t>period of inactivity</w:t>
      </w:r>
      <w:r>
        <w:t>; if it does not receive confirmation of such interest, the Commission may proceed to archive the matter</w:t>
      </w:r>
      <w:r w:rsidRPr="00427B3A">
        <w:t>. The Commission has also understood that petitioners’ failure to submit additional observations on the merits, a requirement established in Article 37(1) of the IACHR Rules of Procedure, is a serious in</w:t>
      </w:r>
      <w:r>
        <w:t xml:space="preserve">dication </w:t>
      </w:r>
      <w:r>
        <w:lastRenderedPageBreak/>
        <w:t xml:space="preserve">of lack of interest in the processing of a case, which can result in the matter being archived, under the terms established in Article </w:t>
      </w:r>
      <w:r w:rsidRPr="00427B3A">
        <w:t>42(1</w:t>
      </w:r>
      <w:r>
        <w:t>)(</w:t>
      </w:r>
      <w:r w:rsidRPr="00427B3A">
        <w:t xml:space="preserve">b) </w:t>
      </w:r>
      <w:r>
        <w:t>of the same instrument</w:t>
      </w:r>
      <w:r w:rsidRPr="00427B3A">
        <w:t>.</w:t>
      </w:r>
    </w:p>
    <w:p w14:paraId="253F25E2" w14:textId="77777777" w:rsidR="0057201B" w:rsidRPr="00427B3A" w:rsidRDefault="0057201B" w:rsidP="0057201B">
      <w:pPr>
        <w:pStyle w:val="BodyText"/>
        <w:ind w:left="720"/>
        <w:jc w:val="both"/>
      </w:pPr>
    </w:p>
    <w:p w14:paraId="029D09ED" w14:textId="77777777" w:rsidR="0057201B" w:rsidRPr="00B047D1" w:rsidRDefault="0057201B" w:rsidP="00933F91">
      <w:pPr>
        <w:pStyle w:val="BodyText"/>
        <w:widowControl/>
        <w:numPr>
          <w:ilvl w:val="0"/>
          <w:numId w:val="58"/>
        </w:numPr>
        <w:ind w:left="0" w:firstLine="720"/>
        <w:jc w:val="both"/>
      </w:pPr>
      <w:r>
        <w:t>The f</w:t>
      </w:r>
      <w:r w:rsidRPr="00B047D1">
        <w:t xml:space="preserve">ollowing is a list of the petitions and pending cases </w:t>
      </w:r>
      <w:r>
        <w:t xml:space="preserve">that the IACHR decided to archive in </w:t>
      </w:r>
      <w:r w:rsidRPr="00B047D1">
        <w:t>2022:</w:t>
      </w:r>
    </w:p>
    <w:p w14:paraId="5D926CC3" w14:textId="77777777" w:rsidR="0057201B" w:rsidRDefault="0057201B" w:rsidP="0057201B">
      <w:pPr>
        <w:pStyle w:val="BodyText"/>
        <w:jc w:val="both"/>
        <w:rPr>
          <w:noProof/>
        </w:rPr>
      </w:pPr>
    </w:p>
    <w:p w14:paraId="5563605D" w14:textId="77777777" w:rsidR="0057201B" w:rsidRDefault="0057201B" w:rsidP="00933F91">
      <w:pPr>
        <w:pStyle w:val="BodyText"/>
        <w:widowControl/>
        <w:numPr>
          <w:ilvl w:val="0"/>
          <w:numId w:val="59"/>
        </w:numPr>
        <w:ind w:left="1440"/>
        <w:jc w:val="both"/>
        <w:rPr>
          <w:noProof/>
        </w:rPr>
      </w:pPr>
      <w:r>
        <w:rPr>
          <w:noProof/>
        </w:rPr>
        <w:t>Petitions under initial review</w:t>
      </w:r>
    </w:p>
    <w:p w14:paraId="6074B35D" w14:textId="77777777" w:rsidR="0057201B" w:rsidRDefault="0057201B" w:rsidP="0057201B">
      <w:pPr>
        <w:pStyle w:val="BodyText"/>
        <w:ind w:left="2160"/>
        <w:jc w:val="both"/>
        <w:rPr>
          <w:noProof/>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715"/>
        <w:gridCol w:w="2340"/>
        <w:gridCol w:w="2790"/>
        <w:gridCol w:w="1080"/>
        <w:gridCol w:w="2700"/>
      </w:tblGrid>
      <w:tr w:rsidR="0057201B" w:rsidRPr="00210201" w14:paraId="04FF7D28" w14:textId="77777777" w:rsidTr="00434749">
        <w:trPr>
          <w:trHeight w:val="488"/>
        </w:trPr>
        <w:tc>
          <w:tcPr>
            <w:tcW w:w="715" w:type="dxa"/>
            <w:shd w:val="clear" w:color="000000" w:fill="000000"/>
            <w:noWrap/>
            <w:vAlign w:val="center"/>
            <w:hideMark/>
          </w:tcPr>
          <w:p w14:paraId="7811DFFB" w14:textId="77777777" w:rsidR="0057201B" w:rsidRPr="00210201" w:rsidRDefault="0057201B">
            <w:pPr>
              <w:jc w:val="center"/>
              <w:rPr>
                <w:rFonts w:ascii="Cambria" w:hAnsi="Cambria"/>
                <w:b/>
                <w:bCs/>
                <w:sz w:val="20"/>
                <w:szCs w:val="20"/>
              </w:rPr>
            </w:pPr>
            <w:r w:rsidRPr="00210201">
              <w:rPr>
                <w:rFonts w:ascii="Cambria" w:hAnsi="Cambria"/>
                <w:b/>
                <w:bCs/>
                <w:sz w:val="20"/>
                <w:szCs w:val="20"/>
              </w:rPr>
              <w:t>Nº</w:t>
            </w:r>
          </w:p>
        </w:tc>
        <w:tc>
          <w:tcPr>
            <w:tcW w:w="2340" w:type="dxa"/>
            <w:shd w:val="clear" w:color="000000" w:fill="000000"/>
            <w:vAlign w:val="center"/>
            <w:hideMark/>
          </w:tcPr>
          <w:p w14:paraId="60CAA149" w14:textId="74656F1C" w:rsidR="0057201B" w:rsidRPr="00210201" w:rsidRDefault="0057201B">
            <w:pPr>
              <w:jc w:val="center"/>
              <w:rPr>
                <w:rFonts w:ascii="Cambria" w:hAnsi="Cambria"/>
                <w:b/>
                <w:bCs/>
                <w:sz w:val="20"/>
                <w:szCs w:val="20"/>
              </w:rPr>
            </w:pPr>
            <w:r w:rsidRPr="00210201">
              <w:rPr>
                <w:rFonts w:ascii="Cambria" w:hAnsi="Cambria"/>
                <w:b/>
                <w:bCs/>
                <w:sz w:val="20"/>
                <w:szCs w:val="20"/>
              </w:rPr>
              <w:t>State</w:t>
            </w:r>
          </w:p>
        </w:tc>
        <w:tc>
          <w:tcPr>
            <w:tcW w:w="2790" w:type="dxa"/>
            <w:shd w:val="clear" w:color="000000" w:fill="000000"/>
            <w:vAlign w:val="center"/>
            <w:hideMark/>
          </w:tcPr>
          <w:p w14:paraId="589A4629" w14:textId="1377BB8E" w:rsidR="0057201B" w:rsidRPr="00210201" w:rsidRDefault="0057201B">
            <w:pPr>
              <w:jc w:val="center"/>
              <w:rPr>
                <w:rFonts w:ascii="Cambria" w:hAnsi="Cambria"/>
                <w:b/>
                <w:bCs/>
                <w:sz w:val="20"/>
                <w:szCs w:val="20"/>
              </w:rPr>
            </w:pPr>
            <w:r w:rsidRPr="00210201">
              <w:rPr>
                <w:rFonts w:ascii="Cambria" w:hAnsi="Cambria"/>
                <w:b/>
                <w:bCs/>
                <w:sz w:val="20"/>
                <w:szCs w:val="20"/>
              </w:rPr>
              <w:t>Petition number</w:t>
            </w:r>
          </w:p>
        </w:tc>
        <w:tc>
          <w:tcPr>
            <w:tcW w:w="1080" w:type="dxa"/>
            <w:shd w:val="clear" w:color="000000" w:fill="000000"/>
            <w:vAlign w:val="center"/>
            <w:hideMark/>
          </w:tcPr>
          <w:p w14:paraId="3182682A" w14:textId="37A597DC" w:rsidR="0057201B" w:rsidRPr="00210201" w:rsidRDefault="0057201B">
            <w:pPr>
              <w:jc w:val="center"/>
              <w:rPr>
                <w:rFonts w:ascii="Cambria" w:hAnsi="Cambria"/>
                <w:b/>
                <w:bCs/>
                <w:sz w:val="20"/>
                <w:szCs w:val="20"/>
              </w:rPr>
            </w:pPr>
            <w:r w:rsidRPr="00210201">
              <w:rPr>
                <w:rFonts w:ascii="Cambria" w:hAnsi="Cambria"/>
                <w:b/>
                <w:bCs/>
                <w:sz w:val="20"/>
                <w:szCs w:val="20"/>
              </w:rPr>
              <w:t>Year</w:t>
            </w:r>
          </w:p>
        </w:tc>
        <w:tc>
          <w:tcPr>
            <w:tcW w:w="2700" w:type="dxa"/>
            <w:shd w:val="clear" w:color="000000" w:fill="000000"/>
            <w:vAlign w:val="center"/>
            <w:hideMark/>
          </w:tcPr>
          <w:p w14:paraId="72E2E1DB" w14:textId="15066CC7" w:rsidR="0057201B" w:rsidRPr="00210201" w:rsidRDefault="0057201B" w:rsidP="00235BBE">
            <w:pPr>
              <w:jc w:val="center"/>
              <w:rPr>
                <w:rFonts w:ascii="Cambria" w:hAnsi="Cambria"/>
                <w:b/>
                <w:bCs/>
                <w:sz w:val="20"/>
                <w:szCs w:val="20"/>
              </w:rPr>
            </w:pPr>
            <w:r w:rsidRPr="00210201">
              <w:rPr>
                <w:rFonts w:ascii="Cambria" w:hAnsi="Cambria"/>
                <w:b/>
                <w:bCs/>
                <w:sz w:val="20"/>
                <w:szCs w:val="20"/>
              </w:rPr>
              <w:t xml:space="preserve">Procedural </w:t>
            </w:r>
            <w:r w:rsidR="001D6EF2">
              <w:rPr>
                <w:rFonts w:ascii="Cambria" w:hAnsi="Cambria"/>
                <w:b/>
                <w:bCs/>
                <w:sz w:val="20"/>
                <w:szCs w:val="20"/>
              </w:rPr>
              <w:t>S</w:t>
            </w:r>
            <w:r w:rsidRPr="00210201">
              <w:rPr>
                <w:rFonts w:ascii="Cambria" w:hAnsi="Cambria"/>
                <w:b/>
                <w:bCs/>
                <w:sz w:val="20"/>
                <w:szCs w:val="20"/>
              </w:rPr>
              <w:t>tage</w:t>
            </w:r>
          </w:p>
        </w:tc>
      </w:tr>
      <w:tr w:rsidR="0057201B" w:rsidRPr="00210201" w14:paraId="60090510" w14:textId="77777777" w:rsidTr="00434749">
        <w:trPr>
          <w:trHeight w:val="308"/>
        </w:trPr>
        <w:tc>
          <w:tcPr>
            <w:tcW w:w="715" w:type="dxa"/>
            <w:shd w:val="clear" w:color="000000" w:fill="FFFFFF"/>
            <w:vAlign w:val="center"/>
            <w:hideMark/>
          </w:tcPr>
          <w:p w14:paraId="58711EE7" w14:textId="77777777" w:rsidR="0057201B" w:rsidRPr="00210201" w:rsidRDefault="0057201B">
            <w:pPr>
              <w:jc w:val="center"/>
              <w:rPr>
                <w:rFonts w:ascii="Cambria" w:hAnsi="Cambria"/>
                <w:b/>
                <w:bCs/>
                <w:sz w:val="20"/>
                <w:szCs w:val="20"/>
              </w:rPr>
            </w:pPr>
            <w:r w:rsidRPr="00210201">
              <w:rPr>
                <w:rFonts w:ascii="Cambria" w:hAnsi="Cambria"/>
                <w:b/>
                <w:bCs/>
                <w:sz w:val="20"/>
                <w:szCs w:val="20"/>
              </w:rPr>
              <w:t>1</w:t>
            </w:r>
          </w:p>
        </w:tc>
        <w:tc>
          <w:tcPr>
            <w:tcW w:w="2340" w:type="dxa"/>
            <w:shd w:val="clear" w:color="000000" w:fill="FFFFFF"/>
            <w:vAlign w:val="center"/>
            <w:hideMark/>
          </w:tcPr>
          <w:p w14:paraId="06BB66AD" w14:textId="77777777" w:rsidR="0057201B" w:rsidRPr="00210201" w:rsidRDefault="0057201B">
            <w:pPr>
              <w:jc w:val="center"/>
              <w:rPr>
                <w:rFonts w:ascii="Cambria" w:hAnsi="Cambria"/>
                <w:sz w:val="20"/>
                <w:szCs w:val="20"/>
              </w:rPr>
            </w:pPr>
            <w:r w:rsidRPr="00210201">
              <w:rPr>
                <w:rFonts w:ascii="Cambria" w:hAnsi="Cambria"/>
                <w:sz w:val="20"/>
                <w:szCs w:val="20"/>
              </w:rPr>
              <w:t>ARGENTINA</w:t>
            </w:r>
          </w:p>
        </w:tc>
        <w:tc>
          <w:tcPr>
            <w:tcW w:w="2790" w:type="dxa"/>
            <w:shd w:val="clear" w:color="D9E1F2" w:fill="FFFFFF"/>
            <w:vAlign w:val="center"/>
            <w:hideMark/>
          </w:tcPr>
          <w:p w14:paraId="5E5EBDC2" w14:textId="77777777" w:rsidR="0057201B" w:rsidRPr="00210201" w:rsidRDefault="0057201B">
            <w:pPr>
              <w:jc w:val="center"/>
              <w:rPr>
                <w:rFonts w:ascii="Cambria" w:hAnsi="Cambria"/>
                <w:sz w:val="20"/>
                <w:szCs w:val="20"/>
              </w:rPr>
            </w:pPr>
            <w:r w:rsidRPr="00210201">
              <w:rPr>
                <w:rFonts w:ascii="Cambria" w:hAnsi="Cambria"/>
                <w:sz w:val="20"/>
                <w:szCs w:val="20"/>
              </w:rPr>
              <w:t>P-1999-13</w:t>
            </w:r>
          </w:p>
        </w:tc>
        <w:tc>
          <w:tcPr>
            <w:tcW w:w="1080" w:type="dxa"/>
            <w:shd w:val="clear" w:color="D9E1F2" w:fill="FFFFFF"/>
            <w:vAlign w:val="center"/>
            <w:hideMark/>
          </w:tcPr>
          <w:p w14:paraId="73A29D2E" w14:textId="77777777" w:rsidR="0057201B" w:rsidRPr="00210201" w:rsidRDefault="0057201B">
            <w:pPr>
              <w:jc w:val="center"/>
              <w:rPr>
                <w:rFonts w:ascii="Cambria" w:hAnsi="Cambria"/>
                <w:sz w:val="20"/>
                <w:szCs w:val="20"/>
              </w:rPr>
            </w:pPr>
            <w:r w:rsidRPr="00210201">
              <w:rPr>
                <w:rFonts w:ascii="Cambria" w:hAnsi="Cambria"/>
                <w:sz w:val="20"/>
                <w:szCs w:val="20"/>
              </w:rPr>
              <w:t>13</w:t>
            </w:r>
          </w:p>
        </w:tc>
        <w:tc>
          <w:tcPr>
            <w:tcW w:w="2700" w:type="dxa"/>
            <w:shd w:val="clear" w:color="D9E1F2" w:fill="FFFFFF"/>
            <w:vAlign w:val="center"/>
            <w:hideMark/>
          </w:tcPr>
          <w:p w14:paraId="4074E885" w14:textId="289125D1" w:rsidR="0057201B" w:rsidRPr="00210201" w:rsidRDefault="00953CE3" w:rsidP="00235BBE">
            <w:pPr>
              <w:jc w:val="center"/>
              <w:rPr>
                <w:rFonts w:ascii="Cambria" w:hAnsi="Cambria"/>
                <w:sz w:val="20"/>
                <w:szCs w:val="20"/>
              </w:rPr>
            </w:pPr>
            <w:r w:rsidRPr="00210201">
              <w:rPr>
                <w:rFonts w:ascii="Cambria" w:hAnsi="Cambria"/>
                <w:sz w:val="20"/>
                <w:szCs w:val="20"/>
              </w:rPr>
              <w:t>INITIAL REVIEW</w:t>
            </w:r>
          </w:p>
        </w:tc>
      </w:tr>
      <w:tr w:rsidR="00953CE3" w:rsidRPr="00210201" w14:paraId="0A117D98" w14:textId="77777777" w:rsidTr="00434749">
        <w:trPr>
          <w:trHeight w:val="317"/>
        </w:trPr>
        <w:tc>
          <w:tcPr>
            <w:tcW w:w="715" w:type="dxa"/>
            <w:shd w:val="clear" w:color="000000" w:fill="FFFFFF"/>
            <w:vAlign w:val="center"/>
            <w:hideMark/>
          </w:tcPr>
          <w:p w14:paraId="55143358" w14:textId="77777777" w:rsidR="00953CE3" w:rsidRPr="00210201" w:rsidRDefault="00953CE3" w:rsidP="00953CE3">
            <w:pPr>
              <w:jc w:val="center"/>
              <w:rPr>
                <w:rFonts w:ascii="Cambria" w:hAnsi="Cambria"/>
                <w:b/>
                <w:bCs/>
                <w:sz w:val="20"/>
                <w:szCs w:val="20"/>
              </w:rPr>
            </w:pPr>
            <w:r w:rsidRPr="00210201">
              <w:rPr>
                <w:rFonts w:ascii="Cambria" w:hAnsi="Cambria"/>
                <w:b/>
                <w:bCs/>
                <w:sz w:val="20"/>
                <w:szCs w:val="20"/>
              </w:rPr>
              <w:t>2</w:t>
            </w:r>
          </w:p>
        </w:tc>
        <w:tc>
          <w:tcPr>
            <w:tcW w:w="2340" w:type="dxa"/>
            <w:shd w:val="clear" w:color="000000" w:fill="FFFFFF"/>
            <w:vAlign w:val="center"/>
            <w:hideMark/>
          </w:tcPr>
          <w:p w14:paraId="03028C77" w14:textId="77777777" w:rsidR="00953CE3" w:rsidRPr="00210201" w:rsidRDefault="00953CE3" w:rsidP="00953CE3">
            <w:pPr>
              <w:jc w:val="center"/>
              <w:rPr>
                <w:rFonts w:ascii="Cambria" w:hAnsi="Cambria"/>
                <w:sz w:val="20"/>
                <w:szCs w:val="20"/>
              </w:rPr>
            </w:pPr>
            <w:r w:rsidRPr="00210201">
              <w:rPr>
                <w:rFonts w:ascii="Cambria" w:hAnsi="Cambria"/>
                <w:sz w:val="20"/>
                <w:szCs w:val="20"/>
              </w:rPr>
              <w:t>ARGENTINA</w:t>
            </w:r>
          </w:p>
        </w:tc>
        <w:tc>
          <w:tcPr>
            <w:tcW w:w="2790" w:type="dxa"/>
            <w:shd w:val="clear" w:color="000000" w:fill="FFFFFF"/>
            <w:vAlign w:val="center"/>
            <w:hideMark/>
          </w:tcPr>
          <w:p w14:paraId="13D36E60" w14:textId="77777777" w:rsidR="00953CE3" w:rsidRPr="00210201" w:rsidRDefault="00953CE3" w:rsidP="00953CE3">
            <w:pPr>
              <w:jc w:val="center"/>
              <w:rPr>
                <w:rFonts w:ascii="Cambria" w:hAnsi="Cambria"/>
                <w:sz w:val="20"/>
                <w:szCs w:val="20"/>
              </w:rPr>
            </w:pPr>
            <w:r w:rsidRPr="00210201">
              <w:rPr>
                <w:rFonts w:ascii="Cambria" w:hAnsi="Cambria"/>
                <w:sz w:val="20"/>
                <w:szCs w:val="20"/>
              </w:rPr>
              <w:t>P-2265-13</w:t>
            </w:r>
          </w:p>
        </w:tc>
        <w:tc>
          <w:tcPr>
            <w:tcW w:w="1080" w:type="dxa"/>
            <w:shd w:val="clear" w:color="000000" w:fill="FFFFFF"/>
            <w:vAlign w:val="center"/>
            <w:hideMark/>
          </w:tcPr>
          <w:p w14:paraId="313E14BF" w14:textId="77777777" w:rsidR="00953CE3" w:rsidRPr="00210201" w:rsidRDefault="00953CE3" w:rsidP="00953CE3">
            <w:pPr>
              <w:jc w:val="center"/>
              <w:rPr>
                <w:rFonts w:ascii="Cambria" w:hAnsi="Cambria"/>
                <w:sz w:val="20"/>
                <w:szCs w:val="20"/>
              </w:rPr>
            </w:pPr>
            <w:r w:rsidRPr="00210201">
              <w:rPr>
                <w:rFonts w:ascii="Cambria" w:hAnsi="Cambria"/>
                <w:sz w:val="20"/>
                <w:szCs w:val="20"/>
              </w:rPr>
              <w:t>13</w:t>
            </w:r>
          </w:p>
        </w:tc>
        <w:tc>
          <w:tcPr>
            <w:tcW w:w="2700" w:type="dxa"/>
            <w:shd w:val="clear" w:color="D9E1F2" w:fill="FFFFFF"/>
            <w:vAlign w:val="center"/>
            <w:hideMark/>
          </w:tcPr>
          <w:p w14:paraId="35AEB2E3" w14:textId="413FD057" w:rsidR="00953CE3" w:rsidRPr="00210201" w:rsidRDefault="00953CE3" w:rsidP="00235BBE">
            <w:pPr>
              <w:jc w:val="center"/>
              <w:rPr>
                <w:rFonts w:ascii="Cambria" w:hAnsi="Cambria"/>
                <w:sz w:val="20"/>
                <w:szCs w:val="20"/>
              </w:rPr>
            </w:pPr>
            <w:r w:rsidRPr="0003744F">
              <w:rPr>
                <w:rFonts w:ascii="Cambria" w:hAnsi="Cambria"/>
                <w:sz w:val="20"/>
                <w:szCs w:val="20"/>
              </w:rPr>
              <w:t>INITIAL REVIEW</w:t>
            </w:r>
          </w:p>
        </w:tc>
      </w:tr>
      <w:tr w:rsidR="00953CE3" w:rsidRPr="00210201" w14:paraId="1E3761C7" w14:textId="77777777" w:rsidTr="00434749">
        <w:trPr>
          <w:trHeight w:val="317"/>
        </w:trPr>
        <w:tc>
          <w:tcPr>
            <w:tcW w:w="715" w:type="dxa"/>
            <w:shd w:val="clear" w:color="000000" w:fill="FFFFFF"/>
            <w:vAlign w:val="center"/>
            <w:hideMark/>
          </w:tcPr>
          <w:p w14:paraId="5C0BDC80" w14:textId="77777777" w:rsidR="00953CE3" w:rsidRPr="00210201" w:rsidRDefault="00953CE3" w:rsidP="00953CE3">
            <w:pPr>
              <w:jc w:val="center"/>
              <w:rPr>
                <w:rFonts w:ascii="Cambria" w:hAnsi="Cambria"/>
                <w:b/>
                <w:bCs/>
                <w:sz w:val="20"/>
                <w:szCs w:val="20"/>
              </w:rPr>
            </w:pPr>
            <w:r w:rsidRPr="00210201">
              <w:rPr>
                <w:rFonts w:ascii="Cambria" w:hAnsi="Cambria"/>
                <w:b/>
                <w:bCs/>
                <w:sz w:val="20"/>
                <w:szCs w:val="20"/>
              </w:rPr>
              <w:t>3</w:t>
            </w:r>
          </w:p>
        </w:tc>
        <w:tc>
          <w:tcPr>
            <w:tcW w:w="2340" w:type="dxa"/>
            <w:shd w:val="clear" w:color="000000" w:fill="FFFFFF"/>
            <w:vAlign w:val="center"/>
            <w:hideMark/>
          </w:tcPr>
          <w:p w14:paraId="4E1701C0" w14:textId="77777777" w:rsidR="00953CE3" w:rsidRPr="00210201" w:rsidRDefault="00953CE3" w:rsidP="00953CE3">
            <w:pPr>
              <w:jc w:val="center"/>
              <w:rPr>
                <w:rFonts w:ascii="Cambria" w:hAnsi="Cambria"/>
                <w:sz w:val="20"/>
                <w:szCs w:val="20"/>
              </w:rPr>
            </w:pPr>
            <w:r w:rsidRPr="00210201">
              <w:rPr>
                <w:rFonts w:ascii="Cambria" w:hAnsi="Cambria"/>
                <w:sz w:val="20"/>
                <w:szCs w:val="20"/>
              </w:rPr>
              <w:t>ARGENTINA</w:t>
            </w:r>
          </w:p>
        </w:tc>
        <w:tc>
          <w:tcPr>
            <w:tcW w:w="2790" w:type="dxa"/>
            <w:shd w:val="clear" w:color="000000" w:fill="FFFFFF"/>
            <w:vAlign w:val="center"/>
            <w:hideMark/>
          </w:tcPr>
          <w:p w14:paraId="63AB0820" w14:textId="77777777" w:rsidR="00953CE3" w:rsidRPr="00210201" w:rsidRDefault="00953CE3" w:rsidP="00953CE3">
            <w:pPr>
              <w:jc w:val="center"/>
              <w:rPr>
                <w:rFonts w:ascii="Cambria" w:hAnsi="Cambria"/>
                <w:sz w:val="20"/>
                <w:szCs w:val="20"/>
              </w:rPr>
            </w:pPr>
            <w:r w:rsidRPr="00210201">
              <w:rPr>
                <w:rFonts w:ascii="Cambria" w:hAnsi="Cambria"/>
                <w:sz w:val="20"/>
                <w:szCs w:val="20"/>
              </w:rPr>
              <w:t>P-412-17</w:t>
            </w:r>
          </w:p>
        </w:tc>
        <w:tc>
          <w:tcPr>
            <w:tcW w:w="1080" w:type="dxa"/>
            <w:shd w:val="clear" w:color="000000" w:fill="FFFFFF"/>
            <w:vAlign w:val="center"/>
            <w:hideMark/>
          </w:tcPr>
          <w:p w14:paraId="3363AA9D" w14:textId="77777777" w:rsidR="00953CE3" w:rsidRPr="00210201" w:rsidRDefault="00953CE3" w:rsidP="00953CE3">
            <w:pPr>
              <w:jc w:val="center"/>
              <w:rPr>
                <w:rFonts w:ascii="Cambria" w:hAnsi="Cambria"/>
                <w:sz w:val="20"/>
                <w:szCs w:val="20"/>
              </w:rPr>
            </w:pPr>
            <w:r w:rsidRPr="00210201">
              <w:rPr>
                <w:rFonts w:ascii="Cambria" w:hAnsi="Cambria"/>
                <w:sz w:val="20"/>
                <w:szCs w:val="20"/>
              </w:rPr>
              <w:t>17</w:t>
            </w:r>
          </w:p>
        </w:tc>
        <w:tc>
          <w:tcPr>
            <w:tcW w:w="2700" w:type="dxa"/>
            <w:shd w:val="clear" w:color="D9E1F2" w:fill="FFFFFF"/>
            <w:vAlign w:val="center"/>
            <w:hideMark/>
          </w:tcPr>
          <w:p w14:paraId="11950D99" w14:textId="52FB8CEC" w:rsidR="00953CE3" w:rsidRPr="00210201" w:rsidRDefault="00953CE3" w:rsidP="00235BBE">
            <w:pPr>
              <w:jc w:val="center"/>
              <w:rPr>
                <w:rFonts w:ascii="Cambria" w:hAnsi="Cambria"/>
                <w:sz w:val="20"/>
                <w:szCs w:val="20"/>
              </w:rPr>
            </w:pPr>
            <w:r w:rsidRPr="0003744F">
              <w:rPr>
                <w:rFonts w:ascii="Cambria" w:hAnsi="Cambria"/>
                <w:sz w:val="20"/>
                <w:szCs w:val="20"/>
              </w:rPr>
              <w:t>INITIAL REVIEW</w:t>
            </w:r>
          </w:p>
        </w:tc>
      </w:tr>
      <w:tr w:rsidR="00953CE3" w:rsidRPr="00210201" w14:paraId="5B91136F" w14:textId="77777777" w:rsidTr="00434749">
        <w:trPr>
          <w:trHeight w:val="326"/>
        </w:trPr>
        <w:tc>
          <w:tcPr>
            <w:tcW w:w="715" w:type="dxa"/>
            <w:shd w:val="clear" w:color="000000" w:fill="FFFFFF"/>
            <w:vAlign w:val="center"/>
            <w:hideMark/>
          </w:tcPr>
          <w:p w14:paraId="4DAED5CD" w14:textId="77777777" w:rsidR="00953CE3" w:rsidRPr="00210201" w:rsidRDefault="00953CE3" w:rsidP="00953CE3">
            <w:pPr>
              <w:jc w:val="center"/>
              <w:rPr>
                <w:rFonts w:ascii="Cambria" w:hAnsi="Cambria"/>
                <w:b/>
                <w:bCs/>
                <w:sz w:val="20"/>
                <w:szCs w:val="20"/>
              </w:rPr>
            </w:pPr>
            <w:r w:rsidRPr="00210201">
              <w:rPr>
                <w:rFonts w:ascii="Cambria" w:hAnsi="Cambria"/>
                <w:b/>
                <w:bCs/>
                <w:sz w:val="20"/>
                <w:szCs w:val="20"/>
              </w:rPr>
              <w:t>4</w:t>
            </w:r>
          </w:p>
        </w:tc>
        <w:tc>
          <w:tcPr>
            <w:tcW w:w="2340" w:type="dxa"/>
            <w:shd w:val="clear" w:color="000000" w:fill="FFFFFF"/>
            <w:vAlign w:val="center"/>
            <w:hideMark/>
          </w:tcPr>
          <w:p w14:paraId="474CF064" w14:textId="77777777" w:rsidR="00953CE3" w:rsidRPr="00210201" w:rsidRDefault="00953CE3" w:rsidP="00953CE3">
            <w:pPr>
              <w:jc w:val="center"/>
              <w:rPr>
                <w:rFonts w:ascii="Cambria" w:hAnsi="Cambria"/>
                <w:sz w:val="20"/>
                <w:szCs w:val="20"/>
              </w:rPr>
            </w:pPr>
            <w:r w:rsidRPr="00210201">
              <w:rPr>
                <w:rFonts w:ascii="Cambria" w:hAnsi="Cambria"/>
                <w:sz w:val="20"/>
                <w:szCs w:val="20"/>
              </w:rPr>
              <w:t>ARGENTINA</w:t>
            </w:r>
          </w:p>
        </w:tc>
        <w:tc>
          <w:tcPr>
            <w:tcW w:w="2790" w:type="dxa"/>
            <w:shd w:val="clear" w:color="D9E1F2" w:fill="FFFFFF"/>
            <w:vAlign w:val="center"/>
            <w:hideMark/>
          </w:tcPr>
          <w:p w14:paraId="6DAEFAC7" w14:textId="77777777" w:rsidR="00953CE3" w:rsidRPr="00210201" w:rsidRDefault="00953CE3" w:rsidP="00953CE3">
            <w:pPr>
              <w:jc w:val="center"/>
              <w:rPr>
                <w:rFonts w:ascii="Cambria" w:hAnsi="Cambria"/>
                <w:sz w:val="20"/>
                <w:szCs w:val="20"/>
              </w:rPr>
            </w:pPr>
            <w:r w:rsidRPr="00210201">
              <w:rPr>
                <w:rFonts w:ascii="Cambria" w:hAnsi="Cambria"/>
                <w:sz w:val="20"/>
                <w:szCs w:val="20"/>
              </w:rPr>
              <w:t>P-1122-18</w:t>
            </w:r>
          </w:p>
        </w:tc>
        <w:tc>
          <w:tcPr>
            <w:tcW w:w="1080" w:type="dxa"/>
            <w:shd w:val="clear" w:color="D9E1F2" w:fill="FFFFFF"/>
            <w:vAlign w:val="center"/>
            <w:hideMark/>
          </w:tcPr>
          <w:p w14:paraId="6CD784F3" w14:textId="77777777" w:rsidR="00953CE3" w:rsidRPr="00210201" w:rsidRDefault="00953CE3" w:rsidP="00953CE3">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23144468" w14:textId="75CD5EA6" w:rsidR="00953CE3" w:rsidRPr="00210201" w:rsidRDefault="00953CE3" w:rsidP="00235BBE">
            <w:pPr>
              <w:jc w:val="center"/>
              <w:rPr>
                <w:rFonts w:ascii="Cambria" w:hAnsi="Cambria"/>
                <w:sz w:val="20"/>
                <w:szCs w:val="20"/>
              </w:rPr>
            </w:pPr>
            <w:r w:rsidRPr="0003744F">
              <w:rPr>
                <w:rFonts w:ascii="Cambria" w:hAnsi="Cambria"/>
                <w:sz w:val="20"/>
                <w:szCs w:val="20"/>
              </w:rPr>
              <w:t>INITIAL REVIEW</w:t>
            </w:r>
          </w:p>
        </w:tc>
      </w:tr>
      <w:tr w:rsidR="00953CE3" w:rsidRPr="00210201" w14:paraId="66099168" w14:textId="77777777" w:rsidTr="0086460E">
        <w:trPr>
          <w:trHeight w:val="326"/>
        </w:trPr>
        <w:tc>
          <w:tcPr>
            <w:tcW w:w="715" w:type="dxa"/>
            <w:shd w:val="clear" w:color="000000" w:fill="FFFFFF"/>
            <w:vAlign w:val="center"/>
            <w:hideMark/>
          </w:tcPr>
          <w:p w14:paraId="67A3785E" w14:textId="77777777" w:rsidR="00953CE3" w:rsidRPr="00210201" w:rsidRDefault="00953CE3" w:rsidP="00953CE3">
            <w:pPr>
              <w:jc w:val="center"/>
              <w:rPr>
                <w:rFonts w:ascii="Cambria" w:hAnsi="Cambria"/>
                <w:b/>
                <w:bCs/>
                <w:sz w:val="20"/>
                <w:szCs w:val="20"/>
              </w:rPr>
            </w:pPr>
            <w:r w:rsidRPr="00210201">
              <w:rPr>
                <w:rFonts w:ascii="Cambria" w:hAnsi="Cambria"/>
                <w:b/>
                <w:bCs/>
                <w:sz w:val="20"/>
                <w:szCs w:val="20"/>
              </w:rPr>
              <w:t>5</w:t>
            </w:r>
          </w:p>
        </w:tc>
        <w:tc>
          <w:tcPr>
            <w:tcW w:w="2340" w:type="dxa"/>
            <w:shd w:val="clear" w:color="000000" w:fill="FFFFFF"/>
            <w:vAlign w:val="center"/>
            <w:hideMark/>
          </w:tcPr>
          <w:p w14:paraId="054D8F56" w14:textId="77777777" w:rsidR="00953CE3" w:rsidRPr="00210201" w:rsidRDefault="00953CE3" w:rsidP="00953CE3">
            <w:pPr>
              <w:jc w:val="center"/>
              <w:rPr>
                <w:rFonts w:ascii="Cambria" w:hAnsi="Cambria"/>
                <w:sz w:val="20"/>
                <w:szCs w:val="20"/>
              </w:rPr>
            </w:pPr>
            <w:r w:rsidRPr="00210201">
              <w:rPr>
                <w:rFonts w:ascii="Cambria" w:hAnsi="Cambria"/>
                <w:sz w:val="20"/>
                <w:szCs w:val="20"/>
              </w:rPr>
              <w:t>BOLIVIA</w:t>
            </w:r>
          </w:p>
        </w:tc>
        <w:tc>
          <w:tcPr>
            <w:tcW w:w="2790" w:type="dxa"/>
            <w:shd w:val="clear" w:color="D9E1F2" w:fill="FFFFFF"/>
            <w:vAlign w:val="center"/>
            <w:hideMark/>
          </w:tcPr>
          <w:p w14:paraId="0B8079E9" w14:textId="77777777" w:rsidR="00953CE3" w:rsidRPr="00210201" w:rsidRDefault="00953CE3" w:rsidP="00953CE3">
            <w:pPr>
              <w:jc w:val="center"/>
              <w:rPr>
                <w:rFonts w:ascii="Cambria" w:hAnsi="Cambria"/>
                <w:sz w:val="20"/>
                <w:szCs w:val="20"/>
              </w:rPr>
            </w:pPr>
            <w:r w:rsidRPr="00210201">
              <w:rPr>
                <w:rFonts w:ascii="Cambria" w:hAnsi="Cambria"/>
                <w:sz w:val="20"/>
                <w:szCs w:val="20"/>
              </w:rPr>
              <w:t>P-736-18</w:t>
            </w:r>
          </w:p>
        </w:tc>
        <w:tc>
          <w:tcPr>
            <w:tcW w:w="1080" w:type="dxa"/>
            <w:shd w:val="clear" w:color="D9E1F2" w:fill="FFFFFF"/>
            <w:vAlign w:val="center"/>
            <w:hideMark/>
          </w:tcPr>
          <w:p w14:paraId="5AD1A4CD" w14:textId="77777777" w:rsidR="00953CE3" w:rsidRPr="00210201" w:rsidRDefault="00953CE3" w:rsidP="00953CE3">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37AC3F6A" w14:textId="54AAE7B3" w:rsidR="00953CE3" w:rsidRPr="00210201" w:rsidRDefault="00953CE3" w:rsidP="00235BBE">
            <w:pPr>
              <w:jc w:val="center"/>
              <w:rPr>
                <w:rFonts w:ascii="Cambria" w:hAnsi="Cambria"/>
                <w:sz w:val="20"/>
                <w:szCs w:val="20"/>
              </w:rPr>
            </w:pPr>
            <w:r w:rsidRPr="0003744F">
              <w:rPr>
                <w:rFonts w:ascii="Cambria" w:hAnsi="Cambria"/>
                <w:sz w:val="20"/>
                <w:szCs w:val="20"/>
              </w:rPr>
              <w:t>INITIAL REVIEW</w:t>
            </w:r>
          </w:p>
        </w:tc>
      </w:tr>
      <w:tr w:rsidR="00953CE3" w:rsidRPr="00210201" w14:paraId="3C682B27" w14:textId="77777777" w:rsidTr="00434749">
        <w:trPr>
          <w:trHeight w:val="308"/>
        </w:trPr>
        <w:tc>
          <w:tcPr>
            <w:tcW w:w="715" w:type="dxa"/>
            <w:shd w:val="clear" w:color="000000" w:fill="FFFFFF"/>
            <w:vAlign w:val="center"/>
            <w:hideMark/>
          </w:tcPr>
          <w:p w14:paraId="181C4310" w14:textId="77777777" w:rsidR="00953CE3" w:rsidRPr="00210201" w:rsidRDefault="00953CE3" w:rsidP="00953CE3">
            <w:pPr>
              <w:jc w:val="center"/>
              <w:rPr>
                <w:rFonts w:ascii="Cambria" w:hAnsi="Cambria"/>
                <w:b/>
                <w:bCs/>
                <w:sz w:val="20"/>
                <w:szCs w:val="20"/>
              </w:rPr>
            </w:pPr>
            <w:r w:rsidRPr="00210201">
              <w:rPr>
                <w:rFonts w:ascii="Cambria" w:hAnsi="Cambria"/>
                <w:b/>
                <w:bCs/>
                <w:sz w:val="20"/>
                <w:szCs w:val="20"/>
              </w:rPr>
              <w:t>6</w:t>
            </w:r>
          </w:p>
        </w:tc>
        <w:tc>
          <w:tcPr>
            <w:tcW w:w="2340" w:type="dxa"/>
            <w:shd w:val="clear" w:color="000000" w:fill="FFFFFF"/>
            <w:vAlign w:val="center"/>
            <w:hideMark/>
          </w:tcPr>
          <w:p w14:paraId="0F456F18" w14:textId="77777777" w:rsidR="00953CE3" w:rsidRPr="00210201" w:rsidRDefault="00953CE3" w:rsidP="00953CE3">
            <w:pPr>
              <w:jc w:val="center"/>
              <w:rPr>
                <w:rFonts w:ascii="Cambria" w:hAnsi="Cambria"/>
                <w:sz w:val="20"/>
                <w:szCs w:val="20"/>
              </w:rPr>
            </w:pPr>
            <w:r w:rsidRPr="00210201">
              <w:rPr>
                <w:rFonts w:ascii="Cambria" w:hAnsi="Cambria"/>
                <w:sz w:val="20"/>
                <w:szCs w:val="20"/>
              </w:rPr>
              <w:t>BOLIVIA</w:t>
            </w:r>
          </w:p>
        </w:tc>
        <w:tc>
          <w:tcPr>
            <w:tcW w:w="2790" w:type="dxa"/>
            <w:shd w:val="clear" w:color="000000" w:fill="FFFFFF"/>
            <w:vAlign w:val="center"/>
            <w:hideMark/>
          </w:tcPr>
          <w:p w14:paraId="75C39A9F" w14:textId="77777777" w:rsidR="00953CE3" w:rsidRPr="00210201" w:rsidRDefault="00953CE3" w:rsidP="00953CE3">
            <w:pPr>
              <w:jc w:val="center"/>
              <w:rPr>
                <w:rFonts w:ascii="Cambria" w:hAnsi="Cambria"/>
                <w:sz w:val="20"/>
                <w:szCs w:val="20"/>
              </w:rPr>
            </w:pPr>
            <w:r w:rsidRPr="00210201">
              <w:rPr>
                <w:rFonts w:ascii="Cambria" w:hAnsi="Cambria"/>
                <w:sz w:val="20"/>
                <w:szCs w:val="20"/>
              </w:rPr>
              <w:t>P-3054-18</w:t>
            </w:r>
          </w:p>
        </w:tc>
        <w:tc>
          <w:tcPr>
            <w:tcW w:w="1080" w:type="dxa"/>
            <w:shd w:val="clear" w:color="000000" w:fill="FFFFFF"/>
            <w:vAlign w:val="center"/>
            <w:hideMark/>
          </w:tcPr>
          <w:p w14:paraId="6C0FBAB9" w14:textId="77777777" w:rsidR="00953CE3" w:rsidRPr="00210201" w:rsidRDefault="00953CE3" w:rsidP="00953CE3">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327B39E1" w14:textId="5F6EE810" w:rsidR="00953CE3" w:rsidRPr="00210201" w:rsidRDefault="00953CE3" w:rsidP="00235BBE">
            <w:pPr>
              <w:jc w:val="center"/>
              <w:rPr>
                <w:rFonts w:ascii="Cambria" w:hAnsi="Cambria"/>
                <w:sz w:val="20"/>
                <w:szCs w:val="20"/>
              </w:rPr>
            </w:pPr>
            <w:r w:rsidRPr="0003744F">
              <w:rPr>
                <w:rFonts w:ascii="Cambria" w:hAnsi="Cambria"/>
                <w:sz w:val="20"/>
                <w:szCs w:val="20"/>
              </w:rPr>
              <w:t>INITIAL REVIEW</w:t>
            </w:r>
          </w:p>
        </w:tc>
      </w:tr>
      <w:tr w:rsidR="00953CE3" w:rsidRPr="00210201" w14:paraId="2D04709A" w14:textId="77777777" w:rsidTr="00434749">
        <w:trPr>
          <w:trHeight w:val="326"/>
        </w:trPr>
        <w:tc>
          <w:tcPr>
            <w:tcW w:w="715" w:type="dxa"/>
            <w:shd w:val="clear" w:color="000000" w:fill="FFFFFF"/>
            <w:vAlign w:val="center"/>
            <w:hideMark/>
          </w:tcPr>
          <w:p w14:paraId="034C5CC6" w14:textId="77777777" w:rsidR="00953CE3" w:rsidRPr="00210201" w:rsidRDefault="00953CE3" w:rsidP="00953CE3">
            <w:pPr>
              <w:jc w:val="center"/>
              <w:rPr>
                <w:rFonts w:ascii="Cambria" w:hAnsi="Cambria"/>
                <w:b/>
                <w:bCs/>
                <w:sz w:val="20"/>
                <w:szCs w:val="20"/>
              </w:rPr>
            </w:pPr>
            <w:r w:rsidRPr="00210201">
              <w:rPr>
                <w:rFonts w:ascii="Cambria" w:hAnsi="Cambria"/>
                <w:b/>
                <w:bCs/>
                <w:sz w:val="20"/>
                <w:szCs w:val="20"/>
              </w:rPr>
              <w:t>7</w:t>
            </w:r>
          </w:p>
        </w:tc>
        <w:tc>
          <w:tcPr>
            <w:tcW w:w="2340" w:type="dxa"/>
            <w:shd w:val="clear" w:color="000000" w:fill="FFFFFF"/>
            <w:vAlign w:val="center"/>
            <w:hideMark/>
          </w:tcPr>
          <w:p w14:paraId="238FD719" w14:textId="77777777" w:rsidR="00953CE3" w:rsidRPr="00210201" w:rsidRDefault="00953CE3" w:rsidP="00953CE3">
            <w:pPr>
              <w:jc w:val="center"/>
              <w:rPr>
                <w:rFonts w:ascii="Cambria" w:hAnsi="Cambria"/>
                <w:sz w:val="20"/>
                <w:szCs w:val="20"/>
              </w:rPr>
            </w:pPr>
            <w:r w:rsidRPr="00210201">
              <w:rPr>
                <w:rFonts w:ascii="Cambria" w:hAnsi="Cambria"/>
                <w:sz w:val="20"/>
                <w:szCs w:val="20"/>
              </w:rPr>
              <w:t>BOLIVIA</w:t>
            </w:r>
          </w:p>
        </w:tc>
        <w:tc>
          <w:tcPr>
            <w:tcW w:w="2790" w:type="dxa"/>
            <w:shd w:val="clear" w:color="D9E1F2" w:fill="FFFFFF"/>
            <w:vAlign w:val="center"/>
            <w:hideMark/>
          </w:tcPr>
          <w:p w14:paraId="603B9247" w14:textId="77777777" w:rsidR="00953CE3" w:rsidRPr="00210201" w:rsidRDefault="00953CE3" w:rsidP="00953CE3">
            <w:pPr>
              <w:jc w:val="center"/>
              <w:rPr>
                <w:rFonts w:ascii="Cambria" w:hAnsi="Cambria"/>
                <w:sz w:val="20"/>
                <w:szCs w:val="20"/>
              </w:rPr>
            </w:pPr>
            <w:r w:rsidRPr="00210201">
              <w:rPr>
                <w:rFonts w:ascii="Cambria" w:hAnsi="Cambria"/>
                <w:sz w:val="20"/>
                <w:szCs w:val="20"/>
              </w:rPr>
              <w:t>P-3055-18</w:t>
            </w:r>
          </w:p>
        </w:tc>
        <w:tc>
          <w:tcPr>
            <w:tcW w:w="1080" w:type="dxa"/>
            <w:shd w:val="clear" w:color="D9E1F2" w:fill="FFFFFF"/>
            <w:vAlign w:val="center"/>
            <w:hideMark/>
          </w:tcPr>
          <w:p w14:paraId="6867A779" w14:textId="77777777" w:rsidR="00953CE3" w:rsidRPr="00210201" w:rsidRDefault="00953CE3" w:rsidP="00953CE3">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6B90CC8F" w14:textId="1E8A939F" w:rsidR="00953CE3" w:rsidRPr="00210201" w:rsidRDefault="00953CE3" w:rsidP="00235BBE">
            <w:pPr>
              <w:jc w:val="center"/>
              <w:rPr>
                <w:rFonts w:ascii="Cambria" w:hAnsi="Cambria"/>
                <w:sz w:val="20"/>
                <w:szCs w:val="20"/>
              </w:rPr>
            </w:pPr>
            <w:r w:rsidRPr="0003744F">
              <w:rPr>
                <w:rFonts w:ascii="Cambria" w:hAnsi="Cambria"/>
                <w:sz w:val="20"/>
                <w:szCs w:val="20"/>
              </w:rPr>
              <w:t>INITIAL REVIEW</w:t>
            </w:r>
          </w:p>
        </w:tc>
      </w:tr>
      <w:tr w:rsidR="00953CE3" w:rsidRPr="00210201" w14:paraId="283910F6" w14:textId="77777777" w:rsidTr="00434749">
        <w:trPr>
          <w:trHeight w:val="317"/>
        </w:trPr>
        <w:tc>
          <w:tcPr>
            <w:tcW w:w="715" w:type="dxa"/>
            <w:shd w:val="clear" w:color="000000" w:fill="FFFFFF"/>
            <w:vAlign w:val="center"/>
            <w:hideMark/>
          </w:tcPr>
          <w:p w14:paraId="1E609818" w14:textId="77777777" w:rsidR="00953CE3" w:rsidRPr="00210201" w:rsidRDefault="00953CE3" w:rsidP="00953CE3">
            <w:pPr>
              <w:jc w:val="center"/>
              <w:rPr>
                <w:rFonts w:ascii="Cambria" w:hAnsi="Cambria"/>
                <w:b/>
                <w:bCs/>
                <w:sz w:val="20"/>
                <w:szCs w:val="20"/>
              </w:rPr>
            </w:pPr>
            <w:r w:rsidRPr="00210201">
              <w:rPr>
                <w:rFonts w:ascii="Cambria" w:hAnsi="Cambria"/>
                <w:b/>
                <w:bCs/>
                <w:sz w:val="20"/>
                <w:szCs w:val="20"/>
              </w:rPr>
              <w:t>8</w:t>
            </w:r>
          </w:p>
        </w:tc>
        <w:tc>
          <w:tcPr>
            <w:tcW w:w="2340" w:type="dxa"/>
            <w:shd w:val="clear" w:color="000000" w:fill="FFFFFF"/>
            <w:vAlign w:val="center"/>
            <w:hideMark/>
          </w:tcPr>
          <w:p w14:paraId="7AB78384" w14:textId="77777777" w:rsidR="00953CE3" w:rsidRPr="00210201" w:rsidRDefault="00953CE3" w:rsidP="00953CE3">
            <w:pPr>
              <w:jc w:val="center"/>
              <w:rPr>
                <w:rFonts w:ascii="Cambria" w:hAnsi="Cambria"/>
                <w:sz w:val="20"/>
                <w:szCs w:val="20"/>
              </w:rPr>
            </w:pPr>
            <w:r w:rsidRPr="00210201">
              <w:rPr>
                <w:rFonts w:ascii="Cambria" w:hAnsi="Cambria"/>
                <w:sz w:val="20"/>
                <w:szCs w:val="20"/>
              </w:rPr>
              <w:t>BOLIVIA</w:t>
            </w:r>
          </w:p>
        </w:tc>
        <w:tc>
          <w:tcPr>
            <w:tcW w:w="2790" w:type="dxa"/>
            <w:shd w:val="clear" w:color="D9E1F2" w:fill="FFFFFF"/>
            <w:vAlign w:val="center"/>
            <w:hideMark/>
          </w:tcPr>
          <w:p w14:paraId="6D3D64FF" w14:textId="77777777" w:rsidR="00953CE3" w:rsidRPr="00210201" w:rsidRDefault="00953CE3" w:rsidP="00953CE3">
            <w:pPr>
              <w:jc w:val="center"/>
              <w:rPr>
                <w:rFonts w:ascii="Cambria" w:hAnsi="Cambria"/>
                <w:sz w:val="20"/>
                <w:szCs w:val="20"/>
              </w:rPr>
            </w:pPr>
            <w:r w:rsidRPr="00210201">
              <w:rPr>
                <w:rFonts w:ascii="Cambria" w:hAnsi="Cambria"/>
                <w:sz w:val="20"/>
                <w:szCs w:val="20"/>
              </w:rPr>
              <w:t>P-424-19</w:t>
            </w:r>
          </w:p>
        </w:tc>
        <w:tc>
          <w:tcPr>
            <w:tcW w:w="1080" w:type="dxa"/>
            <w:shd w:val="clear" w:color="D9E1F2" w:fill="FFFFFF"/>
            <w:vAlign w:val="center"/>
            <w:hideMark/>
          </w:tcPr>
          <w:p w14:paraId="67588930" w14:textId="77777777" w:rsidR="00953CE3" w:rsidRPr="00210201" w:rsidRDefault="00953CE3" w:rsidP="00953CE3">
            <w:pPr>
              <w:jc w:val="center"/>
              <w:rPr>
                <w:rFonts w:ascii="Cambria" w:hAnsi="Cambria"/>
                <w:sz w:val="20"/>
                <w:szCs w:val="20"/>
              </w:rPr>
            </w:pPr>
            <w:r w:rsidRPr="00210201">
              <w:rPr>
                <w:rFonts w:ascii="Cambria" w:hAnsi="Cambria"/>
                <w:sz w:val="20"/>
                <w:szCs w:val="20"/>
              </w:rPr>
              <w:t>19</w:t>
            </w:r>
          </w:p>
        </w:tc>
        <w:tc>
          <w:tcPr>
            <w:tcW w:w="2700" w:type="dxa"/>
            <w:shd w:val="clear" w:color="D9E1F2" w:fill="FFFFFF"/>
            <w:vAlign w:val="center"/>
            <w:hideMark/>
          </w:tcPr>
          <w:p w14:paraId="4A93EEB2" w14:textId="5BBBF4AE" w:rsidR="00953CE3" w:rsidRPr="00210201" w:rsidRDefault="00953CE3" w:rsidP="00235BBE">
            <w:pPr>
              <w:jc w:val="center"/>
              <w:rPr>
                <w:rFonts w:ascii="Cambria" w:hAnsi="Cambria"/>
                <w:sz w:val="20"/>
                <w:szCs w:val="20"/>
              </w:rPr>
            </w:pPr>
            <w:r w:rsidRPr="0003744F">
              <w:rPr>
                <w:rFonts w:ascii="Cambria" w:hAnsi="Cambria"/>
                <w:sz w:val="20"/>
                <w:szCs w:val="20"/>
              </w:rPr>
              <w:t>INITIAL REVIEW</w:t>
            </w:r>
          </w:p>
        </w:tc>
      </w:tr>
      <w:tr w:rsidR="00953CE3" w:rsidRPr="00210201" w14:paraId="10F8D4E7" w14:textId="77777777" w:rsidTr="00434749">
        <w:trPr>
          <w:trHeight w:val="317"/>
        </w:trPr>
        <w:tc>
          <w:tcPr>
            <w:tcW w:w="715" w:type="dxa"/>
            <w:shd w:val="clear" w:color="000000" w:fill="FFFFFF"/>
            <w:vAlign w:val="center"/>
            <w:hideMark/>
          </w:tcPr>
          <w:p w14:paraId="304C6F3B" w14:textId="77777777" w:rsidR="00953CE3" w:rsidRPr="00210201" w:rsidRDefault="00953CE3" w:rsidP="00953CE3">
            <w:pPr>
              <w:jc w:val="center"/>
              <w:rPr>
                <w:rFonts w:ascii="Cambria" w:hAnsi="Cambria"/>
                <w:b/>
                <w:bCs/>
                <w:sz w:val="20"/>
                <w:szCs w:val="20"/>
              </w:rPr>
            </w:pPr>
            <w:r w:rsidRPr="00210201">
              <w:rPr>
                <w:rFonts w:ascii="Cambria" w:hAnsi="Cambria"/>
                <w:b/>
                <w:bCs/>
                <w:sz w:val="20"/>
                <w:szCs w:val="20"/>
              </w:rPr>
              <w:t>9</w:t>
            </w:r>
          </w:p>
        </w:tc>
        <w:tc>
          <w:tcPr>
            <w:tcW w:w="2340" w:type="dxa"/>
            <w:shd w:val="clear" w:color="000000" w:fill="FFFFFF"/>
            <w:vAlign w:val="center"/>
            <w:hideMark/>
          </w:tcPr>
          <w:p w14:paraId="7F53F74E" w14:textId="42AD89DB" w:rsidR="00953CE3" w:rsidRPr="00210201" w:rsidRDefault="00434749" w:rsidP="00953CE3">
            <w:pPr>
              <w:jc w:val="center"/>
              <w:rPr>
                <w:rFonts w:ascii="Cambria" w:hAnsi="Cambria"/>
                <w:sz w:val="20"/>
                <w:szCs w:val="20"/>
              </w:rPr>
            </w:pPr>
            <w:r w:rsidRPr="00210201">
              <w:rPr>
                <w:rFonts w:ascii="Cambria" w:hAnsi="Cambria"/>
                <w:sz w:val="20"/>
                <w:szCs w:val="20"/>
              </w:rPr>
              <w:t>BRAZIL</w:t>
            </w:r>
          </w:p>
        </w:tc>
        <w:tc>
          <w:tcPr>
            <w:tcW w:w="2790" w:type="dxa"/>
            <w:shd w:val="clear" w:color="000000" w:fill="FFFFFF"/>
            <w:vAlign w:val="center"/>
            <w:hideMark/>
          </w:tcPr>
          <w:p w14:paraId="53437979" w14:textId="77777777" w:rsidR="00953CE3" w:rsidRPr="00210201" w:rsidRDefault="00953CE3" w:rsidP="00953CE3">
            <w:pPr>
              <w:jc w:val="center"/>
              <w:rPr>
                <w:rFonts w:ascii="Cambria" w:hAnsi="Cambria"/>
                <w:sz w:val="20"/>
                <w:szCs w:val="20"/>
              </w:rPr>
            </w:pPr>
            <w:r w:rsidRPr="00210201">
              <w:rPr>
                <w:rFonts w:ascii="Cambria" w:hAnsi="Cambria"/>
                <w:sz w:val="20"/>
                <w:szCs w:val="20"/>
              </w:rPr>
              <w:t>P-2272-13</w:t>
            </w:r>
          </w:p>
        </w:tc>
        <w:tc>
          <w:tcPr>
            <w:tcW w:w="1080" w:type="dxa"/>
            <w:shd w:val="clear" w:color="000000" w:fill="FFFFFF"/>
            <w:vAlign w:val="center"/>
            <w:hideMark/>
          </w:tcPr>
          <w:p w14:paraId="5E9806D3" w14:textId="77777777" w:rsidR="00953CE3" w:rsidRPr="00210201" w:rsidRDefault="00953CE3" w:rsidP="00953CE3">
            <w:pPr>
              <w:jc w:val="center"/>
              <w:rPr>
                <w:rFonts w:ascii="Cambria" w:hAnsi="Cambria"/>
                <w:sz w:val="20"/>
                <w:szCs w:val="20"/>
              </w:rPr>
            </w:pPr>
            <w:r w:rsidRPr="00210201">
              <w:rPr>
                <w:rFonts w:ascii="Cambria" w:hAnsi="Cambria"/>
                <w:sz w:val="20"/>
                <w:szCs w:val="20"/>
              </w:rPr>
              <w:t>13</w:t>
            </w:r>
          </w:p>
        </w:tc>
        <w:tc>
          <w:tcPr>
            <w:tcW w:w="2700" w:type="dxa"/>
            <w:shd w:val="clear" w:color="D9E1F2" w:fill="FFFFFF"/>
            <w:vAlign w:val="center"/>
            <w:hideMark/>
          </w:tcPr>
          <w:p w14:paraId="094AADC3" w14:textId="19759F17" w:rsidR="00953CE3" w:rsidRPr="00210201" w:rsidRDefault="00953CE3" w:rsidP="00235BBE">
            <w:pPr>
              <w:jc w:val="center"/>
              <w:rPr>
                <w:rFonts w:ascii="Cambria" w:hAnsi="Cambria"/>
                <w:sz w:val="20"/>
                <w:szCs w:val="20"/>
              </w:rPr>
            </w:pPr>
            <w:r w:rsidRPr="0003744F">
              <w:rPr>
                <w:rFonts w:ascii="Cambria" w:hAnsi="Cambria"/>
                <w:sz w:val="20"/>
                <w:szCs w:val="20"/>
              </w:rPr>
              <w:t>INITIAL REVIEW</w:t>
            </w:r>
          </w:p>
        </w:tc>
      </w:tr>
      <w:tr w:rsidR="00434749" w:rsidRPr="00210201" w14:paraId="04613D49" w14:textId="77777777" w:rsidTr="00434749">
        <w:trPr>
          <w:trHeight w:val="326"/>
        </w:trPr>
        <w:tc>
          <w:tcPr>
            <w:tcW w:w="715" w:type="dxa"/>
            <w:shd w:val="clear" w:color="000000" w:fill="FFFFFF"/>
            <w:vAlign w:val="center"/>
            <w:hideMark/>
          </w:tcPr>
          <w:p w14:paraId="350C6B33" w14:textId="77777777" w:rsidR="00434749" w:rsidRPr="00210201" w:rsidRDefault="00434749" w:rsidP="00434749">
            <w:pPr>
              <w:jc w:val="center"/>
              <w:rPr>
                <w:rFonts w:ascii="Cambria" w:hAnsi="Cambria"/>
                <w:b/>
                <w:bCs/>
                <w:sz w:val="20"/>
                <w:szCs w:val="20"/>
              </w:rPr>
            </w:pPr>
            <w:r w:rsidRPr="00210201">
              <w:rPr>
                <w:rFonts w:ascii="Cambria" w:hAnsi="Cambria"/>
                <w:b/>
                <w:bCs/>
                <w:sz w:val="20"/>
                <w:szCs w:val="20"/>
              </w:rPr>
              <w:t>10</w:t>
            </w:r>
          </w:p>
        </w:tc>
        <w:tc>
          <w:tcPr>
            <w:tcW w:w="2340" w:type="dxa"/>
            <w:shd w:val="clear" w:color="000000" w:fill="FFFFFF"/>
            <w:vAlign w:val="center"/>
            <w:hideMark/>
          </w:tcPr>
          <w:p w14:paraId="38794FBB" w14:textId="6B6FD68A" w:rsidR="00434749" w:rsidRPr="00210201" w:rsidRDefault="00434749" w:rsidP="00434749">
            <w:pPr>
              <w:jc w:val="center"/>
              <w:rPr>
                <w:rFonts w:ascii="Cambria" w:hAnsi="Cambria"/>
                <w:sz w:val="20"/>
                <w:szCs w:val="20"/>
              </w:rPr>
            </w:pPr>
            <w:r w:rsidRPr="00524E88">
              <w:rPr>
                <w:rFonts w:ascii="Cambria" w:hAnsi="Cambria"/>
                <w:sz w:val="20"/>
                <w:szCs w:val="20"/>
              </w:rPr>
              <w:t>BRAZIL</w:t>
            </w:r>
          </w:p>
        </w:tc>
        <w:tc>
          <w:tcPr>
            <w:tcW w:w="2790" w:type="dxa"/>
            <w:shd w:val="clear" w:color="D9E1F2" w:fill="FFFFFF"/>
            <w:vAlign w:val="center"/>
            <w:hideMark/>
          </w:tcPr>
          <w:p w14:paraId="20F4885C" w14:textId="77777777" w:rsidR="00434749" w:rsidRPr="00210201" w:rsidRDefault="00434749" w:rsidP="00434749">
            <w:pPr>
              <w:jc w:val="center"/>
              <w:rPr>
                <w:rFonts w:ascii="Cambria" w:hAnsi="Cambria"/>
                <w:sz w:val="20"/>
                <w:szCs w:val="20"/>
              </w:rPr>
            </w:pPr>
            <w:r w:rsidRPr="00210201">
              <w:rPr>
                <w:rFonts w:ascii="Cambria" w:hAnsi="Cambria"/>
                <w:sz w:val="20"/>
                <w:szCs w:val="20"/>
              </w:rPr>
              <w:t>P-1308-14</w:t>
            </w:r>
          </w:p>
        </w:tc>
        <w:tc>
          <w:tcPr>
            <w:tcW w:w="1080" w:type="dxa"/>
            <w:shd w:val="clear" w:color="D9E1F2" w:fill="FFFFFF"/>
            <w:vAlign w:val="center"/>
            <w:hideMark/>
          </w:tcPr>
          <w:p w14:paraId="601FF994" w14:textId="77777777" w:rsidR="00434749" w:rsidRPr="00210201" w:rsidRDefault="00434749" w:rsidP="00434749">
            <w:pPr>
              <w:jc w:val="center"/>
              <w:rPr>
                <w:rFonts w:ascii="Cambria" w:hAnsi="Cambria"/>
                <w:sz w:val="20"/>
                <w:szCs w:val="20"/>
              </w:rPr>
            </w:pPr>
            <w:r w:rsidRPr="00210201">
              <w:rPr>
                <w:rFonts w:ascii="Cambria" w:hAnsi="Cambria"/>
                <w:sz w:val="20"/>
                <w:szCs w:val="20"/>
              </w:rPr>
              <w:t>14</w:t>
            </w:r>
          </w:p>
        </w:tc>
        <w:tc>
          <w:tcPr>
            <w:tcW w:w="2700" w:type="dxa"/>
            <w:shd w:val="clear" w:color="D9E1F2" w:fill="FFFFFF"/>
            <w:vAlign w:val="center"/>
            <w:hideMark/>
          </w:tcPr>
          <w:p w14:paraId="45B67988" w14:textId="4B6D17BB" w:rsidR="00434749" w:rsidRPr="00210201" w:rsidRDefault="00434749" w:rsidP="00434749">
            <w:pPr>
              <w:jc w:val="center"/>
              <w:rPr>
                <w:rFonts w:ascii="Cambria" w:hAnsi="Cambria"/>
                <w:sz w:val="20"/>
                <w:szCs w:val="20"/>
              </w:rPr>
            </w:pPr>
            <w:r w:rsidRPr="0003744F">
              <w:rPr>
                <w:rFonts w:ascii="Cambria" w:hAnsi="Cambria"/>
                <w:sz w:val="20"/>
                <w:szCs w:val="20"/>
              </w:rPr>
              <w:t>INITIAL REVIEW</w:t>
            </w:r>
          </w:p>
        </w:tc>
      </w:tr>
      <w:tr w:rsidR="00434749" w:rsidRPr="00210201" w14:paraId="7D598945" w14:textId="77777777" w:rsidTr="00434749">
        <w:trPr>
          <w:trHeight w:val="326"/>
        </w:trPr>
        <w:tc>
          <w:tcPr>
            <w:tcW w:w="715" w:type="dxa"/>
            <w:shd w:val="clear" w:color="000000" w:fill="FFFFFF"/>
            <w:vAlign w:val="center"/>
            <w:hideMark/>
          </w:tcPr>
          <w:p w14:paraId="2178DC0F" w14:textId="77777777" w:rsidR="00434749" w:rsidRPr="00210201" w:rsidRDefault="00434749" w:rsidP="00434749">
            <w:pPr>
              <w:jc w:val="center"/>
              <w:rPr>
                <w:rFonts w:ascii="Cambria" w:hAnsi="Cambria"/>
                <w:b/>
                <w:bCs/>
                <w:sz w:val="20"/>
                <w:szCs w:val="20"/>
              </w:rPr>
            </w:pPr>
            <w:r w:rsidRPr="00210201">
              <w:rPr>
                <w:rFonts w:ascii="Cambria" w:hAnsi="Cambria"/>
                <w:b/>
                <w:bCs/>
                <w:sz w:val="20"/>
                <w:szCs w:val="20"/>
              </w:rPr>
              <w:t>11</w:t>
            </w:r>
          </w:p>
        </w:tc>
        <w:tc>
          <w:tcPr>
            <w:tcW w:w="2340" w:type="dxa"/>
            <w:shd w:val="clear" w:color="000000" w:fill="FFFFFF"/>
            <w:vAlign w:val="center"/>
            <w:hideMark/>
          </w:tcPr>
          <w:p w14:paraId="349EEA51" w14:textId="0B8C95DA" w:rsidR="00434749" w:rsidRPr="00210201" w:rsidRDefault="00434749" w:rsidP="00434749">
            <w:pPr>
              <w:jc w:val="center"/>
              <w:rPr>
                <w:rFonts w:ascii="Cambria" w:hAnsi="Cambria"/>
                <w:sz w:val="20"/>
                <w:szCs w:val="20"/>
              </w:rPr>
            </w:pPr>
            <w:r w:rsidRPr="00524E88">
              <w:rPr>
                <w:rFonts w:ascii="Cambria" w:hAnsi="Cambria"/>
                <w:sz w:val="20"/>
                <w:szCs w:val="20"/>
              </w:rPr>
              <w:t>BRAZIL</w:t>
            </w:r>
          </w:p>
        </w:tc>
        <w:tc>
          <w:tcPr>
            <w:tcW w:w="2790" w:type="dxa"/>
            <w:shd w:val="clear" w:color="D9E1F2" w:fill="FFFFFF"/>
            <w:vAlign w:val="center"/>
            <w:hideMark/>
          </w:tcPr>
          <w:p w14:paraId="4F8FE81D" w14:textId="77777777" w:rsidR="00434749" w:rsidRPr="00210201" w:rsidRDefault="00434749" w:rsidP="00434749">
            <w:pPr>
              <w:jc w:val="center"/>
              <w:rPr>
                <w:rFonts w:ascii="Cambria" w:hAnsi="Cambria"/>
                <w:sz w:val="20"/>
                <w:szCs w:val="20"/>
              </w:rPr>
            </w:pPr>
            <w:r w:rsidRPr="00210201">
              <w:rPr>
                <w:rFonts w:ascii="Cambria" w:hAnsi="Cambria"/>
                <w:sz w:val="20"/>
                <w:szCs w:val="20"/>
              </w:rPr>
              <w:t>P-1712-14</w:t>
            </w:r>
          </w:p>
        </w:tc>
        <w:tc>
          <w:tcPr>
            <w:tcW w:w="1080" w:type="dxa"/>
            <w:shd w:val="clear" w:color="D9E1F2" w:fill="FFFFFF"/>
            <w:vAlign w:val="center"/>
            <w:hideMark/>
          </w:tcPr>
          <w:p w14:paraId="5EC86D56" w14:textId="77777777" w:rsidR="00434749" w:rsidRPr="00210201" w:rsidRDefault="00434749" w:rsidP="00434749">
            <w:pPr>
              <w:jc w:val="center"/>
              <w:rPr>
                <w:rFonts w:ascii="Cambria" w:hAnsi="Cambria"/>
                <w:sz w:val="20"/>
                <w:szCs w:val="20"/>
              </w:rPr>
            </w:pPr>
            <w:r w:rsidRPr="00210201">
              <w:rPr>
                <w:rFonts w:ascii="Cambria" w:hAnsi="Cambria"/>
                <w:sz w:val="20"/>
                <w:szCs w:val="20"/>
              </w:rPr>
              <w:t>14</w:t>
            </w:r>
          </w:p>
        </w:tc>
        <w:tc>
          <w:tcPr>
            <w:tcW w:w="2700" w:type="dxa"/>
            <w:shd w:val="clear" w:color="D9E1F2" w:fill="FFFFFF"/>
            <w:vAlign w:val="center"/>
            <w:hideMark/>
          </w:tcPr>
          <w:p w14:paraId="4A175D0D" w14:textId="754F74A4" w:rsidR="00434749" w:rsidRPr="00210201" w:rsidRDefault="00434749" w:rsidP="00434749">
            <w:pPr>
              <w:jc w:val="center"/>
              <w:rPr>
                <w:rFonts w:ascii="Cambria" w:hAnsi="Cambria"/>
                <w:sz w:val="20"/>
                <w:szCs w:val="20"/>
              </w:rPr>
            </w:pPr>
            <w:r w:rsidRPr="0003744F">
              <w:rPr>
                <w:rFonts w:ascii="Cambria" w:hAnsi="Cambria"/>
                <w:sz w:val="20"/>
                <w:szCs w:val="20"/>
              </w:rPr>
              <w:t>INITIAL REVIEW</w:t>
            </w:r>
          </w:p>
        </w:tc>
      </w:tr>
      <w:tr w:rsidR="00434749" w:rsidRPr="00210201" w14:paraId="5E2A88EB" w14:textId="77777777" w:rsidTr="00434749">
        <w:trPr>
          <w:trHeight w:val="317"/>
        </w:trPr>
        <w:tc>
          <w:tcPr>
            <w:tcW w:w="715" w:type="dxa"/>
            <w:shd w:val="clear" w:color="000000" w:fill="FFFFFF"/>
            <w:vAlign w:val="center"/>
            <w:hideMark/>
          </w:tcPr>
          <w:p w14:paraId="6EF41C31" w14:textId="77777777" w:rsidR="00434749" w:rsidRPr="00210201" w:rsidRDefault="00434749" w:rsidP="00434749">
            <w:pPr>
              <w:jc w:val="center"/>
              <w:rPr>
                <w:rFonts w:ascii="Cambria" w:hAnsi="Cambria"/>
                <w:b/>
                <w:bCs/>
                <w:sz w:val="20"/>
                <w:szCs w:val="20"/>
              </w:rPr>
            </w:pPr>
            <w:r w:rsidRPr="00210201">
              <w:rPr>
                <w:rFonts w:ascii="Cambria" w:hAnsi="Cambria"/>
                <w:b/>
                <w:bCs/>
                <w:sz w:val="20"/>
                <w:szCs w:val="20"/>
              </w:rPr>
              <w:t>12</w:t>
            </w:r>
          </w:p>
        </w:tc>
        <w:tc>
          <w:tcPr>
            <w:tcW w:w="2340" w:type="dxa"/>
            <w:shd w:val="clear" w:color="000000" w:fill="FFFFFF"/>
            <w:vAlign w:val="center"/>
            <w:hideMark/>
          </w:tcPr>
          <w:p w14:paraId="25EA7505" w14:textId="3ED7C58F" w:rsidR="00434749" w:rsidRPr="00210201" w:rsidRDefault="00434749" w:rsidP="00434749">
            <w:pPr>
              <w:jc w:val="center"/>
              <w:rPr>
                <w:rFonts w:ascii="Cambria" w:hAnsi="Cambria"/>
                <w:sz w:val="20"/>
                <w:szCs w:val="20"/>
              </w:rPr>
            </w:pPr>
            <w:r w:rsidRPr="00524E88">
              <w:rPr>
                <w:rFonts w:ascii="Cambria" w:hAnsi="Cambria"/>
                <w:sz w:val="20"/>
                <w:szCs w:val="20"/>
              </w:rPr>
              <w:t>BRAZIL</w:t>
            </w:r>
          </w:p>
        </w:tc>
        <w:tc>
          <w:tcPr>
            <w:tcW w:w="2790" w:type="dxa"/>
            <w:shd w:val="clear" w:color="000000" w:fill="FFFFFF"/>
            <w:vAlign w:val="center"/>
            <w:hideMark/>
          </w:tcPr>
          <w:p w14:paraId="2E9805FA" w14:textId="77777777" w:rsidR="00434749" w:rsidRPr="00210201" w:rsidRDefault="00434749" w:rsidP="00434749">
            <w:pPr>
              <w:jc w:val="center"/>
              <w:rPr>
                <w:rFonts w:ascii="Cambria" w:hAnsi="Cambria"/>
                <w:sz w:val="20"/>
                <w:szCs w:val="20"/>
              </w:rPr>
            </w:pPr>
            <w:r w:rsidRPr="00210201">
              <w:rPr>
                <w:rFonts w:ascii="Cambria" w:hAnsi="Cambria"/>
                <w:sz w:val="20"/>
                <w:szCs w:val="20"/>
              </w:rPr>
              <w:t>P-655-16</w:t>
            </w:r>
          </w:p>
        </w:tc>
        <w:tc>
          <w:tcPr>
            <w:tcW w:w="1080" w:type="dxa"/>
            <w:shd w:val="clear" w:color="000000" w:fill="FFFFFF"/>
            <w:vAlign w:val="center"/>
            <w:hideMark/>
          </w:tcPr>
          <w:p w14:paraId="192A1466" w14:textId="77777777" w:rsidR="00434749" w:rsidRPr="00210201" w:rsidRDefault="00434749" w:rsidP="00434749">
            <w:pPr>
              <w:jc w:val="center"/>
              <w:rPr>
                <w:rFonts w:ascii="Cambria" w:hAnsi="Cambria"/>
                <w:sz w:val="20"/>
                <w:szCs w:val="20"/>
              </w:rPr>
            </w:pPr>
            <w:r w:rsidRPr="00210201">
              <w:rPr>
                <w:rFonts w:ascii="Cambria" w:hAnsi="Cambria"/>
                <w:sz w:val="20"/>
                <w:szCs w:val="20"/>
              </w:rPr>
              <w:t>16</w:t>
            </w:r>
          </w:p>
        </w:tc>
        <w:tc>
          <w:tcPr>
            <w:tcW w:w="2700" w:type="dxa"/>
            <w:shd w:val="clear" w:color="D9E1F2" w:fill="FFFFFF"/>
            <w:vAlign w:val="center"/>
            <w:hideMark/>
          </w:tcPr>
          <w:p w14:paraId="7E5D58F4" w14:textId="5CAED9B5" w:rsidR="00434749" w:rsidRPr="00210201" w:rsidRDefault="00434749" w:rsidP="00434749">
            <w:pPr>
              <w:jc w:val="center"/>
              <w:rPr>
                <w:rFonts w:ascii="Cambria" w:hAnsi="Cambria"/>
                <w:sz w:val="20"/>
                <w:szCs w:val="20"/>
              </w:rPr>
            </w:pPr>
            <w:r w:rsidRPr="0003744F">
              <w:rPr>
                <w:rFonts w:ascii="Cambria" w:hAnsi="Cambria"/>
                <w:sz w:val="20"/>
                <w:szCs w:val="20"/>
              </w:rPr>
              <w:t>INITIAL REVIEW</w:t>
            </w:r>
          </w:p>
        </w:tc>
      </w:tr>
      <w:tr w:rsidR="00434749" w:rsidRPr="00210201" w14:paraId="0EBD0F63" w14:textId="77777777" w:rsidTr="00434749">
        <w:trPr>
          <w:trHeight w:val="317"/>
        </w:trPr>
        <w:tc>
          <w:tcPr>
            <w:tcW w:w="715" w:type="dxa"/>
            <w:shd w:val="clear" w:color="000000" w:fill="FFFFFF"/>
            <w:vAlign w:val="center"/>
            <w:hideMark/>
          </w:tcPr>
          <w:p w14:paraId="20D37803" w14:textId="77777777" w:rsidR="00434749" w:rsidRPr="00210201" w:rsidRDefault="00434749" w:rsidP="00434749">
            <w:pPr>
              <w:jc w:val="center"/>
              <w:rPr>
                <w:rFonts w:ascii="Cambria" w:hAnsi="Cambria"/>
                <w:b/>
                <w:bCs/>
                <w:sz w:val="20"/>
                <w:szCs w:val="20"/>
              </w:rPr>
            </w:pPr>
            <w:r w:rsidRPr="00210201">
              <w:rPr>
                <w:rFonts w:ascii="Cambria" w:hAnsi="Cambria"/>
                <w:b/>
                <w:bCs/>
                <w:sz w:val="20"/>
                <w:szCs w:val="20"/>
              </w:rPr>
              <w:t>13</w:t>
            </w:r>
          </w:p>
        </w:tc>
        <w:tc>
          <w:tcPr>
            <w:tcW w:w="2340" w:type="dxa"/>
            <w:shd w:val="clear" w:color="000000" w:fill="FFFFFF"/>
            <w:vAlign w:val="center"/>
            <w:hideMark/>
          </w:tcPr>
          <w:p w14:paraId="6BAFE05B" w14:textId="2C4B6BD3" w:rsidR="00434749" w:rsidRPr="00210201" w:rsidRDefault="00434749" w:rsidP="00434749">
            <w:pPr>
              <w:jc w:val="center"/>
              <w:rPr>
                <w:rFonts w:ascii="Cambria" w:hAnsi="Cambria"/>
                <w:sz w:val="20"/>
                <w:szCs w:val="20"/>
              </w:rPr>
            </w:pPr>
            <w:r w:rsidRPr="00524E88">
              <w:rPr>
                <w:rFonts w:ascii="Cambria" w:hAnsi="Cambria"/>
                <w:sz w:val="20"/>
                <w:szCs w:val="20"/>
              </w:rPr>
              <w:t>BRAZIL</w:t>
            </w:r>
          </w:p>
        </w:tc>
        <w:tc>
          <w:tcPr>
            <w:tcW w:w="2790" w:type="dxa"/>
            <w:shd w:val="clear" w:color="000000" w:fill="FFFFFF"/>
            <w:vAlign w:val="center"/>
            <w:hideMark/>
          </w:tcPr>
          <w:p w14:paraId="553EF805" w14:textId="77777777" w:rsidR="00434749" w:rsidRPr="00210201" w:rsidRDefault="00434749" w:rsidP="00434749">
            <w:pPr>
              <w:jc w:val="center"/>
              <w:rPr>
                <w:rFonts w:ascii="Cambria" w:hAnsi="Cambria"/>
                <w:sz w:val="20"/>
                <w:szCs w:val="20"/>
              </w:rPr>
            </w:pPr>
            <w:r w:rsidRPr="00210201">
              <w:rPr>
                <w:rFonts w:ascii="Cambria" w:hAnsi="Cambria"/>
                <w:sz w:val="20"/>
                <w:szCs w:val="20"/>
              </w:rPr>
              <w:t>P-1183-17</w:t>
            </w:r>
          </w:p>
        </w:tc>
        <w:tc>
          <w:tcPr>
            <w:tcW w:w="1080" w:type="dxa"/>
            <w:shd w:val="clear" w:color="000000" w:fill="FFFFFF"/>
            <w:vAlign w:val="center"/>
            <w:hideMark/>
          </w:tcPr>
          <w:p w14:paraId="6BBDC67C" w14:textId="77777777" w:rsidR="00434749" w:rsidRPr="00210201" w:rsidRDefault="00434749" w:rsidP="00434749">
            <w:pPr>
              <w:jc w:val="center"/>
              <w:rPr>
                <w:rFonts w:ascii="Cambria" w:hAnsi="Cambria"/>
                <w:sz w:val="20"/>
                <w:szCs w:val="20"/>
              </w:rPr>
            </w:pPr>
            <w:r w:rsidRPr="00210201">
              <w:rPr>
                <w:rFonts w:ascii="Cambria" w:hAnsi="Cambria"/>
                <w:sz w:val="20"/>
                <w:szCs w:val="20"/>
              </w:rPr>
              <w:t>17</w:t>
            </w:r>
          </w:p>
        </w:tc>
        <w:tc>
          <w:tcPr>
            <w:tcW w:w="2700" w:type="dxa"/>
            <w:shd w:val="clear" w:color="D9E1F2" w:fill="FFFFFF"/>
            <w:vAlign w:val="center"/>
            <w:hideMark/>
          </w:tcPr>
          <w:p w14:paraId="6A7467C0" w14:textId="2D6C68BE" w:rsidR="00434749" w:rsidRPr="00210201" w:rsidRDefault="00434749" w:rsidP="00434749">
            <w:pPr>
              <w:jc w:val="center"/>
              <w:rPr>
                <w:rFonts w:ascii="Cambria" w:hAnsi="Cambria"/>
                <w:sz w:val="20"/>
                <w:szCs w:val="20"/>
              </w:rPr>
            </w:pPr>
            <w:r w:rsidRPr="0003744F">
              <w:rPr>
                <w:rFonts w:ascii="Cambria" w:hAnsi="Cambria"/>
                <w:sz w:val="20"/>
                <w:szCs w:val="20"/>
              </w:rPr>
              <w:t>INITIAL REVIEW</w:t>
            </w:r>
          </w:p>
        </w:tc>
      </w:tr>
      <w:tr w:rsidR="00434749" w:rsidRPr="00210201" w14:paraId="4E89AABF" w14:textId="77777777" w:rsidTr="00434749">
        <w:trPr>
          <w:trHeight w:val="326"/>
        </w:trPr>
        <w:tc>
          <w:tcPr>
            <w:tcW w:w="715" w:type="dxa"/>
            <w:shd w:val="clear" w:color="000000" w:fill="FFFFFF"/>
            <w:vAlign w:val="center"/>
            <w:hideMark/>
          </w:tcPr>
          <w:p w14:paraId="06040C41" w14:textId="77777777" w:rsidR="00434749" w:rsidRPr="00210201" w:rsidRDefault="00434749" w:rsidP="00434749">
            <w:pPr>
              <w:jc w:val="center"/>
              <w:rPr>
                <w:rFonts w:ascii="Cambria" w:hAnsi="Cambria"/>
                <w:b/>
                <w:bCs/>
                <w:sz w:val="20"/>
                <w:szCs w:val="20"/>
              </w:rPr>
            </w:pPr>
            <w:r w:rsidRPr="00210201">
              <w:rPr>
                <w:rFonts w:ascii="Cambria" w:hAnsi="Cambria"/>
                <w:b/>
                <w:bCs/>
                <w:sz w:val="20"/>
                <w:szCs w:val="20"/>
              </w:rPr>
              <w:t>14</w:t>
            </w:r>
          </w:p>
        </w:tc>
        <w:tc>
          <w:tcPr>
            <w:tcW w:w="2340" w:type="dxa"/>
            <w:shd w:val="clear" w:color="000000" w:fill="FFFFFF"/>
            <w:vAlign w:val="center"/>
            <w:hideMark/>
          </w:tcPr>
          <w:p w14:paraId="6456D16F" w14:textId="5A4DFC7C" w:rsidR="00434749" w:rsidRPr="00210201" w:rsidRDefault="00434749" w:rsidP="00434749">
            <w:pPr>
              <w:jc w:val="center"/>
              <w:rPr>
                <w:rFonts w:ascii="Cambria" w:hAnsi="Cambria"/>
                <w:sz w:val="20"/>
                <w:szCs w:val="20"/>
              </w:rPr>
            </w:pPr>
            <w:r w:rsidRPr="00524E88">
              <w:rPr>
                <w:rFonts w:ascii="Cambria" w:hAnsi="Cambria"/>
                <w:sz w:val="20"/>
                <w:szCs w:val="20"/>
              </w:rPr>
              <w:t>BRAZIL</w:t>
            </w:r>
          </w:p>
        </w:tc>
        <w:tc>
          <w:tcPr>
            <w:tcW w:w="2790" w:type="dxa"/>
            <w:shd w:val="clear" w:color="000000" w:fill="FFFFFF"/>
            <w:vAlign w:val="center"/>
            <w:hideMark/>
          </w:tcPr>
          <w:p w14:paraId="71AD7586" w14:textId="77777777" w:rsidR="00434749" w:rsidRPr="00210201" w:rsidRDefault="00434749" w:rsidP="00434749">
            <w:pPr>
              <w:jc w:val="center"/>
              <w:rPr>
                <w:rFonts w:ascii="Cambria" w:hAnsi="Cambria"/>
                <w:sz w:val="20"/>
                <w:szCs w:val="20"/>
              </w:rPr>
            </w:pPr>
            <w:r w:rsidRPr="00210201">
              <w:rPr>
                <w:rFonts w:ascii="Cambria" w:hAnsi="Cambria"/>
                <w:sz w:val="20"/>
                <w:szCs w:val="20"/>
              </w:rPr>
              <w:t>P-2164-17</w:t>
            </w:r>
          </w:p>
        </w:tc>
        <w:tc>
          <w:tcPr>
            <w:tcW w:w="1080" w:type="dxa"/>
            <w:shd w:val="clear" w:color="000000" w:fill="FFFFFF"/>
            <w:vAlign w:val="center"/>
            <w:hideMark/>
          </w:tcPr>
          <w:p w14:paraId="26828C98" w14:textId="77777777" w:rsidR="00434749" w:rsidRPr="00210201" w:rsidRDefault="00434749" w:rsidP="00434749">
            <w:pPr>
              <w:jc w:val="center"/>
              <w:rPr>
                <w:rFonts w:ascii="Cambria" w:hAnsi="Cambria"/>
                <w:sz w:val="20"/>
                <w:szCs w:val="20"/>
              </w:rPr>
            </w:pPr>
            <w:r w:rsidRPr="00210201">
              <w:rPr>
                <w:rFonts w:ascii="Cambria" w:hAnsi="Cambria"/>
                <w:sz w:val="20"/>
                <w:szCs w:val="20"/>
              </w:rPr>
              <w:t>17</w:t>
            </w:r>
          </w:p>
        </w:tc>
        <w:tc>
          <w:tcPr>
            <w:tcW w:w="2700" w:type="dxa"/>
            <w:shd w:val="clear" w:color="D9E1F2" w:fill="FFFFFF"/>
            <w:vAlign w:val="center"/>
            <w:hideMark/>
          </w:tcPr>
          <w:p w14:paraId="795860E2" w14:textId="623A7062" w:rsidR="00434749" w:rsidRPr="00210201" w:rsidRDefault="00434749" w:rsidP="00434749">
            <w:pPr>
              <w:jc w:val="center"/>
              <w:rPr>
                <w:rFonts w:ascii="Cambria" w:hAnsi="Cambria"/>
                <w:sz w:val="20"/>
                <w:szCs w:val="20"/>
              </w:rPr>
            </w:pPr>
            <w:r w:rsidRPr="0003744F">
              <w:rPr>
                <w:rFonts w:ascii="Cambria" w:hAnsi="Cambria"/>
                <w:sz w:val="20"/>
                <w:szCs w:val="20"/>
              </w:rPr>
              <w:t>INITIAL REVIEW</w:t>
            </w:r>
          </w:p>
        </w:tc>
      </w:tr>
      <w:tr w:rsidR="00434749" w:rsidRPr="00210201" w14:paraId="5D109B5C" w14:textId="77777777" w:rsidTr="00434749">
        <w:trPr>
          <w:trHeight w:val="308"/>
        </w:trPr>
        <w:tc>
          <w:tcPr>
            <w:tcW w:w="715" w:type="dxa"/>
            <w:shd w:val="clear" w:color="000000" w:fill="FFFFFF"/>
            <w:vAlign w:val="center"/>
            <w:hideMark/>
          </w:tcPr>
          <w:p w14:paraId="126849EA" w14:textId="77777777" w:rsidR="00434749" w:rsidRPr="00210201" w:rsidRDefault="00434749" w:rsidP="00434749">
            <w:pPr>
              <w:jc w:val="center"/>
              <w:rPr>
                <w:rFonts w:ascii="Cambria" w:hAnsi="Cambria"/>
                <w:b/>
                <w:bCs/>
                <w:sz w:val="20"/>
                <w:szCs w:val="20"/>
              </w:rPr>
            </w:pPr>
            <w:r w:rsidRPr="00210201">
              <w:rPr>
                <w:rFonts w:ascii="Cambria" w:hAnsi="Cambria"/>
                <w:b/>
                <w:bCs/>
                <w:sz w:val="20"/>
                <w:szCs w:val="20"/>
              </w:rPr>
              <w:t>15</w:t>
            </w:r>
          </w:p>
        </w:tc>
        <w:tc>
          <w:tcPr>
            <w:tcW w:w="2340" w:type="dxa"/>
            <w:shd w:val="clear" w:color="000000" w:fill="FFFFFF"/>
            <w:vAlign w:val="center"/>
            <w:hideMark/>
          </w:tcPr>
          <w:p w14:paraId="45E85865" w14:textId="1F87D8E1" w:rsidR="00434749" w:rsidRPr="00210201" w:rsidRDefault="00434749" w:rsidP="00434749">
            <w:pPr>
              <w:jc w:val="center"/>
              <w:rPr>
                <w:rFonts w:ascii="Cambria" w:hAnsi="Cambria"/>
                <w:sz w:val="20"/>
                <w:szCs w:val="20"/>
              </w:rPr>
            </w:pPr>
            <w:r w:rsidRPr="00524E88">
              <w:rPr>
                <w:rFonts w:ascii="Cambria" w:hAnsi="Cambria"/>
                <w:sz w:val="20"/>
                <w:szCs w:val="20"/>
              </w:rPr>
              <w:t>BRAZIL</w:t>
            </w:r>
          </w:p>
        </w:tc>
        <w:tc>
          <w:tcPr>
            <w:tcW w:w="2790" w:type="dxa"/>
            <w:shd w:val="clear" w:color="D9E1F2" w:fill="FFFFFF"/>
            <w:vAlign w:val="center"/>
            <w:hideMark/>
          </w:tcPr>
          <w:p w14:paraId="7D93F1FB" w14:textId="77777777" w:rsidR="00434749" w:rsidRPr="00210201" w:rsidRDefault="00434749" w:rsidP="00434749">
            <w:pPr>
              <w:jc w:val="center"/>
              <w:rPr>
                <w:rFonts w:ascii="Cambria" w:hAnsi="Cambria"/>
                <w:sz w:val="20"/>
                <w:szCs w:val="20"/>
              </w:rPr>
            </w:pPr>
            <w:r w:rsidRPr="00210201">
              <w:rPr>
                <w:rFonts w:ascii="Cambria" w:hAnsi="Cambria"/>
                <w:sz w:val="20"/>
                <w:szCs w:val="20"/>
              </w:rPr>
              <w:t>P-135-18</w:t>
            </w:r>
          </w:p>
        </w:tc>
        <w:tc>
          <w:tcPr>
            <w:tcW w:w="1080" w:type="dxa"/>
            <w:shd w:val="clear" w:color="D9E1F2" w:fill="FFFFFF"/>
            <w:vAlign w:val="center"/>
            <w:hideMark/>
          </w:tcPr>
          <w:p w14:paraId="2FB71B7A" w14:textId="77777777" w:rsidR="00434749" w:rsidRPr="00210201" w:rsidRDefault="00434749" w:rsidP="00434749">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1EA5E360" w14:textId="5CA85755" w:rsidR="00434749" w:rsidRPr="00210201" w:rsidRDefault="00434749" w:rsidP="00434749">
            <w:pPr>
              <w:jc w:val="center"/>
              <w:rPr>
                <w:rFonts w:ascii="Cambria" w:hAnsi="Cambria"/>
                <w:sz w:val="20"/>
                <w:szCs w:val="20"/>
              </w:rPr>
            </w:pPr>
            <w:r w:rsidRPr="00B14657">
              <w:rPr>
                <w:rFonts w:ascii="Cambria" w:hAnsi="Cambria"/>
                <w:sz w:val="20"/>
                <w:szCs w:val="20"/>
              </w:rPr>
              <w:t>INITIAL REVIEW</w:t>
            </w:r>
          </w:p>
        </w:tc>
      </w:tr>
      <w:tr w:rsidR="00434749" w:rsidRPr="00210201" w14:paraId="453452EB" w14:textId="77777777" w:rsidTr="00434749">
        <w:trPr>
          <w:trHeight w:val="317"/>
        </w:trPr>
        <w:tc>
          <w:tcPr>
            <w:tcW w:w="715" w:type="dxa"/>
            <w:shd w:val="clear" w:color="000000" w:fill="FFFFFF"/>
            <w:vAlign w:val="center"/>
            <w:hideMark/>
          </w:tcPr>
          <w:p w14:paraId="61250F2E" w14:textId="77777777" w:rsidR="00434749" w:rsidRPr="00210201" w:rsidRDefault="00434749" w:rsidP="00434749">
            <w:pPr>
              <w:jc w:val="center"/>
              <w:rPr>
                <w:rFonts w:ascii="Cambria" w:hAnsi="Cambria"/>
                <w:b/>
                <w:bCs/>
                <w:sz w:val="20"/>
                <w:szCs w:val="20"/>
              </w:rPr>
            </w:pPr>
            <w:r w:rsidRPr="00210201">
              <w:rPr>
                <w:rFonts w:ascii="Cambria" w:hAnsi="Cambria"/>
                <w:b/>
                <w:bCs/>
                <w:sz w:val="20"/>
                <w:szCs w:val="20"/>
              </w:rPr>
              <w:t>16</w:t>
            </w:r>
          </w:p>
        </w:tc>
        <w:tc>
          <w:tcPr>
            <w:tcW w:w="2340" w:type="dxa"/>
            <w:shd w:val="clear" w:color="000000" w:fill="FFFFFF"/>
            <w:vAlign w:val="center"/>
            <w:hideMark/>
          </w:tcPr>
          <w:p w14:paraId="65C45417" w14:textId="14C071F7" w:rsidR="00434749" w:rsidRPr="00210201" w:rsidRDefault="00434749" w:rsidP="00434749">
            <w:pPr>
              <w:jc w:val="center"/>
              <w:rPr>
                <w:rFonts w:ascii="Cambria" w:hAnsi="Cambria"/>
                <w:sz w:val="20"/>
                <w:szCs w:val="20"/>
              </w:rPr>
            </w:pPr>
            <w:r w:rsidRPr="00524E88">
              <w:rPr>
                <w:rFonts w:ascii="Cambria" w:hAnsi="Cambria"/>
                <w:sz w:val="20"/>
                <w:szCs w:val="20"/>
              </w:rPr>
              <w:t>BRAZIL</w:t>
            </w:r>
          </w:p>
        </w:tc>
        <w:tc>
          <w:tcPr>
            <w:tcW w:w="2790" w:type="dxa"/>
            <w:shd w:val="clear" w:color="000000" w:fill="FFFFFF"/>
            <w:vAlign w:val="center"/>
            <w:hideMark/>
          </w:tcPr>
          <w:p w14:paraId="37DAE447" w14:textId="77777777" w:rsidR="00434749" w:rsidRPr="00210201" w:rsidRDefault="00434749" w:rsidP="00434749">
            <w:pPr>
              <w:jc w:val="center"/>
              <w:rPr>
                <w:rFonts w:ascii="Cambria" w:hAnsi="Cambria"/>
                <w:sz w:val="20"/>
                <w:szCs w:val="20"/>
              </w:rPr>
            </w:pPr>
            <w:r w:rsidRPr="00210201">
              <w:rPr>
                <w:rFonts w:ascii="Cambria" w:hAnsi="Cambria"/>
                <w:sz w:val="20"/>
                <w:szCs w:val="20"/>
              </w:rPr>
              <w:t>P-317-18</w:t>
            </w:r>
          </w:p>
        </w:tc>
        <w:tc>
          <w:tcPr>
            <w:tcW w:w="1080" w:type="dxa"/>
            <w:shd w:val="clear" w:color="000000" w:fill="FFFFFF"/>
            <w:vAlign w:val="center"/>
            <w:hideMark/>
          </w:tcPr>
          <w:p w14:paraId="63743D2D" w14:textId="77777777" w:rsidR="00434749" w:rsidRPr="00210201" w:rsidRDefault="00434749" w:rsidP="00434749">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7D5BC8D3" w14:textId="30FF92F0" w:rsidR="00434749" w:rsidRPr="00210201" w:rsidRDefault="00434749" w:rsidP="00434749">
            <w:pPr>
              <w:jc w:val="center"/>
              <w:rPr>
                <w:rFonts w:ascii="Cambria" w:hAnsi="Cambria"/>
                <w:sz w:val="20"/>
                <w:szCs w:val="20"/>
              </w:rPr>
            </w:pPr>
            <w:r w:rsidRPr="00B14657">
              <w:rPr>
                <w:rFonts w:ascii="Cambria" w:hAnsi="Cambria"/>
                <w:sz w:val="20"/>
                <w:szCs w:val="20"/>
              </w:rPr>
              <w:t>INITIAL REVIEW</w:t>
            </w:r>
          </w:p>
        </w:tc>
      </w:tr>
      <w:tr w:rsidR="00434749" w:rsidRPr="00210201" w14:paraId="2353BC80" w14:textId="77777777" w:rsidTr="005E6A35">
        <w:trPr>
          <w:trHeight w:val="335"/>
        </w:trPr>
        <w:tc>
          <w:tcPr>
            <w:tcW w:w="715" w:type="dxa"/>
            <w:shd w:val="clear" w:color="000000" w:fill="FFFFFF"/>
            <w:vAlign w:val="center"/>
            <w:hideMark/>
          </w:tcPr>
          <w:p w14:paraId="035DDC6A" w14:textId="77777777" w:rsidR="00434749" w:rsidRPr="00210201" w:rsidRDefault="00434749" w:rsidP="00434749">
            <w:pPr>
              <w:jc w:val="center"/>
              <w:rPr>
                <w:rFonts w:ascii="Cambria" w:hAnsi="Cambria"/>
                <w:b/>
                <w:bCs/>
                <w:sz w:val="20"/>
                <w:szCs w:val="20"/>
              </w:rPr>
            </w:pPr>
            <w:r w:rsidRPr="00210201">
              <w:rPr>
                <w:rFonts w:ascii="Cambria" w:hAnsi="Cambria"/>
                <w:b/>
                <w:bCs/>
                <w:sz w:val="20"/>
                <w:szCs w:val="20"/>
              </w:rPr>
              <w:t>17</w:t>
            </w:r>
          </w:p>
        </w:tc>
        <w:tc>
          <w:tcPr>
            <w:tcW w:w="2340" w:type="dxa"/>
            <w:shd w:val="clear" w:color="000000" w:fill="FFFFFF"/>
            <w:vAlign w:val="center"/>
            <w:hideMark/>
          </w:tcPr>
          <w:p w14:paraId="42DD7638" w14:textId="09AEC41F" w:rsidR="00434749" w:rsidRPr="00210201" w:rsidRDefault="00434749" w:rsidP="00434749">
            <w:pPr>
              <w:jc w:val="center"/>
              <w:rPr>
                <w:rFonts w:ascii="Cambria" w:hAnsi="Cambria"/>
                <w:sz w:val="20"/>
                <w:szCs w:val="20"/>
              </w:rPr>
            </w:pPr>
            <w:r w:rsidRPr="00524E88">
              <w:rPr>
                <w:rFonts w:ascii="Cambria" w:hAnsi="Cambria"/>
                <w:sz w:val="20"/>
                <w:szCs w:val="20"/>
              </w:rPr>
              <w:t>BRAZIL</w:t>
            </w:r>
          </w:p>
        </w:tc>
        <w:tc>
          <w:tcPr>
            <w:tcW w:w="2790" w:type="dxa"/>
            <w:shd w:val="clear" w:color="D9E1F2" w:fill="FFFFFF"/>
            <w:vAlign w:val="center"/>
            <w:hideMark/>
          </w:tcPr>
          <w:p w14:paraId="450D2686" w14:textId="77777777" w:rsidR="00434749" w:rsidRPr="00210201" w:rsidRDefault="00434749" w:rsidP="00434749">
            <w:pPr>
              <w:jc w:val="center"/>
              <w:rPr>
                <w:rFonts w:ascii="Cambria" w:hAnsi="Cambria"/>
                <w:sz w:val="20"/>
                <w:szCs w:val="20"/>
              </w:rPr>
            </w:pPr>
            <w:r w:rsidRPr="00210201">
              <w:rPr>
                <w:rFonts w:ascii="Cambria" w:hAnsi="Cambria"/>
                <w:sz w:val="20"/>
                <w:szCs w:val="20"/>
              </w:rPr>
              <w:t>P-481-18</w:t>
            </w:r>
          </w:p>
        </w:tc>
        <w:tc>
          <w:tcPr>
            <w:tcW w:w="1080" w:type="dxa"/>
            <w:shd w:val="clear" w:color="D9E1F2" w:fill="FFFFFF"/>
            <w:vAlign w:val="center"/>
            <w:hideMark/>
          </w:tcPr>
          <w:p w14:paraId="248BB6E7" w14:textId="77777777" w:rsidR="00434749" w:rsidRPr="00210201" w:rsidRDefault="00434749" w:rsidP="00434749">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1EF475B1" w14:textId="513D81F6" w:rsidR="00434749" w:rsidRPr="00210201" w:rsidRDefault="00434749" w:rsidP="00434749">
            <w:pPr>
              <w:jc w:val="center"/>
              <w:rPr>
                <w:rFonts w:ascii="Cambria" w:hAnsi="Cambria"/>
                <w:sz w:val="20"/>
                <w:szCs w:val="20"/>
              </w:rPr>
            </w:pPr>
            <w:r w:rsidRPr="00B14657">
              <w:rPr>
                <w:rFonts w:ascii="Cambria" w:hAnsi="Cambria"/>
                <w:sz w:val="20"/>
                <w:szCs w:val="20"/>
              </w:rPr>
              <w:t>INITIAL REVIEW</w:t>
            </w:r>
          </w:p>
        </w:tc>
      </w:tr>
      <w:tr w:rsidR="00434749" w:rsidRPr="00210201" w14:paraId="5302503C" w14:textId="77777777" w:rsidTr="005E6A35">
        <w:trPr>
          <w:trHeight w:val="308"/>
        </w:trPr>
        <w:tc>
          <w:tcPr>
            <w:tcW w:w="715" w:type="dxa"/>
            <w:shd w:val="clear" w:color="000000" w:fill="FFFFFF"/>
            <w:vAlign w:val="center"/>
            <w:hideMark/>
          </w:tcPr>
          <w:p w14:paraId="5E7352FD" w14:textId="77777777" w:rsidR="00434749" w:rsidRPr="00210201" w:rsidRDefault="00434749" w:rsidP="00434749">
            <w:pPr>
              <w:jc w:val="center"/>
              <w:rPr>
                <w:rFonts w:ascii="Cambria" w:hAnsi="Cambria"/>
                <w:b/>
                <w:bCs/>
                <w:sz w:val="20"/>
                <w:szCs w:val="20"/>
              </w:rPr>
            </w:pPr>
            <w:r w:rsidRPr="00210201">
              <w:rPr>
                <w:rFonts w:ascii="Cambria" w:hAnsi="Cambria"/>
                <w:b/>
                <w:bCs/>
                <w:sz w:val="20"/>
                <w:szCs w:val="20"/>
              </w:rPr>
              <w:t>18</w:t>
            </w:r>
          </w:p>
        </w:tc>
        <w:tc>
          <w:tcPr>
            <w:tcW w:w="2340" w:type="dxa"/>
            <w:shd w:val="clear" w:color="000000" w:fill="FFFFFF"/>
            <w:vAlign w:val="center"/>
            <w:hideMark/>
          </w:tcPr>
          <w:p w14:paraId="0943A19C" w14:textId="602183F4" w:rsidR="00434749" w:rsidRPr="00210201" w:rsidRDefault="00434749" w:rsidP="00434749">
            <w:pPr>
              <w:jc w:val="center"/>
              <w:rPr>
                <w:rFonts w:ascii="Cambria" w:hAnsi="Cambria"/>
                <w:sz w:val="20"/>
                <w:szCs w:val="20"/>
              </w:rPr>
            </w:pPr>
            <w:r w:rsidRPr="00524E88">
              <w:rPr>
                <w:rFonts w:ascii="Cambria" w:hAnsi="Cambria"/>
                <w:sz w:val="20"/>
                <w:szCs w:val="20"/>
              </w:rPr>
              <w:t>BRAZIL</w:t>
            </w:r>
          </w:p>
        </w:tc>
        <w:tc>
          <w:tcPr>
            <w:tcW w:w="2790" w:type="dxa"/>
            <w:shd w:val="clear" w:color="D9E1F2" w:fill="FFFFFF"/>
            <w:vAlign w:val="center"/>
            <w:hideMark/>
          </w:tcPr>
          <w:p w14:paraId="029B8E28" w14:textId="77777777" w:rsidR="00434749" w:rsidRPr="00210201" w:rsidRDefault="00434749" w:rsidP="00434749">
            <w:pPr>
              <w:jc w:val="center"/>
              <w:rPr>
                <w:rFonts w:ascii="Cambria" w:hAnsi="Cambria"/>
                <w:sz w:val="20"/>
                <w:szCs w:val="20"/>
              </w:rPr>
            </w:pPr>
            <w:r w:rsidRPr="00210201">
              <w:rPr>
                <w:rFonts w:ascii="Cambria" w:hAnsi="Cambria"/>
                <w:sz w:val="20"/>
                <w:szCs w:val="20"/>
              </w:rPr>
              <w:t>P-847-18</w:t>
            </w:r>
          </w:p>
        </w:tc>
        <w:tc>
          <w:tcPr>
            <w:tcW w:w="1080" w:type="dxa"/>
            <w:shd w:val="clear" w:color="D9E1F2" w:fill="FFFFFF"/>
            <w:vAlign w:val="center"/>
            <w:hideMark/>
          </w:tcPr>
          <w:p w14:paraId="24A935A7" w14:textId="77777777" w:rsidR="00434749" w:rsidRPr="00210201" w:rsidRDefault="00434749" w:rsidP="00434749">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0A7C0617" w14:textId="51873C60" w:rsidR="00434749" w:rsidRPr="00210201" w:rsidRDefault="00434749" w:rsidP="00434749">
            <w:pPr>
              <w:jc w:val="center"/>
              <w:rPr>
                <w:rFonts w:ascii="Cambria" w:hAnsi="Cambria"/>
                <w:sz w:val="20"/>
                <w:szCs w:val="20"/>
              </w:rPr>
            </w:pPr>
            <w:r w:rsidRPr="00B14657">
              <w:rPr>
                <w:rFonts w:ascii="Cambria" w:hAnsi="Cambria"/>
                <w:sz w:val="20"/>
                <w:szCs w:val="20"/>
              </w:rPr>
              <w:t>INITIAL REVIEW</w:t>
            </w:r>
          </w:p>
        </w:tc>
      </w:tr>
      <w:tr w:rsidR="00434749" w:rsidRPr="00210201" w14:paraId="60EF40C8" w14:textId="77777777" w:rsidTr="005E6A35">
        <w:trPr>
          <w:trHeight w:val="326"/>
        </w:trPr>
        <w:tc>
          <w:tcPr>
            <w:tcW w:w="715" w:type="dxa"/>
            <w:shd w:val="clear" w:color="000000" w:fill="FFFFFF"/>
            <w:vAlign w:val="center"/>
            <w:hideMark/>
          </w:tcPr>
          <w:p w14:paraId="1ACCEA43" w14:textId="77777777" w:rsidR="00434749" w:rsidRPr="00210201" w:rsidRDefault="00434749" w:rsidP="00434749">
            <w:pPr>
              <w:jc w:val="center"/>
              <w:rPr>
                <w:rFonts w:ascii="Cambria" w:hAnsi="Cambria"/>
                <w:b/>
                <w:bCs/>
                <w:sz w:val="20"/>
                <w:szCs w:val="20"/>
              </w:rPr>
            </w:pPr>
            <w:r w:rsidRPr="00210201">
              <w:rPr>
                <w:rFonts w:ascii="Cambria" w:hAnsi="Cambria"/>
                <w:b/>
                <w:bCs/>
                <w:sz w:val="20"/>
                <w:szCs w:val="20"/>
              </w:rPr>
              <w:t>19</w:t>
            </w:r>
          </w:p>
        </w:tc>
        <w:tc>
          <w:tcPr>
            <w:tcW w:w="2340" w:type="dxa"/>
            <w:shd w:val="clear" w:color="000000" w:fill="FFFFFF"/>
            <w:vAlign w:val="center"/>
            <w:hideMark/>
          </w:tcPr>
          <w:p w14:paraId="4243C55C" w14:textId="46CFDD9D" w:rsidR="00434749" w:rsidRPr="00210201" w:rsidRDefault="00434749" w:rsidP="00434749">
            <w:pPr>
              <w:jc w:val="center"/>
              <w:rPr>
                <w:rFonts w:ascii="Cambria" w:hAnsi="Cambria"/>
                <w:sz w:val="20"/>
                <w:szCs w:val="20"/>
              </w:rPr>
            </w:pPr>
            <w:r w:rsidRPr="00524E88">
              <w:rPr>
                <w:rFonts w:ascii="Cambria" w:hAnsi="Cambria"/>
                <w:sz w:val="20"/>
                <w:szCs w:val="20"/>
              </w:rPr>
              <w:t>BRAZIL</w:t>
            </w:r>
          </w:p>
        </w:tc>
        <w:tc>
          <w:tcPr>
            <w:tcW w:w="2790" w:type="dxa"/>
            <w:shd w:val="clear" w:color="000000" w:fill="FFFFFF"/>
            <w:vAlign w:val="center"/>
            <w:hideMark/>
          </w:tcPr>
          <w:p w14:paraId="3CF73D07" w14:textId="77777777" w:rsidR="00434749" w:rsidRPr="00210201" w:rsidRDefault="00434749" w:rsidP="00434749">
            <w:pPr>
              <w:jc w:val="center"/>
              <w:rPr>
                <w:rFonts w:ascii="Cambria" w:hAnsi="Cambria"/>
                <w:sz w:val="20"/>
                <w:szCs w:val="20"/>
              </w:rPr>
            </w:pPr>
            <w:r w:rsidRPr="00210201">
              <w:rPr>
                <w:rFonts w:ascii="Cambria" w:hAnsi="Cambria"/>
                <w:sz w:val="20"/>
                <w:szCs w:val="20"/>
              </w:rPr>
              <w:t>P-1512-18</w:t>
            </w:r>
          </w:p>
        </w:tc>
        <w:tc>
          <w:tcPr>
            <w:tcW w:w="1080" w:type="dxa"/>
            <w:shd w:val="clear" w:color="000000" w:fill="FFFFFF"/>
            <w:vAlign w:val="center"/>
            <w:hideMark/>
          </w:tcPr>
          <w:p w14:paraId="73ED10E1" w14:textId="77777777" w:rsidR="00434749" w:rsidRPr="00210201" w:rsidRDefault="00434749" w:rsidP="00434749">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68AD71AF" w14:textId="21269B59" w:rsidR="00434749" w:rsidRPr="00210201" w:rsidRDefault="00434749" w:rsidP="00434749">
            <w:pPr>
              <w:jc w:val="center"/>
              <w:rPr>
                <w:rFonts w:ascii="Cambria" w:hAnsi="Cambria"/>
                <w:sz w:val="20"/>
                <w:szCs w:val="20"/>
              </w:rPr>
            </w:pPr>
            <w:r w:rsidRPr="00B14657">
              <w:rPr>
                <w:rFonts w:ascii="Cambria" w:hAnsi="Cambria"/>
                <w:sz w:val="20"/>
                <w:szCs w:val="20"/>
              </w:rPr>
              <w:t>INITIAL REVIEW</w:t>
            </w:r>
          </w:p>
        </w:tc>
      </w:tr>
      <w:tr w:rsidR="00434749" w:rsidRPr="00210201" w14:paraId="6F999552" w14:textId="77777777" w:rsidTr="005E6A35">
        <w:trPr>
          <w:trHeight w:val="317"/>
        </w:trPr>
        <w:tc>
          <w:tcPr>
            <w:tcW w:w="715" w:type="dxa"/>
            <w:shd w:val="clear" w:color="000000" w:fill="FFFFFF"/>
            <w:vAlign w:val="center"/>
            <w:hideMark/>
          </w:tcPr>
          <w:p w14:paraId="55951C4F" w14:textId="77777777" w:rsidR="00434749" w:rsidRPr="00210201" w:rsidRDefault="00434749" w:rsidP="00434749">
            <w:pPr>
              <w:jc w:val="center"/>
              <w:rPr>
                <w:rFonts w:ascii="Cambria" w:hAnsi="Cambria"/>
                <w:b/>
                <w:bCs/>
                <w:sz w:val="20"/>
                <w:szCs w:val="20"/>
              </w:rPr>
            </w:pPr>
            <w:r w:rsidRPr="00210201">
              <w:rPr>
                <w:rFonts w:ascii="Cambria" w:hAnsi="Cambria"/>
                <w:b/>
                <w:bCs/>
                <w:sz w:val="20"/>
                <w:szCs w:val="20"/>
              </w:rPr>
              <w:t>20</w:t>
            </w:r>
          </w:p>
        </w:tc>
        <w:tc>
          <w:tcPr>
            <w:tcW w:w="2340" w:type="dxa"/>
            <w:shd w:val="clear" w:color="000000" w:fill="FFFFFF"/>
            <w:vAlign w:val="center"/>
            <w:hideMark/>
          </w:tcPr>
          <w:p w14:paraId="546BF2DE" w14:textId="512DC60F" w:rsidR="00434749" w:rsidRPr="00210201" w:rsidRDefault="00434749" w:rsidP="00434749">
            <w:pPr>
              <w:jc w:val="center"/>
              <w:rPr>
                <w:rFonts w:ascii="Cambria" w:hAnsi="Cambria"/>
                <w:sz w:val="20"/>
                <w:szCs w:val="20"/>
              </w:rPr>
            </w:pPr>
            <w:r w:rsidRPr="00524E88">
              <w:rPr>
                <w:rFonts w:ascii="Cambria" w:hAnsi="Cambria"/>
                <w:sz w:val="20"/>
                <w:szCs w:val="20"/>
              </w:rPr>
              <w:t>BRAZIL</w:t>
            </w:r>
          </w:p>
        </w:tc>
        <w:tc>
          <w:tcPr>
            <w:tcW w:w="2790" w:type="dxa"/>
            <w:shd w:val="clear" w:color="000000" w:fill="FFFFFF"/>
            <w:vAlign w:val="center"/>
            <w:hideMark/>
          </w:tcPr>
          <w:p w14:paraId="4C510544" w14:textId="77777777" w:rsidR="00434749" w:rsidRPr="00210201" w:rsidRDefault="00434749" w:rsidP="00434749">
            <w:pPr>
              <w:jc w:val="center"/>
              <w:rPr>
                <w:rFonts w:ascii="Cambria" w:hAnsi="Cambria"/>
                <w:sz w:val="20"/>
                <w:szCs w:val="20"/>
              </w:rPr>
            </w:pPr>
            <w:r w:rsidRPr="00210201">
              <w:rPr>
                <w:rFonts w:ascii="Cambria" w:hAnsi="Cambria"/>
                <w:sz w:val="20"/>
                <w:szCs w:val="20"/>
              </w:rPr>
              <w:t>P-1830-18</w:t>
            </w:r>
          </w:p>
        </w:tc>
        <w:tc>
          <w:tcPr>
            <w:tcW w:w="1080" w:type="dxa"/>
            <w:shd w:val="clear" w:color="000000" w:fill="FFFFFF"/>
            <w:vAlign w:val="center"/>
            <w:hideMark/>
          </w:tcPr>
          <w:p w14:paraId="5B43DAA4" w14:textId="77777777" w:rsidR="00434749" w:rsidRPr="00210201" w:rsidRDefault="00434749" w:rsidP="00434749">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5527B6B8" w14:textId="0031124B" w:rsidR="00434749" w:rsidRPr="00210201" w:rsidRDefault="00434749" w:rsidP="00434749">
            <w:pPr>
              <w:jc w:val="center"/>
              <w:rPr>
                <w:rFonts w:ascii="Cambria" w:hAnsi="Cambria"/>
                <w:sz w:val="20"/>
                <w:szCs w:val="20"/>
              </w:rPr>
            </w:pPr>
            <w:r w:rsidRPr="00B14657">
              <w:rPr>
                <w:rFonts w:ascii="Cambria" w:hAnsi="Cambria"/>
                <w:sz w:val="20"/>
                <w:szCs w:val="20"/>
              </w:rPr>
              <w:t>INITIAL REVIEW</w:t>
            </w:r>
          </w:p>
        </w:tc>
      </w:tr>
      <w:tr w:rsidR="00235BBE" w:rsidRPr="00210201" w14:paraId="1C39A979" w14:textId="77777777" w:rsidTr="005E6A35">
        <w:trPr>
          <w:trHeight w:val="317"/>
        </w:trPr>
        <w:tc>
          <w:tcPr>
            <w:tcW w:w="715" w:type="dxa"/>
            <w:shd w:val="clear" w:color="000000" w:fill="FFFFFF"/>
            <w:vAlign w:val="center"/>
            <w:hideMark/>
          </w:tcPr>
          <w:p w14:paraId="72025AE1"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21</w:t>
            </w:r>
          </w:p>
        </w:tc>
        <w:tc>
          <w:tcPr>
            <w:tcW w:w="2340" w:type="dxa"/>
            <w:shd w:val="clear" w:color="D9E1F2" w:fill="FFFFFF"/>
            <w:vAlign w:val="center"/>
            <w:hideMark/>
          </w:tcPr>
          <w:p w14:paraId="5F655FC0" w14:textId="77777777" w:rsidR="00235BBE" w:rsidRPr="00210201" w:rsidRDefault="00235BBE" w:rsidP="00235BBE">
            <w:pPr>
              <w:jc w:val="center"/>
              <w:rPr>
                <w:rFonts w:ascii="Cambria" w:hAnsi="Cambria"/>
                <w:sz w:val="20"/>
                <w:szCs w:val="20"/>
              </w:rPr>
            </w:pPr>
            <w:r w:rsidRPr="00210201">
              <w:rPr>
                <w:rFonts w:ascii="Cambria" w:hAnsi="Cambria"/>
                <w:sz w:val="20"/>
                <w:szCs w:val="20"/>
              </w:rPr>
              <w:t>CANADA</w:t>
            </w:r>
          </w:p>
        </w:tc>
        <w:tc>
          <w:tcPr>
            <w:tcW w:w="2790" w:type="dxa"/>
            <w:shd w:val="clear" w:color="D9E1F2" w:fill="FFFFFF"/>
            <w:vAlign w:val="center"/>
            <w:hideMark/>
          </w:tcPr>
          <w:p w14:paraId="4F1725E3" w14:textId="77777777" w:rsidR="00235BBE" w:rsidRPr="00210201" w:rsidRDefault="00235BBE" w:rsidP="00235BBE">
            <w:pPr>
              <w:jc w:val="center"/>
              <w:rPr>
                <w:rFonts w:ascii="Cambria" w:hAnsi="Cambria"/>
                <w:sz w:val="20"/>
                <w:szCs w:val="20"/>
              </w:rPr>
            </w:pPr>
            <w:r w:rsidRPr="00210201">
              <w:rPr>
                <w:rFonts w:ascii="Cambria" w:hAnsi="Cambria"/>
                <w:sz w:val="20"/>
                <w:szCs w:val="20"/>
              </w:rPr>
              <w:t>P-1373-18</w:t>
            </w:r>
          </w:p>
        </w:tc>
        <w:tc>
          <w:tcPr>
            <w:tcW w:w="1080" w:type="dxa"/>
            <w:shd w:val="clear" w:color="D9E1F2" w:fill="FFFFFF"/>
            <w:vAlign w:val="center"/>
            <w:hideMark/>
          </w:tcPr>
          <w:p w14:paraId="461546D6"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394B639F" w14:textId="50B8EC75"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4610A5BB" w14:textId="77777777" w:rsidTr="005E6A35">
        <w:trPr>
          <w:trHeight w:val="326"/>
        </w:trPr>
        <w:tc>
          <w:tcPr>
            <w:tcW w:w="715" w:type="dxa"/>
            <w:shd w:val="clear" w:color="000000" w:fill="FFFFFF"/>
            <w:vAlign w:val="center"/>
            <w:hideMark/>
          </w:tcPr>
          <w:p w14:paraId="6B275135"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22</w:t>
            </w:r>
          </w:p>
        </w:tc>
        <w:tc>
          <w:tcPr>
            <w:tcW w:w="2340" w:type="dxa"/>
            <w:shd w:val="clear" w:color="D9E1F2" w:fill="FFFFFF"/>
            <w:vAlign w:val="center"/>
            <w:hideMark/>
          </w:tcPr>
          <w:p w14:paraId="5E635EAE" w14:textId="77777777" w:rsidR="00235BBE" w:rsidRPr="00210201" w:rsidRDefault="00235BBE" w:rsidP="00235BBE">
            <w:pPr>
              <w:jc w:val="center"/>
              <w:rPr>
                <w:rFonts w:ascii="Cambria" w:hAnsi="Cambria"/>
                <w:sz w:val="20"/>
                <w:szCs w:val="20"/>
              </w:rPr>
            </w:pPr>
            <w:r w:rsidRPr="00210201">
              <w:rPr>
                <w:rFonts w:ascii="Cambria" w:hAnsi="Cambria"/>
                <w:sz w:val="20"/>
                <w:szCs w:val="20"/>
              </w:rPr>
              <w:t>CHILE</w:t>
            </w:r>
          </w:p>
        </w:tc>
        <w:tc>
          <w:tcPr>
            <w:tcW w:w="2790" w:type="dxa"/>
            <w:shd w:val="clear" w:color="D9E1F2" w:fill="FFFFFF"/>
            <w:vAlign w:val="center"/>
            <w:hideMark/>
          </w:tcPr>
          <w:p w14:paraId="25341FF1" w14:textId="77777777" w:rsidR="00235BBE" w:rsidRPr="00210201" w:rsidRDefault="00235BBE" w:rsidP="00235BBE">
            <w:pPr>
              <w:jc w:val="center"/>
              <w:rPr>
                <w:rFonts w:ascii="Cambria" w:hAnsi="Cambria"/>
                <w:sz w:val="20"/>
                <w:szCs w:val="20"/>
              </w:rPr>
            </w:pPr>
            <w:r w:rsidRPr="00210201">
              <w:rPr>
                <w:rFonts w:ascii="Cambria" w:hAnsi="Cambria"/>
                <w:sz w:val="20"/>
                <w:szCs w:val="20"/>
              </w:rPr>
              <w:t>P-1567-11</w:t>
            </w:r>
          </w:p>
        </w:tc>
        <w:tc>
          <w:tcPr>
            <w:tcW w:w="1080" w:type="dxa"/>
            <w:shd w:val="clear" w:color="D9E1F2" w:fill="FFFFFF"/>
            <w:vAlign w:val="center"/>
            <w:hideMark/>
          </w:tcPr>
          <w:p w14:paraId="5BBA1526" w14:textId="77777777" w:rsidR="00235BBE" w:rsidRPr="00210201" w:rsidRDefault="00235BBE" w:rsidP="00235BBE">
            <w:pPr>
              <w:jc w:val="center"/>
              <w:rPr>
                <w:rFonts w:ascii="Cambria" w:hAnsi="Cambria"/>
                <w:sz w:val="20"/>
                <w:szCs w:val="20"/>
              </w:rPr>
            </w:pPr>
            <w:r w:rsidRPr="00210201">
              <w:rPr>
                <w:rFonts w:ascii="Cambria" w:hAnsi="Cambria"/>
                <w:sz w:val="20"/>
                <w:szCs w:val="20"/>
              </w:rPr>
              <w:t>11</w:t>
            </w:r>
          </w:p>
        </w:tc>
        <w:tc>
          <w:tcPr>
            <w:tcW w:w="2700" w:type="dxa"/>
            <w:shd w:val="clear" w:color="D9E1F2" w:fill="FFFFFF"/>
            <w:vAlign w:val="center"/>
            <w:hideMark/>
          </w:tcPr>
          <w:p w14:paraId="0CCA4047" w14:textId="7184BA01"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4A1E25B0" w14:textId="77777777" w:rsidTr="005E6A35">
        <w:trPr>
          <w:trHeight w:val="326"/>
        </w:trPr>
        <w:tc>
          <w:tcPr>
            <w:tcW w:w="715" w:type="dxa"/>
            <w:shd w:val="clear" w:color="000000" w:fill="FFFFFF"/>
            <w:vAlign w:val="center"/>
            <w:hideMark/>
          </w:tcPr>
          <w:p w14:paraId="07B2CAC8"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23</w:t>
            </w:r>
          </w:p>
        </w:tc>
        <w:tc>
          <w:tcPr>
            <w:tcW w:w="2340" w:type="dxa"/>
            <w:shd w:val="clear" w:color="D9E1F2" w:fill="FFFFFF"/>
            <w:vAlign w:val="center"/>
            <w:hideMark/>
          </w:tcPr>
          <w:p w14:paraId="711A17F2" w14:textId="77777777" w:rsidR="00235BBE" w:rsidRPr="00210201" w:rsidRDefault="00235BBE" w:rsidP="00235BBE">
            <w:pPr>
              <w:jc w:val="center"/>
              <w:rPr>
                <w:rFonts w:ascii="Cambria" w:hAnsi="Cambria"/>
                <w:sz w:val="20"/>
                <w:szCs w:val="20"/>
              </w:rPr>
            </w:pPr>
            <w:r w:rsidRPr="00210201">
              <w:rPr>
                <w:rFonts w:ascii="Cambria" w:hAnsi="Cambria"/>
                <w:sz w:val="20"/>
                <w:szCs w:val="20"/>
              </w:rPr>
              <w:t>CHILE</w:t>
            </w:r>
          </w:p>
        </w:tc>
        <w:tc>
          <w:tcPr>
            <w:tcW w:w="2790" w:type="dxa"/>
            <w:shd w:val="clear" w:color="000000" w:fill="FFFFFF"/>
            <w:vAlign w:val="center"/>
            <w:hideMark/>
          </w:tcPr>
          <w:p w14:paraId="11158F16" w14:textId="77777777" w:rsidR="00235BBE" w:rsidRPr="00210201" w:rsidRDefault="00235BBE" w:rsidP="00235BBE">
            <w:pPr>
              <w:jc w:val="center"/>
              <w:rPr>
                <w:rFonts w:ascii="Cambria" w:hAnsi="Cambria"/>
                <w:sz w:val="20"/>
                <w:szCs w:val="20"/>
              </w:rPr>
            </w:pPr>
            <w:r w:rsidRPr="00210201">
              <w:rPr>
                <w:rFonts w:ascii="Cambria" w:hAnsi="Cambria"/>
                <w:sz w:val="20"/>
                <w:szCs w:val="20"/>
              </w:rPr>
              <w:t>P-2424-12</w:t>
            </w:r>
          </w:p>
        </w:tc>
        <w:tc>
          <w:tcPr>
            <w:tcW w:w="1080" w:type="dxa"/>
            <w:shd w:val="clear" w:color="000000" w:fill="FFFFFF"/>
            <w:vAlign w:val="center"/>
            <w:hideMark/>
          </w:tcPr>
          <w:p w14:paraId="031EEF53" w14:textId="77777777" w:rsidR="00235BBE" w:rsidRPr="00210201" w:rsidRDefault="00235BBE" w:rsidP="00235BBE">
            <w:pPr>
              <w:jc w:val="center"/>
              <w:rPr>
                <w:rFonts w:ascii="Cambria" w:hAnsi="Cambria"/>
                <w:sz w:val="20"/>
                <w:szCs w:val="20"/>
              </w:rPr>
            </w:pPr>
            <w:r w:rsidRPr="00210201">
              <w:rPr>
                <w:rFonts w:ascii="Cambria" w:hAnsi="Cambria"/>
                <w:sz w:val="20"/>
                <w:szCs w:val="20"/>
              </w:rPr>
              <w:t>12</w:t>
            </w:r>
          </w:p>
        </w:tc>
        <w:tc>
          <w:tcPr>
            <w:tcW w:w="2700" w:type="dxa"/>
            <w:shd w:val="clear" w:color="D9E1F2" w:fill="FFFFFF"/>
            <w:vAlign w:val="center"/>
            <w:hideMark/>
          </w:tcPr>
          <w:p w14:paraId="54CFFCB2" w14:textId="42BA169A"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10485416" w14:textId="77777777" w:rsidTr="005E6A35">
        <w:trPr>
          <w:trHeight w:val="317"/>
        </w:trPr>
        <w:tc>
          <w:tcPr>
            <w:tcW w:w="715" w:type="dxa"/>
            <w:shd w:val="clear" w:color="000000" w:fill="FFFFFF"/>
            <w:vAlign w:val="center"/>
            <w:hideMark/>
          </w:tcPr>
          <w:p w14:paraId="0198A66F"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24</w:t>
            </w:r>
          </w:p>
        </w:tc>
        <w:tc>
          <w:tcPr>
            <w:tcW w:w="2340" w:type="dxa"/>
            <w:shd w:val="clear" w:color="D9E1F2" w:fill="FFFFFF"/>
            <w:vAlign w:val="center"/>
            <w:hideMark/>
          </w:tcPr>
          <w:p w14:paraId="5835AD77" w14:textId="77777777" w:rsidR="00235BBE" w:rsidRPr="00210201" w:rsidRDefault="00235BBE" w:rsidP="00235BBE">
            <w:pPr>
              <w:jc w:val="center"/>
              <w:rPr>
                <w:rFonts w:ascii="Cambria" w:hAnsi="Cambria"/>
                <w:sz w:val="20"/>
                <w:szCs w:val="20"/>
              </w:rPr>
            </w:pPr>
            <w:r w:rsidRPr="00210201">
              <w:rPr>
                <w:rFonts w:ascii="Cambria" w:hAnsi="Cambria"/>
                <w:sz w:val="20"/>
                <w:szCs w:val="20"/>
              </w:rPr>
              <w:t>CHILE</w:t>
            </w:r>
          </w:p>
        </w:tc>
        <w:tc>
          <w:tcPr>
            <w:tcW w:w="2790" w:type="dxa"/>
            <w:shd w:val="clear" w:color="D9E1F2" w:fill="FFFFFF"/>
            <w:vAlign w:val="center"/>
            <w:hideMark/>
          </w:tcPr>
          <w:p w14:paraId="1E4C9077" w14:textId="77777777" w:rsidR="00235BBE" w:rsidRPr="00210201" w:rsidRDefault="00235BBE" w:rsidP="00235BBE">
            <w:pPr>
              <w:jc w:val="center"/>
              <w:rPr>
                <w:rFonts w:ascii="Cambria" w:hAnsi="Cambria"/>
                <w:sz w:val="20"/>
                <w:szCs w:val="20"/>
              </w:rPr>
            </w:pPr>
            <w:r w:rsidRPr="00210201">
              <w:rPr>
                <w:rFonts w:ascii="Cambria" w:hAnsi="Cambria"/>
                <w:sz w:val="20"/>
                <w:szCs w:val="20"/>
              </w:rPr>
              <w:t>P-2439-12</w:t>
            </w:r>
          </w:p>
        </w:tc>
        <w:tc>
          <w:tcPr>
            <w:tcW w:w="1080" w:type="dxa"/>
            <w:shd w:val="clear" w:color="D9E1F2" w:fill="FFFFFF"/>
            <w:vAlign w:val="center"/>
            <w:hideMark/>
          </w:tcPr>
          <w:p w14:paraId="7A4EE930" w14:textId="77777777" w:rsidR="00235BBE" w:rsidRPr="00210201" w:rsidRDefault="00235BBE" w:rsidP="00235BBE">
            <w:pPr>
              <w:jc w:val="center"/>
              <w:rPr>
                <w:rFonts w:ascii="Cambria" w:hAnsi="Cambria"/>
                <w:sz w:val="20"/>
                <w:szCs w:val="20"/>
              </w:rPr>
            </w:pPr>
            <w:r w:rsidRPr="00210201">
              <w:rPr>
                <w:rFonts w:ascii="Cambria" w:hAnsi="Cambria"/>
                <w:sz w:val="20"/>
                <w:szCs w:val="20"/>
              </w:rPr>
              <w:t>12</w:t>
            </w:r>
          </w:p>
        </w:tc>
        <w:tc>
          <w:tcPr>
            <w:tcW w:w="2700" w:type="dxa"/>
            <w:shd w:val="clear" w:color="D9E1F2" w:fill="FFFFFF"/>
            <w:vAlign w:val="center"/>
            <w:hideMark/>
          </w:tcPr>
          <w:p w14:paraId="4054CCF9" w14:textId="7BE1F9A5"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0868A1F6" w14:textId="77777777" w:rsidTr="005E6A35">
        <w:trPr>
          <w:trHeight w:val="317"/>
        </w:trPr>
        <w:tc>
          <w:tcPr>
            <w:tcW w:w="715" w:type="dxa"/>
            <w:shd w:val="clear" w:color="000000" w:fill="FFFFFF"/>
            <w:vAlign w:val="center"/>
            <w:hideMark/>
          </w:tcPr>
          <w:p w14:paraId="41CE8B7C"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25</w:t>
            </w:r>
          </w:p>
        </w:tc>
        <w:tc>
          <w:tcPr>
            <w:tcW w:w="2340" w:type="dxa"/>
            <w:shd w:val="clear" w:color="D9E1F2" w:fill="FFFFFF"/>
            <w:vAlign w:val="center"/>
            <w:hideMark/>
          </w:tcPr>
          <w:p w14:paraId="2BC9F66E" w14:textId="77777777" w:rsidR="00235BBE" w:rsidRPr="00210201" w:rsidRDefault="00235BBE" w:rsidP="00235BBE">
            <w:pPr>
              <w:jc w:val="center"/>
              <w:rPr>
                <w:rFonts w:ascii="Cambria" w:hAnsi="Cambria"/>
                <w:sz w:val="20"/>
                <w:szCs w:val="20"/>
              </w:rPr>
            </w:pPr>
            <w:r w:rsidRPr="00210201">
              <w:rPr>
                <w:rFonts w:ascii="Cambria" w:hAnsi="Cambria"/>
                <w:sz w:val="20"/>
                <w:szCs w:val="20"/>
              </w:rPr>
              <w:t>CHILE</w:t>
            </w:r>
          </w:p>
        </w:tc>
        <w:tc>
          <w:tcPr>
            <w:tcW w:w="2790" w:type="dxa"/>
            <w:shd w:val="clear" w:color="D9E1F2" w:fill="FFFFFF"/>
            <w:vAlign w:val="center"/>
            <w:hideMark/>
          </w:tcPr>
          <w:p w14:paraId="7DFFA064" w14:textId="77777777" w:rsidR="00235BBE" w:rsidRPr="00210201" w:rsidRDefault="00235BBE" w:rsidP="00235BBE">
            <w:pPr>
              <w:jc w:val="center"/>
              <w:rPr>
                <w:rFonts w:ascii="Cambria" w:hAnsi="Cambria"/>
                <w:sz w:val="20"/>
                <w:szCs w:val="20"/>
              </w:rPr>
            </w:pPr>
            <w:r w:rsidRPr="00210201">
              <w:rPr>
                <w:rFonts w:ascii="Cambria" w:hAnsi="Cambria"/>
                <w:sz w:val="20"/>
                <w:szCs w:val="20"/>
              </w:rPr>
              <w:t>P-49-15</w:t>
            </w:r>
          </w:p>
        </w:tc>
        <w:tc>
          <w:tcPr>
            <w:tcW w:w="1080" w:type="dxa"/>
            <w:shd w:val="clear" w:color="D9E1F2" w:fill="FFFFFF"/>
            <w:vAlign w:val="center"/>
            <w:hideMark/>
          </w:tcPr>
          <w:p w14:paraId="52B912A4" w14:textId="77777777" w:rsidR="00235BBE" w:rsidRPr="00210201" w:rsidRDefault="00235BBE" w:rsidP="00235BBE">
            <w:pPr>
              <w:jc w:val="center"/>
              <w:rPr>
                <w:rFonts w:ascii="Cambria" w:hAnsi="Cambria"/>
                <w:sz w:val="20"/>
                <w:szCs w:val="20"/>
              </w:rPr>
            </w:pPr>
            <w:r w:rsidRPr="00210201">
              <w:rPr>
                <w:rFonts w:ascii="Cambria" w:hAnsi="Cambria"/>
                <w:sz w:val="20"/>
                <w:szCs w:val="20"/>
              </w:rPr>
              <w:t>15</w:t>
            </w:r>
          </w:p>
        </w:tc>
        <w:tc>
          <w:tcPr>
            <w:tcW w:w="2700" w:type="dxa"/>
            <w:shd w:val="clear" w:color="D9E1F2" w:fill="FFFFFF"/>
            <w:vAlign w:val="center"/>
            <w:hideMark/>
          </w:tcPr>
          <w:p w14:paraId="210CF03A" w14:textId="73259EDB"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42F9BC92" w14:textId="77777777" w:rsidTr="005E6A35">
        <w:trPr>
          <w:trHeight w:val="326"/>
        </w:trPr>
        <w:tc>
          <w:tcPr>
            <w:tcW w:w="715" w:type="dxa"/>
            <w:shd w:val="clear" w:color="000000" w:fill="FFFFFF"/>
            <w:vAlign w:val="center"/>
            <w:hideMark/>
          </w:tcPr>
          <w:p w14:paraId="311A1962"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26</w:t>
            </w:r>
          </w:p>
        </w:tc>
        <w:tc>
          <w:tcPr>
            <w:tcW w:w="2340" w:type="dxa"/>
            <w:shd w:val="clear" w:color="000000" w:fill="FFFFFF"/>
            <w:vAlign w:val="center"/>
            <w:hideMark/>
          </w:tcPr>
          <w:p w14:paraId="514C9539"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020596A2" w14:textId="77777777" w:rsidR="00235BBE" w:rsidRPr="00210201" w:rsidRDefault="00235BBE" w:rsidP="00235BBE">
            <w:pPr>
              <w:jc w:val="center"/>
              <w:rPr>
                <w:rFonts w:ascii="Cambria" w:hAnsi="Cambria"/>
                <w:sz w:val="20"/>
                <w:szCs w:val="20"/>
              </w:rPr>
            </w:pPr>
            <w:r w:rsidRPr="00210201">
              <w:rPr>
                <w:rFonts w:ascii="Cambria" w:hAnsi="Cambria"/>
                <w:sz w:val="20"/>
                <w:szCs w:val="20"/>
              </w:rPr>
              <w:t>P-1647-07</w:t>
            </w:r>
          </w:p>
        </w:tc>
        <w:tc>
          <w:tcPr>
            <w:tcW w:w="1080" w:type="dxa"/>
            <w:shd w:val="clear" w:color="000000" w:fill="FFFFFF"/>
            <w:vAlign w:val="center"/>
            <w:hideMark/>
          </w:tcPr>
          <w:p w14:paraId="2B70800C" w14:textId="77777777" w:rsidR="00235BBE" w:rsidRPr="00210201" w:rsidRDefault="00235BBE" w:rsidP="00235BBE">
            <w:pPr>
              <w:jc w:val="center"/>
              <w:rPr>
                <w:rFonts w:ascii="Cambria" w:hAnsi="Cambria"/>
                <w:sz w:val="20"/>
                <w:szCs w:val="20"/>
              </w:rPr>
            </w:pPr>
            <w:r w:rsidRPr="00210201">
              <w:rPr>
                <w:rFonts w:ascii="Cambria" w:hAnsi="Cambria"/>
                <w:sz w:val="20"/>
                <w:szCs w:val="20"/>
              </w:rPr>
              <w:t>7</w:t>
            </w:r>
          </w:p>
        </w:tc>
        <w:tc>
          <w:tcPr>
            <w:tcW w:w="2700" w:type="dxa"/>
            <w:shd w:val="clear" w:color="000000" w:fill="FFFFFF"/>
            <w:vAlign w:val="center"/>
            <w:hideMark/>
          </w:tcPr>
          <w:p w14:paraId="15ED12DF" w14:textId="56B97462"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4C353248" w14:textId="77777777" w:rsidTr="005E6A35">
        <w:trPr>
          <w:trHeight w:val="308"/>
        </w:trPr>
        <w:tc>
          <w:tcPr>
            <w:tcW w:w="715" w:type="dxa"/>
            <w:shd w:val="clear" w:color="000000" w:fill="FFFFFF"/>
            <w:vAlign w:val="center"/>
            <w:hideMark/>
          </w:tcPr>
          <w:p w14:paraId="01C3F26D"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27</w:t>
            </w:r>
          </w:p>
        </w:tc>
        <w:tc>
          <w:tcPr>
            <w:tcW w:w="2340" w:type="dxa"/>
            <w:shd w:val="clear" w:color="000000" w:fill="FFFFFF"/>
            <w:vAlign w:val="center"/>
            <w:hideMark/>
          </w:tcPr>
          <w:p w14:paraId="5537FAB7"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5F9A2462" w14:textId="77777777" w:rsidR="00235BBE" w:rsidRPr="00210201" w:rsidRDefault="00235BBE" w:rsidP="00235BBE">
            <w:pPr>
              <w:jc w:val="center"/>
              <w:rPr>
                <w:rFonts w:ascii="Cambria" w:hAnsi="Cambria"/>
                <w:sz w:val="20"/>
                <w:szCs w:val="20"/>
              </w:rPr>
            </w:pPr>
            <w:r w:rsidRPr="00210201">
              <w:rPr>
                <w:rFonts w:ascii="Cambria" w:hAnsi="Cambria"/>
                <w:sz w:val="20"/>
                <w:szCs w:val="20"/>
              </w:rPr>
              <w:t>P-1610-13</w:t>
            </w:r>
          </w:p>
        </w:tc>
        <w:tc>
          <w:tcPr>
            <w:tcW w:w="1080" w:type="dxa"/>
            <w:shd w:val="clear" w:color="000000" w:fill="FFFFFF"/>
            <w:vAlign w:val="center"/>
            <w:hideMark/>
          </w:tcPr>
          <w:p w14:paraId="3772B5A5" w14:textId="77777777" w:rsidR="00235BBE" w:rsidRPr="00210201" w:rsidRDefault="00235BBE" w:rsidP="00235BBE">
            <w:pPr>
              <w:jc w:val="center"/>
              <w:rPr>
                <w:rFonts w:ascii="Cambria" w:hAnsi="Cambria"/>
                <w:sz w:val="20"/>
                <w:szCs w:val="20"/>
              </w:rPr>
            </w:pPr>
            <w:r w:rsidRPr="00210201">
              <w:rPr>
                <w:rFonts w:ascii="Cambria" w:hAnsi="Cambria"/>
                <w:sz w:val="20"/>
                <w:szCs w:val="20"/>
              </w:rPr>
              <w:t>13</w:t>
            </w:r>
          </w:p>
        </w:tc>
        <w:tc>
          <w:tcPr>
            <w:tcW w:w="2700" w:type="dxa"/>
            <w:shd w:val="clear" w:color="000000" w:fill="FFFFFF"/>
            <w:vAlign w:val="center"/>
            <w:hideMark/>
          </w:tcPr>
          <w:p w14:paraId="46AF3FF3" w14:textId="1AABA318"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2A761131" w14:textId="77777777" w:rsidTr="005E6A35">
        <w:trPr>
          <w:trHeight w:val="317"/>
        </w:trPr>
        <w:tc>
          <w:tcPr>
            <w:tcW w:w="715" w:type="dxa"/>
            <w:shd w:val="clear" w:color="000000" w:fill="FFFFFF"/>
            <w:vAlign w:val="center"/>
            <w:hideMark/>
          </w:tcPr>
          <w:p w14:paraId="2FD6C84D"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lastRenderedPageBreak/>
              <w:t>28</w:t>
            </w:r>
          </w:p>
        </w:tc>
        <w:tc>
          <w:tcPr>
            <w:tcW w:w="2340" w:type="dxa"/>
            <w:shd w:val="clear" w:color="000000" w:fill="FFFFFF"/>
            <w:vAlign w:val="center"/>
            <w:hideMark/>
          </w:tcPr>
          <w:p w14:paraId="5DCF0B23"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6AEB1D65" w14:textId="77777777" w:rsidR="00235BBE" w:rsidRPr="00210201" w:rsidRDefault="00235BBE" w:rsidP="00235BBE">
            <w:pPr>
              <w:jc w:val="center"/>
              <w:rPr>
                <w:rFonts w:ascii="Cambria" w:hAnsi="Cambria"/>
                <w:sz w:val="20"/>
                <w:szCs w:val="20"/>
              </w:rPr>
            </w:pPr>
            <w:r w:rsidRPr="00210201">
              <w:rPr>
                <w:rFonts w:ascii="Cambria" w:hAnsi="Cambria"/>
                <w:sz w:val="20"/>
                <w:szCs w:val="20"/>
              </w:rPr>
              <w:t>P-520-14</w:t>
            </w:r>
          </w:p>
        </w:tc>
        <w:tc>
          <w:tcPr>
            <w:tcW w:w="1080" w:type="dxa"/>
            <w:shd w:val="clear" w:color="000000" w:fill="FFFFFF"/>
            <w:vAlign w:val="center"/>
            <w:hideMark/>
          </w:tcPr>
          <w:p w14:paraId="58D3AA2B" w14:textId="77777777" w:rsidR="00235BBE" w:rsidRPr="00210201" w:rsidRDefault="00235BBE" w:rsidP="00235BBE">
            <w:pPr>
              <w:jc w:val="center"/>
              <w:rPr>
                <w:rFonts w:ascii="Cambria" w:hAnsi="Cambria"/>
                <w:sz w:val="20"/>
                <w:szCs w:val="20"/>
              </w:rPr>
            </w:pPr>
            <w:r w:rsidRPr="00210201">
              <w:rPr>
                <w:rFonts w:ascii="Cambria" w:hAnsi="Cambria"/>
                <w:sz w:val="20"/>
                <w:szCs w:val="20"/>
              </w:rPr>
              <w:t>14</w:t>
            </w:r>
          </w:p>
        </w:tc>
        <w:tc>
          <w:tcPr>
            <w:tcW w:w="2700" w:type="dxa"/>
            <w:shd w:val="clear" w:color="000000" w:fill="FFFFFF"/>
            <w:vAlign w:val="center"/>
            <w:hideMark/>
          </w:tcPr>
          <w:p w14:paraId="4B3424D6" w14:textId="2178BA4B"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31777218" w14:textId="77777777" w:rsidTr="005E6A35">
        <w:trPr>
          <w:trHeight w:val="335"/>
        </w:trPr>
        <w:tc>
          <w:tcPr>
            <w:tcW w:w="715" w:type="dxa"/>
            <w:shd w:val="clear" w:color="000000" w:fill="FFFFFF"/>
            <w:vAlign w:val="center"/>
            <w:hideMark/>
          </w:tcPr>
          <w:p w14:paraId="0E7E4A6A"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29</w:t>
            </w:r>
          </w:p>
        </w:tc>
        <w:tc>
          <w:tcPr>
            <w:tcW w:w="2340" w:type="dxa"/>
            <w:shd w:val="clear" w:color="000000" w:fill="FFFFFF"/>
            <w:vAlign w:val="center"/>
            <w:hideMark/>
          </w:tcPr>
          <w:p w14:paraId="1DF96E2C"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0504412A" w14:textId="77777777" w:rsidR="00235BBE" w:rsidRPr="00210201" w:rsidRDefault="00235BBE" w:rsidP="00235BBE">
            <w:pPr>
              <w:jc w:val="center"/>
              <w:rPr>
                <w:rFonts w:ascii="Cambria" w:hAnsi="Cambria"/>
                <w:sz w:val="20"/>
                <w:szCs w:val="20"/>
              </w:rPr>
            </w:pPr>
            <w:r w:rsidRPr="00210201">
              <w:rPr>
                <w:rFonts w:ascii="Cambria" w:hAnsi="Cambria"/>
                <w:sz w:val="20"/>
                <w:szCs w:val="20"/>
              </w:rPr>
              <w:t>P-612-14</w:t>
            </w:r>
          </w:p>
        </w:tc>
        <w:tc>
          <w:tcPr>
            <w:tcW w:w="1080" w:type="dxa"/>
            <w:shd w:val="clear" w:color="000000" w:fill="FFFFFF"/>
            <w:vAlign w:val="center"/>
            <w:hideMark/>
          </w:tcPr>
          <w:p w14:paraId="0F449E0F" w14:textId="77777777" w:rsidR="00235BBE" w:rsidRPr="00210201" w:rsidRDefault="00235BBE" w:rsidP="00235BBE">
            <w:pPr>
              <w:jc w:val="center"/>
              <w:rPr>
                <w:rFonts w:ascii="Cambria" w:hAnsi="Cambria"/>
                <w:sz w:val="20"/>
                <w:szCs w:val="20"/>
              </w:rPr>
            </w:pPr>
            <w:r w:rsidRPr="00210201">
              <w:rPr>
                <w:rFonts w:ascii="Cambria" w:hAnsi="Cambria"/>
                <w:sz w:val="20"/>
                <w:szCs w:val="20"/>
              </w:rPr>
              <w:t>14</w:t>
            </w:r>
          </w:p>
        </w:tc>
        <w:tc>
          <w:tcPr>
            <w:tcW w:w="2700" w:type="dxa"/>
            <w:shd w:val="clear" w:color="000000" w:fill="FFFFFF"/>
            <w:vAlign w:val="center"/>
            <w:hideMark/>
          </w:tcPr>
          <w:p w14:paraId="567068F5" w14:textId="32DB3F3F"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35799348" w14:textId="77777777" w:rsidTr="0086460E">
        <w:trPr>
          <w:trHeight w:val="308"/>
        </w:trPr>
        <w:tc>
          <w:tcPr>
            <w:tcW w:w="715" w:type="dxa"/>
            <w:shd w:val="clear" w:color="000000" w:fill="FFFFFF"/>
            <w:vAlign w:val="center"/>
            <w:hideMark/>
          </w:tcPr>
          <w:p w14:paraId="4E60DC8F"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30</w:t>
            </w:r>
          </w:p>
        </w:tc>
        <w:tc>
          <w:tcPr>
            <w:tcW w:w="2340" w:type="dxa"/>
            <w:shd w:val="clear" w:color="000000" w:fill="FFFFFF"/>
            <w:vAlign w:val="center"/>
            <w:hideMark/>
          </w:tcPr>
          <w:p w14:paraId="74FA2B9E"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3C684C27" w14:textId="77777777" w:rsidR="00235BBE" w:rsidRPr="00210201" w:rsidRDefault="00235BBE" w:rsidP="00235BBE">
            <w:pPr>
              <w:jc w:val="center"/>
              <w:rPr>
                <w:rFonts w:ascii="Cambria" w:hAnsi="Cambria"/>
                <w:sz w:val="20"/>
                <w:szCs w:val="20"/>
              </w:rPr>
            </w:pPr>
            <w:r w:rsidRPr="00210201">
              <w:rPr>
                <w:rFonts w:ascii="Cambria" w:hAnsi="Cambria"/>
                <w:sz w:val="20"/>
                <w:szCs w:val="20"/>
              </w:rPr>
              <w:t>P-216-16</w:t>
            </w:r>
          </w:p>
        </w:tc>
        <w:tc>
          <w:tcPr>
            <w:tcW w:w="1080" w:type="dxa"/>
            <w:shd w:val="clear" w:color="000000" w:fill="FFFFFF"/>
            <w:vAlign w:val="center"/>
            <w:hideMark/>
          </w:tcPr>
          <w:p w14:paraId="083E4279" w14:textId="77777777" w:rsidR="00235BBE" w:rsidRPr="00210201" w:rsidRDefault="00235BBE" w:rsidP="00235BBE">
            <w:pPr>
              <w:jc w:val="center"/>
              <w:rPr>
                <w:rFonts w:ascii="Cambria" w:hAnsi="Cambria"/>
                <w:sz w:val="20"/>
                <w:szCs w:val="20"/>
              </w:rPr>
            </w:pPr>
            <w:r w:rsidRPr="00210201">
              <w:rPr>
                <w:rFonts w:ascii="Cambria" w:hAnsi="Cambria"/>
                <w:sz w:val="20"/>
                <w:szCs w:val="20"/>
              </w:rPr>
              <w:t>16</w:t>
            </w:r>
          </w:p>
        </w:tc>
        <w:tc>
          <w:tcPr>
            <w:tcW w:w="2700" w:type="dxa"/>
            <w:shd w:val="clear" w:color="000000" w:fill="FFFFFF"/>
            <w:vAlign w:val="center"/>
            <w:hideMark/>
          </w:tcPr>
          <w:p w14:paraId="5788C850" w14:textId="0C557C39"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63DB46D1" w14:textId="77777777" w:rsidTr="005E6A35">
        <w:trPr>
          <w:trHeight w:val="326"/>
        </w:trPr>
        <w:tc>
          <w:tcPr>
            <w:tcW w:w="715" w:type="dxa"/>
            <w:shd w:val="clear" w:color="000000" w:fill="FFFFFF"/>
            <w:vAlign w:val="center"/>
            <w:hideMark/>
          </w:tcPr>
          <w:p w14:paraId="1414126B"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31</w:t>
            </w:r>
          </w:p>
        </w:tc>
        <w:tc>
          <w:tcPr>
            <w:tcW w:w="2340" w:type="dxa"/>
            <w:shd w:val="clear" w:color="000000" w:fill="FFFFFF"/>
            <w:vAlign w:val="center"/>
            <w:hideMark/>
          </w:tcPr>
          <w:p w14:paraId="61133D81"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3A2B6544" w14:textId="77777777" w:rsidR="00235BBE" w:rsidRPr="00210201" w:rsidRDefault="00235BBE" w:rsidP="00235BBE">
            <w:pPr>
              <w:jc w:val="center"/>
              <w:rPr>
                <w:rFonts w:ascii="Cambria" w:hAnsi="Cambria"/>
                <w:sz w:val="20"/>
                <w:szCs w:val="20"/>
              </w:rPr>
            </w:pPr>
            <w:r w:rsidRPr="00210201">
              <w:rPr>
                <w:rFonts w:ascii="Cambria" w:hAnsi="Cambria"/>
                <w:sz w:val="20"/>
                <w:szCs w:val="20"/>
              </w:rPr>
              <w:t>P-470-16</w:t>
            </w:r>
          </w:p>
        </w:tc>
        <w:tc>
          <w:tcPr>
            <w:tcW w:w="1080" w:type="dxa"/>
            <w:shd w:val="clear" w:color="000000" w:fill="FFFFFF"/>
            <w:vAlign w:val="center"/>
            <w:hideMark/>
          </w:tcPr>
          <w:p w14:paraId="2DD8AEA8" w14:textId="77777777" w:rsidR="00235BBE" w:rsidRPr="00210201" w:rsidRDefault="00235BBE" w:rsidP="00235BBE">
            <w:pPr>
              <w:jc w:val="center"/>
              <w:rPr>
                <w:rFonts w:ascii="Cambria" w:hAnsi="Cambria"/>
                <w:sz w:val="20"/>
                <w:szCs w:val="20"/>
              </w:rPr>
            </w:pPr>
            <w:r w:rsidRPr="00210201">
              <w:rPr>
                <w:rFonts w:ascii="Cambria" w:hAnsi="Cambria"/>
                <w:sz w:val="20"/>
                <w:szCs w:val="20"/>
              </w:rPr>
              <w:t>16</w:t>
            </w:r>
          </w:p>
        </w:tc>
        <w:tc>
          <w:tcPr>
            <w:tcW w:w="2700" w:type="dxa"/>
            <w:shd w:val="clear" w:color="000000" w:fill="FFFFFF"/>
            <w:vAlign w:val="center"/>
            <w:hideMark/>
          </w:tcPr>
          <w:p w14:paraId="6CB12B69" w14:textId="6833E40C"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13E4DC86" w14:textId="77777777" w:rsidTr="005E6A35">
        <w:trPr>
          <w:trHeight w:val="326"/>
        </w:trPr>
        <w:tc>
          <w:tcPr>
            <w:tcW w:w="715" w:type="dxa"/>
            <w:shd w:val="clear" w:color="000000" w:fill="FFFFFF"/>
            <w:vAlign w:val="center"/>
            <w:hideMark/>
          </w:tcPr>
          <w:p w14:paraId="6E389A83"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32</w:t>
            </w:r>
          </w:p>
        </w:tc>
        <w:tc>
          <w:tcPr>
            <w:tcW w:w="2340" w:type="dxa"/>
            <w:shd w:val="clear" w:color="000000" w:fill="FFFFFF"/>
            <w:vAlign w:val="center"/>
            <w:hideMark/>
          </w:tcPr>
          <w:p w14:paraId="0C8C8496"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05C71EAD" w14:textId="77777777" w:rsidR="00235BBE" w:rsidRPr="00210201" w:rsidRDefault="00235BBE" w:rsidP="00235BBE">
            <w:pPr>
              <w:jc w:val="center"/>
              <w:rPr>
                <w:rFonts w:ascii="Cambria" w:hAnsi="Cambria"/>
                <w:sz w:val="20"/>
                <w:szCs w:val="20"/>
              </w:rPr>
            </w:pPr>
            <w:r w:rsidRPr="00210201">
              <w:rPr>
                <w:rFonts w:ascii="Cambria" w:hAnsi="Cambria"/>
                <w:sz w:val="20"/>
                <w:szCs w:val="20"/>
              </w:rPr>
              <w:t>P-2052-16</w:t>
            </w:r>
          </w:p>
        </w:tc>
        <w:tc>
          <w:tcPr>
            <w:tcW w:w="1080" w:type="dxa"/>
            <w:shd w:val="clear" w:color="000000" w:fill="FFFFFF"/>
            <w:vAlign w:val="center"/>
            <w:hideMark/>
          </w:tcPr>
          <w:p w14:paraId="42F07E75" w14:textId="77777777" w:rsidR="00235BBE" w:rsidRPr="00210201" w:rsidRDefault="00235BBE" w:rsidP="00235BBE">
            <w:pPr>
              <w:jc w:val="center"/>
              <w:rPr>
                <w:rFonts w:ascii="Cambria" w:hAnsi="Cambria"/>
                <w:sz w:val="20"/>
                <w:szCs w:val="20"/>
              </w:rPr>
            </w:pPr>
            <w:r w:rsidRPr="00210201">
              <w:rPr>
                <w:rFonts w:ascii="Cambria" w:hAnsi="Cambria"/>
                <w:sz w:val="20"/>
                <w:szCs w:val="20"/>
              </w:rPr>
              <w:t>16</w:t>
            </w:r>
          </w:p>
        </w:tc>
        <w:tc>
          <w:tcPr>
            <w:tcW w:w="2700" w:type="dxa"/>
            <w:shd w:val="clear" w:color="000000" w:fill="FFFFFF"/>
            <w:vAlign w:val="center"/>
            <w:hideMark/>
          </w:tcPr>
          <w:p w14:paraId="1F301D68" w14:textId="5A5E8E34"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3A6605DA" w14:textId="77777777" w:rsidTr="005E6A35">
        <w:trPr>
          <w:trHeight w:val="308"/>
        </w:trPr>
        <w:tc>
          <w:tcPr>
            <w:tcW w:w="715" w:type="dxa"/>
            <w:shd w:val="clear" w:color="000000" w:fill="FFFFFF"/>
            <w:vAlign w:val="center"/>
            <w:hideMark/>
          </w:tcPr>
          <w:p w14:paraId="4DECCDEE"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33</w:t>
            </w:r>
          </w:p>
        </w:tc>
        <w:tc>
          <w:tcPr>
            <w:tcW w:w="2340" w:type="dxa"/>
            <w:shd w:val="clear" w:color="000000" w:fill="FFFFFF"/>
            <w:vAlign w:val="center"/>
            <w:hideMark/>
          </w:tcPr>
          <w:p w14:paraId="10A507B8"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2625D2AC" w14:textId="77777777" w:rsidR="00235BBE" w:rsidRPr="00210201" w:rsidRDefault="00235BBE" w:rsidP="00235BBE">
            <w:pPr>
              <w:jc w:val="center"/>
              <w:rPr>
                <w:rFonts w:ascii="Cambria" w:hAnsi="Cambria"/>
                <w:sz w:val="20"/>
                <w:szCs w:val="20"/>
              </w:rPr>
            </w:pPr>
            <w:r w:rsidRPr="00210201">
              <w:rPr>
                <w:rFonts w:ascii="Cambria" w:hAnsi="Cambria"/>
                <w:sz w:val="20"/>
                <w:szCs w:val="20"/>
              </w:rPr>
              <w:t>P-415-17</w:t>
            </w:r>
          </w:p>
        </w:tc>
        <w:tc>
          <w:tcPr>
            <w:tcW w:w="1080" w:type="dxa"/>
            <w:shd w:val="clear" w:color="000000" w:fill="FFFFFF"/>
            <w:vAlign w:val="center"/>
            <w:hideMark/>
          </w:tcPr>
          <w:p w14:paraId="140FC623" w14:textId="77777777" w:rsidR="00235BBE" w:rsidRPr="00210201" w:rsidRDefault="00235BBE" w:rsidP="00235BBE">
            <w:pPr>
              <w:jc w:val="center"/>
              <w:rPr>
                <w:rFonts w:ascii="Cambria" w:hAnsi="Cambria"/>
                <w:sz w:val="20"/>
                <w:szCs w:val="20"/>
              </w:rPr>
            </w:pPr>
            <w:r w:rsidRPr="00210201">
              <w:rPr>
                <w:rFonts w:ascii="Cambria" w:hAnsi="Cambria"/>
                <w:sz w:val="20"/>
                <w:szCs w:val="20"/>
              </w:rPr>
              <w:t>17</w:t>
            </w:r>
          </w:p>
        </w:tc>
        <w:tc>
          <w:tcPr>
            <w:tcW w:w="2700" w:type="dxa"/>
            <w:shd w:val="clear" w:color="000000" w:fill="FFFFFF"/>
            <w:vAlign w:val="center"/>
            <w:hideMark/>
          </w:tcPr>
          <w:p w14:paraId="3C30E24A" w14:textId="395B6F5A"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06589A47" w14:textId="77777777" w:rsidTr="005E6A35">
        <w:trPr>
          <w:trHeight w:val="398"/>
        </w:trPr>
        <w:tc>
          <w:tcPr>
            <w:tcW w:w="715" w:type="dxa"/>
            <w:shd w:val="clear" w:color="000000" w:fill="FFFFFF"/>
            <w:vAlign w:val="center"/>
            <w:hideMark/>
          </w:tcPr>
          <w:p w14:paraId="76FB5548"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34</w:t>
            </w:r>
          </w:p>
        </w:tc>
        <w:tc>
          <w:tcPr>
            <w:tcW w:w="2340" w:type="dxa"/>
            <w:shd w:val="clear" w:color="000000" w:fill="FFFFFF"/>
            <w:vAlign w:val="center"/>
            <w:hideMark/>
          </w:tcPr>
          <w:p w14:paraId="2303AA3D"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5EA69C08" w14:textId="77777777" w:rsidR="00235BBE" w:rsidRPr="00210201" w:rsidRDefault="00235BBE" w:rsidP="00235BBE">
            <w:pPr>
              <w:jc w:val="center"/>
              <w:rPr>
                <w:rFonts w:ascii="Cambria" w:hAnsi="Cambria"/>
                <w:sz w:val="20"/>
                <w:szCs w:val="20"/>
              </w:rPr>
            </w:pPr>
            <w:r w:rsidRPr="00210201">
              <w:rPr>
                <w:rFonts w:ascii="Cambria" w:hAnsi="Cambria"/>
                <w:sz w:val="20"/>
                <w:szCs w:val="20"/>
              </w:rPr>
              <w:t>P-2161-17</w:t>
            </w:r>
          </w:p>
        </w:tc>
        <w:tc>
          <w:tcPr>
            <w:tcW w:w="1080" w:type="dxa"/>
            <w:shd w:val="clear" w:color="000000" w:fill="FFFFFF"/>
            <w:vAlign w:val="center"/>
            <w:hideMark/>
          </w:tcPr>
          <w:p w14:paraId="38BCCFC0" w14:textId="77777777" w:rsidR="00235BBE" w:rsidRPr="00210201" w:rsidRDefault="00235BBE" w:rsidP="00235BBE">
            <w:pPr>
              <w:jc w:val="center"/>
              <w:rPr>
                <w:rFonts w:ascii="Cambria" w:hAnsi="Cambria"/>
                <w:sz w:val="20"/>
                <w:szCs w:val="20"/>
              </w:rPr>
            </w:pPr>
            <w:r w:rsidRPr="00210201">
              <w:rPr>
                <w:rFonts w:ascii="Cambria" w:hAnsi="Cambria"/>
                <w:sz w:val="20"/>
                <w:szCs w:val="20"/>
              </w:rPr>
              <w:t>17</w:t>
            </w:r>
          </w:p>
        </w:tc>
        <w:tc>
          <w:tcPr>
            <w:tcW w:w="2700" w:type="dxa"/>
            <w:shd w:val="clear" w:color="000000" w:fill="FFFFFF"/>
            <w:vAlign w:val="center"/>
            <w:hideMark/>
          </w:tcPr>
          <w:p w14:paraId="3E7AC15B" w14:textId="3841F249"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6B6AB07A" w14:textId="77777777" w:rsidTr="005E6A35">
        <w:trPr>
          <w:trHeight w:val="326"/>
        </w:trPr>
        <w:tc>
          <w:tcPr>
            <w:tcW w:w="715" w:type="dxa"/>
            <w:shd w:val="clear" w:color="000000" w:fill="FFFFFF"/>
            <w:vAlign w:val="center"/>
            <w:hideMark/>
          </w:tcPr>
          <w:p w14:paraId="10233D95"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35</w:t>
            </w:r>
          </w:p>
        </w:tc>
        <w:tc>
          <w:tcPr>
            <w:tcW w:w="2340" w:type="dxa"/>
            <w:shd w:val="clear" w:color="000000" w:fill="FFFFFF"/>
            <w:vAlign w:val="center"/>
            <w:hideMark/>
          </w:tcPr>
          <w:p w14:paraId="32FE41EA"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5F337E1B" w14:textId="77777777" w:rsidR="00235BBE" w:rsidRPr="00210201" w:rsidRDefault="00235BBE" w:rsidP="00235BBE">
            <w:pPr>
              <w:jc w:val="center"/>
              <w:rPr>
                <w:rFonts w:ascii="Cambria" w:hAnsi="Cambria"/>
                <w:sz w:val="20"/>
                <w:szCs w:val="20"/>
              </w:rPr>
            </w:pPr>
            <w:r w:rsidRPr="00210201">
              <w:rPr>
                <w:rFonts w:ascii="Cambria" w:hAnsi="Cambria"/>
                <w:sz w:val="20"/>
                <w:szCs w:val="20"/>
              </w:rPr>
              <w:t>P-2177-17</w:t>
            </w:r>
          </w:p>
        </w:tc>
        <w:tc>
          <w:tcPr>
            <w:tcW w:w="1080" w:type="dxa"/>
            <w:shd w:val="clear" w:color="000000" w:fill="FFFFFF"/>
            <w:vAlign w:val="center"/>
            <w:hideMark/>
          </w:tcPr>
          <w:p w14:paraId="5579B251" w14:textId="77777777" w:rsidR="00235BBE" w:rsidRPr="00210201" w:rsidRDefault="00235BBE" w:rsidP="00235BBE">
            <w:pPr>
              <w:jc w:val="center"/>
              <w:rPr>
                <w:rFonts w:ascii="Cambria" w:hAnsi="Cambria"/>
                <w:sz w:val="20"/>
                <w:szCs w:val="20"/>
              </w:rPr>
            </w:pPr>
            <w:r w:rsidRPr="00210201">
              <w:rPr>
                <w:rFonts w:ascii="Cambria" w:hAnsi="Cambria"/>
                <w:sz w:val="20"/>
                <w:szCs w:val="20"/>
              </w:rPr>
              <w:t>17</w:t>
            </w:r>
          </w:p>
        </w:tc>
        <w:tc>
          <w:tcPr>
            <w:tcW w:w="2700" w:type="dxa"/>
            <w:shd w:val="clear" w:color="000000" w:fill="FFFFFF"/>
            <w:vAlign w:val="center"/>
            <w:hideMark/>
          </w:tcPr>
          <w:p w14:paraId="38BAA578" w14:textId="638B0656"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24C54BB3" w14:textId="77777777" w:rsidTr="0086460E">
        <w:trPr>
          <w:trHeight w:val="299"/>
        </w:trPr>
        <w:tc>
          <w:tcPr>
            <w:tcW w:w="715" w:type="dxa"/>
            <w:shd w:val="clear" w:color="000000" w:fill="FFFFFF"/>
            <w:vAlign w:val="center"/>
            <w:hideMark/>
          </w:tcPr>
          <w:p w14:paraId="770127E3"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36</w:t>
            </w:r>
          </w:p>
        </w:tc>
        <w:tc>
          <w:tcPr>
            <w:tcW w:w="2340" w:type="dxa"/>
            <w:shd w:val="clear" w:color="000000" w:fill="FFFFFF"/>
            <w:vAlign w:val="center"/>
            <w:hideMark/>
          </w:tcPr>
          <w:p w14:paraId="02641B24"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5571E84D" w14:textId="77777777" w:rsidR="00235BBE" w:rsidRPr="00210201" w:rsidRDefault="00235BBE" w:rsidP="00235BBE">
            <w:pPr>
              <w:jc w:val="center"/>
              <w:rPr>
                <w:rFonts w:ascii="Cambria" w:hAnsi="Cambria"/>
                <w:sz w:val="20"/>
                <w:szCs w:val="20"/>
              </w:rPr>
            </w:pPr>
            <w:r w:rsidRPr="00210201">
              <w:rPr>
                <w:rFonts w:ascii="Cambria" w:hAnsi="Cambria"/>
                <w:sz w:val="20"/>
                <w:szCs w:val="20"/>
              </w:rPr>
              <w:t>P-2278-17</w:t>
            </w:r>
          </w:p>
        </w:tc>
        <w:tc>
          <w:tcPr>
            <w:tcW w:w="1080" w:type="dxa"/>
            <w:shd w:val="clear" w:color="000000" w:fill="FFFFFF"/>
            <w:vAlign w:val="center"/>
            <w:hideMark/>
          </w:tcPr>
          <w:p w14:paraId="0DE9C2F8" w14:textId="77777777" w:rsidR="00235BBE" w:rsidRPr="00210201" w:rsidRDefault="00235BBE" w:rsidP="00235BBE">
            <w:pPr>
              <w:jc w:val="center"/>
              <w:rPr>
                <w:rFonts w:ascii="Cambria" w:hAnsi="Cambria"/>
                <w:sz w:val="20"/>
                <w:szCs w:val="20"/>
              </w:rPr>
            </w:pPr>
            <w:r w:rsidRPr="00210201">
              <w:rPr>
                <w:rFonts w:ascii="Cambria" w:hAnsi="Cambria"/>
                <w:sz w:val="20"/>
                <w:szCs w:val="20"/>
              </w:rPr>
              <w:t>17</w:t>
            </w:r>
          </w:p>
        </w:tc>
        <w:tc>
          <w:tcPr>
            <w:tcW w:w="2700" w:type="dxa"/>
            <w:shd w:val="clear" w:color="000000" w:fill="FFFFFF"/>
            <w:vAlign w:val="center"/>
            <w:hideMark/>
          </w:tcPr>
          <w:p w14:paraId="5BE96B46" w14:textId="0B13160C"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2E351129" w14:textId="77777777" w:rsidTr="005E6A35">
        <w:trPr>
          <w:trHeight w:val="326"/>
        </w:trPr>
        <w:tc>
          <w:tcPr>
            <w:tcW w:w="715" w:type="dxa"/>
            <w:shd w:val="clear" w:color="000000" w:fill="FFFFFF"/>
            <w:vAlign w:val="center"/>
            <w:hideMark/>
          </w:tcPr>
          <w:p w14:paraId="3FF5E1C0"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37</w:t>
            </w:r>
          </w:p>
        </w:tc>
        <w:tc>
          <w:tcPr>
            <w:tcW w:w="2340" w:type="dxa"/>
            <w:shd w:val="clear" w:color="000000" w:fill="FFFFFF"/>
            <w:vAlign w:val="center"/>
            <w:hideMark/>
          </w:tcPr>
          <w:p w14:paraId="56E266C7"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468DCCF0" w14:textId="77777777" w:rsidR="00235BBE" w:rsidRPr="00210201" w:rsidRDefault="00235BBE" w:rsidP="00235BBE">
            <w:pPr>
              <w:jc w:val="center"/>
              <w:rPr>
                <w:rFonts w:ascii="Cambria" w:hAnsi="Cambria"/>
                <w:sz w:val="20"/>
                <w:szCs w:val="20"/>
              </w:rPr>
            </w:pPr>
            <w:r w:rsidRPr="00210201">
              <w:rPr>
                <w:rFonts w:ascii="Cambria" w:hAnsi="Cambria"/>
                <w:sz w:val="20"/>
                <w:szCs w:val="20"/>
              </w:rPr>
              <w:t>P-445-18</w:t>
            </w:r>
          </w:p>
        </w:tc>
        <w:tc>
          <w:tcPr>
            <w:tcW w:w="1080" w:type="dxa"/>
            <w:shd w:val="clear" w:color="000000" w:fill="FFFFFF"/>
            <w:vAlign w:val="center"/>
            <w:hideMark/>
          </w:tcPr>
          <w:p w14:paraId="48FBFB90"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000000" w:fill="FFFFFF"/>
            <w:vAlign w:val="center"/>
            <w:hideMark/>
          </w:tcPr>
          <w:p w14:paraId="05EE9E21" w14:textId="4837DB6A"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1B4DE2C2" w14:textId="77777777" w:rsidTr="005E6A35">
        <w:trPr>
          <w:trHeight w:val="326"/>
        </w:trPr>
        <w:tc>
          <w:tcPr>
            <w:tcW w:w="715" w:type="dxa"/>
            <w:shd w:val="clear" w:color="000000" w:fill="FFFFFF"/>
            <w:vAlign w:val="center"/>
            <w:hideMark/>
          </w:tcPr>
          <w:p w14:paraId="44E01C13"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38</w:t>
            </w:r>
          </w:p>
        </w:tc>
        <w:tc>
          <w:tcPr>
            <w:tcW w:w="2340" w:type="dxa"/>
            <w:shd w:val="clear" w:color="000000" w:fill="FFFFFF"/>
            <w:vAlign w:val="center"/>
            <w:hideMark/>
          </w:tcPr>
          <w:p w14:paraId="64A1D7FF"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2FE83C56" w14:textId="77777777" w:rsidR="00235BBE" w:rsidRPr="00210201" w:rsidRDefault="00235BBE" w:rsidP="00235BBE">
            <w:pPr>
              <w:jc w:val="center"/>
              <w:rPr>
                <w:rFonts w:ascii="Cambria" w:hAnsi="Cambria"/>
                <w:sz w:val="20"/>
                <w:szCs w:val="20"/>
              </w:rPr>
            </w:pPr>
            <w:r w:rsidRPr="00210201">
              <w:rPr>
                <w:rFonts w:ascii="Cambria" w:hAnsi="Cambria"/>
                <w:sz w:val="20"/>
                <w:szCs w:val="20"/>
              </w:rPr>
              <w:t>P-538-18</w:t>
            </w:r>
          </w:p>
        </w:tc>
        <w:tc>
          <w:tcPr>
            <w:tcW w:w="1080" w:type="dxa"/>
            <w:shd w:val="clear" w:color="000000" w:fill="FFFFFF"/>
            <w:vAlign w:val="center"/>
            <w:hideMark/>
          </w:tcPr>
          <w:p w14:paraId="7B5F7BE4"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000000" w:fill="FFFFFF"/>
            <w:vAlign w:val="center"/>
            <w:hideMark/>
          </w:tcPr>
          <w:p w14:paraId="1920D311" w14:textId="10974901"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0A651666" w14:textId="77777777" w:rsidTr="005E6A35">
        <w:trPr>
          <w:trHeight w:val="317"/>
        </w:trPr>
        <w:tc>
          <w:tcPr>
            <w:tcW w:w="715" w:type="dxa"/>
            <w:shd w:val="clear" w:color="000000" w:fill="FFFFFF"/>
            <w:vAlign w:val="center"/>
            <w:hideMark/>
          </w:tcPr>
          <w:p w14:paraId="1600ED11"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39</w:t>
            </w:r>
          </w:p>
        </w:tc>
        <w:tc>
          <w:tcPr>
            <w:tcW w:w="2340" w:type="dxa"/>
            <w:shd w:val="clear" w:color="000000" w:fill="FFFFFF"/>
            <w:vAlign w:val="center"/>
            <w:hideMark/>
          </w:tcPr>
          <w:p w14:paraId="3C936EAE"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7F09EA51" w14:textId="77777777" w:rsidR="00235BBE" w:rsidRPr="00210201" w:rsidRDefault="00235BBE" w:rsidP="00235BBE">
            <w:pPr>
              <w:jc w:val="center"/>
              <w:rPr>
                <w:rFonts w:ascii="Cambria" w:hAnsi="Cambria"/>
                <w:sz w:val="20"/>
                <w:szCs w:val="20"/>
              </w:rPr>
            </w:pPr>
            <w:r w:rsidRPr="00210201">
              <w:rPr>
                <w:rFonts w:ascii="Cambria" w:hAnsi="Cambria"/>
                <w:sz w:val="20"/>
                <w:szCs w:val="20"/>
              </w:rPr>
              <w:t>P-644-18</w:t>
            </w:r>
          </w:p>
        </w:tc>
        <w:tc>
          <w:tcPr>
            <w:tcW w:w="1080" w:type="dxa"/>
            <w:shd w:val="clear" w:color="000000" w:fill="FFFFFF"/>
            <w:vAlign w:val="center"/>
            <w:hideMark/>
          </w:tcPr>
          <w:p w14:paraId="3A6F0EDA"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000000" w:fill="FFFFFF"/>
            <w:vAlign w:val="center"/>
            <w:hideMark/>
          </w:tcPr>
          <w:p w14:paraId="51998A8D" w14:textId="061CEB62"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6669110F" w14:textId="77777777" w:rsidTr="005E6A35">
        <w:trPr>
          <w:trHeight w:val="317"/>
        </w:trPr>
        <w:tc>
          <w:tcPr>
            <w:tcW w:w="715" w:type="dxa"/>
            <w:shd w:val="clear" w:color="000000" w:fill="FFFFFF"/>
            <w:vAlign w:val="center"/>
            <w:hideMark/>
          </w:tcPr>
          <w:p w14:paraId="6318EBFE"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40</w:t>
            </w:r>
          </w:p>
        </w:tc>
        <w:tc>
          <w:tcPr>
            <w:tcW w:w="2340" w:type="dxa"/>
            <w:shd w:val="clear" w:color="000000" w:fill="FFFFFF"/>
            <w:vAlign w:val="center"/>
            <w:hideMark/>
          </w:tcPr>
          <w:p w14:paraId="4E225E2B"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17836ADF" w14:textId="77777777" w:rsidR="00235BBE" w:rsidRPr="00210201" w:rsidRDefault="00235BBE" w:rsidP="00235BBE">
            <w:pPr>
              <w:jc w:val="center"/>
              <w:rPr>
                <w:rFonts w:ascii="Cambria" w:hAnsi="Cambria"/>
                <w:sz w:val="20"/>
                <w:szCs w:val="20"/>
              </w:rPr>
            </w:pPr>
            <w:r w:rsidRPr="00210201">
              <w:rPr>
                <w:rFonts w:ascii="Cambria" w:hAnsi="Cambria"/>
                <w:sz w:val="20"/>
                <w:szCs w:val="20"/>
              </w:rPr>
              <w:t>P-779-18</w:t>
            </w:r>
          </w:p>
        </w:tc>
        <w:tc>
          <w:tcPr>
            <w:tcW w:w="1080" w:type="dxa"/>
            <w:shd w:val="clear" w:color="000000" w:fill="FFFFFF"/>
            <w:vAlign w:val="center"/>
            <w:hideMark/>
          </w:tcPr>
          <w:p w14:paraId="27A798EC"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000000" w:fill="FFFFFF"/>
            <w:vAlign w:val="center"/>
            <w:hideMark/>
          </w:tcPr>
          <w:p w14:paraId="63A25A24" w14:textId="01D6B4B3"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1FAE8176" w14:textId="77777777" w:rsidTr="005E6A35">
        <w:trPr>
          <w:trHeight w:val="326"/>
        </w:trPr>
        <w:tc>
          <w:tcPr>
            <w:tcW w:w="715" w:type="dxa"/>
            <w:shd w:val="clear" w:color="000000" w:fill="FFFFFF"/>
            <w:vAlign w:val="center"/>
            <w:hideMark/>
          </w:tcPr>
          <w:p w14:paraId="67C0618F"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41</w:t>
            </w:r>
          </w:p>
        </w:tc>
        <w:tc>
          <w:tcPr>
            <w:tcW w:w="2340" w:type="dxa"/>
            <w:shd w:val="clear" w:color="000000" w:fill="FFFFFF"/>
            <w:vAlign w:val="center"/>
            <w:hideMark/>
          </w:tcPr>
          <w:p w14:paraId="5A6BA77B"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6F04EF2D" w14:textId="77777777" w:rsidR="00235BBE" w:rsidRPr="00210201" w:rsidRDefault="00235BBE" w:rsidP="00235BBE">
            <w:pPr>
              <w:jc w:val="center"/>
              <w:rPr>
                <w:rFonts w:ascii="Cambria" w:hAnsi="Cambria"/>
                <w:sz w:val="20"/>
                <w:szCs w:val="20"/>
              </w:rPr>
            </w:pPr>
            <w:r w:rsidRPr="00210201">
              <w:rPr>
                <w:rFonts w:ascii="Cambria" w:hAnsi="Cambria"/>
                <w:sz w:val="20"/>
                <w:szCs w:val="20"/>
              </w:rPr>
              <w:t>P-813-18</w:t>
            </w:r>
          </w:p>
        </w:tc>
        <w:tc>
          <w:tcPr>
            <w:tcW w:w="1080" w:type="dxa"/>
            <w:shd w:val="clear" w:color="000000" w:fill="FFFFFF"/>
            <w:vAlign w:val="center"/>
            <w:hideMark/>
          </w:tcPr>
          <w:p w14:paraId="2B5874DB"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000000" w:fill="FFFFFF"/>
            <w:vAlign w:val="center"/>
            <w:hideMark/>
          </w:tcPr>
          <w:p w14:paraId="7B87B16C" w14:textId="140888DF"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24A9693D" w14:textId="77777777" w:rsidTr="005E6A35">
        <w:trPr>
          <w:trHeight w:val="308"/>
        </w:trPr>
        <w:tc>
          <w:tcPr>
            <w:tcW w:w="715" w:type="dxa"/>
            <w:shd w:val="clear" w:color="000000" w:fill="FFFFFF"/>
            <w:vAlign w:val="center"/>
            <w:hideMark/>
          </w:tcPr>
          <w:p w14:paraId="04A93DD9"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42</w:t>
            </w:r>
          </w:p>
        </w:tc>
        <w:tc>
          <w:tcPr>
            <w:tcW w:w="2340" w:type="dxa"/>
            <w:shd w:val="clear" w:color="000000" w:fill="FFFFFF"/>
            <w:vAlign w:val="center"/>
            <w:hideMark/>
          </w:tcPr>
          <w:p w14:paraId="6BB6673A"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4FA2FB27" w14:textId="77777777" w:rsidR="00235BBE" w:rsidRPr="00210201" w:rsidRDefault="00235BBE" w:rsidP="00235BBE">
            <w:pPr>
              <w:jc w:val="center"/>
              <w:rPr>
                <w:rFonts w:ascii="Cambria" w:hAnsi="Cambria"/>
                <w:sz w:val="20"/>
                <w:szCs w:val="20"/>
              </w:rPr>
            </w:pPr>
            <w:r w:rsidRPr="00210201">
              <w:rPr>
                <w:rFonts w:ascii="Cambria" w:hAnsi="Cambria"/>
                <w:sz w:val="20"/>
                <w:szCs w:val="20"/>
              </w:rPr>
              <w:t>P-1095-18</w:t>
            </w:r>
          </w:p>
        </w:tc>
        <w:tc>
          <w:tcPr>
            <w:tcW w:w="1080" w:type="dxa"/>
            <w:shd w:val="clear" w:color="000000" w:fill="FFFFFF"/>
            <w:vAlign w:val="center"/>
            <w:hideMark/>
          </w:tcPr>
          <w:p w14:paraId="3A89F457"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000000" w:fill="FFFFFF"/>
            <w:vAlign w:val="center"/>
            <w:hideMark/>
          </w:tcPr>
          <w:p w14:paraId="596F7A08" w14:textId="54FBBDB9"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19EC8EAD" w14:textId="77777777" w:rsidTr="00535FE3">
        <w:trPr>
          <w:trHeight w:val="317"/>
        </w:trPr>
        <w:tc>
          <w:tcPr>
            <w:tcW w:w="715" w:type="dxa"/>
            <w:shd w:val="clear" w:color="000000" w:fill="FFFFFF"/>
            <w:vAlign w:val="center"/>
            <w:hideMark/>
          </w:tcPr>
          <w:p w14:paraId="123704F5"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43</w:t>
            </w:r>
          </w:p>
        </w:tc>
        <w:tc>
          <w:tcPr>
            <w:tcW w:w="2340" w:type="dxa"/>
            <w:shd w:val="clear" w:color="000000" w:fill="FFFFFF"/>
            <w:vAlign w:val="center"/>
            <w:hideMark/>
          </w:tcPr>
          <w:p w14:paraId="63C5DC88"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38AA29B8" w14:textId="77777777" w:rsidR="00235BBE" w:rsidRPr="00210201" w:rsidRDefault="00235BBE" w:rsidP="00235BBE">
            <w:pPr>
              <w:jc w:val="center"/>
              <w:rPr>
                <w:rFonts w:ascii="Cambria" w:hAnsi="Cambria"/>
                <w:sz w:val="20"/>
                <w:szCs w:val="20"/>
              </w:rPr>
            </w:pPr>
            <w:r w:rsidRPr="00210201">
              <w:rPr>
                <w:rFonts w:ascii="Cambria" w:hAnsi="Cambria"/>
                <w:sz w:val="20"/>
                <w:szCs w:val="20"/>
              </w:rPr>
              <w:t>P-1565-18</w:t>
            </w:r>
          </w:p>
        </w:tc>
        <w:tc>
          <w:tcPr>
            <w:tcW w:w="1080" w:type="dxa"/>
            <w:shd w:val="clear" w:color="000000" w:fill="FFFFFF"/>
            <w:vAlign w:val="center"/>
            <w:hideMark/>
          </w:tcPr>
          <w:p w14:paraId="730F494A"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000000" w:fill="FFFFFF"/>
            <w:vAlign w:val="center"/>
            <w:hideMark/>
          </w:tcPr>
          <w:p w14:paraId="2C7B86BB" w14:textId="1946A212"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1BF7A262" w14:textId="77777777" w:rsidTr="00535FE3">
        <w:trPr>
          <w:trHeight w:val="326"/>
        </w:trPr>
        <w:tc>
          <w:tcPr>
            <w:tcW w:w="715" w:type="dxa"/>
            <w:shd w:val="clear" w:color="000000" w:fill="FFFFFF"/>
            <w:vAlign w:val="center"/>
            <w:hideMark/>
          </w:tcPr>
          <w:p w14:paraId="232A350D"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44</w:t>
            </w:r>
          </w:p>
        </w:tc>
        <w:tc>
          <w:tcPr>
            <w:tcW w:w="2340" w:type="dxa"/>
            <w:shd w:val="clear" w:color="000000" w:fill="FFFFFF"/>
            <w:vAlign w:val="center"/>
            <w:hideMark/>
          </w:tcPr>
          <w:p w14:paraId="25420206"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705472E6" w14:textId="77777777" w:rsidR="00235BBE" w:rsidRPr="00210201" w:rsidRDefault="00235BBE" w:rsidP="00235BBE">
            <w:pPr>
              <w:jc w:val="center"/>
              <w:rPr>
                <w:rFonts w:ascii="Cambria" w:hAnsi="Cambria"/>
                <w:sz w:val="20"/>
                <w:szCs w:val="20"/>
              </w:rPr>
            </w:pPr>
            <w:r w:rsidRPr="00210201">
              <w:rPr>
                <w:rFonts w:ascii="Cambria" w:hAnsi="Cambria"/>
                <w:sz w:val="20"/>
                <w:szCs w:val="20"/>
              </w:rPr>
              <w:t>P-1647-18</w:t>
            </w:r>
          </w:p>
        </w:tc>
        <w:tc>
          <w:tcPr>
            <w:tcW w:w="1080" w:type="dxa"/>
            <w:shd w:val="clear" w:color="000000" w:fill="FFFFFF"/>
            <w:vAlign w:val="center"/>
            <w:hideMark/>
          </w:tcPr>
          <w:p w14:paraId="72C8CFC5"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000000" w:fill="FFFFFF"/>
            <w:vAlign w:val="center"/>
            <w:hideMark/>
          </w:tcPr>
          <w:p w14:paraId="1CD7C044" w14:textId="196A967E"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065B6D09" w14:textId="77777777" w:rsidTr="00535FE3">
        <w:trPr>
          <w:trHeight w:val="326"/>
        </w:trPr>
        <w:tc>
          <w:tcPr>
            <w:tcW w:w="715" w:type="dxa"/>
            <w:shd w:val="clear" w:color="000000" w:fill="FFFFFF"/>
            <w:vAlign w:val="center"/>
            <w:hideMark/>
          </w:tcPr>
          <w:p w14:paraId="061D4D7E"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45</w:t>
            </w:r>
          </w:p>
        </w:tc>
        <w:tc>
          <w:tcPr>
            <w:tcW w:w="2340" w:type="dxa"/>
            <w:shd w:val="clear" w:color="000000" w:fill="FFFFFF"/>
            <w:vAlign w:val="center"/>
            <w:hideMark/>
          </w:tcPr>
          <w:p w14:paraId="2D327D9E"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0509DBA3" w14:textId="77777777" w:rsidR="00235BBE" w:rsidRPr="00210201" w:rsidRDefault="00235BBE" w:rsidP="00235BBE">
            <w:pPr>
              <w:jc w:val="center"/>
              <w:rPr>
                <w:rFonts w:ascii="Cambria" w:hAnsi="Cambria"/>
                <w:sz w:val="20"/>
                <w:szCs w:val="20"/>
              </w:rPr>
            </w:pPr>
            <w:r w:rsidRPr="00210201">
              <w:rPr>
                <w:rFonts w:ascii="Cambria" w:hAnsi="Cambria"/>
                <w:sz w:val="20"/>
                <w:szCs w:val="20"/>
              </w:rPr>
              <w:t>P-2298-18</w:t>
            </w:r>
          </w:p>
        </w:tc>
        <w:tc>
          <w:tcPr>
            <w:tcW w:w="1080" w:type="dxa"/>
            <w:shd w:val="clear" w:color="000000" w:fill="FFFFFF"/>
            <w:vAlign w:val="center"/>
            <w:hideMark/>
          </w:tcPr>
          <w:p w14:paraId="663BA965"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000000" w:fill="FFFFFF"/>
            <w:vAlign w:val="center"/>
            <w:hideMark/>
          </w:tcPr>
          <w:p w14:paraId="19DE75D7" w14:textId="36A51E35"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1E3143AB" w14:textId="77777777" w:rsidTr="00535FE3">
        <w:trPr>
          <w:trHeight w:val="326"/>
        </w:trPr>
        <w:tc>
          <w:tcPr>
            <w:tcW w:w="715" w:type="dxa"/>
            <w:shd w:val="clear" w:color="000000" w:fill="FFFFFF"/>
            <w:vAlign w:val="center"/>
            <w:hideMark/>
          </w:tcPr>
          <w:p w14:paraId="7C72A105"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46</w:t>
            </w:r>
          </w:p>
        </w:tc>
        <w:tc>
          <w:tcPr>
            <w:tcW w:w="2340" w:type="dxa"/>
            <w:shd w:val="clear" w:color="000000" w:fill="FFFFFF"/>
            <w:vAlign w:val="center"/>
            <w:hideMark/>
          </w:tcPr>
          <w:p w14:paraId="54984A35" w14:textId="77777777" w:rsidR="00235BBE" w:rsidRPr="00210201" w:rsidRDefault="00235BBE" w:rsidP="00235BBE">
            <w:pPr>
              <w:jc w:val="center"/>
              <w:rPr>
                <w:rFonts w:ascii="Cambria" w:hAnsi="Cambria"/>
                <w:sz w:val="20"/>
                <w:szCs w:val="20"/>
              </w:rPr>
            </w:pPr>
            <w:r w:rsidRPr="00210201">
              <w:rPr>
                <w:rFonts w:ascii="Cambria" w:hAnsi="Cambria"/>
                <w:sz w:val="20"/>
                <w:szCs w:val="20"/>
              </w:rPr>
              <w:t>COLOMBIA</w:t>
            </w:r>
          </w:p>
        </w:tc>
        <w:tc>
          <w:tcPr>
            <w:tcW w:w="2790" w:type="dxa"/>
            <w:shd w:val="clear" w:color="000000" w:fill="FFFFFF"/>
            <w:vAlign w:val="center"/>
            <w:hideMark/>
          </w:tcPr>
          <w:p w14:paraId="7163A3CD" w14:textId="77777777" w:rsidR="00235BBE" w:rsidRPr="00210201" w:rsidRDefault="00235BBE" w:rsidP="00235BBE">
            <w:pPr>
              <w:jc w:val="center"/>
              <w:rPr>
                <w:rFonts w:ascii="Cambria" w:hAnsi="Cambria"/>
                <w:sz w:val="20"/>
                <w:szCs w:val="20"/>
              </w:rPr>
            </w:pPr>
            <w:r w:rsidRPr="00210201">
              <w:rPr>
                <w:rFonts w:ascii="Cambria" w:hAnsi="Cambria"/>
                <w:sz w:val="20"/>
                <w:szCs w:val="20"/>
              </w:rPr>
              <w:t>P-2418-18</w:t>
            </w:r>
          </w:p>
        </w:tc>
        <w:tc>
          <w:tcPr>
            <w:tcW w:w="1080" w:type="dxa"/>
            <w:shd w:val="clear" w:color="000000" w:fill="FFFFFF"/>
            <w:vAlign w:val="center"/>
            <w:hideMark/>
          </w:tcPr>
          <w:p w14:paraId="168FD36E"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000000" w:fill="FFFFFF"/>
            <w:vAlign w:val="center"/>
            <w:hideMark/>
          </w:tcPr>
          <w:p w14:paraId="26AEE26D" w14:textId="345A87A1"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0C40684C" w14:textId="77777777" w:rsidTr="00535FE3">
        <w:trPr>
          <w:trHeight w:val="317"/>
        </w:trPr>
        <w:tc>
          <w:tcPr>
            <w:tcW w:w="715" w:type="dxa"/>
            <w:shd w:val="clear" w:color="000000" w:fill="FFFFFF"/>
            <w:vAlign w:val="center"/>
            <w:hideMark/>
          </w:tcPr>
          <w:p w14:paraId="62FDC951"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47</w:t>
            </w:r>
          </w:p>
        </w:tc>
        <w:tc>
          <w:tcPr>
            <w:tcW w:w="2340" w:type="dxa"/>
            <w:shd w:val="clear" w:color="000000" w:fill="FFFFFF"/>
            <w:vAlign w:val="center"/>
            <w:hideMark/>
          </w:tcPr>
          <w:p w14:paraId="3D210C3B" w14:textId="77777777" w:rsidR="00235BBE" w:rsidRPr="00210201" w:rsidRDefault="00235BBE" w:rsidP="00235BBE">
            <w:pPr>
              <w:jc w:val="center"/>
              <w:rPr>
                <w:rFonts w:ascii="Cambria" w:hAnsi="Cambria"/>
                <w:sz w:val="20"/>
                <w:szCs w:val="20"/>
              </w:rPr>
            </w:pPr>
            <w:r w:rsidRPr="00210201">
              <w:rPr>
                <w:rFonts w:ascii="Cambria" w:hAnsi="Cambria"/>
                <w:sz w:val="20"/>
                <w:szCs w:val="20"/>
              </w:rPr>
              <w:t>COSTA RICA</w:t>
            </w:r>
          </w:p>
        </w:tc>
        <w:tc>
          <w:tcPr>
            <w:tcW w:w="2790" w:type="dxa"/>
            <w:shd w:val="clear" w:color="000000" w:fill="FFFFFF"/>
            <w:vAlign w:val="center"/>
            <w:hideMark/>
          </w:tcPr>
          <w:p w14:paraId="37DF0B2D" w14:textId="77777777" w:rsidR="00235BBE" w:rsidRPr="00210201" w:rsidRDefault="00235BBE" w:rsidP="00235BBE">
            <w:pPr>
              <w:jc w:val="center"/>
              <w:rPr>
                <w:rFonts w:ascii="Cambria" w:hAnsi="Cambria"/>
                <w:sz w:val="20"/>
                <w:szCs w:val="20"/>
              </w:rPr>
            </w:pPr>
            <w:r w:rsidRPr="00210201">
              <w:rPr>
                <w:rFonts w:ascii="Cambria" w:hAnsi="Cambria"/>
                <w:sz w:val="20"/>
                <w:szCs w:val="20"/>
              </w:rPr>
              <w:t>P-546-14</w:t>
            </w:r>
          </w:p>
        </w:tc>
        <w:tc>
          <w:tcPr>
            <w:tcW w:w="1080" w:type="dxa"/>
            <w:shd w:val="clear" w:color="000000" w:fill="FFFFFF"/>
            <w:vAlign w:val="center"/>
            <w:hideMark/>
          </w:tcPr>
          <w:p w14:paraId="02BC8BBA" w14:textId="77777777" w:rsidR="00235BBE" w:rsidRPr="00210201" w:rsidRDefault="00235BBE" w:rsidP="00235BBE">
            <w:pPr>
              <w:jc w:val="center"/>
              <w:rPr>
                <w:rFonts w:ascii="Cambria" w:hAnsi="Cambria"/>
                <w:sz w:val="20"/>
                <w:szCs w:val="20"/>
              </w:rPr>
            </w:pPr>
            <w:r w:rsidRPr="00210201">
              <w:rPr>
                <w:rFonts w:ascii="Cambria" w:hAnsi="Cambria"/>
                <w:sz w:val="20"/>
                <w:szCs w:val="20"/>
              </w:rPr>
              <w:t>14</w:t>
            </w:r>
          </w:p>
        </w:tc>
        <w:tc>
          <w:tcPr>
            <w:tcW w:w="2700" w:type="dxa"/>
            <w:shd w:val="clear" w:color="D9E1F2" w:fill="FFFFFF"/>
            <w:vAlign w:val="center"/>
            <w:hideMark/>
          </w:tcPr>
          <w:p w14:paraId="164911E6" w14:textId="1EB9754F"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69033ED2" w14:textId="77777777" w:rsidTr="00E77AD3">
        <w:trPr>
          <w:trHeight w:val="317"/>
        </w:trPr>
        <w:tc>
          <w:tcPr>
            <w:tcW w:w="715" w:type="dxa"/>
            <w:shd w:val="clear" w:color="000000" w:fill="FFFFFF"/>
            <w:vAlign w:val="center"/>
            <w:hideMark/>
          </w:tcPr>
          <w:p w14:paraId="1DEDD785"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48</w:t>
            </w:r>
          </w:p>
        </w:tc>
        <w:tc>
          <w:tcPr>
            <w:tcW w:w="2340" w:type="dxa"/>
            <w:shd w:val="clear" w:color="000000" w:fill="FFFFFF"/>
            <w:vAlign w:val="center"/>
            <w:hideMark/>
          </w:tcPr>
          <w:p w14:paraId="4871CDBA" w14:textId="77777777" w:rsidR="00235BBE" w:rsidRPr="00210201" w:rsidRDefault="00235BBE" w:rsidP="00235BBE">
            <w:pPr>
              <w:jc w:val="center"/>
              <w:rPr>
                <w:rFonts w:ascii="Cambria" w:hAnsi="Cambria"/>
                <w:sz w:val="20"/>
                <w:szCs w:val="20"/>
              </w:rPr>
            </w:pPr>
            <w:r w:rsidRPr="00210201">
              <w:rPr>
                <w:rFonts w:ascii="Cambria" w:hAnsi="Cambria"/>
                <w:sz w:val="20"/>
                <w:szCs w:val="20"/>
              </w:rPr>
              <w:t>CUBA</w:t>
            </w:r>
          </w:p>
        </w:tc>
        <w:tc>
          <w:tcPr>
            <w:tcW w:w="2790" w:type="dxa"/>
            <w:shd w:val="clear" w:color="000000" w:fill="FFFFFF"/>
            <w:vAlign w:val="center"/>
            <w:hideMark/>
          </w:tcPr>
          <w:p w14:paraId="50EE2C31" w14:textId="77777777" w:rsidR="00235BBE" w:rsidRPr="00210201" w:rsidRDefault="00235BBE" w:rsidP="00235BBE">
            <w:pPr>
              <w:jc w:val="center"/>
              <w:rPr>
                <w:rFonts w:ascii="Cambria" w:hAnsi="Cambria"/>
                <w:sz w:val="20"/>
                <w:szCs w:val="20"/>
              </w:rPr>
            </w:pPr>
            <w:r w:rsidRPr="00210201">
              <w:rPr>
                <w:rFonts w:ascii="Cambria" w:hAnsi="Cambria"/>
                <w:sz w:val="20"/>
                <w:szCs w:val="20"/>
              </w:rPr>
              <w:t>P-2844-18</w:t>
            </w:r>
          </w:p>
        </w:tc>
        <w:tc>
          <w:tcPr>
            <w:tcW w:w="1080" w:type="dxa"/>
            <w:shd w:val="clear" w:color="000000" w:fill="FFFFFF"/>
            <w:vAlign w:val="center"/>
            <w:hideMark/>
          </w:tcPr>
          <w:p w14:paraId="5C22228D"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24945164" w14:textId="71DE5C52"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5A5AFE7C" w14:textId="77777777" w:rsidTr="00E77AD3">
        <w:trPr>
          <w:trHeight w:val="308"/>
        </w:trPr>
        <w:tc>
          <w:tcPr>
            <w:tcW w:w="715" w:type="dxa"/>
            <w:shd w:val="clear" w:color="000000" w:fill="FFFFFF"/>
            <w:vAlign w:val="center"/>
            <w:hideMark/>
          </w:tcPr>
          <w:p w14:paraId="3C8DE1CB"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49</w:t>
            </w:r>
          </w:p>
        </w:tc>
        <w:tc>
          <w:tcPr>
            <w:tcW w:w="2340" w:type="dxa"/>
            <w:shd w:val="clear" w:color="D9E1F2" w:fill="FFFFFF"/>
            <w:vAlign w:val="center"/>
            <w:hideMark/>
          </w:tcPr>
          <w:p w14:paraId="2A1C0AFB" w14:textId="77777777" w:rsidR="00235BBE" w:rsidRPr="00210201" w:rsidRDefault="00235BBE" w:rsidP="00235BBE">
            <w:pPr>
              <w:jc w:val="center"/>
              <w:rPr>
                <w:rFonts w:ascii="Cambria" w:hAnsi="Cambria"/>
                <w:sz w:val="20"/>
                <w:szCs w:val="20"/>
              </w:rPr>
            </w:pPr>
            <w:r w:rsidRPr="00210201">
              <w:rPr>
                <w:rFonts w:ascii="Cambria" w:hAnsi="Cambria"/>
                <w:sz w:val="20"/>
                <w:szCs w:val="20"/>
              </w:rPr>
              <w:t>ECUADOR</w:t>
            </w:r>
          </w:p>
        </w:tc>
        <w:tc>
          <w:tcPr>
            <w:tcW w:w="2790" w:type="dxa"/>
            <w:shd w:val="clear" w:color="000000" w:fill="FFFFFF"/>
            <w:vAlign w:val="center"/>
            <w:hideMark/>
          </w:tcPr>
          <w:p w14:paraId="10DDF7AF" w14:textId="77777777" w:rsidR="00235BBE" w:rsidRPr="00210201" w:rsidRDefault="00235BBE" w:rsidP="00235BBE">
            <w:pPr>
              <w:jc w:val="center"/>
              <w:rPr>
                <w:rFonts w:ascii="Cambria" w:hAnsi="Cambria"/>
                <w:sz w:val="20"/>
                <w:szCs w:val="20"/>
              </w:rPr>
            </w:pPr>
            <w:r w:rsidRPr="00210201">
              <w:rPr>
                <w:rFonts w:ascii="Cambria" w:hAnsi="Cambria"/>
                <w:sz w:val="20"/>
                <w:szCs w:val="20"/>
              </w:rPr>
              <w:t>P-2322-17</w:t>
            </w:r>
          </w:p>
        </w:tc>
        <w:tc>
          <w:tcPr>
            <w:tcW w:w="1080" w:type="dxa"/>
            <w:shd w:val="clear" w:color="000000" w:fill="FFFFFF"/>
            <w:vAlign w:val="center"/>
            <w:hideMark/>
          </w:tcPr>
          <w:p w14:paraId="2E73A667" w14:textId="77777777" w:rsidR="00235BBE" w:rsidRPr="00210201" w:rsidRDefault="00235BBE" w:rsidP="00235BBE">
            <w:pPr>
              <w:jc w:val="center"/>
              <w:rPr>
                <w:rFonts w:ascii="Cambria" w:hAnsi="Cambria"/>
                <w:sz w:val="20"/>
                <w:szCs w:val="20"/>
              </w:rPr>
            </w:pPr>
            <w:r w:rsidRPr="00210201">
              <w:rPr>
                <w:rFonts w:ascii="Cambria" w:hAnsi="Cambria"/>
                <w:sz w:val="20"/>
                <w:szCs w:val="20"/>
              </w:rPr>
              <w:t>17</w:t>
            </w:r>
          </w:p>
        </w:tc>
        <w:tc>
          <w:tcPr>
            <w:tcW w:w="2700" w:type="dxa"/>
            <w:shd w:val="clear" w:color="D9E1F2" w:fill="FFFFFF"/>
            <w:vAlign w:val="center"/>
            <w:hideMark/>
          </w:tcPr>
          <w:p w14:paraId="25C38F3E" w14:textId="69086B09"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2567FD41" w14:textId="77777777" w:rsidTr="00E77AD3">
        <w:trPr>
          <w:trHeight w:val="326"/>
        </w:trPr>
        <w:tc>
          <w:tcPr>
            <w:tcW w:w="715" w:type="dxa"/>
            <w:shd w:val="clear" w:color="000000" w:fill="FFFFFF"/>
            <w:vAlign w:val="center"/>
            <w:hideMark/>
          </w:tcPr>
          <w:p w14:paraId="6FE1C764"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50</w:t>
            </w:r>
          </w:p>
        </w:tc>
        <w:tc>
          <w:tcPr>
            <w:tcW w:w="2340" w:type="dxa"/>
            <w:shd w:val="clear" w:color="D9E1F2" w:fill="FFFFFF"/>
            <w:vAlign w:val="center"/>
            <w:hideMark/>
          </w:tcPr>
          <w:p w14:paraId="43AB3A31" w14:textId="77777777" w:rsidR="00235BBE" w:rsidRPr="00210201" w:rsidRDefault="00235BBE" w:rsidP="00235BBE">
            <w:pPr>
              <w:jc w:val="center"/>
              <w:rPr>
                <w:rFonts w:ascii="Cambria" w:hAnsi="Cambria"/>
                <w:sz w:val="20"/>
                <w:szCs w:val="20"/>
              </w:rPr>
            </w:pPr>
            <w:r w:rsidRPr="00210201">
              <w:rPr>
                <w:rFonts w:ascii="Cambria" w:hAnsi="Cambria"/>
                <w:sz w:val="20"/>
                <w:szCs w:val="20"/>
              </w:rPr>
              <w:t>ECUADOR</w:t>
            </w:r>
          </w:p>
        </w:tc>
        <w:tc>
          <w:tcPr>
            <w:tcW w:w="2790" w:type="dxa"/>
            <w:shd w:val="clear" w:color="000000" w:fill="FFFFFF"/>
            <w:vAlign w:val="center"/>
            <w:hideMark/>
          </w:tcPr>
          <w:p w14:paraId="1AE4552D" w14:textId="77777777" w:rsidR="00235BBE" w:rsidRPr="00210201" w:rsidRDefault="00235BBE" w:rsidP="00235BBE">
            <w:pPr>
              <w:jc w:val="center"/>
              <w:rPr>
                <w:rFonts w:ascii="Cambria" w:hAnsi="Cambria"/>
                <w:sz w:val="20"/>
                <w:szCs w:val="20"/>
              </w:rPr>
            </w:pPr>
            <w:r w:rsidRPr="00210201">
              <w:rPr>
                <w:rFonts w:ascii="Cambria" w:hAnsi="Cambria"/>
                <w:sz w:val="20"/>
                <w:szCs w:val="20"/>
              </w:rPr>
              <w:t>P-842-18</w:t>
            </w:r>
          </w:p>
        </w:tc>
        <w:tc>
          <w:tcPr>
            <w:tcW w:w="1080" w:type="dxa"/>
            <w:shd w:val="clear" w:color="000000" w:fill="FFFFFF"/>
            <w:vAlign w:val="center"/>
            <w:hideMark/>
          </w:tcPr>
          <w:p w14:paraId="44A45DFD"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70B6870D" w14:textId="132F16C1"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567E28D0" w14:textId="77777777" w:rsidTr="00EF5E6E">
        <w:trPr>
          <w:trHeight w:val="317"/>
        </w:trPr>
        <w:tc>
          <w:tcPr>
            <w:tcW w:w="715" w:type="dxa"/>
            <w:shd w:val="clear" w:color="000000" w:fill="FFFFFF"/>
            <w:vAlign w:val="center"/>
            <w:hideMark/>
          </w:tcPr>
          <w:p w14:paraId="216B6016"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51</w:t>
            </w:r>
          </w:p>
        </w:tc>
        <w:tc>
          <w:tcPr>
            <w:tcW w:w="2340" w:type="dxa"/>
            <w:shd w:val="clear" w:color="000000" w:fill="FFFFFF"/>
            <w:vAlign w:val="center"/>
            <w:hideMark/>
          </w:tcPr>
          <w:p w14:paraId="2F51EBAF" w14:textId="0C8DA652" w:rsidR="00235BBE" w:rsidRPr="00210201" w:rsidRDefault="00EF5E6E" w:rsidP="00235BBE">
            <w:pPr>
              <w:jc w:val="center"/>
              <w:rPr>
                <w:rFonts w:ascii="Cambria" w:hAnsi="Cambria"/>
                <w:sz w:val="20"/>
                <w:szCs w:val="20"/>
              </w:rPr>
            </w:pPr>
            <w:r w:rsidRPr="00210201">
              <w:rPr>
                <w:rFonts w:ascii="Cambria" w:hAnsi="Cambria"/>
                <w:sz w:val="20"/>
                <w:szCs w:val="20"/>
              </w:rPr>
              <w:t>UNITED STATES</w:t>
            </w:r>
            <w:r>
              <w:rPr>
                <w:rStyle w:val="FootnoteReference"/>
                <w:rFonts w:ascii="Cambria" w:hAnsi="Cambria"/>
                <w:sz w:val="20"/>
                <w:szCs w:val="20"/>
              </w:rPr>
              <w:t xml:space="preserve"> </w:t>
            </w:r>
            <w:r w:rsidR="00235BBE">
              <w:rPr>
                <w:rStyle w:val="FootnoteReference"/>
                <w:rFonts w:ascii="Cambria" w:hAnsi="Cambria"/>
                <w:sz w:val="20"/>
                <w:szCs w:val="20"/>
              </w:rPr>
              <w:footnoteReference w:id="6"/>
            </w:r>
          </w:p>
        </w:tc>
        <w:tc>
          <w:tcPr>
            <w:tcW w:w="2790" w:type="dxa"/>
            <w:shd w:val="clear" w:color="D9E1F2" w:fill="FFFFFF"/>
            <w:vAlign w:val="center"/>
            <w:hideMark/>
          </w:tcPr>
          <w:p w14:paraId="74CB5B2F" w14:textId="77777777" w:rsidR="00235BBE" w:rsidRPr="00210201" w:rsidRDefault="00235BBE" w:rsidP="00235BBE">
            <w:pPr>
              <w:jc w:val="center"/>
              <w:rPr>
                <w:rFonts w:ascii="Cambria" w:hAnsi="Cambria"/>
                <w:sz w:val="20"/>
                <w:szCs w:val="20"/>
              </w:rPr>
            </w:pPr>
            <w:r w:rsidRPr="00210201">
              <w:rPr>
                <w:rFonts w:ascii="Cambria" w:hAnsi="Cambria"/>
                <w:sz w:val="20"/>
                <w:szCs w:val="20"/>
              </w:rPr>
              <w:t>P-2345-16</w:t>
            </w:r>
          </w:p>
        </w:tc>
        <w:tc>
          <w:tcPr>
            <w:tcW w:w="1080" w:type="dxa"/>
            <w:shd w:val="clear" w:color="D9E1F2" w:fill="FFFFFF"/>
            <w:vAlign w:val="center"/>
            <w:hideMark/>
          </w:tcPr>
          <w:p w14:paraId="38760645" w14:textId="77777777" w:rsidR="00235BBE" w:rsidRPr="00210201" w:rsidRDefault="00235BBE" w:rsidP="00235BBE">
            <w:pPr>
              <w:jc w:val="center"/>
              <w:rPr>
                <w:rFonts w:ascii="Cambria" w:hAnsi="Cambria"/>
                <w:sz w:val="20"/>
                <w:szCs w:val="20"/>
              </w:rPr>
            </w:pPr>
            <w:r w:rsidRPr="00210201">
              <w:rPr>
                <w:rFonts w:ascii="Cambria" w:hAnsi="Cambria"/>
                <w:sz w:val="20"/>
                <w:szCs w:val="20"/>
              </w:rPr>
              <w:t>16</w:t>
            </w:r>
          </w:p>
        </w:tc>
        <w:tc>
          <w:tcPr>
            <w:tcW w:w="2700" w:type="dxa"/>
            <w:shd w:val="clear" w:color="D9E1F2" w:fill="FFFFFF"/>
            <w:vAlign w:val="center"/>
            <w:hideMark/>
          </w:tcPr>
          <w:p w14:paraId="22DB69FF" w14:textId="65600387"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6948870E" w14:textId="77777777" w:rsidTr="00EF5E6E">
        <w:trPr>
          <w:trHeight w:val="326"/>
        </w:trPr>
        <w:tc>
          <w:tcPr>
            <w:tcW w:w="715" w:type="dxa"/>
            <w:shd w:val="clear" w:color="000000" w:fill="FFFFFF"/>
            <w:vAlign w:val="center"/>
            <w:hideMark/>
          </w:tcPr>
          <w:p w14:paraId="40F090D9"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52</w:t>
            </w:r>
          </w:p>
        </w:tc>
        <w:tc>
          <w:tcPr>
            <w:tcW w:w="2340" w:type="dxa"/>
            <w:shd w:val="clear" w:color="000000" w:fill="FFFFFF"/>
            <w:vAlign w:val="center"/>
            <w:hideMark/>
          </w:tcPr>
          <w:p w14:paraId="67F1B424" w14:textId="77777777" w:rsidR="00235BBE" w:rsidRPr="00210201" w:rsidRDefault="00235BBE" w:rsidP="00235BBE">
            <w:pPr>
              <w:jc w:val="center"/>
              <w:rPr>
                <w:rFonts w:ascii="Cambria" w:hAnsi="Cambria"/>
                <w:sz w:val="20"/>
                <w:szCs w:val="20"/>
              </w:rPr>
            </w:pPr>
            <w:r w:rsidRPr="00210201">
              <w:rPr>
                <w:rFonts w:ascii="Cambria" w:hAnsi="Cambria"/>
                <w:sz w:val="20"/>
                <w:szCs w:val="20"/>
              </w:rPr>
              <w:t>GUATEMALA</w:t>
            </w:r>
          </w:p>
        </w:tc>
        <w:tc>
          <w:tcPr>
            <w:tcW w:w="2790" w:type="dxa"/>
            <w:shd w:val="clear" w:color="000000" w:fill="FFFFFF"/>
            <w:vAlign w:val="center"/>
            <w:hideMark/>
          </w:tcPr>
          <w:p w14:paraId="3E98A4B7" w14:textId="77777777" w:rsidR="00235BBE" w:rsidRPr="00210201" w:rsidRDefault="00235BBE" w:rsidP="00235BBE">
            <w:pPr>
              <w:jc w:val="center"/>
              <w:rPr>
                <w:rFonts w:ascii="Cambria" w:hAnsi="Cambria"/>
                <w:sz w:val="20"/>
                <w:szCs w:val="20"/>
              </w:rPr>
            </w:pPr>
            <w:r w:rsidRPr="00210201">
              <w:rPr>
                <w:rFonts w:ascii="Cambria" w:hAnsi="Cambria"/>
                <w:sz w:val="20"/>
                <w:szCs w:val="20"/>
              </w:rPr>
              <w:t>P-2039-17</w:t>
            </w:r>
          </w:p>
        </w:tc>
        <w:tc>
          <w:tcPr>
            <w:tcW w:w="1080" w:type="dxa"/>
            <w:shd w:val="clear" w:color="000000" w:fill="FFFFFF"/>
            <w:vAlign w:val="center"/>
            <w:hideMark/>
          </w:tcPr>
          <w:p w14:paraId="00F3DFF1" w14:textId="77777777" w:rsidR="00235BBE" w:rsidRPr="00210201" w:rsidRDefault="00235BBE" w:rsidP="00235BBE">
            <w:pPr>
              <w:jc w:val="center"/>
              <w:rPr>
                <w:rFonts w:ascii="Cambria" w:hAnsi="Cambria"/>
                <w:sz w:val="20"/>
                <w:szCs w:val="20"/>
              </w:rPr>
            </w:pPr>
            <w:r w:rsidRPr="00210201">
              <w:rPr>
                <w:rFonts w:ascii="Cambria" w:hAnsi="Cambria"/>
                <w:sz w:val="20"/>
                <w:szCs w:val="20"/>
              </w:rPr>
              <w:t>17</w:t>
            </w:r>
          </w:p>
        </w:tc>
        <w:tc>
          <w:tcPr>
            <w:tcW w:w="2700" w:type="dxa"/>
            <w:shd w:val="clear" w:color="D9E1F2" w:fill="FFFFFF"/>
            <w:vAlign w:val="center"/>
            <w:hideMark/>
          </w:tcPr>
          <w:p w14:paraId="26E2E3C3" w14:textId="18709B82"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2BF71EA8" w14:textId="77777777" w:rsidTr="0098304B">
        <w:trPr>
          <w:trHeight w:val="326"/>
        </w:trPr>
        <w:tc>
          <w:tcPr>
            <w:tcW w:w="715" w:type="dxa"/>
            <w:shd w:val="clear" w:color="000000" w:fill="FFFFFF"/>
            <w:vAlign w:val="center"/>
            <w:hideMark/>
          </w:tcPr>
          <w:p w14:paraId="1E7219EA"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53</w:t>
            </w:r>
          </w:p>
        </w:tc>
        <w:tc>
          <w:tcPr>
            <w:tcW w:w="2340" w:type="dxa"/>
            <w:shd w:val="clear" w:color="000000" w:fill="FFFFFF"/>
            <w:vAlign w:val="center"/>
            <w:hideMark/>
          </w:tcPr>
          <w:p w14:paraId="1A58DE82" w14:textId="77777777" w:rsidR="00235BBE" w:rsidRPr="00210201" w:rsidRDefault="00235BBE" w:rsidP="00235BBE">
            <w:pPr>
              <w:jc w:val="center"/>
              <w:rPr>
                <w:rFonts w:ascii="Cambria" w:hAnsi="Cambria"/>
                <w:sz w:val="20"/>
                <w:szCs w:val="20"/>
              </w:rPr>
            </w:pPr>
            <w:r w:rsidRPr="00210201">
              <w:rPr>
                <w:rFonts w:ascii="Cambria" w:hAnsi="Cambria"/>
                <w:sz w:val="20"/>
                <w:szCs w:val="20"/>
              </w:rPr>
              <w:t>GUATEMALA</w:t>
            </w:r>
          </w:p>
        </w:tc>
        <w:tc>
          <w:tcPr>
            <w:tcW w:w="2790" w:type="dxa"/>
            <w:shd w:val="clear" w:color="000000" w:fill="FFFFFF"/>
            <w:vAlign w:val="center"/>
            <w:hideMark/>
          </w:tcPr>
          <w:p w14:paraId="5E5CD30D" w14:textId="77777777" w:rsidR="00235BBE" w:rsidRPr="00210201" w:rsidRDefault="00235BBE" w:rsidP="00235BBE">
            <w:pPr>
              <w:jc w:val="center"/>
              <w:rPr>
                <w:rFonts w:ascii="Cambria" w:hAnsi="Cambria"/>
                <w:sz w:val="20"/>
                <w:szCs w:val="20"/>
              </w:rPr>
            </w:pPr>
            <w:r w:rsidRPr="00210201">
              <w:rPr>
                <w:rFonts w:ascii="Cambria" w:hAnsi="Cambria"/>
                <w:sz w:val="20"/>
                <w:szCs w:val="20"/>
              </w:rPr>
              <w:t>P-1378-18</w:t>
            </w:r>
          </w:p>
        </w:tc>
        <w:tc>
          <w:tcPr>
            <w:tcW w:w="1080" w:type="dxa"/>
            <w:shd w:val="clear" w:color="000000" w:fill="FFFFFF"/>
            <w:vAlign w:val="center"/>
            <w:hideMark/>
          </w:tcPr>
          <w:p w14:paraId="2A1991E9"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31FF589C" w14:textId="346B553A"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77DBE825" w14:textId="77777777" w:rsidTr="0098304B">
        <w:trPr>
          <w:trHeight w:val="308"/>
        </w:trPr>
        <w:tc>
          <w:tcPr>
            <w:tcW w:w="715" w:type="dxa"/>
            <w:shd w:val="clear" w:color="000000" w:fill="FFFFFF"/>
            <w:vAlign w:val="center"/>
            <w:hideMark/>
          </w:tcPr>
          <w:p w14:paraId="425FDF89"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54</w:t>
            </w:r>
          </w:p>
        </w:tc>
        <w:tc>
          <w:tcPr>
            <w:tcW w:w="2340" w:type="dxa"/>
            <w:shd w:val="clear" w:color="D9E1F2" w:fill="FFFFFF"/>
            <w:vAlign w:val="center"/>
            <w:hideMark/>
          </w:tcPr>
          <w:p w14:paraId="730F4FB3" w14:textId="77777777" w:rsidR="00235BBE" w:rsidRPr="00210201" w:rsidRDefault="00235BBE" w:rsidP="00235BBE">
            <w:pPr>
              <w:jc w:val="center"/>
              <w:rPr>
                <w:rFonts w:ascii="Cambria" w:hAnsi="Cambria"/>
                <w:sz w:val="20"/>
                <w:szCs w:val="20"/>
              </w:rPr>
            </w:pPr>
            <w:r w:rsidRPr="00210201">
              <w:rPr>
                <w:rFonts w:ascii="Cambria" w:hAnsi="Cambria"/>
                <w:sz w:val="20"/>
                <w:szCs w:val="20"/>
              </w:rPr>
              <w:t>HONDURAS</w:t>
            </w:r>
          </w:p>
        </w:tc>
        <w:tc>
          <w:tcPr>
            <w:tcW w:w="2790" w:type="dxa"/>
            <w:shd w:val="clear" w:color="D9E1F2" w:fill="FFFFFF"/>
            <w:vAlign w:val="center"/>
            <w:hideMark/>
          </w:tcPr>
          <w:p w14:paraId="2D718A6D" w14:textId="77777777" w:rsidR="00235BBE" w:rsidRPr="00210201" w:rsidRDefault="00235BBE" w:rsidP="00235BBE">
            <w:pPr>
              <w:jc w:val="center"/>
              <w:rPr>
                <w:rFonts w:ascii="Cambria" w:hAnsi="Cambria"/>
                <w:sz w:val="20"/>
                <w:szCs w:val="20"/>
              </w:rPr>
            </w:pPr>
            <w:r w:rsidRPr="00210201">
              <w:rPr>
                <w:rFonts w:ascii="Cambria" w:hAnsi="Cambria"/>
                <w:sz w:val="20"/>
                <w:szCs w:val="20"/>
              </w:rPr>
              <w:t>P-1649-18</w:t>
            </w:r>
          </w:p>
        </w:tc>
        <w:tc>
          <w:tcPr>
            <w:tcW w:w="1080" w:type="dxa"/>
            <w:shd w:val="clear" w:color="D9E1F2" w:fill="FFFFFF"/>
            <w:vAlign w:val="center"/>
            <w:hideMark/>
          </w:tcPr>
          <w:p w14:paraId="77D84FEF"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407F89F2" w14:textId="75437E4A"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4DE5B6F4" w14:textId="77777777" w:rsidTr="0098304B">
        <w:trPr>
          <w:trHeight w:val="317"/>
        </w:trPr>
        <w:tc>
          <w:tcPr>
            <w:tcW w:w="715" w:type="dxa"/>
            <w:shd w:val="clear" w:color="000000" w:fill="FFFFFF"/>
            <w:vAlign w:val="center"/>
            <w:hideMark/>
          </w:tcPr>
          <w:p w14:paraId="4A65CE79"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55</w:t>
            </w:r>
          </w:p>
        </w:tc>
        <w:tc>
          <w:tcPr>
            <w:tcW w:w="2340" w:type="dxa"/>
            <w:shd w:val="clear" w:color="D9E1F2" w:fill="FFFFFF"/>
            <w:vAlign w:val="center"/>
            <w:hideMark/>
          </w:tcPr>
          <w:p w14:paraId="3EAEDBB0" w14:textId="77777777" w:rsidR="00235BBE" w:rsidRPr="00210201" w:rsidRDefault="00235BBE" w:rsidP="00235BBE">
            <w:pPr>
              <w:jc w:val="center"/>
              <w:rPr>
                <w:rFonts w:ascii="Cambria" w:hAnsi="Cambria"/>
                <w:sz w:val="20"/>
                <w:szCs w:val="20"/>
              </w:rPr>
            </w:pPr>
            <w:r w:rsidRPr="00210201">
              <w:rPr>
                <w:rFonts w:ascii="Cambria" w:hAnsi="Cambria"/>
                <w:sz w:val="20"/>
                <w:szCs w:val="20"/>
              </w:rPr>
              <w:t>HONDURAS</w:t>
            </w:r>
          </w:p>
        </w:tc>
        <w:tc>
          <w:tcPr>
            <w:tcW w:w="2790" w:type="dxa"/>
            <w:shd w:val="clear" w:color="D9E1F2" w:fill="FFFFFF"/>
            <w:vAlign w:val="center"/>
            <w:hideMark/>
          </w:tcPr>
          <w:p w14:paraId="552EBFB6" w14:textId="77777777" w:rsidR="00235BBE" w:rsidRPr="00210201" w:rsidRDefault="00235BBE" w:rsidP="00235BBE">
            <w:pPr>
              <w:jc w:val="center"/>
              <w:rPr>
                <w:rFonts w:ascii="Cambria" w:hAnsi="Cambria"/>
                <w:sz w:val="20"/>
                <w:szCs w:val="20"/>
              </w:rPr>
            </w:pPr>
            <w:r w:rsidRPr="00210201">
              <w:rPr>
                <w:rFonts w:ascii="Cambria" w:hAnsi="Cambria"/>
                <w:sz w:val="20"/>
                <w:szCs w:val="20"/>
              </w:rPr>
              <w:t>P-2098-18</w:t>
            </w:r>
          </w:p>
        </w:tc>
        <w:tc>
          <w:tcPr>
            <w:tcW w:w="1080" w:type="dxa"/>
            <w:shd w:val="clear" w:color="D9E1F2" w:fill="FFFFFF"/>
            <w:vAlign w:val="center"/>
            <w:hideMark/>
          </w:tcPr>
          <w:p w14:paraId="7D7D7B9C"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51FC0F59" w14:textId="6B222AA3"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072B2998" w14:textId="77777777" w:rsidTr="0098304B">
        <w:trPr>
          <w:trHeight w:val="326"/>
        </w:trPr>
        <w:tc>
          <w:tcPr>
            <w:tcW w:w="715" w:type="dxa"/>
            <w:shd w:val="clear" w:color="000000" w:fill="FFFFFF"/>
            <w:vAlign w:val="center"/>
            <w:hideMark/>
          </w:tcPr>
          <w:p w14:paraId="00A87E85"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56</w:t>
            </w:r>
          </w:p>
        </w:tc>
        <w:tc>
          <w:tcPr>
            <w:tcW w:w="2340" w:type="dxa"/>
            <w:shd w:val="clear" w:color="000000" w:fill="FFFFFF"/>
            <w:vAlign w:val="center"/>
            <w:hideMark/>
          </w:tcPr>
          <w:p w14:paraId="5B0A598E" w14:textId="77777777" w:rsidR="00235BBE" w:rsidRPr="00210201" w:rsidRDefault="00235BBE" w:rsidP="00235BBE">
            <w:pPr>
              <w:jc w:val="center"/>
              <w:rPr>
                <w:rFonts w:ascii="Cambria" w:hAnsi="Cambria"/>
                <w:sz w:val="20"/>
                <w:szCs w:val="20"/>
              </w:rPr>
            </w:pPr>
            <w:r w:rsidRPr="00210201">
              <w:rPr>
                <w:rFonts w:ascii="Cambria" w:hAnsi="Cambria"/>
                <w:sz w:val="20"/>
                <w:szCs w:val="20"/>
              </w:rPr>
              <w:t>JAMAICA</w:t>
            </w:r>
          </w:p>
        </w:tc>
        <w:tc>
          <w:tcPr>
            <w:tcW w:w="2790" w:type="dxa"/>
            <w:shd w:val="clear" w:color="000000" w:fill="FFFFFF"/>
            <w:vAlign w:val="center"/>
            <w:hideMark/>
          </w:tcPr>
          <w:p w14:paraId="371A80FE" w14:textId="77777777" w:rsidR="00235BBE" w:rsidRPr="00210201" w:rsidRDefault="00235BBE" w:rsidP="00235BBE">
            <w:pPr>
              <w:jc w:val="center"/>
              <w:rPr>
                <w:rFonts w:ascii="Cambria" w:hAnsi="Cambria"/>
                <w:sz w:val="20"/>
                <w:szCs w:val="20"/>
              </w:rPr>
            </w:pPr>
            <w:r w:rsidRPr="00210201">
              <w:rPr>
                <w:rFonts w:ascii="Cambria" w:hAnsi="Cambria"/>
                <w:sz w:val="20"/>
                <w:szCs w:val="20"/>
              </w:rPr>
              <w:t>P-999-14</w:t>
            </w:r>
          </w:p>
        </w:tc>
        <w:tc>
          <w:tcPr>
            <w:tcW w:w="1080" w:type="dxa"/>
            <w:shd w:val="clear" w:color="000000" w:fill="FFFFFF"/>
            <w:vAlign w:val="center"/>
            <w:hideMark/>
          </w:tcPr>
          <w:p w14:paraId="0ED35E80" w14:textId="77777777" w:rsidR="00235BBE" w:rsidRPr="00210201" w:rsidRDefault="00235BBE" w:rsidP="00235BBE">
            <w:pPr>
              <w:jc w:val="center"/>
              <w:rPr>
                <w:rFonts w:ascii="Cambria" w:hAnsi="Cambria"/>
                <w:sz w:val="20"/>
                <w:szCs w:val="20"/>
              </w:rPr>
            </w:pPr>
            <w:r w:rsidRPr="00210201">
              <w:rPr>
                <w:rFonts w:ascii="Cambria" w:hAnsi="Cambria"/>
                <w:sz w:val="20"/>
                <w:szCs w:val="20"/>
              </w:rPr>
              <w:t>14</w:t>
            </w:r>
          </w:p>
        </w:tc>
        <w:tc>
          <w:tcPr>
            <w:tcW w:w="2700" w:type="dxa"/>
            <w:shd w:val="clear" w:color="D9E1F2" w:fill="FFFFFF"/>
            <w:vAlign w:val="center"/>
            <w:hideMark/>
          </w:tcPr>
          <w:p w14:paraId="5DDD2040" w14:textId="2D96C8CC"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496495BD" w14:textId="77777777" w:rsidTr="007C26D9">
        <w:trPr>
          <w:trHeight w:val="326"/>
        </w:trPr>
        <w:tc>
          <w:tcPr>
            <w:tcW w:w="715" w:type="dxa"/>
            <w:shd w:val="clear" w:color="000000" w:fill="FFFFFF"/>
            <w:vAlign w:val="center"/>
            <w:hideMark/>
          </w:tcPr>
          <w:p w14:paraId="1DE766BD"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57</w:t>
            </w:r>
          </w:p>
        </w:tc>
        <w:tc>
          <w:tcPr>
            <w:tcW w:w="2340" w:type="dxa"/>
            <w:shd w:val="clear" w:color="000000" w:fill="FFFFFF"/>
            <w:vAlign w:val="center"/>
            <w:hideMark/>
          </w:tcPr>
          <w:p w14:paraId="515D352E" w14:textId="77777777" w:rsidR="00235BBE" w:rsidRPr="00210201" w:rsidRDefault="00235BBE" w:rsidP="00235BBE">
            <w:pPr>
              <w:jc w:val="center"/>
              <w:rPr>
                <w:rFonts w:ascii="Cambria" w:hAnsi="Cambria"/>
                <w:sz w:val="20"/>
                <w:szCs w:val="20"/>
              </w:rPr>
            </w:pPr>
            <w:r w:rsidRPr="00210201">
              <w:rPr>
                <w:rFonts w:ascii="Cambria" w:hAnsi="Cambria"/>
                <w:sz w:val="20"/>
                <w:szCs w:val="20"/>
              </w:rPr>
              <w:t>MEXICO</w:t>
            </w:r>
          </w:p>
        </w:tc>
        <w:tc>
          <w:tcPr>
            <w:tcW w:w="2790" w:type="dxa"/>
            <w:shd w:val="clear" w:color="000000" w:fill="FFFFFF"/>
            <w:vAlign w:val="center"/>
            <w:hideMark/>
          </w:tcPr>
          <w:p w14:paraId="7FCDFB5A" w14:textId="77777777" w:rsidR="00235BBE" w:rsidRPr="00210201" w:rsidRDefault="00235BBE" w:rsidP="00235BBE">
            <w:pPr>
              <w:jc w:val="center"/>
              <w:rPr>
                <w:rFonts w:ascii="Cambria" w:hAnsi="Cambria"/>
                <w:sz w:val="20"/>
                <w:szCs w:val="20"/>
              </w:rPr>
            </w:pPr>
            <w:r w:rsidRPr="00210201">
              <w:rPr>
                <w:rFonts w:ascii="Cambria" w:hAnsi="Cambria"/>
                <w:sz w:val="20"/>
                <w:szCs w:val="20"/>
              </w:rPr>
              <w:t>P-920-11</w:t>
            </w:r>
          </w:p>
        </w:tc>
        <w:tc>
          <w:tcPr>
            <w:tcW w:w="1080" w:type="dxa"/>
            <w:shd w:val="clear" w:color="000000" w:fill="FFFFFF"/>
            <w:vAlign w:val="center"/>
            <w:hideMark/>
          </w:tcPr>
          <w:p w14:paraId="1C309D24" w14:textId="77777777" w:rsidR="00235BBE" w:rsidRPr="00210201" w:rsidRDefault="00235BBE" w:rsidP="00235BBE">
            <w:pPr>
              <w:jc w:val="center"/>
              <w:rPr>
                <w:rFonts w:ascii="Cambria" w:hAnsi="Cambria"/>
                <w:sz w:val="20"/>
                <w:szCs w:val="20"/>
              </w:rPr>
            </w:pPr>
            <w:r w:rsidRPr="00210201">
              <w:rPr>
                <w:rFonts w:ascii="Cambria" w:hAnsi="Cambria"/>
                <w:sz w:val="20"/>
                <w:szCs w:val="20"/>
              </w:rPr>
              <w:t>11</w:t>
            </w:r>
          </w:p>
        </w:tc>
        <w:tc>
          <w:tcPr>
            <w:tcW w:w="2700" w:type="dxa"/>
            <w:shd w:val="clear" w:color="D9E1F2" w:fill="FFFFFF"/>
            <w:vAlign w:val="center"/>
            <w:hideMark/>
          </w:tcPr>
          <w:p w14:paraId="100921DB" w14:textId="3DB0E7CF"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2D4973C0" w14:textId="77777777" w:rsidTr="007C26D9">
        <w:trPr>
          <w:trHeight w:val="326"/>
        </w:trPr>
        <w:tc>
          <w:tcPr>
            <w:tcW w:w="715" w:type="dxa"/>
            <w:shd w:val="clear" w:color="000000" w:fill="FFFFFF"/>
            <w:vAlign w:val="center"/>
            <w:hideMark/>
          </w:tcPr>
          <w:p w14:paraId="32D162EE"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58</w:t>
            </w:r>
          </w:p>
        </w:tc>
        <w:tc>
          <w:tcPr>
            <w:tcW w:w="2340" w:type="dxa"/>
            <w:shd w:val="clear" w:color="000000" w:fill="FFFFFF"/>
            <w:vAlign w:val="center"/>
            <w:hideMark/>
          </w:tcPr>
          <w:p w14:paraId="25CD1430" w14:textId="77777777" w:rsidR="00235BBE" w:rsidRPr="00210201" w:rsidRDefault="00235BBE" w:rsidP="00235BBE">
            <w:pPr>
              <w:jc w:val="center"/>
              <w:rPr>
                <w:rFonts w:ascii="Cambria" w:hAnsi="Cambria"/>
                <w:sz w:val="20"/>
                <w:szCs w:val="20"/>
              </w:rPr>
            </w:pPr>
            <w:r w:rsidRPr="00210201">
              <w:rPr>
                <w:rFonts w:ascii="Cambria" w:hAnsi="Cambria"/>
                <w:sz w:val="20"/>
                <w:szCs w:val="20"/>
              </w:rPr>
              <w:t>MEXICO</w:t>
            </w:r>
          </w:p>
        </w:tc>
        <w:tc>
          <w:tcPr>
            <w:tcW w:w="2790" w:type="dxa"/>
            <w:shd w:val="clear" w:color="000000" w:fill="FFFFFF"/>
            <w:vAlign w:val="center"/>
            <w:hideMark/>
          </w:tcPr>
          <w:p w14:paraId="478C331A" w14:textId="77777777" w:rsidR="00235BBE" w:rsidRPr="00210201" w:rsidRDefault="00235BBE" w:rsidP="00235BBE">
            <w:pPr>
              <w:jc w:val="center"/>
              <w:rPr>
                <w:rFonts w:ascii="Cambria" w:hAnsi="Cambria"/>
                <w:sz w:val="20"/>
                <w:szCs w:val="20"/>
              </w:rPr>
            </w:pPr>
            <w:r w:rsidRPr="00210201">
              <w:rPr>
                <w:rFonts w:ascii="Cambria" w:hAnsi="Cambria"/>
                <w:sz w:val="20"/>
                <w:szCs w:val="20"/>
              </w:rPr>
              <w:t>P-809-15</w:t>
            </w:r>
          </w:p>
        </w:tc>
        <w:tc>
          <w:tcPr>
            <w:tcW w:w="1080" w:type="dxa"/>
            <w:shd w:val="clear" w:color="000000" w:fill="FFFFFF"/>
            <w:vAlign w:val="center"/>
            <w:hideMark/>
          </w:tcPr>
          <w:p w14:paraId="68915917" w14:textId="77777777" w:rsidR="00235BBE" w:rsidRPr="00210201" w:rsidRDefault="00235BBE" w:rsidP="00235BBE">
            <w:pPr>
              <w:jc w:val="center"/>
              <w:rPr>
                <w:rFonts w:ascii="Cambria" w:hAnsi="Cambria"/>
                <w:sz w:val="20"/>
                <w:szCs w:val="20"/>
              </w:rPr>
            </w:pPr>
            <w:r w:rsidRPr="00210201">
              <w:rPr>
                <w:rFonts w:ascii="Cambria" w:hAnsi="Cambria"/>
                <w:sz w:val="20"/>
                <w:szCs w:val="20"/>
              </w:rPr>
              <w:t>15</w:t>
            </w:r>
          </w:p>
        </w:tc>
        <w:tc>
          <w:tcPr>
            <w:tcW w:w="2700" w:type="dxa"/>
            <w:shd w:val="clear" w:color="D9E1F2" w:fill="FFFFFF"/>
            <w:vAlign w:val="center"/>
            <w:hideMark/>
          </w:tcPr>
          <w:p w14:paraId="2B13AFBB" w14:textId="5E412D8E"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74C47FFE" w14:textId="77777777" w:rsidTr="007C26D9">
        <w:trPr>
          <w:trHeight w:val="317"/>
        </w:trPr>
        <w:tc>
          <w:tcPr>
            <w:tcW w:w="715" w:type="dxa"/>
            <w:shd w:val="clear" w:color="000000" w:fill="FFFFFF"/>
            <w:vAlign w:val="center"/>
            <w:hideMark/>
          </w:tcPr>
          <w:p w14:paraId="75EA45EB"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59</w:t>
            </w:r>
          </w:p>
        </w:tc>
        <w:tc>
          <w:tcPr>
            <w:tcW w:w="2340" w:type="dxa"/>
            <w:shd w:val="clear" w:color="000000" w:fill="FFFFFF"/>
            <w:vAlign w:val="center"/>
            <w:hideMark/>
          </w:tcPr>
          <w:p w14:paraId="378938EA" w14:textId="77777777" w:rsidR="00235BBE" w:rsidRPr="00210201" w:rsidRDefault="00235BBE" w:rsidP="00235BBE">
            <w:pPr>
              <w:jc w:val="center"/>
              <w:rPr>
                <w:rFonts w:ascii="Cambria" w:hAnsi="Cambria"/>
                <w:sz w:val="20"/>
                <w:szCs w:val="20"/>
              </w:rPr>
            </w:pPr>
            <w:r w:rsidRPr="00210201">
              <w:rPr>
                <w:rFonts w:ascii="Cambria" w:hAnsi="Cambria"/>
                <w:sz w:val="20"/>
                <w:szCs w:val="20"/>
              </w:rPr>
              <w:t>MEXICO</w:t>
            </w:r>
          </w:p>
        </w:tc>
        <w:tc>
          <w:tcPr>
            <w:tcW w:w="2790" w:type="dxa"/>
            <w:shd w:val="clear" w:color="000000" w:fill="FFFFFF"/>
            <w:vAlign w:val="center"/>
            <w:hideMark/>
          </w:tcPr>
          <w:p w14:paraId="26593C41" w14:textId="77777777" w:rsidR="00235BBE" w:rsidRPr="00210201" w:rsidRDefault="00235BBE" w:rsidP="00235BBE">
            <w:pPr>
              <w:jc w:val="center"/>
              <w:rPr>
                <w:rFonts w:ascii="Cambria" w:hAnsi="Cambria"/>
                <w:sz w:val="20"/>
                <w:szCs w:val="20"/>
              </w:rPr>
            </w:pPr>
            <w:r w:rsidRPr="00210201">
              <w:rPr>
                <w:rFonts w:ascii="Cambria" w:hAnsi="Cambria"/>
                <w:sz w:val="20"/>
                <w:szCs w:val="20"/>
              </w:rPr>
              <w:t>P-1982-16</w:t>
            </w:r>
          </w:p>
        </w:tc>
        <w:tc>
          <w:tcPr>
            <w:tcW w:w="1080" w:type="dxa"/>
            <w:shd w:val="clear" w:color="000000" w:fill="FFFFFF"/>
            <w:vAlign w:val="center"/>
            <w:hideMark/>
          </w:tcPr>
          <w:p w14:paraId="48695BE2" w14:textId="77777777" w:rsidR="00235BBE" w:rsidRPr="00210201" w:rsidRDefault="00235BBE" w:rsidP="00235BBE">
            <w:pPr>
              <w:jc w:val="center"/>
              <w:rPr>
                <w:rFonts w:ascii="Cambria" w:hAnsi="Cambria"/>
                <w:sz w:val="20"/>
                <w:szCs w:val="20"/>
              </w:rPr>
            </w:pPr>
            <w:r w:rsidRPr="00210201">
              <w:rPr>
                <w:rFonts w:ascii="Cambria" w:hAnsi="Cambria"/>
                <w:sz w:val="20"/>
                <w:szCs w:val="20"/>
              </w:rPr>
              <w:t>16</w:t>
            </w:r>
          </w:p>
        </w:tc>
        <w:tc>
          <w:tcPr>
            <w:tcW w:w="2700" w:type="dxa"/>
            <w:shd w:val="clear" w:color="D9E1F2" w:fill="FFFFFF"/>
            <w:vAlign w:val="center"/>
            <w:hideMark/>
          </w:tcPr>
          <w:p w14:paraId="0CF6D7E1" w14:textId="3E6064A2"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6D8A5E2A" w14:textId="77777777" w:rsidTr="007C26D9">
        <w:trPr>
          <w:trHeight w:val="317"/>
        </w:trPr>
        <w:tc>
          <w:tcPr>
            <w:tcW w:w="715" w:type="dxa"/>
            <w:shd w:val="clear" w:color="000000" w:fill="FFFFFF"/>
            <w:vAlign w:val="center"/>
            <w:hideMark/>
          </w:tcPr>
          <w:p w14:paraId="316F2863"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lastRenderedPageBreak/>
              <w:t>60</w:t>
            </w:r>
          </w:p>
        </w:tc>
        <w:tc>
          <w:tcPr>
            <w:tcW w:w="2340" w:type="dxa"/>
            <w:shd w:val="clear" w:color="000000" w:fill="FFFFFF"/>
            <w:vAlign w:val="center"/>
            <w:hideMark/>
          </w:tcPr>
          <w:p w14:paraId="106D3436" w14:textId="77777777" w:rsidR="00235BBE" w:rsidRPr="00210201" w:rsidRDefault="00235BBE" w:rsidP="00235BBE">
            <w:pPr>
              <w:jc w:val="center"/>
              <w:rPr>
                <w:rFonts w:ascii="Cambria" w:hAnsi="Cambria"/>
                <w:sz w:val="20"/>
                <w:szCs w:val="20"/>
              </w:rPr>
            </w:pPr>
            <w:r w:rsidRPr="00210201">
              <w:rPr>
                <w:rFonts w:ascii="Cambria" w:hAnsi="Cambria"/>
                <w:sz w:val="20"/>
                <w:szCs w:val="20"/>
              </w:rPr>
              <w:t>MEXICO</w:t>
            </w:r>
          </w:p>
        </w:tc>
        <w:tc>
          <w:tcPr>
            <w:tcW w:w="2790" w:type="dxa"/>
            <w:shd w:val="clear" w:color="D9E1F2" w:fill="FFFFFF"/>
            <w:vAlign w:val="center"/>
            <w:hideMark/>
          </w:tcPr>
          <w:p w14:paraId="4878B1B7" w14:textId="77777777" w:rsidR="00235BBE" w:rsidRPr="00210201" w:rsidRDefault="00235BBE" w:rsidP="00235BBE">
            <w:pPr>
              <w:jc w:val="center"/>
              <w:rPr>
                <w:rFonts w:ascii="Cambria" w:hAnsi="Cambria"/>
                <w:sz w:val="20"/>
                <w:szCs w:val="20"/>
              </w:rPr>
            </w:pPr>
            <w:r w:rsidRPr="00210201">
              <w:rPr>
                <w:rFonts w:ascii="Cambria" w:hAnsi="Cambria"/>
                <w:sz w:val="20"/>
                <w:szCs w:val="20"/>
              </w:rPr>
              <w:t>P-2032-16</w:t>
            </w:r>
          </w:p>
        </w:tc>
        <w:tc>
          <w:tcPr>
            <w:tcW w:w="1080" w:type="dxa"/>
            <w:shd w:val="clear" w:color="D9E1F2" w:fill="FFFFFF"/>
            <w:vAlign w:val="center"/>
            <w:hideMark/>
          </w:tcPr>
          <w:p w14:paraId="594698DD" w14:textId="77777777" w:rsidR="00235BBE" w:rsidRPr="00210201" w:rsidRDefault="00235BBE" w:rsidP="00235BBE">
            <w:pPr>
              <w:jc w:val="center"/>
              <w:rPr>
                <w:rFonts w:ascii="Cambria" w:hAnsi="Cambria"/>
                <w:sz w:val="20"/>
                <w:szCs w:val="20"/>
              </w:rPr>
            </w:pPr>
            <w:r w:rsidRPr="00210201">
              <w:rPr>
                <w:rFonts w:ascii="Cambria" w:hAnsi="Cambria"/>
                <w:sz w:val="20"/>
                <w:szCs w:val="20"/>
              </w:rPr>
              <w:t>16</w:t>
            </w:r>
          </w:p>
        </w:tc>
        <w:tc>
          <w:tcPr>
            <w:tcW w:w="2700" w:type="dxa"/>
            <w:shd w:val="clear" w:color="D9E1F2" w:fill="FFFFFF"/>
            <w:vAlign w:val="center"/>
            <w:hideMark/>
          </w:tcPr>
          <w:p w14:paraId="046338E5" w14:textId="3B704A41"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60A506F9" w14:textId="77777777" w:rsidTr="007C26D9">
        <w:trPr>
          <w:trHeight w:val="308"/>
        </w:trPr>
        <w:tc>
          <w:tcPr>
            <w:tcW w:w="715" w:type="dxa"/>
            <w:shd w:val="clear" w:color="000000" w:fill="FFFFFF"/>
            <w:vAlign w:val="center"/>
            <w:hideMark/>
          </w:tcPr>
          <w:p w14:paraId="704B5B34"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61</w:t>
            </w:r>
          </w:p>
        </w:tc>
        <w:tc>
          <w:tcPr>
            <w:tcW w:w="2340" w:type="dxa"/>
            <w:shd w:val="clear" w:color="000000" w:fill="FFFFFF"/>
            <w:vAlign w:val="center"/>
            <w:hideMark/>
          </w:tcPr>
          <w:p w14:paraId="15F6D41A" w14:textId="77777777" w:rsidR="00235BBE" w:rsidRPr="00210201" w:rsidRDefault="00235BBE" w:rsidP="00235BBE">
            <w:pPr>
              <w:jc w:val="center"/>
              <w:rPr>
                <w:rFonts w:ascii="Cambria" w:hAnsi="Cambria"/>
                <w:sz w:val="20"/>
                <w:szCs w:val="20"/>
              </w:rPr>
            </w:pPr>
            <w:r w:rsidRPr="00210201">
              <w:rPr>
                <w:rFonts w:ascii="Cambria" w:hAnsi="Cambria"/>
                <w:sz w:val="20"/>
                <w:szCs w:val="20"/>
              </w:rPr>
              <w:t>MEXICO</w:t>
            </w:r>
          </w:p>
        </w:tc>
        <w:tc>
          <w:tcPr>
            <w:tcW w:w="2790" w:type="dxa"/>
            <w:shd w:val="clear" w:color="D9E1F2" w:fill="FFFFFF"/>
            <w:vAlign w:val="center"/>
            <w:hideMark/>
          </w:tcPr>
          <w:p w14:paraId="3933A6D0" w14:textId="77777777" w:rsidR="00235BBE" w:rsidRPr="00210201" w:rsidRDefault="00235BBE" w:rsidP="00235BBE">
            <w:pPr>
              <w:jc w:val="center"/>
              <w:rPr>
                <w:rFonts w:ascii="Cambria" w:hAnsi="Cambria"/>
                <w:sz w:val="20"/>
                <w:szCs w:val="20"/>
              </w:rPr>
            </w:pPr>
            <w:r w:rsidRPr="00210201">
              <w:rPr>
                <w:rFonts w:ascii="Cambria" w:hAnsi="Cambria"/>
                <w:sz w:val="20"/>
                <w:szCs w:val="20"/>
              </w:rPr>
              <w:t>P-1265-17</w:t>
            </w:r>
          </w:p>
        </w:tc>
        <w:tc>
          <w:tcPr>
            <w:tcW w:w="1080" w:type="dxa"/>
            <w:shd w:val="clear" w:color="D9E1F2" w:fill="FFFFFF"/>
            <w:vAlign w:val="center"/>
            <w:hideMark/>
          </w:tcPr>
          <w:p w14:paraId="0D934A57" w14:textId="77777777" w:rsidR="00235BBE" w:rsidRPr="00210201" w:rsidRDefault="00235BBE" w:rsidP="00235BBE">
            <w:pPr>
              <w:jc w:val="center"/>
              <w:rPr>
                <w:rFonts w:ascii="Cambria" w:hAnsi="Cambria"/>
                <w:sz w:val="20"/>
                <w:szCs w:val="20"/>
              </w:rPr>
            </w:pPr>
            <w:r w:rsidRPr="00210201">
              <w:rPr>
                <w:rFonts w:ascii="Cambria" w:hAnsi="Cambria"/>
                <w:sz w:val="20"/>
                <w:szCs w:val="20"/>
              </w:rPr>
              <w:t>17</w:t>
            </w:r>
          </w:p>
        </w:tc>
        <w:tc>
          <w:tcPr>
            <w:tcW w:w="2700" w:type="dxa"/>
            <w:shd w:val="clear" w:color="D9E1F2" w:fill="FFFFFF"/>
            <w:vAlign w:val="center"/>
            <w:hideMark/>
          </w:tcPr>
          <w:p w14:paraId="669797BC" w14:textId="1618B6D7"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39F782BD" w14:textId="77777777" w:rsidTr="007C26D9">
        <w:trPr>
          <w:trHeight w:val="326"/>
        </w:trPr>
        <w:tc>
          <w:tcPr>
            <w:tcW w:w="715" w:type="dxa"/>
            <w:shd w:val="clear" w:color="000000" w:fill="FFFFFF"/>
            <w:vAlign w:val="center"/>
            <w:hideMark/>
          </w:tcPr>
          <w:p w14:paraId="36096C14"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62</w:t>
            </w:r>
          </w:p>
        </w:tc>
        <w:tc>
          <w:tcPr>
            <w:tcW w:w="2340" w:type="dxa"/>
            <w:shd w:val="clear" w:color="000000" w:fill="FFFFFF"/>
            <w:vAlign w:val="center"/>
            <w:hideMark/>
          </w:tcPr>
          <w:p w14:paraId="22840B24" w14:textId="77777777" w:rsidR="00235BBE" w:rsidRPr="00210201" w:rsidRDefault="00235BBE" w:rsidP="00235BBE">
            <w:pPr>
              <w:jc w:val="center"/>
              <w:rPr>
                <w:rFonts w:ascii="Cambria" w:hAnsi="Cambria"/>
                <w:sz w:val="20"/>
                <w:szCs w:val="20"/>
              </w:rPr>
            </w:pPr>
            <w:r w:rsidRPr="00210201">
              <w:rPr>
                <w:rFonts w:ascii="Cambria" w:hAnsi="Cambria"/>
                <w:sz w:val="20"/>
                <w:szCs w:val="20"/>
              </w:rPr>
              <w:t>MEXICO</w:t>
            </w:r>
          </w:p>
        </w:tc>
        <w:tc>
          <w:tcPr>
            <w:tcW w:w="2790" w:type="dxa"/>
            <w:shd w:val="clear" w:color="D9E1F2" w:fill="FFFFFF"/>
            <w:vAlign w:val="center"/>
            <w:hideMark/>
          </w:tcPr>
          <w:p w14:paraId="3EAC2FAE" w14:textId="77777777" w:rsidR="00235BBE" w:rsidRPr="00210201" w:rsidRDefault="00235BBE" w:rsidP="00235BBE">
            <w:pPr>
              <w:jc w:val="center"/>
              <w:rPr>
                <w:rFonts w:ascii="Cambria" w:hAnsi="Cambria"/>
                <w:sz w:val="20"/>
                <w:szCs w:val="20"/>
              </w:rPr>
            </w:pPr>
            <w:r w:rsidRPr="00210201">
              <w:rPr>
                <w:rFonts w:ascii="Cambria" w:hAnsi="Cambria"/>
                <w:sz w:val="20"/>
                <w:szCs w:val="20"/>
              </w:rPr>
              <w:t>P-1035-18</w:t>
            </w:r>
          </w:p>
        </w:tc>
        <w:tc>
          <w:tcPr>
            <w:tcW w:w="1080" w:type="dxa"/>
            <w:shd w:val="clear" w:color="D9E1F2" w:fill="FFFFFF"/>
            <w:vAlign w:val="center"/>
            <w:hideMark/>
          </w:tcPr>
          <w:p w14:paraId="6EAE0A9D"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25DA1229" w14:textId="076EC70E"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5748163F" w14:textId="77777777" w:rsidTr="0086460E">
        <w:trPr>
          <w:trHeight w:val="317"/>
        </w:trPr>
        <w:tc>
          <w:tcPr>
            <w:tcW w:w="715" w:type="dxa"/>
            <w:shd w:val="clear" w:color="000000" w:fill="FFFFFF"/>
            <w:vAlign w:val="center"/>
            <w:hideMark/>
          </w:tcPr>
          <w:p w14:paraId="675F7050"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63</w:t>
            </w:r>
          </w:p>
        </w:tc>
        <w:tc>
          <w:tcPr>
            <w:tcW w:w="2340" w:type="dxa"/>
            <w:shd w:val="clear" w:color="000000" w:fill="FFFFFF"/>
            <w:vAlign w:val="center"/>
            <w:hideMark/>
          </w:tcPr>
          <w:p w14:paraId="53649D3B" w14:textId="77777777" w:rsidR="00235BBE" w:rsidRPr="00210201" w:rsidRDefault="00235BBE" w:rsidP="00235BBE">
            <w:pPr>
              <w:jc w:val="center"/>
              <w:rPr>
                <w:rFonts w:ascii="Cambria" w:hAnsi="Cambria"/>
                <w:sz w:val="20"/>
                <w:szCs w:val="20"/>
              </w:rPr>
            </w:pPr>
            <w:r w:rsidRPr="00210201">
              <w:rPr>
                <w:rFonts w:ascii="Cambria" w:hAnsi="Cambria"/>
                <w:sz w:val="20"/>
                <w:szCs w:val="20"/>
              </w:rPr>
              <w:t>MEXICO</w:t>
            </w:r>
          </w:p>
        </w:tc>
        <w:tc>
          <w:tcPr>
            <w:tcW w:w="2790" w:type="dxa"/>
            <w:shd w:val="clear" w:color="000000" w:fill="FFFFFF"/>
            <w:vAlign w:val="center"/>
            <w:hideMark/>
          </w:tcPr>
          <w:p w14:paraId="55F0B70D" w14:textId="77777777" w:rsidR="00235BBE" w:rsidRPr="00210201" w:rsidRDefault="00235BBE" w:rsidP="00235BBE">
            <w:pPr>
              <w:jc w:val="center"/>
              <w:rPr>
                <w:rFonts w:ascii="Cambria" w:hAnsi="Cambria"/>
                <w:sz w:val="20"/>
                <w:szCs w:val="20"/>
              </w:rPr>
            </w:pPr>
            <w:r w:rsidRPr="00210201">
              <w:rPr>
                <w:rFonts w:ascii="Cambria" w:hAnsi="Cambria"/>
                <w:sz w:val="20"/>
                <w:szCs w:val="20"/>
              </w:rPr>
              <w:t>P-1037-18</w:t>
            </w:r>
          </w:p>
        </w:tc>
        <w:tc>
          <w:tcPr>
            <w:tcW w:w="1080" w:type="dxa"/>
            <w:shd w:val="clear" w:color="000000" w:fill="FFFFFF"/>
            <w:vAlign w:val="center"/>
            <w:hideMark/>
          </w:tcPr>
          <w:p w14:paraId="0EAB46AA"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5BC2B289" w14:textId="38F4E964"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35665458" w14:textId="77777777" w:rsidTr="007C26D9">
        <w:trPr>
          <w:trHeight w:val="308"/>
        </w:trPr>
        <w:tc>
          <w:tcPr>
            <w:tcW w:w="715" w:type="dxa"/>
            <w:shd w:val="clear" w:color="000000" w:fill="FFFFFF"/>
            <w:vAlign w:val="center"/>
            <w:hideMark/>
          </w:tcPr>
          <w:p w14:paraId="038A5EFC"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64</w:t>
            </w:r>
          </w:p>
        </w:tc>
        <w:tc>
          <w:tcPr>
            <w:tcW w:w="2340" w:type="dxa"/>
            <w:shd w:val="clear" w:color="000000" w:fill="FFFFFF"/>
            <w:vAlign w:val="center"/>
            <w:hideMark/>
          </w:tcPr>
          <w:p w14:paraId="6E6A92D4" w14:textId="77777777" w:rsidR="00235BBE" w:rsidRPr="00210201" w:rsidRDefault="00235BBE" w:rsidP="00235BBE">
            <w:pPr>
              <w:jc w:val="center"/>
              <w:rPr>
                <w:rFonts w:ascii="Cambria" w:hAnsi="Cambria"/>
                <w:sz w:val="20"/>
                <w:szCs w:val="20"/>
              </w:rPr>
            </w:pPr>
            <w:r w:rsidRPr="00210201">
              <w:rPr>
                <w:rFonts w:ascii="Cambria" w:hAnsi="Cambria"/>
                <w:sz w:val="20"/>
                <w:szCs w:val="20"/>
              </w:rPr>
              <w:t>MEXICO</w:t>
            </w:r>
          </w:p>
        </w:tc>
        <w:tc>
          <w:tcPr>
            <w:tcW w:w="2790" w:type="dxa"/>
            <w:shd w:val="clear" w:color="D9E1F2" w:fill="FFFFFF"/>
            <w:vAlign w:val="center"/>
            <w:hideMark/>
          </w:tcPr>
          <w:p w14:paraId="098FD272" w14:textId="77777777" w:rsidR="00235BBE" w:rsidRPr="00210201" w:rsidRDefault="00235BBE" w:rsidP="00235BBE">
            <w:pPr>
              <w:jc w:val="center"/>
              <w:rPr>
                <w:rFonts w:ascii="Cambria" w:hAnsi="Cambria"/>
                <w:sz w:val="20"/>
                <w:szCs w:val="20"/>
              </w:rPr>
            </w:pPr>
            <w:r w:rsidRPr="00210201">
              <w:rPr>
                <w:rFonts w:ascii="Cambria" w:hAnsi="Cambria"/>
                <w:sz w:val="20"/>
                <w:szCs w:val="20"/>
              </w:rPr>
              <w:t>P-1082-18</w:t>
            </w:r>
          </w:p>
        </w:tc>
        <w:tc>
          <w:tcPr>
            <w:tcW w:w="1080" w:type="dxa"/>
            <w:shd w:val="clear" w:color="000000" w:fill="FFFFFF"/>
            <w:vAlign w:val="center"/>
            <w:hideMark/>
          </w:tcPr>
          <w:p w14:paraId="6D89039A"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3C5C20E2" w14:textId="7518D43B"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3299473D" w14:textId="77777777" w:rsidTr="007C26D9">
        <w:trPr>
          <w:trHeight w:val="308"/>
        </w:trPr>
        <w:tc>
          <w:tcPr>
            <w:tcW w:w="715" w:type="dxa"/>
            <w:shd w:val="clear" w:color="000000" w:fill="FFFFFF"/>
            <w:vAlign w:val="center"/>
            <w:hideMark/>
          </w:tcPr>
          <w:p w14:paraId="31BE906E"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65</w:t>
            </w:r>
          </w:p>
        </w:tc>
        <w:tc>
          <w:tcPr>
            <w:tcW w:w="2340" w:type="dxa"/>
            <w:shd w:val="clear" w:color="000000" w:fill="FFFFFF"/>
            <w:vAlign w:val="center"/>
            <w:hideMark/>
          </w:tcPr>
          <w:p w14:paraId="76B7AB57" w14:textId="77777777" w:rsidR="00235BBE" w:rsidRPr="00210201" w:rsidRDefault="00235BBE" w:rsidP="00235BBE">
            <w:pPr>
              <w:jc w:val="center"/>
              <w:rPr>
                <w:rFonts w:ascii="Cambria" w:hAnsi="Cambria"/>
                <w:sz w:val="20"/>
                <w:szCs w:val="20"/>
              </w:rPr>
            </w:pPr>
            <w:r w:rsidRPr="00210201">
              <w:rPr>
                <w:rFonts w:ascii="Cambria" w:hAnsi="Cambria"/>
                <w:sz w:val="20"/>
                <w:szCs w:val="20"/>
              </w:rPr>
              <w:t>MEXICO</w:t>
            </w:r>
          </w:p>
        </w:tc>
        <w:tc>
          <w:tcPr>
            <w:tcW w:w="2790" w:type="dxa"/>
            <w:shd w:val="clear" w:color="D9E1F2" w:fill="FFFFFF"/>
            <w:vAlign w:val="center"/>
            <w:hideMark/>
          </w:tcPr>
          <w:p w14:paraId="7F353192" w14:textId="77777777" w:rsidR="00235BBE" w:rsidRPr="00210201" w:rsidRDefault="00235BBE" w:rsidP="00235BBE">
            <w:pPr>
              <w:jc w:val="center"/>
              <w:rPr>
                <w:rFonts w:ascii="Cambria" w:hAnsi="Cambria"/>
                <w:sz w:val="20"/>
                <w:szCs w:val="20"/>
              </w:rPr>
            </w:pPr>
            <w:r w:rsidRPr="00210201">
              <w:rPr>
                <w:rFonts w:ascii="Cambria" w:hAnsi="Cambria"/>
                <w:sz w:val="20"/>
                <w:szCs w:val="20"/>
              </w:rPr>
              <w:t>P-1405-18</w:t>
            </w:r>
          </w:p>
        </w:tc>
        <w:tc>
          <w:tcPr>
            <w:tcW w:w="1080" w:type="dxa"/>
            <w:shd w:val="clear" w:color="D9E1F2" w:fill="FFFFFF"/>
            <w:vAlign w:val="center"/>
            <w:hideMark/>
          </w:tcPr>
          <w:p w14:paraId="36BBAFBE"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5951CFAF" w14:textId="1EB3888D"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7CF74A4B" w14:textId="77777777" w:rsidTr="007C26D9">
        <w:trPr>
          <w:trHeight w:val="317"/>
        </w:trPr>
        <w:tc>
          <w:tcPr>
            <w:tcW w:w="715" w:type="dxa"/>
            <w:shd w:val="clear" w:color="000000" w:fill="FFFFFF"/>
            <w:vAlign w:val="center"/>
            <w:hideMark/>
          </w:tcPr>
          <w:p w14:paraId="3D4EC0C2"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66</w:t>
            </w:r>
          </w:p>
        </w:tc>
        <w:tc>
          <w:tcPr>
            <w:tcW w:w="2340" w:type="dxa"/>
            <w:shd w:val="clear" w:color="000000" w:fill="FFFFFF"/>
            <w:vAlign w:val="center"/>
            <w:hideMark/>
          </w:tcPr>
          <w:p w14:paraId="1145A4E7" w14:textId="77777777" w:rsidR="00235BBE" w:rsidRPr="00210201" w:rsidRDefault="00235BBE" w:rsidP="00235BBE">
            <w:pPr>
              <w:jc w:val="center"/>
              <w:rPr>
                <w:rFonts w:ascii="Cambria" w:hAnsi="Cambria"/>
                <w:sz w:val="20"/>
                <w:szCs w:val="20"/>
              </w:rPr>
            </w:pPr>
            <w:r w:rsidRPr="00210201">
              <w:rPr>
                <w:rFonts w:ascii="Cambria" w:hAnsi="Cambria"/>
                <w:sz w:val="20"/>
                <w:szCs w:val="20"/>
              </w:rPr>
              <w:t>MEXICO</w:t>
            </w:r>
          </w:p>
        </w:tc>
        <w:tc>
          <w:tcPr>
            <w:tcW w:w="2790" w:type="dxa"/>
            <w:shd w:val="clear" w:color="000000" w:fill="FFFFFF"/>
            <w:vAlign w:val="center"/>
            <w:hideMark/>
          </w:tcPr>
          <w:p w14:paraId="37D3DDE7" w14:textId="77777777" w:rsidR="00235BBE" w:rsidRPr="00210201" w:rsidRDefault="00235BBE" w:rsidP="00235BBE">
            <w:pPr>
              <w:jc w:val="center"/>
              <w:rPr>
                <w:rFonts w:ascii="Cambria" w:hAnsi="Cambria"/>
                <w:sz w:val="20"/>
                <w:szCs w:val="20"/>
              </w:rPr>
            </w:pPr>
            <w:r w:rsidRPr="00210201">
              <w:rPr>
                <w:rFonts w:ascii="Cambria" w:hAnsi="Cambria"/>
                <w:sz w:val="20"/>
                <w:szCs w:val="20"/>
              </w:rPr>
              <w:t>P-2251-18</w:t>
            </w:r>
          </w:p>
        </w:tc>
        <w:tc>
          <w:tcPr>
            <w:tcW w:w="1080" w:type="dxa"/>
            <w:shd w:val="clear" w:color="000000" w:fill="FFFFFF"/>
            <w:vAlign w:val="center"/>
            <w:hideMark/>
          </w:tcPr>
          <w:p w14:paraId="55F4B24B"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2768DD1C" w14:textId="1C6C7800"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06321A9B" w14:textId="77777777" w:rsidTr="007C26D9">
        <w:trPr>
          <w:trHeight w:val="317"/>
        </w:trPr>
        <w:tc>
          <w:tcPr>
            <w:tcW w:w="715" w:type="dxa"/>
            <w:shd w:val="clear" w:color="000000" w:fill="FFFFFF"/>
            <w:vAlign w:val="center"/>
            <w:hideMark/>
          </w:tcPr>
          <w:p w14:paraId="35EA1842"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67</w:t>
            </w:r>
          </w:p>
        </w:tc>
        <w:tc>
          <w:tcPr>
            <w:tcW w:w="2340" w:type="dxa"/>
            <w:shd w:val="clear" w:color="D9E1F2" w:fill="FFFFFF"/>
            <w:vAlign w:val="center"/>
            <w:hideMark/>
          </w:tcPr>
          <w:p w14:paraId="70B15CF0" w14:textId="77777777" w:rsidR="00235BBE" w:rsidRPr="00210201" w:rsidRDefault="00235BBE" w:rsidP="00235BBE">
            <w:pPr>
              <w:jc w:val="center"/>
              <w:rPr>
                <w:rFonts w:ascii="Cambria" w:hAnsi="Cambria"/>
                <w:sz w:val="20"/>
                <w:szCs w:val="20"/>
              </w:rPr>
            </w:pPr>
            <w:r w:rsidRPr="00210201">
              <w:rPr>
                <w:rFonts w:ascii="Cambria" w:hAnsi="Cambria"/>
                <w:sz w:val="20"/>
                <w:szCs w:val="20"/>
              </w:rPr>
              <w:t>NICARAGUA</w:t>
            </w:r>
          </w:p>
        </w:tc>
        <w:tc>
          <w:tcPr>
            <w:tcW w:w="2790" w:type="dxa"/>
            <w:shd w:val="clear" w:color="D9E1F2" w:fill="FFFFFF"/>
            <w:vAlign w:val="center"/>
            <w:hideMark/>
          </w:tcPr>
          <w:p w14:paraId="5F474F88" w14:textId="77777777" w:rsidR="00235BBE" w:rsidRPr="00210201" w:rsidRDefault="00235BBE" w:rsidP="00235BBE">
            <w:pPr>
              <w:jc w:val="center"/>
              <w:rPr>
                <w:rFonts w:ascii="Cambria" w:hAnsi="Cambria"/>
                <w:sz w:val="20"/>
                <w:szCs w:val="20"/>
              </w:rPr>
            </w:pPr>
            <w:r w:rsidRPr="00210201">
              <w:rPr>
                <w:rFonts w:ascii="Cambria" w:hAnsi="Cambria"/>
                <w:sz w:val="20"/>
                <w:szCs w:val="20"/>
              </w:rPr>
              <w:t>P-1054-18</w:t>
            </w:r>
          </w:p>
        </w:tc>
        <w:tc>
          <w:tcPr>
            <w:tcW w:w="1080" w:type="dxa"/>
            <w:shd w:val="clear" w:color="D9E1F2" w:fill="FFFFFF"/>
            <w:vAlign w:val="center"/>
            <w:hideMark/>
          </w:tcPr>
          <w:p w14:paraId="4DC3076C"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4E008D1B" w14:textId="41C519D3"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3D7F3DFD" w14:textId="77777777" w:rsidTr="007C26D9">
        <w:trPr>
          <w:trHeight w:val="326"/>
        </w:trPr>
        <w:tc>
          <w:tcPr>
            <w:tcW w:w="715" w:type="dxa"/>
            <w:shd w:val="clear" w:color="000000" w:fill="FFFFFF"/>
            <w:vAlign w:val="center"/>
            <w:hideMark/>
          </w:tcPr>
          <w:p w14:paraId="4B335EF6"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68</w:t>
            </w:r>
          </w:p>
        </w:tc>
        <w:tc>
          <w:tcPr>
            <w:tcW w:w="2340" w:type="dxa"/>
            <w:shd w:val="clear" w:color="D9E1F2" w:fill="FFFFFF"/>
            <w:vAlign w:val="center"/>
            <w:hideMark/>
          </w:tcPr>
          <w:p w14:paraId="0CCED51E" w14:textId="77777777" w:rsidR="00235BBE" w:rsidRPr="00210201" w:rsidRDefault="00235BBE" w:rsidP="00235BBE">
            <w:pPr>
              <w:jc w:val="center"/>
              <w:rPr>
                <w:rFonts w:ascii="Cambria" w:hAnsi="Cambria"/>
                <w:sz w:val="20"/>
                <w:szCs w:val="20"/>
              </w:rPr>
            </w:pPr>
            <w:r w:rsidRPr="00210201">
              <w:rPr>
                <w:rFonts w:ascii="Cambria" w:hAnsi="Cambria"/>
                <w:sz w:val="20"/>
                <w:szCs w:val="20"/>
              </w:rPr>
              <w:t>NICARAGUA</w:t>
            </w:r>
          </w:p>
        </w:tc>
        <w:tc>
          <w:tcPr>
            <w:tcW w:w="2790" w:type="dxa"/>
            <w:shd w:val="clear" w:color="000000" w:fill="FFFFFF"/>
            <w:vAlign w:val="center"/>
            <w:hideMark/>
          </w:tcPr>
          <w:p w14:paraId="75D299E4" w14:textId="77777777" w:rsidR="00235BBE" w:rsidRPr="00210201" w:rsidRDefault="00235BBE" w:rsidP="00235BBE">
            <w:pPr>
              <w:jc w:val="center"/>
              <w:rPr>
                <w:rFonts w:ascii="Cambria" w:hAnsi="Cambria"/>
                <w:sz w:val="20"/>
                <w:szCs w:val="20"/>
              </w:rPr>
            </w:pPr>
            <w:r w:rsidRPr="00210201">
              <w:rPr>
                <w:rFonts w:ascii="Cambria" w:hAnsi="Cambria"/>
                <w:sz w:val="20"/>
                <w:szCs w:val="20"/>
              </w:rPr>
              <w:t>P-1080-18</w:t>
            </w:r>
          </w:p>
        </w:tc>
        <w:tc>
          <w:tcPr>
            <w:tcW w:w="1080" w:type="dxa"/>
            <w:shd w:val="clear" w:color="000000" w:fill="FFFFFF"/>
            <w:vAlign w:val="center"/>
            <w:hideMark/>
          </w:tcPr>
          <w:p w14:paraId="2B66B04C"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1D861FD0" w14:textId="62DF85D9"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755374D5" w14:textId="77777777" w:rsidTr="007C26D9">
        <w:trPr>
          <w:trHeight w:val="326"/>
        </w:trPr>
        <w:tc>
          <w:tcPr>
            <w:tcW w:w="715" w:type="dxa"/>
            <w:shd w:val="clear" w:color="000000" w:fill="FFFFFF"/>
            <w:vAlign w:val="center"/>
            <w:hideMark/>
          </w:tcPr>
          <w:p w14:paraId="5579DB11"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69</w:t>
            </w:r>
          </w:p>
        </w:tc>
        <w:tc>
          <w:tcPr>
            <w:tcW w:w="2340" w:type="dxa"/>
            <w:shd w:val="clear" w:color="D9E1F2" w:fill="FFFFFF"/>
            <w:vAlign w:val="center"/>
            <w:hideMark/>
          </w:tcPr>
          <w:p w14:paraId="3ED5F1F1" w14:textId="77777777" w:rsidR="00235BBE" w:rsidRPr="00210201" w:rsidRDefault="00235BBE" w:rsidP="00235BBE">
            <w:pPr>
              <w:jc w:val="center"/>
              <w:rPr>
                <w:rFonts w:ascii="Cambria" w:hAnsi="Cambria"/>
                <w:sz w:val="20"/>
                <w:szCs w:val="20"/>
              </w:rPr>
            </w:pPr>
            <w:r w:rsidRPr="00210201">
              <w:rPr>
                <w:rFonts w:ascii="Cambria" w:hAnsi="Cambria"/>
                <w:sz w:val="20"/>
                <w:szCs w:val="20"/>
              </w:rPr>
              <w:t>NICARAGUA</w:t>
            </w:r>
          </w:p>
        </w:tc>
        <w:tc>
          <w:tcPr>
            <w:tcW w:w="2790" w:type="dxa"/>
            <w:shd w:val="clear" w:color="D9E1F2" w:fill="FFFFFF"/>
            <w:vAlign w:val="center"/>
            <w:hideMark/>
          </w:tcPr>
          <w:p w14:paraId="30AF916E" w14:textId="77777777" w:rsidR="00235BBE" w:rsidRPr="00210201" w:rsidRDefault="00235BBE" w:rsidP="00235BBE">
            <w:pPr>
              <w:jc w:val="center"/>
              <w:rPr>
                <w:rFonts w:ascii="Cambria" w:hAnsi="Cambria"/>
                <w:sz w:val="20"/>
                <w:szCs w:val="20"/>
              </w:rPr>
            </w:pPr>
            <w:r w:rsidRPr="00210201">
              <w:rPr>
                <w:rFonts w:ascii="Cambria" w:hAnsi="Cambria"/>
                <w:sz w:val="20"/>
                <w:szCs w:val="20"/>
              </w:rPr>
              <w:t>P-2866-18</w:t>
            </w:r>
          </w:p>
        </w:tc>
        <w:tc>
          <w:tcPr>
            <w:tcW w:w="1080" w:type="dxa"/>
            <w:shd w:val="clear" w:color="D9E1F2" w:fill="FFFFFF"/>
            <w:vAlign w:val="center"/>
            <w:hideMark/>
          </w:tcPr>
          <w:p w14:paraId="5A6AEB7F"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52D94C5D" w14:textId="1B346968"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4FBF2B98" w14:textId="77777777" w:rsidTr="007C26D9">
        <w:trPr>
          <w:trHeight w:val="317"/>
        </w:trPr>
        <w:tc>
          <w:tcPr>
            <w:tcW w:w="715" w:type="dxa"/>
            <w:shd w:val="clear" w:color="000000" w:fill="FFFFFF"/>
            <w:vAlign w:val="center"/>
            <w:hideMark/>
          </w:tcPr>
          <w:p w14:paraId="1DB6028C"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70</w:t>
            </w:r>
          </w:p>
        </w:tc>
        <w:tc>
          <w:tcPr>
            <w:tcW w:w="2340" w:type="dxa"/>
            <w:shd w:val="clear" w:color="000000" w:fill="FFFFFF"/>
            <w:vAlign w:val="center"/>
            <w:hideMark/>
          </w:tcPr>
          <w:p w14:paraId="6A8C6F60" w14:textId="77777777" w:rsidR="00235BBE" w:rsidRPr="00210201" w:rsidRDefault="00235BBE" w:rsidP="00235BBE">
            <w:pPr>
              <w:jc w:val="center"/>
              <w:rPr>
                <w:rFonts w:ascii="Cambria" w:hAnsi="Cambria"/>
                <w:sz w:val="20"/>
                <w:szCs w:val="20"/>
              </w:rPr>
            </w:pPr>
            <w:r w:rsidRPr="00210201">
              <w:rPr>
                <w:rFonts w:ascii="Cambria" w:hAnsi="Cambria"/>
                <w:sz w:val="20"/>
                <w:szCs w:val="20"/>
              </w:rPr>
              <w:t>PANAMA</w:t>
            </w:r>
          </w:p>
        </w:tc>
        <w:tc>
          <w:tcPr>
            <w:tcW w:w="2790" w:type="dxa"/>
            <w:shd w:val="clear" w:color="000000" w:fill="FFFFFF"/>
            <w:vAlign w:val="center"/>
            <w:hideMark/>
          </w:tcPr>
          <w:p w14:paraId="2899B0C2" w14:textId="77777777" w:rsidR="00235BBE" w:rsidRPr="00210201" w:rsidRDefault="00235BBE" w:rsidP="00235BBE">
            <w:pPr>
              <w:jc w:val="center"/>
              <w:rPr>
                <w:rFonts w:ascii="Cambria" w:hAnsi="Cambria"/>
                <w:sz w:val="20"/>
                <w:szCs w:val="20"/>
              </w:rPr>
            </w:pPr>
            <w:r w:rsidRPr="00210201">
              <w:rPr>
                <w:rFonts w:ascii="Cambria" w:hAnsi="Cambria"/>
                <w:sz w:val="20"/>
                <w:szCs w:val="20"/>
              </w:rPr>
              <w:t>P-749-16</w:t>
            </w:r>
          </w:p>
        </w:tc>
        <w:tc>
          <w:tcPr>
            <w:tcW w:w="1080" w:type="dxa"/>
            <w:shd w:val="clear" w:color="000000" w:fill="FFFFFF"/>
            <w:vAlign w:val="center"/>
            <w:hideMark/>
          </w:tcPr>
          <w:p w14:paraId="2B1ED81F" w14:textId="77777777" w:rsidR="00235BBE" w:rsidRPr="00210201" w:rsidRDefault="00235BBE" w:rsidP="00235BBE">
            <w:pPr>
              <w:jc w:val="center"/>
              <w:rPr>
                <w:rFonts w:ascii="Cambria" w:hAnsi="Cambria"/>
                <w:sz w:val="20"/>
                <w:szCs w:val="20"/>
              </w:rPr>
            </w:pPr>
            <w:r w:rsidRPr="00210201">
              <w:rPr>
                <w:rFonts w:ascii="Cambria" w:hAnsi="Cambria"/>
                <w:sz w:val="20"/>
                <w:szCs w:val="20"/>
              </w:rPr>
              <w:t>16</w:t>
            </w:r>
          </w:p>
        </w:tc>
        <w:tc>
          <w:tcPr>
            <w:tcW w:w="2700" w:type="dxa"/>
            <w:shd w:val="clear" w:color="D9E1F2" w:fill="FFFFFF"/>
            <w:vAlign w:val="center"/>
            <w:hideMark/>
          </w:tcPr>
          <w:p w14:paraId="5955E857" w14:textId="0B96CEE3"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2C8076A2" w14:textId="77777777" w:rsidTr="007C26D9">
        <w:trPr>
          <w:trHeight w:val="317"/>
        </w:trPr>
        <w:tc>
          <w:tcPr>
            <w:tcW w:w="715" w:type="dxa"/>
            <w:shd w:val="clear" w:color="000000" w:fill="FFFFFF"/>
            <w:vAlign w:val="center"/>
            <w:hideMark/>
          </w:tcPr>
          <w:p w14:paraId="73F845D3"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71</w:t>
            </w:r>
          </w:p>
        </w:tc>
        <w:tc>
          <w:tcPr>
            <w:tcW w:w="2340" w:type="dxa"/>
            <w:shd w:val="clear" w:color="D9E1F2" w:fill="FFFFFF"/>
            <w:vAlign w:val="center"/>
            <w:hideMark/>
          </w:tcPr>
          <w:p w14:paraId="169BA72A" w14:textId="77777777" w:rsidR="00235BBE" w:rsidRPr="00210201" w:rsidRDefault="00235BBE" w:rsidP="00235BBE">
            <w:pPr>
              <w:jc w:val="center"/>
              <w:rPr>
                <w:rFonts w:ascii="Cambria" w:hAnsi="Cambria"/>
                <w:sz w:val="20"/>
                <w:szCs w:val="20"/>
              </w:rPr>
            </w:pPr>
            <w:r w:rsidRPr="00210201">
              <w:rPr>
                <w:rFonts w:ascii="Cambria" w:hAnsi="Cambria"/>
                <w:sz w:val="20"/>
                <w:szCs w:val="20"/>
              </w:rPr>
              <w:t>PERU</w:t>
            </w:r>
          </w:p>
        </w:tc>
        <w:tc>
          <w:tcPr>
            <w:tcW w:w="2790" w:type="dxa"/>
            <w:shd w:val="clear" w:color="D9E1F2" w:fill="FFFFFF"/>
            <w:vAlign w:val="center"/>
            <w:hideMark/>
          </w:tcPr>
          <w:p w14:paraId="6C68C54E" w14:textId="77777777" w:rsidR="00235BBE" w:rsidRPr="00210201" w:rsidRDefault="00235BBE" w:rsidP="00235BBE">
            <w:pPr>
              <w:jc w:val="center"/>
              <w:rPr>
                <w:rFonts w:ascii="Cambria" w:hAnsi="Cambria"/>
                <w:sz w:val="20"/>
                <w:szCs w:val="20"/>
              </w:rPr>
            </w:pPr>
            <w:r w:rsidRPr="00210201">
              <w:rPr>
                <w:rFonts w:ascii="Cambria" w:hAnsi="Cambria"/>
                <w:sz w:val="20"/>
                <w:szCs w:val="20"/>
              </w:rPr>
              <w:t>P-69-07</w:t>
            </w:r>
          </w:p>
        </w:tc>
        <w:tc>
          <w:tcPr>
            <w:tcW w:w="1080" w:type="dxa"/>
            <w:shd w:val="clear" w:color="D9E1F2" w:fill="FFFFFF"/>
            <w:vAlign w:val="center"/>
            <w:hideMark/>
          </w:tcPr>
          <w:p w14:paraId="0A663361" w14:textId="77777777" w:rsidR="00235BBE" w:rsidRPr="00210201" w:rsidRDefault="00235BBE" w:rsidP="00235BBE">
            <w:pPr>
              <w:jc w:val="center"/>
              <w:rPr>
                <w:rFonts w:ascii="Cambria" w:hAnsi="Cambria"/>
                <w:sz w:val="20"/>
                <w:szCs w:val="20"/>
              </w:rPr>
            </w:pPr>
            <w:r w:rsidRPr="00210201">
              <w:rPr>
                <w:rFonts w:ascii="Cambria" w:hAnsi="Cambria"/>
                <w:sz w:val="20"/>
                <w:szCs w:val="20"/>
              </w:rPr>
              <w:t>7</w:t>
            </w:r>
          </w:p>
        </w:tc>
        <w:tc>
          <w:tcPr>
            <w:tcW w:w="2700" w:type="dxa"/>
            <w:shd w:val="clear" w:color="D9E1F2" w:fill="FFFFFF"/>
            <w:vAlign w:val="center"/>
            <w:hideMark/>
          </w:tcPr>
          <w:p w14:paraId="0DCDD567" w14:textId="09F11DD3"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582A1E58" w14:textId="77777777" w:rsidTr="007C26D9">
        <w:trPr>
          <w:trHeight w:val="308"/>
        </w:trPr>
        <w:tc>
          <w:tcPr>
            <w:tcW w:w="715" w:type="dxa"/>
            <w:shd w:val="clear" w:color="000000" w:fill="FFFFFF"/>
            <w:vAlign w:val="center"/>
            <w:hideMark/>
          </w:tcPr>
          <w:p w14:paraId="5753F0C1"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72</w:t>
            </w:r>
          </w:p>
        </w:tc>
        <w:tc>
          <w:tcPr>
            <w:tcW w:w="2340" w:type="dxa"/>
            <w:shd w:val="clear" w:color="D9E1F2" w:fill="FFFFFF"/>
            <w:vAlign w:val="center"/>
            <w:hideMark/>
          </w:tcPr>
          <w:p w14:paraId="4A47F607" w14:textId="77777777" w:rsidR="00235BBE" w:rsidRPr="00210201" w:rsidRDefault="00235BBE" w:rsidP="00235BBE">
            <w:pPr>
              <w:jc w:val="center"/>
              <w:rPr>
                <w:rFonts w:ascii="Cambria" w:hAnsi="Cambria"/>
                <w:sz w:val="20"/>
                <w:szCs w:val="20"/>
              </w:rPr>
            </w:pPr>
            <w:r w:rsidRPr="00210201">
              <w:rPr>
                <w:rFonts w:ascii="Cambria" w:hAnsi="Cambria"/>
                <w:sz w:val="20"/>
                <w:szCs w:val="20"/>
              </w:rPr>
              <w:t>PERU</w:t>
            </w:r>
          </w:p>
        </w:tc>
        <w:tc>
          <w:tcPr>
            <w:tcW w:w="2790" w:type="dxa"/>
            <w:shd w:val="clear" w:color="000000" w:fill="FFFFFF"/>
            <w:vAlign w:val="center"/>
            <w:hideMark/>
          </w:tcPr>
          <w:p w14:paraId="45B6432F" w14:textId="77777777" w:rsidR="00235BBE" w:rsidRPr="00210201" w:rsidRDefault="00235BBE" w:rsidP="00235BBE">
            <w:pPr>
              <w:jc w:val="center"/>
              <w:rPr>
                <w:rFonts w:ascii="Cambria" w:hAnsi="Cambria"/>
                <w:sz w:val="20"/>
                <w:szCs w:val="20"/>
              </w:rPr>
            </w:pPr>
            <w:r w:rsidRPr="00210201">
              <w:rPr>
                <w:rFonts w:ascii="Cambria" w:hAnsi="Cambria"/>
                <w:sz w:val="20"/>
                <w:szCs w:val="20"/>
              </w:rPr>
              <w:t>P-1708-14</w:t>
            </w:r>
          </w:p>
        </w:tc>
        <w:tc>
          <w:tcPr>
            <w:tcW w:w="1080" w:type="dxa"/>
            <w:shd w:val="clear" w:color="000000" w:fill="FFFFFF"/>
            <w:vAlign w:val="center"/>
            <w:hideMark/>
          </w:tcPr>
          <w:p w14:paraId="7C3C3757" w14:textId="77777777" w:rsidR="00235BBE" w:rsidRPr="00210201" w:rsidRDefault="00235BBE" w:rsidP="00235BBE">
            <w:pPr>
              <w:jc w:val="center"/>
              <w:rPr>
                <w:rFonts w:ascii="Cambria" w:hAnsi="Cambria"/>
                <w:sz w:val="20"/>
                <w:szCs w:val="20"/>
              </w:rPr>
            </w:pPr>
            <w:r w:rsidRPr="00210201">
              <w:rPr>
                <w:rFonts w:ascii="Cambria" w:hAnsi="Cambria"/>
                <w:sz w:val="20"/>
                <w:szCs w:val="20"/>
              </w:rPr>
              <w:t>14</w:t>
            </w:r>
          </w:p>
        </w:tc>
        <w:tc>
          <w:tcPr>
            <w:tcW w:w="2700" w:type="dxa"/>
            <w:shd w:val="clear" w:color="D9E1F2" w:fill="FFFFFF"/>
            <w:vAlign w:val="center"/>
            <w:hideMark/>
          </w:tcPr>
          <w:p w14:paraId="2D23F992" w14:textId="01A5F773"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39C5F812" w14:textId="77777777" w:rsidTr="007C26D9">
        <w:trPr>
          <w:trHeight w:val="326"/>
        </w:trPr>
        <w:tc>
          <w:tcPr>
            <w:tcW w:w="715" w:type="dxa"/>
            <w:shd w:val="clear" w:color="000000" w:fill="FFFFFF"/>
            <w:vAlign w:val="center"/>
            <w:hideMark/>
          </w:tcPr>
          <w:p w14:paraId="62DAFAAC"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73</w:t>
            </w:r>
          </w:p>
        </w:tc>
        <w:tc>
          <w:tcPr>
            <w:tcW w:w="2340" w:type="dxa"/>
            <w:shd w:val="clear" w:color="D9E1F2" w:fill="FFFFFF"/>
            <w:vAlign w:val="center"/>
            <w:hideMark/>
          </w:tcPr>
          <w:p w14:paraId="05CF771F" w14:textId="77777777" w:rsidR="00235BBE" w:rsidRPr="00210201" w:rsidRDefault="00235BBE" w:rsidP="00235BBE">
            <w:pPr>
              <w:jc w:val="center"/>
              <w:rPr>
                <w:rFonts w:ascii="Cambria" w:hAnsi="Cambria"/>
                <w:sz w:val="20"/>
                <w:szCs w:val="20"/>
              </w:rPr>
            </w:pPr>
            <w:r w:rsidRPr="00210201">
              <w:rPr>
                <w:rFonts w:ascii="Cambria" w:hAnsi="Cambria"/>
                <w:sz w:val="20"/>
                <w:szCs w:val="20"/>
              </w:rPr>
              <w:t>PERU</w:t>
            </w:r>
          </w:p>
        </w:tc>
        <w:tc>
          <w:tcPr>
            <w:tcW w:w="2790" w:type="dxa"/>
            <w:shd w:val="clear" w:color="D9E1F2" w:fill="FFFFFF"/>
            <w:vAlign w:val="center"/>
            <w:hideMark/>
          </w:tcPr>
          <w:p w14:paraId="0319A38D" w14:textId="77777777" w:rsidR="00235BBE" w:rsidRPr="00210201" w:rsidRDefault="00235BBE" w:rsidP="00235BBE">
            <w:pPr>
              <w:jc w:val="center"/>
              <w:rPr>
                <w:rFonts w:ascii="Cambria" w:hAnsi="Cambria"/>
                <w:sz w:val="20"/>
                <w:szCs w:val="20"/>
              </w:rPr>
            </w:pPr>
            <w:r w:rsidRPr="00210201">
              <w:rPr>
                <w:rFonts w:ascii="Cambria" w:hAnsi="Cambria"/>
                <w:sz w:val="20"/>
                <w:szCs w:val="20"/>
              </w:rPr>
              <w:t>P-842-15</w:t>
            </w:r>
          </w:p>
        </w:tc>
        <w:tc>
          <w:tcPr>
            <w:tcW w:w="1080" w:type="dxa"/>
            <w:shd w:val="clear" w:color="D9E1F2" w:fill="FFFFFF"/>
            <w:vAlign w:val="center"/>
            <w:hideMark/>
          </w:tcPr>
          <w:p w14:paraId="09A4100C" w14:textId="77777777" w:rsidR="00235BBE" w:rsidRPr="00210201" w:rsidRDefault="00235BBE" w:rsidP="00235BBE">
            <w:pPr>
              <w:jc w:val="center"/>
              <w:rPr>
                <w:rFonts w:ascii="Cambria" w:hAnsi="Cambria"/>
                <w:sz w:val="20"/>
                <w:szCs w:val="20"/>
              </w:rPr>
            </w:pPr>
            <w:r w:rsidRPr="00210201">
              <w:rPr>
                <w:rFonts w:ascii="Cambria" w:hAnsi="Cambria"/>
                <w:sz w:val="20"/>
                <w:szCs w:val="20"/>
              </w:rPr>
              <w:t>15</w:t>
            </w:r>
          </w:p>
        </w:tc>
        <w:tc>
          <w:tcPr>
            <w:tcW w:w="2700" w:type="dxa"/>
            <w:shd w:val="clear" w:color="D9E1F2" w:fill="FFFFFF"/>
            <w:vAlign w:val="center"/>
            <w:hideMark/>
          </w:tcPr>
          <w:p w14:paraId="76085C33" w14:textId="01E3CABE"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121ADCCE" w14:textId="77777777" w:rsidTr="007C26D9">
        <w:trPr>
          <w:trHeight w:val="317"/>
        </w:trPr>
        <w:tc>
          <w:tcPr>
            <w:tcW w:w="715" w:type="dxa"/>
            <w:shd w:val="clear" w:color="000000" w:fill="FFFFFF"/>
            <w:vAlign w:val="center"/>
            <w:hideMark/>
          </w:tcPr>
          <w:p w14:paraId="7ACA964A"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74</w:t>
            </w:r>
          </w:p>
        </w:tc>
        <w:tc>
          <w:tcPr>
            <w:tcW w:w="2340" w:type="dxa"/>
            <w:shd w:val="clear" w:color="D9E1F2" w:fill="FFFFFF"/>
            <w:vAlign w:val="center"/>
            <w:hideMark/>
          </w:tcPr>
          <w:p w14:paraId="48F48739" w14:textId="77777777" w:rsidR="00235BBE" w:rsidRPr="00210201" w:rsidRDefault="00235BBE" w:rsidP="00235BBE">
            <w:pPr>
              <w:jc w:val="center"/>
              <w:rPr>
                <w:rFonts w:ascii="Cambria" w:hAnsi="Cambria"/>
                <w:sz w:val="20"/>
                <w:szCs w:val="20"/>
              </w:rPr>
            </w:pPr>
            <w:r w:rsidRPr="00210201">
              <w:rPr>
                <w:rFonts w:ascii="Cambria" w:hAnsi="Cambria"/>
                <w:sz w:val="20"/>
                <w:szCs w:val="20"/>
              </w:rPr>
              <w:t>PERU</w:t>
            </w:r>
          </w:p>
        </w:tc>
        <w:tc>
          <w:tcPr>
            <w:tcW w:w="2790" w:type="dxa"/>
            <w:shd w:val="clear" w:color="D9E1F2" w:fill="FFFFFF"/>
            <w:vAlign w:val="center"/>
            <w:hideMark/>
          </w:tcPr>
          <w:p w14:paraId="67F476BD" w14:textId="77777777" w:rsidR="00235BBE" w:rsidRPr="00210201" w:rsidRDefault="00235BBE" w:rsidP="00235BBE">
            <w:pPr>
              <w:jc w:val="center"/>
              <w:rPr>
                <w:rFonts w:ascii="Cambria" w:hAnsi="Cambria"/>
                <w:sz w:val="20"/>
                <w:szCs w:val="20"/>
              </w:rPr>
            </w:pPr>
            <w:r w:rsidRPr="00210201">
              <w:rPr>
                <w:rFonts w:ascii="Cambria" w:hAnsi="Cambria"/>
                <w:sz w:val="20"/>
                <w:szCs w:val="20"/>
              </w:rPr>
              <w:t>P-80-18</w:t>
            </w:r>
          </w:p>
        </w:tc>
        <w:tc>
          <w:tcPr>
            <w:tcW w:w="1080" w:type="dxa"/>
            <w:shd w:val="clear" w:color="D9E1F2" w:fill="FFFFFF"/>
            <w:vAlign w:val="center"/>
            <w:hideMark/>
          </w:tcPr>
          <w:p w14:paraId="287C131E"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3AF6334D" w14:textId="754AA2A5"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252499AD" w14:textId="77777777" w:rsidTr="007C26D9">
        <w:trPr>
          <w:trHeight w:val="335"/>
        </w:trPr>
        <w:tc>
          <w:tcPr>
            <w:tcW w:w="715" w:type="dxa"/>
            <w:shd w:val="clear" w:color="000000" w:fill="FFFFFF"/>
            <w:vAlign w:val="center"/>
            <w:hideMark/>
          </w:tcPr>
          <w:p w14:paraId="2B95776B"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75</w:t>
            </w:r>
          </w:p>
        </w:tc>
        <w:tc>
          <w:tcPr>
            <w:tcW w:w="2340" w:type="dxa"/>
            <w:shd w:val="clear" w:color="D9E1F2" w:fill="FFFFFF"/>
            <w:vAlign w:val="center"/>
            <w:hideMark/>
          </w:tcPr>
          <w:p w14:paraId="201320A2" w14:textId="77777777" w:rsidR="00235BBE" w:rsidRPr="00210201" w:rsidRDefault="00235BBE" w:rsidP="00235BBE">
            <w:pPr>
              <w:jc w:val="center"/>
              <w:rPr>
                <w:rFonts w:ascii="Cambria" w:hAnsi="Cambria"/>
                <w:sz w:val="20"/>
                <w:szCs w:val="20"/>
              </w:rPr>
            </w:pPr>
            <w:r w:rsidRPr="00210201">
              <w:rPr>
                <w:rFonts w:ascii="Cambria" w:hAnsi="Cambria"/>
                <w:sz w:val="20"/>
                <w:szCs w:val="20"/>
              </w:rPr>
              <w:t>PERU</w:t>
            </w:r>
          </w:p>
        </w:tc>
        <w:tc>
          <w:tcPr>
            <w:tcW w:w="2790" w:type="dxa"/>
            <w:shd w:val="clear" w:color="000000" w:fill="FFFFFF"/>
            <w:vAlign w:val="center"/>
            <w:hideMark/>
          </w:tcPr>
          <w:p w14:paraId="18D7BBBF" w14:textId="77777777" w:rsidR="00235BBE" w:rsidRPr="00210201" w:rsidRDefault="00235BBE" w:rsidP="00235BBE">
            <w:pPr>
              <w:jc w:val="center"/>
              <w:rPr>
                <w:rFonts w:ascii="Cambria" w:hAnsi="Cambria"/>
                <w:sz w:val="20"/>
                <w:szCs w:val="20"/>
              </w:rPr>
            </w:pPr>
            <w:r w:rsidRPr="00210201">
              <w:rPr>
                <w:rFonts w:ascii="Cambria" w:hAnsi="Cambria"/>
                <w:sz w:val="20"/>
                <w:szCs w:val="20"/>
              </w:rPr>
              <w:t>P-258-18</w:t>
            </w:r>
          </w:p>
        </w:tc>
        <w:tc>
          <w:tcPr>
            <w:tcW w:w="1080" w:type="dxa"/>
            <w:shd w:val="clear" w:color="000000" w:fill="FFFFFF"/>
            <w:vAlign w:val="center"/>
            <w:hideMark/>
          </w:tcPr>
          <w:p w14:paraId="274A6083"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6B65380F" w14:textId="1CF2CB18"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715D5189" w14:textId="77777777" w:rsidTr="007C26D9">
        <w:trPr>
          <w:trHeight w:val="308"/>
        </w:trPr>
        <w:tc>
          <w:tcPr>
            <w:tcW w:w="715" w:type="dxa"/>
            <w:shd w:val="clear" w:color="000000" w:fill="FFFFFF"/>
            <w:vAlign w:val="center"/>
            <w:hideMark/>
          </w:tcPr>
          <w:p w14:paraId="08285000"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76</w:t>
            </w:r>
          </w:p>
        </w:tc>
        <w:tc>
          <w:tcPr>
            <w:tcW w:w="2340" w:type="dxa"/>
            <w:shd w:val="clear" w:color="D9E1F2" w:fill="FFFFFF"/>
            <w:vAlign w:val="center"/>
            <w:hideMark/>
          </w:tcPr>
          <w:p w14:paraId="0D91D4CA" w14:textId="77777777" w:rsidR="00235BBE" w:rsidRPr="00210201" w:rsidRDefault="00235BBE" w:rsidP="00235BBE">
            <w:pPr>
              <w:jc w:val="center"/>
              <w:rPr>
                <w:rFonts w:ascii="Cambria" w:hAnsi="Cambria"/>
                <w:sz w:val="20"/>
                <w:szCs w:val="20"/>
              </w:rPr>
            </w:pPr>
            <w:r w:rsidRPr="00210201">
              <w:rPr>
                <w:rFonts w:ascii="Cambria" w:hAnsi="Cambria"/>
                <w:sz w:val="20"/>
                <w:szCs w:val="20"/>
              </w:rPr>
              <w:t>PERU</w:t>
            </w:r>
          </w:p>
        </w:tc>
        <w:tc>
          <w:tcPr>
            <w:tcW w:w="2790" w:type="dxa"/>
            <w:shd w:val="clear" w:color="D9E1F2" w:fill="FFFFFF"/>
            <w:vAlign w:val="center"/>
            <w:hideMark/>
          </w:tcPr>
          <w:p w14:paraId="2E9CF31F" w14:textId="77777777" w:rsidR="00235BBE" w:rsidRPr="00210201" w:rsidRDefault="00235BBE" w:rsidP="00235BBE">
            <w:pPr>
              <w:jc w:val="center"/>
              <w:rPr>
                <w:rFonts w:ascii="Cambria" w:hAnsi="Cambria"/>
                <w:sz w:val="20"/>
                <w:szCs w:val="20"/>
              </w:rPr>
            </w:pPr>
            <w:r w:rsidRPr="00210201">
              <w:rPr>
                <w:rFonts w:ascii="Cambria" w:hAnsi="Cambria"/>
                <w:sz w:val="20"/>
                <w:szCs w:val="20"/>
              </w:rPr>
              <w:t>P-1711-18</w:t>
            </w:r>
          </w:p>
        </w:tc>
        <w:tc>
          <w:tcPr>
            <w:tcW w:w="1080" w:type="dxa"/>
            <w:shd w:val="clear" w:color="D9E1F2" w:fill="FFFFFF"/>
            <w:vAlign w:val="center"/>
            <w:hideMark/>
          </w:tcPr>
          <w:p w14:paraId="5627A668"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4A27BBD2" w14:textId="4AA2F084"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76624D88" w14:textId="77777777" w:rsidTr="007C26D9">
        <w:trPr>
          <w:trHeight w:val="326"/>
        </w:trPr>
        <w:tc>
          <w:tcPr>
            <w:tcW w:w="715" w:type="dxa"/>
            <w:shd w:val="clear" w:color="000000" w:fill="FFFFFF"/>
            <w:vAlign w:val="center"/>
            <w:hideMark/>
          </w:tcPr>
          <w:p w14:paraId="240DE457"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77</w:t>
            </w:r>
          </w:p>
        </w:tc>
        <w:tc>
          <w:tcPr>
            <w:tcW w:w="2340" w:type="dxa"/>
            <w:shd w:val="clear" w:color="D9E1F2" w:fill="FFFFFF"/>
            <w:vAlign w:val="center"/>
            <w:hideMark/>
          </w:tcPr>
          <w:p w14:paraId="43FDA2EA" w14:textId="77777777" w:rsidR="00235BBE" w:rsidRPr="00210201" w:rsidRDefault="00235BBE" w:rsidP="00235BBE">
            <w:pPr>
              <w:jc w:val="center"/>
              <w:rPr>
                <w:rFonts w:ascii="Cambria" w:hAnsi="Cambria"/>
                <w:sz w:val="20"/>
                <w:szCs w:val="20"/>
              </w:rPr>
            </w:pPr>
            <w:r w:rsidRPr="00210201">
              <w:rPr>
                <w:rFonts w:ascii="Cambria" w:hAnsi="Cambria"/>
                <w:sz w:val="20"/>
                <w:szCs w:val="20"/>
              </w:rPr>
              <w:t>PERU</w:t>
            </w:r>
          </w:p>
        </w:tc>
        <w:tc>
          <w:tcPr>
            <w:tcW w:w="2790" w:type="dxa"/>
            <w:shd w:val="clear" w:color="D9E1F2" w:fill="FFFFFF"/>
            <w:vAlign w:val="center"/>
            <w:hideMark/>
          </w:tcPr>
          <w:p w14:paraId="745FC585" w14:textId="77777777" w:rsidR="00235BBE" w:rsidRPr="00210201" w:rsidRDefault="00235BBE" w:rsidP="00235BBE">
            <w:pPr>
              <w:jc w:val="center"/>
              <w:rPr>
                <w:rFonts w:ascii="Cambria" w:hAnsi="Cambria"/>
                <w:sz w:val="20"/>
                <w:szCs w:val="20"/>
              </w:rPr>
            </w:pPr>
            <w:r w:rsidRPr="00210201">
              <w:rPr>
                <w:rFonts w:ascii="Cambria" w:hAnsi="Cambria"/>
                <w:sz w:val="20"/>
                <w:szCs w:val="20"/>
              </w:rPr>
              <w:t>P-2268-18</w:t>
            </w:r>
          </w:p>
        </w:tc>
        <w:tc>
          <w:tcPr>
            <w:tcW w:w="1080" w:type="dxa"/>
            <w:shd w:val="clear" w:color="D9E1F2" w:fill="FFFFFF"/>
            <w:vAlign w:val="center"/>
            <w:hideMark/>
          </w:tcPr>
          <w:p w14:paraId="19296958"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64BB0957" w14:textId="454070F1"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r w:rsidR="00235BBE" w:rsidRPr="00210201" w14:paraId="5B3FFF5A" w14:textId="77777777" w:rsidTr="007C26D9">
        <w:trPr>
          <w:trHeight w:val="317"/>
        </w:trPr>
        <w:tc>
          <w:tcPr>
            <w:tcW w:w="715" w:type="dxa"/>
            <w:shd w:val="clear" w:color="000000" w:fill="FFFFFF"/>
            <w:vAlign w:val="center"/>
            <w:hideMark/>
          </w:tcPr>
          <w:p w14:paraId="34454F12" w14:textId="77777777" w:rsidR="00235BBE" w:rsidRPr="00210201" w:rsidRDefault="00235BBE" w:rsidP="00235BBE">
            <w:pPr>
              <w:jc w:val="center"/>
              <w:rPr>
                <w:rFonts w:ascii="Cambria" w:hAnsi="Cambria"/>
                <w:b/>
                <w:bCs/>
                <w:sz w:val="20"/>
                <w:szCs w:val="20"/>
              </w:rPr>
            </w:pPr>
            <w:r w:rsidRPr="00210201">
              <w:rPr>
                <w:rFonts w:ascii="Cambria" w:hAnsi="Cambria"/>
                <w:b/>
                <w:bCs/>
                <w:sz w:val="20"/>
                <w:szCs w:val="20"/>
              </w:rPr>
              <w:t>78</w:t>
            </w:r>
          </w:p>
        </w:tc>
        <w:tc>
          <w:tcPr>
            <w:tcW w:w="2340" w:type="dxa"/>
            <w:shd w:val="clear" w:color="D9E1F2" w:fill="FFFFFF"/>
            <w:vAlign w:val="center"/>
            <w:hideMark/>
          </w:tcPr>
          <w:p w14:paraId="61F73855" w14:textId="77777777" w:rsidR="00235BBE" w:rsidRPr="00210201" w:rsidRDefault="00235BBE" w:rsidP="00235BBE">
            <w:pPr>
              <w:jc w:val="center"/>
              <w:rPr>
                <w:rFonts w:ascii="Cambria" w:hAnsi="Cambria"/>
                <w:sz w:val="20"/>
                <w:szCs w:val="20"/>
              </w:rPr>
            </w:pPr>
            <w:r w:rsidRPr="00210201">
              <w:rPr>
                <w:rFonts w:ascii="Cambria" w:hAnsi="Cambria"/>
                <w:sz w:val="20"/>
                <w:szCs w:val="20"/>
              </w:rPr>
              <w:t>PERU</w:t>
            </w:r>
          </w:p>
        </w:tc>
        <w:tc>
          <w:tcPr>
            <w:tcW w:w="2790" w:type="dxa"/>
            <w:shd w:val="clear" w:color="D9E1F2" w:fill="FFFFFF"/>
            <w:vAlign w:val="center"/>
            <w:hideMark/>
          </w:tcPr>
          <w:p w14:paraId="64390A11" w14:textId="77777777" w:rsidR="00235BBE" w:rsidRPr="00210201" w:rsidRDefault="00235BBE" w:rsidP="00235BBE">
            <w:pPr>
              <w:jc w:val="center"/>
              <w:rPr>
                <w:rFonts w:ascii="Cambria" w:hAnsi="Cambria"/>
                <w:sz w:val="20"/>
                <w:szCs w:val="20"/>
              </w:rPr>
            </w:pPr>
            <w:r w:rsidRPr="00210201">
              <w:rPr>
                <w:rFonts w:ascii="Cambria" w:hAnsi="Cambria"/>
                <w:sz w:val="20"/>
                <w:szCs w:val="20"/>
              </w:rPr>
              <w:t>P-2597-18</w:t>
            </w:r>
          </w:p>
        </w:tc>
        <w:tc>
          <w:tcPr>
            <w:tcW w:w="1080" w:type="dxa"/>
            <w:shd w:val="clear" w:color="D9E1F2" w:fill="FFFFFF"/>
            <w:vAlign w:val="center"/>
            <w:hideMark/>
          </w:tcPr>
          <w:p w14:paraId="7B440B4F" w14:textId="77777777" w:rsidR="00235BBE" w:rsidRPr="00210201" w:rsidRDefault="00235BBE" w:rsidP="00235BBE">
            <w:pPr>
              <w:jc w:val="center"/>
              <w:rPr>
                <w:rFonts w:ascii="Cambria" w:hAnsi="Cambria"/>
                <w:sz w:val="20"/>
                <w:szCs w:val="20"/>
              </w:rPr>
            </w:pPr>
            <w:r w:rsidRPr="00210201">
              <w:rPr>
                <w:rFonts w:ascii="Cambria" w:hAnsi="Cambria"/>
                <w:sz w:val="20"/>
                <w:szCs w:val="20"/>
              </w:rPr>
              <w:t>18</w:t>
            </w:r>
          </w:p>
        </w:tc>
        <w:tc>
          <w:tcPr>
            <w:tcW w:w="2700" w:type="dxa"/>
            <w:shd w:val="clear" w:color="D9E1F2" w:fill="FFFFFF"/>
            <w:vAlign w:val="center"/>
            <w:hideMark/>
          </w:tcPr>
          <w:p w14:paraId="7C72CD6E" w14:textId="41D7A483" w:rsidR="00235BBE" w:rsidRPr="00210201" w:rsidRDefault="00235BBE" w:rsidP="00235BBE">
            <w:pPr>
              <w:jc w:val="center"/>
              <w:rPr>
                <w:rFonts w:ascii="Cambria" w:hAnsi="Cambria"/>
                <w:sz w:val="20"/>
                <w:szCs w:val="20"/>
              </w:rPr>
            </w:pPr>
            <w:r w:rsidRPr="00B14657">
              <w:rPr>
                <w:rFonts w:ascii="Cambria" w:hAnsi="Cambria"/>
                <w:sz w:val="20"/>
                <w:szCs w:val="20"/>
              </w:rPr>
              <w:t>INITIAL REVIEW</w:t>
            </w:r>
          </w:p>
        </w:tc>
      </w:tr>
    </w:tbl>
    <w:p w14:paraId="41340C6B" w14:textId="77777777" w:rsidR="0057201B" w:rsidRDefault="0057201B" w:rsidP="0057201B">
      <w:pPr>
        <w:pStyle w:val="BodyText"/>
        <w:jc w:val="both"/>
        <w:rPr>
          <w:noProof/>
        </w:rPr>
      </w:pPr>
    </w:p>
    <w:p w14:paraId="04CD2DDB" w14:textId="77777777" w:rsidR="0057201B" w:rsidRDefault="0057201B" w:rsidP="0057201B">
      <w:pPr>
        <w:pStyle w:val="BodyText"/>
        <w:ind w:left="2160"/>
        <w:jc w:val="both"/>
        <w:rPr>
          <w:noProof/>
        </w:rPr>
      </w:pPr>
    </w:p>
    <w:p w14:paraId="4E64DAE3" w14:textId="77777777" w:rsidR="0057201B" w:rsidRDefault="0057201B" w:rsidP="00933F91">
      <w:pPr>
        <w:pStyle w:val="BodyText"/>
        <w:widowControl/>
        <w:numPr>
          <w:ilvl w:val="0"/>
          <w:numId w:val="59"/>
        </w:numPr>
        <w:ind w:left="1440"/>
        <w:jc w:val="both"/>
        <w:rPr>
          <w:noProof/>
        </w:rPr>
      </w:pPr>
      <w:r>
        <w:rPr>
          <w:noProof/>
        </w:rPr>
        <w:t>Petitions and cases</w:t>
      </w:r>
    </w:p>
    <w:p w14:paraId="0E2E1660" w14:textId="77777777" w:rsidR="0057201B" w:rsidRPr="00B047D1" w:rsidRDefault="0057201B" w:rsidP="0057201B">
      <w:pPr>
        <w:pStyle w:val="BodyText"/>
        <w:jc w:val="both"/>
        <w:rPr>
          <w:noProof/>
        </w:rPr>
      </w:pPr>
    </w:p>
    <w:tbl>
      <w:tblPr>
        <w:tblW w:w="10550" w:type="dxa"/>
        <w:tblInd w:w="-545" w:type="dxa"/>
        <w:tblCellMar>
          <w:top w:w="15" w:type="dxa"/>
          <w:bottom w:w="15" w:type="dxa"/>
        </w:tblCellMar>
        <w:tblLook w:val="04A0" w:firstRow="1" w:lastRow="0" w:firstColumn="1" w:lastColumn="0" w:noHBand="0" w:noVBand="1"/>
      </w:tblPr>
      <w:tblGrid>
        <w:gridCol w:w="559"/>
        <w:gridCol w:w="1370"/>
        <w:gridCol w:w="1620"/>
        <w:gridCol w:w="1530"/>
        <w:gridCol w:w="900"/>
        <w:gridCol w:w="2636"/>
        <w:gridCol w:w="1935"/>
      </w:tblGrid>
      <w:tr w:rsidR="0057201B" w:rsidRPr="00AE3A84" w14:paraId="09478B1B" w14:textId="77777777" w:rsidTr="008B05A0">
        <w:trPr>
          <w:trHeight w:val="614"/>
        </w:trPr>
        <w:tc>
          <w:tcPr>
            <w:tcW w:w="559" w:type="dxa"/>
            <w:tcBorders>
              <w:top w:val="single" w:sz="4" w:space="0" w:color="000000"/>
              <w:left w:val="single" w:sz="4" w:space="0" w:color="000000"/>
              <w:bottom w:val="single" w:sz="4" w:space="0" w:color="000000"/>
              <w:right w:val="single" w:sz="4" w:space="0" w:color="000000"/>
            </w:tcBorders>
            <w:shd w:val="clear" w:color="000000" w:fill="000000"/>
            <w:noWrap/>
            <w:vAlign w:val="center"/>
            <w:hideMark/>
          </w:tcPr>
          <w:p w14:paraId="191D2789" w14:textId="77777777" w:rsidR="0057201B" w:rsidRPr="00AE3A84" w:rsidRDefault="0057201B">
            <w:pPr>
              <w:pStyle w:val="BodyText"/>
              <w:jc w:val="center"/>
              <w:rPr>
                <w:b/>
                <w:bCs/>
                <w:noProof/>
              </w:rPr>
            </w:pPr>
            <w:r w:rsidRPr="00AE3A84">
              <w:rPr>
                <w:b/>
                <w:bCs/>
                <w:noProof/>
              </w:rPr>
              <w:t>Nº</w:t>
            </w:r>
          </w:p>
        </w:tc>
        <w:tc>
          <w:tcPr>
            <w:tcW w:w="1370" w:type="dxa"/>
            <w:tcBorders>
              <w:top w:val="single" w:sz="4" w:space="0" w:color="000000"/>
              <w:left w:val="nil"/>
              <w:bottom w:val="nil"/>
              <w:right w:val="single" w:sz="4" w:space="0" w:color="000000"/>
            </w:tcBorders>
            <w:shd w:val="clear" w:color="000000" w:fill="000000"/>
            <w:vAlign w:val="center"/>
            <w:hideMark/>
          </w:tcPr>
          <w:p w14:paraId="0E827143" w14:textId="65408128" w:rsidR="0057201B" w:rsidRPr="00AE3A84" w:rsidRDefault="0057201B">
            <w:pPr>
              <w:pStyle w:val="BodyText"/>
              <w:jc w:val="center"/>
              <w:rPr>
                <w:b/>
                <w:bCs/>
                <w:noProof/>
              </w:rPr>
            </w:pPr>
            <w:r w:rsidRPr="00AE3A84">
              <w:rPr>
                <w:b/>
                <w:bCs/>
                <w:i/>
                <w:iCs/>
                <w:noProof/>
              </w:rPr>
              <w:t>State</w:t>
            </w:r>
          </w:p>
        </w:tc>
        <w:tc>
          <w:tcPr>
            <w:tcW w:w="1620" w:type="dxa"/>
            <w:tcBorders>
              <w:top w:val="single" w:sz="4" w:space="0" w:color="000000"/>
              <w:left w:val="single" w:sz="4" w:space="0" w:color="000000"/>
              <w:bottom w:val="nil"/>
              <w:right w:val="single" w:sz="4" w:space="0" w:color="000000"/>
            </w:tcBorders>
            <w:shd w:val="clear" w:color="000000" w:fill="000000"/>
            <w:vAlign w:val="center"/>
            <w:hideMark/>
          </w:tcPr>
          <w:p w14:paraId="3D3FDD8C" w14:textId="1EDF6168" w:rsidR="0057201B" w:rsidRPr="00AE3A84" w:rsidRDefault="0057201B">
            <w:pPr>
              <w:pStyle w:val="BodyText"/>
              <w:jc w:val="center"/>
              <w:rPr>
                <w:b/>
                <w:bCs/>
                <w:noProof/>
              </w:rPr>
            </w:pPr>
            <w:r w:rsidRPr="00AE3A84">
              <w:rPr>
                <w:b/>
                <w:bCs/>
                <w:i/>
                <w:iCs/>
                <w:noProof/>
              </w:rPr>
              <w:t>Petition number</w:t>
            </w:r>
          </w:p>
        </w:tc>
        <w:tc>
          <w:tcPr>
            <w:tcW w:w="1530" w:type="dxa"/>
            <w:tcBorders>
              <w:top w:val="single" w:sz="4" w:space="0" w:color="000000"/>
              <w:left w:val="single" w:sz="4" w:space="0" w:color="000000"/>
              <w:bottom w:val="nil"/>
              <w:right w:val="single" w:sz="4" w:space="0" w:color="000000"/>
            </w:tcBorders>
            <w:shd w:val="clear" w:color="000000" w:fill="000000"/>
            <w:vAlign w:val="center"/>
            <w:hideMark/>
          </w:tcPr>
          <w:p w14:paraId="56232544" w14:textId="7AA884C1" w:rsidR="0057201B" w:rsidRPr="00AE3A84" w:rsidRDefault="0057201B">
            <w:pPr>
              <w:pStyle w:val="BodyText"/>
              <w:jc w:val="center"/>
              <w:rPr>
                <w:b/>
                <w:bCs/>
                <w:noProof/>
              </w:rPr>
            </w:pPr>
            <w:r w:rsidRPr="00AE3A84">
              <w:rPr>
                <w:b/>
                <w:bCs/>
                <w:i/>
                <w:iCs/>
                <w:noProof/>
              </w:rPr>
              <w:t>Case number</w:t>
            </w:r>
          </w:p>
        </w:tc>
        <w:tc>
          <w:tcPr>
            <w:tcW w:w="900" w:type="dxa"/>
            <w:tcBorders>
              <w:top w:val="single" w:sz="4" w:space="0" w:color="000000"/>
              <w:left w:val="single" w:sz="4" w:space="0" w:color="000000"/>
              <w:bottom w:val="nil"/>
              <w:right w:val="single" w:sz="4" w:space="0" w:color="000000"/>
            </w:tcBorders>
            <w:shd w:val="clear" w:color="000000" w:fill="000000"/>
            <w:vAlign w:val="center"/>
            <w:hideMark/>
          </w:tcPr>
          <w:p w14:paraId="1D5980A4" w14:textId="51C4A92C" w:rsidR="0057201B" w:rsidRPr="00AE3A84" w:rsidRDefault="0057201B">
            <w:pPr>
              <w:pStyle w:val="BodyText"/>
              <w:jc w:val="center"/>
              <w:rPr>
                <w:b/>
                <w:bCs/>
                <w:noProof/>
              </w:rPr>
            </w:pPr>
            <w:r w:rsidRPr="00AE3A84">
              <w:rPr>
                <w:b/>
                <w:bCs/>
                <w:i/>
                <w:iCs/>
                <w:noProof/>
              </w:rPr>
              <w:t>Year</w:t>
            </w:r>
          </w:p>
        </w:tc>
        <w:tc>
          <w:tcPr>
            <w:tcW w:w="2636" w:type="dxa"/>
            <w:tcBorders>
              <w:top w:val="single" w:sz="4" w:space="0" w:color="000000"/>
              <w:left w:val="single" w:sz="4" w:space="0" w:color="000000"/>
              <w:bottom w:val="nil"/>
              <w:right w:val="single" w:sz="4" w:space="0" w:color="000000"/>
            </w:tcBorders>
            <w:shd w:val="clear" w:color="000000" w:fill="000000"/>
            <w:vAlign w:val="center"/>
            <w:hideMark/>
          </w:tcPr>
          <w:p w14:paraId="0DA8CC61" w14:textId="51D96FAC" w:rsidR="0057201B" w:rsidRPr="00AE3A84" w:rsidRDefault="0057201B">
            <w:pPr>
              <w:pStyle w:val="BodyText"/>
              <w:jc w:val="center"/>
              <w:rPr>
                <w:b/>
                <w:bCs/>
                <w:noProof/>
              </w:rPr>
            </w:pPr>
            <w:r w:rsidRPr="00AE3A84">
              <w:rPr>
                <w:b/>
                <w:bCs/>
                <w:i/>
                <w:iCs/>
                <w:noProof/>
              </w:rPr>
              <w:t>Name</w:t>
            </w:r>
          </w:p>
        </w:tc>
        <w:tc>
          <w:tcPr>
            <w:tcW w:w="1935" w:type="dxa"/>
            <w:tcBorders>
              <w:top w:val="single" w:sz="4" w:space="0" w:color="000000"/>
              <w:left w:val="single" w:sz="4" w:space="0" w:color="000000"/>
              <w:bottom w:val="nil"/>
              <w:right w:val="single" w:sz="4" w:space="0" w:color="000000"/>
            </w:tcBorders>
            <w:shd w:val="clear" w:color="000000" w:fill="000000"/>
            <w:vAlign w:val="center"/>
            <w:hideMark/>
          </w:tcPr>
          <w:p w14:paraId="1FB54C94" w14:textId="5297913D" w:rsidR="0057201B" w:rsidRPr="00AE3A84" w:rsidRDefault="0057201B">
            <w:pPr>
              <w:pStyle w:val="BodyText"/>
              <w:jc w:val="both"/>
              <w:rPr>
                <w:b/>
                <w:bCs/>
                <w:noProof/>
              </w:rPr>
            </w:pPr>
            <w:r w:rsidRPr="00AE3A84">
              <w:rPr>
                <w:b/>
                <w:bCs/>
                <w:i/>
                <w:iCs/>
                <w:noProof/>
              </w:rPr>
              <w:t>Procedural stage</w:t>
            </w:r>
          </w:p>
        </w:tc>
      </w:tr>
      <w:tr w:rsidR="0057201B" w:rsidRPr="00AE3A84" w14:paraId="3D5CE904" w14:textId="77777777" w:rsidTr="00096012">
        <w:trPr>
          <w:trHeight w:val="578"/>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18B04D46" w14:textId="77777777" w:rsidR="0057201B" w:rsidRPr="00AE3A84" w:rsidRDefault="0057201B">
            <w:pPr>
              <w:pStyle w:val="BodyText"/>
              <w:jc w:val="center"/>
              <w:rPr>
                <w:noProof/>
              </w:rPr>
            </w:pPr>
            <w:r w:rsidRPr="00AE3A84">
              <w:rPr>
                <w:noProof/>
              </w:rPr>
              <w:t>1</w:t>
            </w:r>
          </w:p>
        </w:tc>
        <w:tc>
          <w:tcPr>
            <w:tcW w:w="1370" w:type="dxa"/>
            <w:tcBorders>
              <w:top w:val="single" w:sz="4" w:space="0" w:color="000000"/>
              <w:left w:val="nil"/>
              <w:bottom w:val="single" w:sz="4" w:space="0" w:color="000000"/>
              <w:right w:val="single" w:sz="4" w:space="0" w:color="000000"/>
            </w:tcBorders>
            <w:noWrap/>
            <w:vAlign w:val="center"/>
            <w:hideMark/>
          </w:tcPr>
          <w:p w14:paraId="3E912E54" w14:textId="77777777" w:rsidR="0057201B" w:rsidRPr="00AE3A84" w:rsidRDefault="0057201B">
            <w:pPr>
              <w:pStyle w:val="BodyText"/>
              <w:jc w:val="both"/>
              <w:rPr>
                <w:noProof/>
              </w:rPr>
            </w:pPr>
            <w:r w:rsidRPr="00AE3A84">
              <w:rPr>
                <w:noProof/>
              </w:rPr>
              <w:t>Argentina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62AB1352" w14:textId="77777777" w:rsidR="0057201B" w:rsidRPr="00AE3A84" w:rsidRDefault="0057201B">
            <w:pPr>
              <w:pStyle w:val="BodyText"/>
              <w:jc w:val="both"/>
              <w:rPr>
                <w:noProof/>
              </w:rPr>
            </w:pPr>
            <w:r w:rsidRPr="00AE3A84">
              <w:rPr>
                <w:noProof/>
              </w:rPr>
              <w:t>629-03</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58112394" w14:textId="77777777" w:rsidR="0057201B" w:rsidRPr="00AE3A84" w:rsidRDefault="0057201B">
            <w:pPr>
              <w:pStyle w:val="BodyText"/>
              <w:jc w:val="both"/>
              <w:rPr>
                <w:noProof/>
              </w:rPr>
            </w:pPr>
            <w:r w:rsidRPr="00AE3A84">
              <w:rPr>
                <w:noProof/>
              </w:rPr>
              <w:t>13.397</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248EC919" w14:textId="77777777" w:rsidR="0057201B" w:rsidRPr="00AE3A84" w:rsidRDefault="0057201B">
            <w:pPr>
              <w:pStyle w:val="BodyText"/>
              <w:jc w:val="both"/>
              <w:rPr>
                <w:noProof/>
              </w:rPr>
            </w:pPr>
            <w:r w:rsidRPr="00AE3A84">
              <w:rPr>
                <w:noProof/>
              </w:rPr>
              <w:t>2003</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14C57FE1" w14:textId="77777777" w:rsidR="0057201B" w:rsidRPr="00AE3A84" w:rsidRDefault="0057201B">
            <w:pPr>
              <w:pStyle w:val="BodyText"/>
              <w:rPr>
                <w:noProof/>
                <w:lang w:val="es-US"/>
              </w:rPr>
            </w:pPr>
            <w:r w:rsidRPr="00AE3A84">
              <w:rPr>
                <w:noProof/>
                <w:lang w:val="es-US"/>
              </w:rPr>
              <w:t xml:space="preserve">Eleonora Esther Báez </w:t>
            </w:r>
            <w:r>
              <w:rPr>
                <w:noProof/>
                <w:lang w:val="es-US"/>
              </w:rPr>
              <w:t>and</w:t>
            </w:r>
            <w:r w:rsidRPr="00AE3A84">
              <w:rPr>
                <w:noProof/>
                <w:lang w:val="es-US"/>
              </w:rPr>
              <w:t xml:space="preserve"> Héctor Oscar Britez</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77C78C43" w14:textId="3A028694" w:rsidR="0057201B" w:rsidRPr="00AE3A84" w:rsidRDefault="0057201B" w:rsidP="00096012">
            <w:pPr>
              <w:pStyle w:val="BodyText"/>
              <w:rPr>
                <w:noProof/>
              </w:rPr>
            </w:pPr>
            <w:r w:rsidRPr="006E0BA0">
              <w:rPr>
                <w:noProof/>
              </w:rPr>
              <w:br/>
              <w:t>Merits</w:t>
            </w:r>
          </w:p>
        </w:tc>
      </w:tr>
      <w:tr w:rsidR="008B05A0" w:rsidRPr="00AE3A84" w14:paraId="0749A92D" w14:textId="77777777" w:rsidTr="00096012">
        <w:trPr>
          <w:trHeight w:val="416"/>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30640FE7" w14:textId="77777777" w:rsidR="008B05A0" w:rsidRPr="00AE3A84" w:rsidRDefault="008B05A0" w:rsidP="008B05A0">
            <w:pPr>
              <w:pStyle w:val="BodyText"/>
              <w:jc w:val="center"/>
              <w:rPr>
                <w:noProof/>
              </w:rPr>
            </w:pPr>
            <w:r w:rsidRPr="00AE3A84">
              <w:rPr>
                <w:noProof/>
              </w:rPr>
              <w:t>2</w:t>
            </w:r>
          </w:p>
        </w:tc>
        <w:tc>
          <w:tcPr>
            <w:tcW w:w="1370" w:type="dxa"/>
            <w:tcBorders>
              <w:top w:val="single" w:sz="4" w:space="0" w:color="000000"/>
              <w:left w:val="nil"/>
              <w:bottom w:val="single" w:sz="4" w:space="0" w:color="000000"/>
              <w:right w:val="single" w:sz="4" w:space="0" w:color="000000"/>
            </w:tcBorders>
            <w:noWrap/>
            <w:vAlign w:val="center"/>
            <w:hideMark/>
          </w:tcPr>
          <w:p w14:paraId="09C2D568" w14:textId="77777777" w:rsidR="008B05A0" w:rsidRPr="00AE3A84" w:rsidRDefault="008B05A0" w:rsidP="008B05A0">
            <w:pPr>
              <w:pStyle w:val="BodyText"/>
              <w:jc w:val="both"/>
              <w:rPr>
                <w:noProof/>
              </w:rPr>
            </w:pPr>
            <w:r w:rsidRPr="00AE3A84">
              <w:rPr>
                <w:noProof/>
              </w:rPr>
              <w:t>Argentina</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281AB02" w14:textId="77777777" w:rsidR="008B05A0" w:rsidRPr="00AE3A84" w:rsidRDefault="008B05A0" w:rsidP="008B05A0">
            <w:pPr>
              <w:pStyle w:val="BodyText"/>
              <w:jc w:val="both"/>
              <w:rPr>
                <w:noProof/>
              </w:rPr>
            </w:pPr>
            <w:r w:rsidRPr="00AE3A84">
              <w:rPr>
                <w:noProof/>
              </w:rPr>
              <w:t>1048-09</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138A365C" w14:textId="77777777" w:rsidR="008B05A0" w:rsidRPr="00AE3A84" w:rsidRDefault="008B05A0" w:rsidP="008B05A0">
            <w:pPr>
              <w:pStyle w:val="BodyText"/>
              <w:jc w:val="both"/>
              <w:rPr>
                <w:noProof/>
              </w:rPr>
            </w:pPr>
            <w:r w:rsidRPr="00AE3A84">
              <w:rPr>
                <w:noProof/>
              </w:rPr>
              <w:t>14.113</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3854179A" w14:textId="77777777" w:rsidR="008B05A0" w:rsidRPr="00AE3A84" w:rsidRDefault="008B05A0" w:rsidP="008B05A0">
            <w:pPr>
              <w:pStyle w:val="BodyText"/>
              <w:jc w:val="both"/>
              <w:rPr>
                <w:noProof/>
              </w:rPr>
            </w:pPr>
            <w:r w:rsidRPr="00AE3A84">
              <w:rPr>
                <w:noProof/>
              </w:rPr>
              <w:t>2009</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0D1A40EC" w14:textId="77777777" w:rsidR="008B05A0" w:rsidRPr="00AE3A84" w:rsidRDefault="008B05A0" w:rsidP="008B05A0">
            <w:pPr>
              <w:pStyle w:val="BodyText"/>
              <w:rPr>
                <w:noProof/>
              </w:rPr>
            </w:pPr>
            <w:r w:rsidRPr="00AE3A84">
              <w:rPr>
                <w:noProof/>
              </w:rPr>
              <w:t>Ramón Roberto Manrique</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43394645" w14:textId="26F9CE2F" w:rsidR="008B05A0" w:rsidRPr="00AE3A84" w:rsidRDefault="008B05A0" w:rsidP="00096012">
            <w:pPr>
              <w:pStyle w:val="BodyText"/>
              <w:rPr>
                <w:noProof/>
              </w:rPr>
            </w:pPr>
            <w:r w:rsidRPr="009906FF">
              <w:rPr>
                <w:noProof/>
              </w:rPr>
              <w:t>Merits</w:t>
            </w:r>
          </w:p>
        </w:tc>
      </w:tr>
      <w:tr w:rsidR="008B05A0" w:rsidRPr="00AE3A84" w14:paraId="01CA6EB6" w14:textId="77777777" w:rsidTr="00096012">
        <w:trPr>
          <w:trHeight w:val="326"/>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2FEBCA3D" w14:textId="77777777" w:rsidR="008B05A0" w:rsidRPr="00AE3A84" w:rsidRDefault="008B05A0" w:rsidP="008B05A0">
            <w:pPr>
              <w:pStyle w:val="BodyText"/>
              <w:jc w:val="center"/>
              <w:rPr>
                <w:noProof/>
              </w:rPr>
            </w:pPr>
            <w:r w:rsidRPr="00AE3A84">
              <w:rPr>
                <w:noProof/>
              </w:rPr>
              <w:t>3</w:t>
            </w:r>
          </w:p>
        </w:tc>
        <w:tc>
          <w:tcPr>
            <w:tcW w:w="1370" w:type="dxa"/>
            <w:tcBorders>
              <w:top w:val="single" w:sz="4" w:space="0" w:color="000000"/>
              <w:left w:val="nil"/>
              <w:bottom w:val="single" w:sz="4" w:space="0" w:color="000000"/>
              <w:right w:val="single" w:sz="4" w:space="0" w:color="000000"/>
            </w:tcBorders>
            <w:noWrap/>
            <w:vAlign w:val="center"/>
            <w:hideMark/>
          </w:tcPr>
          <w:p w14:paraId="03BA440E" w14:textId="77777777" w:rsidR="008B05A0" w:rsidRPr="00AE3A84" w:rsidRDefault="008B05A0" w:rsidP="008B05A0">
            <w:pPr>
              <w:pStyle w:val="BodyText"/>
              <w:jc w:val="both"/>
              <w:rPr>
                <w:noProof/>
              </w:rPr>
            </w:pPr>
            <w:r w:rsidRPr="00AE3A84">
              <w:rPr>
                <w:noProof/>
              </w:rPr>
              <w:t>Argentina</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BD181EA" w14:textId="77777777" w:rsidR="008B05A0" w:rsidRPr="00AE3A84" w:rsidRDefault="008B05A0" w:rsidP="008B05A0">
            <w:pPr>
              <w:pStyle w:val="BodyText"/>
              <w:jc w:val="both"/>
              <w:rPr>
                <w:noProof/>
              </w:rPr>
            </w:pPr>
            <w:r w:rsidRPr="00AE3A84">
              <w:rPr>
                <w:noProof/>
              </w:rPr>
              <w:t>1481-12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4F71A3A8" w14:textId="77777777" w:rsidR="008B05A0" w:rsidRPr="00AE3A84" w:rsidRDefault="008B05A0" w:rsidP="008B05A0">
            <w:pPr>
              <w:pStyle w:val="BodyText"/>
              <w:jc w:val="both"/>
              <w:rPr>
                <w:noProof/>
              </w:rPr>
            </w:pPr>
            <w:r w:rsidRPr="00AE3A84">
              <w:rPr>
                <w:noProof/>
              </w:rPr>
              <w:t>13.814</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55A03FF8" w14:textId="77777777" w:rsidR="008B05A0" w:rsidRPr="00AE3A84" w:rsidRDefault="008B05A0" w:rsidP="008B05A0">
            <w:pPr>
              <w:pStyle w:val="BodyText"/>
              <w:jc w:val="both"/>
              <w:rPr>
                <w:noProof/>
              </w:rPr>
            </w:pPr>
            <w:r w:rsidRPr="00AE3A84">
              <w:rPr>
                <w:noProof/>
              </w:rPr>
              <w:t>2012</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7FC2E20F" w14:textId="77777777" w:rsidR="008B05A0" w:rsidRPr="00AE3A84" w:rsidRDefault="008B05A0" w:rsidP="008B05A0">
            <w:pPr>
              <w:pStyle w:val="BodyText"/>
              <w:rPr>
                <w:noProof/>
              </w:rPr>
            </w:pPr>
            <w:r w:rsidRPr="00AE3A84">
              <w:rPr>
                <w:noProof/>
              </w:rPr>
              <w:t>Fernando Fabian Castro</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726758E6" w14:textId="1AEB3DAE" w:rsidR="008B05A0" w:rsidRPr="00AE3A84" w:rsidRDefault="008B05A0" w:rsidP="00096012">
            <w:pPr>
              <w:pStyle w:val="BodyText"/>
              <w:rPr>
                <w:noProof/>
              </w:rPr>
            </w:pPr>
            <w:r w:rsidRPr="009906FF">
              <w:rPr>
                <w:noProof/>
              </w:rPr>
              <w:t>Merits</w:t>
            </w:r>
          </w:p>
        </w:tc>
      </w:tr>
      <w:tr w:rsidR="0057201B" w:rsidRPr="00AE3A84" w14:paraId="010265BF" w14:textId="77777777" w:rsidTr="00096012">
        <w:trPr>
          <w:trHeight w:val="488"/>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4E05F909" w14:textId="77777777" w:rsidR="0057201B" w:rsidRPr="00AE3A84" w:rsidRDefault="0057201B">
            <w:pPr>
              <w:pStyle w:val="BodyText"/>
              <w:jc w:val="center"/>
              <w:rPr>
                <w:noProof/>
              </w:rPr>
            </w:pPr>
            <w:r w:rsidRPr="00AE3A84">
              <w:rPr>
                <w:noProof/>
              </w:rPr>
              <w:t>4</w:t>
            </w:r>
          </w:p>
        </w:tc>
        <w:tc>
          <w:tcPr>
            <w:tcW w:w="1370" w:type="dxa"/>
            <w:tcBorders>
              <w:top w:val="single" w:sz="4" w:space="0" w:color="000000"/>
              <w:left w:val="nil"/>
              <w:bottom w:val="single" w:sz="4" w:space="0" w:color="000000"/>
              <w:right w:val="single" w:sz="4" w:space="0" w:color="000000"/>
            </w:tcBorders>
            <w:shd w:val="clear" w:color="000000" w:fill="FFFFFF"/>
            <w:noWrap/>
            <w:vAlign w:val="center"/>
            <w:hideMark/>
          </w:tcPr>
          <w:p w14:paraId="562F9B99" w14:textId="77777777" w:rsidR="0057201B" w:rsidRPr="00AE3A84" w:rsidRDefault="0057201B">
            <w:pPr>
              <w:pStyle w:val="BodyText"/>
              <w:jc w:val="both"/>
              <w:rPr>
                <w:noProof/>
              </w:rPr>
            </w:pPr>
            <w:r w:rsidRPr="00AE3A84">
              <w:rPr>
                <w:noProof/>
              </w:rPr>
              <w:t>Bolivia</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711871" w14:textId="77777777" w:rsidR="0057201B" w:rsidRPr="00AE3A84" w:rsidRDefault="0057201B">
            <w:pPr>
              <w:pStyle w:val="BodyText"/>
              <w:jc w:val="both"/>
              <w:rPr>
                <w:noProof/>
              </w:rPr>
            </w:pPr>
            <w:r w:rsidRPr="00AE3A84">
              <w:rPr>
                <w:noProof/>
              </w:rPr>
              <w:t>983-05</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C39B6A"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72E0ECB" w14:textId="77777777" w:rsidR="0057201B" w:rsidRPr="00AE3A84" w:rsidRDefault="0057201B">
            <w:pPr>
              <w:pStyle w:val="BodyText"/>
              <w:jc w:val="both"/>
              <w:rPr>
                <w:noProof/>
              </w:rPr>
            </w:pPr>
            <w:r w:rsidRPr="00AE3A84">
              <w:rPr>
                <w:noProof/>
              </w:rPr>
              <w:t>2005</w:t>
            </w:r>
          </w:p>
        </w:tc>
        <w:tc>
          <w:tcPr>
            <w:tcW w:w="263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FA610D" w14:textId="77777777" w:rsidR="0057201B" w:rsidRPr="00AE3A84" w:rsidRDefault="0057201B">
            <w:pPr>
              <w:pStyle w:val="BodyText"/>
              <w:rPr>
                <w:noProof/>
                <w:lang w:val="es-US"/>
              </w:rPr>
            </w:pPr>
            <w:r w:rsidRPr="00AE3A84">
              <w:rPr>
                <w:noProof/>
                <w:lang w:val="es-US"/>
              </w:rPr>
              <w:t xml:space="preserve">Richard Ledezma Torrico </w:t>
            </w:r>
            <w:r>
              <w:rPr>
                <w:noProof/>
                <w:lang w:val="es-US"/>
              </w:rPr>
              <w:t>et al.</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C6A31BA" w14:textId="1846E264" w:rsidR="0057201B" w:rsidRPr="00AE3A84" w:rsidRDefault="0057201B">
            <w:pPr>
              <w:pStyle w:val="BodyText"/>
              <w:jc w:val="both"/>
              <w:rPr>
                <w:noProof/>
              </w:rPr>
            </w:pPr>
            <w:r w:rsidRPr="00AE3A84">
              <w:rPr>
                <w:noProof/>
              </w:rPr>
              <w:t>Friendly Settlement</w:t>
            </w:r>
          </w:p>
        </w:tc>
      </w:tr>
      <w:tr w:rsidR="0057201B" w:rsidRPr="00AE3A84" w14:paraId="1F79E64D" w14:textId="77777777" w:rsidTr="00096012">
        <w:trPr>
          <w:trHeight w:val="33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5405F434" w14:textId="77777777" w:rsidR="0057201B" w:rsidRPr="00AE3A84" w:rsidRDefault="0057201B">
            <w:pPr>
              <w:pStyle w:val="BodyText"/>
              <w:jc w:val="center"/>
              <w:rPr>
                <w:noProof/>
              </w:rPr>
            </w:pPr>
            <w:r w:rsidRPr="00AE3A84">
              <w:rPr>
                <w:noProof/>
              </w:rPr>
              <w:t>5</w:t>
            </w:r>
          </w:p>
        </w:tc>
        <w:tc>
          <w:tcPr>
            <w:tcW w:w="1370" w:type="dxa"/>
            <w:tcBorders>
              <w:top w:val="single" w:sz="4" w:space="0" w:color="000000"/>
              <w:left w:val="nil"/>
              <w:bottom w:val="nil"/>
              <w:right w:val="single" w:sz="4" w:space="0" w:color="000000"/>
            </w:tcBorders>
            <w:noWrap/>
            <w:vAlign w:val="center"/>
            <w:hideMark/>
          </w:tcPr>
          <w:p w14:paraId="6ACE56B5" w14:textId="77777777" w:rsidR="0057201B" w:rsidRPr="00AE3A84" w:rsidRDefault="0057201B">
            <w:pPr>
              <w:pStyle w:val="BodyText"/>
              <w:jc w:val="both"/>
              <w:rPr>
                <w:noProof/>
              </w:rPr>
            </w:pPr>
            <w:r>
              <w:rPr>
                <w:noProof/>
              </w:rPr>
              <w:t>Brazil</w:t>
            </w:r>
          </w:p>
        </w:tc>
        <w:tc>
          <w:tcPr>
            <w:tcW w:w="1620" w:type="dxa"/>
            <w:tcBorders>
              <w:top w:val="single" w:sz="4" w:space="0" w:color="000000"/>
              <w:left w:val="single" w:sz="4" w:space="0" w:color="000000"/>
              <w:bottom w:val="nil"/>
              <w:right w:val="single" w:sz="4" w:space="0" w:color="000000"/>
            </w:tcBorders>
            <w:noWrap/>
            <w:vAlign w:val="center"/>
            <w:hideMark/>
          </w:tcPr>
          <w:p w14:paraId="08E148C1" w14:textId="77777777" w:rsidR="0057201B" w:rsidRPr="00AE3A84" w:rsidRDefault="0057201B">
            <w:pPr>
              <w:pStyle w:val="BodyText"/>
              <w:jc w:val="both"/>
              <w:rPr>
                <w:noProof/>
              </w:rPr>
            </w:pPr>
            <w:r w:rsidRPr="00AE3A84">
              <w:rPr>
                <w:noProof/>
              </w:rPr>
              <w:t>1708-16</w:t>
            </w:r>
          </w:p>
        </w:tc>
        <w:tc>
          <w:tcPr>
            <w:tcW w:w="1530" w:type="dxa"/>
            <w:tcBorders>
              <w:top w:val="single" w:sz="4" w:space="0" w:color="000000"/>
              <w:left w:val="single" w:sz="4" w:space="0" w:color="000000"/>
              <w:bottom w:val="nil"/>
              <w:right w:val="single" w:sz="4" w:space="0" w:color="000000"/>
            </w:tcBorders>
            <w:noWrap/>
            <w:vAlign w:val="center"/>
            <w:hideMark/>
          </w:tcPr>
          <w:p w14:paraId="45B0D646"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nil"/>
              <w:right w:val="single" w:sz="4" w:space="0" w:color="000000"/>
            </w:tcBorders>
            <w:noWrap/>
            <w:vAlign w:val="center"/>
            <w:hideMark/>
          </w:tcPr>
          <w:p w14:paraId="2C19242E" w14:textId="77777777" w:rsidR="0057201B" w:rsidRPr="00AE3A84" w:rsidRDefault="0057201B">
            <w:pPr>
              <w:pStyle w:val="BodyText"/>
              <w:jc w:val="both"/>
              <w:rPr>
                <w:noProof/>
              </w:rPr>
            </w:pPr>
            <w:r w:rsidRPr="00AE3A84">
              <w:rPr>
                <w:noProof/>
              </w:rPr>
              <w:t>2016</w:t>
            </w:r>
          </w:p>
        </w:tc>
        <w:tc>
          <w:tcPr>
            <w:tcW w:w="2636" w:type="dxa"/>
            <w:tcBorders>
              <w:top w:val="single" w:sz="4" w:space="0" w:color="000000"/>
              <w:left w:val="single" w:sz="4" w:space="0" w:color="000000"/>
              <w:bottom w:val="nil"/>
              <w:right w:val="single" w:sz="4" w:space="0" w:color="000000"/>
            </w:tcBorders>
            <w:vAlign w:val="center"/>
            <w:hideMark/>
          </w:tcPr>
          <w:p w14:paraId="5B8DD000" w14:textId="77777777" w:rsidR="0057201B" w:rsidRPr="00AE3A84" w:rsidRDefault="0057201B">
            <w:pPr>
              <w:pStyle w:val="BodyText"/>
              <w:rPr>
                <w:noProof/>
              </w:rPr>
            </w:pPr>
            <w:r w:rsidRPr="00AE3A84">
              <w:rPr>
                <w:noProof/>
              </w:rPr>
              <w:t>Brisa Febraio</w:t>
            </w:r>
          </w:p>
        </w:tc>
        <w:tc>
          <w:tcPr>
            <w:tcW w:w="1935" w:type="dxa"/>
            <w:tcBorders>
              <w:top w:val="single" w:sz="4" w:space="0" w:color="000000"/>
              <w:left w:val="single" w:sz="4" w:space="0" w:color="000000"/>
              <w:bottom w:val="nil"/>
              <w:right w:val="single" w:sz="4" w:space="0" w:color="000000"/>
            </w:tcBorders>
            <w:vAlign w:val="center"/>
            <w:hideMark/>
          </w:tcPr>
          <w:p w14:paraId="6A71814A" w14:textId="11F7FE0C" w:rsidR="0057201B" w:rsidRPr="00AE3A84" w:rsidRDefault="0057201B">
            <w:pPr>
              <w:pStyle w:val="BodyText"/>
              <w:jc w:val="both"/>
              <w:rPr>
                <w:noProof/>
              </w:rPr>
            </w:pPr>
            <w:r w:rsidRPr="00AE3A84">
              <w:rPr>
                <w:noProof/>
              </w:rPr>
              <w:t>Admissibility</w:t>
            </w:r>
          </w:p>
        </w:tc>
      </w:tr>
      <w:tr w:rsidR="0057201B" w:rsidRPr="00AE3A84" w14:paraId="230E9BF2" w14:textId="77777777" w:rsidTr="008B05A0">
        <w:trPr>
          <w:trHeight w:val="96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2284D976" w14:textId="77777777" w:rsidR="0057201B" w:rsidRPr="00AE3A84" w:rsidRDefault="0057201B">
            <w:pPr>
              <w:pStyle w:val="BodyText"/>
              <w:jc w:val="center"/>
              <w:rPr>
                <w:noProof/>
              </w:rPr>
            </w:pPr>
            <w:r w:rsidRPr="00AE3A84">
              <w:rPr>
                <w:noProof/>
              </w:rPr>
              <w:t>6</w:t>
            </w:r>
          </w:p>
        </w:tc>
        <w:tc>
          <w:tcPr>
            <w:tcW w:w="1370" w:type="dxa"/>
            <w:tcBorders>
              <w:top w:val="single" w:sz="4" w:space="0" w:color="000000"/>
              <w:left w:val="nil"/>
              <w:bottom w:val="nil"/>
              <w:right w:val="single" w:sz="4" w:space="0" w:color="000000"/>
            </w:tcBorders>
            <w:noWrap/>
            <w:vAlign w:val="center"/>
            <w:hideMark/>
          </w:tcPr>
          <w:p w14:paraId="11888AB9" w14:textId="77777777" w:rsidR="0057201B" w:rsidRPr="00AE3A84" w:rsidRDefault="0057201B">
            <w:pPr>
              <w:pStyle w:val="BodyText"/>
              <w:jc w:val="both"/>
              <w:rPr>
                <w:noProof/>
              </w:rPr>
            </w:pPr>
            <w:r>
              <w:rPr>
                <w:noProof/>
              </w:rPr>
              <w:t>Brazil</w:t>
            </w:r>
          </w:p>
        </w:tc>
        <w:tc>
          <w:tcPr>
            <w:tcW w:w="1620" w:type="dxa"/>
            <w:tcBorders>
              <w:top w:val="single" w:sz="4" w:space="0" w:color="000000"/>
              <w:left w:val="single" w:sz="4" w:space="0" w:color="000000"/>
              <w:bottom w:val="nil"/>
              <w:right w:val="single" w:sz="4" w:space="0" w:color="000000"/>
            </w:tcBorders>
            <w:noWrap/>
            <w:vAlign w:val="center"/>
            <w:hideMark/>
          </w:tcPr>
          <w:p w14:paraId="3E3EA2C4" w14:textId="77777777" w:rsidR="0057201B" w:rsidRPr="00AE3A84" w:rsidRDefault="0057201B">
            <w:pPr>
              <w:pStyle w:val="BodyText"/>
              <w:jc w:val="both"/>
              <w:rPr>
                <w:noProof/>
              </w:rPr>
            </w:pPr>
            <w:r w:rsidRPr="00AE3A84">
              <w:rPr>
                <w:noProof/>
              </w:rPr>
              <w:t>137-17</w:t>
            </w:r>
          </w:p>
        </w:tc>
        <w:tc>
          <w:tcPr>
            <w:tcW w:w="1530" w:type="dxa"/>
            <w:tcBorders>
              <w:top w:val="single" w:sz="4" w:space="0" w:color="000000"/>
              <w:left w:val="single" w:sz="4" w:space="0" w:color="000000"/>
              <w:bottom w:val="nil"/>
              <w:right w:val="single" w:sz="4" w:space="0" w:color="000000"/>
            </w:tcBorders>
            <w:noWrap/>
            <w:vAlign w:val="center"/>
            <w:hideMark/>
          </w:tcPr>
          <w:p w14:paraId="03F6FE97"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nil"/>
              <w:right w:val="single" w:sz="4" w:space="0" w:color="000000"/>
            </w:tcBorders>
            <w:noWrap/>
            <w:vAlign w:val="center"/>
            <w:hideMark/>
          </w:tcPr>
          <w:p w14:paraId="3591A1FA" w14:textId="77777777" w:rsidR="0057201B" w:rsidRPr="00AE3A84" w:rsidRDefault="0057201B">
            <w:pPr>
              <w:pStyle w:val="BodyText"/>
              <w:jc w:val="both"/>
              <w:rPr>
                <w:noProof/>
              </w:rPr>
            </w:pPr>
            <w:r w:rsidRPr="00AE3A84">
              <w:rPr>
                <w:noProof/>
              </w:rPr>
              <w:t>2017</w:t>
            </w:r>
          </w:p>
        </w:tc>
        <w:tc>
          <w:tcPr>
            <w:tcW w:w="2636" w:type="dxa"/>
            <w:tcBorders>
              <w:top w:val="single" w:sz="4" w:space="0" w:color="000000"/>
              <w:left w:val="single" w:sz="4" w:space="0" w:color="000000"/>
              <w:bottom w:val="nil"/>
              <w:right w:val="single" w:sz="4" w:space="0" w:color="000000"/>
            </w:tcBorders>
            <w:vAlign w:val="center"/>
            <w:hideMark/>
          </w:tcPr>
          <w:p w14:paraId="2EFFB35C" w14:textId="77777777" w:rsidR="0057201B" w:rsidRPr="00AE3A84" w:rsidRDefault="0057201B">
            <w:pPr>
              <w:pStyle w:val="BodyText"/>
              <w:rPr>
                <w:noProof/>
                <w:lang w:val="pt-BR"/>
              </w:rPr>
            </w:pPr>
            <w:r w:rsidRPr="00AE3A84">
              <w:rPr>
                <w:noProof/>
                <w:lang w:val="pt-BR"/>
              </w:rPr>
              <w:t>Servidores Públicos Federais Intoxicados por DDT Servidores do Governo Brasileiro</w:t>
            </w:r>
            <w:r w:rsidRPr="00FC6E49">
              <w:rPr>
                <w:noProof/>
                <w:lang w:val="pt-BR"/>
              </w:rPr>
              <w:t xml:space="preserve"> </w:t>
            </w:r>
            <w:r>
              <w:rPr>
                <w:noProof/>
                <w:lang w:val="pt-BR"/>
              </w:rPr>
              <w:t>[</w:t>
            </w:r>
            <w:r w:rsidRPr="00FC6E49">
              <w:rPr>
                <w:noProof/>
                <w:lang w:val="pt-BR"/>
              </w:rPr>
              <w:t>Federal Public Servants Poisoned by DDT</w:t>
            </w:r>
            <w:r>
              <w:rPr>
                <w:noProof/>
                <w:lang w:val="pt-BR"/>
              </w:rPr>
              <w:t xml:space="preserve">] </w:t>
            </w:r>
          </w:p>
        </w:tc>
        <w:tc>
          <w:tcPr>
            <w:tcW w:w="1935" w:type="dxa"/>
            <w:tcBorders>
              <w:top w:val="single" w:sz="4" w:space="0" w:color="000000"/>
              <w:left w:val="single" w:sz="4" w:space="0" w:color="000000"/>
              <w:bottom w:val="nil"/>
              <w:right w:val="single" w:sz="4" w:space="0" w:color="000000"/>
            </w:tcBorders>
            <w:vAlign w:val="center"/>
            <w:hideMark/>
          </w:tcPr>
          <w:p w14:paraId="2290AB76" w14:textId="4AFA6F3E" w:rsidR="0057201B" w:rsidRPr="00AE3A84" w:rsidRDefault="0057201B">
            <w:pPr>
              <w:pStyle w:val="BodyText"/>
              <w:jc w:val="both"/>
              <w:rPr>
                <w:noProof/>
              </w:rPr>
            </w:pPr>
            <w:r w:rsidRPr="00AE3A84">
              <w:rPr>
                <w:noProof/>
              </w:rPr>
              <w:t>Admissibility</w:t>
            </w:r>
          </w:p>
        </w:tc>
      </w:tr>
      <w:tr w:rsidR="0057201B" w:rsidRPr="00AE3A84" w14:paraId="1E3685B3" w14:textId="77777777" w:rsidTr="008B05A0">
        <w:trPr>
          <w:trHeight w:val="533"/>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028150BC" w14:textId="77777777" w:rsidR="0057201B" w:rsidRPr="00AE3A84" w:rsidRDefault="0057201B">
            <w:pPr>
              <w:pStyle w:val="BodyText"/>
              <w:jc w:val="center"/>
              <w:rPr>
                <w:noProof/>
              </w:rPr>
            </w:pPr>
            <w:r w:rsidRPr="00AE3A84">
              <w:rPr>
                <w:noProof/>
              </w:rPr>
              <w:lastRenderedPageBreak/>
              <w:t>7</w:t>
            </w:r>
          </w:p>
        </w:tc>
        <w:tc>
          <w:tcPr>
            <w:tcW w:w="1370" w:type="dxa"/>
            <w:tcBorders>
              <w:top w:val="single" w:sz="4" w:space="0" w:color="000000"/>
              <w:left w:val="nil"/>
              <w:bottom w:val="single" w:sz="4" w:space="0" w:color="000000"/>
              <w:right w:val="single" w:sz="4" w:space="0" w:color="000000"/>
            </w:tcBorders>
            <w:vAlign w:val="center"/>
            <w:hideMark/>
          </w:tcPr>
          <w:p w14:paraId="28DDBA4E" w14:textId="77777777" w:rsidR="0057201B" w:rsidRPr="00AE3A84" w:rsidRDefault="0057201B">
            <w:pPr>
              <w:pStyle w:val="BodyText"/>
              <w:jc w:val="both"/>
              <w:rPr>
                <w:noProof/>
              </w:rPr>
            </w:pPr>
            <w:r>
              <w:rPr>
                <w:noProof/>
              </w:rPr>
              <w:t>Brazil</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5D410E89" w14:textId="77777777" w:rsidR="0057201B" w:rsidRPr="00AE3A84" w:rsidRDefault="0057201B">
            <w:pPr>
              <w:pStyle w:val="BodyText"/>
              <w:jc w:val="both"/>
              <w:rPr>
                <w:noProof/>
              </w:rPr>
            </w:pPr>
            <w:r w:rsidRPr="00AE3A84">
              <w:rPr>
                <w:noProof/>
              </w:rPr>
              <w:t>P-1173-05</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23D7938F" w14:textId="77777777" w:rsidR="0057201B" w:rsidRPr="00AE3A84" w:rsidRDefault="0057201B">
            <w:pPr>
              <w:pStyle w:val="BodyText"/>
              <w:jc w:val="both"/>
              <w:rPr>
                <w:noProof/>
              </w:rPr>
            </w:pPr>
            <w:r w:rsidRPr="00AE3A84">
              <w:rPr>
                <w:noProof/>
              </w:rPr>
              <w:t>12.708</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20449D1C" w14:textId="77777777" w:rsidR="0057201B" w:rsidRPr="00AE3A84" w:rsidRDefault="0057201B">
            <w:pPr>
              <w:pStyle w:val="BodyText"/>
              <w:jc w:val="both"/>
              <w:rPr>
                <w:noProof/>
              </w:rPr>
            </w:pPr>
            <w:r w:rsidRPr="00AE3A84">
              <w:rPr>
                <w:noProof/>
              </w:rPr>
              <w:t>2005</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034BEB94" w14:textId="77777777" w:rsidR="0057201B" w:rsidRPr="00AE3A84" w:rsidRDefault="0057201B">
            <w:pPr>
              <w:pStyle w:val="BodyText"/>
              <w:rPr>
                <w:noProof/>
                <w:lang w:val="pt-BR"/>
              </w:rPr>
            </w:pPr>
            <w:r w:rsidRPr="00212F9F">
              <w:rPr>
                <w:noProof/>
                <w:lang w:val="pt-BR"/>
              </w:rPr>
              <w:t>Augusta Tomazia and Silas Abel da Conceicao</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12994D48" w14:textId="38F0BDBF" w:rsidR="0057201B" w:rsidRPr="00AE3A84" w:rsidRDefault="0057201B">
            <w:pPr>
              <w:pStyle w:val="BodyText"/>
              <w:jc w:val="both"/>
              <w:rPr>
                <w:noProof/>
              </w:rPr>
            </w:pPr>
            <w:r w:rsidRPr="00AE3A84">
              <w:rPr>
                <w:noProof/>
              </w:rPr>
              <w:t>Friendly Settlement</w:t>
            </w:r>
          </w:p>
        </w:tc>
      </w:tr>
      <w:tr w:rsidR="0057201B" w:rsidRPr="00AE3A84" w14:paraId="6372DD10" w14:textId="77777777" w:rsidTr="00E03798">
        <w:trPr>
          <w:trHeight w:val="542"/>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2CB3D389" w14:textId="77777777" w:rsidR="0057201B" w:rsidRPr="00AE3A84" w:rsidRDefault="0057201B">
            <w:pPr>
              <w:pStyle w:val="BodyText"/>
              <w:jc w:val="center"/>
              <w:rPr>
                <w:noProof/>
              </w:rPr>
            </w:pPr>
            <w:r w:rsidRPr="00AE3A84">
              <w:rPr>
                <w:noProof/>
              </w:rPr>
              <w:t>8</w:t>
            </w:r>
          </w:p>
        </w:tc>
        <w:tc>
          <w:tcPr>
            <w:tcW w:w="1370" w:type="dxa"/>
            <w:tcBorders>
              <w:top w:val="nil"/>
              <w:left w:val="nil"/>
              <w:bottom w:val="single" w:sz="4" w:space="0" w:color="000000"/>
              <w:right w:val="single" w:sz="4" w:space="0" w:color="000000"/>
            </w:tcBorders>
            <w:noWrap/>
            <w:vAlign w:val="center"/>
            <w:hideMark/>
          </w:tcPr>
          <w:p w14:paraId="09C6E865" w14:textId="77777777" w:rsidR="0057201B" w:rsidRPr="00AE3A84" w:rsidRDefault="0057201B">
            <w:pPr>
              <w:pStyle w:val="BodyText"/>
              <w:jc w:val="both"/>
              <w:rPr>
                <w:noProof/>
              </w:rPr>
            </w:pPr>
            <w:r w:rsidRPr="00AE3A84">
              <w:rPr>
                <w:noProof/>
              </w:rPr>
              <w:t>Chile</w:t>
            </w:r>
          </w:p>
        </w:tc>
        <w:tc>
          <w:tcPr>
            <w:tcW w:w="1620" w:type="dxa"/>
            <w:tcBorders>
              <w:top w:val="nil"/>
              <w:left w:val="single" w:sz="4" w:space="0" w:color="000000"/>
              <w:bottom w:val="single" w:sz="4" w:space="0" w:color="000000"/>
              <w:right w:val="single" w:sz="4" w:space="0" w:color="000000"/>
            </w:tcBorders>
            <w:vAlign w:val="center"/>
            <w:hideMark/>
          </w:tcPr>
          <w:p w14:paraId="2ECE11F5" w14:textId="77777777" w:rsidR="0057201B" w:rsidRPr="00AE3A84" w:rsidRDefault="0057201B">
            <w:pPr>
              <w:pStyle w:val="BodyText"/>
              <w:jc w:val="both"/>
              <w:rPr>
                <w:noProof/>
              </w:rPr>
            </w:pPr>
            <w:r w:rsidRPr="00AE3A84">
              <w:rPr>
                <w:noProof/>
              </w:rPr>
              <w:t>711-10</w:t>
            </w:r>
          </w:p>
        </w:tc>
        <w:tc>
          <w:tcPr>
            <w:tcW w:w="1530" w:type="dxa"/>
            <w:tcBorders>
              <w:top w:val="nil"/>
              <w:left w:val="single" w:sz="4" w:space="0" w:color="000000"/>
              <w:bottom w:val="single" w:sz="4" w:space="0" w:color="000000"/>
              <w:right w:val="single" w:sz="4" w:space="0" w:color="000000"/>
            </w:tcBorders>
            <w:noWrap/>
            <w:vAlign w:val="center"/>
            <w:hideMark/>
          </w:tcPr>
          <w:p w14:paraId="32939E60" w14:textId="77777777" w:rsidR="0057201B" w:rsidRPr="00AE3A84" w:rsidRDefault="0057201B">
            <w:pPr>
              <w:pStyle w:val="BodyText"/>
              <w:jc w:val="both"/>
              <w:rPr>
                <w:noProof/>
              </w:rPr>
            </w:pPr>
            <w:r w:rsidRPr="00AE3A84">
              <w:rPr>
                <w:noProof/>
              </w:rPr>
              <w:t>N/A</w:t>
            </w:r>
          </w:p>
        </w:tc>
        <w:tc>
          <w:tcPr>
            <w:tcW w:w="900" w:type="dxa"/>
            <w:tcBorders>
              <w:top w:val="nil"/>
              <w:left w:val="single" w:sz="4" w:space="0" w:color="000000"/>
              <w:bottom w:val="single" w:sz="4" w:space="0" w:color="000000"/>
              <w:right w:val="single" w:sz="4" w:space="0" w:color="000000"/>
            </w:tcBorders>
            <w:vAlign w:val="center"/>
            <w:hideMark/>
          </w:tcPr>
          <w:p w14:paraId="642F8F75" w14:textId="77777777" w:rsidR="0057201B" w:rsidRPr="00AE3A84" w:rsidRDefault="0057201B">
            <w:pPr>
              <w:pStyle w:val="BodyText"/>
              <w:jc w:val="both"/>
              <w:rPr>
                <w:noProof/>
              </w:rPr>
            </w:pPr>
            <w:r w:rsidRPr="00AE3A84">
              <w:rPr>
                <w:noProof/>
              </w:rPr>
              <w:t>2010</w:t>
            </w:r>
          </w:p>
        </w:tc>
        <w:tc>
          <w:tcPr>
            <w:tcW w:w="2636" w:type="dxa"/>
            <w:tcBorders>
              <w:top w:val="nil"/>
              <w:left w:val="single" w:sz="4" w:space="0" w:color="000000"/>
              <w:bottom w:val="single" w:sz="4" w:space="0" w:color="000000"/>
              <w:right w:val="single" w:sz="4" w:space="0" w:color="000000"/>
            </w:tcBorders>
            <w:vAlign w:val="center"/>
            <w:hideMark/>
          </w:tcPr>
          <w:p w14:paraId="0F9F5964" w14:textId="77777777" w:rsidR="0057201B" w:rsidRPr="00AE3A84" w:rsidRDefault="0057201B">
            <w:pPr>
              <w:pStyle w:val="BodyText"/>
              <w:rPr>
                <w:noProof/>
              </w:rPr>
            </w:pPr>
            <w:r w:rsidRPr="00AE3A84">
              <w:rPr>
                <w:noProof/>
              </w:rPr>
              <w:t>Atiliano Segundo Hernández Hernández</w:t>
            </w:r>
          </w:p>
        </w:tc>
        <w:tc>
          <w:tcPr>
            <w:tcW w:w="1935" w:type="dxa"/>
            <w:tcBorders>
              <w:top w:val="nil"/>
              <w:left w:val="single" w:sz="4" w:space="0" w:color="000000"/>
              <w:bottom w:val="single" w:sz="4" w:space="0" w:color="000000"/>
              <w:right w:val="single" w:sz="4" w:space="0" w:color="000000"/>
            </w:tcBorders>
            <w:vAlign w:val="center"/>
            <w:hideMark/>
          </w:tcPr>
          <w:p w14:paraId="6F351BA8" w14:textId="13F4C4E5" w:rsidR="0057201B" w:rsidRPr="00AE3A84" w:rsidRDefault="0057201B">
            <w:pPr>
              <w:pStyle w:val="BodyText"/>
              <w:jc w:val="both"/>
              <w:rPr>
                <w:noProof/>
              </w:rPr>
            </w:pPr>
            <w:r w:rsidRPr="00AE3A84">
              <w:rPr>
                <w:noProof/>
              </w:rPr>
              <w:t>Admissibility</w:t>
            </w:r>
          </w:p>
        </w:tc>
      </w:tr>
      <w:tr w:rsidR="0057201B" w:rsidRPr="00AE3A84" w14:paraId="2DC7FE6D" w14:textId="77777777" w:rsidTr="00E03798">
        <w:trPr>
          <w:trHeight w:val="506"/>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48979158" w14:textId="77777777" w:rsidR="0057201B" w:rsidRPr="00AE3A84" w:rsidRDefault="0057201B">
            <w:pPr>
              <w:pStyle w:val="BodyText"/>
              <w:jc w:val="center"/>
              <w:rPr>
                <w:noProof/>
              </w:rPr>
            </w:pPr>
            <w:r w:rsidRPr="00AE3A84">
              <w:rPr>
                <w:noProof/>
              </w:rPr>
              <w:t>9</w:t>
            </w:r>
          </w:p>
        </w:tc>
        <w:tc>
          <w:tcPr>
            <w:tcW w:w="1370" w:type="dxa"/>
            <w:tcBorders>
              <w:top w:val="single" w:sz="4" w:space="0" w:color="000000"/>
              <w:left w:val="nil"/>
              <w:bottom w:val="nil"/>
              <w:right w:val="single" w:sz="4" w:space="0" w:color="000000"/>
            </w:tcBorders>
            <w:noWrap/>
            <w:vAlign w:val="center"/>
            <w:hideMark/>
          </w:tcPr>
          <w:p w14:paraId="79AFB156" w14:textId="77777777" w:rsidR="0057201B" w:rsidRPr="00AE3A84" w:rsidRDefault="0057201B">
            <w:pPr>
              <w:pStyle w:val="BodyText"/>
              <w:jc w:val="both"/>
              <w:rPr>
                <w:noProof/>
              </w:rPr>
            </w:pPr>
            <w:r w:rsidRPr="00AE3A84">
              <w:rPr>
                <w:noProof/>
              </w:rPr>
              <w:t>Chile</w:t>
            </w:r>
          </w:p>
        </w:tc>
        <w:tc>
          <w:tcPr>
            <w:tcW w:w="1620" w:type="dxa"/>
            <w:tcBorders>
              <w:top w:val="single" w:sz="4" w:space="0" w:color="000000"/>
              <w:left w:val="single" w:sz="4" w:space="0" w:color="000000"/>
              <w:bottom w:val="nil"/>
              <w:right w:val="single" w:sz="4" w:space="0" w:color="000000"/>
            </w:tcBorders>
            <w:vAlign w:val="center"/>
            <w:hideMark/>
          </w:tcPr>
          <w:p w14:paraId="64331E4F" w14:textId="77777777" w:rsidR="0057201B" w:rsidRPr="00AE3A84" w:rsidRDefault="0057201B">
            <w:pPr>
              <w:pStyle w:val="BodyText"/>
              <w:jc w:val="both"/>
              <w:rPr>
                <w:noProof/>
              </w:rPr>
            </w:pPr>
            <w:r w:rsidRPr="00AE3A84">
              <w:rPr>
                <w:noProof/>
              </w:rPr>
              <w:t>011-18</w:t>
            </w:r>
          </w:p>
        </w:tc>
        <w:tc>
          <w:tcPr>
            <w:tcW w:w="1530" w:type="dxa"/>
            <w:tcBorders>
              <w:top w:val="single" w:sz="4" w:space="0" w:color="000000"/>
              <w:left w:val="single" w:sz="4" w:space="0" w:color="000000"/>
              <w:bottom w:val="nil"/>
              <w:right w:val="single" w:sz="4" w:space="0" w:color="000000"/>
            </w:tcBorders>
            <w:noWrap/>
            <w:vAlign w:val="center"/>
            <w:hideMark/>
          </w:tcPr>
          <w:p w14:paraId="181EB676"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nil"/>
              <w:right w:val="single" w:sz="4" w:space="0" w:color="000000"/>
            </w:tcBorders>
            <w:vAlign w:val="center"/>
            <w:hideMark/>
          </w:tcPr>
          <w:p w14:paraId="6D4A86B6" w14:textId="77777777" w:rsidR="0057201B" w:rsidRPr="00AE3A84" w:rsidRDefault="0057201B">
            <w:pPr>
              <w:pStyle w:val="BodyText"/>
              <w:jc w:val="both"/>
              <w:rPr>
                <w:noProof/>
              </w:rPr>
            </w:pPr>
            <w:r w:rsidRPr="00AE3A84">
              <w:rPr>
                <w:noProof/>
              </w:rPr>
              <w:t>2018</w:t>
            </w:r>
          </w:p>
        </w:tc>
        <w:tc>
          <w:tcPr>
            <w:tcW w:w="2636" w:type="dxa"/>
            <w:tcBorders>
              <w:top w:val="single" w:sz="4" w:space="0" w:color="000000"/>
              <w:left w:val="single" w:sz="4" w:space="0" w:color="000000"/>
              <w:bottom w:val="nil"/>
              <w:right w:val="single" w:sz="4" w:space="0" w:color="000000"/>
            </w:tcBorders>
            <w:vAlign w:val="center"/>
            <w:hideMark/>
          </w:tcPr>
          <w:p w14:paraId="5F1ED6A5" w14:textId="77777777" w:rsidR="0057201B" w:rsidRPr="00AE3A84" w:rsidRDefault="0057201B">
            <w:pPr>
              <w:pStyle w:val="BodyText"/>
              <w:rPr>
                <w:noProof/>
              </w:rPr>
            </w:pPr>
            <w:r w:rsidRPr="00AE3A84">
              <w:rPr>
                <w:noProof/>
              </w:rPr>
              <w:t>Edison Freddy Palma Coronado</w:t>
            </w:r>
          </w:p>
        </w:tc>
        <w:tc>
          <w:tcPr>
            <w:tcW w:w="1935" w:type="dxa"/>
            <w:tcBorders>
              <w:top w:val="single" w:sz="4" w:space="0" w:color="000000"/>
              <w:left w:val="single" w:sz="4" w:space="0" w:color="000000"/>
              <w:bottom w:val="nil"/>
              <w:right w:val="single" w:sz="4" w:space="0" w:color="000000"/>
            </w:tcBorders>
            <w:vAlign w:val="center"/>
            <w:hideMark/>
          </w:tcPr>
          <w:p w14:paraId="3D1D72C0" w14:textId="3FA7EAFF" w:rsidR="0057201B" w:rsidRPr="00AE3A84" w:rsidRDefault="0057201B">
            <w:pPr>
              <w:pStyle w:val="BodyText"/>
              <w:jc w:val="both"/>
              <w:rPr>
                <w:noProof/>
              </w:rPr>
            </w:pPr>
            <w:r w:rsidRPr="00AE3A84">
              <w:rPr>
                <w:noProof/>
              </w:rPr>
              <w:t>Admissibility</w:t>
            </w:r>
          </w:p>
        </w:tc>
      </w:tr>
      <w:tr w:rsidR="0057201B" w:rsidRPr="00AE3A84" w14:paraId="715D7483" w14:textId="77777777" w:rsidTr="008B05A0">
        <w:trPr>
          <w:trHeight w:val="623"/>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6C786ACB" w14:textId="77777777" w:rsidR="0057201B" w:rsidRPr="00AE3A84" w:rsidRDefault="0057201B">
            <w:pPr>
              <w:pStyle w:val="BodyText"/>
              <w:jc w:val="center"/>
              <w:rPr>
                <w:noProof/>
              </w:rPr>
            </w:pPr>
            <w:r w:rsidRPr="00AE3A84">
              <w:rPr>
                <w:noProof/>
              </w:rPr>
              <w:t>10</w:t>
            </w:r>
          </w:p>
        </w:tc>
        <w:tc>
          <w:tcPr>
            <w:tcW w:w="1370" w:type="dxa"/>
            <w:tcBorders>
              <w:top w:val="single" w:sz="4" w:space="0" w:color="000000"/>
              <w:left w:val="nil"/>
              <w:bottom w:val="single" w:sz="4" w:space="0" w:color="000000"/>
              <w:right w:val="single" w:sz="4" w:space="0" w:color="000000"/>
            </w:tcBorders>
            <w:noWrap/>
            <w:vAlign w:val="center"/>
            <w:hideMark/>
          </w:tcPr>
          <w:p w14:paraId="62A5EDB9" w14:textId="77777777" w:rsidR="0057201B" w:rsidRPr="00AE3A84" w:rsidRDefault="0057201B">
            <w:pPr>
              <w:pStyle w:val="BodyText"/>
              <w:jc w:val="both"/>
              <w:rPr>
                <w:noProof/>
              </w:rPr>
            </w:pPr>
            <w:r w:rsidRPr="00AE3A84">
              <w:rPr>
                <w:noProof/>
              </w:rPr>
              <w:t>Chile</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29DB557" w14:textId="77777777" w:rsidR="0057201B" w:rsidRPr="00AE3A84" w:rsidRDefault="0057201B">
            <w:pPr>
              <w:pStyle w:val="BodyText"/>
              <w:jc w:val="both"/>
              <w:rPr>
                <w:noProof/>
              </w:rPr>
            </w:pPr>
            <w:r w:rsidRPr="00AE3A84">
              <w:rPr>
                <w:noProof/>
              </w:rPr>
              <w:t>946-10</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474289FF" w14:textId="77777777" w:rsidR="0057201B" w:rsidRPr="00AE3A84" w:rsidRDefault="0057201B">
            <w:pPr>
              <w:pStyle w:val="BodyText"/>
              <w:jc w:val="both"/>
              <w:rPr>
                <w:noProof/>
              </w:rPr>
            </w:pPr>
            <w:r w:rsidRPr="00AE3A84">
              <w:rPr>
                <w:noProof/>
              </w:rPr>
              <w:t>13.487</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5EB4C8BD" w14:textId="77777777" w:rsidR="0057201B" w:rsidRPr="00AE3A84" w:rsidRDefault="0057201B">
            <w:pPr>
              <w:pStyle w:val="BodyText"/>
              <w:jc w:val="both"/>
              <w:rPr>
                <w:noProof/>
              </w:rPr>
            </w:pPr>
            <w:r w:rsidRPr="00AE3A84">
              <w:rPr>
                <w:noProof/>
              </w:rPr>
              <w:t>2010</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5885D0FA" w14:textId="77777777" w:rsidR="0057201B" w:rsidRPr="00212F9F" w:rsidRDefault="0057201B">
            <w:pPr>
              <w:pStyle w:val="BodyText"/>
              <w:rPr>
                <w:noProof/>
              </w:rPr>
            </w:pPr>
            <w:r w:rsidRPr="00212F9F">
              <w:rPr>
                <w:noProof/>
              </w:rPr>
              <w:t>Members of the Mapuche Community of Temucuicui and Rofue</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20AEEA41" w14:textId="335FEAA0" w:rsidR="0057201B" w:rsidRPr="00AE3A84" w:rsidRDefault="0057201B">
            <w:pPr>
              <w:pStyle w:val="BodyText"/>
              <w:jc w:val="both"/>
              <w:rPr>
                <w:noProof/>
              </w:rPr>
            </w:pPr>
            <w:r w:rsidRPr="00AE3A84">
              <w:rPr>
                <w:noProof/>
              </w:rPr>
              <w:t>Merits</w:t>
            </w:r>
          </w:p>
        </w:tc>
      </w:tr>
      <w:tr w:rsidR="0057201B" w:rsidRPr="00AE3A84" w14:paraId="28E45C34" w14:textId="77777777" w:rsidTr="000A7ED3">
        <w:trPr>
          <w:trHeight w:val="398"/>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294BA892" w14:textId="77777777" w:rsidR="0057201B" w:rsidRPr="00AE3A84" w:rsidRDefault="0057201B">
            <w:pPr>
              <w:pStyle w:val="BodyText"/>
              <w:jc w:val="center"/>
              <w:rPr>
                <w:noProof/>
              </w:rPr>
            </w:pPr>
            <w:r w:rsidRPr="00AE3A84">
              <w:rPr>
                <w:noProof/>
              </w:rPr>
              <w:t>11</w:t>
            </w:r>
          </w:p>
        </w:tc>
        <w:tc>
          <w:tcPr>
            <w:tcW w:w="1370" w:type="dxa"/>
            <w:tcBorders>
              <w:top w:val="single" w:sz="4" w:space="0" w:color="000000"/>
              <w:left w:val="nil"/>
              <w:bottom w:val="single" w:sz="4" w:space="0" w:color="000000"/>
              <w:right w:val="single" w:sz="4" w:space="0" w:color="000000"/>
            </w:tcBorders>
            <w:noWrap/>
            <w:vAlign w:val="center"/>
            <w:hideMark/>
          </w:tcPr>
          <w:p w14:paraId="568EC0EE" w14:textId="77777777" w:rsidR="0057201B" w:rsidRPr="00AE3A84" w:rsidRDefault="0057201B">
            <w:pPr>
              <w:pStyle w:val="BodyText"/>
              <w:jc w:val="both"/>
              <w:rPr>
                <w:noProof/>
              </w:rPr>
            </w:pPr>
            <w:r w:rsidRPr="00AE3A84">
              <w:rPr>
                <w:noProof/>
              </w:rPr>
              <w:t>Chile</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3D8C46C6" w14:textId="77777777" w:rsidR="0057201B" w:rsidRPr="00AE3A84" w:rsidRDefault="0057201B">
            <w:pPr>
              <w:pStyle w:val="BodyText"/>
              <w:jc w:val="both"/>
              <w:rPr>
                <w:noProof/>
              </w:rPr>
            </w:pPr>
            <w:r w:rsidRPr="00AE3A84">
              <w:rPr>
                <w:noProof/>
              </w:rPr>
              <w:t>1492-10</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4983EB60" w14:textId="77777777" w:rsidR="0057201B" w:rsidRPr="00AE3A84" w:rsidRDefault="0057201B">
            <w:pPr>
              <w:pStyle w:val="BodyText"/>
              <w:jc w:val="both"/>
              <w:rPr>
                <w:noProof/>
              </w:rPr>
            </w:pPr>
            <w:r w:rsidRPr="00AE3A84">
              <w:rPr>
                <w:noProof/>
              </w:rPr>
              <w:t>14.052</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64E9ACB9" w14:textId="77777777" w:rsidR="0057201B" w:rsidRPr="00AE3A84" w:rsidRDefault="0057201B">
            <w:pPr>
              <w:pStyle w:val="BodyText"/>
              <w:jc w:val="both"/>
              <w:rPr>
                <w:noProof/>
              </w:rPr>
            </w:pPr>
            <w:r w:rsidRPr="00AE3A84">
              <w:rPr>
                <w:noProof/>
              </w:rPr>
              <w:t>2010</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73940FCB" w14:textId="77777777" w:rsidR="0057201B" w:rsidRPr="00AE3A84" w:rsidRDefault="0057201B">
            <w:pPr>
              <w:pStyle w:val="BodyText"/>
              <w:rPr>
                <w:noProof/>
                <w:lang w:val="es-US"/>
              </w:rPr>
            </w:pPr>
            <w:r w:rsidRPr="00AE3A84">
              <w:rPr>
                <w:noProof/>
                <w:lang w:val="es-US"/>
              </w:rPr>
              <w:t xml:space="preserve">Manuel Javier Cabieses Donosos </w:t>
            </w:r>
            <w:r>
              <w:rPr>
                <w:noProof/>
                <w:lang w:val="es-US"/>
              </w:rPr>
              <w:t>et al.</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122ECFBE" w14:textId="4112E936" w:rsidR="0057201B" w:rsidRPr="00AE3A84" w:rsidRDefault="0057201B">
            <w:pPr>
              <w:pStyle w:val="BodyText"/>
              <w:jc w:val="both"/>
              <w:rPr>
                <w:noProof/>
              </w:rPr>
            </w:pPr>
            <w:r w:rsidRPr="00AE3A84">
              <w:rPr>
                <w:noProof/>
              </w:rPr>
              <w:t>Merits</w:t>
            </w:r>
          </w:p>
        </w:tc>
      </w:tr>
      <w:tr w:rsidR="0057201B" w:rsidRPr="00AE3A84" w14:paraId="3654289A" w14:textId="77777777" w:rsidTr="000A7ED3">
        <w:trPr>
          <w:trHeight w:val="488"/>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5BB208DC" w14:textId="77777777" w:rsidR="0057201B" w:rsidRPr="00AE3A84" w:rsidRDefault="0057201B">
            <w:pPr>
              <w:pStyle w:val="BodyText"/>
              <w:jc w:val="center"/>
              <w:rPr>
                <w:noProof/>
              </w:rPr>
            </w:pPr>
            <w:r w:rsidRPr="00AE3A84">
              <w:rPr>
                <w:noProof/>
              </w:rPr>
              <w:t>12</w:t>
            </w:r>
          </w:p>
        </w:tc>
        <w:tc>
          <w:tcPr>
            <w:tcW w:w="1370" w:type="dxa"/>
            <w:tcBorders>
              <w:top w:val="single" w:sz="4" w:space="0" w:color="000000"/>
              <w:left w:val="nil"/>
              <w:bottom w:val="single" w:sz="4" w:space="0" w:color="000000"/>
              <w:right w:val="single" w:sz="4" w:space="0" w:color="000000"/>
            </w:tcBorders>
            <w:noWrap/>
            <w:vAlign w:val="center"/>
            <w:hideMark/>
          </w:tcPr>
          <w:p w14:paraId="580AD52F" w14:textId="77777777" w:rsidR="0057201B" w:rsidRPr="00AE3A84" w:rsidRDefault="0057201B">
            <w:pPr>
              <w:pStyle w:val="BodyText"/>
              <w:jc w:val="both"/>
              <w:rPr>
                <w:noProof/>
              </w:rPr>
            </w:pPr>
            <w:r w:rsidRPr="00AE3A84">
              <w:rPr>
                <w:noProof/>
              </w:rPr>
              <w:t>Chile</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32A1502E" w14:textId="77777777" w:rsidR="0057201B" w:rsidRPr="00AE3A84" w:rsidRDefault="0057201B">
            <w:pPr>
              <w:pStyle w:val="BodyText"/>
              <w:jc w:val="both"/>
              <w:rPr>
                <w:noProof/>
              </w:rPr>
            </w:pPr>
            <w:r w:rsidRPr="00AE3A84">
              <w:rPr>
                <w:noProof/>
              </w:rPr>
              <w:t>2430-12</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718DC1F6" w14:textId="77777777" w:rsidR="0057201B" w:rsidRPr="00AE3A84" w:rsidRDefault="0057201B">
            <w:pPr>
              <w:pStyle w:val="BodyText"/>
              <w:jc w:val="both"/>
              <w:rPr>
                <w:noProof/>
              </w:rPr>
            </w:pPr>
            <w:r w:rsidRPr="00AE3A84">
              <w:rPr>
                <w:noProof/>
              </w:rPr>
              <w:t>13.860</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6656DE9F" w14:textId="77777777" w:rsidR="0057201B" w:rsidRPr="00AE3A84" w:rsidRDefault="0057201B">
            <w:pPr>
              <w:pStyle w:val="BodyText"/>
              <w:jc w:val="both"/>
              <w:rPr>
                <w:noProof/>
              </w:rPr>
            </w:pPr>
            <w:r w:rsidRPr="00AE3A84">
              <w:rPr>
                <w:noProof/>
              </w:rPr>
              <w:t>2012</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2DA7551A" w14:textId="77777777" w:rsidR="0057201B" w:rsidRPr="00AE3A84" w:rsidRDefault="0057201B">
            <w:pPr>
              <w:pStyle w:val="BodyText"/>
              <w:rPr>
                <w:noProof/>
              </w:rPr>
            </w:pPr>
            <w:r w:rsidRPr="00AE3A84">
              <w:rPr>
                <w:noProof/>
              </w:rPr>
              <w:t>Domingo Segundo Huerta Hernández</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07788A09" w14:textId="7499DE70" w:rsidR="0057201B" w:rsidRPr="00AE3A84" w:rsidRDefault="0057201B">
            <w:pPr>
              <w:pStyle w:val="BodyText"/>
              <w:jc w:val="both"/>
              <w:rPr>
                <w:noProof/>
              </w:rPr>
            </w:pPr>
            <w:r w:rsidRPr="00AE3A84">
              <w:rPr>
                <w:noProof/>
              </w:rPr>
              <w:t>Merits</w:t>
            </w:r>
          </w:p>
        </w:tc>
      </w:tr>
      <w:tr w:rsidR="0057201B" w:rsidRPr="00AE3A84" w14:paraId="415465DD" w14:textId="77777777" w:rsidTr="008B05A0">
        <w:trPr>
          <w:trHeight w:val="407"/>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55A671AA" w14:textId="77777777" w:rsidR="0057201B" w:rsidRPr="00AE3A84" w:rsidRDefault="0057201B">
            <w:pPr>
              <w:pStyle w:val="BodyText"/>
              <w:jc w:val="center"/>
              <w:rPr>
                <w:noProof/>
              </w:rPr>
            </w:pPr>
            <w:r w:rsidRPr="00AE3A84">
              <w:rPr>
                <w:noProof/>
              </w:rPr>
              <w:t>13</w:t>
            </w:r>
          </w:p>
        </w:tc>
        <w:tc>
          <w:tcPr>
            <w:tcW w:w="1370" w:type="dxa"/>
            <w:tcBorders>
              <w:top w:val="single" w:sz="4" w:space="0" w:color="000000"/>
              <w:left w:val="nil"/>
              <w:bottom w:val="single" w:sz="4" w:space="0" w:color="000000"/>
              <w:right w:val="single" w:sz="4" w:space="0" w:color="000000"/>
            </w:tcBorders>
            <w:noWrap/>
            <w:vAlign w:val="center"/>
            <w:hideMark/>
          </w:tcPr>
          <w:p w14:paraId="6D6358CD" w14:textId="77777777" w:rsidR="0057201B" w:rsidRPr="00AE3A84" w:rsidRDefault="0057201B">
            <w:pPr>
              <w:pStyle w:val="BodyText"/>
              <w:jc w:val="both"/>
              <w:rPr>
                <w:noProof/>
              </w:rPr>
            </w:pPr>
            <w:r w:rsidRPr="00AE3A84">
              <w:rPr>
                <w:noProof/>
              </w:rPr>
              <w:t>Chile</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752ACB5" w14:textId="77777777" w:rsidR="0057201B" w:rsidRPr="00AE3A84" w:rsidRDefault="0057201B">
            <w:pPr>
              <w:pStyle w:val="BodyText"/>
              <w:jc w:val="both"/>
              <w:rPr>
                <w:noProof/>
              </w:rPr>
            </w:pPr>
            <w:r w:rsidRPr="00AE3A84">
              <w:rPr>
                <w:noProof/>
              </w:rPr>
              <w:t>2404-12</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59B85586" w14:textId="77777777" w:rsidR="0057201B" w:rsidRPr="00AE3A84" w:rsidRDefault="0057201B">
            <w:pPr>
              <w:pStyle w:val="BodyText"/>
              <w:jc w:val="both"/>
              <w:rPr>
                <w:noProof/>
              </w:rPr>
            </w:pPr>
            <w:r w:rsidRPr="00AE3A84">
              <w:rPr>
                <w:noProof/>
              </w:rPr>
              <w:t>13.895</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0FB5D13F" w14:textId="77777777" w:rsidR="0057201B" w:rsidRPr="00AE3A84" w:rsidRDefault="0057201B">
            <w:pPr>
              <w:pStyle w:val="BodyText"/>
              <w:jc w:val="both"/>
              <w:rPr>
                <w:noProof/>
              </w:rPr>
            </w:pPr>
            <w:r w:rsidRPr="00AE3A84">
              <w:rPr>
                <w:noProof/>
              </w:rPr>
              <w:t>2012</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4D291003" w14:textId="77777777" w:rsidR="0057201B" w:rsidRPr="00AE3A84" w:rsidRDefault="0057201B">
            <w:pPr>
              <w:pStyle w:val="BodyText"/>
              <w:rPr>
                <w:noProof/>
              </w:rPr>
            </w:pPr>
            <w:r w:rsidRPr="00AE3A84">
              <w:rPr>
                <w:noProof/>
              </w:rPr>
              <w:t>Victoria Barrientos Barrientos</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3B5830C9" w14:textId="7268BDC5" w:rsidR="0057201B" w:rsidRPr="00AE3A84" w:rsidRDefault="0057201B">
            <w:pPr>
              <w:pStyle w:val="BodyText"/>
              <w:jc w:val="both"/>
              <w:rPr>
                <w:noProof/>
              </w:rPr>
            </w:pPr>
            <w:r w:rsidRPr="00AE3A84">
              <w:rPr>
                <w:noProof/>
              </w:rPr>
              <w:t>Merits</w:t>
            </w:r>
          </w:p>
        </w:tc>
      </w:tr>
      <w:tr w:rsidR="0057201B" w:rsidRPr="00AE3A84" w14:paraId="06926EE0" w14:textId="77777777" w:rsidTr="008B05A0">
        <w:trPr>
          <w:trHeight w:val="24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5DD496C4" w14:textId="77777777" w:rsidR="0057201B" w:rsidRPr="00AE3A84" w:rsidRDefault="0057201B">
            <w:pPr>
              <w:pStyle w:val="BodyText"/>
              <w:jc w:val="center"/>
              <w:rPr>
                <w:noProof/>
              </w:rPr>
            </w:pPr>
            <w:r w:rsidRPr="00AE3A84">
              <w:rPr>
                <w:noProof/>
              </w:rPr>
              <w:t>14</w:t>
            </w:r>
          </w:p>
        </w:tc>
        <w:tc>
          <w:tcPr>
            <w:tcW w:w="1370" w:type="dxa"/>
            <w:tcBorders>
              <w:top w:val="single" w:sz="4" w:space="0" w:color="000000"/>
              <w:left w:val="nil"/>
              <w:bottom w:val="single" w:sz="4" w:space="0" w:color="000000"/>
              <w:right w:val="single" w:sz="4" w:space="0" w:color="000000"/>
            </w:tcBorders>
            <w:noWrap/>
            <w:vAlign w:val="center"/>
            <w:hideMark/>
          </w:tcPr>
          <w:p w14:paraId="3FA8C1FB" w14:textId="77777777" w:rsidR="0057201B" w:rsidRPr="00AE3A84" w:rsidRDefault="0057201B">
            <w:pPr>
              <w:pStyle w:val="BodyText"/>
              <w:jc w:val="both"/>
              <w:rPr>
                <w:noProof/>
              </w:rPr>
            </w:pPr>
            <w:r w:rsidRPr="00AE3A84">
              <w:rPr>
                <w:noProof/>
              </w:rPr>
              <w:t>Colombia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48269FC9" w14:textId="77777777" w:rsidR="0057201B" w:rsidRPr="00AE3A84" w:rsidRDefault="0057201B">
            <w:pPr>
              <w:pStyle w:val="BodyText"/>
              <w:jc w:val="both"/>
              <w:rPr>
                <w:noProof/>
              </w:rPr>
            </w:pPr>
            <w:r w:rsidRPr="00AE3A84">
              <w:rPr>
                <w:noProof/>
              </w:rPr>
              <w:t>1016-11</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0CCCC78D"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2710246C" w14:textId="77777777" w:rsidR="0057201B" w:rsidRPr="00AE3A84" w:rsidRDefault="0057201B">
            <w:pPr>
              <w:pStyle w:val="BodyText"/>
              <w:jc w:val="both"/>
              <w:rPr>
                <w:noProof/>
              </w:rPr>
            </w:pPr>
            <w:r w:rsidRPr="00AE3A84">
              <w:rPr>
                <w:noProof/>
              </w:rPr>
              <w:t>2011</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3151FF8E" w14:textId="77777777" w:rsidR="0057201B" w:rsidRPr="00AE3A84" w:rsidRDefault="0057201B">
            <w:pPr>
              <w:pStyle w:val="BodyText"/>
              <w:rPr>
                <w:noProof/>
              </w:rPr>
            </w:pPr>
            <w:r w:rsidRPr="00AE3A84">
              <w:rPr>
                <w:noProof/>
              </w:rPr>
              <w:t>Esmeralda Lievano López</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31C5A688" w14:textId="7545401E" w:rsidR="0057201B" w:rsidRPr="00AE3A84" w:rsidRDefault="0057201B">
            <w:pPr>
              <w:pStyle w:val="BodyText"/>
              <w:jc w:val="both"/>
              <w:rPr>
                <w:noProof/>
              </w:rPr>
            </w:pPr>
            <w:r w:rsidRPr="00AE3A84">
              <w:rPr>
                <w:noProof/>
              </w:rPr>
              <w:t>Admissibility</w:t>
            </w:r>
          </w:p>
        </w:tc>
      </w:tr>
      <w:tr w:rsidR="0057201B" w:rsidRPr="00AE3A84" w14:paraId="0F77946A" w14:textId="77777777" w:rsidTr="000A7ED3">
        <w:trPr>
          <w:trHeight w:val="51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3AB43515" w14:textId="77777777" w:rsidR="0057201B" w:rsidRPr="00AE3A84" w:rsidRDefault="0057201B">
            <w:pPr>
              <w:pStyle w:val="BodyText"/>
              <w:jc w:val="center"/>
              <w:rPr>
                <w:noProof/>
              </w:rPr>
            </w:pPr>
            <w:r w:rsidRPr="00AE3A84">
              <w:rPr>
                <w:noProof/>
              </w:rPr>
              <w:t>15</w:t>
            </w:r>
          </w:p>
        </w:tc>
        <w:tc>
          <w:tcPr>
            <w:tcW w:w="1370" w:type="dxa"/>
            <w:tcBorders>
              <w:top w:val="single" w:sz="4" w:space="0" w:color="000000"/>
              <w:left w:val="nil"/>
              <w:bottom w:val="single" w:sz="4" w:space="0" w:color="000000"/>
              <w:right w:val="single" w:sz="4" w:space="0" w:color="000000"/>
            </w:tcBorders>
            <w:noWrap/>
            <w:vAlign w:val="center"/>
            <w:hideMark/>
          </w:tcPr>
          <w:p w14:paraId="2E6538D4" w14:textId="77777777" w:rsidR="0057201B" w:rsidRPr="00AE3A84" w:rsidRDefault="0057201B">
            <w:pPr>
              <w:pStyle w:val="BodyText"/>
              <w:jc w:val="both"/>
              <w:rPr>
                <w:noProof/>
              </w:rPr>
            </w:pPr>
            <w:r w:rsidRPr="00AE3A84">
              <w:rPr>
                <w:noProof/>
              </w:rPr>
              <w:t>Colombia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7C41DA74" w14:textId="77777777" w:rsidR="0057201B" w:rsidRPr="00AE3A84" w:rsidRDefault="0057201B">
            <w:pPr>
              <w:pStyle w:val="BodyText"/>
              <w:jc w:val="both"/>
              <w:rPr>
                <w:noProof/>
              </w:rPr>
            </w:pPr>
            <w:r w:rsidRPr="00AE3A84">
              <w:rPr>
                <w:noProof/>
              </w:rPr>
              <w:t>1218-14</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05669240"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4B054956" w14:textId="77777777" w:rsidR="0057201B" w:rsidRPr="00AE3A84" w:rsidRDefault="0057201B">
            <w:pPr>
              <w:pStyle w:val="BodyText"/>
              <w:jc w:val="both"/>
              <w:rPr>
                <w:noProof/>
              </w:rPr>
            </w:pPr>
            <w:r w:rsidRPr="00AE3A84">
              <w:rPr>
                <w:noProof/>
              </w:rPr>
              <w:t>2014</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24DB48E7" w14:textId="77777777" w:rsidR="0057201B" w:rsidRPr="00AE3A84" w:rsidRDefault="0057201B">
            <w:pPr>
              <w:pStyle w:val="BodyText"/>
              <w:rPr>
                <w:noProof/>
                <w:lang w:val="es-US"/>
              </w:rPr>
            </w:pPr>
            <w:r w:rsidRPr="00AE3A84">
              <w:rPr>
                <w:noProof/>
                <w:lang w:val="es-US"/>
              </w:rPr>
              <w:t xml:space="preserve">Antonio Jesús Castellanos </w:t>
            </w:r>
            <w:r>
              <w:rPr>
                <w:noProof/>
                <w:lang w:val="es-US"/>
              </w:rPr>
              <w:t>and Family</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0B888589" w14:textId="7E1E6C04" w:rsidR="0057201B" w:rsidRPr="00AE3A84" w:rsidRDefault="0057201B">
            <w:pPr>
              <w:pStyle w:val="BodyText"/>
              <w:jc w:val="both"/>
              <w:rPr>
                <w:noProof/>
              </w:rPr>
            </w:pPr>
            <w:r w:rsidRPr="00AE3A84">
              <w:rPr>
                <w:noProof/>
              </w:rPr>
              <w:t>Admissibility</w:t>
            </w:r>
          </w:p>
        </w:tc>
      </w:tr>
      <w:tr w:rsidR="0057201B" w:rsidRPr="00AE3A84" w14:paraId="606EDDF8" w14:textId="77777777" w:rsidTr="008B05A0">
        <w:trPr>
          <w:trHeight w:val="470"/>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79857075" w14:textId="77777777" w:rsidR="0057201B" w:rsidRPr="00AE3A84" w:rsidRDefault="0057201B">
            <w:pPr>
              <w:pStyle w:val="BodyText"/>
              <w:jc w:val="center"/>
              <w:rPr>
                <w:noProof/>
              </w:rPr>
            </w:pPr>
            <w:r w:rsidRPr="00AE3A84">
              <w:rPr>
                <w:noProof/>
              </w:rPr>
              <w:t>16</w:t>
            </w:r>
          </w:p>
        </w:tc>
        <w:tc>
          <w:tcPr>
            <w:tcW w:w="1370" w:type="dxa"/>
            <w:tcBorders>
              <w:top w:val="nil"/>
              <w:left w:val="nil"/>
              <w:bottom w:val="single" w:sz="4" w:space="0" w:color="000000"/>
              <w:right w:val="single" w:sz="4" w:space="0" w:color="000000"/>
            </w:tcBorders>
            <w:noWrap/>
            <w:vAlign w:val="center"/>
            <w:hideMark/>
          </w:tcPr>
          <w:p w14:paraId="0F38436D" w14:textId="77777777" w:rsidR="0057201B" w:rsidRPr="00AE3A84" w:rsidRDefault="0057201B">
            <w:pPr>
              <w:pStyle w:val="BodyText"/>
              <w:jc w:val="both"/>
              <w:rPr>
                <w:noProof/>
              </w:rPr>
            </w:pPr>
            <w:r w:rsidRPr="00AE3A84">
              <w:rPr>
                <w:noProof/>
              </w:rPr>
              <w:t>Colombia</w:t>
            </w:r>
          </w:p>
        </w:tc>
        <w:tc>
          <w:tcPr>
            <w:tcW w:w="1620" w:type="dxa"/>
            <w:tcBorders>
              <w:top w:val="nil"/>
              <w:left w:val="single" w:sz="4" w:space="0" w:color="000000"/>
              <w:bottom w:val="single" w:sz="4" w:space="0" w:color="000000"/>
              <w:right w:val="single" w:sz="4" w:space="0" w:color="000000"/>
            </w:tcBorders>
            <w:noWrap/>
            <w:vAlign w:val="center"/>
            <w:hideMark/>
          </w:tcPr>
          <w:p w14:paraId="7C7F5714" w14:textId="77777777" w:rsidR="0057201B" w:rsidRPr="00AE3A84" w:rsidRDefault="0057201B">
            <w:pPr>
              <w:pStyle w:val="BodyText"/>
              <w:jc w:val="both"/>
              <w:rPr>
                <w:noProof/>
              </w:rPr>
            </w:pPr>
            <w:r w:rsidRPr="00AE3A84">
              <w:rPr>
                <w:noProof/>
              </w:rPr>
              <w:t>1730-14</w:t>
            </w:r>
          </w:p>
        </w:tc>
        <w:tc>
          <w:tcPr>
            <w:tcW w:w="1530" w:type="dxa"/>
            <w:tcBorders>
              <w:top w:val="nil"/>
              <w:left w:val="single" w:sz="4" w:space="0" w:color="000000"/>
              <w:bottom w:val="single" w:sz="4" w:space="0" w:color="000000"/>
              <w:right w:val="single" w:sz="4" w:space="0" w:color="000000"/>
            </w:tcBorders>
            <w:noWrap/>
            <w:vAlign w:val="center"/>
            <w:hideMark/>
          </w:tcPr>
          <w:p w14:paraId="3C3C9A18" w14:textId="77777777" w:rsidR="0057201B" w:rsidRPr="00AE3A84" w:rsidRDefault="0057201B">
            <w:pPr>
              <w:pStyle w:val="BodyText"/>
              <w:jc w:val="both"/>
              <w:rPr>
                <w:noProof/>
              </w:rPr>
            </w:pPr>
            <w:r w:rsidRPr="00AE3A84">
              <w:rPr>
                <w:noProof/>
              </w:rPr>
              <w:t>N/A</w:t>
            </w:r>
          </w:p>
        </w:tc>
        <w:tc>
          <w:tcPr>
            <w:tcW w:w="900" w:type="dxa"/>
            <w:tcBorders>
              <w:top w:val="nil"/>
              <w:left w:val="single" w:sz="4" w:space="0" w:color="000000"/>
              <w:bottom w:val="single" w:sz="4" w:space="0" w:color="000000"/>
              <w:right w:val="single" w:sz="4" w:space="0" w:color="000000"/>
            </w:tcBorders>
            <w:noWrap/>
            <w:vAlign w:val="center"/>
            <w:hideMark/>
          </w:tcPr>
          <w:p w14:paraId="7BF0600F" w14:textId="77777777" w:rsidR="0057201B" w:rsidRPr="00AE3A84" w:rsidRDefault="0057201B">
            <w:pPr>
              <w:pStyle w:val="BodyText"/>
              <w:jc w:val="both"/>
              <w:rPr>
                <w:noProof/>
              </w:rPr>
            </w:pPr>
            <w:r w:rsidRPr="00AE3A84">
              <w:rPr>
                <w:noProof/>
              </w:rPr>
              <w:t>2014</w:t>
            </w:r>
          </w:p>
        </w:tc>
        <w:tc>
          <w:tcPr>
            <w:tcW w:w="2636" w:type="dxa"/>
            <w:tcBorders>
              <w:top w:val="nil"/>
              <w:left w:val="single" w:sz="4" w:space="0" w:color="000000"/>
              <w:bottom w:val="single" w:sz="4" w:space="0" w:color="000000"/>
              <w:right w:val="single" w:sz="4" w:space="0" w:color="000000"/>
            </w:tcBorders>
            <w:vAlign w:val="center"/>
            <w:hideMark/>
          </w:tcPr>
          <w:p w14:paraId="4FA21B61" w14:textId="77777777" w:rsidR="0057201B" w:rsidRPr="00AE3A84" w:rsidRDefault="0057201B">
            <w:pPr>
              <w:pStyle w:val="BodyText"/>
              <w:rPr>
                <w:noProof/>
                <w:lang w:val="es-US"/>
              </w:rPr>
            </w:pPr>
            <w:r w:rsidRPr="00AE3A84">
              <w:rPr>
                <w:noProof/>
                <w:lang w:val="es-US"/>
              </w:rPr>
              <w:t>Milena Mejía de Gómez, Julieta Gómez Mejía</w:t>
            </w:r>
          </w:p>
        </w:tc>
        <w:tc>
          <w:tcPr>
            <w:tcW w:w="1935" w:type="dxa"/>
            <w:tcBorders>
              <w:top w:val="nil"/>
              <w:left w:val="single" w:sz="4" w:space="0" w:color="000000"/>
              <w:bottom w:val="single" w:sz="4" w:space="0" w:color="000000"/>
              <w:right w:val="single" w:sz="4" w:space="0" w:color="000000"/>
            </w:tcBorders>
            <w:vAlign w:val="center"/>
            <w:hideMark/>
          </w:tcPr>
          <w:p w14:paraId="190142DD" w14:textId="05094D29" w:rsidR="0057201B" w:rsidRPr="00AE3A84" w:rsidRDefault="0057201B">
            <w:pPr>
              <w:pStyle w:val="BodyText"/>
              <w:jc w:val="both"/>
              <w:rPr>
                <w:noProof/>
              </w:rPr>
            </w:pPr>
            <w:r w:rsidRPr="00AE3A84">
              <w:rPr>
                <w:noProof/>
              </w:rPr>
              <w:t>Admissibility</w:t>
            </w:r>
          </w:p>
        </w:tc>
      </w:tr>
      <w:tr w:rsidR="0057201B" w:rsidRPr="00AE3A84" w14:paraId="2A373357" w14:textId="77777777" w:rsidTr="008B05A0">
        <w:trPr>
          <w:trHeight w:val="668"/>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18464A17" w14:textId="77777777" w:rsidR="0057201B" w:rsidRPr="00AE3A84" w:rsidRDefault="0057201B">
            <w:pPr>
              <w:pStyle w:val="BodyText"/>
              <w:jc w:val="center"/>
              <w:rPr>
                <w:noProof/>
              </w:rPr>
            </w:pPr>
            <w:r w:rsidRPr="00AE3A84">
              <w:rPr>
                <w:noProof/>
              </w:rPr>
              <w:t>17</w:t>
            </w:r>
          </w:p>
        </w:tc>
        <w:tc>
          <w:tcPr>
            <w:tcW w:w="1370" w:type="dxa"/>
            <w:tcBorders>
              <w:top w:val="single" w:sz="4" w:space="0" w:color="000000"/>
              <w:left w:val="nil"/>
              <w:bottom w:val="single" w:sz="4" w:space="0" w:color="000000"/>
              <w:right w:val="single" w:sz="4" w:space="0" w:color="000000"/>
            </w:tcBorders>
            <w:noWrap/>
            <w:vAlign w:val="center"/>
            <w:hideMark/>
          </w:tcPr>
          <w:p w14:paraId="5B950369" w14:textId="77777777" w:rsidR="0057201B" w:rsidRPr="00AE3A84" w:rsidRDefault="0057201B">
            <w:pPr>
              <w:pStyle w:val="BodyText"/>
              <w:jc w:val="both"/>
              <w:rPr>
                <w:noProof/>
              </w:rPr>
            </w:pPr>
            <w:r w:rsidRPr="00AE3A84">
              <w:rPr>
                <w:noProof/>
              </w:rPr>
              <w:t>Colombia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7EB0AFAD" w14:textId="77777777" w:rsidR="0057201B" w:rsidRPr="00AE3A84" w:rsidRDefault="0057201B">
            <w:pPr>
              <w:pStyle w:val="BodyText"/>
              <w:jc w:val="both"/>
              <w:rPr>
                <w:noProof/>
              </w:rPr>
            </w:pPr>
            <w:r w:rsidRPr="00AE3A84">
              <w:rPr>
                <w:noProof/>
              </w:rPr>
              <w:t>18-15</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5B508C90"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3C2D4EF3" w14:textId="77777777" w:rsidR="0057201B" w:rsidRPr="00AE3A84" w:rsidRDefault="0057201B">
            <w:pPr>
              <w:pStyle w:val="BodyText"/>
              <w:jc w:val="both"/>
              <w:rPr>
                <w:noProof/>
              </w:rPr>
            </w:pPr>
            <w:r w:rsidRPr="00AE3A84">
              <w:rPr>
                <w:noProof/>
              </w:rPr>
              <w:t>2015</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313A8390" w14:textId="77777777" w:rsidR="0057201B" w:rsidRPr="00AE3A84" w:rsidRDefault="0057201B">
            <w:pPr>
              <w:pStyle w:val="BodyText"/>
              <w:rPr>
                <w:noProof/>
              </w:rPr>
            </w:pPr>
            <w:r w:rsidRPr="00AE3A84">
              <w:rPr>
                <w:noProof/>
              </w:rPr>
              <w:t>Daniel Mateo Bayona Rosado, Katherine Tatiana Bayona Rosado</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2CD60980" w14:textId="00750ED8" w:rsidR="0057201B" w:rsidRPr="00AE3A84" w:rsidRDefault="0057201B">
            <w:pPr>
              <w:pStyle w:val="BodyText"/>
              <w:jc w:val="both"/>
              <w:rPr>
                <w:noProof/>
              </w:rPr>
            </w:pPr>
            <w:r w:rsidRPr="00AE3A84">
              <w:rPr>
                <w:noProof/>
              </w:rPr>
              <w:t>Admissibility</w:t>
            </w:r>
          </w:p>
        </w:tc>
      </w:tr>
      <w:tr w:rsidR="0057201B" w:rsidRPr="00AE3A84" w14:paraId="0A67544C" w14:textId="77777777" w:rsidTr="008B05A0">
        <w:trPr>
          <w:trHeight w:val="24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22B96128" w14:textId="77777777" w:rsidR="0057201B" w:rsidRPr="00AE3A84" w:rsidRDefault="0057201B">
            <w:pPr>
              <w:pStyle w:val="BodyText"/>
              <w:jc w:val="center"/>
              <w:rPr>
                <w:noProof/>
              </w:rPr>
            </w:pPr>
            <w:r w:rsidRPr="00AE3A84">
              <w:rPr>
                <w:noProof/>
              </w:rPr>
              <w:t>18</w:t>
            </w:r>
          </w:p>
        </w:tc>
        <w:tc>
          <w:tcPr>
            <w:tcW w:w="1370" w:type="dxa"/>
            <w:tcBorders>
              <w:top w:val="single" w:sz="4" w:space="0" w:color="000000"/>
              <w:left w:val="nil"/>
              <w:bottom w:val="single" w:sz="4" w:space="0" w:color="000000"/>
              <w:right w:val="single" w:sz="4" w:space="0" w:color="000000"/>
            </w:tcBorders>
            <w:noWrap/>
            <w:vAlign w:val="center"/>
            <w:hideMark/>
          </w:tcPr>
          <w:p w14:paraId="3CD0F91F" w14:textId="77777777" w:rsidR="0057201B" w:rsidRPr="00AE3A84" w:rsidRDefault="0057201B">
            <w:pPr>
              <w:pStyle w:val="BodyText"/>
              <w:jc w:val="both"/>
              <w:rPr>
                <w:noProof/>
              </w:rPr>
            </w:pPr>
            <w:r w:rsidRPr="00AE3A84">
              <w:rPr>
                <w:noProof/>
              </w:rPr>
              <w:t>Colombia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37F1FFF1" w14:textId="77777777" w:rsidR="0057201B" w:rsidRPr="00AE3A84" w:rsidRDefault="0057201B">
            <w:pPr>
              <w:pStyle w:val="BodyText"/>
              <w:jc w:val="both"/>
              <w:rPr>
                <w:noProof/>
              </w:rPr>
            </w:pPr>
            <w:r w:rsidRPr="00AE3A84">
              <w:rPr>
                <w:noProof/>
              </w:rPr>
              <w:t>106-15</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59F486AF"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14DFC204" w14:textId="77777777" w:rsidR="0057201B" w:rsidRPr="00AE3A84" w:rsidRDefault="0057201B">
            <w:pPr>
              <w:pStyle w:val="BodyText"/>
              <w:jc w:val="both"/>
              <w:rPr>
                <w:noProof/>
              </w:rPr>
            </w:pPr>
            <w:r w:rsidRPr="00AE3A84">
              <w:rPr>
                <w:noProof/>
              </w:rPr>
              <w:t>2015</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6722D025" w14:textId="77777777" w:rsidR="0057201B" w:rsidRPr="00AE3A84" w:rsidRDefault="0057201B">
            <w:pPr>
              <w:pStyle w:val="BodyText"/>
              <w:rPr>
                <w:noProof/>
              </w:rPr>
            </w:pPr>
            <w:r w:rsidRPr="00AE3A84">
              <w:rPr>
                <w:noProof/>
              </w:rPr>
              <w:t>Alfonso Linares Peña</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3D97FA3A" w14:textId="6625EBA2" w:rsidR="0057201B" w:rsidRPr="00AE3A84" w:rsidRDefault="0057201B">
            <w:pPr>
              <w:pStyle w:val="BodyText"/>
              <w:jc w:val="both"/>
              <w:rPr>
                <w:noProof/>
              </w:rPr>
            </w:pPr>
            <w:r w:rsidRPr="00AE3A84">
              <w:rPr>
                <w:noProof/>
              </w:rPr>
              <w:t>Admissibility</w:t>
            </w:r>
          </w:p>
        </w:tc>
      </w:tr>
      <w:tr w:rsidR="0057201B" w:rsidRPr="00AE3A84" w14:paraId="41B69036" w14:textId="77777777" w:rsidTr="000A7ED3">
        <w:trPr>
          <w:trHeight w:val="1217"/>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39199731" w14:textId="77777777" w:rsidR="0057201B" w:rsidRPr="00AE3A84" w:rsidRDefault="0057201B">
            <w:pPr>
              <w:pStyle w:val="BodyText"/>
              <w:jc w:val="center"/>
              <w:rPr>
                <w:noProof/>
              </w:rPr>
            </w:pPr>
            <w:r w:rsidRPr="00AE3A84">
              <w:rPr>
                <w:noProof/>
              </w:rPr>
              <w:t>19</w:t>
            </w:r>
          </w:p>
        </w:tc>
        <w:tc>
          <w:tcPr>
            <w:tcW w:w="1370" w:type="dxa"/>
            <w:tcBorders>
              <w:top w:val="single" w:sz="4" w:space="0" w:color="000000"/>
              <w:left w:val="nil"/>
              <w:bottom w:val="single" w:sz="4" w:space="0" w:color="000000"/>
              <w:right w:val="single" w:sz="4" w:space="0" w:color="000000"/>
            </w:tcBorders>
            <w:noWrap/>
            <w:vAlign w:val="center"/>
            <w:hideMark/>
          </w:tcPr>
          <w:p w14:paraId="25C9F364" w14:textId="77777777" w:rsidR="0057201B" w:rsidRPr="00AE3A84" w:rsidRDefault="0057201B">
            <w:pPr>
              <w:pStyle w:val="BodyText"/>
              <w:jc w:val="both"/>
              <w:rPr>
                <w:noProof/>
              </w:rPr>
            </w:pPr>
            <w:r w:rsidRPr="00AE3A84">
              <w:rPr>
                <w:noProof/>
              </w:rPr>
              <w:t>Colombia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4F8B0CD5" w14:textId="77777777" w:rsidR="0057201B" w:rsidRPr="00AE3A84" w:rsidRDefault="0057201B">
            <w:pPr>
              <w:pStyle w:val="BodyText"/>
              <w:jc w:val="both"/>
              <w:rPr>
                <w:noProof/>
              </w:rPr>
            </w:pPr>
            <w:r w:rsidRPr="00AE3A84">
              <w:rPr>
                <w:noProof/>
              </w:rPr>
              <w:t>1556-15</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2478287D"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30B60679" w14:textId="77777777" w:rsidR="0057201B" w:rsidRPr="00AE3A84" w:rsidRDefault="0057201B">
            <w:pPr>
              <w:pStyle w:val="BodyText"/>
              <w:jc w:val="both"/>
              <w:rPr>
                <w:noProof/>
              </w:rPr>
            </w:pPr>
            <w:r w:rsidRPr="00AE3A84">
              <w:rPr>
                <w:noProof/>
              </w:rPr>
              <w:t>2015</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5223193C" w14:textId="77777777" w:rsidR="0057201B" w:rsidRPr="00D07BC8" w:rsidRDefault="0057201B">
            <w:pPr>
              <w:pStyle w:val="BodyText"/>
              <w:rPr>
                <w:noProof/>
              </w:rPr>
            </w:pPr>
            <w:r w:rsidRPr="00FA3A8C">
              <w:rPr>
                <w:noProof/>
              </w:rPr>
              <w:t>Former Employees of the Metropolitan Transit and Transportation Company of  Barranquilla</w:t>
            </w:r>
            <w:r w:rsidRPr="00D07BC8">
              <w:rPr>
                <w:noProof/>
              </w:rPr>
              <w:t xml:space="preserve"> (METROTRANSITO)</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278C055D" w14:textId="2081E7D1" w:rsidR="0057201B" w:rsidRPr="00AE3A84" w:rsidRDefault="0057201B">
            <w:pPr>
              <w:pStyle w:val="BodyText"/>
              <w:jc w:val="both"/>
              <w:rPr>
                <w:noProof/>
              </w:rPr>
            </w:pPr>
            <w:r w:rsidRPr="00AE3A84">
              <w:rPr>
                <w:noProof/>
              </w:rPr>
              <w:t>Admissibility</w:t>
            </w:r>
          </w:p>
        </w:tc>
      </w:tr>
      <w:tr w:rsidR="0057201B" w:rsidRPr="00AE3A84" w14:paraId="3B883D3A" w14:textId="77777777" w:rsidTr="008B05A0">
        <w:trPr>
          <w:trHeight w:val="96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13C72FC7" w14:textId="77777777" w:rsidR="0057201B" w:rsidRPr="00AE3A84" w:rsidRDefault="0057201B">
            <w:pPr>
              <w:pStyle w:val="BodyText"/>
              <w:jc w:val="center"/>
              <w:rPr>
                <w:noProof/>
              </w:rPr>
            </w:pPr>
            <w:r w:rsidRPr="00AE3A84">
              <w:rPr>
                <w:noProof/>
              </w:rPr>
              <w:t>20</w:t>
            </w:r>
          </w:p>
        </w:tc>
        <w:tc>
          <w:tcPr>
            <w:tcW w:w="1370" w:type="dxa"/>
            <w:tcBorders>
              <w:top w:val="single" w:sz="4" w:space="0" w:color="000000"/>
              <w:left w:val="nil"/>
              <w:bottom w:val="single" w:sz="4" w:space="0" w:color="000000"/>
              <w:right w:val="single" w:sz="4" w:space="0" w:color="000000"/>
            </w:tcBorders>
            <w:noWrap/>
            <w:vAlign w:val="center"/>
            <w:hideMark/>
          </w:tcPr>
          <w:p w14:paraId="5B8095B2" w14:textId="77777777" w:rsidR="0057201B" w:rsidRPr="00AE3A84" w:rsidRDefault="0057201B">
            <w:pPr>
              <w:pStyle w:val="BodyText"/>
              <w:jc w:val="both"/>
              <w:rPr>
                <w:noProof/>
              </w:rPr>
            </w:pPr>
            <w:r w:rsidRPr="00AE3A84">
              <w:rPr>
                <w:noProof/>
              </w:rPr>
              <w:t>Colombia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6EFBB48A" w14:textId="77777777" w:rsidR="0057201B" w:rsidRPr="00AE3A84" w:rsidRDefault="0057201B">
            <w:pPr>
              <w:pStyle w:val="BodyText"/>
              <w:jc w:val="both"/>
              <w:rPr>
                <w:noProof/>
              </w:rPr>
            </w:pPr>
            <w:r w:rsidRPr="00AE3A84">
              <w:rPr>
                <w:noProof/>
              </w:rPr>
              <w:t>2296-15</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4949FB08"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36304723" w14:textId="77777777" w:rsidR="0057201B" w:rsidRPr="00AE3A84" w:rsidRDefault="0057201B">
            <w:pPr>
              <w:pStyle w:val="BodyText"/>
              <w:jc w:val="both"/>
              <w:rPr>
                <w:noProof/>
              </w:rPr>
            </w:pPr>
            <w:r w:rsidRPr="00AE3A84">
              <w:rPr>
                <w:noProof/>
              </w:rPr>
              <w:t>2015</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7525CC66" w14:textId="77777777" w:rsidR="0057201B" w:rsidRPr="00B51185" w:rsidRDefault="0057201B">
            <w:pPr>
              <w:pStyle w:val="BodyText"/>
              <w:rPr>
                <w:noProof/>
              </w:rPr>
            </w:pPr>
            <w:r w:rsidRPr="00B51185">
              <w:rPr>
                <w:noProof/>
              </w:rPr>
              <w:t>Astrid Janeth Muñeton Pulgarín, John Albert Muñetón Pulgarín, Luz Miryan Pulgarín Jaramillo, Martha Isabel Tamayo Gil et al.</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461F5838" w14:textId="4DBCBEE9" w:rsidR="0057201B" w:rsidRPr="00AE3A84" w:rsidRDefault="0057201B">
            <w:pPr>
              <w:pStyle w:val="BodyText"/>
              <w:jc w:val="both"/>
              <w:rPr>
                <w:noProof/>
              </w:rPr>
            </w:pPr>
            <w:r w:rsidRPr="00AE3A84">
              <w:rPr>
                <w:noProof/>
              </w:rPr>
              <w:t>Admissibility</w:t>
            </w:r>
          </w:p>
        </w:tc>
      </w:tr>
      <w:tr w:rsidR="0057201B" w:rsidRPr="00AE3A84" w14:paraId="18334B76" w14:textId="77777777" w:rsidTr="008B05A0">
        <w:trPr>
          <w:trHeight w:val="713"/>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74A1AE96" w14:textId="77777777" w:rsidR="0057201B" w:rsidRPr="00AE3A84" w:rsidRDefault="0057201B">
            <w:pPr>
              <w:pStyle w:val="BodyText"/>
              <w:jc w:val="center"/>
              <w:rPr>
                <w:noProof/>
              </w:rPr>
            </w:pPr>
            <w:r w:rsidRPr="00AE3A84">
              <w:rPr>
                <w:noProof/>
              </w:rPr>
              <w:t>21</w:t>
            </w:r>
          </w:p>
        </w:tc>
        <w:tc>
          <w:tcPr>
            <w:tcW w:w="1370" w:type="dxa"/>
            <w:tcBorders>
              <w:top w:val="single" w:sz="4" w:space="0" w:color="000000"/>
              <w:left w:val="nil"/>
              <w:bottom w:val="single" w:sz="4" w:space="0" w:color="000000"/>
              <w:right w:val="single" w:sz="4" w:space="0" w:color="000000"/>
            </w:tcBorders>
            <w:noWrap/>
            <w:vAlign w:val="center"/>
            <w:hideMark/>
          </w:tcPr>
          <w:p w14:paraId="79B3AC7F" w14:textId="77777777" w:rsidR="0057201B" w:rsidRPr="00AE3A84" w:rsidRDefault="0057201B">
            <w:pPr>
              <w:pStyle w:val="BodyText"/>
              <w:jc w:val="both"/>
              <w:rPr>
                <w:noProof/>
              </w:rPr>
            </w:pPr>
            <w:r w:rsidRPr="00AE3A84">
              <w:rPr>
                <w:noProof/>
              </w:rPr>
              <w:t>Colombia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7CED75A6" w14:textId="77777777" w:rsidR="0057201B" w:rsidRPr="00AE3A84" w:rsidRDefault="0057201B">
            <w:pPr>
              <w:pStyle w:val="BodyText"/>
              <w:jc w:val="both"/>
              <w:rPr>
                <w:noProof/>
              </w:rPr>
            </w:pPr>
            <w:r w:rsidRPr="00AE3A84">
              <w:rPr>
                <w:noProof/>
              </w:rPr>
              <w:t>1799-16</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3CC768B3"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49087D8F" w14:textId="77777777" w:rsidR="0057201B" w:rsidRPr="00AE3A84" w:rsidRDefault="0057201B">
            <w:pPr>
              <w:pStyle w:val="BodyText"/>
              <w:jc w:val="both"/>
              <w:rPr>
                <w:noProof/>
              </w:rPr>
            </w:pPr>
            <w:r w:rsidRPr="00AE3A84">
              <w:rPr>
                <w:noProof/>
              </w:rPr>
              <w:t>2016</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65C5AB51" w14:textId="77777777" w:rsidR="0057201B" w:rsidRPr="00AE3A84" w:rsidRDefault="0057201B">
            <w:pPr>
              <w:pStyle w:val="BodyText"/>
              <w:rPr>
                <w:noProof/>
                <w:lang w:val="es-US"/>
              </w:rPr>
            </w:pPr>
            <w:r w:rsidRPr="00AE3A84">
              <w:rPr>
                <w:noProof/>
                <w:lang w:val="es-US"/>
              </w:rPr>
              <w:t>Gilan Antonio Macías Hernández, Luis Alberto Macías Hernández</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6B4A307E" w14:textId="37CEF449" w:rsidR="0057201B" w:rsidRPr="00AE3A84" w:rsidRDefault="0057201B">
            <w:pPr>
              <w:pStyle w:val="BodyText"/>
              <w:jc w:val="both"/>
              <w:rPr>
                <w:noProof/>
              </w:rPr>
            </w:pPr>
            <w:r w:rsidRPr="00AE3A84">
              <w:rPr>
                <w:noProof/>
              </w:rPr>
              <w:t>Admissibility</w:t>
            </w:r>
          </w:p>
        </w:tc>
      </w:tr>
      <w:tr w:rsidR="0057201B" w:rsidRPr="00AE3A84" w14:paraId="41434474" w14:textId="77777777" w:rsidTr="008B05A0">
        <w:trPr>
          <w:trHeight w:val="380"/>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02E2A0BF" w14:textId="77777777" w:rsidR="0057201B" w:rsidRPr="00AE3A84" w:rsidRDefault="0057201B">
            <w:pPr>
              <w:pStyle w:val="BodyText"/>
              <w:jc w:val="center"/>
              <w:rPr>
                <w:noProof/>
              </w:rPr>
            </w:pPr>
            <w:r w:rsidRPr="00AE3A84">
              <w:rPr>
                <w:noProof/>
              </w:rPr>
              <w:t>22</w:t>
            </w:r>
          </w:p>
        </w:tc>
        <w:tc>
          <w:tcPr>
            <w:tcW w:w="1370" w:type="dxa"/>
            <w:tcBorders>
              <w:top w:val="single" w:sz="4" w:space="0" w:color="000000"/>
              <w:left w:val="nil"/>
              <w:bottom w:val="single" w:sz="4" w:space="0" w:color="000000"/>
              <w:right w:val="single" w:sz="4" w:space="0" w:color="000000"/>
            </w:tcBorders>
            <w:noWrap/>
            <w:vAlign w:val="center"/>
            <w:hideMark/>
          </w:tcPr>
          <w:p w14:paraId="4B3D7FAD" w14:textId="77777777" w:rsidR="0057201B" w:rsidRPr="00AE3A84" w:rsidRDefault="0057201B">
            <w:pPr>
              <w:pStyle w:val="BodyText"/>
              <w:jc w:val="both"/>
              <w:rPr>
                <w:noProof/>
              </w:rPr>
            </w:pPr>
            <w:r w:rsidRPr="00AE3A84">
              <w:rPr>
                <w:noProof/>
              </w:rPr>
              <w:t>Colombia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1157E3D9" w14:textId="77777777" w:rsidR="0057201B" w:rsidRPr="00AE3A84" w:rsidRDefault="0057201B">
            <w:pPr>
              <w:pStyle w:val="BodyText"/>
              <w:jc w:val="both"/>
              <w:rPr>
                <w:noProof/>
              </w:rPr>
            </w:pPr>
            <w:r w:rsidRPr="00AE3A84">
              <w:rPr>
                <w:noProof/>
              </w:rPr>
              <w:t>217-17</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73CCB7B2"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0FB02CE4" w14:textId="77777777" w:rsidR="0057201B" w:rsidRPr="00AE3A84" w:rsidRDefault="0057201B">
            <w:pPr>
              <w:pStyle w:val="BodyText"/>
              <w:jc w:val="both"/>
              <w:rPr>
                <w:noProof/>
              </w:rPr>
            </w:pPr>
            <w:r w:rsidRPr="00AE3A84">
              <w:rPr>
                <w:noProof/>
              </w:rPr>
              <w:t>2017</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74B6D8CD" w14:textId="77777777" w:rsidR="0057201B" w:rsidRPr="00AE3A84" w:rsidRDefault="0057201B">
            <w:pPr>
              <w:pStyle w:val="BodyText"/>
              <w:rPr>
                <w:noProof/>
              </w:rPr>
            </w:pPr>
            <w:r w:rsidRPr="00AE3A84">
              <w:rPr>
                <w:noProof/>
              </w:rPr>
              <w:t>Jesús Alberto Galvis Vargas</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25A83699" w14:textId="22739010" w:rsidR="0057201B" w:rsidRPr="00AE3A84" w:rsidRDefault="0057201B">
            <w:pPr>
              <w:pStyle w:val="BodyText"/>
              <w:jc w:val="both"/>
              <w:rPr>
                <w:noProof/>
              </w:rPr>
            </w:pPr>
            <w:r w:rsidRPr="00AE3A84">
              <w:rPr>
                <w:noProof/>
              </w:rPr>
              <w:t>Admissibility</w:t>
            </w:r>
          </w:p>
        </w:tc>
      </w:tr>
      <w:tr w:rsidR="0057201B" w:rsidRPr="00AE3A84" w14:paraId="4DE1B64E" w14:textId="77777777" w:rsidTr="003B2FDF">
        <w:trPr>
          <w:trHeight w:val="398"/>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4CA5EACF" w14:textId="77777777" w:rsidR="0057201B" w:rsidRPr="00AE3A84" w:rsidRDefault="0057201B">
            <w:pPr>
              <w:pStyle w:val="BodyText"/>
              <w:jc w:val="center"/>
              <w:rPr>
                <w:noProof/>
              </w:rPr>
            </w:pPr>
            <w:r w:rsidRPr="00AE3A84">
              <w:rPr>
                <w:noProof/>
              </w:rPr>
              <w:t>23</w:t>
            </w:r>
          </w:p>
        </w:tc>
        <w:tc>
          <w:tcPr>
            <w:tcW w:w="1370" w:type="dxa"/>
            <w:tcBorders>
              <w:top w:val="single" w:sz="4" w:space="0" w:color="000000"/>
              <w:left w:val="nil"/>
              <w:bottom w:val="single" w:sz="4" w:space="0" w:color="000000"/>
              <w:right w:val="single" w:sz="4" w:space="0" w:color="000000"/>
            </w:tcBorders>
            <w:noWrap/>
            <w:vAlign w:val="center"/>
            <w:hideMark/>
          </w:tcPr>
          <w:p w14:paraId="142DEAC8" w14:textId="77777777" w:rsidR="0057201B" w:rsidRPr="00AE3A84" w:rsidRDefault="0057201B">
            <w:pPr>
              <w:pStyle w:val="BodyText"/>
              <w:jc w:val="both"/>
              <w:rPr>
                <w:noProof/>
              </w:rPr>
            </w:pPr>
            <w:r w:rsidRPr="00AE3A84">
              <w:rPr>
                <w:noProof/>
              </w:rPr>
              <w:t>Colombia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4094BD7E" w14:textId="77777777" w:rsidR="0057201B" w:rsidRPr="00AE3A84" w:rsidRDefault="0057201B">
            <w:pPr>
              <w:pStyle w:val="BodyText"/>
              <w:jc w:val="both"/>
              <w:rPr>
                <w:noProof/>
              </w:rPr>
            </w:pPr>
            <w:r w:rsidRPr="00AE3A84">
              <w:rPr>
                <w:noProof/>
              </w:rPr>
              <w:t>508-17</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25366583"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32E12B28" w14:textId="77777777" w:rsidR="0057201B" w:rsidRPr="00AE3A84" w:rsidRDefault="0057201B">
            <w:pPr>
              <w:pStyle w:val="BodyText"/>
              <w:jc w:val="both"/>
              <w:rPr>
                <w:noProof/>
              </w:rPr>
            </w:pPr>
            <w:r w:rsidRPr="00AE3A84">
              <w:rPr>
                <w:noProof/>
              </w:rPr>
              <w:t>2017</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03416BD6" w14:textId="77777777" w:rsidR="0057201B" w:rsidRPr="00AE3A84" w:rsidRDefault="0057201B">
            <w:pPr>
              <w:pStyle w:val="BodyText"/>
              <w:rPr>
                <w:noProof/>
              </w:rPr>
            </w:pPr>
            <w:r w:rsidRPr="00AE3A84">
              <w:rPr>
                <w:noProof/>
              </w:rPr>
              <w:t>Evelia Trujillo González</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7FD29D19" w14:textId="7C13C504" w:rsidR="0057201B" w:rsidRPr="00AE3A84" w:rsidRDefault="0057201B">
            <w:pPr>
              <w:pStyle w:val="BodyText"/>
              <w:jc w:val="both"/>
              <w:rPr>
                <w:noProof/>
              </w:rPr>
            </w:pPr>
            <w:r w:rsidRPr="00AE3A84">
              <w:rPr>
                <w:noProof/>
              </w:rPr>
              <w:t>Admissibility</w:t>
            </w:r>
          </w:p>
        </w:tc>
      </w:tr>
      <w:tr w:rsidR="0057201B" w:rsidRPr="00AE3A84" w14:paraId="0F1D4240" w14:textId="77777777" w:rsidTr="000A7ED3">
        <w:trPr>
          <w:trHeight w:val="326"/>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671BA03B" w14:textId="77777777" w:rsidR="0057201B" w:rsidRPr="00AE3A84" w:rsidRDefault="0057201B">
            <w:pPr>
              <w:pStyle w:val="BodyText"/>
              <w:jc w:val="center"/>
              <w:rPr>
                <w:noProof/>
              </w:rPr>
            </w:pPr>
            <w:r w:rsidRPr="00AE3A84">
              <w:rPr>
                <w:noProof/>
              </w:rPr>
              <w:t>24</w:t>
            </w:r>
          </w:p>
        </w:tc>
        <w:tc>
          <w:tcPr>
            <w:tcW w:w="1370" w:type="dxa"/>
            <w:tcBorders>
              <w:top w:val="single" w:sz="4" w:space="0" w:color="000000"/>
              <w:left w:val="nil"/>
              <w:bottom w:val="single" w:sz="4" w:space="0" w:color="000000"/>
              <w:right w:val="single" w:sz="4" w:space="0" w:color="000000"/>
            </w:tcBorders>
            <w:noWrap/>
            <w:vAlign w:val="center"/>
            <w:hideMark/>
          </w:tcPr>
          <w:p w14:paraId="29DEE5BB" w14:textId="77777777" w:rsidR="0057201B" w:rsidRPr="00AE3A84" w:rsidRDefault="0057201B">
            <w:pPr>
              <w:pStyle w:val="BodyText"/>
              <w:jc w:val="both"/>
              <w:rPr>
                <w:noProof/>
              </w:rPr>
            </w:pPr>
            <w:r w:rsidRPr="00AE3A84">
              <w:rPr>
                <w:noProof/>
              </w:rPr>
              <w:t>Colombia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671FF8CB" w14:textId="77777777" w:rsidR="0057201B" w:rsidRPr="00AE3A84" w:rsidRDefault="0057201B">
            <w:pPr>
              <w:pStyle w:val="BodyText"/>
              <w:jc w:val="both"/>
              <w:rPr>
                <w:noProof/>
              </w:rPr>
            </w:pPr>
            <w:r w:rsidRPr="00AE3A84">
              <w:rPr>
                <w:noProof/>
              </w:rPr>
              <w:t>1521-17</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509876FC"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04198954" w14:textId="77777777" w:rsidR="0057201B" w:rsidRPr="00AE3A84" w:rsidRDefault="0057201B">
            <w:pPr>
              <w:pStyle w:val="BodyText"/>
              <w:jc w:val="both"/>
              <w:rPr>
                <w:noProof/>
              </w:rPr>
            </w:pPr>
            <w:r w:rsidRPr="00AE3A84">
              <w:rPr>
                <w:noProof/>
              </w:rPr>
              <w:t>2017</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62B5FE95" w14:textId="77777777" w:rsidR="0057201B" w:rsidRPr="00AE3A84" w:rsidRDefault="0057201B">
            <w:pPr>
              <w:pStyle w:val="BodyText"/>
              <w:rPr>
                <w:noProof/>
              </w:rPr>
            </w:pPr>
            <w:r w:rsidRPr="00AE3A84">
              <w:rPr>
                <w:noProof/>
              </w:rPr>
              <w:t>Jenny Alexandra Pinilla</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7AF47444" w14:textId="722DC780" w:rsidR="0057201B" w:rsidRPr="00AE3A84" w:rsidRDefault="0057201B">
            <w:pPr>
              <w:pStyle w:val="BodyText"/>
              <w:jc w:val="both"/>
              <w:rPr>
                <w:noProof/>
              </w:rPr>
            </w:pPr>
            <w:r w:rsidRPr="00AE3A84">
              <w:rPr>
                <w:noProof/>
              </w:rPr>
              <w:t>Admissibility</w:t>
            </w:r>
          </w:p>
        </w:tc>
      </w:tr>
      <w:tr w:rsidR="0057201B" w:rsidRPr="00AE3A84" w14:paraId="46FA34B4" w14:textId="77777777" w:rsidTr="008B05A0">
        <w:trPr>
          <w:trHeight w:val="443"/>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70835A4D" w14:textId="77777777" w:rsidR="0057201B" w:rsidRPr="00AE3A84" w:rsidRDefault="0057201B">
            <w:pPr>
              <w:pStyle w:val="BodyText"/>
              <w:jc w:val="center"/>
              <w:rPr>
                <w:noProof/>
              </w:rPr>
            </w:pPr>
            <w:r w:rsidRPr="00AE3A84">
              <w:rPr>
                <w:noProof/>
              </w:rPr>
              <w:t>25</w:t>
            </w:r>
          </w:p>
        </w:tc>
        <w:tc>
          <w:tcPr>
            <w:tcW w:w="1370" w:type="dxa"/>
            <w:tcBorders>
              <w:top w:val="single" w:sz="4" w:space="0" w:color="000000"/>
              <w:left w:val="nil"/>
              <w:bottom w:val="single" w:sz="4" w:space="0" w:color="000000"/>
              <w:right w:val="single" w:sz="4" w:space="0" w:color="000000"/>
            </w:tcBorders>
            <w:noWrap/>
            <w:vAlign w:val="center"/>
            <w:hideMark/>
          </w:tcPr>
          <w:p w14:paraId="7A2C3FFE" w14:textId="77777777" w:rsidR="0057201B" w:rsidRPr="00AE3A84" w:rsidRDefault="0057201B">
            <w:pPr>
              <w:pStyle w:val="BodyText"/>
              <w:jc w:val="both"/>
              <w:rPr>
                <w:noProof/>
              </w:rPr>
            </w:pPr>
            <w:r w:rsidRPr="00AE3A84">
              <w:rPr>
                <w:noProof/>
              </w:rPr>
              <w:t>Colombia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0E9FF594" w14:textId="77777777" w:rsidR="0057201B" w:rsidRPr="00AE3A84" w:rsidRDefault="0057201B">
            <w:pPr>
              <w:pStyle w:val="BodyText"/>
              <w:jc w:val="both"/>
              <w:rPr>
                <w:noProof/>
              </w:rPr>
            </w:pPr>
            <w:r w:rsidRPr="00AE3A84">
              <w:rPr>
                <w:noProof/>
              </w:rPr>
              <w:t>1172-11</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299CDD73" w14:textId="77777777" w:rsidR="0057201B" w:rsidRPr="00AE3A84" w:rsidRDefault="0057201B">
            <w:pPr>
              <w:pStyle w:val="BodyText"/>
              <w:jc w:val="both"/>
              <w:rPr>
                <w:noProof/>
              </w:rPr>
            </w:pPr>
            <w:r w:rsidRPr="00AE3A84">
              <w:rPr>
                <w:noProof/>
              </w:rPr>
              <w:t>14.327</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01E83E7A" w14:textId="77777777" w:rsidR="0057201B" w:rsidRPr="00AE3A84" w:rsidRDefault="0057201B">
            <w:pPr>
              <w:pStyle w:val="BodyText"/>
              <w:jc w:val="both"/>
              <w:rPr>
                <w:noProof/>
              </w:rPr>
            </w:pPr>
            <w:r w:rsidRPr="00AE3A84">
              <w:rPr>
                <w:noProof/>
              </w:rPr>
              <w:t>2011</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45B17C8D" w14:textId="77777777" w:rsidR="0057201B" w:rsidRPr="00AE3A84" w:rsidRDefault="0057201B">
            <w:pPr>
              <w:pStyle w:val="BodyText"/>
              <w:rPr>
                <w:noProof/>
                <w:lang w:val="es-US"/>
              </w:rPr>
            </w:pPr>
            <w:r w:rsidRPr="00AE3A84">
              <w:rPr>
                <w:noProof/>
                <w:lang w:val="es-US"/>
              </w:rPr>
              <w:t xml:space="preserve">Juan Evangelista Ascencio Fonseca </w:t>
            </w:r>
            <w:r>
              <w:rPr>
                <w:noProof/>
                <w:lang w:val="es-US"/>
              </w:rPr>
              <w:t>and Relatives</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450409D6" w14:textId="26217061" w:rsidR="0057201B" w:rsidRPr="00AE3A84" w:rsidRDefault="0057201B">
            <w:pPr>
              <w:pStyle w:val="BodyText"/>
              <w:jc w:val="both"/>
              <w:rPr>
                <w:noProof/>
              </w:rPr>
            </w:pPr>
            <w:r w:rsidRPr="00AE3A84">
              <w:rPr>
                <w:noProof/>
              </w:rPr>
              <w:t>Merits</w:t>
            </w:r>
          </w:p>
        </w:tc>
      </w:tr>
      <w:tr w:rsidR="0057201B" w:rsidRPr="00AE3A84" w14:paraId="4A02734F" w14:textId="77777777" w:rsidTr="000A7ED3">
        <w:trPr>
          <w:trHeight w:val="344"/>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07C4AEB1" w14:textId="77777777" w:rsidR="0057201B" w:rsidRPr="00AE3A84" w:rsidRDefault="0057201B">
            <w:pPr>
              <w:pStyle w:val="BodyText"/>
              <w:jc w:val="center"/>
              <w:rPr>
                <w:noProof/>
              </w:rPr>
            </w:pPr>
            <w:r w:rsidRPr="00AE3A84">
              <w:rPr>
                <w:noProof/>
              </w:rPr>
              <w:t>26</w:t>
            </w:r>
          </w:p>
        </w:tc>
        <w:tc>
          <w:tcPr>
            <w:tcW w:w="1370" w:type="dxa"/>
            <w:tcBorders>
              <w:top w:val="single" w:sz="4" w:space="0" w:color="000000"/>
              <w:left w:val="nil"/>
              <w:bottom w:val="single" w:sz="4" w:space="0" w:color="000000"/>
              <w:right w:val="single" w:sz="4" w:space="0" w:color="000000"/>
            </w:tcBorders>
            <w:noWrap/>
            <w:vAlign w:val="center"/>
            <w:hideMark/>
          </w:tcPr>
          <w:p w14:paraId="1F6E72DA" w14:textId="77777777" w:rsidR="0057201B" w:rsidRPr="00AE3A84" w:rsidRDefault="0057201B">
            <w:pPr>
              <w:pStyle w:val="BodyText"/>
              <w:jc w:val="both"/>
              <w:rPr>
                <w:noProof/>
              </w:rPr>
            </w:pPr>
            <w:r w:rsidRPr="00AE3A84">
              <w:rPr>
                <w:noProof/>
              </w:rPr>
              <w:t>Costa Rica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6B38D1A9" w14:textId="77777777" w:rsidR="0057201B" w:rsidRPr="00AE3A84" w:rsidRDefault="0057201B">
            <w:pPr>
              <w:pStyle w:val="BodyText"/>
              <w:jc w:val="both"/>
              <w:rPr>
                <w:noProof/>
              </w:rPr>
            </w:pPr>
            <w:r w:rsidRPr="00AE3A84">
              <w:rPr>
                <w:noProof/>
              </w:rPr>
              <w:t>285-08</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7DD030A2"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36E6BAF3" w14:textId="77777777" w:rsidR="0057201B" w:rsidRPr="00AE3A84" w:rsidRDefault="0057201B">
            <w:pPr>
              <w:pStyle w:val="BodyText"/>
              <w:jc w:val="both"/>
              <w:rPr>
                <w:noProof/>
              </w:rPr>
            </w:pPr>
            <w:r w:rsidRPr="00AE3A84">
              <w:rPr>
                <w:noProof/>
              </w:rPr>
              <w:t>2008</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4C9EDF1B" w14:textId="77777777" w:rsidR="0057201B" w:rsidRPr="00AE3A84" w:rsidRDefault="0057201B">
            <w:pPr>
              <w:pStyle w:val="BodyText"/>
              <w:rPr>
                <w:noProof/>
              </w:rPr>
            </w:pPr>
            <w:r w:rsidRPr="00AE3A84">
              <w:rPr>
                <w:noProof/>
              </w:rPr>
              <w:t>Orlando Corrales Corrales</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05E1FF0E" w14:textId="3360E68D" w:rsidR="0057201B" w:rsidRPr="00AE3A84" w:rsidRDefault="0057201B">
            <w:pPr>
              <w:pStyle w:val="BodyText"/>
              <w:jc w:val="both"/>
              <w:rPr>
                <w:noProof/>
              </w:rPr>
            </w:pPr>
            <w:r w:rsidRPr="00AE3A84">
              <w:rPr>
                <w:noProof/>
              </w:rPr>
              <w:t>Admissibility</w:t>
            </w:r>
          </w:p>
        </w:tc>
      </w:tr>
      <w:tr w:rsidR="0057201B" w:rsidRPr="00AE3A84" w14:paraId="02E94FE2" w14:textId="77777777" w:rsidTr="008B05A0">
        <w:trPr>
          <w:trHeight w:val="1028"/>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5B0E7284" w14:textId="77777777" w:rsidR="0057201B" w:rsidRPr="00AE3A84" w:rsidRDefault="0057201B">
            <w:pPr>
              <w:pStyle w:val="BodyText"/>
              <w:jc w:val="center"/>
              <w:rPr>
                <w:noProof/>
              </w:rPr>
            </w:pPr>
            <w:r w:rsidRPr="00AE3A84">
              <w:rPr>
                <w:noProof/>
              </w:rPr>
              <w:lastRenderedPageBreak/>
              <w:t>27</w:t>
            </w:r>
          </w:p>
        </w:tc>
        <w:tc>
          <w:tcPr>
            <w:tcW w:w="1370" w:type="dxa"/>
            <w:tcBorders>
              <w:top w:val="single" w:sz="4" w:space="0" w:color="000000"/>
              <w:left w:val="nil"/>
              <w:bottom w:val="single" w:sz="4" w:space="0" w:color="000000"/>
              <w:right w:val="single" w:sz="4" w:space="0" w:color="000000"/>
            </w:tcBorders>
            <w:noWrap/>
            <w:vAlign w:val="center"/>
            <w:hideMark/>
          </w:tcPr>
          <w:p w14:paraId="544C2378" w14:textId="77777777" w:rsidR="0057201B" w:rsidRPr="00AE3A84" w:rsidRDefault="0057201B">
            <w:pPr>
              <w:pStyle w:val="BodyText"/>
              <w:jc w:val="both"/>
              <w:rPr>
                <w:noProof/>
              </w:rPr>
            </w:pPr>
            <w:r w:rsidRPr="00AE3A84">
              <w:rPr>
                <w:noProof/>
              </w:rPr>
              <w:t>Costa Rica</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07F9938E" w14:textId="77777777" w:rsidR="0057201B" w:rsidRPr="00AE3A84" w:rsidRDefault="0057201B">
            <w:pPr>
              <w:pStyle w:val="BodyText"/>
              <w:jc w:val="both"/>
              <w:rPr>
                <w:noProof/>
              </w:rPr>
            </w:pPr>
            <w:r w:rsidRPr="00AE3A84">
              <w:rPr>
                <w:noProof/>
              </w:rPr>
              <w:t>995-08</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0C9E63B7"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33640EA4" w14:textId="77777777" w:rsidR="0057201B" w:rsidRPr="00AE3A84" w:rsidRDefault="0057201B">
            <w:pPr>
              <w:pStyle w:val="BodyText"/>
              <w:jc w:val="both"/>
              <w:rPr>
                <w:noProof/>
              </w:rPr>
            </w:pPr>
            <w:r w:rsidRPr="00AE3A84">
              <w:rPr>
                <w:noProof/>
              </w:rPr>
              <w:t>2008</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20927508" w14:textId="77777777" w:rsidR="0057201B" w:rsidRPr="00AE3A84" w:rsidRDefault="0057201B">
            <w:pPr>
              <w:pStyle w:val="BodyText"/>
              <w:rPr>
                <w:noProof/>
                <w:lang w:val="es-US"/>
              </w:rPr>
            </w:pPr>
            <w:r w:rsidRPr="00AE3A84">
              <w:rPr>
                <w:noProof/>
                <w:lang w:val="es-US"/>
              </w:rPr>
              <w:t>Garrett Kawika Gora, Heriberto Hidalgo Segura, José Tomás Guevara Calderón, Marco Vinicio Picado Gonzalez</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2DA08A60" w14:textId="7D49B3F2" w:rsidR="0057201B" w:rsidRPr="00AE3A84" w:rsidRDefault="0057201B">
            <w:pPr>
              <w:pStyle w:val="BodyText"/>
              <w:jc w:val="both"/>
              <w:rPr>
                <w:noProof/>
              </w:rPr>
            </w:pPr>
            <w:r w:rsidRPr="00AE3A84">
              <w:rPr>
                <w:noProof/>
              </w:rPr>
              <w:t>Admissibility</w:t>
            </w:r>
          </w:p>
        </w:tc>
      </w:tr>
      <w:tr w:rsidR="0057201B" w:rsidRPr="00AE3A84" w14:paraId="3C213DD2" w14:textId="77777777" w:rsidTr="008B05A0">
        <w:trPr>
          <w:trHeight w:val="61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4BAA3DC2" w14:textId="77777777" w:rsidR="0057201B" w:rsidRPr="00AE3A84" w:rsidRDefault="0057201B">
            <w:pPr>
              <w:pStyle w:val="BodyText"/>
              <w:jc w:val="center"/>
              <w:rPr>
                <w:noProof/>
              </w:rPr>
            </w:pPr>
            <w:r w:rsidRPr="00AE3A84">
              <w:rPr>
                <w:noProof/>
              </w:rPr>
              <w:t>28</w:t>
            </w:r>
          </w:p>
        </w:tc>
        <w:tc>
          <w:tcPr>
            <w:tcW w:w="1370" w:type="dxa"/>
            <w:tcBorders>
              <w:top w:val="single" w:sz="4" w:space="0" w:color="000000"/>
              <w:left w:val="nil"/>
              <w:bottom w:val="single" w:sz="4" w:space="0" w:color="000000"/>
              <w:right w:val="single" w:sz="4" w:space="0" w:color="000000"/>
            </w:tcBorders>
            <w:noWrap/>
            <w:vAlign w:val="center"/>
            <w:hideMark/>
          </w:tcPr>
          <w:p w14:paraId="5D101F35" w14:textId="77777777" w:rsidR="0057201B" w:rsidRPr="00AE3A84" w:rsidRDefault="0057201B">
            <w:pPr>
              <w:pStyle w:val="BodyText"/>
              <w:jc w:val="both"/>
              <w:rPr>
                <w:noProof/>
              </w:rPr>
            </w:pPr>
            <w:r w:rsidRPr="00AE3A84">
              <w:rPr>
                <w:noProof/>
              </w:rPr>
              <w:t>Costa Rica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4E8A1C07" w14:textId="77777777" w:rsidR="0057201B" w:rsidRPr="00AE3A84" w:rsidRDefault="0057201B">
            <w:pPr>
              <w:pStyle w:val="BodyText"/>
              <w:jc w:val="both"/>
              <w:rPr>
                <w:noProof/>
              </w:rPr>
            </w:pPr>
            <w:r w:rsidRPr="00AE3A84">
              <w:rPr>
                <w:noProof/>
              </w:rPr>
              <w:t>1882-13</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23622857"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07B24562" w14:textId="77777777" w:rsidR="0057201B" w:rsidRPr="00AE3A84" w:rsidRDefault="0057201B">
            <w:pPr>
              <w:pStyle w:val="BodyText"/>
              <w:jc w:val="both"/>
              <w:rPr>
                <w:noProof/>
              </w:rPr>
            </w:pPr>
            <w:r w:rsidRPr="00AE3A84">
              <w:rPr>
                <w:noProof/>
              </w:rPr>
              <w:t>2013</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5D1C87C8" w14:textId="77777777" w:rsidR="0057201B" w:rsidRPr="00AE3A84" w:rsidRDefault="0057201B">
            <w:pPr>
              <w:pStyle w:val="BodyText"/>
              <w:rPr>
                <w:noProof/>
              </w:rPr>
            </w:pPr>
            <w:r w:rsidRPr="00AE3A84">
              <w:rPr>
                <w:noProof/>
              </w:rPr>
              <w:t>Oscar Gerardo Ramirez Jimenez</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2A91F2ED" w14:textId="31C06BC7" w:rsidR="0057201B" w:rsidRPr="00AE3A84" w:rsidRDefault="0057201B">
            <w:pPr>
              <w:pStyle w:val="BodyText"/>
              <w:jc w:val="both"/>
              <w:rPr>
                <w:noProof/>
              </w:rPr>
            </w:pPr>
            <w:r w:rsidRPr="00AE3A84">
              <w:rPr>
                <w:noProof/>
              </w:rPr>
              <w:t>Admissibility</w:t>
            </w:r>
          </w:p>
        </w:tc>
      </w:tr>
      <w:tr w:rsidR="0057201B" w:rsidRPr="00AE3A84" w14:paraId="0D1E53A9" w14:textId="77777777" w:rsidTr="000A7ED3">
        <w:trPr>
          <w:trHeight w:val="524"/>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624D8551" w14:textId="77777777" w:rsidR="0057201B" w:rsidRPr="00AE3A84" w:rsidRDefault="0057201B">
            <w:pPr>
              <w:pStyle w:val="BodyText"/>
              <w:jc w:val="center"/>
              <w:rPr>
                <w:noProof/>
              </w:rPr>
            </w:pPr>
            <w:r w:rsidRPr="00AE3A84">
              <w:rPr>
                <w:noProof/>
              </w:rPr>
              <w:t>29</w:t>
            </w:r>
          </w:p>
        </w:tc>
        <w:tc>
          <w:tcPr>
            <w:tcW w:w="1370" w:type="dxa"/>
            <w:tcBorders>
              <w:top w:val="single" w:sz="4" w:space="0" w:color="000000"/>
              <w:left w:val="nil"/>
              <w:bottom w:val="single" w:sz="4" w:space="0" w:color="000000"/>
              <w:right w:val="single" w:sz="4" w:space="0" w:color="000000"/>
            </w:tcBorders>
            <w:noWrap/>
            <w:vAlign w:val="center"/>
            <w:hideMark/>
          </w:tcPr>
          <w:p w14:paraId="53006112" w14:textId="77777777" w:rsidR="0057201B" w:rsidRPr="00AE3A84" w:rsidRDefault="0057201B">
            <w:pPr>
              <w:pStyle w:val="BodyText"/>
              <w:jc w:val="both"/>
              <w:rPr>
                <w:noProof/>
              </w:rPr>
            </w:pPr>
            <w:r w:rsidRPr="00AE3A84">
              <w:rPr>
                <w:noProof/>
              </w:rPr>
              <w:t>Costa Rica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5098D7EA" w14:textId="77777777" w:rsidR="0057201B" w:rsidRPr="00AE3A84" w:rsidRDefault="0057201B">
            <w:pPr>
              <w:pStyle w:val="BodyText"/>
              <w:jc w:val="both"/>
              <w:rPr>
                <w:noProof/>
              </w:rPr>
            </w:pPr>
            <w:r w:rsidRPr="00AE3A84">
              <w:rPr>
                <w:noProof/>
              </w:rPr>
              <w:t>746-17</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12A006D3"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203285D3" w14:textId="77777777" w:rsidR="0057201B" w:rsidRPr="00AE3A84" w:rsidRDefault="0057201B">
            <w:pPr>
              <w:pStyle w:val="BodyText"/>
              <w:jc w:val="both"/>
              <w:rPr>
                <w:noProof/>
              </w:rPr>
            </w:pPr>
            <w:r w:rsidRPr="00AE3A84">
              <w:rPr>
                <w:noProof/>
              </w:rPr>
              <w:t>2017</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4D44B9D5" w14:textId="77777777" w:rsidR="0057201B" w:rsidRPr="00AE3A84" w:rsidRDefault="0057201B">
            <w:pPr>
              <w:pStyle w:val="BodyText"/>
              <w:rPr>
                <w:noProof/>
              </w:rPr>
            </w:pPr>
            <w:r w:rsidRPr="00AE3A84">
              <w:rPr>
                <w:noProof/>
              </w:rPr>
              <w:t>José Francisco Alfaro Carvajal</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6099F379" w14:textId="42F9AB5A" w:rsidR="0057201B" w:rsidRPr="00AE3A84" w:rsidRDefault="0057201B">
            <w:pPr>
              <w:pStyle w:val="BodyText"/>
              <w:jc w:val="both"/>
              <w:rPr>
                <w:noProof/>
              </w:rPr>
            </w:pPr>
            <w:r w:rsidRPr="00AE3A84">
              <w:rPr>
                <w:noProof/>
              </w:rPr>
              <w:t>Admissibility</w:t>
            </w:r>
          </w:p>
        </w:tc>
      </w:tr>
      <w:tr w:rsidR="0057201B" w:rsidRPr="00AE3A84" w14:paraId="0D00DF50" w14:textId="77777777" w:rsidTr="008B05A0">
        <w:trPr>
          <w:trHeight w:val="61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5F7C20AE" w14:textId="77777777" w:rsidR="0057201B" w:rsidRPr="00AE3A84" w:rsidRDefault="0057201B">
            <w:pPr>
              <w:pStyle w:val="BodyText"/>
              <w:jc w:val="center"/>
              <w:rPr>
                <w:noProof/>
              </w:rPr>
            </w:pPr>
            <w:r w:rsidRPr="00AE3A84">
              <w:rPr>
                <w:noProof/>
              </w:rPr>
              <w:t>30</w:t>
            </w:r>
          </w:p>
        </w:tc>
        <w:tc>
          <w:tcPr>
            <w:tcW w:w="1370" w:type="dxa"/>
            <w:tcBorders>
              <w:top w:val="single" w:sz="4" w:space="0" w:color="000000"/>
              <w:left w:val="nil"/>
              <w:bottom w:val="single" w:sz="4" w:space="0" w:color="000000"/>
              <w:right w:val="single" w:sz="4" w:space="0" w:color="000000"/>
            </w:tcBorders>
            <w:noWrap/>
            <w:vAlign w:val="center"/>
            <w:hideMark/>
          </w:tcPr>
          <w:p w14:paraId="37FEAC72" w14:textId="77777777" w:rsidR="0057201B" w:rsidRPr="00AE3A84" w:rsidRDefault="0057201B">
            <w:pPr>
              <w:pStyle w:val="BodyText"/>
              <w:jc w:val="both"/>
              <w:rPr>
                <w:noProof/>
              </w:rPr>
            </w:pPr>
            <w:r w:rsidRPr="00AE3A84">
              <w:rPr>
                <w:noProof/>
              </w:rPr>
              <w:t>Costa Rica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402A6735" w14:textId="77777777" w:rsidR="0057201B" w:rsidRPr="00AE3A84" w:rsidRDefault="0057201B">
            <w:pPr>
              <w:pStyle w:val="BodyText"/>
              <w:jc w:val="both"/>
              <w:rPr>
                <w:noProof/>
              </w:rPr>
            </w:pPr>
            <w:r w:rsidRPr="00AE3A84">
              <w:rPr>
                <w:noProof/>
              </w:rPr>
              <w:t>626-18</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35C63545"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0FF669D1" w14:textId="77777777" w:rsidR="0057201B" w:rsidRPr="00AE3A84" w:rsidRDefault="0057201B">
            <w:pPr>
              <w:pStyle w:val="BodyText"/>
              <w:jc w:val="both"/>
              <w:rPr>
                <w:noProof/>
              </w:rPr>
            </w:pPr>
            <w:r w:rsidRPr="00AE3A84">
              <w:rPr>
                <w:noProof/>
              </w:rPr>
              <w:t>2018</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7B4630EB" w14:textId="77777777" w:rsidR="0057201B" w:rsidRPr="00AE3A84" w:rsidRDefault="0057201B">
            <w:pPr>
              <w:pStyle w:val="BodyText"/>
              <w:rPr>
                <w:noProof/>
              </w:rPr>
            </w:pPr>
            <w:r w:rsidRPr="00AE3A84">
              <w:rPr>
                <w:noProof/>
              </w:rPr>
              <w:t>Matthew Ng Tse</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4ECF97D6" w14:textId="5A49DF9D" w:rsidR="0057201B" w:rsidRPr="00AE3A84" w:rsidRDefault="0057201B">
            <w:pPr>
              <w:pStyle w:val="BodyText"/>
              <w:jc w:val="both"/>
              <w:rPr>
                <w:noProof/>
              </w:rPr>
            </w:pPr>
            <w:r w:rsidRPr="00AE3A84">
              <w:rPr>
                <w:noProof/>
              </w:rPr>
              <w:t>Admissibility</w:t>
            </w:r>
          </w:p>
        </w:tc>
      </w:tr>
      <w:tr w:rsidR="0057201B" w:rsidRPr="00AE3A84" w14:paraId="0808DC53" w14:textId="77777777" w:rsidTr="00F86D48">
        <w:trPr>
          <w:trHeight w:val="488"/>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7583A91F" w14:textId="77777777" w:rsidR="0057201B" w:rsidRPr="00AE3A84" w:rsidRDefault="0057201B">
            <w:pPr>
              <w:pStyle w:val="BodyText"/>
              <w:jc w:val="center"/>
              <w:rPr>
                <w:noProof/>
              </w:rPr>
            </w:pPr>
            <w:r w:rsidRPr="00AE3A84">
              <w:rPr>
                <w:noProof/>
              </w:rPr>
              <w:t>31</w:t>
            </w:r>
          </w:p>
        </w:tc>
        <w:tc>
          <w:tcPr>
            <w:tcW w:w="1370" w:type="dxa"/>
            <w:tcBorders>
              <w:top w:val="single" w:sz="4" w:space="0" w:color="000000"/>
              <w:left w:val="nil"/>
              <w:bottom w:val="single" w:sz="4" w:space="0" w:color="000000"/>
              <w:right w:val="single" w:sz="4" w:space="0" w:color="000000"/>
            </w:tcBorders>
            <w:noWrap/>
            <w:vAlign w:val="center"/>
            <w:hideMark/>
          </w:tcPr>
          <w:p w14:paraId="56FBF8C8" w14:textId="77777777" w:rsidR="0057201B" w:rsidRPr="00AE3A84" w:rsidRDefault="0057201B">
            <w:pPr>
              <w:pStyle w:val="BodyText"/>
              <w:jc w:val="both"/>
              <w:rPr>
                <w:noProof/>
              </w:rPr>
            </w:pPr>
            <w:r w:rsidRPr="00AE3A84">
              <w:rPr>
                <w:noProof/>
              </w:rPr>
              <w:t>Costa Rica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1B83E780" w14:textId="77777777" w:rsidR="0057201B" w:rsidRPr="00AE3A84" w:rsidRDefault="0057201B">
            <w:pPr>
              <w:pStyle w:val="BodyText"/>
              <w:jc w:val="both"/>
              <w:rPr>
                <w:noProof/>
              </w:rPr>
            </w:pPr>
            <w:r w:rsidRPr="00AE3A84">
              <w:rPr>
                <w:noProof/>
              </w:rPr>
              <w:t>1164-04</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2E54E0FC" w14:textId="77777777" w:rsidR="0057201B" w:rsidRPr="00AE3A84" w:rsidRDefault="0057201B">
            <w:pPr>
              <w:pStyle w:val="BodyText"/>
              <w:jc w:val="both"/>
              <w:rPr>
                <w:noProof/>
              </w:rPr>
            </w:pPr>
            <w:r w:rsidRPr="00AE3A84">
              <w:rPr>
                <w:noProof/>
              </w:rPr>
              <w:t>13.693</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0947E1F7" w14:textId="77777777" w:rsidR="0057201B" w:rsidRPr="00AE3A84" w:rsidRDefault="0057201B">
            <w:pPr>
              <w:pStyle w:val="BodyText"/>
              <w:jc w:val="both"/>
              <w:rPr>
                <w:noProof/>
              </w:rPr>
            </w:pPr>
            <w:r w:rsidRPr="00AE3A84">
              <w:rPr>
                <w:noProof/>
              </w:rPr>
              <w:t>2004</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25B47FF9" w14:textId="77777777" w:rsidR="0057201B" w:rsidRPr="00AE3A84" w:rsidRDefault="0057201B">
            <w:pPr>
              <w:pStyle w:val="BodyText"/>
              <w:rPr>
                <w:noProof/>
              </w:rPr>
            </w:pPr>
            <w:r w:rsidRPr="00AE3A84">
              <w:rPr>
                <w:noProof/>
              </w:rPr>
              <w:t>Luis Esteban Medina Medina</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189E32A0" w14:textId="2B24FD45" w:rsidR="0057201B" w:rsidRPr="00AE3A84" w:rsidRDefault="0057201B">
            <w:pPr>
              <w:pStyle w:val="BodyText"/>
              <w:jc w:val="both"/>
              <w:rPr>
                <w:noProof/>
              </w:rPr>
            </w:pPr>
            <w:r w:rsidRPr="00AE3A84">
              <w:rPr>
                <w:noProof/>
              </w:rPr>
              <w:t>Merits</w:t>
            </w:r>
          </w:p>
        </w:tc>
      </w:tr>
      <w:tr w:rsidR="0057201B" w:rsidRPr="00AE3A84" w14:paraId="0AEAD98B" w14:textId="77777777" w:rsidTr="00F86D48">
        <w:trPr>
          <w:trHeight w:val="317"/>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56F91878" w14:textId="77777777" w:rsidR="0057201B" w:rsidRPr="00AE3A84" w:rsidRDefault="0057201B">
            <w:pPr>
              <w:pStyle w:val="BodyText"/>
              <w:jc w:val="center"/>
              <w:rPr>
                <w:noProof/>
              </w:rPr>
            </w:pPr>
            <w:r w:rsidRPr="00AE3A84">
              <w:rPr>
                <w:noProof/>
              </w:rPr>
              <w:t>32</w:t>
            </w:r>
          </w:p>
        </w:tc>
        <w:tc>
          <w:tcPr>
            <w:tcW w:w="1370" w:type="dxa"/>
            <w:tcBorders>
              <w:top w:val="single" w:sz="4" w:space="0" w:color="000000"/>
              <w:left w:val="nil"/>
              <w:bottom w:val="single" w:sz="4" w:space="0" w:color="000000"/>
              <w:right w:val="single" w:sz="4" w:space="0" w:color="000000"/>
            </w:tcBorders>
            <w:noWrap/>
            <w:vAlign w:val="center"/>
            <w:hideMark/>
          </w:tcPr>
          <w:p w14:paraId="2D2C95E7" w14:textId="77777777" w:rsidR="0057201B" w:rsidRPr="00AE3A84" w:rsidRDefault="0057201B">
            <w:pPr>
              <w:pStyle w:val="BodyText"/>
              <w:jc w:val="both"/>
              <w:rPr>
                <w:noProof/>
              </w:rPr>
            </w:pPr>
            <w:r w:rsidRPr="00AE3A84">
              <w:rPr>
                <w:noProof/>
              </w:rPr>
              <w:t>Cuba</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227F7E62" w14:textId="77777777" w:rsidR="0057201B" w:rsidRPr="00AE3A84" w:rsidRDefault="0057201B">
            <w:pPr>
              <w:pStyle w:val="BodyText"/>
              <w:jc w:val="both"/>
              <w:rPr>
                <w:noProof/>
              </w:rPr>
            </w:pPr>
            <w:r w:rsidRPr="00AE3A84">
              <w:rPr>
                <w:noProof/>
              </w:rPr>
              <w:t>3010-18</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102049AD" w14:textId="77777777" w:rsidR="0057201B" w:rsidRPr="00AE3A84" w:rsidRDefault="0057201B">
            <w:pPr>
              <w:pStyle w:val="BodyText"/>
              <w:jc w:val="both"/>
              <w:rPr>
                <w:noProof/>
              </w:rPr>
            </w:pPr>
            <w:r w:rsidRPr="00AE3A84">
              <w:rPr>
                <w:noProof/>
              </w:rPr>
              <w:t>14.277</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41B71DAE" w14:textId="77777777" w:rsidR="0057201B" w:rsidRPr="00AE3A84" w:rsidRDefault="0057201B">
            <w:pPr>
              <w:pStyle w:val="BodyText"/>
              <w:jc w:val="both"/>
              <w:rPr>
                <w:noProof/>
              </w:rPr>
            </w:pPr>
            <w:r w:rsidRPr="00AE3A84">
              <w:rPr>
                <w:noProof/>
              </w:rPr>
              <w:t>2018</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28FA8004" w14:textId="77777777" w:rsidR="0057201B" w:rsidRPr="00AE3A84" w:rsidRDefault="0057201B">
            <w:pPr>
              <w:pStyle w:val="BodyText"/>
              <w:rPr>
                <w:noProof/>
              </w:rPr>
            </w:pPr>
            <w:r w:rsidRPr="00AE3A84">
              <w:rPr>
                <w:noProof/>
              </w:rPr>
              <w:t xml:space="preserve">Alain Toledano </w:t>
            </w:r>
            <w:r>
              <w:rPr>
                <w:noProof/>
              </w:rPr>
              <w:t>et al.</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2D0DF132" w14:textId="50D58166" w:rsidR="0057201B" w:rsidRPr="00AE3A84" w:rsidRDefault="0057201B">
            <w:pPr>
              <w:pStyle w:val="BodyText"/>
              <w:jc w:val="both"/>
              <w:rPr>
                <w:noProof/>
              </w:rPr>
            </w:pPr>
            <w:r w:rsidRPr="00AE3A84">
              <w:rPr>
                <w:noProof/>
              </w:rPr>
              <w:t>Merits</w:t>
            </w:r>
          </w:p>
        </w:tc>
      </w:tr>
      <w:tr w:rsidR="0057201B" w:rsidRPr="00AE3A84" w14:paraId="29D14AFD" w14:textId="77777777" w:rsidTr="00BE6617">
        <w:trPr>
          <w:trHeight w:val="326"/>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6EA85CD2" w14:textId="77777777" w:rsidR="0057201B" w:rsidRPr="00AE3A84" w:rsidRDefault="0057201B">
            <w:pPr>
              <w:pStyle w:val="BodyText"/>
              <w:jc w:val="center"/>
              <w:rPr>
                <w:noProof/>
              </w:rPr>
            </w:pPr>
            <w:r w:rsidRPr="00AE3A84">
              <w:rPr>
                <w:noProof/>
              </w:rPr>
              <w:t>33</w:t>
            </w:r>
          </w:p>
        </w:tc>
        <w:tc>
          <w:tcPr>
            <w:tcW w:w="1370" w:type="dxa"/>
            <w:tcBorders>
              <w:top w:val="single" w:sz="4" w:space="0" w:color="000000"/>
              <w:left w:val="nil"/>
              <w:bottom w:val="single" w:sz="4" w:space="0" w:color="000000"/>
              <w:right w:val="single" w:sz="4" w:space="0" w:color="000000"/>
            </w:tcBorders>
            <w:noWrap/>
            <w:vAlign w:val="center"/>
            <w:hideMark/>
          </w:tcPr>
          <w:p w14:paraId="4BFDCE63" w14:textId="77777777" w:rsidR="0057201B" w:rsidRPr="00AE3A84" w:rsidRDefault="0057201B">
            <w:pPr>
              <w:pStyle w:val="BodyText"/>
              <w:jc w:val="both"/>
              <w:rPr>
                <w:noProof/>
              </w:rPr>
            </w:pPr>
            <w:r w:rsidRPr="00AE3A84">
              <w:rPr>
                <w:noProof/>
              </w:rPr>
              <w:t>Ecuador</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62E38D98" w14:textId="77777777" w:rsidR="0057201B" w:rsidRPr="00AE3A84" w:rsidRDefault="0057201B">
            <w:pPr>
              <w:pStyle w:val="BodyText"/>
              <w:jc w:val="both"/>
              <w:rPr>
                <w:noProof/>
              </w:rPr>
            </w:pPr>
            <w:r w:rsidRPr="00AE3A84">
              <w:rPr>
                <w:noProof/>
              </w:rPr>
              <w:t>1853-12</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4EBBF40F"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1B8EB63F" w14:textId="77777777" w:rsidR="0057201B" w:rsidRPr="00AE3A84" w:rsidRDefault="0057201B">
            <w:pPr>
              <w:pStyle w:val="BodyText"/>
              <w:jc w:val="both"/>
              <w:rPr>
                <w:noProof/>
              </w:rPr>
            </w:pPr>
            <w:r w:rsidRPr="00AE3A84">
              <w:rPr>
                <w:noProof/>
              </w:rPr>
              <w:t>2012</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4CF25DB6" w14:textId="77777777" w:rsidR="0057201B" w:rsidRPr="00AE3A84" w:rsidRDefault="0057201B">
            <w:pPr>
              <w:pStyle w:val="BodyText"/>
              <w:rPr>
                <w:noProof/>
              </w:rPr>
            </w:pPr>
            <w:r w:rsidRPr="00AE3A84">
              <w:rPr>
                <w:noProof/>
              </w:rPr>
              <w:t>Grigory Basalygin</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0901EC42" w14:textId="798C17C3" w:rsidR="0057201B" w:rsidRPr="00AE3A84" w:rsidRDefault="0057201B">
            <w:pPr>
              <w:pStyle w:val="BodyText"/>
              <w:jc w:val="both"/>
              <w:rPr>
                <w:noProof/>
              </w:rPr>
            </w:pPr>
            <w:r w:rsidRPr="00AE3A84">
              <w:rPr>
                <w:noProof/>
              </w:rPr>
              <w:t>Admissibility</w:t>
            </w:r>
          </w:p>
        </w:tc>
      </w:tr>
      <w:tr w:rsidR="0057201B" w:rsidRPr="00AE3A84" w14:paraId="2E0551A1" w14:textId="77777777" w:rsidTr="00F86D48">
        <w:trPr>
          <w:trHeight w:val="587"/>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5D36896D" w14:textId="77777777" w:rsidR="0057201B" w:rsidRPr="00AE3A84" w:rsidRDefault="0057201B">
            <w:pPr>
              <w:pStyle w:val="BodyText"/>
              <w:jc w:val="center"/>
              <w:rPr>
                <w:noProof/>
              </w:rPr>
            </w:pPr>
            <w:r w:rsidRPr="00AE3A84">
              <w:rPr>
                <w:noProof/>
              </w:rPr>
              <w:t>34</w:t>
            </w:r>
          </w:p>
        </w:tc>
        <w:tc>
          <w:tcPr>
            <w:tcW w:w="1370" w:type="dxa"/>
            <w:tcBorders>
              <w:top w:val="single" w:sz="4" w:space="0" w:color="000000"/>
              <w:left w:val="nil"/>
              <w:bottom w:val="single" w:sz="4" w:space="0" w:color="000000"/>
              <w:right w:val="single" w:sz="4" w:space="0" w:color="000000"/>
            </w:tcBorders>
            <w:noWrap/>
            <w:vAlign w:val="center"/>
            <w:hideMark/>
          </w:tcPr>
          <w:p w14:paraId="1042F94F" w14:textId="77777777" w:rsidR="0057201B" w:rsidRPr="00AE3A84" w:rsidRDefault="0057201B">
            <w:pPr>
              <w:pStyle w:val="BodyText"/>
              <w:jc w:val="both"/>
              <w:rPr>
                <w:noProof/>
              </w:rPr>
            </w:pPr>
            <w:r w:rsidRPr="00AE3A84">
              <w:rPr>
                <w:noProof/>
              </w:rPr>
              <w:t>Ecuador</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746315F3" w14:textId="77777777" w:rsidR="0057201B" w:rsidRPr="00AE3A84" w:rsidRDefault="0057201B">
            <w:pPr>
              <w:pStyle w:val="BodyText"/>
              <w:jc w:val="both"/>
              <w:rPr>
                <w:noProof/>
              </w:rPr>
            </w:pPr>
            <w:r w:rsidRPr="00AE3A84">
              <w:rPr>
                <w:noProof/>
              </w:rPr>
              <w:t>592-14</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184E0BB5"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0523DF1F" w14:textId="77777777" w:rsidR="0057201B" w:rsidRPr="00AE3A84" w:rsidRDefault="0057201B">
            <w:pPr>
              <w:pStyle w:val="BodyText"/>
              <w:jc w:val="both"/>
              <w:rPr>
                <w:noProof/>
              </w:rPr>
            </w:pPr>
            <w:r w:rsidRPr="00AE3A84">
              <w:rPr>
                <w:noProof/>
              </w:rPr>
              <w:t>2014</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4C335CDC" w14:textId="77777777" w:rsidR="0057201B" w:rsidRPr="00AE3A84" w:rsidRDefault="0057201B">
            <w:pPr>
              <w:pStyle w:val="BodyText"/>
              <w:rPr>
                <w:noProof/>
              </w:rPr>
            </w:pPr>
            <w:r w:rsidRPr="00AE3A84">
              <w:rPr>
                <w:noProof/>
              </w:rPr>
              <w:t>Miriam Patricia Mendoza Andrade</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697E5164" w14:textId="446F4953" w:rsidR="0057201B" w:rsidRPr="00AE3A84" w:rsidRDefault="0057201B">
            <w:pPr>
              <w:pStyle w:val="BodyText"/>
              <w:jc w:val="both"/>
              <w:rPr>
                <w:noProof/>
              </w:rPr>
            </w:pPr>
            <w:r w:rsidRPr="00AE3A84">
              <w:rPr>
                <w:noProof/>
              </w:rPr>
              <w:t>Admissibility</w:t>
            </w:r>
          </w:p>
        </w:tc>
      </w:tr>
      <w:tr w:rsidR="0057201B" w:rsidRPr="00AE3A84" w14:paraId="43A640B0" w14:textId="77777777" w:rsidTr="00BE6617">
        <w:trPr>
          <w:trHeight w:val="497"/>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1D196156" w14:textId="77777777" w:rsidR="0057201B" w:rsidRPr="00AE3A84" w:rsidRDefault="0057201B">
            <w:pPr>
              <w:pStyle w:val="BodyText"/>
              <w:jc w:val="center"/>
              <w:rPr>
                <w:noProof/>
              </w:rPr>
            </w:pPr>
            <w:r w:rsidRPr="00AE3A84">
              <w:rPr>
                <w:noProof/>
              </w:rPr>
              <w:t>35</w:t>
            </w:r>
          </w:p>
        </w:tc>
        <w:tc>
          <w:tcPr>
            <w:tcW w:w="1370" w:type="dxa"/>
            <w:tcBorders>
              <w:top w:val="single" w:sz="4" w:space="0" w:color="000000"/>
              <w:left w:val="nil"/>
              <w:bottom w:val="single" w:sz="4" w:space="0" w:color="000000"/>
              <w:right w:val="single" w:sz="4" w:space="0" w:color="000000"/>
            </w:tcBorders>
            <w:noWrap/>
            <w:vAlign w:val="center"/>
            <w:hideMark/>
          </w:tcPr>
          <w:p w14:paraId="71B7DD88" w14:textId="77777777" w:rsidR="0057201B" w:rsidRPr="00AE3A84" w:rsidRDefault="0057201B">
            <w:pPr>
              <w:pStyle w:val="BodyText"/>
              <w:jc w:val="both"/>
              <w:rPr>
                <w:noProof/>
              </w:rPr>
            </w:pPr>
            <w:r w:rsidRPr="00AE3A84">
              <w:rPr>
                <w:noProof/>
              </w:rPr>
              <w:t>Ecuador</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35BA9A93" w14:textId="77777777" w:rsidR="0057201B" w:rsidRPr="00AE3A84" w:rsidRDefault="0057201B">
            <w:pPr>
              <w:pStyle w:val="BodyText"/>
              <w:jc w:val="both"/>
              <w:rPr>
                <w:noProof/>
              </w:rPr>
            </w:pPr>
            <w:r w:rsidRPr="00AE3A84">
              <w:rPr>
                <w:noProof/>
              </w:rPr>
              <w:t>383-17</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52C8D018"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7CE408A0" w14:textId="77777777" w:rsidR="0057201B" w:rsidRPr="00AE3A84" w:rsidRDefault="0057201B">
            <w:pPr>
              <w:pStyle w:val="BodyText"/>
              <w:jc w:val="both"/>
              <w:rPr>
                <w:noProof/>
              </w:rPr>
            </w:pPr>
            <w:r w:rsidRPr="00AE3A84">
              <w:rPr>
                <w:noProof/>
              </w:rPr>
              <w:t>2017</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532BCF25" w14:textId="77777777" w:rsidR="0057201B" w:rsidRPr="00AE3A84" w:rsidRDefault="0057201B">
            <w:pPr>
              <w:pStyle w:val="BodyText"/>
              <w:rPr>
                <w:noProof/>
              </w:rPr>
            </w:pPr>
            <w:r w:rsidRPr="00AE3A84">
              <w:rPr>
                <w:noProof/>
              </w:rPr>
              <w:t>Luis Fernando Viteri Pérez</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52B6A35E" w14:textId="1865DF86" w:rsidR="0057201B" w:rsidRPr="00AE3A84" w:rsidRDefault="0057201B">
            <w:pPr>
              <w:pStyle w:val="BodyText"/>
              <w:jc w:val="both"/>
              <w:rPr>
                <w:noProof/>
              </w:rPr>
            </w:pPr>
            <w:r w:rsidRPr="00AE3A84">
              <w:rPr>
                <w:noProof/>
              </w:rPr>
              <w:t>Admissibility</w:t>
            </w:r>
          </w:p>
        </w:tc>
      </w:tr>
      <w:tr w:rsidR="0057201B" w:rsidRPr="00AE3A84" w14:paraId="7FDBA630" w14:textId="77777777" w:rsidTr="00BE6617">
        <w:trPr>
          <w:trHeight w:val="569"/>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5C0C7D39" w14:textId="77777777" w:rsidR="0057201B" w:rsidRPr="00AE3A84" w:rsidRDefault="0057201B">
            <w:pPr>
              <w:pStyle w:val="BodyText"/>
              <w:jc w:val="center"/>
              <w:rPr>
                <w:noProof/>
              </w:rPr>
            </w:pPr>
            <w:r w:rsidRPr="00AE3A84">
              <w:rPr>
                <w:noProof/>
              </w:rPr>
              <w:t>36</w:t>
            </w:r>
          </w:p>
        </w:tc>
        <w:tc>
          <w:tcPr>
            <w:tcW w:w="1370" w:type="dxa"/>
            <w:tcBorders>
              <w:top w:val="single" w:sz="4" w:space="0" w:color="000000"/>
              <w:left w:val="nil"/>
              <w:bottom w:val="single" w:sz="4" w:space="0" w:color="000000"/>
              <w:right w:val="single" w:sz="4" w:space="0" w:color="000000"/>
            </w:tcBorders>
            <w:noWrap/>
            <w:vAlign w:val="center"/>
            <w:hideMark/>
          </w:tcPr>
          <w:p w14:paraId="662CD304" w14:textId="77777777" w:rsidR="0057201B" w:rsidRPr="00AE3A84" w:rsidRDefault="0057201B">
            <w:pPr>
              <w:pStyle w:val="BodyText"/>
              <w:jc w:val="both"/>
              <w:rPr>
                <w:noProof/>
              </w:rPr>
            </w:pPr>
            <w:r w:rsidRPr="00AE3A84">
              <w:rPr>
                <w:noProof/>
              </w:rPr>
              <w:t>Ecuador</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60A81C17" w14:textId="77777777" w:rsidR="0057201B" w:rsidRPr="00AE3A84" w:rsidRDefault="0057201B">
            <w:pPr>
              <w:pStyle w:val="BodyText"/>
              <w:jc w:val="both"/>
              <w:rPr>
                <w:noProof/>
              </w:rPr>
            </w:pPr>
            <w:r w:rsidRPr="00AE3A84">
              <w:rPr>
                <w:noProof/>
              </w:rPr>
              <w:t>1180-06</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2C4A7DD1" w14:textId="77777777" w:rsidR="0057201B" w:rsidRPr="00AE3A84" w:rsidRDefault="0057201B">
            <w:pPr>
              <w:pStyle w:val="BodyText"/>
              <w:jc w:val="both"/>
              <w:rPr>
                <w:noProof/>
              </w:rPr>
            </w:pPr>
            <w:r w:rsidRPr="00AE3A84">
              <w:rPr>
                <w:noProof/>
              </w:rPr>
              <w:t>13.214</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40C97E23" w14:textId="77777777" w:rsidR="0057201B" w:rsidRPr="00AE3A84" w:rsidRDefault="0057201B">
            <w:pPr>
              <w:pStyle w:val="BodyText"/>
              <w:jc w:val="both"/>
              <w:rPr>
                <w:noProof/>
              </w:rPr>
            </w:pPr>
            <w:r w:rsidRPr="00AE3A84">
              <w:rPr>
                <w:noProof/>
              </w:rPr>
              <w:t>2006</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0CF8DBEF" w14:textId="77777777" w:rsidR="0057201B" w:rsidRPr="00AE3A84" w:rsidRDefault="0057201B">
            <w:pPr>
              <w:pStyle w:val="BodyText"/>
              <w:rPr>
                <w:noProof/>
              </w:rPr>
            </w:pPr>
            <w:r w:rsidRPr="00AE3A84">
              <w:rPr>
                <w:noProof/>
              </w:rPr>
              <w:t>Jacinto Guillermo Bajaña Granja</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421A23C9" w14:textId="11843821" w:rsidR="0057201B" w:rsidRPr="00AE3A84" w:rsidRDefault="0057201B">
            <w:pPr>
              <w:pStyle w:val="BodyText"/>
              <w:jc w:val="both"/>
              <w:rPr>
                <w:noProof/>
              </w:rPr>
            </w:pPr>
            <w:r w:rsidRPr="00AE3A84">
              <w:rPr>
                <w:noProof/>
              </w:rPr>
              <w:t>Merits</w:t>
            </w:r>
          </w:p>
        </w:tc>
      </w:tr>
      <w:tr w:rsidR="0057201B" w:rsidRPr="00AE3A84" w14:paraId="2F59D1E4" w14:textId="77777777" w:rsidTr="00BE6617">
        <w:trPr>
          <w:trHeight w:val="60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28838D47" w14:textId="77777777" w:rsidR="0057201B" w:rsidRPr="00AE3A84" w:rsidRDefault="0057201B">
            <w:pPr>
              <w:pStyle w:val="BodyText"/>
              <w:jc w:val="center"/>
              <w:rPr>
                <w:noProof/>
              </w:rPr>
            </w:pPr>
            <w:r w:rsidRPr="00AE3A84">
              <w:rPr>
                <w:noProof/>
              </w:rPr>
              <w:t>37</w:t>
            </w:r>
          </w:p>
        </w:tc>
        <w:tc>
          <w:tcPr>
            <w:tcW w:w="1370" w:type="dxa"/>
            <w:tcBorders>
              <w:top w:val="single" w:sz="4" w:space="0" w:color="000000"/>
              <w:left w:val="nil"/>
              <w:bottom w:val="single" w:sz="4" w:space="0" w:color="000000"/>
              <w:right w:val="single" w:sz="4" w:space="0" w:color="000000"/>
            </w:tcBorders>
            <w:vAlign w:val="center"/>
            <w:hideMark/>
          </w:tcPr>
          <w:p w14:paraId="59CFB0C9" w14:textId="15039492" w:rsidR="0057201B" w:rsidRPr="00AE3A84" w:rsidRDefault="0057201B">
            <w:pPr>
              <w:pStyle w:val="BodyText"/>
              <w:jc w:val="both"/>
              <w:rPr>
                <w:noProof/>
              </w:rPr>
            </w:pPr>
            <w:r w:rsidRPr="00AE3A84">
              <w:rPr>
                <w:noProof/>
              </w:rPr>
              <w:t>United States</w:t>
            </w:r>
            <w:r w:rsidRPr="00AE3A84">
              <w:rPr>
                <w:rStyle w:val="FootnoteReference"/>
                <w:noProof/>
              </w:rPr>
              <w:footnoteReference w:id="7"/>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0FBE009D" w14:textId="77777777" w:rsidR="0057201B" w:rsidRPr="00AE3A84" w:rsidRDefault="0057201B">
            <w:pPr>
              <w:pStyle w:val="BodyText"/>
              <w:jc w:val="both"/>
              <w:rPr>
                <w:noProof/>
              </w:rPr>
            </w:pPr>
            <w:r w:rsidRPr="00AE3A84">
              <w:rPr>
                <w:noProof/>
              </w:rPr>
              <w:t>966-CA</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072A489A" w14:textId="77777777" w:rsidR="0057201B" w:rsidRPr="00AE3A84" w:rsidRDefault="0057201B">
            <w:pPr>
              <w:pStyle w:val="BodyText"/>
              <w:jc w:val="both"/>
              <w:rPr>
                <w:noProof/>
              </w:rPr>
            </w:pPr>
            <w:r w:rsidRPr="00AE3A84">
              <w:rPr>
                <w:noProof/>
              </w:rPr>
              <w:t>11.700</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7C2FECF2" w14:textId="77777777" w:rsidR="0057201B" w:rsidRPr="00AE3A84" w:rsidRDefault="0057201B">
            <w:pPr>
              <w:pStyle w:val="BodyText"/>
              <w:jc w:val="both"/>
              <w:rPr>
                <w:noProof/>
              </w:rPr>
            </w:pPr>
            <w:r w:rsidRPr="00AE3A84">
              <w:rPr>
                <w:noProof/>
              </w:rPr>
              <w:t>1996</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55A1F82C" w14:textId="77777777" w:rsidR="0057201B" w:rsidRPr="00AE3A84" w:rsidRDefault="0057201B">
            <w:pPr>
              <w:pStyle w:val="BodyText"/>
              <w:rPr>
                <w:noProof/>
              </w:rPr>
            </w:pPr>
            <w:r w:rsidRPr="00AE3A84">
              <w:rPr>
                <w:noProof/>
              </w:rPr>
              <w:t>Richard Steven Zeitvogel</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41BA9E5B" w14:textId="377AD564" w:rsidR="0057201B" w:rsidRPr="00AE3A84" w:rsidRDefault="0057201B">
            <w:pPr>
              <w:pStyle w:val="BodyText"/>
              <w:jc w:val="both"/>
              <w:rPr>
                <w:noProof/>
              </w:rPr>
            </w:pPr>
            <w:r w:rsidRPr="00AE3A84">
              <w:rPr>
                <w:noProof/>
              </w:rPr>
              <w:t>Merits</w:t>
            </w:r>
          </w:p>
        </w:tc>
      </w:tr>
      <w:tr w:rsidR="0057201B" w:rsidRPr="00AE3A84" w14:paraId="1CE12CDC" w14:textId="77777777" w:rsidTr="00BE6617">
        <w:trPr>
          <w:trHeight w:val="596"/>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23D5E096" w14:textId="77777777" w:rsidR="0057201B" w:rsidRPr="00AE3A84" w:rsidRDefault="0057201B">
            <w:pPr>
              <w:pStyle w:val="BodyText"/>
              <w:jc w:val="center"/>
              <w:rPr>
                <w:noProof/>
              </w:rPr>
            </w:pPr>
            <w:r w:rsidRPr="00AE3A84">
              <w:rPr>
                <w:noProof/>
              </w:rPr>
              <w:t>38</w:t>
            </w:r>
          </w:p>
        </w:tc>
        <w:tc>
          <w:tcPr>
            <w:tcW w:w="1370" w:type="dxa"/>
            <w:tcBorders>
              <w:top w:val="single" w:sz="4" w:space="0" w:color="000000"/>
              <w:left w:val="nil"/>
              <w:bottom w:val="single" w:sz="4" w:space="0" w:color="000000"/>
              <w:right w:val="single" w:sz="4" w:space="0" w:color="000000"/>
            </w:tcBorders>
            <w:vAlign w:val="center"/>
            <w:hideMark/>
          </w:tcPr>
          <w:p w14:paraId="5F159C47" w14:textId="456773DD" w:rsidR="0057201B" w:rsidRPr="00AE3A84" w:rsidRDefault="0057201B">
            <w:pPr>
              <w:pStyle w:val="BodyText"/>
              <w:jc w:val="both"/>
              <w:rPr>
                <w:noProof/>
              </w:rPr>
            </w:pPr>
            <w:r w:rsidRPr="00AE3A84">
              <w:rPr>
                <w:noProof/>
              </w:rPr>
              <w:t>United States</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5B193C10" w14:textId="77777777" w:rsidR="0057201B" w:rsidRPr="00AE3A84" w:rsidRDefault="0057201B">
            <w:pPr>
              <w:pStyle w:val="BodyText"/>
              <w:jc w:val="both"/>
              <w:rPr>
                <w:noProof/>
              </w:rPr>
            </w:pPr>
            <w:r w:rsidRPr="00AE3A84">
              <w:rPr>
                <w:noProof/>
              </w:rPr>
              <w:t>967-CA</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72221DB5" w14:textId="77777777" w:rsidR="0057201B" w:rsidRPr="00AE3A84" w:rsidRDefault="0057201B">
            <w:pPr>
              <w:pStyle w:val="BodyText"/>
              <w:jc w:val="both"/>
              <w:rPr>
                <w:noProof/>
              </w:rPr>
            </w:pPr>
            <w:r w:rsidRPr="00AE3A84">
              <w:rPr>
                <w:noProof/>
              </w:rPr>
              <w:t>11.817</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21DA982D" w14:textId="77777777" w:rsidR="0057201B" w:rsidRPr="00AE3A84" w:rsidRDefault="0057201B">
            <w:pPr>
              <w:pStyle w:val="BodyText"/>
              <w:jc w:val="both"/>
              <w:rPr>
                <w:noProof/>
              </w:rPr>
            </w:pPr>
            <w:r w:rsidRPr="00AE3A84">
              <w:rPr>
                <w:noProof/>
              </w:rPr>
              <w:t>1997</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5A0CADB8" w14:textId="77777777" w:rsidR="0057201B" w:rsidRPr="00AE3A84" w:rsidRDefault="0057201B">
            <w:pPr>
              <w:pStyle w:val="BodyText"/>
              <w:rPr>
                <w:noProof/>
              </w:rPr>
            </w:pPr>
            <w:r w:rsidRPr="00AE3A84">
              <w:rPr>
                <w:noProof/>
              </w:rPr>
              <w:t>Allan Jeffery Bannister</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33714E9A" w14:textId="3F75607E" w:rsidR="0057201B" w:rsidRPr="00AE3A84" w:rsidRDefault="0057201B">
            <w:pPr>
              <w:pStyle w:val="BodyText"/>
              <w:jc w:val="both"/>
              <w:rPr>
                <w:noProof/>
              </w:rPr>
            </w:pPr>
            <w:r w:rsidRPr="00AE3A84">
              <w:rPr>
                <w:noProof/>
              </w:rPr>
              <w:t>Merits</w:t>
            </w:r>
          </w:p>
        </w:tc>
      </w:tr>
      <w:tr w:rsidR="0057201B" w:rsidRPr="00AE3A84" w14:paraId="6A5A3EB8" w14:textId="77777777" w:rsidTr="00BE6617">
        <w:trPr>
          <w:trHeight w:val="506"/>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0582AF45" w14:textId="77777777" w:rsidR="0057201B" w:rsidRPr="00AE3A84" w:rsidRDefault="0057201B">
            <w:pPr>
              <w:pStyle w:val="BodyText"/>
              <w:jc w:val="center"/>
              <w:rPr>
                <w:noProof/>
              </w:rPr>
            </w:pPr>
            <w:r w:rsidRPr="00AE3A84">
              <w:rPr>
                <w:noProof/>
              </w:rPr>
              <w:t>39</w:t>
            </w:r>
          </w:p>
        </w:tc>
        <w:tc>
          <w:tcPr>
            <w:tcW w:w="1370" w:type="dxa"/>
            <w:tcBorders>
              <w:top w:val="single" w:sz="4" w:space="0" w:color="000000"/>
              <w:left w:val="nil"/>
              <w:bottom w:val="single" w:sz="4" w:space="0" w:color="000000"/>
              <w:right w:val="single" w:sz="4" w:space="0" w:color="000000"/>
            </w:tcBorders>
            <w:vAlign w:val="center"/>
            <w:hideMark/>
          </w:tcPr>
          <w:p w14:paraId="018A9827" w14:textId="7B40BDAA" w:rsidR="0057201B" w:rsidRPr="00AE3A84" w:rsidRDefault="0057201B">
            <w:pPr>
              <w:pStyle w:val="BodyText"/>
              <w:jc w:val="both"/>
              <w:rPr>
                <w:noProof/>
              </w:rPr>
            </w:pPr>
            <w:r w:rsidRPr="00AE3A84">
              <w:rPr>
                <w:noProof/>
              </w:rPr>
              <w:t>United States</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3CFBB87B" w14:textId="77777777" w:rsidR="0057201B" w:rsidRPr="00AE3A84" w:rsidRDefault="0057201B">
            <w:pPr>
              <w:pStyle w:val="BodyText"/>
              <w:jc w:val="both"/>
              <w:rPr>
                <w:noProof/>
              </w:rPr>
            </w:pPr>
            <w:r w:rsidRPr="00AE3A84">
              <w:rPr>
                <w:noProof/>
              </w:rPr>
              <w:t>611-12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1FE115E3" w14:textId="77777777" w:rsidR="0057201B" w:rsidRPr="00AE3A84" w:rsidRDefault="0057201B">
            <w:pPr>
              <w:pStyle w:val="BodyText"/>
              <w:jc w:val="both"/>
              <w:rPr>
                <w:noProof/>
              </w:rPr>
            </w:pPr>
            <w:r w:rsidRPr="00AE3A84">
              <w:rPr>
                <w:noProof/>
              </w:rPr>
              <w:t>13.873</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1911642F" w14:textId="77777777" w:rsidR="0057201B" w:rsidRPr="00AE3A84" w:rsidRDefault="0057201B">
            <w:pPr>
              <w:pStyle w:val="BodyText"/>
              <w:jc w:val="both"/>
              <w:rPr>
                <w:noProof/>
              </w:rPr>
            </w:pPr>
            <w:r w:rsidRPr="00AE3A84">
              <w:rPr>
                <w:noProof/>
              </w:rPr>
              <w:t>2012</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4B3D13D3" w14:textId="77777777" w:rsidR="0057201B" w:rsidRPr="00AE3A84" w:rsidRDefault="0057201B">
            <w:pPr>
              <w:pStyle w:val="BodyText"/>
              <w:rPr>
                <w:noProof/>
              </w:rPr>
            </w:pPr>
            <w:r w:rsidRPr="00AE3A84">
              <w:rPr>
                <w:noProof/>
              </w:rPr>
              <w:t>Mumia Abu-Jamal</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012E5AB3" w14:textId="0F9463DA" w:rsidR="0057201B" w:rsidRPr="00AE3A84" w:rsidRDefault="0057201B">
            <w:pPr>
              <w:pStyle w:val="BodyText"/>
              <w:jc w:val="both"/>
              <w:rPr>
                <w:noProof/>
              </w:rPr>
            </w:pPr>
            <w:r w:rsidRPr="00AE3A84">
              <w:rPr>
                <w:noProof/>
              </w:rPr>
              <w:t>Merits</w:t>
            </w:r>
          </w:p>
        </w:tc>
      </w:tr>
      <w:tr w:rsidR="0057201B" w:rsidRPr="00AE3A84" w14:paraId="29D37E68" w14:textId="77777777" w:rsidTr="00BE6617">
        <w:trPr>
          <w:trHeight w:val="407"/>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232513CE" w14:textId="77777777" w:rsidR="0057201B" w:rsidRPr="00AE3A84" w:rsidRDefault="0057201B">
            <w:pPr>
              <w:pStyle w:val="BodyText"/>
              <w:jc w:val="center"/>
              <w:rPr>
                <w:noProof/>
              </w:rPr>
            </w:pPr>
            <w:r w:rsidRPr="00AE3A84">
              <w:rPr>
                <w:noProof/>
              </w:rPr>
              <w:t>40</w:t>
            </w:r>
          </w:p>
        </w:tc>
        <w:tc>
          <w:tcPr>
            <w:tcW w:w="1370" w:type="dxa"/>
            <w:tcBorders>
              <w:top w:val="single" w:sz="4" w:space="0" w:color="000000"/>
              <w:left w:val="nil"/>
              <w:bottom w:val="single" w:sz="4" w:space="0" w:color="000000"/>
              <w:right w:val="single" w:sz="4" w:space="0" w:color="000000"/>
            </w:tcBorders>
            <w:noWrap/>
            <w:vAlign w:val="center"/>
            <w:hideMark/>
          </w:tcPr>
          <w:p w14:paraId="6075878C" w14:textId="77777777" w:rsidR="0057201B" w:rsidRPr="00AE3A84" w:rsidRDefault="0057201B">
            <w:pPr>
              <w:pStyle w:val="BodyText"/>
              <w:jc w:val="both"/>
              <w:rPr>
                <w:noProof/>
              </w:rPr>
            </w:pPr>
            <w:r w:rsidRPr="00AE3A84">
              <w:rPr>
                <w:noProof/>
              </w:rPr>
              <w:t>Guatemala</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7DDEB2A" w14:textId="77777777" w:rsidR="0057201B" w:rsidRPr="00AE3A84" w:rsidRDefault="0057201B">
            <w:pPr>
              <w:pStyle w:val="BodyText"/>
              <w:jc w:val="both"/>
              <w:rPr>
                <w:noProof/>
              </w:rPr>
            </w:pPr>
            <w:r w:rsidRPr="00AE3A84">
              <w:rPr>
                <w:noProof/>
              </w:rPr>
              <w:t>720-08</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379373EA" w14:textId="77777777" w:rsidR="0057201B" w:rsidRPr="00AE3A84" w:rsidRDefault="0057201B">
            <w:pPr>
              <w:pStyle w:val="BodyText"/>
              <w:jc w:val="both"/>
              <w:rPr>
                <w:noProof/>
              </w:rPr>
            </w:pPr>
            <w:r w:rsidRPr="00AE3A84">
              <w:rPr>
                <w:noProof/>
              </w:rPr>
              <w:t>13.909</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2ED2A0B1" w14:textId="77777777" w:rsidR="0057201B" w:rsidRPr="00AE3A84" w:rsidRDefault="0057201B">
            <w:pPr>
              <w:pStyle w:val="BodyText"/>
              <w:jc w:val="both"/>
              <w:rPr>
                <w:noProof/>
              </w:rPr>
            </w:pPr>
            <w:r w:rsidRPr="00AE3A84">
              <w:rPr>
                <w:noProof/>
              </w:rPr>
              <w:t>2008</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616B611E" w14:textId="77777777" w:rsidR="0057201B" w:rsidRPr="00AE3A84" w:rsidRDefault="0057201B">
            <w:pPr>
              <w:pStyle w:val="BodyText"/>
              <w:rPr>
                <w:noProof/>
              </w:rPr>
            </w:pPr>
            <w:r w:rsidRPr="00AE3A84">
              <w:rPr>
                <w:noProof/>
              </w:rPr>
              <w:t xml:space="preserve">Serge Berten </w:t>
            </w:r>
            <w:r>
              <w:rPr>
                <w:noProof/>
              </w:rPr>
              <w:t>and Family</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6F79AC4A" w14:textId="5F41E718" w:rsidR="0057201B" w:rsidRPr="00AE3A84" w:rsidRDefault="0057201B">
            <w:pPr>
              <w:pStyle w:val="BodyText"/>
              <w:jc w:val="both"/>
              <w:rPr>
                <w:noProof/>
              </w:rPr>
            </w:pPr>
            <w:r w:rsidRPr="00AE3A84">
              <w:rPr>
                <w:noProof/>
              </w:rPr>
              <w:t>Merits</w:t>
            </w:r>
          </w:p>
        </w:tc>
      </w:tr>
      <w:tr w:rsidR="0057201B" w:rsidRPr="00AE3A84" w14:paraId="13C881BA" w14:textId="77777777" w:rsidTr="00BE6617">
        <w:trPr>
          <w:trHeight w:val="767"/>
        </w:trPr>
        <w:tc>
          <w:tcPr>
            <w:tcW w:w="559" w:type="dxa"/>
            <w:tcBorders>
              <w:top w:val="single" w:sz="4" w:space="0" w:color="000000"/>
              <w:left w:val="single" w:sz="4" w:space="0" w:color="000000"/>
              <w:bottom w:val="single" w:sz="4" w:space="0" w:color="auto"/>
              <w:right w:val="single" w:sz="4" w:space="0" w:color="000000"/>
            </w:tcBorders>
            <w:noWrap/>
            <w:vAlign w:val="center"/>
            <w:hideMark/>
          </w:tcPr>
          <w:p w14:paraId="31A5286F" w14:textId="77777777" w:rsidR="0057201B" w:rsidRPr="00AE3A84" w:rsidRDefault="0057201B">
            <w:pPr>
              <w:pStyle w:val="BodyText"/>
              <w:jc w:val="center"/>
              <w:rPr>
                <w:noProof/>
              </w:rPr>
            </w:pPr>
            <w:r w:rsidRPr="00AE3A84">
              <w:rPr>
                <w:noProof/>
              </w:rPr>
              <w:t>41</w:t>
            </w:r>
          </w:p>
        </w:tc>
        <w:tc>
          <w:tcPr>
            <w:tcW w:w="1370" w:type="dxa"/>
            <w:tcBorders>
              <w:top w:val="single" w:sz="4" w:space="0" w:color="000000"/>
              <w:left w:val="nil"/>
              <w:bottom w:val="single" w:sz="4" w:space="0" w:color="auto"/>
              <w:right w:val="single" w:sz="4" w:space="0" w:color="000000"/>
            </w:tcBorders>
            <w:noWrap/>
            <w:vAlign w:val="center"/>
            <w:hideMark/>
          </w:tcPr>
          <w:p w14:paraId="280CFD32" w14:textId="77777777" w:rsidR="0057201B" w:rsidRPr="00AE3A84" w:rsidRDefault="0057201B">
            <w:pPr>
              <w:pStyle w:val="BodyText"/>
              <w:jc w:val="both"/>
              <w:rPr>
                <w:noProof/>
              </w:rPr>
            </w:pPr>
            <w:r w:rsidRPr="00AE3A84">
              <w:rPr>
                <w:noProof/>
              </w:rPr>
              <w:t>Guatemala</w:t>
            </w:r>
          </w:p>
        </w:tc>
        <w:tc>
          <w:tcPr>
            <w:tcW w:w="1620" w:type="dxa"/>
            <w:tcBorders>
              <w:top w:val="single" w:sz="4" w:space="0" w:color="000000"/>
              <w:left w:val="single" w:sz="4" w:space="0" w:color="000000"/>
              <w:bottom w:val="single" w:sz="4" w:space="0" w:color="auto"/>
              <w:right w:val="single" w:sz="4" w:space="0" w:color="000000"/>
            </w:tcBorders>
            <w:vAlign w:val="center"/>
            <w:hideMark/>
          </w:tcPr>
          <w:p w14:paraId="155A3CF6" w14:textId="77777777" w:rsidR="0057201B" w:rsidRPr="00AE3A84" w:rsidRDefault="0057201B">
            <w:pPr>
              <w:pStyle w:val="BodyText"/>
              <w:jc w:val="both"/>
              <w:rPr>
                <w:noProof/>
              </w:rPr>
            </w:pPr>
            <w:r w:rsidRPr="00AE3A84">
              <w:rPr>
                <w:noProof/>
              </w:rPr>
              <w:t>2237-16</w:t>
            </w:r>
          </w:p>
        </w:tc>
        <w:tc>
          <w:tcPr>
            <w:tcW w:w="1530" w:type="dxa"/>
            <w:tcBorders>
              <w:top w:val="single" w:sz="4" w:space="0" w:color="000000"/>
              <w:left w:val="single" w:sz="4" w:space="0" w:color="000000"/>
              <w:bottom w:val="single" w:sz="4" w:space="0" w:color="auto"/>
              <w:right w:val="single" w:sz="4" w:space="0" w:color="000000"/>
            </w:tcBorders>
            <w:vAlign w:val="center"/>
            <w:hideMark/>
          </w:tcPr>
          <w:p w14:paraId="41E15C05" w14:textId="77777777" w:rsidR="0057201B" w:rsidRPr="00AE3A84" w:rsidRDefault="0057201B">
            <w:pPr>
              <w:pStyle w:val="BodyText"/>
              <w:jc w:val="both"/>
              <w:rPr>
                <w:noProof/>
              </w:rPr>
            </w:pPr>
            <w:r w:rsidRPr="00AE3A84">
              <w:rPr>
                <w:noProof/>
              </w:rPr>
              <w:t>13.847</w:t>
            </w:r>
          </w:p>
        </w:tc>
        <w:tc>
          <w:tcPr>
            <w:tcW w:w="900" w:type="dxa"/>
            <w:tcBorders>
              <w:top w:val="single" w:sz="4" w:space="0" w:color="000000"/>
              <w:left w:val="single" w:sz="4" w:space="0" w:color="000000"/>
              <w:bottom w:val="single" w:sz="4" w:space="0" w:color="auto"/>
              <w:right w:val="single" w:sz="4" w:space="0" w:color="000000"/>
            </w:tcBorders>
            <w:vAlign w:val="center"/>
            <w:hideMark/>
          </w:tcPr>
          <w:p w14:paraId="7D93FD8F" w14:textId="77777777" w:rsidR="0057201B" w:rsidRPr="00AE3A84" w:rsidRDefault="0057201B">
            <w:pPr>
              <w:pStyle w:val="BodyText"/>
              <w:jc w:val="both"/>
              <w:rPr>
                <w:noProof/>
              </w:rPr>
            </w:pPr>
            <w:r w:rsidRPr="00AE3A84">
              <w:rPr>
                <w:noProof/>
              </w:rPr>
              <w:t>2016</w:t>
            </w:r>
          </w:p>
        </w:tc>
        <w:tc>
          <w:tcPr>
            <w:tcW w:w="2636" w:type="dxa"/>
            <w:tcBorders>
              <w:top w:val="single" w:sz="4" w:space="0" w:color="000000"/>
              <w:left w:val="single" w:sz="4" w:space="0" w:color="000000"/>
              <w:bottom w:val="single" w:sz="4" w:space="0" w:color="auto"/>
              <w:right w:val="single" w:sz="4" w:space="0" w:color="000000"/>
            </w:tcBorders>
            <w:vAlign w:val="center"/>
            <w:hideMark/>
          </w:tcPr>
          <w:p w14:paraId="31735DAC" w14:textId="77777777" w:rsidR="0057201B" w:rsidRPr="00AE3A84" w:rsidRDefault="0057201B">
            <w:pPr>
              <w:pStyle w:val="BodyText"/>
              <w:rPr>
                <w:noProof/>
                <w:lang w:val="es-US"/>
              </w:rPr>
            </w:pPr>
            <w:r>
              <w:rPr>
                <w:noProof/>
                <w:lang w:val="es-US"/>
              </w:rPr>
              <w:t>Members of the Association</w:t>
            </w:r>
            <w:r w:rsidRPr="00AE3A84">
              <w:rPr>
                <w:noProof/>
                <w:lang w:val="es-US"/>
              </w:rPr>
              <w:t xml:space="preserve"> </w:t>
            </w:r>
            <w:r>
              <w:rPr>
                <w:noProof/>
                <w:lang w:val="es-US"/>
              </w:rPr>
              <w:t>“</w:t>
            </w:r>
            <w:r w:rsidRPr="00AE3A84">
              <w:rPr>
                <w:noProof/>
                <w:lang w:val="es-US"/>
              </w:rPr>
              <w:t>El Refugio de la Niñez</w:t>
            </w:r>
            <w:r>
              <w:rPr>
                <w:noProof/>
                <w:lang w:val="es-US"/>
              </w:rPr>
              <w:t>”</w:t>
            </w:r>
          </w:p>
        </w:tc>
        <w:tc>
          <w:tcPr>
            <w:tcW w:w="1935" w:type="dxa"/>
            <w:tcBorders>
              <w:top w:val="single" w:sz="4" w:space="0" w:color="000000"/>
              <w:left w:val="single" w:sz="4" w:space="0" w:color="000000"/>
              <w:bottom w:val="single" w:sz="4" w:space="0" w:color="auto"/>
              <w:right w:val="single" w:sz="4" w:space="0" w:color="000000"/>
            </w:tcBorders>
            <w:vAlign w:val="center"/>
            <w:hideMark/>
          </w:tcPr>
          <w:p w14:paraId="31DD59BD" w14:textId="4F4FBE09" w:rsidR="0057201B" w:rsidRPr="00AE3A84" w:rsidRDefault="0057201B">
            <w:pPr>
              <w:pStyle w:val="BodyText"/>
              <w:jc w:val="both"/>
              <w:rPr>
                <w:noProof/>
              </w:rPr>
            </w:pPr>
            <w:r w:rsidRPr="00AE3A84">
              <w:rPr>
                <w:noProof/>
              </w:rPr>
              <w:t>Merits</w:t>
            </w:r>
          </w:p>
        </w:tc>
      </w:tr>
      <w:tr w:rsidR="0057201B" w:rsidRPr="00AE3A84" w14:paraId="49455135" w14:textId="77777777" w:rsidTr="00BE6617">
        <w:trPr>
          <w:trHeight w:val="767"/>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0E257CCA" w14:textId="77777777" w:rsidR="0057201B" w:rsidRPr="00AE3A84" w:rsidRDefault="0057201B">
            <w:pPr>
              <w:pStyle w:val="BodyText"/>
              <w:jc w:val="center"/>
              <w:rPr>
                <w:noProof/>
              </w:rPr>
            </w:pPr>
            <w:r w:rsidRPr="00AE3A84">
              <w:rPr>
                <w:noProof/>
              </w:rPr>
              <w:t>42</w:t>
            </w:r>
          </w:p>
        </w:tc>
        <w:tc>
          <w:tcPr>
            <w:tcW w:w="1370" w:type="dxa"/>
            <w:tcBorders>
              <w:top w:val="single" w:sz="4" w:space="0" w:color="auto"/>
              <w:left w:val="single" w:sz="4" w:space="0" w:color="auto"/>
              <w:bottom w:val="single" w:sz="4" w:space="0" w:color="auto"/>
              <w:right w:val="single" w:sz="4" w:space="0" w:color="auto"/>
            </w:tcBorders>
            <w:vAlign w:val="center"/>
            <w:hideMark/>
          </w:tcPr>
          <w:p w14:paraId="4F30F80C" w14:textId="77777777" w:rsidR="0057201B" w:rsidRPr="00AE3A84" w:rsidRDefault="0057201B">
            <w:pPr>
              <w:pStyle w:val="BodyText"/>
              <w:jc w:val="both"/>
              <w:rPr>
                <w:noProof/>
              </w:rPr>
            </w:pPr>
            <w:r w:rsidRPr="00AE3A84">
              <w:rPr>
                <w:noProof/>
              </w:rPr>
              <w:t>Honduras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4A8B3B6" w14:textId="77777777" w:rsidR="0057201B" w:rsidRPr="00AE3A84" w:rsidRDefault="0057201B">
            <w:pPr>
              <w:pStyle w:val="BodyText"/>
              <w:jc w:val="both"/>
              <w:rPr>
                <w:noProof/>
              </w:rPr>
            </w:pPr>
            <w:r w:rsidRPr="00AE3A84">
              <w:rPr>
                <w:noProof/>
              </w:rPr>
              <w:t>P-301-02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7030E4D" w14:textId="77777777" w:rsidR="0057201B" w:rsidRPr="00AE3A84" w:rsidRDefault="0057201B">
            <w:pPr>
              <w:pStyle w:val="BodyText"/>
              <w:jc w:val="both"/>
              <w:rPr>
                <w:noProof/>
              </w:rPr>
            </w:pPr>
            <w:r w:rsidRPr="00AE3A84">
              <w:rPr>
                <w:noProof/>
              </w:rPr>
              <w:t>12.493</w:t>
            </w:r>
          </w:p>
        </w:tc>
        <w:tc>
          <w:tcPr>
            <w:tcW w:w="900" w:type="dxa"/>
            <w:tcBorders>
              <w:top w:val="single" w:sz="4" w:space="0" w:color="auto"/>
              <w:left w:val="single" w:sz="4" w:space="0" w:color="auto"/>
              <w:bottom w:val="single" w:sz="4" w:space="0" w:color="auto"/>
              <w:right w:val="single" w:sz="4" w:space="0" w:color="auto"/>
            </w:tcBorders>
            <w:vAlign w:val="center"/>
            <w:hideMark/>
          </w:tcPr>
          <w:p w14:paraId="4B48A139" w14:textId="77777777" w:rsidR="0057201B" w:rsidRPr="00AE3A84" w:rsidRDefault="0057201B">
            <w:pPr>
              <w:pStyle w:val="BodyText"/>
              <w:jc w:val="both"/>
              <w:rPr>
                <w:noProof/>
              </w:rPr>
            </w:pPr>
            <w:r w:rsidRPr="00AE3A84">
              <w:rPr>
                <w:noProof/>
              </w:rPr>
              <w:t>2002</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C5DEE49" w14:textId="77777777" w:rsidR="0057201B" w:rsidRPr="00AE3A84" w:rsidRDefault="0057201B">
            <w:pPr>
              <w:pStyle w:val="BodyText"/>
              <w:rPr>
                <w:noProof/>
                <w:lang w:val="es-US"/>
              </w:rPr>
            </w:pPr>
            <w:r w:rsidRPr="00AE3A84">
              <w:rPr>
                <w:noProof/>
                <w:lang w:val="es-US"/>
              </w:rPr>
              <w:t xml:space="preserve">Oscar Daniel Medina Cortés </w:t>
            </w:r>
            <w:r>
              <w:rPr>
                <w:noProof/>
                <w:lang w:val="es-US"/>
              </w:rPr>
              <w:t>and</w:t>
            </w:r>
            <w:r w:rsidRPr="00AE3A84">
              <w:rPr>
                <w:noProof/>
                <w:lang w:val="es-US"/>
              </w:rPr>
              <w:t xml:space="preserve"> José Luis Hernández Martínez</w:t>
            </w:r>
          </w:p>
        </w:tc>
        <w:tc>
          <w:tcPr>
            <w:tcW w:w="1935" w:type="dxa"/>
            <w:tcBorders>
              <w:top w:val="single" w:sz="4" w:space="0" w:color="auto"/>
              <w:left w:val="single" w:sz="4" w:space="0" w:color="auto"/>
              <w:bottom w:val="single" w:sz="4" w:space="0" w:color="auto"/>
              <w:right w:val="single" w:sz="4" w:space="0" w:color="auto"/>
            </w:tcBorders>
            <w:vAlign w:val="center"/>
            <w:hideMark/>
          </w:tcPr>
          <w:p w14:paraId="7A8B338B" w14:textId="040B5358" w:rsidR="0057201B" w:rsidRPr="00AE3A84" w:rsidRDefault="0057201B">
            <w:pPr>
              <w:pStyle w:val="BodyText"/>
              <w:jc w:val="both"/>
              <w:rPr>
                <w:noProof/>
              </w:rPr>
            </w:pPr>
            <w:r w:rsidRPr="00AE3A84">
              <w:rPr>
                <w:noProof/>
              </w:rPr>
              <w:t>Friendly Settlement</w:t>
            </w:r>
          </w:p>
        </w:tc>
      </w:tr>
      <w:tr w:rsidR="0057201B" w:rsidRPr="00AE3A84" w14:paraId="042AB29A" w14:textId="77777777" w:rsidTr="008B05A0">
        <w:trPr>
          <w:trHeight w:val="615"/>
        </w:trPr>
        <w:tc>
          <w:tcPr>
            <w:tcW w:w="559" w:type="dxa"/>
            <w:tcBorders>
              <w:top w:val="single" w:sz="4" w:space="0" w:color="auto"/>
              <w:left w:val="single" w:sz="4" w:space="0" w:color="000000"/>
              <w:bottom w:val="single" w:sz="4" w:space="0" w:color="000000"/>
              <w:right w:val="single" w:sz="4" w:space="0" w:color="000000"/>
            </w:tcBorders>
            <w:noWrap/>
            <w:vAlign w:val="center"/>
            <w:hideMark/>
          </w:tcPr>
          <w:p w14:paraId="034945E2" w14:textId="77777777" w:rsidR="0057201B" w:rsidRPr="00AE3A84" w:rsidRDefault="0057201B">
            <w:pPr>
              <w:pStyle w:val="BodyText"/>
              <w:jc w:val="center"/>
              <w:rPr>
                <w:noProof/>
              </w:rPr>
            </w:pPr>
            <w:r w:rsidRPr="00AE3A84">
              <w:rPr>
                <w:noProof/>
              </w:rPr>
              <w:t>43</w:t>
            </w:r>
          </w:p>
        </w:tc>
        <w:tc>
          <w:tcPr>
            <w:tcW w:w="1370" w:type="dxa"/>
            <w:tcBorders>
              <w:top w:val="single" w:sz="4" w:space="0" w:color="auto"/>
              <w:left w:val="single" w:sz="4" w:space="0" w:color="000000"/>
              <w:bottom w:val="single" w:sz="4" w:space="0" w:color="000000"/>
              <w:right w:val="single" w:sz="4" w:space="0" w:color="000000"/>
            </w:tcBorders>
            <w:noWrap/>
            <w:vAlign w:val="center"/>
            <w:hideMark/>
          </w:tcPr>
          <w:p w14:paraId="0D3F6B9B" w14:textId="77777777" w:rsidR="0057201B" w:rsidRPr="00AE3A84" w:rsidRDefault="0057201B">
            <w:pPr>
              <w:pStyle w:val="BodyText"/>
              <w:jc w:val="both"/>
              <w:rPr>
                <w:noProof/>
              </w:rPr>
            </w:pPr>
            <w:r>
              <w:rPr>
                <w:noProof/>
              </w:rPr>
              <w:t>Mexico</w:t>
            </w:r>
          </w:p>
        </w:tc>
        <w:tc>
          <w:tcPr>
            <w:tcW w:w="1620" w:type="dxa"/>
            <w:tcBorders>
              <w:top w:val="single" w:sz="4" w:space="0" w:color="auto"/>
              <w:left w:val="single" w:sz="4" w:space="0" w:color="000000"/>
              <w:bottom w:val="single" w:sz="4" w:space="0" w:color="000000"/>
              <w:right w:val="single" w:sz="4" w:space="0" w:color="000000"/>
            </w:tcBorders>
            <w:noWrap/>
            <w:vAlign w:val="center"/>
            <w:hideMark/>
          </w:tcPr>
          <w:p w14:paraId="550FD061" w14:textId="77777777" w:rsidR="0057201B" w:rsidRPr="00AE3A84" w:rsidRDefault="0057201B">
            <w:pPr>
              <w:pStyle w:val="BodyText"/>
              <w:jc w:val="both"/>
              <w:rPr>
                <w:noProof/>
              </w:rPr>
            </w:pPr>
            <w:r w:rsidRPr="00AE3A84">
              <w:rPr>
                <w:noProof/>
              </w:rPr>
              <w:t>396-18</w:t>
            </w:r>
          </w:p>
        </w:tc>
        <w:tc>
          <w:tcPr>
            <w:tcW w:w="1530" w:type="dxa"/>
            <w:tcBorders>
              <w:top w:val="single" w:sz="4" w:space="0" w:color="auto"/>
              <w:left w:val="single" w:sz="4" w:space="0" w:color="000000"/>
              <w:bottom w:val="single" w:sz="4" w:space="0" w:color="000000"/>
              <w:right w:val="single" w:sz="4" w:space="0" w:color="000000"/>
            </w:tcBorders>
            <w:noWrap/>
            <w:vAlign w:val="center"/>
            <w:hideMark/>
          </w:tcPr>
          <w:p w14:paraId="5ABA067C" w14:textId="77777777" w:rsidR="0057201B" w:rsidRPr="00AE3A84" w:rsidRDefault="0057201B">
            <w:pPr>
              <w:pStyle w:val="BodyText"/>
              <w:jc w:val="both"/>
              <w:rPr>
                <w:noProof/>
              </w:rPr>
            </w:pPr>
            <w:r w:rsidRPr="00AE3A84">
              <w:rPr>
                <w:noProof/>
              </w:rPr>
              <w:t>N/A</w:t>
            </w:r>
          </w:p>
        </w:tc>
        <w:tc>
          <w:tcPr>
            <w:tcW w:w="900" w:type="dxa"/>
            <w:tcBorders>
              <w:top w:val="single" w:sz="4" w:space="0" w:color="auto"/>
              <w:left w:val="single" w:sz="4" w:space="0" w:color="000000"/>
              <w:bottom w:val="single" w:sz="4" w:space="0" w:color="000000"/>
              <w:right w:val="single" w:sz="4" w:space="0" w:color="000000"/>
            </w:tcBorders>
            <w:noWrap/>
            <w:vAlign w:val="center"/>
            <w:hideMark/>
          </w:tcPr>
          <w:p w14:paraId="2D979672" w14:textId="77777777" w:rsidR="0057201B" w:rsidRPr="00AE3A84" w:rsidRDefault="0057201B">
            <w:pPr>
              <w:pStyle w:val="BodyText"/>
              <w:jc w:val="both"/>
              <w:rPr>
                <w:noProof/>
              </w:rPr>
            </w:pPr>
            <w:r w:rsidRPr="00AE3A84">
              <w:rPr>
                <w:noProof/>
              </w:rPr>
              <w:t>2018</w:t>
            </w:r>
          </w:p>
        </w:tc>
        <w:tc>
          <w:tcPr>
            <w:tcW w:w="2636" w:type="dxa"/>
            <w:tcBorders>
              <w:top w:val="single" w:sz="4" w:space="0" w:color="auto"/>
              <w:left w:val="single" w:sz="4" w:space="0" w:color="000000"/>
              <w:bottom w:val="single" w:sz="4" w:space="0" w:color="000000"/>
              <w:right w:val="single" w:sz="4" w:space="0" w:color="000000"/>
            </w:tcBorders>
            <w:vAlign w:val="center"/>
            <w:hideMark/>
          </w:tcPr>
          <w:p w14:paraId="2B734D43" w14:textId="77777777" w:rsidR="0057201B" w:rsidRPr="00AE3A84" w:rsidRDefault="0057201B">
            <w:pPr>
              <w:pStyle w:val="BodyText"/>
              <w:rPr>
                <w:noProof/>
              </w:rPr>
            </w:pPr>
            <w:r w:rsidRPr="00AE3A84">
              <w:rPr>
                <w:noProof/>
              </w:rPr>
              <w:t>Francisco Noe Pimentel Hernadez</w:t>
            </w:r>
          </w:p>
        </w:tc>
        <w:tc>
          <w:tcPr>
            <w:tcW w:w="1935" w:type="dxa"/>
            <w:tcBorders>
              <w:top w:val="single" w:sz="4" w:space="0" w:color="auto"/>
              <w:left w:val="single" w:sz="4" w:space="0" w:color="000000"/>
              <w:bottom w:val="single" w:sz="4" w:space="0" w:color="000000"/>
              <w:right w:val="single" w:sz="4" w:space="0" w:color="000000"/>
            </w:tcBorders>
            <w:vAlign w:val="center"/>
            <w:hideMark/>
          </w:tcPr>
          <w:p w14:paraId="0167BF83" w14:textId="2317DF0A" w:rsidR="0057201B" w:rsidRPr="00AE3A84" w:rsidRDefault="0057201B">
            <w:pPr>
              <w:pStyle w:val="BodyText"/>
              <w:jc w:val="both"/>
              <w:rPr>
                <w:noProof/>
              </w:rPr>
            </w:pPr>
            <w:r w:rsidRPr="00AE3A84">
              <w:rPr>
                <w:noProof/>
              </w:rPr>
              <w:t>Admissibility</w:t>
            </w:r>
          </w:p>
        </w:tc>
      </w:tr>
      <w:tr w:rsidR="0057201B" w:rsidRPr="00AE3A84" w14:paraId="64BDAF35" w14:textId="77777777" w:rsidTr="00346F80">
        <w:trPr>
          <w:trHeight w:val="389"/>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75125F49" w14:textId="77777777" w:rsidR="0057201B" w:rsidRPr="00AE3A84" w:rsidRDefault="0057201B">
            <w:pPr>
              <w:pStyle w:val="BodyText"/>
              <w:jc w:val="center"/>
              <w:rPr>
                <w:noProof/>
              </w:rPr>
            </w:pPr>
            <w:r w:rsidRPr="00AE3A84">
              <w:rPr>
                <w:noProof/>
              </w:rPr>
              <w:t>44</w:t>
            </w:r>
          </w:p>
        </w:tc>
        <w:tc>
          <w:tcPr>
            <w:tcW w:w="1370" w:type="dxa"/>
            <w:tcBorders>
              <w:top w:val="nil"/>
              <w:left w:val="nil"/>
              <w:bottom w:val="nil"/>
              <w:right w:val="single" w:sz="4" w:space="0" w:color="000000"/>
            </w:tcBorders>
            <w:noWrap/>
            <w:vAlign w:val="center"/>
            <w:hideMark/>
          </w:tcPr>
          <w:p w14:paraId="5DC94B4F" w14:textId="77777777" w:rsidR="0057201B" w:rsidRPr="00AE3A84" w:rsidRDefault="0057201B">
            <w:pPr>
              <w:pStyle w:val="BodyText"/>
              <w:jc w:val="both"/>
              <w:rPr>
                <w:noProof/>
              </w:rPr>
            </w:pPr>
            <w:r>
              <w:rPr>
                <w:noProof/>
              </w:rPr>
              <w:t>Mexico</w:t>
            </w:r>
          </w:p>
        </w:tc>
        <w:tc>
          <w:tcPr>
            <w:tcW w:w="1620" w:type="dxa"/>
            <w:tcBorders>
              <w:top w:val="nil"/>
              <w:left w:val="single" w:sz="4" w:space="0" w:color="000000"/>
              <w:bottom w:val="nil"/>
              <w:right w:val="single" w:sz="4" w:space="0" w:color="000000"/>
            </w:tcBorders>
            <w:noWrap/>
            <w:vAlign w:val="center"/>
            <w:hideMark/>
          </w:tcPr>
          <w:p w14:paraId="0E5AFF34" w14:textId="77777777" w:rsidR="0057201B" w:rsidRPr="00AE3A84" w:rsidRDefault="0057201B">
            <w:pPr>
              <w:pStyle w:val="BodyText"/>
              <w:jc w:val="both"/>
              <w:rPr>
                <w:noProof/>
              </w:rPr>
            </w:pPr>
            <w:r w:rsidRPr="00AE3A84">
              <w:rPr>
                <w:noProof/>
              </w:rPr>
              <w:t>1672-18</w:t>
            </w:r>
          </w:p>
        </w:tc>
        <w:tc>
          <w:tcPr>
            <w:tcW w:w="1530" w:type="dxa"/>
            <w:tcBorders>
              <w:top w:val="nil"/>
              <w:left w:val="single" w:sz="4" w:space="0" w:color="000000"/>
              <w:bottom w:val="nil"/>
              <w:right w:val="single" w:sz="4" w:space="0" w:color="000000"/>
            </w:tcBorders>
            <w:noWrap/>
            <w:vAlign w:val="center"/>
            <w:hideMark/>
          </w:tcPr>
          <w:p w14:paraId="53FD17C6" w14:textId="77777777" w:rsidR="0057201B" w:rsidRPr="00AE3A84" w:rsidRDefault="0057201B">
            <w:pPr>
              <w:pStyle w:val="BodyText"/>
              <w:jc w:val="both"/>
              <w:rPr>
                <w:noProof/>
              </w:rPr>
            </w:pPr>
            <w:r w:rsidRPr="00AE3A84">
              <w:rPr>
                <w:noProof/>
              </w:rPr>
              <w:t>N/A</w:t>
            </w:r>
          </w:p>
        </w:tc>
        <w:tc>
          <w:tcPr>
            <w:tcW w:w="900" w:type="dxa"/>
            <w:tcBorders>
              <w:top w:val="nil"/>
              <w:left w:val="single" w:sz="4" w:space="0" w:color="000000"/>
              <w:bottom w:val="nil"/>
              <w:right w:val="single" w:sz="4" w:space="0" w:color="000000"/>
            </w:tcBorders>
            <w:noWrap/>
            <w:vAlign w:val="center"/>
            <w:hideMark/>
          </w:tcPr>
          <w:p w14:paraId="2F85F560" w14:textId="77777777" w:rsidR="0057201B" w:rsidRPr="00AE3A84" w:rsidRDefault="0057201B">
            <w:pPr>
              <w:pStyle w:val="BodyText"/>
              <w:jc w:val="both"/>
              <w:rPr>
                <w:noProof/>
              </w:rPr>
            </w:pPr>
            <w:r w:rsidRPr="00AE3A84">
              <w:rPr>
                <w:noProof/>
              </w:rPr>
              <w:t>2018</w:t>
            </w:r>
          </w:p>
        </w:tc>
        <w:tc>
          <w:tcPr>
            <w:tcW w:w="2636" w:type="dxa"/>
            <w:tcBorders>
              <w:top w:val="nil"/>
              <w:left w:val="single" w:sz="4" w:space="0" w:color="000000"/>
              <w:bottom w:val="nil"/>
              <w:right w:val="single" w:sz="4" w:space="0" w:color="000000"/>
            </w:tcBorders>
            <w:vAlign w:val="center"/>
            <w:hideMark/>
          </w:tcPr>
          <w:p w14:paraId="412333AD" w14:textId="77777777" w:rsidR="0057201B" w:rsidRPr="00AE3A84" w:rsidRDefault="0057201B">
            <w:pPr>
              <w:pStyle w:val="BodyText"/>
              <w:rPr>
                <w:noProof/>
              </w:rPr>
            </w:pPr>
            <w:r w:rsidRPr="00AE3A84">
              <w:rPr>
                <w:noProof/>
              </w:rPr>
              <w:t>Miguel Chávez Ayala</w:t>
            </w:r>
          </w:p>
        </w:tc>
        <w:tc>
          <w:tcPr>
            <w:tcW w:w="1935" w:type="dxa"/>
            <w:tcBorders>
              <w:top w:val="nil"/>
              <w:left w:val="single" w:sz="4" w:space="0" w:color="000000"/>
              <w:bottom w:val="nil"/>
              <w:right w:val="single" w:sz="4" w:space="0" w:color="000000"/>
            </w:tcBorders>
            <w:vAlign w:val="center"/>
            <w:hideMark/>
          </w:tcPr>
          <w:p w14:paraId="7E82387A" w14:textId="1AF5AD49" w:rsidR="0057201B" w:rsidRPr="00AE3A84" w:rsidRDefault="0057201B">
            <w:pPr>
              <w:pStyle w:val="BodyText"/>
              <w:jc w:val="both"/>
              <w:rPr>
                <w:noProof/>
              </w:rPr>
            </w:pPr>
            <w:r w:rsidRPr="00AE3A84">
              <w:rPr>
                <w:noProof/>
              </w:rPr>
              <w:t>Admissibility</w:t>
            </w:r>
          </w:p>
        </w:tc>
      </w:tr>
      <w:tr w:rsidR="0057201B" w:rsidRPr="00AE3A84" w14:paraId="438925BD" w14:textId="77777777" w:rsidTr="00346F80">
        <w:trPr>
          <w:trHeight w:val="1496"/>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5BF76D14" w14:textId="77777777" w:rsidR="0057201B" w:rsidRPr="00AE3A84" w:rsidRDefault="0057201B">
            <w:pPr>
              <w:pStyle w:val="BodyText"/>
              <w:jc w:val="center"/>
              <w:rPr>
                <w:noProof/>
              </w:rPr>
            </w:pPr>
            <w:r w:rsidRPr="00AE3A84">
              <w:rPr>
                <w:noProof/>
              </w:rPr>
              <w:lastRenderedPageBreak/>
              <w:t>45</w:t>
            </w:r>
          </w:p>
        </w:tc>
        <w:tc>
          <w:tcPr>
            <w:tcW w:w="1370" w:type="dxa"/>
            <w:tcBorders>
              <w:top w:val="single" w:sz="4" w:space="0" w:color="000000"/>
              <w:left w:val="single" w:sz="4" w:space="0" w:color="000000"/>
              <w:bottom w:val="single" w:sz="4" w:space="0" w:color="000000"/>
              <w:right w:val="single" w:sz="4" w:space="0" w:color="000000"/>
            </w:tcBorders>
            <w:noWrap/>
            <w:vAlign w:val="center"/>
            <w:hideMark/>
          </w:tcPr>
          <w:p w14:paraId="3E207687" w14:textId="0D8E584D" w:rsidR="0057201B" w:rsidRPr="00AE3A84" w:rsidRDefault="0057201B">
            <w:pPr>
              <w:pStyle w:val="BodyText"/>
              <w:jc w:val="both"/>
              <w:rPr>
                <w:noProof/>
              </w:rPr>
            </w:pPr>
            <w:r>
              <w:rPr>
                <w:noProof/>
              </w:rPr>
              <w:t>Mexico</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7E6FDFD9" w14:textId="77777777" w:rsidR="0057201B" w:rsidRPr="00AE3A84" w:rsidRDefault="0057201B">
            <w:pPr>
              <w:pStyle w:val="BodyText"/>
              <w:jc w:val="both"/>
              <w:rPr>
                <w:noProof/>
              </w:rPr>
            </w:pPr>
            <w:r w:rsidRPr="00AE3A84">
              <w:rPr>
                <w:noProof/>
              </w:rPr>
              <w:t>2097-13</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24EB7AA0" w14:textId="77777777" w:rsidR="0057201B" w:rsidRPr="00AE3A84" w:rsidRDefault="0057201B">
            <w:pPr>
              <w:pStyle w:val="BodyText"/>
              <w:jc w:val="both"/>
              <w:rPr>
                <w:noProof/>
              </w:rPr>
            </w:pPr>
            <w:r w:rsidRPr="00AE3A84">
              <w:rPr>
                <w:noProof/>
              </w:rPr>
              <w:t>13.853</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78CC0A16" w14:textId="77777777" w:rsidR="0057201B" w:rsidRPr="00AE3A84" w:rsidRDefault="0057201B">
            <w:pPr>
              <w:pStyle w:val="BodyText"/>
              <w:jc w:val="both"/>
              <w:rPr>
                <w:noProof/>
              </w:rPr>
            </w:pPr>
            <w:r w:rsidRPr="00AE3A84">
              <w:rPr>
                <w:noProof/>
              </w:rPr>
              <w:t>2013</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46ABF683" w14:textId="77777777" w:rsidR="0057201B" w:rsidRPr="00813F12" w:rsidRDefault="0057201B">
            <w:pPr>
              <w:pStyle w:val="BodyText"/>
              <w:rPr>
                <w:noProof/>
              </w:rPr>
            </w:pPr>
            <w:r w:rsidRPr="00813F12">
              <w:rPr>
                <w:noProof/>
              </w:rPr>
              <w:t>Members of the Yaqui Tribe and Traditional Auth</w:t>
            </w:r>
            <w:r>
              <w:rPr>
                <w:noProof/>
              </w:rPr>
              <w:t xml:space="preserve">orities from the </w:t>
            </w:r>
            <w:r w:rsidRPr="00D56708">
              <w:rPr>
                <w:noProof/>
              </w:rPr>
              <w:t>Communities</w:t>
            </w:r>
            <w:r>
              <w:rPr>
                <w:noProof/>
              </w:rPr>
              <w:t xml:space="preserve"> of</w:t>
            </w:r>
            <w:r w:rsidRPr="00813F12">
              <w:rPr>
                <w:noProof/>
              </w:rPr>
              <w:t xml:space="preserve"> Vicam, Cocorit, Belem, Bacum</w:t>
            </w:r>
            <w:r>
              <w:rPr>
                <w:noProof/>
              </w:rPr>
              <w:t>, and</w:t>
            </w:r>
            <w:r w:rsidRPr="00813F12">
              <w:rPr>
                <w:noProof/>
              </w:rPr>
              <w:t xml:space="preserve"> Potam</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4E1CD7A1" w14:textId="1311FA64" w:rsidR="0057201B" w:rsidRPr="00AE3A84" w:rsidRDefault="0057201B">
            <w:pPr>
              <w:pStyle w:val="BodyText"/>
              <w:jc w:val="both"/>
              <w:rPr>
                <w:noProof/>
              </w:rPr>
            </w:pPr>
            <w:r w:rsidRPr="00AE3A84">
              <w:rPr>
                <w:noProof/>
              </w:rPr>
              <w:t>Merits</w:t>
            </w:r>
          </w:p>
        </w:tc>
      </w:tr>
      <w:tr w:rsidR="0057201B" w:rsidRPr="00AE3A84" w14:paraId="058D7B5A" w14:textId="77777777" w:rsidTr="008B05A0">
        <w:trPr>
          <w:trHeight w:val="6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7F798CDD" w14:textId="77777777" w:rsidR="0057201B" w:rsidRPr="00AE3A84" w:rsidRDefault="0057201B">
            <w:pPr>
              <w:pStyle w:val="BodyText"/>
              <w:jc w:val="center"/>
              <w:rPr>
                <w:noProof/>
              </w:rPr>
            </w:pPr>
            <w:r w:rsidRPr="00AE3A84">
              <w:rPr>
                <w:noProof/>
              </w:rPr>
              <w:t>46</w:t>
            </w:r>
          </w:p>
        </w:tc>
        <w:tc>
          <w:tcPr>
            <w:tcW w:w="1370" w:type="dxa"/>
            <w:tcBorders>
              <w:top w:val="nil"/>
              <w:left w:val="nil"/>
              <w:bottom w:val="single" w:sz="4" w:space="0" w:color="000000"/>
              <w:right w:val="single" w:sz="4" w:space="0" w:color="000000"/>
            </w:tcBorders>
            <w:noWrap/>
            <w:vAlign w:val="center"/>
            <w:hideMark/>
          </w:tcPr>
          <w:p w14:paraId="751DE5E1" w14:textId="77777777" w:rsidR="0057201B" w:rsidRPr="00AE3A84" w:rsidRDefault="0057201B">
            <w:pPr>
              <w:pStyle w:val="BodyText"/>
              <w:jc w:val="both"/>
              <w:rPr>
                <w:noProof/>
              </w:rPr>
            </w:pPr>
            <w:r w:rsidRPr="00AE3A84">
              <w:rPr>
                <w:noProof/>
              </w:rPr>
              <w:t>Nicaragua</w:t>
            </w:r>
          </w:p>
        </w:tc>
        <w:tc>
          <w:tcPr>
            <w:tcW w:w="1620" w:type="dxa"/>
            <w:tcBorders>
              <w:top w:val="nil"/>
              <w:left w:val="single" w:sz="4" w:space="0" w:color="000000"/>
              <w:bottom w:val="single" w:sz="4" w:space="0" w:color="000000"/>
              <w:right w:val="single" w:sz="4" w:space="0" w:color="000000"/>
            </w:tcBorders>
            <w:vAlign w:val="center"/>
            <w:hideMark/>
          </w:tcPr>
          <w:p w14:paraId="1708E2A6" w14:textId="77777777" w:rsidR="0057201B" w:rsidRPr="00AE3A84" w:rsidRDefault="0057201B">
            <w:pPr>
              <w:pStyle w:val="BodyText"/>
              <w:jc w:val="both"/>
              <w:rPr>
                <w:noProof/>
              </w:rPr>
            </w:pPr>
            <w:r w:rsidRPr="00AE3A84">
              <w:rPr>
                <w:noProof/>
              </w:rPr>
              <w:t>1902-17</w:t>
            </w:r>
          </w:p>
        </w:tc>
        <w:tc>
          <w:tcPr>
            <w:tcW w:w="1530" w:type="dxa"/>
            <w:tcBorders>
              <w:top w:val="nil"/>
              <w:left w:val="single" w:sz="4" w:space="0" w:color="000000"/>
              <w:bottom w:val="single" w:sz="4" w:space="0" w:color="000000"/>
              <w:right w:val="single" w:sz="4" w:space="0" w:color="000000"/>
            </w:tcBorders>
            <w:noWrap/>
            <w:vAlign w:val="center"/>
            <w:hideMark/>
          </w:tcPr>
          <w:p w14:paraId="4AEBC229" w14:textId="77777777" w:rsidR="0057201B" w:rsidRPr="00AE3A84" w:rsidRDefault="0057201B">
            <w:pPr>
              <w:pStyle w:val="BodyText"/>
              <w:jc w:val="both"/>
              <w:rPr>
                <w:noProof/>
              </w:rPr>
            </w:pPr>
            <w:r w:rsidRPr="00AE3A84">
              <w:rPr>
                <w:noProof/>
              </w:rPr>
              <w:t>N/A</w:t>
            </w:r>
          </w:p>
        </w:tc>
        <w:tc>
          <w:tcPr>
            <w:tcW w:w="900" w:type="dxa"/>
            <w:tcBorders>
              <w:top w:val="nil"/>
              <w:left w:val="single" w:sz="4" w:space="0" w:color="000000"/>
              <w:bottom w:val="single" w:sz="4" w:space="0" w:color="000000"/>
              <w:right w:val="single" w:sz="4" w:space="0" w:color="000000"/>
            </w:tcBorders>
            <w:vAlign w:val="center"/>
            <w:hideMark/>
          </w:tcPr>
          <w:p w14:paraId="51848027" w14:textId="77777777" w:rsidR="0057201B" w:rsidRPr="00AE3A84" w:rsidRDefault="0057201B">
            <w:pPr>
              <w:pStyle w:val="BodyText"/>
              <w:jc w:val="both"/>
              <w:rPr>
                <w:noProof/>
              </w:rPr>
            </w:pPr>
            <w:r w:rsidRPr="00AE3A84">
              <w:rPr>
                <w:noProof/>
              </w:rPr>
              <w:t>2017</w:t>
            </w:r>
          </w:p>
        </w:tc>
        <w:tc>
          <w:tcPr>
            <w:tcW w:w="2636" w:type="dxa"/>
            <w:tcBorders>
              <w:top w:val="nil"/>
              <w:left w:val="single" w:sz="4" w:space="0" w:color="000000"/>
              <w:bottom w:val="single" w:sz="4" w:space="0" w:color="000000"/>
              <w:right w:val="single" w:sz="4" w:space="0" w:color="000000"/>
            </w:tcBorders>
            <w:vAlign w:val="center"/>
            <w:hideMark/>
          </w:tcPr>
          <w:p w14:paraId="6335292A" w14:textId="77777777" w:rsidR="0057201B" w:rsidRPr="00AE3A84" w:rsidRDefault="0057201B">
            <w:pPr>
              <w:pStyle w:val="BodyText"/>
              <w:rPr>
                <w:noProof/>
                <w:lang w:val="es-US"/>
              </w:rPr>
            </w:pPr>
            <w:r w:rsidRPr="00AE3A84">
              <w:rPr>
                <w:noProof/>
                <w:lang w:val="es-US"/>
              </w:rPr>
              <w:t xml:space="preserve">Guillermo José Castillo Rivera </w:t>
            </w:r>
            <w:r>
              <w:rPr>
                <w:noProof/>
                <w:lang w:val="es-US"/>
              </w:rPr>
              <w:t>and</w:t>
            </w:r>
            <w:r w:rsidRPr="00AE3A84">
              <w:rPr>
                <w:noProof/>
                <w:lang w:val="es-US"/>
              </w:rPr>
              <w:t xml:space="preserve"> Julia Hortensia Barquero Hernández</w:t>
            </w:r>
          </w:p>
        </w:tc>
        <w:tc>
          <w:tcPr>
            <w:tcW w:w="1935" w:type="dxa"/>
            <w:tcBorders>
              <w:top w:val="nil"/>
              <w:left w:val="single" w:sz="4" w:space="0" w:color="000000"/>
              <w:bottom w:val="single" w:sz="4" w:space="0" w:color="000000"/>
              <w:right w:val="single" w:sz="4" w:space="0" w:color="000000"/>
            </w:tcBorders>
            <w:vAlign w:val="center"/>
            <w:hideMark/>
          </w:tcPr>
          <w:p w14:paraId="097917AA" w14:textId="551A2B0D" w:rsidR="0057201B" w:rsidRPr="00AE3A84" w:rsidRDefault="0057201B">
            <w:pPr>
              <w:pStyle w:val="BodyText"/>
              <w:jc w:val="both"/>
              <w:rPr>
                <w:noProof/>
              </w:rPr>
            </w:pPr>
            <w:r w:rsidRPr="00AE3A84">
              <w:rPr>
                <w:noProof/>
              </w:rPr>
              <w:t>Admissibility</w:t>
            </w:r>
          </w:p>
        </w:tc>
      </w:tr>
      <w:tr w:rsidR="0057201B" w:rsidRPr="00AE3A84" w14:paraId="75FE80B6" w14:textId="77777777" w:rsidTr="008B05A0">
        <w:trPr>
          <w:trHeight w:val="533"/>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1FC1CDB7" w14:textId="77777777" w:rsidR="0057201B" w:rsidRPr="00AE3A84" w:rsidRDefault="0057201B">
            <w:pPr>
              <w:pStyle w:val="BodyText"/>
              <w:jc w:val="center"/>
              <w:rPr>
                <w:noProof/>
              </w:rPr>
            </w:pPr>
            <w:r w:rsidRPr="00AE3A84">
              <w:rPr>
                <w:noProof/>
              </w:rPr>
              <w:t>47</w:t>
            </w:r>
          </w:p>
        </w:tc>
        <w:tc>
          <w:tcPr>
            <w:tcW w:w="1370" w:type="dxa"/>
            <w:tcBorders>
              <w:top w:val="single" w:sz="4" w:space="0" w:color="000000"/>
              <w:left w:val="nil"/>
              <w:bottom w:val="single" w:sz="4" w:space="0" w:color="000000"/>
              <w:right w:val="single" w:sz="4" w:space="0" w:color="000000"/>
            </w:tcBorders>
            <w:shd w:val="clear" w:color="000000" w:fill="FFFFFF"/>
            <w:noWrap/>
            <w:vAlign w:val="center"/>
            <w:hideMark/>
          </w:tcPr>
          <w:p w14:paraId="68FDAAC9" w14:textId="77777777" w:rsidR="0057201B" w:rsidRPr="00AE3A84" w:rsidRDefault="0057201B">
            <w:pPr>
              <w:pStyle w:val="BodyText"/>
              <w:jc w:val="both"/>
              <w:rPr>
                <w:noProof/>
              </w:rPr>
            </w:pPr>
            <w:r w:rsidRPr="00AE3A84">
              <w:rPr>
                <w:noProof/>
              </w:rPr>
              <w:t>Nicaragua</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8DE1E5" w14:textId="77777777" w:rsidR="0057201B" w:rsidRPr="00AE3A84" w:rsidRDefault="0057201B">
            <w:pPr>
              <w:pStyle w:val="BodyText"/>
              <w:jc w:val="both"/>
              <w:rPr>
                <w:noProof/>
              </w:rPr>
            </w:pPr>
            <w:r w:rsidRPr="00AE3A84">
              <w:rPr>
                <w:noProof/>
              </w:rPr>
              <w:t>2199-20</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1FF836" w14:textId="77777777" w:rsidR="0057201B" w:rsidRPr="00AE3A84" w:rsidRDefault="0057201B">
            <w:pPr>
              <w:pStyle w:val="BodyText"/>
              <w:jc w:val="both"/>
              <w:rPr>
                <w:noProof/>
              </w:rPr>
            </w:pPr>
            <w:r w:rsidRPr="00AE3A84">
              <w:rPr>
                <w:noProof/>
              </w:rPr>
              <w:t>14.697</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8230A5" w14:textId="77777777" w:rsidR="0057201B" w:rsidRPr="00AE3A84" w:rsidRDefault="0057201B">
            <w:pPr>
              <w:pStyle w:val="BodyText"/>
              <w:jc w:val="both"/>
              <w:rPr>
                <w:noProof/>
              </w:rPr>
            </w:pPr>
            <w:r w:rsidRPr="00AE3A84">
              <w:rPr>
                <w:noProof/>
              </w:rPr>
              <w:t>2020</w:t>
            </w:r>
          </w:p>
        </w:tc>
        <w:tc>
          <w:tcPr>
            <w:tcW w:w="263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A90FBB1" w14:textId="77777777" w:rsidR="0057201B" w:rsidRPr="00AE3A84" w:rsidRDefault="0057201B">
            <w:pPr>
              <w:pStyle w:val="BodyText"/>
              <w:rPr>
                <w:noProof/>
                <w:lang w:val="es-US"/>
              </w:rPr>
            </w:pPr>
            <w:r w:rsidRPr="00AE3A84">
              <w:rPr>
                <w:noProof/>
                <w:lang w:val="es-US"/>
              </w:rPr>
              <w:t>Carolina Fernanda Valle Flores, Danilo José Lacayo Lanzas, Mariano Uriel Valle Flores, Manuel Mariano Valle Peters</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7146F4C" w14:textId="3A7FF419" w:rsidR="0057201B" w:rsidRPr="00AE3A84" w:rsidRDefault="0057201B">
            <w:pPr>
              <w:pStyle w:val="BodyText"/>
              <w:jc w:val="both"/>
              <w:rPr>
                <w:noProof/>
              </w:rPr>
            </w:pPr>
            <w:r w:rsidRPr="00AE3A84">
              <w:rPr>
                <w:noProof/>
              </w:rPr>
              <w:t>Merits</w:t>
            </w:r>
          </w:p>
        </w:tc>
      </w:tr>
      <w:tr w:rsidR="0057201B" w:rsidRPr="00AE3A84" w14:paraId="5D176D05" w14:textId="77777777" w:rsidTr="003A787D">
        <w:trPr>
          <w:trHeight w:val="578"/>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3F9CB89C" w14:textId="77777777" w:rsidR="0057201B" w:rsidRPr="00AE3A84" w:rsidRDefault="0057201B">
            <w:pPr>
              <w:pStyle w:val="BodyText"/>
              <w:jc w:val="center"/>
              <w:rPr>
                <w:noProof/>
              </w:rPr>
            </w:pPr>
            <w:r w:rsidRPr="00AE3A84">
              <w:rPr>
                <w:noProof/>
              </w:rPr>
              <w:t>48</w:t>
            </w:r>
          </w:p>
        </w:tc>
        <w:tc>
          <w:tcPr>
            <w:tcW w:w="1370" w:type="dxa"/>
            <w:tcBorders>
              <w:top w:val="single" w:sz="4" w:space="0" w:color="000000"/>
              <w:left w:val="nil"/>
              <w:bottom w:val="single" w:sz="4" w:space="0" w:color="000000"/>
              <w:right w:val="single" w:sz="4" w:space="0" w:color="000000"/>
            </w:tcBorders>
            <w:noWrap/>
            <w:vAlign w:val="center"/>
            <w:hideMark/>
          </w:tcPr>
          <w:p w14:paraId="432F1B44" w14:textId="77777777" w:rsidR="0057201B" w:rsidRPr="00AE3A84" w:rsidRDefault="0057201B">
            <w:pPr>
              <w:pStyle w:val="BodyText"/>
              <w:jc w:val="both"/>
              <w:rPr>
                <w:noProof/>
              </w:rPr>
            </w:pPr>
            <w:r>
              <w:rPr>
                <w:noProof/>
              </w:rPr>
              <w:t>Panama</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0135D640" w14:textId="77777777" w:rsidR="0057201B" w:rsidRPr="00AE3A84" w:rsidRDefault="0057201B">
            <w:pPr>
              <w:pStyle w:val="BodyText"/>
              <w:jc w:val="both"/>
              <w:rPr>
                <w:noProof/>
              </w:rPr>
            </w:pPr>
            <w:r w:rsidRPr="00AE3A84">
              <w:rPr>
                <w:noProof/>
              </w:rPr>
              <w:t>2016-17</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096900DD"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1C52C6D3" w14:textId="77777777" w:rsidR="0057201B" w:rsidRPr="00AE3A84" w:rsidRDefault="0057201B">
            <w:pPr>
              <w:pStyle w:val="BodyText"/>
              <w:jc w:val="both"/>
              <w:rPr>
                <w:noProof/>
              </w:rPr>
            </w:pPr>
            <w:r w:rsidRPr="00AE3A84">
              <w:rPr>
                <w:noProof/>
              </w:rPr>
              <w:t>2017</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2EA255E5" w14:textId="77777777" w:rsidR="0057201B" w:rsidRPr="00AE3A84" w:rsidRDefault="0057201B">
            <w:pPr>
              <w:pStyle w:val="BodyText"/>
              <w:rPr>
                <w:noProof/>
                <w:lang w:val="es-US"/>
              </w:rPr>
            </w:pPr>
            <w:r w:rsidRPr="00AE3A84">
              <w:rPr>
                <w:noProof/>
                <w:lang w:val="es-US"/>
              </w:rPr>
              <w:t>Edgar De Aries Gonzalez Segundo</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24C60E18" w14:textId="6D390BA1" w:rsidR="0057201B" w:rsidRPr="00AE3A84" w:rsidRDefault="0057201B">
            <w:pPr>
              <w:pStyle w:val="BodyText"/>
              <w:jc w:val="both"/>
              <w:rPr>
                <w:noProof/>
              </w:rPr>
            </w:pPr>
            <w:r w:rsidRPr="00AE3A84">
              <w:rPr>
                <w:noProof/>
              </w:rPr>
              <w:t>Admissibility</w:t>
            </w:r>
          </w:p>
        </w:tc>
      </w:tr>
      <w:tr w:rsidR="0057201B" w:rsidRPr="00AE3A84" w14:paraId="63F5CBBB" w14:textId="77777777" w:rsidTr="003A787D">
        <w:trPr>
          <w:trHeight w:val="506"/>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66BE4725" w14:textId="77777777" w:rsidR="0057201B" w:rsidRPr="00AE3A84" w:rsidRDefault="0057201B">
            <w:pPr>
              <w:pStyle w:val="BodyText"/>
              <w:jc w:val="center"/>
              <w:rPr>
                <w:noProof/>
              </w:rPr>
            </w:pPr>
            <w:r w:rsidRPr="00AE3A84">
              <w:rPr>
                <w:noProof/>
              </w:rPr>
              <w:t>49</w:t>
            </w:r>
          </w:p>
        </w:tc>
        <w:tc>
          <w:tcPr>
            <w:tcW w:w="1370" w:type="dxa"/>
            <w:tcBorders>
              <w:top w:val="nil"/>
              <w:left w:val="nil"/>
              <w:bottom w:val="single" w:sz="4" w:space="0" w:color="000000"/>
              <w:right w:val="single" w:sz="4" w:space="0" w:color="000000"/>
            </w:tcBorders>
            <w:vAlign w:val="center"/>
            <w:hideMark/>
          </w:tcPr>
          <w:p w14:paraId="2CBC555F" w14:textId="77777777" w:rsidR="0057201B" w:rsidRPr="00AE3A84" w:rsidRDefault="0057201B">
            <w:pPr>
              <w:pStyle w:val="BodyText"/>
              <w:jc w:val="both"/>
              <w:rPr>
                <w:noProof/>
              </w:rPr>
            </w:pPr>
            <w:r w:rsidRPr="00AE3A84">
              <w:rPr>
                <w:noProof/>
              </w:rPr>
              <w:t>Paraguay</w:t>
            </w:r>
          </w:p>
        </w:tc>
        <w:tc>
          <w:tcPr>
            <w:tcW w:w="1620" w:type="dxa"/>
            <w:tcBorders>
              <w:top w:val="nil"/>
              <w:left w:val="single" w:sz="4" w:space="0" w:color="000000"/>
              <w:bottom w:val="single" w:sz="4" w:space="0" w:color="000000"/>
              <w:right w:val="single" w:sz="4" w:space="0" w:color="000000"/>
            </w:tcBorders>
            <w:vAlign w:val="center"/>
            <w:hideMark/>
          </w:tcPr>
          <w:p w14:paraId="5023EBD0" w14:textId="77777777" w:rsidR="0057201B" w:rsidRPr="00AE3A84" w:rsidRDefault="0057201B">
            <w:pPr>
              <w:pStyle w:val="BodyText"/>
              <w:jc w:val="both"/>
              <w:rPr>
                <w:noProof/>
              </w:rPr>
            </w:pPr>
            <w:r w:rsidRPr="00AE3A84">
              <w:rPr>
                <w:noProof/>
              </w:rPr>
              <w:t>P-1219-07</w:t>
            </w:r>
          </w:p>
        </w:tc>
        <w:tc>
          <w:tcPr>
            <w:tcW w:w="1530" w:type="dxa"/>
            <w:tcBorders>
              <w:top w:val="nil"/>
              <w:left w:val="single" w:sz="4" w:space="0" w:color="000000"/>
              <w:bottom w:val="single" w:sz="4" w:space="0" w:color="000000"/>
              <w:right w:val="single" w:sz="4" w:space="0" w:color="000000"/>
            </w:tcBorders>
            <w:vAlign w:val="center"/>
            <w:hideMark/>
          </w:tcPr>
          <w:p w14:paraId="0D1A5D49" w14:textId="77777777" w:rsidR="0057201B" w:rsidRPr="00AE3A84" w:rsidRDefault="0057201B">
            <w:pPr>
              <w:pStyle w:val="BodyText"/>
              <w:jc w:val="both"/>
              <w:rPr>
                <w:noProof/>
              </w:rPr>
            </w:pPr>
            <w:r w:rsidRPr="00AE3A84">
              <w:rPr>
                <w:noProof/>
              </w:rPr>
              <w:t>N/A</w:t>
            </w:r>
          </w:p>
        </w:tc>
        <w:tc>
          <w:tcPr>
            <w:tcW w:w="900" w:type="dxa"/>
            <w:tcBorders>
              <w:top w:val="nil"/>
              <w:left w:val="single" w:sz="4" w:space="0" w:color="000000"/>
              <w:bottom w:val="single" w:sz="4" w:space="0" w:color="000000"/>
              <w:right w:val="single" w:sz="4" w:space="0" w:color="000000"/>
            </w:tcBorders>
            <w:vAlign w:val="center"/>
            <w:hideMark/>
          </w:tcPr>
          <w:p w14:paraId="47798160" w14:textId="77777777" w:rsidR="0057201B" w:rsidRPr="00AE3A84" w:rsidRDefault="0057201B">
            <w:pPr>
              <w:pStyle w:val="BodyText"/>
              <w:jc w:val="both"/>
              <w:rPr>
                <w:noProof/>
              </w:rPr>
            </w:pPr>
            <w:r w:rsidRPr="00AE3A84">
              <w:rPr>
                <w:noProof/>
              </w:rPr>
              <w:t>2007</w:t>
            </w:r>
          </w:p>
        </w:tc>
        <w:tc>
          <w:tcPr>
            <w:tcW w:w="2636" w:type="dxa"/>
            <w:tcBorders>
              <w:top w:val="nil"/>
              <w:left w:val="single" w:sz="4" w:space="0" w:color="000000"/>
              <w:bottom w:val="single" w:sz="4" w:space="0" w:color="000000"/>
              <w:right w:val="single" w:sz="4" w:space="0" w:color="000000"/>
            </w:tcBorders>
            <w:vAlign w:val="center"/>
            <w:hideMark/>
          </w:tcPr>
          <w:p w14:paraId="1B652122" w14:textId="77777777" w:rsidR="0057201B" w:rsidRPr="00AE3A84" w:rsidRDefault="0057201B">
            <w:pPr>
              <w:pStyle w:val="BodyText"/>
              <w:rPr>
                <w:noProof/>
              </w:rPr>
            </w:pPr>
            <w:r w:rsidRPr="00AE3A84">
              <w:rPr>
                <w:noProof/>
              </w:rPr>
              <w:t>Agustín Vasquez Leiva</w:t>
            </w:r>
          </w:p>
        </w:tc>
        <w:tc>
          <w:tcPr>
            <w:tcW w:w="1935" w:type="dxa"/>
            <w:tcBorders>
              <w:top w:val="nil"/>
              <w:left w:val="single" w:sz="4" w:space="0" w:color="000000"/>
              <w:bottom w:val="single" w:sz="4" w:space="0" w:color="000000"/>
              <w:right w:val="single" w:sz="4" w:space="0" w:color="000000"/>
            </w:tcBorders>
            <w:vAlign w:val="center"/>
            <w:hideMark/>
          </w:tcPr>
          <w:p w14:paraId="11B4E65A" w14:textId="0C07F52D" w:rsidR="0057201B" w:rsidRPr="00AE3A84" w:rsidRDefault="0057201B">
            <w:pPr>
              <w:pStyle w:val="BodyText"/>
              <w:jc w:val="both"/>
              <w:rPr>
                <w:noProof/>
              </w:rPr>
            </w:pPr>
            <w:r w:rsidRPr="00AE3A84">
              <w:rPr>
                <w:noProof/>
              </w:rPr>
              <w:t>Friendly Settlement</w:t>
            </w:r>
          </w:p>
        </w:tc>
      </w:tr>
      <w:tr w:rsidR="0057201B" w:rsidRPr="00AE3A84" w14:paraId="55AAAEBE" w14:textId="77777777" w:rsidTr="003A787D">
        <w:trPr>
          <w:trHeight w:val="587"/>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6795B83F" w14:textId="77777777" w:rsidR="0057201B" w:rsidRPr="00AE3A84" w:rsidRDefault="0057201B">
            <w:pPr>
              <w:pStyle w:val="BodyText"/>
              <w:jc w:val="center"/>
              <w:rPr>
                <w:noProof/>
              </w:rPr>
            </w:pPr>
            <w:r w:rsidRPr="00AE3A84">
              <w:rPr>
                <w:noProof/>
              </w:rPr>
              <w:t>50</w:t>
            </w:r>
          </w:p>
        </w:tc>
        <w:tc>
          <w:tcPr>
            <w:tcW w:w="1370" w:type="dxa"/>
            <w:tcBorders>
              <w:top w:val="nil"/>
              <w:left w:val="nil"/>
              <w:bottom w:val="nil"/>
              <w:right w:val="single" w:sz="4" w:space="0" w:color="000000"/>
            </w:tcBorders>
            <w:vAlign w:val="center"/>
            <w:hideMark/>
          </w:tcPr>
          <w:p w14:paraId="75CA37A1" w14:textId="77777777" w:rsidR="0057201B" w:rsidRPr="00AE3A84" w:rsidRDefault="0057201B">
            <w:pPr>
              <w:pStyle w:val="BodyText"/>
              <w:jc w:val="both"/>
              <w:rPr>
                <w:noProof/>
              </w:rPr>
            </w:pPr>
            <w:r w:rsidRPr="00AE3A84">
              <w:rPr>
                <w:noProof/>
              </w:rPr>
              <w:t>Paraguay</w:t>
            </w:r>
          </w:p>
        </w:tc>
        <w:tc>
          <w:tcPr>
            <w:tcW w:w="1620" w:type="dxa"/>
            <w:tcBorders>
              <w:top w:val="nil"/>
              <w:left w:val="single" w:sz="4" w:space="0" w:color="000000"/>
              <w:bottom w:val="nil"/>
              <w:right w:val="single" w:sz="4" w:space="0" w:color="000000"/>
            </w:tcBorders>
            <w:vAlign w:val="center"/>
            <w:hideMark/>
          </w:tcPr>
          <w:p w14:paraId="69C50728" w14:textId="77777777" w:rsidR="0057201B" w:rsidRPr="00AE3A84" w:rsidRDefault="0057201B">
            <w:pPr>
              <w:pStyle w:val="BodyText"/>
              <w:jc w:val="both"/>
              <w:rPr>
                <w:noProof/>
              </w:rPr>
            </w:pPr>
            <w:r w:rsidRPr="00AE3A84">
              <w:rPr>
                <w:noProof/>
              </w:rPr>
              <w:t>P-1222-07</w:t>
            </w:r>
          </w:p>
        </w:tc>
        <w:tc>
          <w:tcPr>
            <w:tcW w:w="1530" w:type="dxa"/>
            <w:tcBorders>
              <w:top w:val="nil"/>
              <w:left w:val="single" w:sz="4" w:space="0" w:color="000000"/>
              <w:bottom w:val="nil"/>
              <w:right w:val="single" w:sz="4" w:space="0" w:color="000000"/>
            </w:tcBorders>
            <w:vAlign w:val="center"/>
            <w:hideMark/>
          </w:tcPr>
          <w:p w14:paraId="46B08A7C" w14:textId="77777777" w:rsidR="0057201B" w:rsidRPr="00AE3A84" w:rsidRDefault="0057201B">
            <w:pPr>
              <w:pStyle w:val="BodyText"/>
              <w:jc w:val="both"/>
              <w:rPr>
                <w:noProof/>
              </w:rPr>
            </w:pPr>
            <w:r w:rsidRPr="00AE3A84">
              <w:rPr>
                <w:noProof/>
              </w:rPr>
              <w:t>N/A</w:t>
            </w:r>
          </w:p>
        </w:tc>
        <w:tc>
          <w:tcPr>
            <w:tcW w:w="900" w:type="dxa"/>
            <w:tcBorders>
              <w:top w:val="nil"/>
              <w:left w:val="single" w:sz="4" w:space="0" w:color="000000"/>
              <w:bottom w:val="nil"/>
              <w:right w:val="single" w:sz="4" w:space="0" w:color="000000"/>
            </w:tcBorders>
            <w:vAlign w:val="center"/>
            <w:hideMark/>
          </w:tcPr>
          <w:p w14:paraId="7DBD81AC" w14:textId="77777777" w:rsidR="0057201B" w:rsidRPr="00AE3A84" w:rsidRDefault="0057201B">
            <w:pPr>
              <w:pStyle w:val="BodyText"/>
              <w:jc w:val="both"/>
              <w:rPr>
                <w:noProof/>
              </w:rPr>
            </w:pPr>
            <w:r w:rsidRPr="00AE3A84">
              <w:rPr>
                <w:noProof/>
              </w:rPr>
              <w:t>2007</w:t>
            </w:r>
          </w:p>
        </w:tc>
        <w:tc>
          <w:tcPr>
            <w:tcW w:w="2636" w:type="dxa"/>
            <w:tcBorders>
              <w:top w:val="nil"/>
              <w:left w:val="single" w:sz="4" w:space="0" w:color="000000"/>
              <w:bottom w:val="nil"/>
              <w:right w:val="single" w:sz="4" w:space="0" w:color="000000"/>
            </w:tcBorders>
            <w:vAlign w:val="center"/>
            <w:hideMark/>
          </w:tcPr>
          <w:p w14:paraId="6A24A063" w14:textId="77777777" w:rsidR="0057201B" w:rsidRPr="00AE3A84" w:rsidRDefault="0057201B">
            <w:pPr>
              <w:pStyle w:val="BodyText"/>
              <w:rPr>
                <w:noProof/>
              </w:rPr>
            </w:pPr>
            <w:r w:rsidRPr="00AE3A84">
              <w:rPr>
                <w:noProof/>
              </w:rPr>
              <w:t>Renzo Antonio Benitez</w:t>
            </w:r>
          </w:p>
        </w:tc>
        <w:tc>
          <w:tcPr>
            <w:tcW w:w="1935" w:type="dxa"/>
            <w:tcBorders>
              <w:top w:val="nil"/>
              <w:left w:val="single" w:sz="4" w:space="0" w:color="000000"/>
              <w:bottom w:val="nil"/>
              <w:right w:val="single" w:sz="4" w:space="0" w:color="000000"/>
            </w:tcBorders>
            <w:vAlign w:val="center"/>
            <w:hideMark/>
          </w:tcPr>
          <w:p w14:paraId="1A29EE61" w14:textId="706242FD" w:rsidR="0057201B" w:rsidRPr="00AE3A84" w:rsidRDefault="0057201B">
            <w:pPr>
              <w:pStyle w:val="BodyText"/>
              <w:jc w:val="both"/>
              <w:rPr>
                <w:noProof/>
              </w:rPr>
            </w:pPr>
            <w:r w:rsidRPr="00AE3A84">
              <w:rPr>
                <w:noProof/>
              </w:rPr>
              <w:t>Friendly Settlement</w:t>
            </w:r>
          </w:p>
        </w:tc>
      </w:tr>
      <w:tr w:rsidR="0057201B" w:rsidRPr="00AE3A84" w14:paraId="6632CAB4" w14:textId="77777777" w:rsidTr="003A787D">
        <w:trPr>
          <w:trHeight w:val="407"/>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0FFE8F03" w14:textId="77777777" w:rsidR="0057201B" w:rsidRPr="00AE3A84" w:rsidRDefault="0057201B">
            <w:pPr>
              <w:pStyle w:val="BodyText"/>
              <w:jc w:val="center"/>
              <w:rPr>
                <w:noProof/>
              </w:rPr>
            </w:pPr>
            <w:r w:rsidRPr="00AE3A84">
              <w:rPr>
                <w:noProof/>
              </w:rPr>
              <w:t>51</w:t>
            </w:r>
          </w:p>
        </w:tc>
        <w:tc>
          <w:tcPr>
            <w:tcW w:w="1370" w:type="dxa"/>
            <w:tcBorders>
              <w:top w:val="single" w:sz="4" w:space="0" w:color="000000"/>
              <w:left w:val="nil"/>
              <w:bottom w:val="single" w:sz="4" w:space="0" w:color="000000"/>
              <w:right w:val="single" w:sz="4" w:space="0" w:color="000000"/>
            </w:tcBorders>
            <w:noWrap/>
            <w:vAlign w:val="center"/>
            <w:hideMark/>
          </w:tcPr>
          <w:p w14:paraId="102A166E" w14:textId="77777777" w:rsidR="0057201B" w:rsidRPr="00AE3A84" w:rsidRDefault="0057201B">
            <w:pPr>
              <w:pStyle w:val="BodyText"/>
              <w:jc w:val="both"/>
              <w:rPr>
                <w:noProof/>
              </w:rPr>
            </w:pPr>
            <w:r>
              <w:rPr>
                <w:noProof/>
              </w:rPr>
              <w:t>Peru</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39AB408B" w14:textId="77777777" w:rsidR="0057201B" w:rsidRPr="00AE3A84" w:rsidRDefault="0057201B">
            <w:pPr>
              <w:pStyle w:val="BodyText"/>
              <w:jc w:val="both"/>
              <w:rPr>
                <w:noProof/>
              </w:rPr>
            </w:pPr>
            <w:r w:rsidRPr="00AE3A84">
              <w:rPr>
                <w:noProof/>
              </w:rPr>
              <w:t>1914-12</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79D7F261" w14:textId="77777777" w:rsidR="0057201B" w:rsidRPr="00AE3A84" w:rsidRDefault="0057201B">
            <w:pPr>
              <w:pStyle w:val="BodyText"/>
              <w:jc w:val="both"/>
              <w:rPr>
                <w:noProof/>
              </w:rPr>
            </w:pPr>
            <w:r w:rsidRPr="00AE3A84">
              <w:rPr>
                <w:noProof/>
              </w:rPr>
              <w:t>N/A</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6C7A63EE" w14:textId="77777777" w:rsidR="0057201B" w:rsidRPr="00AE3A84" w:rsidRDefault="0057201B">
            <w:pPr>
              <w:pStyle w:val="BodyText"/>
              <w:jc w:val="both"/>
              <w:rPr>
                <w:noProof/>
              </w:rPr>
            </w:pPr>
            <w:r w:rsidRPr="00AE3A84">
              <w:rPr>
                <w:noProof/>
              </w:rPr>
              <w:t>2012</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2E58827F" w14:textId="77777777" w:rsidR="0057201B" w:rsidRPr="00AE3A84" w:rsidRDefault="0057201B">
            <w:pPr>
              <w:pStyle w:val="BodyText"/>
              <w:rPr>
                <w:noProof/>
              </w:rPr>
            </w:pPr>
            <w:r w:rsidRPr="00AE3A84">
              <w:rPr>
                <w:noProof/>
              </w:rPr>
              <w:t>Jose Luis Torres Saavedra</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1492FE4F" w14:textId="0C7D544A" w:rsidR="0057201B" w:rsidRPr="00AE3A84" w:rsidRDefault="0057201B">
            <w:pPr>
              <w:pStyle w:val="BodyText"/>
              <w:jc w:val="both"/>
              <w:rPr>
                <w:noProof/>
              </w:rPr>
            </w:pPr>
            <w:r w:rsidRPr="00AE3A84">
              <w:rPr>
                <w:noProof/>
              </w:rPr>
              <w:t>Admissibility</w:t>
            </w:r>
          </w:p>
        </w:tc>
      </w:tr>
      <w:tr w:rsidR="0057201B" w:rsidRPr="00AE3A84" w14:paraId="22D6B426" w14:textId="77777777" w:rsidTr="003A787D">
        <w:trPr>
          <w:trHeight w:val="416"/>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45974976" w14:textId="77777777" w:rsidR="0057201B" w:rsidRPr="00AE3A84" w:rsidRDefault="0057201B">
            <w:pPr>
              <w:pStyle w:val="BodyText"/>
              <w:jc w:val="center"/>
              <w:rPr>
                <w:noProof/>
              </w:rPr>
            </w:pPr>
            <w:r w:rsidRPr="00AE3A84">
              <w:rPr>
                <w:noProof/>
              </w:rPr>
              <w:t>52</w:t>
            </w:r>
          </w:p>
        </w:tc>
        <w:tc>
          <w:tcPr>
            <w:tcW w:w="1370" w:type="dxa"/>
            <w:tcBorders>
              <w:top w:val="nil"/>
              <w:left w:val="nil"/>
              <w:bottom w:val="single" w:sz="4" w:space="0" w:color="000000"/>
              <w:right w:val="single" w:sz="4" w:space="0" w:color="000000"/>
            </w:tcBorders>
            <w:noWrap/>
            <w:vAlign w:val="center"/>
            <w:hideMark/>
          </w:tcPr>
          <w:p w14:paraId="482295AD" w14:textId="77777777" w:rsidR="0057201B" w:rsidRPr="00AE3A84" w:rsidRDefault="0057201B">
            <w:pPr>
              <w:pStyle w:val="BodyText"/>
              <w:jc w:val="both"/>
              <w:rPr>
                <w:noProof/>
              </w:rPr>
            </w:pPr>
            <w:r>
              <w:rPr>
                <w:noProof/>
              </w:rPr>
              <w:t>Peru</w:t>
            </w:r>
          </w:p>
        </w:tc>
        <w:tc>
          <w:tcPr>
            <w:tcW w:w="1620" w:type="dxa"/>
            <w:tcBorders>
              <w:top w:val="nil"/>
              <w:left w:val="single" w:sz="4" w:space="0" w:color="000000"/>
              <w:bottom w:val="single" w:sz="4" w:space="0" w:color="000000"/>
              <w:right w:val="single" w:sz="4" w:space="0" w:color="000000"/>
            </w:tcBorders>
            <w:vAlign w:val="center"/>
            <w:hideMark/>
          </w:tcPr>
          <w:p w14:paraId="71D4F47F" w14:textId="77777777" w:rsidR="0057201B" w:rsidRPr="00AE3A84" w:rsidRDefault="0057201B">
            <w:pPr>
              <w:pStyle w:val="BodyText"/>
              <w:jc w:val="both"/>
              <w:rPr>
                <w:noProof/>
              </w:rPr>
            </w:pPr>
            <w:r w:rsidRPr="00AE3A84">
              <w:rPr>
                <w:noProof/>
              </w:rPr>
              <w:t>762-CA</w:t>
            </w:r>
          </w:p>
        </w:tc>
        <w:tc>
          <w:tcPr>
            <w:tcW w:w="1530" w:type="dxa"/>
            <w:tcBorders>
              <w:top w:val="nil"/>
              <w:left w:val="single" w:sz="4" w:space="0" w:color="000000"/>
              <w:bottom w:val="single" w:sz="4" w:space="0" w:color="000000"/>
              <w:right w:val="single" w:sz="4" w:space="0" w:color="000000"/>
            </w:tcBorders>
            <w:vAlign w:val="center"/>
            <w:hideMark/>
          </w:tcPr>
          <w:p w14:paraId="11B4A67F" w14:textId="77777777" w:rsidR="0057201B" w:rsidRPr="00AE3A84" w:rsidRDefault="0057201B">
            <w:pPr>
              <w:pStyle w:val="BodyText"/>
              <w:jc w:val="both"/>
              <w:rPr>
                <w:noProof/>
              </w:rPr>
            </w:pPr>
            <w:r w:rsidRPr="00AE3A84">
              <w:rPr>
                <w:noProof/>
              </w:rPr>
              <w:t>10.949</w:t>
            </w:r>
          </w:p>
        </w:tc>
        <w:tc>
          <w:tcPr>
            <w:tcW w:w="900" w:type="dxa"/>
            <w:tcBorders>
              <w:top w:val="nil"/>
              <w:left w:val="single" w:sz="4" w:space="0" w:color="000000"/>
              <w:bottom w:val="single" w:sz="4" w:space="0" w:color="000000"/>
              <w:right w:val="single" w:sz="4" w:space="0" w:color="000000"/>
            </w:tcBorders>
            <w:vAlign w:val="center"/>
            <w:hideMark/>
          </w:tcPr>
          <w:p w14:paraId="5A642170" w14:textId="77777777" w:rsidR="0057201B" w:rsidRPr="00AE3A84" w:rsidRDefault="0057201B">
            <w:pPr>
              <w:pStyle w:val="BodyText"/>
              <w:jc w:val="both"/>
              <w:rPr>
                <w:noProof/>
              </w:rPr>
            </w:pPr>
            <w:r w:rsidRPr="00AE3A84">
              <w:rPr>
                <w:noProof/>
              </w:rPr>
              <w:t>1991</w:t>
            </w:r>
          </w:p>
        </w:tc>
        <w:tc>
          <w:tcPr>
            <w:tcW w:w="2636" w:type="dxa"/>
            <w:tcBorders>
              <w:top w:val="nil"/>
              <w:left w:val="single" w:sz="4" w:space="0" w:color="000000"/>
              <w:bottom w:val="single" w:sz="4" w:space="0" w:color="000000"/>
              <w:right w:val="single" w:sz="4" w:space="0" w:color="000000"/>
            </w:tcBorders>
            <w:vAlign w:val="center"/>
            <w:hideMark/>
          </w:tcPr>
          <w:p w14:paraId="4E63B495" w14:textId="77777777" w:rsidR="0057201B" w:rsidRPr="00AE3A84" w:rsidRDefault="0057201B">
            <w:pPr>
              <w:pStyle w:val="BodyText"/>
              <w:rPr>
                <w:noProof/>
              </w:rPr>
            </w:pPr>
            <w:r w:rsidRPr="00AE3A84">
              <w:rPr>
                <w:noProof/>
              </w:rPr>
              <w:t>Magda Mateo Bruno</w:t>
            </w:r>
          </w:p>
        </w:tc>
        <w:tc>
          <w:tcPr>
            <w:tcW w:w="1935" w:type="dxa"/>
            <w:tcBorders>
              <w:top w:val="nil"/>
              <w:left w:val="single" w:sz="4" w:space="0" w:color="000000"/>
              <w:bottom w:val="single" w:sz="4" w:space="0" w:color="000000"/>
              <w:right w:val="single" w:sz="4" w:space="0" w:color="000000"/>
            </w:tcBorders>
            <w:vAlign w:val="center"/>
            <w:hideMark/>
          </w:tcPr>
          <w:p w14:paraId="62138B5F" w14:textId="0F27DE36" w:rsidR="0057201B" w:rsidRPr="00AE3A84" w:rsidRDefault="0057201B">
            <w:pPr>
              <w:pStyle w:val="BodyText"/>
              <w:jc w:val="both"/>
              <w:rPr>
                <w:noProof/>
              </w:rPr>
            </w:pPr>
            <w:r w:rsidRPr="00AE3A84">
              <w:rPr>
                <w:noProof/>
              </w:rPr>
              <w:t>Merits</w:t>
            </w:r>
          </w:p>
        </w:tc>
      </w:tr>
      <w:tr w:rsidR="0057201B" w:rsidRPr="00AE3A84" w14:paraId="23D1F904" w14:textId="77777777" w:rsidTr="003A787D">
        <w:trPr>
          <w:trHeight w:val="398"/>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21C9DA37" w14:textId="77777777" w:rsidR="0057201B" w:rsidRPr="00AE3A84" w:rsidRDefault="0057201B">
            <w:pPr>
              <w:pStyle w:val="BodyText"/>
              <w:jc w:val="center"/>
              <w:rPr>
                <w:noProof/>
              </w:rPr>
            </w:pPr>
            <w:r w:rsidRPr="00AE3A84">
              <w:rPr>
                <w:noProof/>
              </w:rPr>
              <w:t>53</w:t>
            </w:r>
          </w:p>
        </w:tc>
        <w:tc>
          <w:tcPr>
            <w:tcW w:w="1370" w:type="dxa"/>
            <w:tcBorders>
              <w:top w:val="nil"/>
              <w:left w:val="nil"/>
              <w:bottom w:val="single" w:sz="4" w:space="0" w:color="000000"/>
              <w:right w:val="single" w:sz="4" w:space="0" w:color="000000"/>
            </w:tcBorders>
            <w:shd w:val="clear" w:color="000000" w:fill="FFFFFF"/>
            <w:noWrap/>
            <w:vAlign w:val="center"/>
            <w:hideMark/>
          </w:tcPr>
          <w:p w14:paraId="45BF39B2" w14:textId="77777777" w:rsidR="0057201B" w:rsidRPr="00AE3A84" w:rsidRDefault="0057201B">
            <w:pPr>
              <w:pStyle w:val="BodyText"/>
              <w:jc w:val="both"/>
              <w:rPr>
                <w:noProof/>
              </w:rPr>
            </w:pPr>
            <w:r>
              <w:rPr>
                <w:noProof/>
              </w:rPr>
              <w:t>Peru</w:t>
            </w:r>
          </w:p>
        </w:tc>
        <w:tc>
          <w:tcPr>
            <w:tcW w:w="1620" w:type="dxa"/>
            <w:tcBorders>
              <w:top w:val="nil"/>
              <w:left w:val="single" w:sz="4" w:space="0" w:color="000000"/>
              <w:bottom w:val="single" w:sz="4" w:space="0" w:color="000000"/>
              <w:right w:val="single" w:sz="4" w:space="0" w:color="000000"/>
            </w:tcBorders>
            <w:shd w:val="clear" w:color="000000" w:fill="FFFFFF"/>
            <w:noWrap/>
            <w:vAlign w:val="center"/>
            <w:hideMark/>
          </w:tcPr>
          <w:p w14:paraId="541537D5" w14:textId="77777777" w:rsidR="0057201B" w:rsidRPr="00AE3A84" w:rsidRDefault="0057201B">
            <w:pPr>
              <w:pStyle w:val="BodyText"/>
              <w:jc w:val="both"/>
              <w:rPr>
                <w:noProof/>
              </w:rPr>
            </w:pPr>
            <w:r w:rsidRPr="00AE3A84">
              <w:rPr>
                <w:noProof/>
              </w:rPr>
              <w:t>992-04</w:t>
            </w:r>
          </w:p>
        </w:tc>
        <w:tc>
          <w:tcPr>
            <w:tcW w:w="1530" w:type="dxa"/>
            <w:tcBorders>
              <w:top w:val="nil"/>
              <w:left w:val="single" w:sz="4" w:space="0" w:color="000000"/>
              <w:bottom w:val="single" w:sz="4" w:space="0" w:color="000000"/>
              <w:right w:val="single" w:sz="4" w:space="0" w:color="000000"/>
            </w:tcBorders>
            <w:shd w:val="clear" w:color="000000" w:fill="FFFFFF"/>
            <w:vAlign w:val="center"/>
            <w:hideMark/>
          </w:tcPr>
          <w:p w14:paraId="4D0BBBDF" w14:textId="77777777" w:rsidR="0057201B" w:rsidRPr="00AE3A84" w:rsidRDefault="0057201B">
            <w:pPr>
              <w:pStyle w:val="BodyText"/>
              <w:jc w:val="both"/>
              <w:rPr>
                <w:noProof/>
              </w:rPr>
            </w:pPr>
            <w:r w:rsidRPr="00AE3A84">
              <w:rPr>
                <w:noProof/>
              </w:rPr>
              <w:t>13.271</w:t>
            </w:r>
          </w:p>
        </w:tc>
        <w:tc>
          <w:tcPr>
            <w:tcW w:w="900" w:type="dxa"/>
            <w:tcBorders>
              <w:top w:val="nil"/>
              <w:left w:val="single" w:sz="4" w:space="0" w:color="000000"/>
              <w:bottom w:val="single" w:sz="4" w:space="0" w:color="000000"/>
              <w:right w:val="single" w:sz="4" w:space="0" w:color="000000"/>
            </w:tcBorders>
            <w:shd w:val="clear" w:color="000000" w:fill="FFFFFF"/>
            <w:vAlign w:val="center"/>
            <w:hideMark/>
          </w:tcPr>
          <w:p w14:paraId="56333D84" w14:textId="77777777" w:rsidR="0057201B" w:rsidRPr="00AE3A84" w:rsidRDefault="0057201B">
            <w:pPr>
              <w:pStyle w:val="BodyText"/>
              <w:jc w:val="both"/>
              <w:rPr>
                <w:noProof/>
              </w:rPr>
            </w:pPr>
            <w:r w:rsidRPr="00AE3A84">
              <w:rPr>
                <w:noProof/>
              </w:rPr>
              <w:t>2004</w:t>
            </w:r>
          </w:p>
        </w:tc>
        <w:tc>
          <w:tcPr>
            <w:tcW w:w="2636" w:type="dxa"/>
            <w:tcBorders>
              <w:top w:val="nil"/>
              <w:left w:val="single" w:sz="4" w:space="0" w:color="000000"/>
              <w:bottom w:val="single" w:sz="4" w:space="0" w:color="000000"/>
              <w:right w:val="single" w:sz="4" w:space="0" w:color="000000"/>
            </w:tcBorders>
            <w:shd w:val="clear" w:color="000000" w:fill="FFFFFF"/>
            <w:vAlign w:val="center"/>
            <w:hideMark/>
          </w:tcPr>
          <w:p w14:paraId="06CBD330" w14:textId="77777777" w:rsidR="0057201B" w:rsidRPr="00AE3A84" w:rsidRDefault="0057201B">
            <w:pPr>
              <w:pStyle w:val="BodyText"/>
              <w:rPr>
                <w:noProof/>
              </w:rPr>
            </w:pPr>
            <w:r w:rsidRPr="00AE3A84">
              <w:rPr>
                <w:noProof/>
              </w:rPr>
              <w:t>Miguel Adrianzén Barreto</w:t>
            </w:r>
          </w:p>
        </w:tc>
        <w:tc>
          <w:tcPr>
            <w:tcW w:w="1935" w:type="dxa"/>
            <w:tcBorders>
              <w:top w:val="nil"/>
              <w:left w:val="single" w:sz="4" w:space="0" w:color="000000"/>
              <w:bottom w:val="single" w:sz="4" w:space="0" w:color="000000"/>
              <w:right w:val="single" w:sz="4" w:space="0" w:color="000000"/>
            </w:tcBorders>
            <w:shd w:val="clear" w:color="000000" w:fill="FFFFFF"/>
            <w:vAlign w:val="center"/>
            <w:hideMark/>
          </w:tcPr>
          <w:p w14:paraId="547190EF" w14:textId="74F7E2A7" w:rsidR="0057201B" w:rsidRPr="00AE3A84" w:rsidRDefault="0057201B">
            <w:pPr>
              <w:pStyle w:val="BodyText"/>
              <w:jc w:val="both"/>
              <w:rPr>
                <w:noProof/>
              </w:rPr>
            </w:pPr>
            <w:r w:rsidRPr="00AE3A84">
              <w:rPr>
                <w:noProof/>
              </w:rPr>
              <w:t>Merits</w:t>
            </w:r>
          </w:p>
        </w:tc>
      </w:tr>
      <w:tr w:rsidR="0057201B" w:rsidRPr="00AE3A84" w14:paraId="62651739" w14:textId="77777777" w:rsidTr="008B05A0">
        <w:trPr>
          <w:trHeight w:val="407"/>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494AE046" w14:textId="77777777" w:rsidR="0057201B" w:rsidRPr="00AE3A84" w:rsidRDefault="0057201B">
            <w:pPr>
              <w:pStyle w:val="BodyText"/>
              <w:jc w:val="center"/>
              <w:rPr>
                <w:noProof/>
              </w:rPr>
            </w:pPr>
            <w:r w:rsidRPr="00AE3A84">
              <w:rPr>
                <w:noProof/>
              </w:rPr>
              <w:t>54</w:t>
            </w:r>
          </w:p>
        </w:tc>
        <w:tc>
          <w:tcPr>
            <w:tcW w:w="1370" w:type="dxa"/>
            <w:tcBorders>
              <w:top w:val="single" w:sz="4" w:space="0" w:color="000000"/>
              <w:left w:val="nil"/>
              <w:bottom w:val="single" w:sz="4" w:space="0" w:color="000000"/>
              <w:right w:val="single" w:sz="4" w:space="0" w:color="000000"/>
            </w:tcBorders>
            <w:noWrap/>
            <w:vAlign w:val="center"/>
            <w:hideMark/>
          </w:tcPr>
          <w:p w14:paraId="5EAB0C75" w14:textId="77777777" w:rsidR="0057201B" w:rsidRPr="00AE3A84" w:rsidRDefault="0057201B">
            <w:pPr>
              <w:pStyle w:val="BodyText"/>
              <w:jc w:val="both"/>
              <w:rPr>
                <w:noProof/>
              </w:rPr>
            </w:pPr>
            <w:r>
              <w:rPr>
                <w:noProof/>
              </w:rPr>
              <w:t>Peru</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6309D75E" w14:textId="77777777" w:rsidR="0057201B" w:rsidRPr="00AE3A84" w:rsidRDefault="0057201B">
            <w:pPr>
              <w:pStyle w:val="BodyText"/>
              <w:jc w:val="both"/>
              <w:rPr>
                <w:noProof/>
              </w:rPr>
            </w:pPr>
            <w:r w:rsidRPr="00AE3A84">
              <w:rPr>
                <w:noProof/>
              </w:rPr>
              <w:t>879-08</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0B981C73" w14:textId="77777777" w:rsidR="0057201B" w:rsidRPr="00AE3A84" w:rsidRDefault="0057201B">
            <w:pPr>
              <w:pStyle w:val="BodyText"/>
              <w:jc w:val="both"/>
              <w:rPr>
                <w:noProof/>
              </w:rPr>
            </w:pPr>
            <w:r w:rsidRPr="00AE3A84">
              <w:rPr>
                <w:noProof/>
              </w:rPr>
              <w:t>13.927</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65881F72" w14:textId="77777777" w:rsidR="0057201B" w:rsidRPr="00AE3A84" w:rsidRDefault="0057201B">
            <w:pPr>
              <w:pStyle w:val="BodyText"/>
              <w:jc w:val="both"/>
              <w:rPr>
                <w:noProof/>
              </w:rPr>
            </w:pPr>
            <w:r w:rsidRPr="00AE3A84">
              <w:rPr>
                <w:noProof/>
              </w:rPr>
              <w:t>2008</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322B570B" w14:textId="77777777" w:rsidR="0057201B" w:rsidRPr="00813F12" w:rsidRDefault="0057201B">
            <w:pPr>
              <w:pStyle w:val="BodyText"/>
              <w:rPr>
                <w:noProof/>
              </w:rPr>
            </w:pPr>
            <w:r w:rsidRPr="00813F12">
              <w:rPr>
                <w:noProof/>
              </w:rPr>
              <w:t>Rosa Elena Pariahuachi Palacios and Other Agrarian Workers</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43B719C9" w14:textId="64BA6A49" w:rsidR="0057201B" w:rsidRPr="00AE3A84" w:rsidRDefault="0057201B">
            <w:pPr>
              <w:pStyle w:val="BodyText"/>
              <w:jc w:val="both"/>
              <w:rPr>
                <w:noProof/>
              </w:rPr>
            </w:pPr>
            <w:r w:rsidRPr="00AE3A84">
              <w:rPr>
                <w:noProof/>
              </w:rPr>
              <w:t>Merits</w:t>
            </w:r>
          </w:p>
        </w:tc>
      </w:tr>
      <w:tr w:rsidR="0057201B" w:rsidRPr="00AE3A84" w14:paraId="6E225096" w14:textId="77777777" w:rsidTr="008B05A0">
        <w:trPr>
          <w:trHeight w:val="713"/>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5B38D26D" w14:textId="77777777" w:rsidR="0057201B" w:rsidRPr="00AE3A84" w:rsidRDefault="0057201B">
            <w:pPr>
              <w:pStyle w:val="BodyText"/>
              <w:jc w:val="center"/>
              <w:rPr>
                <w:noProof/>
              </w:rPr>
            </w:pPr>
            <w:r w:rsidRPr="00AE3A84">
              <w:rPr>
                <w:noProof/>
              </w:rPr>
              <w:t>55</w:t>
            </w:r>
          </w:p>
        </w:tc>
        <w:tc>
          <w:tcPr>
            <w:tcW w:w="1370" w:type="dxa"/>
            <w:tcBorders>
              <w:top w:val="single" w:sz="4" w:space="0" w:color="000000"/>
              <w:left w:val="nil"/>
              <w:bottom w:val="single" w:sz="4" w:space="0" w:color="000000"/>
              <w:right w:val="single" w:sz="4" w:space="0" w:color="000000"/>
            </w:tcBorders>
            <w:vAlign w:val="center"/>
            <w:hideMark/>
          </w:tcPr>
          <w:p w14:paraId="2DED8EF1" w14:textId="3EF05476" w:rsidR="0057201B" w:rsidRPr="00AE3A84" w:rsidRDefault="0057201B">
            <w:pPr>
              <w:pStyle w:val="BodyText"/>
              <w:jc w:val="both"/>
              <w:rPr>
                <w:noProof/>
              </w:rPr>
            </w:pPr>
            <w:r w:rsidRPr="00AE3A84">
              <w:rPr>
                <w:noProof/>
              </w:rPr>
              <w:t>Dominican Republic</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0D918A3F" w14:textId="77777777" w:rsidR="0057201B" w:rsidRPr="00AE3A84" w:rsidRDefault="0057201B">
            <w:pPr>
              <w:pStyle w:val="BodyText"/>
              <w:jc w:val="both"/>
              <w:rPr>
                <w:noProof/>
              </w:rPr>
            </w:pPr>
            <w:r w:rsidRPr="00AE3A84">
              <w:rPr>
                <w:noProof/>
              </w:rPr>
              <w:t>243-12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23714C6F" w14:textId="77777777" w:rsidR="0057201B" w:rsidRPr="00AE3A84" w:rsidRDefault="0057201B">
            <w:pPr>
              <w:pStyle w:val="BodyText"/>
              <w:jc w:val="both"/>
              <w:rPr>
                <w:noProof/>
              </w:rPr>
            </w:pPr>
            <w:r w:rsidRPr="00AE3A84">
              <w:rPr>
                <w:noProof/>
              </w:rPr>
              <w:t>13.999</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4C8E04FB" w14:textId="77777777" w:rsidR="0057201B" w:rsidRPr="00AE3A84" w:rsidRDefault="0057201B">
            <w:pPr>
              <w:pStyle w:val="BodyText"/>
              <w:jc w:val="both"/>
              <w:rPr>
                <w:noProof/>
              </w:rPr>
            </w:pPr>
            <w:r w:rsidRPr="00AE3A84">
              <w:rPr>
                <w:noProof/>
              </w:rPr>
              <w:t>2012</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7F61F609" w14:textId="77777777" w:rsidR="0057201B" w:rsidRPr="00AE3A84" w:rsidRDefault="0057201B">
            <w:pPr>
              <w:pStyle w:val="BodyText"/>
              <w:rPr>
                <w:noProof/>
                <w:lang w:val="es-US"/>
              </w:rPr>
            </w:pPr>
            <w:r w:rsidRPr="00AE3A84">
              <w:rPr>
                <w:noProof/>
                <w:lang w:val="es-US"/>
              </w:rPr>
              <w:t>Juan Almonte Herrera, Yuberky Almonte Herrera, Joel Almonte, Genaro Rincón</w:t>
            </w:r>
            <w:r>
              <w:rPr>
                <w:noProof/>
                <w:lang w:val="es-US"/>
              </w:rPr>
              <w:t xml:space="preserve">, and </w:t>
            </w:r>
            <w:r w:rsidRPr="00AE3A84">
              <w:rPr>
                <w:noProof/>
                <w:lang w:val="es-US"/>
              </w:rPr>
              <w:t>Francisco de León Herrera</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6C28A3D7" w14:textId="01CF114F" w:rsidR="0057201B" w:rsidRPr="00AE3A84" w:rsidRDefault="0057201B">
            <w:pPr>
              <w:pStyle w:val="BodyText"/>
              <w:jc w:val="both"/>
              <w:rPr>
                <w:noProof/>
              </w:rPr>
            </w:pPr>
            <w:r w:rsidRPr="00AE3A84">
              <w:rPr>
                <w:noProof/>
              </w:rPr>
              <w:t>Merits</w:t>
            </w:r>
          </w:p>
        </w:tc>
      </w:tr>
      <w:tr w:rsidR="0057201B" w:rsidRPr="00AE3A84" w14:paraId="47BD2147" w14:textId="77777777" w:rsidTr="008B05A0">
        <w:trPr>
          <w:trHeight w:val="61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357A7078" w14:textId="77777777" w:rsidR="0057201B" w:rsidRPr="00AE3A84" w:rsidRDefault="0057201B">
            <w:pPr>
              <w:pStyle w:val="BodyText"/>
              <w:jc w:val="center"/>
              <w:rPr>
                <w:noProof/>
              </w:rPr>
            </w:pPr>
            <w:r w:rsidRPr="00AE3A84">
              <w:rPr>
                <w:noProof/>
              </w:rPr>
              <w:t>56</w:t>
            </w:r>
          </w:p>
        </w:tc>
        <w:tc>
          <w:tcPr>
            <w:tcW w:w="1370" w:type="dxa"/>
            <w:tcBorders>
              <w:top w:val="single" w:sz="4" w:space="0" w:color="000000"/>
              <w:left w:val="nil"/>
              <w:bottom w:val="single" w:sz="4" w:space="0" w:color="000000"/>
              <w:right w:val="single" w:sz="4" w:space="0" w:color="000000"/>
            </w:tcBorders>
            <w:vAlign w:val="center"/>
            <w:hideMark/>
          </w:tcPr>
          <w:p w14:paraId="35398DAD" w14:textId="77777777" w:rsidR="0057201B" w:rsidRPr="00AE3A84" w:rsidRDefault="0057201B">
            <w:pPr>
              <w:pStyle w:val="BodyText"/>
              <w:jc w:val="both"/>
              <w:rPr>
                <w:noProof/>
                <w:lang w:val="es-US"/>
              </w:rPr>
            </w:pPr>
            <w:r w:rsidRPr="00AE3A84">
              <w:rPr>
                <w:noProof/>
                <w:lang w:val="es-US"/>
              </w:rPr>
              <w:t>Trinidad y Tobago</w:t>
            </w:r>
            <w:r w:rsidRPr="00AE3A84">
              <w:rPr>
                <w:noProof/>
                <w:lang w:val="es-US"/>
              </w:rPr>
              <w:br/>
              <w:t>Trinidad and Tobago</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7BFCF6C4" w14:textId="77777777" w:rsidR="0057201B" w:rsidRPr="00AE3A84" w:rsidRDefault="0057201B">
            <w:pPr>
              <w:pStyle w:val="BodyText"/>
              <w:jc w:val="both"/>
              <w:rPr>
                <w:noProof/>
              </w:rPr>
            </w:pPr>
            <w:r w:rsidRPr="00AE3A84">
              <w:rPr>
                <w:noProof/>
              </w:rPr>
              <w:t>962-16</w:t>
            </w:r>
          </w:p>
        </w:tc>
        <w:tc>
          <w:tcPr>
            <w:tcW w:w="1530" w:type="dxa"/>
            <w:tcBorders>
              <w:top w:val="single" w:sz="4" w:space="0" w:color="000000"/>
              <w:left w:val="single" w:sz="4" w:space="0" w:color="000000"/>
              <w:bottom w:val="single" w:sz="4" w:space="0" w:color="000000"/>
              <w:right w:val="single" w:sz="4" w:space="0" w:color="000000"/>
            </w:tcBorders>
            <w:noWrap/>
            <w:vAlign w:val="center"/>
            <w:hideMark/>
          </w:tcPr>
          <w:p w14:paraId="3293C400" w14:textId="77777777" w:rsidR="0057201B" w:rsidRPr="00AE3A84" w:rsidRDefault="0057201B">
            <w:pPr>
              <w:pStyle w:val="BodyText"/>
              <w:jc w:val="both"/>
              <w:rPr>
                <w:noProof/>
              </w:rPr>
            </w:pPr>
            <w:r w:rsidRPr="00AE3A84">
              <w:rPr>
                <w:noProof/>
              </w:rPr>
              <w:t>13.452</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14:paraId="69D30525" w14:textId="77777777" w:rsidR="0057201B" w:rsidRPr="00AE3A84" w:rsidRDefault="0057201B">
            <w:pPr>
              <w:pStyle w:val="BodyText"/>
              <w:jc w:val="both"/>
              <w:rPr>
                <w:noProof/>
              </w:rPr>
            </w:pPr>
            <w:r w:rsidRPr="00AE3A84">
              <w:rPr>
                <w:noProof/>
              </w:rPr>
              <w:t>2016</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5F7951C7" w14:textId="77777777" w:rsidR="0057201B" w:rsidRPr="00AE3A84" w:rsidRDefault="0057201B">
            <w:pPr>
              <w:pStyle w:val="BodyText"/>
              <w:rPr>
                <w:noProof/>
              </w:rPr>
            </w:pPr>
            <w:r w:rsidRPr="00AE3A84">
              <w:rPr>
                <w:noProof/>
              </w:rPr>
              <w:t>Zaheer Seepersad</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4C432A5D" w14:textId="7C3D8EC9" w:rsidR="0057201B" w:rsidRPr="00AE3A84" w:rsidRDefault="0057201B">
            <w:pPr>
              <w:pStyle w:val="BodyText"/>
              <w:jc w:val="both"/>
              <w:rPr>
                <w:noProof/>
              </w:rPr>
            </w:pPr>
            <w:r w:rsidRPr="00AE3A84">
              <w:rPr>
                <w:noProof/>
              </w:rPr>
              <w:t>Merits</w:t>
            </w:r>
          </w:p>
        </w:tc>
      </w:tr>
      <w:tr w:rsidR="0057201B" w:rsidRPr="00AE3A84" w14:paraId="7AF54BD5" w14:textId="77777777" w:rsidTr="008B05A0">
        <w:trPr>
          <w:trHeight w:val="61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3DB2856C" w14:textId="77777777" w:rsidR="0057201B" w:rsidRPr="00AE3A84" w:rsidRDefault="0057201B">
            <w:pPr>
              <w:pStyle w:val="BodyText"/>
              <w:jc w:val="center"/>
              <w:rPr>
                <w:noProof/>
              </w:rPr>
            </w:pPr>
            <w:r w:rsidRPr="00AE3A84">
              <w:rPr>
                <w:noProof/>
              </w:rPr>
              <w:t>57</w:t>
            </w:r>
          </w:p>
        </w:tc>
        <w:tc>
          <w:tcPr>
            <w:tcW w:w="1370" w:type="dxa"/>
            <w:tcBorders>
              <w:top w:val="single" w:sz="4" w:space="0" w:color="000000"/>
              <w:left w:val="nil"/>
              <w:bottom w:val="single" w:sz="4" w:space="0" w:color="000000"/>
              <w:right w:val="single" w:sz="4" w:space="0" w:color="000000"/>
            </w:tcBorders>
            <w:noWrap/>
            <w:vAlign w:val="center"/>
            <w:hideMark/>
          </w:tcPr>
          <w:p w14:paraId="04B557E8" w14:textId="77777777" w:rsidR="0057201B" w:rsidRPr="00AE3A84" w:rsidRDefault="0057201B">
            <w:pPr>
              <w:pStyle w:val="BodyText"/>
              <w:jc w:val="both"/>
              <w:rPr>
                <w:noProof/>
              </w:rPr>
            </w:pPr>
            <w:r w:rsidRPr="00AE3A84">
              <w:rPr>
                <w:noProof/>
              </w:rPr>
              <w:t>Venezuela</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3BFA0053" w14:textId="77777777" w:rsidR="0057201B" w:rsidRPr="00AE3A84" w:rsidRDefault="0057201B">
            <w:pPr>
              <w:pStyle w:val="BodyText"/>
              <w:jc w:val="both"/>
              <w:rPr>
                <w:noProof/>
              </w:rPr>
            </w:pPr>
            <w:r w:rsidRPr="00AE3A84">
              <w:rPr>
                <w:noProof/>
              </w:rPr>
              <w:t>1515-13</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00EB4DF7" w14:textId="77777777" w:rsidR="0057201B" w:rsidRPr="00AE3A84" w:rsidRDefault="0057201B">
            <w:pPr>
              <w:pStyle w:val="BodyText"/>
              <w:jc w:val="both"/>
              <w:rPr>
                <w:noProof/>
              </w:rPr>
            </w:pPr>
            <w:r w:rsidRPr="00AE3A84">
              <w:rPr>
                <w:noProof/>
              </w:rPr>
              <w:t>14.164</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5E1AC017" w14:textId="77777777" w:rsidR="0057201B" w:rsidRPr="00AE3A84" w:rsidRDefault="0057201B">
            <w:pPr>
              <w:pStyle w:val="BodyText"/>
              <w:jc w:val="both"/>
              <w:rPr>
                <w:noProof/>
              </w:rPr>
            </w:pPr>
            <w:r w:rsidRPr="00AE3A84">
              <w:rPr>
                <w:noProof/>
              </w:rPr>
              <w:t>2013</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43481783" w14:textId="77777777" w:rsidR="0057201B" w:rsidRPr="00AE3A84" w:rsidRDefault="0057201B">
            <w:pPr>
              <w:pStyle w:val="BodyText"/>
              <w:rPr>
                <w:noProof/>
                <w:lang w:val="es-US"/>
              </w:rPr>
            </w:pPr>
            <w:r w:rsidRPr="00AE3A84">
              <w:rPr>
                <w:noProof/>
                <w:lang w:val="es-US"/>
              </w:rPr>
              <w:t>Elenis del Valle Rodríguez Martínez</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3FBAC3C6" w14:textId="609BBDE9" w:rsidR="0057201B" w:rsidRPr="00AE3A84" w:rsidRDefault="0057201B">
            <w:pPr>
              <w:pStyle w:val="BodyText"/>
              <w:jc w:val="both"/>
              <w:rPr>
                <w:noProof/>
              </w:rPr>
            </w:pPr>
            <w:r w:rsidRPr="00AE3A84">
              <w:rPr>
                <w:noProof/>
              </w:rPr>
              <w:t>Merits</w:t>
            </w:r>
          </w:p>
        </w:tc>
      </w:tr>
      <w:tr w:rsidR="0057201B" w:rsidRPr="00AE3A84" w14:paraId="621A7602" w14:textId="77777777" w:rsidTr="00A15CBE">
        <w:trPr>
          <w:trHeight w:val="33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2F6B2078" w14:textId="77777777" w:rsidR="0057201B" w:rsidRPr="00AE3A84" w:rsidRDefault="0057201B">
            <w:pPr>
              <w:pStyle w:val="BodyText"/>
              <w:jc w:val="center"/>
              <w:rPr>
                <w:noProof/>
              </w:rPr>
            </w:pPr>
            <w:r w:rsidRPr="00AE3A84">
              <w:rPr>
                <w:noProof/>
              </w:rPr>
              <w:t>58</w:t>
            </w:r>
          </w:p>
        </w:tc>
        <w:tc>
          <w:tcPr>
            <w:tcW w:w="1370" w:type="dxa"/>
            <w:tcBorders>
              <w:top w:val="single" w:sz="4" w:space="0" w:color="000000"/>
              <w:left w:val="nil"/>
              <w:bottom w:val="single" w:sz="4" w:space="0" w:color="000000"/>
              <w:right w:val="single" w:sz="4" w:space="0" w:color="000000"/>
            </w:tcBorders>
            <w:noWrap/>
            <w:vAlign w:val="center"/>
            <w:hideMark/>
          </w:tcPr>
          <w:p w14:paraId="3BC95943" w14:textId="77777777" w:rsidR="0057201B" w:rsidRPr="00AE3A84" w:rsidRDefault="0057201B">
            <w:pPr>
              <w:pStyle w:val="BodyText"/>
              <w:jc w:val="both"/>
              <w:rPr>
                <w:noProof/>
              </w:rPr>
            </w:pPr>
            <w:r w:rsidRPr="00AE3A84">
              <w:rPr>
                <w:noProof/>
              </w:rPr>
              <w:t>Venezuela</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367225A0" w14:textId="77777777" w:rsidR="0057201B" w:rsidRPr="00AE3A84" w:rsidRDefault="0057201B">
            <w:pPr>
              <w:pStyle w:val="BodyText"/>
              <w:jc w:val="both"/>
              <w:rPr>
                <w:noProof/>
              </w:rPr>
            </w:pPr>
            <w:r w:rsidRPr="00AE3A84">
              <w:rPr>
                <w:noProof/>
              </w:rPr>
              <w:t>1073-14</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541A2D23" w14:textId="77777777" w:rsidR="0057201B" w:rsidRPr="00AE3A84" w:rsidRDefault="0057201B">
            <w:pPr>
              <w:pStyle w:val="BodyText"/>
              <w:jc w:val="both"/>
              <w:rPr>
                <w:noProof/>
              </w:rPr>
            </w:pPr>
            <w:r w:rsidRPr="00AE3A84">
              <w:rPr>
                <w:noProof/>
              </w:rPr>
              <w:t>14.134</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0B427288" w14:textId="77777777" w:rsidR="0057201B" w:rsidRPr="00AE3A84" w:rsidRDefault="0057201B">
            <w:pPr>
              <w:pStyle w:val="BodyText"/>
              <w:jc w:val="both"/>
              <w:rPr>
                <w:noProof/>
              </w:rPr>
            </w:pPr>
            <w:r w:rsidRPr="00AE3A84">
              <w:rPr>
                <w:noProof/>
              </w:rPr>
              <w:t>2014</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0F308494" w14:textId="77777777" w:rsidR="0057201B" w:rsidRPr="00AE3A84" w:rsidRDefault="0057201B">
            <w:pPr>
              <w:pStyle w:val="BodyText"/>
              <w:rPr>
                <w:noProof/>
              </w:rPr>
            </w:pPr>
            <w:r w:rsidRPr="00AE3A84">
              <w:rPr>
                <w:noProof/>
              </w:rPr>
              <w:t>Jesus Zabala Matos</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535AEBF2" w14:textId="6F52C6D0" w:rsidR="0057201B" w:rsidRPr="00AE3A84" w:rsidRDefault="0057201B">
            <w:pPr>
              <w:pStyle w:val="BodyText"/>
              <w:jc w:val="both"/>
              <w:rPr>
                <w:noProof/>
              </w:rPr>
            </w:pPr>
            <w:r w:rsidRPr="00AE3A84">
              <w:rPr>
                <w:noProof/>
              </w:rPr>
              <w:t>Merits</w:t>
            </w:r>
          </w:p>
        </w:tc>
      </w:tr>
      <w:tr w:rsidR="0057201B" w:rsidRPr="00AE3A84" w14:paraId="34AAD6AF" w14:textId="77777777" w:rsidTr="00A15CBE">
        <w:trPr>
          <w:trHeight w:val="407"/>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2C2E156D" w14:textId="77777777" w:rsidR="0057201B" w:rsidRPr="00AE3A84" w:rsidRDefault="0057201B">
            <w:pPr>
              <w:pStyle w:val="BodyText"/>
              <w:jc w:val="center"/>
              <w:rPr>
                <w:noProof/>
              </w:rPr>
            </w:pPr>
            <w:r w:rsidRPr="00AE3A84">
              <w:rPr>
                <w:noProof/>
              </w:rPr>
              <w:t>59</w:t>
            </w:r>
          </w:p>
        </w:tc>
        <w:tc>
          <w:tcPr>
            <w:tcW w:w="1370" w:type="dxa"/>
            <w:tcBorders>
              <w:top w:val="single" w:sz="4" w:space="0" w:color="000000"/>
              <w:left w:val="nil"/>
              <w:bottom w:val="single" w:sz="4" w:space="0" w:color="000000"/>
              <w:right w:val="single" w:sz="4" w:space="0" w:color="000000"/>
            </w:tcBorders>
            <w:noWrap/>
            <w:vAlign w:val="center"/>
            <w:hideMark/>
          </w:tcPr>
          <w:p w14:paraId="7EF8C33F" w14:textId="77777777" w:rsidR="0057201B" w:rsidRPr="00AE3A84" w:rsidRDefault="0057201B">
            <w:pPr>
              <w:pStyle w:val="BodyText"/>
              <w:jc w:val="both"/>
              <w:rPr>
                <w:noProof/>
              </w:rPr>
            </w:pPr>
            <w:r w:rsidRPr="00AE3A84">
              <w:rPr>
                <w:noProof/>
              </w:rPr>
              <w:t>Venezuela</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2867411F" w14:textId="77777777" w:rsidR="0057201B" w:rsidRPr="00AE3A84" w:rsidRDefault="0057201B">
            <w:pPr>
              <w:pStyle w:val="BodyText"/>
              <w:jc w:val="both"/>
              <w:rPr>
                <w:noProof/>
              </w:rPr>
            </w:pPr>
            <w:r w:rsidRPr="00AE3A84">
              <w:rPr>
                <w:noProof/>
              </w:rPr>
              <w:t>189-14</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1C3A1835" w14:textId="77777777" w:rsidR="0057201B" w:rsidRPr="00AE3A84" w:rsidRDefault="0057201B">
            <w:pPr>
              <w:pStyle w:val="BodyText"/>
              <w:jc w:val="both"/>
              <w:rPr>
                <w:noProof/>
              </w:rPr>
            </w:pPr>
            <w:r w:rsidRPr="00AE3A84">
              <w:rPr>
                <w:noProof/>
              </w:rPr>
              <w:t>14.165</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7BBF69D7" w14:textId="77777777" w:rsidR="0057201B" w:rsidRPr="00AE3A84" w:rsidRDefault="0057201B">
            <w:pPr>
              <w:pStyle w:val="BodyText"/>
              <w:jc w:val="both"/>
              <w:rPr>
                <w:noProof/>
              </w:rPr>
            </w:pPr>
            <w:r w:rsidRPr="00AE3A84">
              <w:rPr>
                <w:noProof/>
              </w:rPr>
              <w:t>2014</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794C4CF8" w14:textId="77777777" w:rsidR="0057201B" w:rsidRPr="00AE3A84" w:rsidRDefault="0057201B">
            <w:pPr>
              <w:pStyle w:val="BodyText"/>
              <w:rPr>
                <w:noProof/>
              </w:rPr>
            </w:pPr>
            <w:r w:rsidRPr="00AE3A84">
              <w:rPr>
                <w:noProof/>
              </w:rPr>
              <w:t>Elías Eduardo Betancourt</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7F31CDA3" w14:textId="452B1850" w:rsidR="0057201B" w:rsidRPr="00AE3A84" w:rsidRDefault="0057201B">
            <w:pPr>
              <w:pStyle w:val="BodyText"/>
              <w:jc w:val="both"/>
              <w:rPr>
                <w:noProof/>
              </w:rPr>
            </w:pPr>
            <w:r w:rsidRPr="00AE3A84">
              <w:rPr>
                <w:noProof/>
              </w:rPr>
              <w:t>Merits</w:t>
            </w:r>
          </w:p>
        </w:tc>
      </w:tr>
      <w:tr w:rsidR="0057201B" w:rsidRPr="00AE3A84" w14:paraId="20B75D5C" w14:textId="77777777" w:rsidTr="00A15CBE">
        <w:trPr>
          <w:trHeight w:val="497"/>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18FAC3C7" w14:textId="77777777" w:rsidR="0057201B" w:rsidRPr="00AE3A84" w:rsidRDefault="0057201B">
            <w:pPr>
              <w:pStyle w:val="BodyText"/>
              <w:jc w:val="center"/>
              <w:rPr>
                <w:noProof/>
              </w:rPr>
            </w:pPr>
            <w:r w:rsidRPr="00AE3A84">
              <w:rPr>
                <w:noProof/>
              </w:rPr>
              <w:t>60</w:t>
            </w:r>
          </w:p>
        </w:tc>
        <w:tc>
          <w:tcPr>
            <w:tcW w:w="1370" w:type="dxa"/>
            <w:tcBorders>
              <w:top w:val="single" w:sz="4" w:space="0" w:color="000000"/>
              <w:left w:val="nil"/>
              <w:bottom w:val="single" w:sz="4" w:space="0" w:color="000000"/>
              <w:right w:val="single" w:sz="4" w:space="0" w:color="000000"/>
            </w:tcBorders>
            <w:noWrap/>
            <w:vAlign w:val="center"/>
            <w:hideMark/>
          </w:tcPr>
          <w:p w14:paraId="673578B7" w14:textId="77777777" w:rsidR="0057201B" w:rsidRPr="00AE3A84" w:rsidRDefault="0057201B">
            <w:pPr>
              <w:pStyle w:val="BodyText"/>
              <w:jc w:val="both"/>
              <w:rPr>
                <w:noProof/>
              </w:rPr>
            </w:pPr>
            <w:r w:rsidRPr="00AE3A84">
              <w:rPr>
                <w:noProof/>
              </w:rPr>
              <w:t>Venezuela</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0964F301" w14:textId="77777777" w:rsidR="0057201B" w:rsidRPr="00AE3A84" w:rsidRDefault="0057201B">
            <w:pPr>
              <w:pStyle w:val="BodyText"/>
              <w:jc w:val="both"/>
              <w:rPr>
                <w:noProof/>
              </w:rPr>
            </w:pPr>
            <w:r w:rsidRPr="00AE3A84">
              <w:rPr>
                <w:noProof/>
              </w:rPr>
              <w:t>2044-17</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00CB1DC5" w14:textId="77777777" w:rsidR="0057201B" w:rsidRPr="00AE3A84" w:rsidRDefault="0057201B">
            <w:pPr>
              <w:pStyle w:val="BodyText"/>
              <w:jc w:val="both"/>
              <w:rPr>
                <w:noProof/>
              </w:rPr>
            </w:pPr>
            <w:r w:rsidRPr="00AE3A84">
              <w:rPr>
                <w:noProof/>
              </w:rPr>
              <w:t>14.173</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0B41CF15" w14:textId="77777777" w:rsidR="0057201B" w:rsidRPr="00AE3A84" w:rsidRDefault="0057201B">
            <w:pPr>
              <w:pStyle w:val="BodyText"/>
              <w:jc w:val="both"/>
              <w:rPr>
                <w:noProof/>
              </w:rPr>
            </w:pPr>
            <w:r w:rsidRPr="00AE3A84">
              <w:rPr>
                <w:noProof/>
              </w:rPr>
              <w:t>2017</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76B21B2A" w14:textId="77777777" w:rsidR="0057201B" w:rsidRPr="00AE3A84" w:rsidRDefault="0057201B">
            <w:pPr>
              <w:pStyle w:val="BodyText"/>
              <w:rPr>
                <w:noProof/>
              </w:rPr>
            </w:pPr>
            <w:r w:rsidRPr="00AE3A84">
              <w:rPr>
                <w:noProof/>
              </w:rPr>
              <w:t>Lilian Sofía Centeno Pacheco</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29C90AFD" w14:textId="2CF6C987" w:rsidR="0057201B" w:rsidRPr="00AE3A84" w:rsidRDefault="0057201B">
            <w:pPr>
              <w:pStyle w:val="BodyText"/>
              <w:jc w:val="both"/>
              <w:rPr>
                <w:noProof/>
              </w:rPr>
            </w:pPr>
            <w:r w:rsidRPr="00AE3A84">
              <w:rPr>
                <w:noProof/>
              </w:rPr>
              <w:t>Merits</w:t>
            </w:r>
          </w:p>
        </w:tc>
      </w:tr>
      <w:tr w:rsidR="0057201B" w:rsidRPr="00AE3A84" w14:paraId="365738D2" w14:textId="77777777" w:rsidTr="00A15CBE">
        <w:trPr>
          <w:trHeight w:val="506"/>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358556E8" w14:textId="77777777" w:rsidR="0057201B" w:rsidRPr="00AE3A84" w:rsidRDefault="0057201B">
            <w:pPr>
              <w:pStyle w:val="BodyText"/>
              <w:jc w:val="center"/>
              <w:rPr>
                <w:noProof/>
              </w:rPr>
            </w:pPr>
            <w:r w:rsidRPr="00AE3A84">
              <w:rPr>
                <w:noProof/>
              </w:rPr>
              <w:t>61</w:t>
            </w:r>
          </w:p>
        </w:tc>
        <w:tc>
          <w:tcPr>
            <w:tcW w:w="1370" w:type="dxa"/>
            <w:tcBorders>
              <w:top w:val="single" w:sz="4" w:space="0" w:color="000000"/>
              <w:left w:val="nil"/>
              <w:bottom w:val="single" w:sz="4" w:space="0" w:color="000000"/>
              <w:right w:val="single" w:sz="4" w:space="0" w:color="000000"/>
            </w:tcBorders>
            <w:shd w:val="clear" w:color="000000" w:fill="FFFFFF"/>
            <w:noWrap/>
            <w:vAlign w:val="center"/>
            <w:hideMark/>
          </w:tcPr>
          <w:p w14:paraId="5763DCDE" w14:textId="77777777" w:rsidR="0057201B" w:rsidRPr="00AE3A84" w:rsidRDefault="0057201B">
            <w:pPr>
              <w:pStyle w:val="BodyText"/>
              <w:jc w:val="both"/>
              <w:rPr>
                <w:noProof/>
              </w:rPr>
            </w:pPr>
            <w:r w:rsidRPr="00AE3A84">
              <w:rPr>
                <w:noProof/>
              </w:rPr>
              <w:t>Venezuela</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1D21A4" w14:textId="77777777" w:rsidR="0057201B" w:rsidRPr="00AE3A84" w:rsidRDefault="0057201B">
            <w:pPr>
              <w:pStyle w:val="BodyText"/>
              <w:jc w:val="both"/>
              <w:rPr>
                <w:noProof/>
              </w:rPr>
            </w:pPr>
            <w:r w:rsidRPr="00AE3A84">
              <w:rPr>
                <w:noProof/>
              </w:rPr>
              <w:t>1363-17</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A0671F" w14:textId="77777777" w:rsidR="0057201B" w:rsidRPr="00AE3A84" w:rsidRDefault="0057201B">
            <w:pPr>
              <w:pStyle w:val="BodyText"/>
              <w:jc w:val="both"/>
              <w:rPr>
                <w:noProof/>
              </w:rPr>
            </w:pPr>
            <w:r w:rsidRPr="00AE3A84">
              <w:rPr>
                <w:noProof/>
              </w:rPr>
              <w:t>14.144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A0E23D" w14:textId="77777777" w:rsidR="0057201B" w:rsidRPr="00AE3A84" w:rsidRDefault="0057201B">
            <w:pPr>
              <w:pStyle w:val="BodyText"/>
              <w:jc w:val="both"/>
              <w:rPr>
                <w:noProof/>
              </w:rPr>
            </w:pPr>
            <w:r w:rsidRPr="00AE3A84">
              <w:rPr>
                <w:noProof/>
              </w:rPr>
              <w:t>2017</w:t>
            </w:r>
          </w:p>
        </w:tc>
        <w:tc>
          <w:tcPr>
            <w:tcW w:w="263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413E6B2" w14:textId="77777777" w:rsidR="0057201B" w:rsidRPr="00AE3A84" w:rsidRDefault="0057201B">
            <w:pPr>
              <w:pStyle w:val="BodyText"/>
              <w:rPr>
                <w:noProof/>
                <w:lang w:val="es-US"/>
              </w:rPr>
            </w:pPr>
            <w:r w:rsidRPr="00AE3A84">
              <w:rPr>
                <w:noProof/>
                <w:lang w:val="es-US"/>
              </w:rPr>
              <w:t xml:space="preserve">Laura Maria Bastidas Zambrano </w:t>
            </w:r>
            <w:r>
              <w:rPr>
                <w:noProof/>
                <w:lang w:val="es-US"/>
              </w:rPr>
              <w:t>et al.</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861EC4" w14:textId="54797A1C" w:rsidR="0057201B" w:rsidRPr="00AE3A84" w:rsidRDefault="0057201B">
            <w:pPr>
              <w:pStyle w:val="BodyText"/>
              <w:jc w:val="both"/>
              <w:rPr>
                <w:noProof/>
              </w:rPr>
            </w:pPr>
            <w:r w:rsidRPr="00AE3A84">
              <w:rPr>
                <w:noProof/>
              </w:rPr>
              <w:t>Merits</w:t>
            </w:r>
          </w:p>
        </w:tc>
      </w:tr>
      <w:tr w:rsidR="0057201B" w:rsidRPr="00AE3A84" w14:paraId="7CFAACFF" w14:textId="77777777" w:rsidTr="007C783B">
        <w:trPr>
          <w:trHeight w:val="596"/>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4B2B8E2E" w14:textId="77777777" w:rsidR="0057201B" w:rsidRPr="00AE3A84" w:rsidRDefault="0057201B">
            <w:pPr>
              <w:pStyle w:val="BodyText"/>
              <w:jc w:val="center"/>
              <w:rPr>
                <w:noProof/>
              </w:rPr>
            </w:pPr>
            <w:r w:rsidRPr="00AE3A84">
              <w:rPr>
                <w:noProof/>
              </w:rPr>
              <w:lastRenderedPageBreak/>
              <w:t>62</w:t>
            </w:r>
          </w:p>
        </w:tc>
        <w:tc>
          <w:tcPr>
            <w:tcW w:w="1370" w:type="dxa"/>
            <w:tcBorders>
              <w:top w:val="single" w:sz="4" w:space="0" w:color="000000"/>
              <w:left w:val="nil"/>
              <w:bottom w:val="single" w:sz="4" w:space="0" w:color="000000"/>
              <w:right w:val="single" w:sz="4" w:space="0" w:color="000000"/>
            </w:tcBorders>
            <w:noWrap/>
            <w:vAlign w:val="center"/>
            <w:hideMark/>
          </w:tcPr>
          <w:p w14:paraId="60FA55E6" w14:textId="77777777" w:rsidR="0057201B" w:rsidRPr="00AE3A84" w:rsidRDefault="0057201B">
            <w:pPr>
              <w:pStyle w:val="BodyText"/>
              <w:jc w:val="both"/>
              <w:rPr>
                <w:noProof/>
              </w:rPr>
            </w:pPr>
            <w:r w:rsidRPr="00AE3A84">
              <w:rPr>
                <w:noProof/>
              </w:rPr>
              <w:t>Venezuela</w:t>
            </w:r>
          </w:p>
        </w:tc>
        <w:tc>
          <w:tcPr>
            <w:tcW w:w="1620" w:type="dxa"/>
            <w:tcBorders>
              <w:top w:val="single" w:sz="4" w:space="0" w:color="000000"/>
              <w:left w:val="single" w:sz="4" w:space="0" w:color="000000"/>
              <w:bottom w:val="single" w:sz="4" w:space="0" w:color="000000"/>
              <w:right w:val="single" w:sz="4" w:space="0" w:color="000000"/>
            </w:tcBorders>
            <w:noWrap/>
            <w:vAlign w:val="center"/>
            <w:hideMark/>
          </w:tcPr>
          <w:p w14:paraId="7EBE3490" w14:textId="77777777" w:rsidR="0057201B" w:rsidRPr="00AE3A84" w:rsidRDefault="0057201B">
            <w:pPr>
              <w:pStyle w:val="BodyText"/>
              <w:jc w:val="both"/>
              <w:rPr>
                <w:noProof/>
              </w:rPr>
            </w:pPr>
            <w:r w:rsidRPr="00AE3A84">
              <w:rPr>
                <w:noProof/>
              </w:rPr>
              <w:t>28-18</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61F37A9C" w14:textId="77777777" w:rsidR="0057201B" w:rsidRPr="00AE3A84" w:rsidRDefault="0057201B">
            <w:pPr>
              <w:pStyle w:val="BodyText"/>
              <w:jc w:val="both"/>
              <w:rPr>
                <w:noProof/>
              </w:rPr>
            </w:pPr>
            <w:r w:rsidRPr="00AE3A84">
              <w:rPr>
                <w:noProof/>
              </w:rPr>
              <w:t>14.175</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54B3AE14" w14:textId="77777777" w:rsidR="0057201B" w:rsidRPr="00AE3A84" w:rsidRDefault="0057201B">
            <w:pPr>
              <w:pStyle w:val="BodyText"/>
              <w:jc w:val="both"/>
              <w:rPr>
                <w:noProof/>
              </w:rPr>
            </w:pPr>
            <w:r w:rsidRPr="00AE3A84">
              <w:rPr>
                <w:noProof/>
              </w:rPr>
              <w:t>2018</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0C2A1554" w14:textId="77777777" w:rsidR="0057201B" w:rsidRPr="00AE3A84" w:rsidRDefault="0057201B">
            <w:pPr>
              <w:pStyle w:val="BodyText"/>
              <w:rPr>
                <w:noProof/>
              </w:rPr>
            </w:pPr>
            <w:r w:rsidRPr="00AE3A84">
              <w:rPr>
                <w:noProof/>
              </w:rPr>
              <w:t>Humberto Jose Ramirez Camargo</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4580E5BF" w14:textId="58E17E00" w:rsidR="0057201B" w:rsidRPr="00AE3A84" w:rsidRDefault="0057201B">
            <w:pPr>
              <w:pStyle w:val="BodyText"/>
              <w:jc w:val="both"/>
              <w:rPr>
                <w:noProof/>
              </w:rPr>
            </w:pPr>
            <w:r w:rsidRPr="00AE3A84">
              <w:rPr>
                <w:noProof/>
              </w:rPr>
              <w:t>Merits</w:t>
            </w:r>
          </w:p>
        </w:tc>
      </w:tr>
      <w:tr w:rsidR="0057201B" w:rsidRPr="00AE3A84" w14:paraId="3BFCB993" w14:textId="77777777" w:rsidTr="007C783B">
        <w:trPr>
          <w:trHeight w:val="578"/>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37CB9FF5" w14:textId="77777777" w:rsidR="0057201B" w:rsidRPr="00AE3A84" w:rsidRDefault="0057201B">
            <w:pPr>
              <w:pStyle w:val="BodyText"/>
              <w:jc w:val="center"/>
              <w:rPr>
                <w:noProof/>
              </w:rPr>
            </w:pPr>
            <w:r w:rsidRPr="00AE3A84">
              <w:rPr>
                <w:noProof/>
              </w:rPr>
              <w:t>63</w:t>
            </w:r>
          </w:p>
        </w:tc>
        <w:tc>
          <w:tcPr>
            <w:tcW w:w="1370" w:type="dxa"/>
            <w:tcBorders>
              <w:top w:val="single" w:sz="4" w:space="0" w:color="000000"/>
              <w:left w:val="nil"/>
              <w:bottom w:val="single" w:sz="4" w:space="0" w:color="000000"/>
              <w:right w:val="single" w:sz="4" w:space="0" w:color="000000"/>
            </w:tcBorders>
            <w:noWrap/>
            <w:vAlign w:val="center"/>
            <w:hideMark/>
          </w:tcPr>
          <w:p w14:paraId="19C45472" w14:textId="77777777" w:rsidR="0057201B" w:rsidRPr="00AE3A84" w:rsidRDefault="0057201B">
            <w:pPr>
              <w:pStyle w:val="BodyText"/>
              <w:jc w:val="both"/>
              <w:rPr>
                <w:noProof/>
              </w:rPr>
            </w:pPr>
            <w:r w:rsidRPr="00AE3A84">
              <w:rPr>
                <w:noProof/>
              </w:rPr>
              <w:t>Venezuela</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BE8561C" w14:textId="77777777" w:rsidR="0057201B" w:rsidRPr="00AE3A84" w:rsidRDefault="0057201B">
            <w:pPr>
              <w:pStyle w:val="BodyText"/>
              <w:jc w:val="both"/>
              <w:rPr>
                <w:noProof/>
              </w:rPr>
            </w:pPr>
            <w:r w:rsidRPr="00AE3A84">
              <w:rPr>
                <w:noProof/>
              </w:rPr>
              <w:t>2042-18</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3B3C2898" w14:textId="77777777" w:rsidR="0057201B" w:rsidRPr="00AE3A84" w:rsidRDefault="0057201B">
            <w:pPr>
              <w:pStyle w:val="BodyText"/>
              <w:jc w:val="both"/>
              <w:rPr>
                <w:noProof/>
              </w:rPr>
            </w:pPr>
            <w:r w:rsidRPr="00AE3A84">
              <w:rPr>
                <w:noProof/>
              </w:rPr>
              <w:t>14.236</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0DEE2072" w14:textId="77777777" w:rsidR="0057201B" w:rsidRPr="00AE3A84" w:rsidRDefault="0057201B">
            <w:pPr>
              <w:pStyle w:val="BodyText"/>
              <w:jc w:val="both"/>
              <w:rPr>
                <w:noProof/>
              </w:rPr>
            </w:pPr>
            <w:r w:rsidRPr="00AE3A84">
              <w:rPr>
                <w:noProof/>
              </w:rPr>
              <w:t>2018</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035F64FF" w14:textId="77777777" w:rsidR="0057201B" w:rsidRPr="00AE3A84" w:rsidRDefault="0057201B">
            <w:pPr>
              <w:pStyle w:val="BodyText"/>
              <w:rPr>
                <w:noProof/>
              </w:rPr>
            </w:pPr>
            <w:r w:rsidRPr="00AE3A84">
              <w:rPr>
                <w:noProof/>
              </w:rPr>
              <w:t>Raizha Auribeth Gómez Velazco</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7DB24B39" w14:textId="20AED846" w:rsidR="0057201B" w:rsidRPr="00AE3A84" w:rsidRDefault="0057201B">
            <w:pPr>
              <w:pStyle w:val="BodyText"/>
              <w:jc w:val="both"/>
              <w:rPr>
                <w:noProof/>
              </w:rPr>
            </w:pPr>
            <w:r w:rsidRPr="00AE3A84">
              <w:rPr>
                <w:noProof/>
              </w:rPr>
              <w:t>Merits</w:t>
            </w:r>
          </w:p>
        </w:tc>
      </w:tr>
      <w:tr w:rsidR="0057201B" w:rsidRPr="00AE3A84" w14:paraId="6DEFF56F" w14:textId="77777777" w:rsidTr="007C783B">
        <w:trPr>
          <w:trHeight w:val="416"/>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69681D95" w14:textId="77777777" w:rsidR="0057201B" w:rsidRPr="00AE3A84" w:rsidRDefault="0057201B">
            <w:pPr>
              <w:pStyle w:val="BodyText"/>
              <w:jc w:val="center"/>
              <w:rPr>
                <w:noProof/>
              </w:rPr>
            </w:pPr>
            <w:r w:rsidRPr="00AE3A84">
              <w:rPr>
                <w:noProof/>
              </w:rPr>
              <w:t>64</w:t>
            </w:r>
          </w:p>
        </w:tc>
        <w:tc>
          <w:tcPr>
            <w:tcW w:w="1370" w:type="dxa"/>
            <w:tcBorders>
              <w:top w:val="single" w:sz="4" w:space="0" w:color="000000"/>
              <w:left w:val="nil"/>
              <w:bottom w:val="single" w:sz="4" w:space="0" w:color="000000"/>
              <w:right w:val="single" w:sz="4" w:space="0" w:color="000000"/>
            </w:tcBorders>
            <w:noWrap/>
            <w:vAlign w:val="center"/>
            <w:hideMark/>
          </w:tcPr>
          <w:p w14:paraId="5A43CD85" w14:textId="77777777" w:rsidR="0057201B" w:rsidRPr="00AE3A84" w:rsidRDefault="0057201B">
            <w:pPr>
              <w:pStyle w:val="BodyText"/>
              <w:jc w:val="both"/>
              <w:rPr>
                <w:noProof/>
              </w:rPr>
            </w:pPr>
            <w:r w:rsidRPr="00AE3A84">
              <w:rPr>
                <w:noProof/>
              </w:rPr>
              <w:t>Venezuela</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763052D6" w14:textId="77777777" w:rsidR="0057201B" w:rsidRPr="00AE3A84" w:rsidRDefault="0057201B">
            <w:pPr>
              <w:pStyle w:val="BodyText"/>
              <w:jc w:val="both"/>
              <w:rPr>
                <w:noProof/>
              </w:rPr>
            </w:pPr>
            <w:r w:rsidRPr="00AE3A84">
              <w:rPr>
                <w:noProof/>
              </w:rPr>
              <w:t>2792-18</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36E6CEAF" w14:textId="77777777" w:rsidR="0057201B" w:rsidRPr="00AE3A84" w:rsidRDefault="0057201B">
            <w:pPr>
              <w:pStyle w:val="BodyText"/>
              <w:jc w:val="both"/>
              <w:rPr>
                <w:noProof/>
              </w:rPr>
            </w:pPr>
            <w:r w:rsidRPr="00AE3A84">
              <w:rPr>
                <w:noProof/>
              </w:rPr>
              <w:t>14.239</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4F93DBA0" w14:textId="77777777" w:rsidR="0057201B" w:rsidRPr="00AE3A84" w:rsidRDefault="0057201B">
            <w:pPr>
              <w:pStyle w:val="BodyText"/>
              <w:jc w:val="both"/>
              <w:rPr>
                <w:noProof/>
              </w:rPr>
            </w:pPr>
            <w:r w:rsidRPr="00AE3A84">
              <w:rPr>
                <w:noProof/>
              </w:rPr>
              <w:t>2018</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765D70F9" w14:textId="77777777" w:rsidR="0057201B" w:rsidRPr="00AE3A84" w:rsidRDefault="0057201B">
            <w:pPr>
              <w:pStyle w:val="BodyText"/>
              <w:rPr>
                <w:noProof/>
              </w:rPr>
            </w:pPr>
            <w:r w:rsidRPr="00AE3A84">
              <w:rPr>
                <w:noProof/>
              </w:rPr>
              <w:t>Audrylis Urrieta</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79C3F737" w14:textId="4CA3851F" w:rsidR="0057201B" w:rsidRPr="00AE3A84" w:rsidRDefault="0057201B">
            <w:pPr>
              <w:pStyle w:val="BodyText"/>
              <w:jc w:val="both"/>
              <w:rPr>
                <w:noProof/>
              </w:rPr>
            </w:pPr>
            <w:r w:rsidRPr="00AE3A84">
              <w:rPr>
                <w:noProof/>
              </w:rPr>
              <w:t>Merits</w:t>
            </w:r>
          </w:p>
        </w:tc>
      </w:tr>
      <w:tr w:rsidR="0057201B" w:rsidRPr="00AE3A84" w14:paraId="628CAE2B" w14:textId="77777777" w:rsidTr="007C783B">
        <w:trPr>
          <w:trHeight w:val="596"/>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29A7984A" w14:textId="77777777" w:rsidR="0057201B" w:rsidRPr="00AE3A84" w:rsidRDefault="0057201B">
            <w:pPr>
              <w:pStyle w:val="BodyText"/>
              <w:jc w:val="center"/>
              <w:rPr>
                <w:noProof/>
              </w:rPr>
            </w:pPr>
            <w:r w:rsidRPr="00AE3A84">
              <w:rPr>
                <w:noProof/>
              </w:rPr>
              <w:t>65</w:t>
            </w:r>
          </w:p>
        </w:tc>
        <w:tc>
          <w:tcPr>
            <w:tcW w:w="1370" w:type="dxa"/>
            <w:tcBorders>
              <w:top w:val="single" w:sz="4" w:space="0" w:color="000000"/>
              <w:left w:val="nil"/>
              <w:bottom w:val="single" w:sz="4" w:space="0" w:color="000000"/>
              <w:right w:val="single" w:sz="4" w:space="0" w:color="000000"/>
            </w:tcBorders>
            <w:noWrap/>
            <w:vAlign w:val="center"/>
            <w:hideMark/>
          </w:tcPr>
          <w:p w14:paraId="1D8A1731" w14:textId="77777777" w:rsidR="0057201B" w:rsidRPr="00AE3A84" w:rsidRDefault="0057201B">
            <w:pPr>
              <w:pStyle w:val="BodyText"/>
              <w:jc w:val="both"/>
              <w:rPr>
                <w:noProof/>
              </w:rPr>
            </w:pPr>
            <w:r w:rsidRPr="00AE3A84">
              <w:rPr>
                <w:noProof/>
              </w:rPr>
              <w:t>Venezuela</w:t>
            </w:r>
          </w:p>
        </w:tc>
        <w:tc>
          <w:tcPr>
            <w:tcW w:w="1620" w:type="dxa"/>
            <w:tcBorders>
              <w:top w:val="single" w:sz="4" w:space="0" w:color="000000"/>
              <w:left w:val="nil"/>
              <w:bottom w:val="single" w:sz="4" w:space="0" w:color="000000"/>
              <w:right w:val="single" w:sz="4" w:space="0" w:color="000000"/>
            </w:tcBorders>
            <w:vAlign w:val="center"/>
            <w:hideMark/>
          </w:tcPr>
          <w:p w14:paraId="55A87124" w14:textId="77777777" w:rsidR="0057201B" w:rsidRPr="00AE3A84" w:rsidRDefault="0057201B">
            <w:pPr>
              <w:pStyle w:val="BodyText"/>
              <w:jc w:val="both"/>
              <w:rPr>
                <w:noProof/>
              </w:rPr>
            </w:pPr>
            <w:r w:rsidRPr="00AE3A84">
              <w:rPr>
                <w:noProof/>
              </w:rPr>
              <w:t>15-19</w:t>
            </w:r>
          </w:p>
        </w:tc>
        <w:tc>
          <w:tcPr>
            <w:tcW w:w="1530" w:type="dxa"/>
            <w:tcBorders>
              <w:top w:val="single" w:sz="4" w:space="0" w:color="000000"/>
              <w:left w:val="nil"/>
              <w:bottom w:val="single" w:sz="4" w:space="0" w:color="000000"/>
              <w:right w:val="single" w:sz="4" w:space="0" w:color="000000"/>
            </w:tcBorders>
            <w:vAlign w:val="center"/>
            <w:hideMark/>
          </w:tcPr>
          <w:p w14:paraId="3A0950B7" w14:textId="77777777" w:rsidR="0057201B" w:rsidRPr="00AE3A84" w:rsidRDefault="0057201B">
            <w:pPr>
              <w:pStyle w:val="BodyText"/>
              <w:jc w:val="both"/>
              <w:rPr>
                <w:noProof/>
              </w:rPr>
            </w:pPr>
            <w:r w:rsidRPr="00AE3A84">
              <w:rPr>
                <w:noProof/>
              </w:rPr>
              <w:t>14.241</w:t>
            </w:r>
          </w:p>
        </w:tc>
        <w:tc>
          <w:tcPr>
            <w:tcW w:w="900" w:type="dxa"/>
            <w:tcBorders>
              <w:top w:val="single" w:sz="4" w:space="0" w:color="000000"/>
              <w:left w:val="nil"/>
              <w:bottom w:val="single" w:sz="4" w:space="0" w:color="000000"/>
              <w:right w:val="single" w:sz="4" w:space="0" w:color="000000"/>
            </w:tcBorders>
            <w:vAlign w:val="center"/>
            <w:hideMark/>
          </w:tcPr>
          <w:p w14:paraId="126A3FC5" w14:textId="77777777" w:rsidR="0057201B" w:rsidRPr="00AE3A84" w:rsidRDefault="0057201B">
            <w:pPr>
              <w:pStyle w:val="BodyText"/>
              <w:jc w:val="both"/>
              <w:rPr>
                <w:noProof/>
              </w:rPr>
            </w:pPr>
            <w:r w:rsidRPr="00AE3A84">
              <w:rPr>
                <w:noProof/>
              </w:rPr>
              <w:t>2019</w:t>
            </w:r>
          </w:p>
        </w:tc>
        <w:tc>
          <w:tcPr>
            <w:tcW w:w="2636" w:type="dxa"/>
            <w:tcBorders>
              <w:top w:val="single" w:sz="4" w:space="0" w:color="000000"/>
              <w:left w:val="nil"/>
              <w:bottom w:val="single" w:sz="4" w:space="0" w:color="000000"/>
              <w:right w:val="single" w:sz="4" w:space="0" w:color="000000"/>
            </w:tcBorders>
            <w:vAlign w:val="center"/>
            <w:hideMark/>
          </w:tcPr>
          <w:p w14:paraId="111D2064" w14:textId="77777777" w:rsidR="0057201B" w:rsidRPr="00AE3A84" w:rsidRDefault="0057201B">
            <w:pPr>
              <w:pStyle w:val="BodyText"/>
              <w:rPr>
                <w:noProof/>
              </w:rPr>
            </w:pPr>
            <w:r w:rsidRPr="00AE3A84">
              <w:rPr>
                <w:noProof/>
              </w:rPr>
              <w:t>Gerardo Javier Urdaneta Quintana</w:t>
            </w:r>
          </w:p>
        </w:tc>
        <w:tc>
          <w:tcPr>
            <w:tcW w:w="1935" w:type="dxa"/>
            <w:tcBorders>
              <w:top w:val="single" w:sz="4" w:space="0" w:color="000000"/>
              <w:left w:val="nil"/>
              <w:bottom w:val="single" w:sz="4" w:space="0" w:color="000000"/>
              <w:right w:val="single" w:sz="4" w:space="0" w:color="000000"/>
            </w:tcBorders>
            <w:vAlign w:val="center"/>
            <w:hideMark/>
          </w:tcPr>
          <w:p w14:paraId="25705C2B" w14:textId="2BF6AECE" w:rsidR="0057201B" w:rsidRPr="00AE3A84" w:rsidRDefault="0057201B">
            <w:pPr>
              <w:pStyle w:val="BodyText"/>
              <w:jc w:val="both"/>
              <w:rPr>
                <w:noProof/>
              </w:rPr>
            </w:pPr>
            <w:r w:rsidRPr="00AE3A84">
              <w:rPr>
                <w:noProof/>
              </w:rPr>
              <w:t>Merits</w:t>
            </w:r>
          </w:p>
        </w:tc>
      </w:tr>
      <w:tr w:rsidR="0057201B" w:rsidRPr="00AE3A84" w14:paraId="685C66B4" w14:textId="77777777" w:rsidTr="008B05A0">
        <w:trPr>
          <w:trHeight w:val="61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4A028B93" w14:textId="77777777" w:rsidR="0057201B" w:rsidRPr="00AE3A84" w:rsidRDefault="0057201B">
            <w:pPr>
              <w:pStyle w:val="BodyText"/>
              <w:jc w:val="center"/>
              <w:rPr>
                <w:noProof/>
              </w:rPr>
            </w:pPr>
            <w:r w:rsidRPr="00AE3A84">
              <w:rPr>
                <w:noProof/>
              </w:rPr>
              <w:t>66</w:t>
            </w:r>
          </w:p>
        </w:tc>
        <w:tc>
          <w:tcPr>
            <w:tcW w:w="1370" w:type="dxa"/>
            <w:tcBorders>
              <w:top w:val="single" w:sz="4" w:space="0" w:color="000000"/>
              <w:left w:val="nil"/>
              <w:bottom w:val="single" w:sz="4" w:space="0" w:color="000000"/>
              <w:right w:val="single" w:sz="4" w:space="0" w:color="000000"/>
            </w:tcBorders>
            <w:noWrap/>
            <w:vAlign w:val="center"/>
            <w:hideMark/>
          </w:tcPr>
          <w:p w14:paraId="5EB16C14" w14:textId="77777777" w:rsidR="0057201B" w:rsidRPr="00AE3A84" w:rsidRDefault="0057201B">
            <w:pPr>
              <w:pStyle w:val="BodyText"/>
              <w:jc w:val="both"/>
              <w:rPr>
                <w:noProof/>
              </w:rPr>
            </w:pPr>
            <w:r w:rsidRPr="00AE3A84">
              <w:rPr>
                <w:noProof/>
              </w:rPr>
              <w:t>Venezuela</w:t>
            </w:r>
          </w:p>
        </w:tc>
        <w:tc>
          <w:tcPr>
            <w:tcW w:w="1620" w:type="dxa"/>
            <w:tcBorders>
              <w:top w:val="single" w:sz="4" w:space="0" w:color="000000"/>
              <w:left w:val="nil"/>
              <w:bottom w:val="single" w:sz="4" w:space="0" w:color="000000"/>
              <w:right w:val="single" w:sz="4" w:space="0" w:color="000000"/>
            </w:tcBorders>
            <w:vAlign w:val="center"/>
            <w:hideMark/>
          </w:tcPr>
          <w:p w14:paraId="578C27C3" w14:textId="77777777" w:rsidR="0057201B" w:rsidRPr="00AE3A84" w:rsidRDefault="0057201B">
            <w:pPr>
              <w:pStyle w:val="BodyText"/>
              <w:jc w:val="both"/>
              <w:rPr>
                <w:noProof/>
              </w:rPr>
            </w:pPr>
            <w:r w:rsidRPr="00AE3A84">
              <w:rPr>
                <w:noProof/>
              </w:rPr>
              <w:t>471-19</w:t>
            </w:r>
          </w:p>
        </w:tc>
        <w:tc>
          <w:tcPr>
            <w:tcW w:w="1530" w:type="dxa"/>
            <w:tcBorders>
              <w:top w:val="single" w:sz="4" w:space="0" w:color="000000"/>
              <w:left w:val="nil"/>
              <w:bottom w:val="single" w:sz="4" w:space="0" w:color="000000"/>
              <w:right w:val="single" w:sz="4" w:space="0" w:color="000000"/>
            </w:tcBorders>
            <w:vAlign w:val="center"/>
            <w:hideMark/>
          </w:tcPr>
          <w:p w14:paraId="36DE3E47" w14:textId="77777777" w:rsidR="0057201B" w:rsidRPr="00AE3A84" w:rsidRDefault="0057201B">
            <w:pPr>
              <w:pStyle w:val="BodyText"/>
              <w:jc w:val="both"/>
              <w:rPr>
                <w:noProof/>
              </w:rPr>
            </w:pPr>
            <w:r w:rsidRPr="00AE3A84">
              <w:rPr>
                <w:noProof/>
              </w:rPr>
              <w:t>14.243</w:t>
            </w:r>
          </w:p>
        </w:tc>
        <w:tc>
          <w:tcPr>
            <w:tcW w:w="900" w:type="dxa"/>
            <w:tcBorders>
              <w:top w:val="single" w:sz="4" w:space="0" w:color="000000"/>
              <w:left w:val="nil"/>
              <w:bottom w:val="single" w:sz="4" w:space="0" w:color="000000"/>
              <w:right w:val="single" w:sz="4" w:space="0" w:color="000000"/>
            </w:tcBorders>
            <w:vAlign w:val="center"/>
            <w:hideMark/>
          </w:tcPr>
          <w:p w14:paraId="07080CDA" w14:textId="77777777" w:rsidR="0057201B" w:rsidRPr="00AE3A84" w:rsidRDefault="0057201B">
            <w:pPr>
              <w:pStyle w:val="BodyText"/>
              <w:jc w:val="both"/>
              <w:rPr>
                <w:noProof/>
              </w:rPr>
            </w:pPr>
            <w:r w:rsidRPr="00AE3A84">
              <w:rPr>
                <w:noProof/>
              </w:rPr>
              <w:t>2019</w:t>
            </w:r>
          </w:p>
        </w:tc>
        <w:tc>
          <w:tcPr>
            <w:tcW w:w="2636" w:type="dxa"/>
            <w:tcBorders>
              <w:top w:val="single" w:sz="4" w:space="0" w:color="000000"/>
              <w:left w:val="nil"/>
              <w:bottom w:val="single" w:sz="4" w:space="0" w:color="000000"/>
              <w:right w:val="single" w:sz="4" w:space="0" w:color="000000"/>
            </w:tcBorders>
            <w:vAlign w:val="center"/>
            <w:hideMark/>
          </w:tcPr>
          <w:p w14:paraId="5AE1BF9D" w14:textId="77777777" w:rsidR="0057201B" w:rsidRPr="00AE3A84" w:rsidRDefault="0057201B">
            <w:pPr>
              <w:pStyle w:val="BodyText"/>
              <w:rPr>
                <w:noProof/>
              </w:rPr>
            </w:pPr>
            <w:r w:rsidRPr="00AE3A84">
              <w:rPr>
                <w:noProof/>
              </w:rPr>
              <w:t>Melvin Gregorio Farias Gutierrez</w:t>
            </w:r>
          </w:p>
        </w:tc>
        <w:tc>
          <w:tcPr>
            <w:tcW w:w="1935" w:type="dxa"/>
            <w:tcBorders>
              <w:top w:val="single" w:sz="4" w:space="0" w:color="000000"/>
              <w:left w:val="nil"/>
              <w:bottom w:val="single" w:sz="4" w:space="0" w:color="000000"/>
              <w:right w:val="single" w:sz="4" w:space="0" w:color="000000"/>
            </w:tcBorders>
            <w:vAlign w:val="center"/>
            <w:hideMark/>
          </w:tcPr>
          <w:p w14:paraId="2180E19F" w14:textId="6742E111" w:rsidR="0057201B" w:rsidRPr="00AE3A84" w:rsidRDefault="0057201B">
            <w:pPr>
              <w:pStyle w:val="BodyText"/>
              <w:jc w:val="both"/>
              <w:rPr>
                <w:noProof/>
              </w:rPr>
            </w:pPr>
            <w:r w:rsidRPr="00AE3A84">
              <w:rPr>
                <w:noProof/>
              </w:rPr>
              <w:t>Merits</w:t>
            </w:r>
          </w:p>
        </w:tc>
      </w:tr>
      <w:tr w:rsidR="0057201B" w:rsidRPr="00AE3A84" w14:paraId="501361FE" w14:textId="77777777" w:rsidTr="008B05A0">
        <w:trPr>
          <w:trHeight w:val="227"/>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3BDCEE58" w14:textId="77777777" w:rsidR="0057201B" w:rsidRPr="00AE3A84" w:rsidRDefault="0057201B">
            <w:pPr>
              <w:pStyle w:val="BodyText"/>
              <w:jc w:val="center"/>
              <w:rPr>
                <w:noProof/>
              </w:rPr>
            </w:pPr>
            <w:r w:rsidRPr="00AE3A84">
              <w:rPr>
                <w:noProof/>
              </w:rPr>
              <w:t>67</w:t>
            </w:r>
          </w:p>
        </w:tc>
        <w:tc>
          <w:tcPr>
            <w:tcW w:w="1370" w:type="dxa"/>
            <w:tcBorders>
              <w:top w:val="single" w:sz="4" w:space="0" w:color="000000"/>
              <w:left w:val="nil"/>
              <w:bottom w:val="single" w:sz="4" w:space="0" w:color="000000"/>
              <w:right w:val="single" w:sz="4" w:space="0" w:color="000000"/>
            </w:tcBorders>
            <w:noWrap/>
            <w:vAlign w:val="center"/>
            <w:hideMark/>
          </w:tcPr>
          <w:p w14:paraId="25B06F7A" w14:textId="77777777" w:rsidR="0057201B" w:rsidRPr="00AE3A84" w:rsidRDefault="0057201B">
            <w:pPr>
              <w:pStyle w:val="BodyText"/>
              <w:jc w:val="both"/>
              <w:rPr>
                <w:noProof/>
              </w:rPr>
            </w:pPr>
            <w:r w:rsidRPr="00AE3A84">
              <w:rPr>
                <w:noProof/>
              </w:rPr>
              <w:t>Venezuela</w:t>
            </w:r>
          </w:p>
        </w:tc>
        <w:tc>
          <w:tcPr>
            <w:tcW w:w="1620" w:type="dxa"/>
            <w:tcBorders>
              <w:top w:val="single" w:sz="4" w:space="0" w:color="000000"/>
              <w:left w:val="nil"/>
              <w:bottom w:val="single" w:sz="4" w:space="0" w:color="000000"/>
              <w:right w:val="single" w:sz="4" w:space="0" w:color="000000"/>
            </w:tcBorders>
            <w:vAlign w:val="center"/>
            <w:hideMark/>
          </w:tcPr>
          <w:p w14:paraId="7CB15610" w14:textId="77777777" w:rsidR="0057201B" w:rsidRPr="00AE3A84" w:rsidRDefault="0057201B">
            <w:pPr>
              <w:pStyle w:val="BodyText"/>
              <w:jc w:val="both"/>
              <w:rPr>
                <w:noProof/>
              </w:rPr>
            </w:pPr>
            <w:r w:rsidRPr="00AE3A84">
              <w:rPr>
                <w:noProof/>
              </w:rPr>
              <w:t>354-19</w:t>
            </w:r>
          </w:p>
        </w:tc>
        <w:tc>
          <w:tcPr>
            <w:tcW w:w="1530" w:type="dxa"/>
            <w:tcBorders>
              <w:top w:val="single" w:sz="4" w:space="0" w:color="000000"/>
              <w:left w:val="nil"/>
              <w:bottom w:val="single" w:sz="4" w:space="0" w:color="000000"/>
              <w:right w:val="single" w:sz="4" w:space="0" w:color="000000"/>
            </w:tcBorders>
            <w:vAlign w:val="center"/>
            <w:hideMark/>
          </w:tcPr>
          <w:p w14:paraId="3A3F8D3D" w14:textId="77777777" w:rsidR="0057201B" w:rsidRPr="00AE3A84" w:rsidRDefault="0057201B">
            <w:pPr>
              <w:pStyle w:val="BodyText"/>
              <w:jc w:val="both"/>
              <w:rPr>
                <w:noProof/>
              </w:rPr>
            </w:pPr>
            <w:r w:rsidRPr="00AE3A84">
              <w:rPr>
                <w:noProof/>
              </w:rPr>
              <w:t>14.242</w:t>
            </w:r>
          </w:p>
        </w:tc>
        <w:tc>
          <w:tcPr>
            <w:tcW w:w="900" w:type="dxa"/>
            <w:tcBorders>
              <w:top w:val="single" w:sz="4" w:space="0" w:color="000000"/>
              <w:left w:val="nil"/>
              <w:bottom w:val="single" w:sz="4" w:space="0" w:color="000000"/>
              <w:right w:val="single" w:sz="4" w:space="0" w:color="000000"/>
            </w:tcBorders>
            <w:vAlign w:val="center"/>
            <w:hideMark/>
          </w:tcPr>
          <w:p w14:paraId="331A2684" w14:textId="77777777" w:rsidR="0057201B" w:rsidRPr="00AE3A84" w:rsidRDefault="0057201B">
            <w:pPr>
              <w:pStyle w:val="BodyText"/>
              <w:jc w:val="both"/>
              <w:rPr>
                <w:noProof/>
              </w:rPr>
            </w:pPr>
            <w:r w:rsidRPr="00AE3A84">
              <w:rPr>
                <w:noProof/>
              </w:rPr>
              <w:t>2019</w:t>
            </w:r>
          </w:p>
        </w:tc>
        <w:tc>
          <w:tcPr>
            <w:tcW w:w="2636" w:type="dxa"/>
            <w:tcBorders>
              <w:top w:val="single" w:sz="4" w:space="0" w:color="000000"/>
              <w:left w:val="nil"/>
              <w:bottom w:val="single" w:sz="4" w:space="0" w:color="000000"/>
              <w:right w:val="single" w:sz="4" w:space="0" w:color="000000"/>
            </w:tcBorders>
            <w:vAlign w:val="center"/>
            <w:hideMark/>
          </w:tcPr>
          <w:p w14:paraId="0D446920" w14:textId="77777777" w:rsidR="0057201B" w:rsidRPr="00AE3A84" w:rsidRDefault="0057201B">
            <w:pPr>
              <w:pStyle w:val="BodyText"/>
              <w:rPr>
                <w:noProof/>
              </w:rPr>
            </w:pPr>
            <w:r w:rsidRPr="00AE3A84">
              <w:rPr>
                <w:noProof/>
              </w:rPr>
              <w:t>Héctor Armando Hernández Acosta</w:t>
            </w:r>
          </w:p>
        </w:tc>
        <w:tc>
          <w:tcPr>
            <w:tcW w:w="1935" w:type="dxa"/>
            <w:tcBorders>
              <w:top w:val="single" w:sz="4" w:space="0" w:color="000000"/>
              <w:left w:val="nil"/>
              <w:bottom w:val="single" w:sz="4" w:space="0" w:color="000000"/>
              <w:right w:val="single" w:sz="4" w:space="0" w:color="000000"/>
            </w:tcBorders>
            <w:vAlign w:val="center"/>
            <w:hideMark/>
          </w:tcPr>
          <w:p w14:paraId="1481BBEE" w14:textId="18B50CA7" w:rsidR="0057201B" w:rsidRPr="00AE3A84" w:rsidRDefault="0057201B">
            <w:pPr>
              <w:pStyle w:val="BodyText"/>
              <w:jc w:val="both"/>
              <w:rPr>
                <w:noProof/>
              </w:rPr>
            </w:pPr>
            <w:r w:rsidRPr="00AE3A84">
              <w:rPr>
                <w:noProof/>
              </w:rPr>
              <w:t>Merits</w:t>
            </w:r>
          </w:p>
        </w:tc>
      </w:tr>
      <w:tr w:rsidR="0057201B" w:rsidRPr="00AE3A84" w14:paraId="2080E4A1" w14:textId="77777777" w:rsidTr="008B05A0">
        <w:trPr>
          <w:trHeight w:val="55"/>
        </w:trPr>
        <w:tc>
          <w:tcPr>
            <w:tcW w:w="559" w:type="dxa"/>
            <w:tcBorders>
              <w:top w:val="single" w:sz="4" w:space="0" w:color="000000"/>
              <w:left w:val="single" w:sz="4" w:space="0" w:color="000000"/>
              <w:bottom w:val="single" w:sz="4" w:space="0" w:color="000000"/>
              <w:right w:val="single" w:sz="4" w:space="0" w:color="000000"/>
            </w:tcBorders>
            <w:noWrap/>
            <w:vAlign w:val="center"/>
            <w:hideMark/>
          </w:tcPr>
          <w:p w14:paraId="12A32086" w14:textId="77777777" w:rsidR="0057201B" w:rsidRPr="00AE3A84" w:rsidRDefault="0057201B">
            <w:pPr>
              <w:pStyle w:val="BodyText"/>
              <w:jc w:val="center"/>
              <w:rPr>
                <w:noProof/>
              </w:rPr>
            </w:pPr>
            <w:r w:rsidRPr="00AE3A84">
              <w:rPr>
                <w:noProof/>
              </w:rPr>
              <w:t>68</w:t>
            </w:r>
          </w:p>
        </w:tc>
        <w:tc>
          <w:tcPr>
            <w:tcW w:w="1370" w:type="dxa"/>
            <w:tcBorders>
              <w:top w:val="single" w:sz="4" w:space="0" w:color="000000"/>
              <w:left w:val="nil"/>
              <w:bottom w:val="single" w:sz="4" w:space="0" w:color="000000"/>
              <w:right w:val="single" w:sz="4" w:space="0" w:color="000000"/>
            </w:tcBorders>
            <w:noWrap/>
            <w:vAlign w:val="center"/>
            <w:hideMark/>
          </w:tcPr>
          <w:p w14:paraId="17236097" w14:textId="77777777" w:rsidR="0057201B" w:rsidRPr="00AE3A84" w:rsidRDefault="0057201B">
            <w:pPr>
              <w:pStyle w:val="BodyText"/>
              <w:jc w:val="both"/>
              <w:rPr>
                <w:noProof/>
              </w:rPr>
            </w:pPr>
            <w:r w:rsidRPr="00AE3A84">
              <w:rPr>
                <w:noProof/>
              </w:rPr>
              <w:t>Venezuela</w:t>
            </w:r>
          </w:p>
        </w:tc>
        <w:tc>
          <w:tcPr>
            <w:tcW w:w="1620" w:type="dxa"/>
            <w:tcBorders>
              <w:top w:val="single" w:sz="4" w:space="0" w:color="000000"/>
              <w:left w:val="nil"/>
              <w:bottom w:val="single" w:sz="4" w:space="0" w:color="000000"/>
              <w:right w:val="single" w:sz="4" w:space="0" w:color="000000"/>
            </w:tcBorders>
            <w:vAlign w:val="center"/>
            <w:hideMark/>
          </w:tcPr>
          <w:p w14:paraId="433D4544" w14:textId="77777777" w:rsidR="0057201B" w:rsidRPr="00AE3A84" w:rsidRDefault="0057201B">
            <w:pPr>
              <w:pStyle w:val="BodyText"/>
              <w:jc w:val="both"/>
              <w:rPr>
                <w:noProof/>
              </w:rPr>
            </w:pPr>
            <w:r w:rsidRPr="00AE3A84">
              <w:rPr>
                <w:noProof/>
              </w:rPr>
              <w:t>780-19</w:t>
            </w:r>
          </w:p>
        </w:tc>
        <w:tc>
          <w:tcPr>
            <w:tcW w:w="1530" w:type="dxa"/>
            <w:tcBorders>
              <w:top w:val="single" w:sz="4" w:space="0" w:color="000000"/>
              <w:left w:val="nil"/>
              <w:bottom w:val="single" w:sz="4" w:space="0" w:color="000000"/>
              <w:right w:val="single" w:sz="4" w:space="0" w:color="000000"/>
            </w:tcBorders>
            <w:vAlign w:val="center"/>
            <w:hideMark/>
          </w:tcPr>
          <w:p w14:paraId="20971553" w14:textId="77777777" w:rsidR="0057201B" w:rsidRPr="00AE3A84" w:rsidRDefault="0057201B">
            <w:pPr>
              <w:pStyle w:val="BodyText"/>
              <w:jc w:val="both"/>
              <w:rPr>
                <w:noProof/>
              </w:rPr>
            </w:pPr>
            <w:r w:rsidRPr="00AE3A84">
              <w:rPr>
                <w:noProof/>
              </w:rPr>
              <w:t>14.244</w:t>
            </w:r>
          </w:p>
        </w:tc>
        <w:tc>
          <w:tcPr>
            <w:tcW w:w="900" w:type="dxa"/>
            <w:tcBorders>
              <w:top w:val="single" w:sz="4" w:space="0" w:color="000000"/>
              <w:left w:val="nil"/>
              <w:bottom w:val="single" w:sz="4" w:space="0" w:color="000000"/>
              <w:right w:val="single" w:sz="4" w:space="0" w:color="000000"/>
            </w:tcBorders>
            <w:vAlign w:val="center"/>
            <w:hideMark/>
          </w:tcPr>
          <w:p w14:paraId="5F19DFE7" w14:textId="77777777" w:rsidR="0057201B" w:rsidRPr="00AE3A84" w:rsidRDefault="0057201B">
            <w:pPr>
              <w:pStyle w:val="BodyText"/>
              <w:jc w:val="both"/>
              <w:rPr>
                <w:noProof/>
              </w:rPr>
            </w:pPr>
            <w:r w:rsidRPr="00AE3A84">
              <w:rPr>
                <w:noProof/>
              </w:rPr>
              <w:t>2019</w:t>
            </w:r>
          </w:p>
        </w:tc>
        <w:tc>
          <w:tcPr>
            <w:tcW w:w="2636" w:type="dxa"/>
            <w:tcBorders>
              <w:top w:val="single" w:sz="4" w:space="0" w:color="000000"/>
              <w:left w:val="nil"/>
              <w:bottom w:val="single" w:sz="4" w:space="0" w:color="000000"/>
              <w:right w:val="single" w:sz="4" w:space="0" w:color="000000"/>
            </w:tcBorders>
            <w:vAlign w:val="center"/>
            <w:hideMark/>
          </w:tcPr>
          <w:p w14:paraId="7EAF7715" w14:textId="77777777" w:rsidR="0057201B" w:rsidRPr="00AE3A84" w:rsidRDefault="0057201B">
            <w:pPr>
              <w:pStyle w:val="BodyText"/>
              <w:rPr>
                <w:noProof/>
                <w:lang w:val="es-US"/>
              </w:rPr>
            </w:pPr>
            <w:r w:rsidRPr="00AE3A84">
              <w:rPr>
                <w:noProof/>
                <w:lang w:val="es-US"/>
              </w:rPr>
              <w:t>África Aquino Quijada, Isael Jesus Macadan Aquino</w:t>
            </w:r>
          </w:p>
        </w:tc>
        <w:tc>
          <w:tcPr>
            <w:tcW w:w="1935" w:type="dxa"/>
            <w:tcBorders>
              <w:top w:val="single" w:sz="4" w:space="0" w:color="000000"/>
              <w:left w:val="nil"/>
              <w:bottom w:val="single" w:sz="4" w:space="0" w:color="000000"/>
              <w:right w:val="single" w:sz="4" w:space="0" w:color="000000"/>
            </w:tcBorders>
            <w:vAlign w:val="center"/>
            <w:hideMark/>
          </w:tcPr>
          <w:p w14:paraId="2C785C7D" w14:textId="193F4EC2" w:rsidR="0057201B" w:rsidRPr="00AE3A84" w:rsidRDefault="0057201B">
            <w:pPr>
              <w:pStyle w:val="BodyText"/>
              <w:jc w:val="both"/>
              <w:rPr>
                <w:noProof/>
              </w:rPr>
            </w:pPr>
            <w:r w:rsidRPr="00AE3A84">
              <w:rPr>
                <w:noProof/>
              </w:rPr>
              <w:t>Merits</w:t>
            </w:r>
          </w:p>
        </w:tc>
      </w:tr>
    </w:tbl>
    <w:p w14:paraId="0BCFB754" w14:textId="77777777" w:rsidR="0057201B" w:rsidRPr="00AE3A84" w:rsidRDefault="0057201B" w:rsidP="0057201B">
      <w:pPr>
        <w:jc w:val="both"/>
        <w:rPr>
          <w:rFonts w:ascii="Cambria" w:hAnsi="Cambria"/>
          <w:sz w:val="20"/>
          <w:szCs w:val="20"/>
          <w:lang w:val="es-US"/>
        </w:rPr>
      </w:pPr>
    </w:p>
    <w:p w14:paraId="3AB8C5E4" w14:textId="37258AE4" w:rsidR="0057201B" w:rsidRPr="004B7474" w:rsidRDefault="0057201B" w:rsidP="00933F91">
      <w:pPr>
        <w:pStyle w:val="ListParagraph"/>
        <w:numPr>
          <w:ilvl w:val="0"/>
          <w:numId w:val="55"/>
        </w:numPr>
        <w:autoSpaceDE w:val="0"/>
        <w:autoSpaceDN w:val="0"/>
        <w:adjustRightInd w:val="0"/>
        <w:ind w:left="1440" w:hanging="720"/>
        <w:contextualSpacing w:val="0"/>
        <w:jc w:val="both"/>
        <w:rPr>
          <w:rFonts w:ascii="Cambria" w:hAnsi="Cambria"/>
          <w:b/>
          <w:bCs/>
          <w:sz w:val="22"/>
          <w:szCs w:val="22"/>
          <w:lang w:val="es-US"/>
        </w:rPr>
      </w:pPr>
      <w:r w:rsidRPr="004B7474">
        <w:rPr>
          <w:rFonts w:ascii="Cambria" w:hAnsi="Cambria"/>
          <w:b/>
          <w:bCs/>
          <w:sz w:val="22"/>
          <w:szCs w:val="22"/>
          <w:lang w:val="es-US"/>
        </w:rPr>
        <w:t xml:space="preserve">Examples of </w:t>
      </w:r>
      <w:r w:rsidR="00242756" w:rsidRPr="004B7474">
        <w:rPr>
          <w:rFonts w:ascii="Cambria" w:hAnsi="Cambria"/>
          <w:b/>
          <w:bCs/>
          <w:sz w:val="22"/>
          <w:szCs w:val="22"/>
          <w:lang w:val="es-US"/>
        </w:rPr>
        <w:t>n</w:t>
      </w:r>
      <w:r w:rsidRPr="004B7474">
        <w:rPr>
          <w:rFonts w:ascii="Cambria" w:hAnsi="Cambria"/>
          <w:b/>
          <w:bCs/>
          <w:sz w:val="22"/>
          <w:szCs w:val="22"/>
          <w:lang w:val="es-US"/>
        </w:rPr>
        <w:t xml:space="preserve">oteworthy </w:t>
      </w:r>
      <w:r w:rsidR="00242756" w:rsidRPr="004B7474">
        <w:rPr>
          <w:rFonts w:ascii="Cambria" w:hAnsi="Cambria"/>
          <w:b/>
          <w:bCs/>
          <w:sz w:val="22"/>
          <w:szCs w:val="22"/>
          <w:lang w:val="es-US"/>
        </w:rPr>
        <w:t>d</w:t>
      </w:r>
      <w:r w:rsidRPr="004B7474">
        <w:rPr>
          <w:rFonts w:ascii="Cambria" w:hAnsi="Cambria"/>
          <w:b/>
          <w:bCs/>
          <w:sz w:val="22"/>
          <w:szCs w:val="22"/>
          <w:lang w:val="es-US"/>
        </w:rPr>
        <w:t>ecisions</w:t>
      </w:r>
    </w:p>
    <w:p w14:paraId="5D8C9464" w14:textId="77777777" w:rsidR="0057201B" w:rsidRPr="004B7474" w:rsidRDefault="0057201B" w:rsidP="0057201B">
      <w:pPr>
        <w:pStyle w:val="ListParagraph"/>
        <w:autoSpaceDE w:val="0"/>
        <w:autoSpaceDN w:val="0"/>
        <w:adjustRightInd w:val="0"/>
        <w:ind w:firstLine="360"/>
        <w:contextualSpacing w:val="0"/>
        <w:jc w:val="both"/>
        <w:rPr>
          <w:rFonts w:ascii="Cambria" w:hAnsi="Cambria"/>
          <w:b/>
          <w:bCs/>
          <w:sz w:val="22"/>
          <w:szCs w:val="22"/>
          <w:lang w:val="es-ES_tradnl"/>
        </w:rPr>
      </w:pPr>
    </w:p>
    <w:p w14:paraId="7525B4FD" w14:textId="596DA70D" w:rsidR="0057201B" w:rsidRPr="005615BA" w:rsidRDefault="0057201B" w:rsidP="00933F91">
      <w:pPr>
        <w:pStyle w:val="ListParagraph"/>
        <w:numPr>
          <w:ilvl w:val="0"/>
          <w:numId w:val="61"/>
        </w:numPr>
        <w:tabs>
          <w:tab w:val="left" w:pos="1440"/>
        </w:tabs>
        <w:autoSpaceDE w:val="0"/>
        <w:autoSpaceDN w:val="0"/>
        <w:adjustRightInd w:val="0"/>
        <w:ind w:hanging="720"/>
        <w:contextualSpacing w:val="0"/>
        <w:jc w:val="both"/>
        <w:rPr>
          <w:rFonts w:ascii="Cambria" w:hAnsi="Cambria"/>
          <w:b/>
          <w:bCs/>
          <w:sz w:val="20"/>
          <w:szCs w:val="20"/>
          <w:lang w:val="es-ES_tradnl"/>
        </w:rPr>
      </w:pPr>
      <w:r w:rsidRPr="005615BA">
        <w:rPr>
          <w:rFonts w:ascii="Cambria" w:hAnsi="Cambria"/>
          <w:b/>
          <w:bCs/>
          <w:sz w:val="20"/>
          <w:szCs w:val="20"/>
          <w:lang w:val="es-ES_tradnl"/>
        </w:rPr>
        <w:t>Admissibility</w:t>
      </w:r>
    </w:p>
    <w:p w14:paraId="429D46FF" w14:textId="77777777" w:rsidR="0057201B" w:rsidRPr="00AE3A84" w:rsidRDefault="0057201B" w:rsidP="0057201B">
      <w:pPr>
        <w:pStyle w:val="ListParagraph"/>
        <w:autoSpaceDE w:val="0"/>
        <w:autoSpaceDN w:val="0"/>
        <w:adjustRightInd w:val="0"/>
        <w:contextualSpacing w:val="0"/>
        <w:jc w:val="both"/>
        <w:rPr>
          <w:rFonts w:ascii="Cambria" w:hAnsi="Cambria"/>
          <w:sz w:val="20"/>
          <w:szCs w:val="20"/>
          <w:lang w:val="es-ES_tradnl"/>
        </w:rPr>
      </w:pPr>
    </w:p>
    <w:p w14:paraId="26B96C7F" w14:textId="77777777" w:rsidR="0057201B" w:rsidRPr="00FD4462" w:rsidRDefault="0057201B" w:rsidP="00933F91">
      <w:pPr>
        <w:pStyle w:val="ListParagraph"/>
        <w:numPr>
          <w:ilvl w:val="0"/>
          <w:numId w:val="58"/>
        </w:numPr>
        <w:autoSpaceDE w:val="0"/>
        <w:autoSpaceDN w:val="0"/>
        <w:adjustRightInd w:val="0"/>
        <w:ind w:left="0" w:firstLine="720"/>
        <w:jc w:val="both"/>
        <w:rPr>
          <w:rFonts w:ascii="Cambria" w:hAnsi="Cambria"/>
          <w:sz w:val="20"/>
          <w:szCs w:val="20"/>
        </w:rPr>
      </w:pPr>
      <w:r w:rsidRPr="00FD4462">
        <w:rPr>
          <w:rFonts w:ascii="Cambria" w:hAnsi="Cambria"/>
          <w:sz w:val="20"/>
          <w:szCs w:val="20"/>
        </w:rPr>
        <w:t>The following section offers, by way of representative example, summaries of some of the matters that were declared admissible and are currently in the merits stage, based on the seriousness of the allegations; the fact that the cases involve novel issues that have not been extensively developed in the case law of the inter-American system; or because of their importance in the specific context of the State to which they refer:</w:t>
      </w:r>
      <w:r w:rsidRPr="00AE3A84">
        <w:rPr>
          <w:rStyle w:val="FootnoteReference"/>
          <w:rFonts w:ascii="Cambria" w:hAnsi="Cambria"/>
          <w:sz w:val="20"/>
          <w:szCs w:val="20"/>
          <w:lang w:val="es-ES_tradnl"/>
        </w:rPr>
        <w:footnoteReference w:id="8"/>
      </w:r>
      <w:r w:rsidRPr="00FD4462">
        <w:rPr>
          <w:rFonts w:ascii="Cambria" w:hAnsi="Cambria"/>
          <w:sz w:val="20"/>
          <w:szCs w:val="20"/>
        </w:rPr>
        <w:t xml:space="preserve">  </w:t>
      </w:r>
    </w:p>
    <w:p w14:paraId="3283FF08" w14:textId="77777777" w:rsidR="0057201B" w:rsidRPr="00264F3C" w:rsidRDefault="0057201B" w:rsidP="0057201B">
      <w:pPr>
        <w:pStyle w:val="ListParagraph"/>
        <w:autoSpaceDE w:val="0"/>
        <w:autoSpaceDN w:val="0"/>
        <w:adjustRightInd w:val="0"/>
        <w:contextualSpacing w:val="0"/>
        <w:jc w:val="both"/>
        <w:rPr>
          <w:rFonts w:ascii="Cambria" w:hAnsi="Cambria"/>
          <w:sz w:val="20"/>
          <w:szCs w:val="20"/>
        </w:rPr>
      </w:pPr>
    </w:p>
    <w:p w14:paraId="0CDBA6E8" w14:textId="77777777" w:rsidR="0057201B" w:rsidRPr="00BA01C2" w:rsidRDefault="0057201B" w:rsidP="00933F91">
      <w:pPr>
        <w:pStyle w:val="BodyText"/>
        <w:widowControl/>
        <w:numPr>
          <w:ilvl w:val="0"/>
          <w:numId w:val="56"/>
        </w:numPr>
        <w:ind w:left="1440"/>
        <w:jc w:val="both"/>
        <w:rPr>
          <w:b/>
        </w:rPr>
      </w:pPr>
      <w:r w:rsidRPr="004024E3">
        <w:rPr>
          <w:b/>
        </w:rPr>
        <w:t>Report No. 307</w:t>
      </w:r>
      <w:r w:rsidRPr="00BA01C2">
        <w:rPr>
          <w:b/>
        </w:rPr>
        <w:t>, P-1784-13 Indigenous Communities of the Ixil Maya</w:t>
      </w:r>
      <w:r>
        <w:rPr>
          <w:b/>
        </w:rPr>
        <w:t xml:space="preserve"> </w:t>
      </w:r>
      <w:r w:rsidRPr="00BA01C2">
        <w:rPr>
          <w:b/>
        </w:rPr>
        <w:t>Pe</w:t>
      </w:r>
      <w:r>
        <w:rPr>
          <w:b/>
        </w:rPr>
        <w:t>ople</w:t>
      </w:r>
      <w:r w:rsidRPr="00BA01C2">
        <w:rPr>
          <w:b/>
        </w:rPr>
        <w:t>, Guatemala</w:t>
      </w:r>
    </w:p>
    <w:p w14:paraId="619ED351" w14:textId="77777777" w:rsidR="0057201B" w:rsidRPr="00BA01C2" w:rsidRDefault="0057201B" w:rsidP="0057201B">
      <w:pPr>
        <w:pStyle w:val="ListParagraph"/>
        <w:autoSpaceDE w:val="0"/>
        <w:autoSpaceDN w:val="0"/>
        <w:adjustRightInd w:val="0"/>
        <w:contextualSpacing w:val="0"/>
        <w:jc w:val="both"/>
        <w:rPr>
          <w:rFonts w:ascii="Cambria" w:hAnsi="Cambria"/>
          <w:sz w:val="20"/>
          <w:szCs w:val="20"/>
        </w:rPr>
      </w:pPr>
    </w:p>
    <w:p w14:paraId="251DBDBE" w14:textId="7DCF9C11" w:rsidR="0057201B" w:rsidRPr="007552E1" w:rsidRDefault="0057201B" w:rsidP="00933F91">
      <w:pPr>
        <w:pStyle w:val="ListParagraph"/>
        <w:numPr>
          <w:ilvl w:val="0"/>
          <w:numId w:val="58"/>
        </w:numPr>
        <w:autoSpaceDE w:val="0"/>
        <w:autoSpaceDN w:val="0"/>
        <w:adjustRightInd w:val="0"/>
        <w:ind w:left="0" w:firstLine="720"/>
        <w:contextualSpacing w:val="0"/>
        <w:jc w:val="both"/>
        <w:rPr>
          <w:rFonts w:ascii="Cambria" w:hAnsi="Cambria"/>
          <w:sz w:val="20"/>
          <w:szCs w:val="20"/>
        </w:rPr>
      </w:pPr>
      <w:r w:rsidRPr="00BA01C2">
        <w:rPr>
          <w:rFonts w:ascii="Cambria" w:hAnsi="Cambria"/>
          <w:sz w:val="20"/>
          <w:szCs w:val="20"/>
        </w:rPr>
        <w:t xml:space="preserve">In this case, the petitioning organizations </w:t>
      </w:r>
      <w:r>
        <w:rPr>
          <w:rFonts w:ascii="Cambria" w:hAnsi="Cambria"/>
          <w:sz w:val="20"/>
          <w:szCs w:val="20"/>
        </w:rPr>
        <w:t>allege</w:t>
      </w:r>
      <w:r w:rsidRPr="00BA01C2">
        <w:rPr>
          <w:rFonts w:ascii="Cambria" w:hAnsi="Cambria"/>
          <w:sz w:val="20"/>
          <w:szCs w:val="20"/>
        </w:rPr>
        <w:t xml:space="preserve"> that the Guatemalan Army perpetrated systematic attacks against the Maya population in the Ixil region between 1982 </w:t>
      </w:r>
      <w:r>
        <w:rPr>
          <w:rFonts w:ascii="Cambria" w:hAnsi="Cambria"/>
          <w:sz w:val="20"/>
          <w:szCs w:val="20"/>
        </w:rPr>
        <w:t>and</w:t>
      </w:r>
      <w:r w:rsidRPr="00BA01C2">
        <w:rPr>
          <w:rFonts w:ascii="Cambria" w:hAnsi="Cambria"/>
          <w:sz w:val="20"/>
          <w:szCs w:val="20"/>
        </w:rPr>
        <w:t xml:space="preserve"> 1983, </w:t>
      </w:r>
      <w:r>
        <w:rPr>
          <w:rFonts w:ascii="Cambria" w:hAnsi="Cambria"/>
          <w:sz w:val="20"/>
          <w:szCs w:val="20"/>
        </w:rPr>
        <w:t>in events they characterize as ethnic genocide</w:t>
      </w:r>
      <w:r w:rsidRPr="00BA01C2">
        <w:rPr>
          <w:rFonts w:ascii="Cambria" w:hAnsi="Cambria"/>
          <w:sz w:val="20"/>
          <w:szCs w:val="20"/>
        </w:rPr>
        <w:t xml:space="preserve">. </w:t>
      </w:r>
      <w:r w:rsidRPr="0071599A">
        <w:rPr>
          <w:rFonts w:ascii="Cambria" w:hAnsi="Cambria"/>
          <w:sz w:val="20"/>
          <w:szCs w:val="20"/>
        </w:rPr>
        <w:t xml:space="preserve">They also denounce the impunity surrounding these events after more than 30 years. The petitioners allege that these attacks were systematic and widespread against at least 60 indigenous </w:t>
      </w:r>
      <w:r w:rsidR="000B0404" w:rsidRPr="0071599A">
        <w:rPr>
          <w:rFonts w:ascii="Cambria" w:hAnsi="Cambria"/>
          <w:sz w:val="20"/>
          <w:szCs w:val="20"/>
        </w:rPr>
        <w:t>communities and</w:t>
      </w:r>
      <w:r w:rsidRPr="0071599A">
        <w:rPr>
          <w:rFonts w:ascii="Cambria" w:hAnsi="Cambria"/>
          <w:sz w:val="20"/>
          <w:szCs w:val="20"/>
        </w:rPr>
        <w:t xml:space="preserve"> caused the death of about</w:t>
      </w:r>
      <w:r>
        <w:rPr>
          <w:rFonts w:ascii="Cambria" w:hAnsi="Cambria"/>
          <w:sz w:val="20"/>
          <w:szCs w:val="20"/>
        </w:rPr>
        <w:t xml:space="preserve"> </w:t>
      </w:r>
      <w:r w:rsidRPr="0071599A">
        <w:rPr>
          <w:rFonts w:ascii="Cambria" w:hAnsi="Cambria"/>
          <w:sz w:val="20"/>
          <w:szCs w:val="20"/>
        </w:rPr>
        <w:t xml:space="preserve">1,771 </w:t>
      </w:r>
      <w:r>
        <w:rPr>
          <w:rFonts w:ascii="Cambria" w:hAnsi="Cambria"/>
          <w:sz w:val="20"/>
          <w:szCs w:val="20"/>
        </w:rPr>
        <w:t xml:space="preserve">individuals who belonged to the </w:t>
      </w:r>
      <w:r w:rsidRPr="0071599A">
        <w:rPr>
          <w:rFonts w:ascii="Cambria" w:hAnsi="Cambria"/>
          <w:sz w:val="20"/>
          <w:szCs w:val="20"/>
        </w:rPr>
        <w:t>Ixil</w:t>
      </w:r>
      <w:r>
        <w:rPr>
          <w:rFonts w:ascii="Cambria" w:hAnsi="Cambria"/>
          <w:sz w:val="20"/>
          <w:szCs w:val="20"/>
        </w:rPr>
        <w:t xml:space="preserve"> people</w:t>
      </w:r>
      <w:r w:rsidRPr="0071599A">
        <w:rPr>
          <w:rFonts w:ascii="Cambria" w:hAnsi="Cambria"/>
          <w:sz w:val="20"/>
          <w:szCs w:val="20"/>
        </w:rPr>
        <w:t xml:space="preserve">. </w:t>
      </w:r>
      <w:r w:rsidRPr="007552E1">
        <w:rPr>
          <w:rFonts w:ascii="Cambria" w:hAnsi="Cambria"/>
          <w:sz w:val="20"/>
          <w:szCs w:val="20"/>
        </w:rPr>
        <w:t xml:space="preserve">The attacks that constitute gross human rights violations against the Ixil Maya people include massacres, sexual violence against women and girls, acts of torture and forced disappearances, </w:t>
      </w:r>
      <w:r>
        <w:rPr>
          <w:rFonts w:ascii="Cambria" w:hAnsi="Cambria"/>
          <w:sz w:val="20"/>
          <w:szCs w:val="20"/>
        </w:rPr>
        <w:t>and</w:t>
      </w:r>
      <w:r w:rsidRPr="007552E1">
        <w:rPr>
          <w:rFonts w:ascii="Cambria" w:hAnsi="Cambria"/>
          <w:sz w:val="20"/>
          <w:szCs w:val="20"/>
        </w:rPr>
        <w:t xml:space="preserve"> the forced displacement of the communities from the</w:t>
      </w:r>
      <w:r>
        <w:rPr>
          <w:rFonts w:ascii="Cambria" w:hAnsi="Cambria"/>
          <w:sz w:val="20"/>
          <w:szCs w:val="20"/>
        </w:rPr>
        <w:t>ir</w:t>
      </w:r>
      <w:r w:rsidRPr="007552E1">
        <w:rPr>
          <w:rFonts w:ascii="Cambria" w:hAnsi="Cambria"/>
          <w:sz w:val="20"/>
          <w:szCs w:val="20"/>
        </w:rPr>
        <w:t xml:space="preserve"> </w:t>
      </w:r>
      <w:r>
        <w:rPr>
          <w:rFonts w:ascii="Cambria" w:hAnsi="Cambria"/>
          <w:sz w:val="20"/>
          <w:szCs w:val="20"/>
        </w:rPr>
        <w:t>ancestral territory.</w:t>
      </w:r>
    </w:p>
    <w:p w14:paraId="0104EA69" w14:textId="77777777" w:rsidR="0057201B" w:rsidRPr="007552E1" w:rsidRDefault="0057201B" w:rsidP="0057201B">
      <w:pPr>
        <w:pStyle w:val="ListParagraph"/>
        <w:autoSpaceDE w:val="0"/>
        <w:autoSpaceDN w:val="0"/>
        <w:adjustRightInd w:val="0"/>
        <w:contextualSpacing w:val="0"/>
        <w:jc w:val="both"/>
        <w:rPr>
          <w:rFonts w:ascii="Cambria" w:hAnsi="Cambria"/>
          <w:sz w:val="20"/>
          <w:szCs w:val="20"/>
        </w:rPr>
      </w:pPr>
    </w:p>
    <w:p w14:paraId="34A15D17" w14:textId="77777777" w:rsidR="0057201B" w:rsidRPr="008664B6" w:rsidRDefault="0057201B" w:rsidP="00933F91">
      <w:pPr>
        <w:pStyle w:val="ListParagraph"/>
        <w:numPr>
          <w:ilvl w:val="0"/>
          <w:numId w:val="58"/>
        </w:numPr>
        <w:autoSpaceDE w:val="0"/>
        <w:autoSpaceDN w:val="0"/>
        <w:adjustRightInd w:val="0"/>
        <w:ind w:left="0" w:firstLine="720"/>
        <w:contextualSpacing w:val="0"/>
        <w:jc w:val="both"/>
        <w:rPr>
          <w:rFonts w:ascii="Cambria" w:hAnsi="Cambria"/>
          <w:sz w:val="20"/>
          <w:szCs w:val="20"/>
        </w:rPr>
      </w:pPr>
      <w:r>
        <w:rPr>
          <w:rFonts w:ascii="Cambria" w:hAnsi="Cambria"/>
          <w:sz w:val="20"/>
          <w:szCs w:val="20"/>
        </w:rPr>
        <w:t xml:space="preserve">Among the acts that the petitioners allege and that they </w:t>
      </w:r>
      <w:r w:rsidRPr="008664B6">
        <w:rPr>
          <w:rFonts w:ascii="Cambria" w:hAnsi="Cambria"/>
          <w:sz w:val="20"/>
          <w:szCs w:val="20"/>
        </w:rPr>
        <w:t>believe constitute genocide</w:t>
      </w:r>
      <w:r>
        <w:rPr>
          <w:rFonts w:ascii="Cambria" w:hAnsi="Cambria"/>
          <w:sz w:val="20"/>
          <w:szCs w:val="20"/>
        </w:rPr>
        <w:t xml:space="preserve"> are </w:t>
      </w:r>
      <w:r w:rsidRPr="008664B6">
        <w:rPr>
          <w:rFonts w:ascii="Cambria" w:hAnsi="Cambria"/>
          <w:sz w:val="20"/>
          <w:szCs w:val="20"/>
        </w:rPr>
        <w:t xml:space="preserve">massacres, </w:t>
      </w:r>
      <w:r>
        <w:rPr>
          <w:rFonts w:ascii="Cambria" w:hAnsi="Cambria"/>
          <w:sz w:val="20"/>
          <w:szCs w:val="20"/>
        </w:rPr>
        <w:t>targeted killings</w:t>
      </w:r>
      <w:r w:rsidRPr="008664B6">
        <w:rPr>
          <w:rFonts w:ascii="Cambria" w:hAnsi="Cambria"/>
          <w:sz w:val="20"/>
          <w:szCs w:val="20"/>
        </w:rPr>
        <w:t xml:space="preserve">, forced disappearances, </w:t>
      </w:r>
      <w:r>
        <w:rPr>
          <w:rFonts w:ascii="Cambria" w:hAnsi="Cambria"/>
          <w:sz w:val="20"/>
          <w:szCs w:val="20"/>
        </w:rPr>
        <w:t>harm</w:t>
      </w:r>
      <w:r w:rsidRPr="008664B6">
        <w:rPr>
          <w:rFonts w:ascii="Cambria" w:hAnsi="Cambria"/>
          <w:sz w:val="20"/>
          <w:szCs w:val="20"/>
        </w:rPr>
        <w:t xml:space="preserve"> to </w:t>
      </w:r>
      <w:r>
        <w:rPr>
          <w:rFonts w:ascii="Cambria" w:hAnsi="Cambria"/>
          <w:sz w:val="20"/>
          <w:szCs w:val="20"/>
        </w:rPr>
        <w:t>physical</w:t>
      </w:r>
      <w:r w:rsidRPr="008664B6">
        <w:rPr>
          <w:rFonts w:ascii="Cambria" w:hAnsi="Cambria"/>
          <w:sz w:val="20"/>
          <w:szCs w:val="20"/>
        </w:rPr>
        <w:t xml:space="preserve"> integrity, sexual violence against women, and large-scale forced displacement.</w:t>
      </w:r>
      <w:r>
        <w:rPr>
          <w:rFonts w:ascii="Cambria" w:hAnsi="Cambria"/>
          <w:sz w:val="20"/>
          <w:szCs w:val="20"/>
        </w:rPr>
        <w:t xml:space="preserve"> </w:t>
      </w:r>
      <w:r w:rsidRPr="008664B6">
        <w:rPr>
          <w:rFonts w:ascii="Cambria" w:hAnsi="Cambria"/>
          <w:sz w:val="20"/>
          <w:szCs w:val="20"/>
        </w:rPr>
        <w:t xml:space="preserve">Specifically, they report massacres and attacks </w:t>
      </w:r>
      <w:r>
        <w:rPr>
          <w:rFonts w:ascii="Cambria" w:hAnsi="Cambria"/>
          <w:sz w:val="20"/>
          <w:szCs w:val="20"/>
        </w:rPr>
        <w:t>committed in</w:t>
      </w:r>
      <w:r w:rsidRPr="008664B6">
        <w:rPr>
          <w:rFonts w:ascii="Cambria" w:hAnsi="Cambria"/>
          <w:sz w:val="20"/>
          <w:szCs w:val="20"/>
        </w:rPr>
        <w:t xml:space="preserve"> 56 indigenous </w:t>
      </w:r>
      <w:r>
        <w:rPr>
          <w:rFonts w:ascii="Cambria" w:hAnsi="Cambria"/>
          <w:sz w:val="20"/>
          <w:szCs w:val="20"/>
        </w:rPr>
        <w:t>localities</w:t>
      </w:r>
      <w:r w:rsidRPr="008664B6">
        <w:rPr>
          <w:rFonts w:ascii="Cambria" w:hAnsi="Cambria"/>
          <w:sz w:val="20"/>
          <w:szCs w:val="20"/>
        </w:rPr>
        <w:t>, in which acts of torture, sexual violence, and forced disappearance, as well as theft of ch</w:t>
      </w:r>
      <w:r>
        <w:rPr>
          <w:rFonts w:ascii="Cambria" w:hAnsi="Cambria"/>
          <w:sz w:val="20"/>
          <w:szCs w:val="20"/>
        </w:rPr>
        <w:t>ildren, were also alleged to have been carried out</w:t>
      </w:r>
      <w:r w:rsidRPr="008664B6">
        <w:rPr>
          <w:rFonts w:ascii="Cambria" w:hAnsi="Cambria"/>
          <w:sz w:val="20"/>
          <w:szCs w:val="20"/>
        </w:rPr>
        <w:t>.</w:t>
      </w:r>
    </w:p>
    <w:p w14:paraId="2D7D15DF" w14:textId="77777777" w:rsidR="0057201B" w:rsidRPr="008664B6" w:rsidRDefault="0057201B" w:rsidP="0057201B">
      <w:pPr>
        <w:pStyle w:val="ListParagraph"/>
        <w:autoSpaceDE w:val="0"/>
        <w:autoSpaceDN w:val="0"/>
        <w:adjustRightInd w:val="0"/>
        <w:contextualSpacing w:val="0"/>
        <w:jc w:val="both"/>
        <w:rPr>
          <w:rFonts w:ascii="Cambria" w:hAnsi="Cambria"/>
          <w:sz w:val="20"/>
          <w:szCs w:val="20"/>
        </w:rPr>
      </w:pPr>
    </w:p>
    <w:p w14:paraId="32BCDB2D" w14:textId="77777777" w:rsidR="0057201B" w:rsidRPr="00B63A5A" w:rsidRDefault="0057201B" w:rsidP="00933F91">
      <w:pPr>
        <w:pStyle w:val="ListParagraph"/>
        <w:numPr>
          <w:ilvl w:val="0"/>
          <w:numId w:val="58"/>
        </w:numPr>
        <w:autoSpaceDE w:val="0"/>
        <w:autoSpaceDN w:val="0"/>
        <w:adjustRightInd w:val="0"/>
        <w:ind w:left="0" w:firstLine="720"/>
        <w:contextualSpacing w:val="0"/>
        <w:jc w:val="both"/>
        <w:rPr>
          <w:rFonts w:ascii="Cambria" w:hAnsi="Cambria"/>
          <w:sz w:val="20"/>
          <w:szCs w:val="20"/>
        </w:rPr>
      </w:pPr>
      <w:r w:rsidRPr="00B63A5A">
        <w:rPr>
          <w:rFonts w:ascii="Cambria" w:hAnsi="Cambria"/>
          <w:sz w:val="20"/>
          <w:szCs w:val="20"/>
        </w:rPr>
        <w:t>This is an especially grave case for the inter-American system because the central allegation</w:t>
      </w:r>
      <w:r>
        <w:rPr>
          <w:rFonts w:ascii="Cambria" w:hAnsi="Cambria"/>
          <w:sz w:val="20"/>
          <w:szCs w:val="20"/>
        </w:rPr>
        <w:t xml:space="preserve"> is</w:t>
      </w:r>
      <w:r w:rsidRPr="00B63A5A">
        <w:rPr>
          <w:rFonts w:ascii="Cambria" w:hAnsi="Cambria"/>
          <w:sz w:val="20"/>
          <w:szCs w:val="20"/>
        </w:rPr>
        <w:t xml:space="preserve"> that the crime of genocide was committed in a large number of communities.</w:t>
      </w:r>
      <w:r>
        <w:rPr>
          <w:rFonts w:ascii="Cambria" w:hAnsi="Cambria"/>
          <w:sz w:val="20"/>
          <w:szCs w:val="20"/>
        </w:rPr>
        <w:t xml:space="preserve"> </w:t>
      </w:r>
      <w:r w:rsidRPr="00B63A5A">
        <w:rPr>
          <w:rFonts w:ascii="Cambria" w:hAnsi="Cambria"/>
          <w:sz w:val="20"/>
          <w:szCs w:val="20"/>
        </w:rPr>
        <w:t>In its analysis</w:t>
      </w:r>
      <w:r>
        <w:rPr>
          <w:rFonts w:ascii="Cambria" w:hAnsi="Cambria"/>
          <w:sz w:val="20"/>
          <w:szCs w:val="20"/>
        </w:rPr>
        <w:t xml:space="preserve"> of</w:t>
      </w:r>
      <w:r w:rsidRPr="00B63A5A">
        <w:rPr>
          <w:rFonts w:ascii="Cambria" w:hAnsi="Cambria"/>
          <w:sz w:val="20"/>
          <w:szCs w:val="20"/>
        </w:rPr>
        <w:t xml:space="preserve"> the case, the IACHR found </w:t>
      </w:r>
      <w:r>
        <w:rPr>
          <w:rFonts w:ascii="Cambria" w:hAnsi="Cambria"/>
          <w:sz w:val="20"/>
          <w:szCs w:val="20"/>
        </w:rPr>
        <w:t>it</w:t>
      </w:r>
      <w:r w:rsidRPr="00B63A5A">
        <w:rPr>
          <w:rFonts w:ascii="Cambria" w:hAnsi="Cambria"/>
          <w:sz w:val="20"/>
          <w:szCs w:val="20"/>
        </w:rPr>
        <w:t xml:space="preserve"> to be admissible with respect to an extensive </w:t>
      </w:r>
      <w:r>
        <w:rPr>
          <w:rFonts w:ascii="Cambria" w:hAnsi="Cambria"/>
          <w:sz w:val="20"/>
          <w:szCs w:val="20"/>
        </w:rPr>
        <w:t>list</w:t>
      </w:r>
      <w:r w:rsidRPr="00B63A5A">
        <w:rPr>
          <w:rFonts w:ascii="Cambria" w:hAnsi="Cambria"/>
          <w:sz w:val="20"/>
          <w:szCs w:val="20"/>
        </w:rPr>
        <w:t xml:space="preserve"> of rights, in keeping with the seriousness and complexity of</w:t>
      </w:r>
      <w:r>
        <w:rPr>
          <w:rFonts w:ascii="Cambria" w:hAnsi="Cambria"/>
          <w:sz w:val="20"/>
          <w:szCs w:val="20"/>
        </w:rPr>
        <w:t xml:space="preserve"> the events being alleged. The Commission indicated, among other things,</w:t>
      </w:r>
      <w:r>
        <w:rPr>
          <w:rFonts w:ascii="Cambria" w:hAnsi="Cambria"/>
          <w:i/>
          <w:iCs/>
          <w:sz w:val="20"/>
          <w:szCs w:val="20"/>
        </w:rPr>
        <w:t xml:space="preserve"> </w:t>
      </w:r>
      <w:r>
        <w:rPr>
          <w:rFonts w:ascii="Cambria" w:hAnsi="Cambria"/>
          <w:sz w:val="20"/>
          <w:szCs w:val="20"/>
        </w:rPr>
        <w:t>the following</w:t>
      </w:r>
      <w:r w:rsidRPr="00B63A5A">
        <w:rPr>
          <w:rFonts w:ascii="Cambria" w:hAnsi="Cambria"/>
          <w:sz w:val="20"/>
          <w:szCs w:val="20"/>
        </w:rPr>
        <w:t>:</w:t>
      </w:r>
    </w:p>
    <w:p w14:paraId="1231104D" w14:textId="77777777" w:rsidR="0057201B" w:rsidRPr="005D4E2F" w:rsidRDefault="0057201B" w:rsidP="0057201B">
      <w:pPr>
        <w:autoSpaceDE w:val="0"/>
        <w:autoSpaceDN w:val="0"/>
        <w:adjustRightInd w:val="0"/>
        <w:jc w:val="both"/>
        <w:rPr>
          <w:rFonts w:ascii="Cambria" w:hAnsi="Cambria"/>
          <w:sz w:val="20"/>
          <w:szCs w:val="20"/>
        </w:rPr>
      </w:pPr>
    </w:p>
    <w:p w14:paraId="7F4B059D" w14:textId="77777777" w:rsidR="0057201B" w:rsidRPr="00A46807" w:rsidRDefault="0057201B" w:rsidP="00933F91">
      <w:pPr>
        <w:pStyle w:val="ListParagraph"/>
        <w:numPr>
          <w:ilvl w:val="0"/>
          <w:numId w:val="58"/>
        </w:numPr>
        <w:autoSpaceDE w:val="0"/>
        <w:autoSpaceDN w:val="0"/>
        <w:adjustRightInd w:val="0"/>
        <w:ind w:left="0" w:firstLine="720"/>
        <w:contextualSpacing w:val="0"/>
        <w:jc w:val="both"/>
        <w:rPr>
          <w:rFonts w:ascii="Cambria" w:hAnsi="Cambria"/>
          <w:sz w:val="20"/>
          <w:szCs w:val="20"/>
        </w:rPr>
      </w:pPr>
      <w:r w:rsidRPr="00B63A5A">
        <w:rPr>
          <w:rFonts w:ascii="Cambria" w:hAnsi="Cambria"/>
          <w:sz w:val="20"/>
          <w:szCs w:val="20"/>
        </w:rPr>
        <w:t xml:space="preserve">The prohibition </w:t>
      </w:r>
      <w:r>
        <w:rPr>
          <w:rFonts w:ascii="Cambria" w:hAnsi="Cambria"/>
          <w:sz w:val="20"/>
          <w:szCs w:val="20"/>
        </w:rPr>
        <w:t>of</w:t>
      </w:r>
      <w:r w:rsidRPr="00B63A5A">
        <w:rPr>
          <w:rFonts w:ascii="Cambria" w:hAnsi="Cambria"/>
          <w:sz w:val="20"/>
          <w:szCs w:val="20"/>
        </w:rPr>
        <w:t xml:space="preserve"> genocide has </w:t>
      </w:r>
      <w:r>
        <w:rPr>
          <w:rFonts w:ascii="Cambria" w:hAnsi="Cambria"/>
          <w:sz w:val="20"/>
          <w:szCs w:val="20"/>
        </w:rPr>
        <w:t>come to be</w:t>
      </w:r>
      <w:r w:rsidRPr="00B63A5A">
        <w:rPr>
          <w:rFonts w:ascii="Cambria" w:hAnsi="Cambria"/>
          <w:sz w:val="20"/>
          <w:szCs w:val="20"/>
        </w:rPr>
        <w:t xml:space="preserve"> characterized as a peremptory norm of international law, </w:t>
      </w:r>
      <w:r>
        <w:rPr>
          <w:rFonts w:ascii="Cambria" w:hAnsi="Cambria"/>
          <w:sz w:val="20"/>
          <w:szCs w:val="20"/>
        </w:rPr>
        <w:t>that is</w:t>
      </w:r>
      <w:r w:rsidRPr="00B63A5A">
        <w:rPr>
          <w:rFonts w:ascii="Cambria" w:hAnsi="Cambria"/>
          <w:sz w:val="20"/>
          <w:szCs w:val="20"/>
        </w:rPr>
        <w:t xml:space="preserve">, </w:t>
      </w:r>
      <w:r>
        <w:rPr>
          <w:rFonts w:ascii="Cambria" w:hAnsi="Cambria"/>
          <w:i/>
          <w:iCs/>
          <w:sz w:val="20"/>
          <w:szCs w:val="20"/>
        </w:rPr>
        <w:t>j</w:t>
      </w:r>
      <w:r w:rsidRPr="00B63A5A">
        <w:rPr>
          <w:rFonts w:ascii="Cambria" w:hAnsi="Cambria"/>
          <w:i/>
          <w:iCs/>
          <w:sz w:val="20"/>
          <w:szCs w:val="20"/>
        </w:rPr>
        <w:t>us cogens</w:t>
      </w:r>
      <w:r>
        <w:rPr>
          <w:rFonts w:ascii="Cambria" w:hAnsi="Cambria"/>
          <w:i/>
          <w:iCs/>
          <w:sz w:val="20"/>
          <w:szCs w:val="20"/>
        </w:rPr>
        <w:t>.</w:t>
      </w:r>
      <w:r w:rsidRPr="00AE3A84">
        <w:rPr>
          <w:rStyle w:val="FootnoteReference"/>
          <w:rFonts w:ascii="Cambria" w:hAnsi="Cambria"/>
          <w:sz w:val="20"/>
          <w:szCs w:val="20"/>
        </w:rPr>
        <w:footnoteReference w:id="9"/>
      </w:r>
      <w:r w:rsidRPr="00B63A5A">
        <w:rPr>
          <w:rFonts w:ascii="Cambria" w:hAnsi="Cambria"/>
          <w:sz w:val="20"/>
          <w:szCs w:val="20"/>
        </w:rPr>
        <w:t xml:space="preserve"> </w:t>
      </w:r>
      <w:r w:rsidRPr="00EC6F0E">
        <w:rPr>
          <w:rFonts w:ascii="Cambria" w:hAnsi="Cambria"/>
          <w:sz w:val="20"/>
          <w:szCs w:val="20"/>
        </w:rPr>
        <w:t>Moreover, Article XI of the American Declaration on the Rights of Indigenous Peoples enshrines the right to protection against genocide, stating</w:t>
      </w:r>
      <w:r>
        <w:rPr>
          <w:rFonts w:ascii="Cambria" w:hAnsi="Cambria"/>
          <w:sz w:val="20"/>
          <w:szCs w:val="20"/>
        </w:rPr>
        <w:t>:</w:t>
      </w:r>
      <w:r w:rsidRPr="00EC6F0E">
        <w:rPr>
          <w:rFonts w:ascii="Cambria" w:hAnsi="Cambria"/>
          <w:sz w:val="20"/>
          <w:szCs w:val="20"/>
        </w:rPr>
        <w:t xml:space="preserve"> “Indigenous peoples have the right not to be the object of any form of genocide or attempts to exterminate them.”</w:t>
      </w:r>
      <w:r w:rsidRPr="00AE3A84">
        <w:rPr>
          <w:rStyle w:val="FootnoteReference"/>
          <w:rFonts w:ascii="Cambria" w:hAnsi="Cambria"/>
          <w:sz w:val="20"/>
          <w:szCs w:val="20"/>
          <w:lang w:val="es-CO"/>
        </w:rPr>
        <w:footnoteReference w:id="10"/>
      </w:r>
      <w:r w:rsidRPr="00EC6F0E">
        <w:rPr>
          <w:rFonts w:ascii="Cambria" w:hAnsi="Cambria"/>
          <w:sz w:val="20"/>
          <w:szCs w:val="20"/>
        </w:rPr>
        <w:t xml:space="preserve"> </w:t>
      </w:r>
      <w:r w:rsidRPr="00F10B69">
        <w:rPr>
          <w:rFonts w:ascii="Cambria" w:hAnsi="Cambria"/>
          <w:sz w:val="20"/>
          <w:szCs w:val="20"/>
        </w:rPr>
        <w:t xml:space="preserve">The petitioners’ allegations refer to the commission of this international crime against the Ixil </w:t>
      </w:r>
      <w:r>
        <w:rPr>
          <w:rFonts w:ascii="Cambria" w:hAnsi="Cambria"/>
          <w:sz w:val="20"/>
          <w:szCs w:val="20"/>
        </w:rPr>
        <w:t xml:space="preserve">people due to acts committed by members of the Guatemalan Army between  </w:t>
      </w:r>
      <w:r w:rsidRPr="00F10B69">
        <w:rPr>
          <w:rFonts w:ascii="Cambria" w:hAnsi="Cambria"/>
          <w:sz w:val="20"/>
          <w:szCs w:val="20"/>
        </w:rPr>
        <w:t xml:space="preserve">1982 </w:t>
      </w:r>
      <w:r>
        <w:rPr>
          <w:rFonts w:ascii="Cambria" w:hAnsi="Cambria"/>
          <w:sz w:val="20"/>
          <w:szCs w:val="20"/>
        </w:rPr>
        <w:t>and</w:t>
      </w:r>
      <w:r w:rsidRPr="00F10B69">
        <w:rPr>
          <w:rFonts w:ascii="Cambria" w:hAnsi="Cambria"/>
          <w:sz w:val="20"/>
          <w:szCs w:val="20"/>
        </w:rPr>
        <w:t xml:space="preserve"> 1983</w:t>
      </w:r>
      <w:r>
        <w:rPr>
          <w:rFonts w:ascii="Cambria" w:hAnsi="Cambria"/>
          <w:sz w:val="20"/>
          <w:szCs w:val="20"/>
        </w:rPr>
        <w:t>, under the command</w:t>
      </w:r>
      <w:r w:rsidRPr="00F10B69">
        <w:rPr>
          <w:rFonts w:ascii="Cambria" w:hAnsi="Cambria"/>
          <w:sz w:val="20"/>
          <w:szCs w:val="20"/>
        </w:rPr>
        <w:t xml:space="preserve"> </w:t>
      </w:r>
      <w:r>
        <w:rPr>
          <w:rFonts w:ascii="Cambria" w:hAnsi="Cambria"/>
          <w:sz w:val="20"/>
          <w:szCs w:val="20"/>
        </w:rPr>
        <w:t>of</w:t>
      </w:r>
      <w:r w:rsidRPr="00F10B69">
        <w:rPr>
          <w:rFonts w:ascii="Cambria" w:hAnsi="Cambria"/>
          <w:sz w:val="20"/>
          <w:szCs w:val="20"/>
        </w:rPr>
        <w:t xml:space="preserve"> José Efraín Ríos Montt. </w:t>
      </w:r>
      <w:r w:rsidRPr="00A46807">
        <w:rPr>
          <w:rFonts w:ascii="Cambria" w:hAnsi="Cambria"/>
          <w:sz w:val="20"/>
          <w:szCs w:val="20"/>
        </w:rPr>
        <w:t xml:space="preserve">For its part, the State disputes </w:t>
      </w:r>
      <w:r>
        <w:rPr>
          <w:rFonts w:ascii="Cambria" w:hAnsi="Cambria"/>
          <w:sz w:val="20"/>
          <w:szCs w:val="20"/>
        </w:rPr>
        <w:t>the characterization of these</w:t>
      </w:r>
      <w:r w:rsidRPr="00A46807">
        <w:rPr>
          <w:rFonts w:ascii="Cambria" w:hAnsi="Cambria"/>
          <w:sz w:val="20"/>
          <w:szCs w:val="20"/>
        </w:rPr>
        <w:t xml:space="preserve"> acts</w:t>
      </w:r>
      <w:r>
        <w:rPr>
          <w:rFonts w:ascii="Cambria" w:hAnsi="Cambria"/>
          <w:sz w:val="20"/>
          <w:szCs w:val="20"/>
        </w:rPr>
        <w:t xml:space="preserve"> </w:t>
      </w:r>
      <w:r w:rsidRPr="00A46807">
        <w:rPr>
          <w:rFonts w:ascii="Cambria" w:hAnsi="Cambria"/>
          <w:sz w:val="20"/>
          <w:szCs w:val="20"/>
        </w:rPr>
        <w:t xml:space="preserve">as </w:t>
      </w:r>
      <w:r>
        <w:rPr>
          <w:rFonts w:ascii="Cambria" w:hAnsi="Cambria"/>
          <w:sz w:val="20"/>
          <w:szCs w:val="20"/>
        </w:rPr>
        <w:t xml:space="preserve">an </w:t>
      </w:r>
      <w:r w:rsidRPr="00A46807">
        <w:rPr>
          <w:rFonts w:ascii="Cambria" w:hAnsi="Cambria"/>
          <w:sz w:val="20"/>
          <w:szCs w:val="20"/>
        </w:rPr>
        <w:t>“Ixil genocide” because it considers that th</w:t>
      </w:r>
      <w:r>
        <w:rPr>
          <w:rFonts w:ascii="Cambria" w:hAnsi="Cambria"/>
          <w:sz w:val="20"/>
          <w:szCs w:val="20"/>
        </w:rPr>
        <w:t xml:space="preserve">e case has to do with </w:t>
      </w:r>
      <w:r w:rsidRPr="00A46807">
        <w:rPr>
          <w:rFonts w:ascii="Cambria" w:hAnsi="Cambria"/>
          <w:sz w:val="20"/>
          <w:szCs w:val="20"/>
        </w:rPr>
        <w:t xml:space="preserve">a “political </w:t>
      </w:r>
      <w:r w:rsidRPr="00901957">
        <w:rPr>
          <w:rFonts w:ascii="Cambria" w:hAnsi="Cambria"/>
          <w:sz w:val="20"/>
          <w:szCs w:val="20"/>
        </w:rPr>
        <w:t>demonstration</w:t>
      </w:r>
      <w:r w:rsidRPr="00A46807">
        <w:rPr>
          <w:rFonts w:ascii="Cambria" w:hAnsi="Cambria"/>
          <w:sz w:val="20"/>
          <w:szCs w:val="20"/>
        </w:rPr>
        <w:t xml:space="preserve"> </w:t>
      </w:r>
      <w:r>
        <w:rPr>
          <w:rFonts w:ascii="Cambria" w:hAnsi="Cambria"/>
          <w:sz w:val="20"/>
          <w:szCs w:val="20"/>
        </w:rPr>
        <w:t>in which</w:t>
      </w:r>
      <w:r w:rsidRPr="00A46807">
        <w:rPr>
          <w:rFonts w:ascii="Cambria" w:hAnsi="Cambria"/>
          <w:sz w:val="20"/>
          <w:szCs w:val="20"/>
        </w:rPr>
        <w:t xml:space="preserve"> the State </w:t>
      </w:r>
      <w:r>
        <w:rPr>
          <w:rFonts w:ascii="Cambria" w:hAnsi="Cambria"/>
          <w:sz w:val="20"/>
          <w:szCs w:val="20"/>
        </w:rPr>
        <w:t>is not a participant</w:t>
      </w:r>
      <w:r w:rsidRPr="00A46807">
        <w:rPr>
          <w:rFonts w:ascii="Cambria" w:hAnsi="Cambria"/>
          <w:sz w:val="20"/>
          <w:szCs w:val="20"/>
        </w:rPr>
        <w:t>.” The Commission believes that the issue of whether or not to characterize the alleged events as a genocide is part of the legal analysis</w:t>
      </w:r>
      <w:r>
        <w:rPr>
          <w:rFonts w:ascii="Cambria" w:hAnsi="Cambria"/>
          <w:sz w:val="20"/>
          <w:szCs w:val="20"/>
        </w:rPr>
        <w:t xml:space="preserve"> that must be undertaken in the merits stage</w:t>
      </w:r>
      <w:r w:rsidRPr="00A46807">
        <w:rPr>
          <w:rFonts w:ascii="Cambria" w:hAnsi="Cambria"/>
          <w:sz w:val="20"/>
          <w:szCs w:val="20"/>
        </w:rPr>
        <w:t>, in the light of international law and the rights protected in the American Convention</w:t>
      </w:r>
      <w:r>
        <w:rPr>
          <w:rFonts w:ascii="Cambria" w:hAnsi="Cambria"/>
          <w:sz w:val="20"/>
          <w:szCs w:val="20"/>
        </w:rPr>
        <w:t xml:space="preserve">. </w:t>
      </w:r>
      <w:r w:rsidRPr="00A46807">
        <w:rPr>
          <w:rFonts w:ascii="Cambria" w:hAnsi="Cambria"/>
          <w:sz w:val="20"/>
          <w:szCs w:val="20"/>
        </w:rPr>
        <w:t xml:space="preserve">However, </w:t>
      </w:r>
      <w:r>
        <w:rPr>
          <w:rFonts w:ascii="Cambria" w:hAnsi="Cambria"/>
          <w:sz w:val="20"/>
          <w:szCs w:val="20"/>
        </w:rPr>
        <w:t>the Commission</w:t>
      </w:r>
      <w:r w:rsidRPr="00A46807">
        <w:rPr>
          <w:rFonts w:ascii="Cambria" w:hAnsi="Cambria"/>
          <w:sz w:val="20"/>
          <w:szCs w:val="20"/>
        </w:rPr>
        <w:t xml:space="preserve"> </w:t>
      </w:r>
      <w:r>
        <w:rPr>
          <w:rFonts w:ascii="Cambria" w:hAnsi="Cambria"/>
          <w:sz w:val="20"/>
          <w:szCs w:val="20"/>
        </w:rPr>
        <w:t>emphasizes</w:t>
      </w:r>
      <w:r w:rsidRPr="00A46807">
        <w:rPr>
          <w:rFonts w:ascii="Cambria" w:hAnsi="Cambria"/>
          <w:sz w:val="20"/>
          <w:szCs w:val="20"/>
        </w:rPr>
        <w:t xml:space="preserve"> that if the petitioners’ allegations are corroborated, the magnitude of the events being alleged would constitute a gross violation of the rights that have been invoked, </w:t>
      </w:r>
      <w:r>
        <w:rPr>
          <w:rFonts w:ascii="Cambria" w:hAnsi="Cambria"/>
          <w:sz w:val="20"/>
          <w:szCs w:val="20"/>
        </w:rPr>
        <w:t>with the same nature as the atrocities that led to the establishment of international law and the international human rights systems</w:t>
      </w:r>
      <w:r w:rsidRPr="00A46807">
        <w:rPr>
          <w:rFonts w:ascii="Cambria" w:hAnsi="Cambria"/>
          <w:sz w:val="20"/>
          <w:szCs w:val="20"/>
        </w:rPr>
        <w:t>.</w:t>
      </w:r>
    </w:p>
    <w:p w14:paraId="7C2363F6" w14:textId="77777777" w:rsidR="0057201B" w:rsidRPr="00A46807" w:rsidRDefault="0057201B" w:rsidP="0057201B">
      <w:pPr>
        <w:pStyle w:val="ListParagraph"/>
        <w:autoSpaceDE w:val="0"/>
        <w:autoSpaceDN w:val="0"/>
        <w:adjustRightInd w:val="0"/>
        <w:contextualSpacing w:val="0"/>
        <w:jc w:val="both"/>
        <w:rPr>
          <w:rFonts w:ascii="Cambria" w:hAnsi="Cambria"/>
          <w:sz w:val="20"/>
          <w:szCs w:val="20"/>
        </w:rPr>
      </w:pPr>
    </w:p>
    <w:p w14:paraId="74BEC9A1" w14:textId="77777777" w:rsidR="0057201B" w:rsidRPr="009B2BA2" w:rsidRDefault="0057201B" w:rsidP="00933F91">
      <w:pPr>
        <w:pStyle w:val="ListParagraph"/>
        <w:numPr>
          <w:ilvl w:val="0"/>
          <w:numId w:val="58"/>
        </w:numPr>
        <w:autoSpaceDE w:val="0"/>
        <w:autoSpaceDN w:val="0"/>
        <w:adjustRightInd w:val="0"/>
        <w:ind w:left="0" w:firstLine="720"/>
        <w:contextualSpacing w:val="0"/>
        <w:jc w:val="both"/>
        <w:rPr>
          <w:rFonts w:ascii="Cambria" w:hAnsi="Cambria"/>
          <w:sz w:val="20"/>
          <w:szCs w:val="20"/>
        </w:rPr>
      </w:pPr>
      <w:r w:rsidRPr="00A01AC1">
        <w:rPr>
          <w:rFonts w:ascii="Cambria" w:hAnsi="Cambria"/>
          <w:sz w:val="20"/>
          <w:szCs w:val="20"/>
        </w:rPr>
        <w:t>Moreover, in applying the unwarranted</w:t>
      </w:r>
      <w:r>
        <w:rPr>
          <w:rFonts w:ascii="Cambria" w:hAnsi="Cambria"/>
          <w:sz w:val="20"/>
          <w:szCs w:val="20"/>
        </w:rPr>
        <w:t>-</w:t>
      </w:r>
      <w:r w:rsidRPr="00A01AC1">
        <w:rPr>
          <w:rFonts w:ascii="Cambria" w:hAnsi="Cambria"/>
          <w:sz w:val="20"/>
          <w:szCs w:val="20"/>
        </w:rPr>
        <w:t>delay exception established in Article 46(2)(c) of the American Convention, the IACHR considered as a whole</w:t>
      </w:r>
      <w:r>
        <w:rPr>
          <w:rFonts w:ascii="Cambria" w:hAnsi="Cambria"/>
          <w:sz w:val="20"/>
          <w:szCs w:val="20"/>
        </w:rPr>
        <w:t xml:space="preserve"> </w:t>
      </w:r>
      <w:r w:rsidRPr="00A01AC1">
        <w:rPr>
          <w:rFonts w:ascii="Cambria" w:hAnsi="Cambria"/>
          <w:sz w:val="20"/>
          <w:szCs w:val="20"/>
        </w:rPr>
        <w:t xml:space="preserve">all the domestic proceedings related to the investigation and punishment of the atrocities committed against the Ixil people. </w:t>
      </w:r>
      <w:r w:rsidRPr="009B2BA2">
        <w:rPr>
          <w:rFonts w:ascii="Cambria" w:hAnsi="Cambria"/>
          <w:sz w:val="20"/>
          <w:szCs w:val="20"/>
        </w:rPr>
        <w:t xml:space="preserve">Without conducting a more in-depth analysis of the merits of the case, it noted that after more than two decades, these proceedings have yet to reach a clear conclusion and continue to this day, </w:t>
      </w:r>
      <w:r>
        <w:rPr>
          <w:rFonts w:ascii="Cambria" w:hAnsi="Cambria"/>
          <w:sz w:val="20"/>
          <w:szCs w:val="20"/>
        </w:rPr>
        <w:t xml:space="preserve">and that </w:t>
      </w:r>
      <w:r w:rsidRPr="009B2BA2">
        <w:rPr>
          <w:rFonts w:ascii="Cambria" w:hAnsi="Cambria"/>
          <w:sz w:val="20"/>
          <w:szCs w:val="20"/>
        </w:rPr>
        <w:t xml:space="preserve">the perpetrators have </w:t>
      </w:r>
      <w:r>
        <w:rPr>
          <w:rFonts w:ascii="Cambria" w:hAnsi="Cambria"/>
          <w:sz w:val="20"/>
          <w:szCs w:val="20"/>
        </w:rPr>
        <w:t>clearly used</w:t>
      </w:r>
      <w:r w:rsidRPr="009B2BA2">
        <w:rPr>
          <w:rFonts w:ascii="Cambria" w:hAnsi="Cambria"/>
          <w:sz w:val="20"/>
          <w:szCs w:val="20"/>
        </w:rPr>
        <w:t xml:space="preserve"> </w:t>
      </w:r>
      <w:r>
        <w:rPr>
          <w:rFonts w:ascii="Cambria" w:hAnsi="Cambria"/>
          <w:sz w:val="20"/>
          <w:szCs w:val="20"/>
        </w:rPr>
        <w:t>many</w:t>
      </w:r>
      <w:r w:rsidRPr="009B2BA2">
        <w:rPr>
          <w:rFonts w:ascii="Cambria" w:hAnsi="Cambria"/>
          <w:sz w:val="20"/>
          <w:szCs w:val="20"/>
        </w:rPr>
        <w:t xml:space="preserve"> delaying </w:t>
      </w:r>
      <w:r>
        <w:rPr>
          <w:rFonts w:ascii="Cambria" w:hAnsi="Cambria"/>
          <w:sz w:val="20"/>
          <w:szCs w:val="20"/>
        </w:rPr>
        <w:t>tactics</w:t>
      </w:r>
      <w:r w:rsidRPr="009B2BA2">
        <w:rPr>
          <w:rFonts w:ascii="Cambria" w:hAnsi="Cambria"/>
          <w:sz w:val="20"/>
          <w:szCs w:val="20"/>
        </w:rPr>
        <w:t xml:space="preserve"> that have</w:t>
      </w:r>
      <w:r>
        <w:rPr>
          <w:rFonts w:ascii="Cambria" w:hAnsi="Cambria"/>
          <w:sz w:val="20"/>
          <w:szCs w:val="20"/>
        </w:rPr>
        <w:t>, time and time again,</w:t>
      </w:r>
      <w:r w:rsidRPr="009B2BA2">
        <w:rPr>
          <w:rFonts w:ascii="Cambria" w:hAnsi="Cambria"/>
          <w:sz w:val="20"/>
          <w:szCs w:val="20"/>
        </w:rPr>
        <w:t xml:space="preserve"> frustrate</w:t>
      </w:r>
      <w:r>
        <w:rPr>
          <w:rFonts w:ascii="Cambria" w:hAnsi="Cambria"/>
          <w:sz w:val="20"/>
          <w:szCs w:val="20"/>
        </w:rPr>
        <w:t>d</w:t>
      </w:r>
      <w:r w:rsidRPr="009B2BA2">
        <w:rPr>
          <w:rFonts w:ascii="Cambria" w:hAnsi="Cambria"/>
          <w:sz w:val="20"/>
          <w:szCs w:val="20"/>
        </w:rPr>
        <w:t xml:space="preserve"> the just </w:t>
      </w:r>
      <w:r>
        <w:rPr>
          <w:rFonts w:ascii="Cambria" w:hAnsi="Cambria"/>
          <w:sz w:val="20"/>
          <w:szCs w:val="20"/>
        </w:rPr>
        <w:t>hopes</w:t>
      </w:r>
      <w:r w:rsidRPr="009B2BA2">
        <w:rPr>
          <w:rFonts w:ascii="Cambria" w:hAnsi="Cambria"/>
          <w:sz w:val="20"/>
          <w:szCs w:val="20"/>
        </w:rPr>
        <w:t xml:space="preserve"> </w:t>
      </w:r>
      <w:r>
        <w:rPr>
          <w:rFonts w:ascii="Cambria" w:hAnsi="Cambria"/>
          <w:sz w:val="20"/>
          <w:szCs w:val="20"/>
        </w:rPr>
        <w:t>for</w:t>
      </w:r>
      <w:r w:rsidRPr="009B2BA2">
        <w:rPr>
          <w:rFonts w:ascii="Cambria" w:hAnsi="Cambria"/>
          <w:sz w:val="20"/>
          <w:szCs w:val="20"/>
        </w:rPr>
        <w:t xml:space="preserve"> truth, justice, and reparation of victims.  </w:t>
      </w:r>
    </w:p>
    <w:p w14:paraId="564A09AB" w14:textId="77777777" w:rsidR="0057201B" w:rsidRPr="009B2BA2" w:rsidRDefault="0057201B" w:rsidP="0057201B">
      <w:pPr>
        <w:pStyle w:val="ListParagraph"/>
        <w:autoSpaceDE w:val="0"/>
        <w:autoSpaceDN w:val="0"/>
        <w:adjustRightInd w:val="0"/>
        <w:contextualSpacing w:val="0"/>
        <w:jc w:val="both"/>
        <w:rPr>
          <w:rFonts w:ascii="Cambria" w:hAnsi="Cambria"/>
          <w:sz w:val="20"/>
          <w:szCs w:val="20"/>
        </w:rPr>
      </w:pPr>
    </w:p>
    <w:p w14:paraId="7161B96A" w14:textId="77777777" w:rsidR="0057201B" w:rsidRPr="00AE3A84" w:rsidRDefault="0057201B" w:rsidP="00933F91">
      <w:pPr>
        <w:pStyle w:val="BodyText"/>
        <w:widowControl/>
        <w:numPr>
          <w:ilvl w:val="0"/>
          <w:numId w:val="56"/>
        </w:numPr>
        <w:ind w:left="1440"/>
        <w:jc w:val="both"/>
        <w:rPr>
          <w:b/>
          <w:lang w:val="es-US"/>
        </w:rPr>
      </w:pPr>
      <w:r>
        <w:rPr>
          <w:b/>
          <w:lang w:val="es-US"/>
        </w:rPr>
        <w:t>Report</w:t>
      </w:r>
      <w:r w:rsidRPr="00FD6A46">
        <w:rPr>
          <w:b/>
          <w:lang w:val="es-US"/>
        </w:rPr>
        <w:t xml:space="preserve"> No. 156/22,</w:t>
      </w:r>
      <w:r w:rsidRPr="00AE3A84">
        <w:rPr>
          <w:b/>
          <w:lang w:val="es-US"/>
        </w:rPr>
        <w:t xml:space="preserve"> P-979-11 Jaime Hernando Garzón Forero </w:t>
      </w:r>
      <w:r>
        <w:rPr>
          <w:b/>
          <w:lang w:val="es-US"/>
        </w:rPr>
        <w:t>and Relatives</w:t>
      </w:r>
      <w:r w:rsidRPr="00AE3A84">
        <w:rPr>
          <w:b/>
          <w:lang w:val="es-US"/>
        </w:rPr>
        <w:t>, Colombia</w:t>
      </w:r>
    </w:p>
    <w:p w14:paraId="4D12FE9C" w14:textId="77777777" w:rsidR="0057201B" w:rsidRPr="00AE3A84" w:rsidRDefault="0057201B" w:rsidP="0057201B">
      <w:pPr>
        <w:pStyle w:val="ListParagraph"/>
        <w:autoSpaceDE w:val="0"/>
        <w:autoSpaceDN w:val="0"/>
        <w:adjustRightInd w:val="0"/>
        <w:contextualSpacing w:val="0"/>
        <w:jc w:val="both"/>
        <w:rPr>
          <w:rFonts w:ascii="Cambria" w:hAnsi="Cambria"/>
          <w:sz w:val="20"/>
          <w:szCs w:val="20"/>
          <w:lang w:val="es-ES_tradnl"/>
        </w:rPr>
      </w:pPr>
    </w:p>
    <w:p w14:paraId="6CBE7E1C" w14:textId="77777777" w:rsidR="0057201B" w:rsidRPr="00D4042A" w:rsidRDefault="0057201B" w:rsidP="00933F91">
      <w:pPr>
        <w:pStyle w:val="ListParagraph"/>
        <w:numPr>
          <w:ilvl w:val="0"/>
          <w:numId w:val="58"/>
        </w:numPr>
        <w:autoSpaceDE w:val="0"/>
        <w:autoSpaceDN w:val="0"/>
        <w:adjustRightInd w:val="0"/>
        <w:ind w:left="0" w:firstLine="720"/>
        <w:contextualSpacing w:val="0"/>
        <w:jc w:val="both"/>
        <w:rPr>
          <w:rFonts w:ascii="Cambria" w:hAnsi="Cambria"/>
          <w:sz w:val="20"/>
          <w:szCs w:val="20"/>
        </w:rPr>
      </w:pPr>
      <w:r w:rsidRPr="00FD6A46">
        <w:rPr>
          <w:rFonts w:ascii="Cambria" w:hAnsi="Cambria"/>
          <w:sz w:val="20"/>
          <w:szCs w:val="20"/>
        </w:rPr>
        <w:t>Th</w:t>
      </w:r>
      <w:r>
        <w:rPr>
          <w:rFonts w:ascii="Cambria" w:hAnsi="Cambria"/>
          <w:sz w:val="20"/>
          <w:szCs w:val="20"/>
        </w:rPr>
        <w:t>is</w:t>
      </w:r>
      <w:r w:rsidRPr="00FD6A46">
        <w:rPr>
          <w:rFonts w:ascii="Cambria" w:hAnsi="Cambria"/>
          <w:sz w:val="20"/>
          <w:szCs w:val="20"/>
        </w:rPr>
        <w:t xml:space="preserve"> petition has to do with the </w:t>
      </w:r>
      <w:r>
        <w:rPr>
          <w:rFonts w:ascii="Cambria" w:hAnsi="Cambria"/>
          <w:sz w:val="20"/>
          <w:szCs w:val="20"/>
        </w:rPr>
        <w:t>murder</w:t>
      </w:r>
      <w:r w:rsidRPr="00FD6A46">
        <w:rPr>
          <w:rFonts w:ascii="Cambria" w:hAnsi="Cambria"/>
          <w:sz w:val="20"/>
          <w:szCs w:val="20"/>
        </w:rPr>
        <w:t xml:space="preserve"> of the renowned journalist and humorist Jaime Garzón</w:t>
      </w:r>
      <w:r>
        <w:rPr>
          <w:rFonts w:ascii="Cambria" w:hAnsi="Cambria"/>
          <w:sz w:val="20"/>
          <w:szCs w:val="20"/>
        </w:rPr>
        <w:t xml:space="preserve"> in 1999 </w:t>
      </w:r>
      <w:r w:rsidRPr="00FD6A46">
        <w:rPr>
          <w:rFonts w:ascii="Cambria" w:hAnsi="Cambria"/>
          <w:sz w:val="20"/>
          <w:szCs w:val="20"/>
        </w:rPr>
        <w:t xml:space="preserve">and with the alleged pattern of </w:t>
      </w:r>
      <w:r>
        <w:rPr>
          <w:rFonts w:ascii="Cambria" w:hAnsi="Cambria"/>
          <w:sz w:val="20"/>
          <w:szCs w:val="20"/>
        </w:rPr>
        <w:t>impunity said to persist with regard to this act which shocked Colombian society</w:t>
      </w:r>
      <w:r w:rsidRPr="00FD6A46">
        <w:rPr>
          <w:rFonts w:ascii="Cambria" w:hAnsi="Cambria"/>
          <w:sz w:val="20"/>
          <w:szCs w:val="20"/>
        </w:rPr>
        <w:t xml:space="preserve">. The petition lays out and describes many acts and pieces of evidence that, in the opinion of the petitioners, indicate that the murder was perpetrated by </w:t>
      </w:r>
      <w:r>
        <w:rPr>
          <w:rFonts w:ascii="Cambria" w:hAnsi="Cambria"/>
          <w:sz w:val="20"/>
          <w:szCs w:val="20"/>
        </w:rPr>
        <w:t>a</w:t>
      </w:r>
      <w:r w:rsidRPr="00FD6A46">
        <w:rPr>
          <w:rFonts w:ascii="Cambria" w:hAnsi="Cambria"/>
          <w:sz w:val="20"/>
          <w:szCs w:val="20"/>
        </w:rPr>
        <w:t xml:space="preserve"> </w:t>
      </w:r>
      <w:r>
        <w:rPr>
          <w:rFonts w:ascii="Cambria" w:hAnsi="Cambria"/>
          <w:sz w:val="20"/>
          <w:szCs w:val="20"/>
        </w:rPr>
        <w:t>gang</w:t>
      </w:r>
      <w:r w:rsidRPr="00FD6A46">
        <w:rPr>
          <w:rFonts w:ascii="Cambria" w:hAnsi="Cambria"/>
          <w:sz w:val="20"/>
          <w:szCs w:val="20"/>
        </w:rPr>
        <w:t xml:space="preserve"> of hi</w:t>
      </w:r>
      <w:r>
        <w:rPr>
          <w:rFonts w:ascii="Cambria" w:hAnsi="Cambria"/>
          <w:sz w:val="20"/>
          <w:szCs w:val="20"/>
        </w:rPr>
        <w:t>t</w:t>
      </w:r>
      <w:r w:rsidRPr="00FD6A46">
        <w:rPr>
          <w:rFonts w:ascii="Cambria" w:hAnsi="Cambria"/>
          <w:sz w:val="20"/>
          <w:szCs w:val="20"/>
        </w:rPr>
        <w:t xml:space="preserve">men known as “La Terraza,” reportedly </w:t>
      </w:r>
      <w:r>
        <w:rPr>
          <w:rFonts w:ascii="Cambria" w:hAnsi="Cambria"/>
          <w:sz w:val="20"/>
          <w:szCs w:val="20"/>
        </w:rPr>
        <w:t>on orders</w:t>
      </w:r>
      <w:r w:rsidRPr="00FD6A46">
        <w:rPr>
          <w:rFonts w:ascii="Cambria" w:hAnsi="Cambria"/>
          <w:sz w:val="20"/>
          <w:szCs w:val="20"/>
        </w:rPr>
        <w:t xml:space="preserve"> from the top lead</w:t>
      </w:r>
      <w:r>
        <w:rPr>
          <w:rFonts w:ascii="Cambria" w:hAnsi="Cambria"/>
          <w:sz w:val="20"/>
          <w:szCs w:val="20"/>
        </w:rPr>
        <w:t xml:space="preserve">er of the paramilitary group </w:t>
      </w:r>
      <w:r w:rsidRPr="00FD6A46">
        <w:rPr>
          <w:rFonts w:ascii="Cambria" w:hAnsi="Cambria"/>
          <w:sz w:val="20"/>
          <w:szCs w:val="20"/>
        </w:rPr>
        <w:t>Autodefensas Unidas de Colombia</w:t>
      </w:r>
      <w:r>
        <w:rPr>
          <w:rFonts w:ascii="Cambria" w:hAnsi="Cambria"/>
          <w:sz w:val="20"/>
          <w:szCs w:val="20"/>
        </w:rPr>
        <w:t xml:space="preserve"> [United Self-Defense Forces of Colombia]</w:t>
      </w:r>
      <w:r w:rsidRPr="00FD6A46">
        <w:rPr>
          <w:rFonts w:ascii="Cambria" w:hAnsi="Cambria"/>
          <w:sz w:val="20"/>
          <w:szCs w:val="20"/>
        </w:rPr>
        <w:t>, Carlos Castaño</w:t>
      </w:r>
      <w:r>
        <w:rPr>
          <w:rFonts w:ascii="Cambria" w:hAnsi="Cambria"/>
          <w:sz w:val="20"/>
          <w:szCs w:val="20"/>
        </w:rPr>
        <w:t xml:space="preserve">; he in turn is alleged to have received a direct request from senior commanders in the National Army to kill </w:t>
      </w:r>
      <w:r w:rsidRPr="00FD6A46">
        <w:rPr>
          <w:rFonts w:ascii="Cambria" w:hAnsi="Cambria"/>
          <w:sz w:val="20"/>
          <w:szCs w:val="20"/>
        </w:rPr>
        <w:t xml:space="preserve">Jaime Garzón. </w:t>
      </w:r>
      <w:r w:rsidRPr="00D4042A">
        <w:rPr>
          <w:rFonts w:ascii="Cambria" w:hAnsi="Cambria"/>
          <w:sz w:val="20"/>
          <w:szCs w:val="20"/>
        </w:rPr>
        <w:t xml:space="preserve">The petitioners explain that Mr. Jaime Garzón had been serving as a mediator </w:t>
      </w:r>
      <w:r>
        <w:rPr>
          <w:rFonts w:ascii="Cambria" w:hAnsi="Cambria"/>
          <w:sz w:val="20"/>
          <w:szCs w:val="20"/>
        </w:rPr>
        <w:t>to help free</w:t>
      </w:r>
      <w:r w:rsidRPr="00D4042A">
        <w:rPr>
          <w:rFonts w:ascii="Cambria" w:hAnsi="Cambria"/>
          <w:sz w:val="20"/>
          <w:szCs w:val="20"/>
        </w:rPr>
        <w:t xml:space="preserve"> individuals who had been kidnapped by guerrilla forces of the FARC and the ELN sinc</w:t>
      </w:r>
      <w:r>
        <w:rPr>
          <w:rFonts w:ascii="Cambria" w:hAnsi="Cambria"/>
          <w:sz w:val="20"/>
          <w:szCs w:val="20"/>
        </w:rPr>
        <w:t>e</w:t>
      </w:r>
      <w:r w:rsidRPr="00D4042A">
        <w:rPr>
          <w:rFonts w:ascii="Cambria" w:hAnsi="Cambria"/>
          <w:sz w:val="20"/>
          <w:szCs w:val="20"/>
        </w:rPr>
        <w:t xml:space="preserve"> 1998, </w:t>
      </w:r>
      <w:r>
        <w:rPr>
          <w:rFonts w:ascii="Cambria" w:hAnsi="Cambria"/>
          <w:sz w:val="20"/>
          <w:szCs w:val="20"/>
        </w:rPr>
        <w:t>and that because of these efforts, he was labeled a collaborator or guerrilla accomplice by high-level military commanders and paramilitary groups</w:t>
      </w:r>
      <w:r w:rsidRPr="00D4042A">
        <w:rPr>
          <w:rFonts w:ascii="Cambria" w:hAnsi="Cambria"/>
          <w:sz w:val="20"/>
          <w:szCs w:val="20"/>
        </w:rPr>
        <w:t xml:space="preserve">. For </w:t>
      </w:r>
      <w:r>
        <w:rPr>
          <w:rFonts w:ascii="Cambria" w:hAnsi="Cambria"/>
          <w:sz w:val="20"/>
          <w:szCs w:val="20"/>
        </w:rPr>
        <w:t>purposes</w:t>
      </w:r>
      <w:r w:rsidRPr="00D4042A">
        <w:rPr>
          <w:rFonts w:ascii="Cambria" w:hAnsi="Cambria"/>
          <w:sz w:val="20"/>
          <w:szCs w:val="20"/>
        </w:rPr>
        <w:t xml:space="preserve"> of admissibility, the Commission considered,</w:t>
      </w:r>
      <w:r>
        <w:rPr>
          <w:rFonts w:ascii="Cambria" w:hAnsi="Cambria"/>
          <w:sz w:val="20"/>
          <w:szCs w:val="20"/>
        </w:rPr>
        <w:t xml:space="preserve"> among other things</w:t>
      </w:r>
      <w:r w:rsidRPr="00F05170">
        <w:rPr>
          <w:rFonts w:ascii="Cambria" w:hAnsi="Cambria"/>
          <w:sz w:val="20"/>
          <w:szCs w:val="20"/>
        </w:rPr>
        <w:t>,</w:t>
      </w:r>
      <w:r w:rsidRPr="00D4042A">
        <w:rPr>
          <w:rFonts w:ascii="Cambria" w:hAnsi="Cambria"/>
          <w:sz w:val="20"/>
          <w:szCs w:val="20"/>
        </w:rPr>
        <w:t xml:space="preserve"> that the delay of more than 22 years in the investigation and punishment of all those responsible constituted an unwarranted delay in the resolution of domestic remedies and </w:t>
      </w:r>
      <w:r>
        <w:rPr>
          <w:rFonts w:ascii="Cambria" w:hAnsi="Cambria"/>
          <w:sz w:val="20"/>
          <w:szCs w:val="20"/>
        </w:rPr>
        <w:t>justified</w:t>
      </w:r>
      <w:r w:rsidRPr="00D4042A">
        <w:rPr>
          <w:rFonts w:ascii="Cambria" w:hAnsi="Cambria"/>
          <w:sz w:val="20"/>
          <w:szCs w:val="20"/>
        </w:rPr>
        <w:t xml:space="preserve"> the application of the exception established in</w:t>
      </w:r>
      <w:r>
        <w:rPr>
          <w:rFonts w:ascii="Cambria" w:hAnsi="Cambria"/>
          <w:sz w:val="20"/>
          <w:szCs w:val="20"/>
        </w:rPr>
        <w:t xml:space="preserve"> Article</w:t>
      </w:r>
      <w:r w:rsidRPr="00D4042A">
        <w:rPr>
          <w:rFonts w:ascii="Cambria" w:hAnsi="Cambria"/>
          <w:sz w:val="20"/>
          <w:szCs w:val="20"/>
        </w:rPr>
        <w:t xml:space="preserve"> 46</w:t>
      </w:r>
      <w:r>
        <w:rPr>
          <w:rFonts w:ascii="Cambria" w:hAnsi="Cambria"/>
          <w:sz w:val="20"/>
          <w:szCs w:val="20"/>
        </w:rPr>
        <w:t>(</w:t>
      </w:r>
      <w:r w:rsidRPr="00D4042A">
        <w:rPr>
          <w:rFonts w:ascii="Cambria" w:hAnsi="Cambria"/>
          <w:sz w:val="20"/>
          <w:szCs w:val="20"/>
        </w:rPr>
        <w:t>2</w:t>
      </w:r>
      <w:r>
        <w:rPr>
          <w:rFonts w:ascii="Cambria" w:hAnsi="Cambria"/>
          <w:sz w:val="20"/>
          <w:szCs w:val="20"/>
        </w:rPr>
        <w:t>)(</w:t>
      </w:r>
      <w:r w:rsidRPr="00D4042A">
        <w:rPr>
          <w:rFonts w:ascii="Cambria" w:hAnsi="Cambria"/>
          <w:sz w:val="20"/>
          <w:szCs w:val="20"/>
        </w:rPr>
        <w:t xml:space="preserve">c) </w:t>
      </w:r>
      <w:r>
        <w:rPr>
          <w:rFonts w:ascii="Cambria" w:hAnsi="Cambria"/>
          <w:sz w:val="20"/>
          <w:szCs w:val="20"/>
        </w:rPr>
        <w:t>of the American Convention</w:t>
      </w:r>
      <w:r w:rsidRPr="00D4042A">
        <w:rPr>
          <w:rFonts w:ascii="Cambria" w:hAnsi="Cambria"/>
          <w:sz w:val="20"/>
          <w:szCs w:val="20"/>
        </w:rPr>
        <w:t xml:space="preserve">. </w:t>
      </w:r>
    </w:p>
    <w:p w14:paraId="62F8F766" w14:textId="77777777" w:rsidR="0057201B" w:rsidRPr="00D4042A" w:rsidRDefault="0057201B" w:rsidP="0057201B">
      <w:pPr>
        <w:pStyle w:val="ListParagraph"/>
        <w:autoSpaceDE w:val="0"/>
        <w:autoSpaceDN w:val="0"/>
        <w:adjustRightInd w:val="0"/>
        <w:contextualSpacing w:val="0"/>
        <w:jc w:val="both"/>
        <w:rPr>
          <w:rFonts w:ascii="Cambria" w:hAnsi="Cambria"/>
          <w:sz w:val="20"/>
          <w:szCs w:val="20"/>
        </w:rPr>
      </w:pPr>
    </w:p>
    <w:p w14:paraId="0437EE62" w14:textId="77777777" w:rsidR="0057201B" w:rsidRPr="00AE3A84" w:rsidRDefault="0057201B" w:rsidP="00933F91">
      <w:pPr>
        <w:pStyle w:val="BodyText"/>
        <w:widowControl/>
        <w:numPr>
          <w:ilvl w:val="0"/>
          <w:numId w:val="56"/>
        </w:numPr>
        <w:ind w:left="1440"/>
        <w:jc w:val="both"/>
        <w:rPr>
          <w:b/>
          <w:lang w:val="es-US"/>
        </w:rPr>
      </w:pPr>
      <w:r>
        <w:rPr>
          <w:b/>
          <w:lang w:val="es-US"/>
        </w:rPr>
        <w:t>Report</w:t>
      </w:r>
      <w:r w:rsidRPr="00AE3A84">
        <w:rPr>
          <w:b/>
          <w:lang w:val="es-US"/>
        </w:rPr>
        <w:t xml:space="preserve"> No. 93/22, P-1316-12 Yolanda Guerrero Caballero </w:t>
      </w:r>
      <w:r>
        <w:rPr>
          <w:b/>
          <w:lang w:val="es-US"/>
        </w:rPr>
        <w:t>et al.</w:t>
      </w:r>
      <w:r w:rsidRPr="00AE3A84">
        <w:rPr>
          <w:b/>
          <w:lang w:val="es-US"/>
        </w:rPr>
        <w:t>, M</w:t>
      </w:r>
      <w:r>
        <w:rPr>
          <w:b/>
          <w:lang w:val="es-US"/>
        </w:rPr>
        <w:t>e</w:t>
      </w:r>
      <w:r w:rsidRPr="00AE3A84">
        <w:rPr>
          <w:b/>
          <w:lang w:val="es-US"/>
        </w:rPr>
        <w:t>xico</w:t>
      </w:r>
    </w:p>
    <w:p w14:paraId="70C0CF69" w14:textId="77777777" w:rsidR="0057201B" w:rsidRPr="00AE3A84" w:rsidRDefault="0057201B" w:rsidP="0057201B">
      <w:pPr>
        <w:pStyle w:val="ListParagraph"/>
        <w:autoSpaceDE w:val="0"/>
        <w:autoSpaceDN w:val="0"/>
        <w:adjustRightInd w:val="0"/>
        <w:contextualSpacing w:val="0"/>
        <w:jc w:val="both"/>
        <w:rPr>
          <w:rFonts w:ascii="Cambria" w:hAnsi="Cambria"/>
          <w:sz w:val="20"/>
          <w:szCs w:val="20"/>
          <w:lang w:val="es-US"/>
        </w:rPr>
      </w:pPr>
    </w:p>
    <w:p w14:paraId="2FE1D69F" w14:textId="77777777" w:rsidR="0057201B" w:rsidRPr="001B0855" w:rsidRDefault="0057201B" w:rsidP="00933F91">
      <w:pPr>
        <w:pStyle w:val="ListParagraph"/>
        <w:numPr>
          <w:ilvl w:val="0"/>
          <w:numId w:val="58"/>
        </w:numPr>
        <w:autoSpaceDE w:val="0"/>
        <w:autoSpaceDN w:val="0"/>
        <w:adjustRightInd w:val="0"/>
        <w:ind w:left="0" w:firstLine="720"/>
        <w:contextualSpacing w:val="0"/>
        <w:jc w:val="both"/>
        <w:rPr>
          <w:rFonts w:ascii="Cambria" w:hAnsi="Cambria"/>
          <w:sz w:val="20"/>
          <w:szCs w:val="20"/>
        </w:rPr>
      </w:pPr>
      <w:r w:rsidRPr="00CF3CDF">
        <w:rPr>
          <w:rFonts w:ascii="Cambria" w:hAnsi="Cambria"/>
          <w:sz w:val="20"/>
          <w:szCs w:val="20"/>
        </w:rPr>
        <w:t xml:space="preserve">The petitioners allege that the Mexican State </w:t>
      </w:r>
      <w:r>
        <w:rPr>
          <w:rFonts w:ascii="Cambria" w:hAnsi="Cambria"/>
          <w:sz w:val="20"/>
          <w:szCs w:val="20"/>
        </w:rPr>
        <w:t>is</w:t>
      </w:r>
      <w:r w:rsidRPr="00CF3CDF">
        <w:rPr>
          <w:rFonts w:ascii="Cambria" w:hAnsi="Cambria"/>
          <w:sz w:val="20"/>
          <w:szCs w:val="20"/>
        </w:rPr>
        <w:t xml:space="preserve"> international</w:t>
      </w:r>
      <w:r>
        <w:rPr>
          <w:rFonts w:ascii="Cambria" w:hAnsi="Cambria"/>
          <w:sz w:val="20"/>
          <w:szCs w:val="20"/>
        </w:rPr>
        <w:t>ly</w:t>
      </w:r>
      <w:r w:rsidRPr="00CF3CDF">
        <w:rPr>
          <w:rFonts w:ascii="Cambria" w:hAnsi="Cambria"/>
          <w:sz w:val="20"/>
          <w:szCs w:val="20"/>
        </w:rPr>
        <w:t xml:space="preserve"> responsib</w:t>
      </w:r>
      <w:r>
        <w:rPr>
          <w:rFonts w:ascii="Cambria" w:hAnsi="Cambria"/>
          <w:sz w:val="20"/>
          <w:szCs w:val="20"/>
        </w:rPr>
        <w:t>le</w:t>
      </w:r>
      <w:r w:rsidRPr="00CF3CDF">
        <w:rPr>
          <w:rFonts w:ascii="Cambria" w:hAnsi="Cambria"/>
          <w:sz w:val="20"/>
          <w:szCs w:val="20"/>
        </w:rPr>
        <w:t xml:space="preserve"> for the effects of nonconsensual experimental surgeries </w:t>
      </w:r>
      <w:r>
        <w:rPr>
          <w:rFonts w:ascii="Cambria" w:hAnsi="Cambria"/>
          <w:sz w:val="20"/>
          <w:szCs w:val="20"/>
        </w:rPr>
        <w:t>performed</w:t>
      </w:r>
      <w:r w:rsidRPr="00CF3CDF">
        <w:rPr>
          <w:rFonts w:ascii="Cambria" w:hAnsi="Cambria"/>
          <w:sz w:val="20"/>
          <w:szCs w:val="20"/>
        </w:rPr>
        <w:t xml:space="preserve"> in a public hospital to the detriment of patients suffering from hydrocephaly, and for its failure to adopt the necessary</w:t>
      </w:r>
      <w:r>
        <w:rPr>
          <w:rFonts w:ascii="Cambria" w:hAnsi="Cambria"/>
          <w:sz w:val="20"/>
          <w:szCs w:val="20"/>
        </w:rPr>
        <w:t xml:space="preserve"> </w:t>
      </w:r>
      <w:r w:rsidRPr="00CF3CDF">
        <w:rPr>
          <w:rFonts w:ascii="Cambria" w:hAnsi="Cambria"/>
          <w:sz w:val="20"/>
          <w:szCs w:val="20"/>
        </w:rPr>
        <w:t xml:space="preserve">measures to prevent and investigate what </w:t>
      </w:r>
      <w:r w:rsidRPr="00CF3CDF">
        <w:rPr>
          <w:rFonts w:ascii="Cambria" w:hAnsi="Cambria"/>
          <w:sz w:val="20"/>
          <w:szCs w:val="20"/>
        </w:rPr>
        <w:lastRenderedPageBreak/>
        <w:t xml:space="preserve">occurred. </w:t>
      </w:r>
      <w:r w:rsidRPr="008C076C">
        <w:rPr>
          <w:rFonts w:ascii="Cambria" w:hAnsi="Cambria"/>
          <w:sz w:val="20"/>
          <w:szCs w:val="20"/>
        </w:rPr>
        <w:t xml:space="preserve">Among other things, the authorities determined that the experimental surgical procedure by the National Institute of Neurology and Neurosurgery (INNN): (i) did not have the authorization of the Secretariat </w:t>
      </w:r>
      <w:r>
        <w:rPr>
          <w:rFonts w:ascii="Cambria" w:hAnsi="Cambria"/>
          <w:sz w:val="20"/>
          <w:szCs w:val="20"/>
        </w:rPr>
        <w:t xml:space="preserve">of </w:t>
      </w:r>
      <w:r w:rsidRPr="008C076C">
        <w:rPr>
          <w:rFonts w:ascii="Cambria" w:hAnsi="Cambria"/>
          <w:sz w:val="20"/>
          <w:szCs w:val="20"/>
        </w:rPr>
        <w:t>Health, in accordance with the General Law on Health; (ii) w</w:t>
      </w:r>
      <w:r>
        <w:rPr>
          <w:rFonts w:ascii="Cambria" w:hAnsi="Cambria"/>
          <w:sz w:val="20"/>
          <w:szCs w:val="20"/>
        </w:rPr>
        <w:t>as performed</w:t>
      </w:r>
      <w:r w:rsidRPr="008C076C">
        <w:rPr>
          <w:rFonts w:ascii="Cambria" w:hAnsi="Cambria"/>
          <w:sz w:val="20"/>
          <w:szCs w:val="20"/>
        </w:rPr>
        <w:t xml:space="preserve"> </w:t>
      </w:r>
      <w:r>
        <w:rPr>
          <w:rFonts w:ascii="Cambria" w:hAnsi="Cambria"/>
          <w:sz w:val="20"/>
          <w:szCs w:val="20"/>
        </w:rPr>
        <w:t>on vulnerable</w:t>
      </w:r>
      <w:r w:rsidRPr="00F907E8">
        <w:rPr>
          <w:rFonts w:ascii="Cambria" w:hAnsi="Cambria"/>
          <w:sz w:val="20"/>
          <w:szCs w:val="20"/>
        </w:rPr>
        <w:t xml:space="preserve"> </w:t>
      </w:r>
      <w:r>
        <w:rPr>
          <w:rFonts w:ascii="Cambria" w:hAnsi="Cambria"/>
          <w:sz w:val="20"/>
          <w:szCs w:val="20"/>
        </w:rPr>
        <w:t xml:space="preserve">population groups, as </w:t>
      </w:r>
      <w:r w:rsidRPr="008C076C">
        <w:rPr>
          <w:rFonts w:ascii="Cambria" w:hAnsi="Cambria"/>
          <w:sz w:val="20"/>
          <w:szCs w:val="20"/>
        </w:rPr>
        <w:t xml:space="preserve">86.5% </w:t>
      </w:r>
      <w:r>
        <w:rPr>
          <w:rFonts w:ascii="Cambria" w:hAnsi="Cambria"/>
          <w:sz w:val="20"/>
          <w:szCs w:val="20"/>
        </w:rPr>
        <w:t>of those hospitalized had</w:t>
      </w:r>
      <w:r w:rsidRPr="008C076C">
        <w:rPr>
          <w:rFonts w:ascii="Cambria" w:hAnsi="Cambria"/>
          <w:sz w:val="20"/>
          <w:szCs w:val="20"/>
        </w:rPr>
        <w:t xml:space="preserve"> </w:t>
      </w:r>
      <w:r>
        <w:rPr>
          <w:rFonts w:ascii="Cambria" w:hAnsi="Cambria"/>
          <w:sz w:val="20"/>
          <w:szCs w:val="20"/>
        </w:rPr>
        <w:t>an income of less than three times the national minimum wage and lacked any kind of social security plan</w:t>
      </w:r>
      <w:r w:rsidRPr="008C076C">
        <w:rPr>
          <w:rFonts w:ascii="Cambria" w:hAnsi="Cambria"/>
          <w:sz w:val="20"/>
          <w:szCs w:val="20"/>
        </w:rPr>
        <w:t xml:space="preserve">; </w:t>
      </w:r>
      <w:r>
        <w:rPr>
          <w:rFonts w:ascii="Cambria" w:hAnsi="Cambria"/>
          <w:sz w:val="20"/>
          <w:szCs w:val="20"/>
        </w:rPr>
        <w:t>and</w:t>
      </w:r>
      <w:r w:rsidRPr="008C076C">
        <w:rPr>
          <w:rFonts w:ascii="Cambria" w:hAnsi="Cambria"/>
          <w:sz w:val="20"/>
          <w:szCs w:val="20"/>
        </w:rPr>
        <w:t xml:space="preserve"> (iii) </w:t>
      </w:r>
      <w:r>
        <w:rPr>
          <w:rFonts w:ascii="Cambria" w:hAnsi="Cambria"/>
          <w:sz w:val="20"/>
          <w:szCs w:val="20"/>
        </w:rPr>
        <w:t xml:space="preserve">did not have </w:t>
      </w:r>
      <w:r w:rsidRPr="008C076C">
        <w:rPr>
          <w:rFonts w:ascii="Cambria" w:hAnsi="Cambria"/>
          <w:sz w:val="20"/>
          <w:szCs w:val="20"/>
        </w:rPr>
        <w:t>INNN</w:t>
      </w:r>
      <w:r>
        <w:rPr>
          <w:rFonts w:ascii="Cambria" w:hAnsi="Cambria"/>
          <w:sz w:val="20"/>
          <w:szCs w:val="20"/>
        </w:rPr>
        <w:t>-approved research or bioethical protocols</w:t>
      </w:r>
      <w:r w:rsidRPr="008C076C">
        <w:rPr>
          <w:rFonts w:ascii="Cambria" w:hAnsi="Cambria"/>
          <w:sz w:val="20"/>
          <w:szCs w:val="20"/>
        </w:rPr>
        <w:t xml:space="preserve">. </w:t>
      </w:r>
      <w:r w:rsidRPr="001B0855">
        <w:rPr>
          <w:rFonts w:ascii="Cambria" w:hAnsi="Cambria"/>
          <w:sz w:val="20"/>
          <w:szCs w:val="20"/>
        </w:rPr>
        <w:t xml:space="preserve">This petition was admitted with respect to two alleged victims, one of whom died years after the procedure and the other who developed a permanent work disability, in both cases allegedly as a result of the medical </w:t>
      </w:r>
      <w:r w:rsidRPr="001B0855">
        <w:rPr>
          <w:rFonts w:ascii="Cambria" w:hAnsi="Cambria"/>
          <w:i/>
          <w:iCs/>
          <w:sz w:val="20"/>
          <w:szCs w:val="20"/>
        </w:rPr>
        <w:t>mala praxis</w:t>
      </w:r>
      <w:r w:rsidRPr="001B0855">
        <w:rPr>
          <w:rFonts w:ascii="Cambria" w:hAnsi="Cambria"/>
          <w:sz w:val="20"/>
          <w:szCs w:val="20"/>
        </w:rPr>
        <w:t xml:space="preserve"> </w:t>
      </w:r>
      <w:r>
        <w:rPr>
          <w:rFonts w:ascii="Cambria" w:hAnsi="Cambria"/>
          <w:sz w:val="20"/>
          <w:szCs w:val="20"/>
        </w:rPr>
        <w:t xml:space="preserve">that they suffered. </w:t>
      </w:r>
      <w:r w:rsidRPr="001B0855">
        <w:rPr>
          <w:rFonts w:ascii="Cambria" w:hAnsi="Cambria"/>
          <w:sz w:val="20"/>
          <w:szCs w:val="20"/>
        </w:rPr>
        <w:t>A</w:t>
      </w:r>
      <w:r>
        <w:rPr>
          <w:rFonts w:ascii="Cambria" w:hAnsi="Cambria"/>
          <w:sz w:val="20"/>
          <w:szCs w:val="20"/>
        </w:rPr>
        <w:t xml:space="preserve">nd </w:t>
      </w:r>
      <w:r w:rsidRPr="001B0855">
        <w:rPr>
          <w:rFonts w:ascii="Cambria" w:hAnsi="Cambria"/>
          <w:sz w:val="20"/>
          <w:szCs w:val="20"/>
        </w:rPr>
        <w:t>in both case</w:t>
      </w:r>
      <w:r>
        <w:rPr>
          <w:rFonts w:ascii="Cambria" w:hAnsi="Cambria"/>
          <w:sz w:val="20"/>
          <w:szCs w:val="20"/>
        </w:rPr>
        <w:t>s, as</w:t>
      </w:r>
      <w:r w:rsidRPr="001B0855">
        <w:rPr>
          <w:rFonts w:ascii="Cambria" w:hAnsi="Cambria"/>
          <w:sz w:val="20"/>
          <w:szCs w:val="20"/>
        </w:rPr>
        <w:t xml:space="preserve"> is alleged and will be examined in the merits stage, there was a failure to conduct an adequate investigation and prosecution of those </w:t>
      </w:r>
      <w:r>
        <w:rPr>
          <w:rFonts w:ascii="Cambria" w:hAnsi="Cambria"/>
          <w:sz w:val="20"/>
          <w:szCs w:val="20"/>
        </w:rPr>
        <w:t>said to be</w:t>
      </w:r>
      <w:r w:rsidRPr="001B0855">
        <w:rPr>
          <w:rFonts w:ascii="Cambria" w:hAnsi="Cambria"/>
          <w:sz w:val="20"/>
          <w:szCs w:val="20"/>
        </w:rPr>
        <w:t xml:space="preserve"> responsible. </w:t>
      </w:r>
    </w:p>
    <w:p w14:paraId="05F365C3" w14:textId="77777777" w:rsidR="0057201B" w:rsidRPr="001B0855" w:rsidRDefault="0057201B" w:rsidP="0057201B">
      <w:pPr>
        <w:pStyle w:val="ListParagraph"/>
        <w:autoSpaceDE w:val="0"/>
        <w:autoSpaceDN w:val="0"/>
        <w:adjustRightInd w:val="0"/>
        <w:contextualSpacing w:val="0"/>
        <w:jc w:val="both"/>
        <w:rPr>
          <w:rFonts w:ascii="Cambria" w:hAnsi="Cambria"/>
          <w:sz w:val="20"/>
          <w:szCs w:val="20"/>
        </w:rPr>
      </w:pPr>
    </w:p>
    <w:p w14:paraId="65938EB4" w14:textId="77777777" w:rsidR="0057201B" w:rsidRPr="00AE3A84" w:rsidRDefault="0057201B" w:rsidP="00933F91">
      <w:pPr>
        <w:pStyle w:val="BodyText"/>
        <w:widowControl/>
        <w:numPr>
          <w:ilvl w:val="0"/>
          <w:numId w:val="56"/>
        </w:numPr>
        <w:ind w:left="1440"/>
        <w:jc w:val="both"/>
        <w:rPr>
          <w:b/>
          <w:lang w:val="es-US"/>
        </w:rPr>
      </w:pPr>
      <w:r>
        <w:rPr>
          <w:b/>
          <w:lang w:val="es-US"/>
        </w:rPr>
        <w:t>Report</w:t>
      </w:r>
      <w:r w:rsidRPr="00AE3A84">
        <w:rPr>
          <w:b/>
          <w:lang w:val="es-US"/>
        </w:rPr>
        <w:t xml:space="preserve"> No. 180/22, P-31-09 Raúl Fernando Córdova Dolz </w:t>
      </w:r>
      <w:r>
        <w:rPr>
          <w:b/>
          <w:lang w:val="es-US"/>
        </w:rPr>
        <w:t>et al.</w:t>
      </w:r>
      <w:r w:rsidRPr="00AE3A84">
        <w:rPr>
          <w:b/>
          <w:lang w:val="es-US"/>
        </w:rPr>
        <w:t>, Chile</w:t>
      </w:r>
    </w:p>
    <w:p w14:paraId="68D67750" w14:textId="77777777" w:rsidR="0057201B" w:rsidRPr="00AE3A84" w:rsidRDefault="0057201B" w:rsidP="0057201B">
      <w:pPr>
        <w:pStyle w:val="ListParagraph"/>
        <w:autoSpaceDE w:val="0"/>
        <w:autoSpaceDN w:val="0"/>
        <w:adjustRightInd w:val="0"/>
        <w:contextualSpacing w:val="0"/>
        <w:jc w:val="both"/>
        <w:rPr>
          <w:rFonts w:ascii="Cambria" w:hAnsi="Cambria"/>
          <w:sz w:val="20"/>
          <w:szCs w:val="20"/>
          <w:lang w:val="es-US"/>
        </w:rPr>
      </w:pPr>
    </w:p>
    <w:p w14:paraId="06AC35CC" w14:textId="77777777" w:rsidR="0057201B" w:rsidRPr="00240BC4" w:rsidRDefault="0057201B" w:rsidP="00933F91">
      <w:pPr>
        <w:pStyle w:val="ListParagraph"/>
        <w:numPr>
          <w:ilvl w:val="0"/>
          <w:numId w:val="58"/>
        </w:numPr>
        <w:autoSpaceDE w:val="0"/>
        <w:autoSpaceDN w:val="0"/>
        <w:adjustRightInd w:val="0"/>
        <w:ind w:left="0" w:firstLine="720"/>
        <w:contextualSpacing w:val="0"/>
        <w:jc w:val="both"/>
        <w:rPr>
          <w:rFonts w:ascii="Cambria" w:hAnsi="Cambria"/>
          <w:sz w:val="20"/>
          <w:szCs w:val="20"/>
        </w:rPr>
      </w:pPr>
      <w:r w:rsidRPr="001B0855">
        <w:rPr>
          <w:rFonts w:ascii="Cambria" w:hAnsi="Cambria"/>
          <w:sz w:val="20"/>
          <w:szCs w:val="20"/>
        </w:rPr>
        <w:t>Th</w:t>
      </w:r>
      <w:r>
        <w:rPr>
          <w:rFonts w:ascii="Cambria" w:hAnsi="Cambria"/>
          <w:sz w:val="20"/>
          <w:szCs w:val="20"/>
        </w:rPr>
        <w:t>is</w:t>
      </w:r>
      <w:r w:rsidRPr="001B0855">
        <w:rPr>
          <w:rFonts w:ascii="Cambria" w:hAnsi="Cambria"/>
          <w:sz w:val="20"/>
          <w:szCs w:val="20"/>
        </w:rPr>
        <w:t xml:space="preserve"> petition alleges that the Chilean State </w:t>
      </w:r>
      <w:r>
        <w:rPr>
          <w:rFonts w:ascii="Cambria" w:hAnsi="Cambria"/>
          <w:sz w:val="20"/>
          <w:szCs w:val="20"/>
        </w:rPr>
        <w:t>is</w:t>
      </w:r>
      <w:r w:rsidRPr="00CF3CDF">
        <w:rPr>
          <w:rFonts w:ascii="Cambria" w:hAnsi="Cambria"/>
          <w:sz w:val="20"/>
          <w:szCs w:val="20"/>
        </w:rPr>
        <w:t xml:space="preserve"> international</w:t>
      </w:r>
      <w:r>
        <w:rPr>
          <w:rFonts w:ascii="Cambria" w:hAnsi="Cambria"/>
          <w:sz w:val="20"/>
          <w:szCs w:val="20"/>
        </w:rPr>
        <w:t>ly</w:t>
      </w:r>
      <w:r w:rsidRPr="00CF3CDF">
        <w:rPr>
          <w:rFonts w:ascii="Cambria" w:hAnsi="Cambria"/>
          <w:sz w:val="20"/>
          <w:szCs w:val="20"/>
        </w:rPr>
        <w:t xml:space="preserve"> responsib</w:t>
      </w:r>
      <w:r>
        <w:rPr>
          <w:rFonts w:ascii="Cambria" w:hAnsi="Cambria"/>
          <w:sz w:val="20"/>
          <w:szCs w:val="20"/>
        </w:rPr>
        <w:t>le</w:t>
      </w:r>
      <w:r w:rsidRPr="00CF3CDF">
        <w:rPr>
          <w:rFonts w:ascii="Cambria" w:hAnsi="Cambria"/>
          <w:sz w:val="20"/>
          <w:szCs w:val="20"/>
        </w:rPr>
        <w:t xml:space="preserve"> </w:t>
      </w:r>
      <w:r w:rsidRPr="001B0855">
        <w:rPr>
          <w:rFonts w:ascii="Cambria" w:hAnsi="Cambria"/>
          <w:sz w:val="20"/>
          <w:szCs w:val="20"/>
        </w:rPr>
        <w:t xml:space="preserve">for violating the human rights of a group of individuals who, it is </w:t>
      </w:r>
      <w:r>
        <w:rPr>
          <w:rFonts w:ascii="Cambria" w:hAnsi="Cambria"/>
          <w:sz w:val="20"/>
          <w:szCs w:val="20"/>
        </w:rPr>
        <w:t>claimed</w:t>
      </w:r>
      <w:r w:rsidRPr="001B0855">
        <w:rPr>
          <w:rFonts w:ascii="Cambria" w:hAnsi="Cambria"/>
          <w:sz w:val="20"/>
          <w:szCs w:val="20"/>
        </w:rPr>
        <w:t>, received access to low-income housing units (which they paid for</w:t>
      </w:r>
      <w:r>
        <w:rPr>
          <w:rFonts w:ascii="Cambria" w:hAnsi="Cambria"/>
          <w:sz w:val="20"/>
          <w:szCs w:val="20"/>
        </w:rPr>
        <w:t>,</w:t>
      </w:r>
      <w:r w:rsidRPr="001B0855">
        <w:rPr>
          <w:rFonts w:ascii="Cambria" w:hAnsi="Cambria"/>
          <w:sz w:val="20"/>
          <w:szCs w:val="20"/>
        </w:rPr>
        <w:t xml:space="preserve"> in part</w:t>
      </w:r>
      <w:r>
        <w:rPr>
          <w:rFonts w:ascii="Cambria" w:hAnsi="Cambria"/>
          <w:sz w:val="20"/>
          <w:szCs w:val="20"/>
        </w:rPr>
        <w:t>,</w:t>
      </w:r>
      <w:r w:rsidRPr="001B0855">
        <w:rPr>
          <w:rFonts w:ascii="Cambria" w:hAnsi="Cambria"/>
          <w:sz w:val="20"/>
          <w:szCs w:val="20"/>
        </w:rPr>
        <w:t xml:space="preserve"> thanks to an incentive plan) which were built defectively under the</w:t>
      </w:r>
      <w:r>
        <w:rPr>
          <w:rFonts w:ascii="Cambria" w:hAnsi="Cambria"/>
          <w:sz w:val="20"/>
          <w:szCs w:val="20"/>
        </w:rPr>
        <w:t xml:space="preserve"> supervision and regulation of the relevant government authorities. </w:t>
      </w:r>
      <w:r w:rsidRPr="000C18D9">
        <w:rPr>
          <w:rFonts w:ascii="Cambria" w:hAnsi="Cambria"/>
          <w:sz w:val="20"/>
          <w:szCs w:val="20"/>
        </w:rPr>
        <w:t xml:space="preserve">The homes sustained serious damage as a consequence of exposure to the elements in 1997 </w:t>
      </w:r>
      <w:r>
        <w:rPr>
          <w:rFonts w:ascii="Cambria" w:hAnsi="Cambria"/>
          <w:sz w:val="20"/>
          <w:szCs w:val="20"/>
        </w:rPr>
        <w:t>and eventually were declared uninhabitable</w:t>
      </w:r>
      <w:r w:rsidRPr="000C18D9">
        <w:rPr>
          <w:rFonts w:ascii="Cambria" w:hAnsi="Cambria"/>
          <w:sz w:val="20"/>
          <w:szCs w:val="20"/>
        </w:rPr>
        <w:t xml:space="preserve">. The petition states that those affected were offered repairs to their homes or subsidies, on the condition that they would </w:t>
      </w:r>
      <w:r>
        <w:rPr>
          <w:rFonts w:ascii="Cambria" w:hAnsi="Cambria"/>
          <w:sz w:val="20"/>
          <w:szCs w:val="20"/>
        </w:rPr>
        <w:t xml:space="preserve">first have to waive any legal actions. </w:t>
      </w:r>
      <w:r w:rsidRPr="000C18D9">
        <w:rPr>
          <w:rFonts w:ascii="Cambria" w:hAnsi="Cambria"/>
          <w:sz w:val="20"/>
          <w:szCs w:val="20"/>
        </w:rPr>
        <w:t>“</w:t>
      </w:r>
      <w:r w:rsidRPr="000C18D9">
        <w:rPr>
          <w:rFonts w:ascii="Cambria" w:hAnsi="Cambria"/>
          <w:i/>
          <w:iCs/>
          <w:sz w:val="20"/>
          <w:szCs w:val="20"/>
        </w:rPr>
        <w:t>However, the State of Chile later recognized tha</w:t>
      </w:r>
      <w:r>
        <w:rPr>
          <w:rFonts w:ascii="Cambria" w:hAnsi="Cambria"/>
          <w:i/>
          <w:iCs/>
          <w:sz w:val="20"/>
          <w:szCs w:val="20"/>
        </w:rPr>
        <w:t>t</w:t>
      </w:r>
      <w:r w:rsidRPr="000C18D9">
        <w:rPr>
          <w:rFonts w:ascii="Cambria" w:hAnsi="Cambria"/>
          <w:i/>
          <w:iCs/>
          <w:sz w:val="20"/>
          <w:szCs w:val="20"/>
        </w:rPr>
        <w:t xml:space="preserve"> the homes were </w:t>
      </w:r>
      <w:r>
        <w:rPr>
          <w:rFonts w:ascii="Cambria" w:hAnsi="Cambria"/>
          <w:i/>
          <w:iCs/>
          <w:sz w:val="20"/>
          <w:szCs w:val="20"/>
        </w:rPr>
        <w:t>beyond repair</w:t>
      </w:r>
      <w:r w:rsidRPr="000C18D9">
        <w:rPr>
          <w:rFonts w:ascii="Cambria" w:hAnsi="Cambria"/>
          <w:i/>
          <w:iCs/>
          <w:sz w:val="20"/>
          <w:szCs w:val="20"/>
        </w:rPr>
        <w:t xml:space="preserve"> and the only course of action was to demolish them.</w:t>
      </w:r>
      <w:r w:rsidRPr="000C18D9">
        <w:rPr>
          <w:rFonts w:ascii="Cambria" w:hAnsi="Cambria"/>
          <w:sz w:val="20"/>
          <w:szCs w:val="20"/>
        </w:rPr>
        <w:t xml:space="preserve">” Many of those affected, including the alleged victims, rejected </w:t>
      </w:r>
      <w:r>
        <w:rPr>
          <w:rFonts w:ascii="Cambria" w:hAnsi="Cambria"/>
          <w:sz w:val="20"/>
          <w:szCs w:val="20"/>
        </w:rPr>
        <w:t>any</w:t>
      </w:r>
      <w:r w:rsidRPr="000C18D9">
        <w:rPr>
          <w:rFonts w:ascii="Cambria" w:hAnsi="Cambria"/>
          <w:sz w:val="20"/>
          <w:szCs w:val="20"/>
        </w:rPr>
        <w:t xml:space="preserve"> assistance and </w:t>
      </w:r>
      <w:r>
        <w:rPr>
          <w:rFonts w:ascii="Cambria" w:hAnsi="Cambria"/>
          <w:sz w:val="20"/>
          <w:szCs w:val="20"/>
        </w:rPr>
        <w:t>filed</w:t>
      </w:r>
      <w:r w:rsidRPr="000C18D9">
        <w:rPr>
          <w:rFonts w:ascii="Cambria" w:hAnsi="Cambria"/>
          <w:sz w:val="20"/>
          <w:szCs w:val="20"/>
        </w:rPr>
        <w:t xml:space="preserve"> civil lawsuits</w:t>
      </w:r>
      <w:r>
        <w:rPr>
          <w:rFonts w:ascii="Cambria" w:hAnsi="Cambria"/>
          <w:sz w:val="20"/>
          <w:szCs w:val="20"/>
        </w:rPr>
        <w:t xml:space="preserve">. </w:t>
      </w:r>
      <w:r w:rsidRPr="000C18D9">
        <w:rPr>
          <w:rFonts w:ascii="Cambria" w:hAnsi="Cambria"/>
          <w:sz w:val="20"/>
          <w:szCs w:val="20"/>
        </w:rPr>
        <w:t>These did not succeed</w:t>
      </w:r>
      <w:r>
        <w:rPr>
          <w:rFonts w:ascii="Cambria" w:hAnsi="Cambria"/>
          <w:sz w:val="20"/>
          <w:szCs w:val="20"/>
        </w:rPr>
        <w:t>, as</w:t>
      </w:r>
      <w:r w:rsidRPr="000C18D9">
        <w:rPr>
          <w:rFonts w:ascii="Cambria" w:hAnsi="Cambria"/>
          <w:sz w:val="20"/>
          <w:szCs w:val="20"/>
        </w:rPr>
        <w:t xml:space="preserve"> the national courts </w:t>
      </w:r>
      <w:r>
        <w:rPr>
          <w:rFonts w:ascii="Cambria" w:hAnsi="Cambria"/>
          <w:sz w:val="20"/>
          <w:szCs w:val="20"/>
        </w:rPr>
        <w:t>held</w:t>
      </w:r>
      <w:r w:rsidRPr="000C18D9">
        <w:rPr>
          <w:rFonts w:ascii="Cambria" w:hAnsi="Cambria"/>
          <w:sz w:val="20"/>
          <w:szCs w:val="20"/>
        </w:rPr>
        <w:t xml:space="preserve"> that the State was not responsible because it did not directly build the housing units; </w:t>
      </w:r>
      <w:r>
        <w:rPr>
          <w:rFonts w:ascii="Cambria" w:hAnsi="Cambria"/>
          <w:sz w:val="20"/>
          <w:szCs w:val="20"/>
        </w:rPr>
        <w:t xml:space="preserve">rather, a </w:t>
      </w:r>
      <w:r w:rsidRPr="000C18D9">
        <w:rPr>
          <w:rFonts w:ascii="Cambria" w:hAnsi="Cambria"/>
          <w:sz w:val="20"/>
          <w:szCs w:val="20"/>
        </w:rPr>
        <w:t>third part</w:t>
      </w:r>
      <w:r>
        <w:rPr>
          <w:rFonts w:ascii="Cambria" w:hAnsi="Cambria"/>
          <w:sz w:val="20"/>
          <w:szCs w:val="20"/>
        </w:rPr>
        <w:t>y</w:t>
      </w:r>
      <w:r w:rsidRPr="000C18D9">
        <w:rPr>
          <w:rFonts w:ascii="Cambria" w:hAnsi="Cambria"/>
          <w:sz w:val="20"/>
          <w:szCs w:val="20"/>
        </w:rPr>
        <w:t xml:space="preserve"> did. </w:t>
      </w:r>
      <w:r>
        <w:rPr>
          <w:rFonts w:ascii="Cambria" w:hAnsi="Cambria"/>
          <w:sz w:val="20"/>
          <w:szCs w:val="20"/>
        </w:rPr>
        <w:t xml:space="preserve">As a result, the alleged victims reportedly received no type of reparation from the State. </w:t>
      </w:r>
      <w:r w:rsidRPr="000C18D9">
        <w:rPr>
          <w:rFonts w:ascii="Cambria" w:hAnsi="Cambria"/>
          <w:sz w:val="20"/>
          <w:szCs w:val="20"/>
        </w:rPr>
        <w:t xml:space="preserve">In this report, the IACHR declared the case admissible with respect not only to certain articles of the American Convention but also to Article XI of the American Declaration (Right to the preservation of health and to well-being), which has no </w:t>
      </w:r>
      <w:r>
        <w:rPr>
          <w:rFonts w:ascii="Cambria" w:hAnsi="Cambria"/>
          <w:sz w:val="20"/>
          <w:szCs w:val="20"/>
        </w:rPr>
        <w:t>parallel provision</w:t>
      </w:r>
      <w:r w:rsidRPr="000C18D9">
        <w:rPr>
          <w:rFonts w:ascii="Cambria" w:hAnsi="Cambria"/>
          <w:sz w:val="20"/>
          <w:szCs w:val="20"/>
        </w:rPr>
        <w:t xml:space="preserve"> in the Convention. </w:t>
      </w:r>
      <w:r w:rsidRPr="00240BC4">
        <w:rPr>
          <w:rFonts w:ascii="Cambria" w:hAnsi="Cambria"/>
          <w:sz w:val="20"/>
          <w:szCs w:val="20"/>
        </w:rPr>
        <w:t xml:space="preserve">That article states: </w:t>
      </w:r>
      <w:r w:rsidRPr="00240BC4">
        <w:rPr>
          <w:rFonts w:ascii="Cambria" w:hAnsi="Cambria"/>
          <w:i/>
          <w:iCs/>
          <w:sz w:val="20"/>
          <w:szCs w:val="20"/>
        </w:rPr>
        <w:t>“Every person has the right to the preservation of his health through sanitary and social measures relating to…housing…, to the extent permitted by public and community resources.”</w:t>
      </w:r>
      <w:r w:rsidRPr="00240BC4">
        <w:rPr>
          <w:rFonts w:ascii="Cambria" w:hAnsi="Cambria"/>
          <w:sz w:val="20"/>
          <w:szCs w:val="20"/>
        </w:rPr>
        <w:t xml:space="preserve"> In the merits stage of this case, the IACHR will </w:t>
      </w:r>
      <w:r>
        <w:rPr>
          <w:rFonts w:ascii="Cambria" w:hAnsi="Cambria"/>
          <w:sz w:val="20"/>
          <w:szCs w:val="20"/>
        </w:rPr>
        <w:t xml:space="preserve">examine the allegations of fact </w:t>
      </w:r>
      <w:r w:rsidRPr="00240BC4">
        <w:rPr>
          <w:rFonts w:ascii="Cambria" w:hAnsi="Cambria"/>
          <w:sz w:val="20"/>
          <w:szCs w:val="20"/>
        </w:rPr>
        <w:t>in the light of the content and scope of Chile’s international obligations with respect</w:t>
      </w:r>
      <w:r>
        <w:rPr>
          <w:rFonts w:ascii="Cambria" w:hAnsi="Cambria"/>
          <w:sz w:val="20"/>
          <w:szCs w:val="20"/>
        </w:rPr>
        <w:t xml:space="preserve"> to economic, social, and cultural rights</w:t>
      </w:r>
      <w:r w:rsidRPr="00240BC4">
        <w:rPr>
          <w:rFonts w:ascii="Cambria" w:hAnsi="Cambria"/>
          <w:sz w:val="20"/>
          <w:szCs w:val="20"/>
        </w:rPr>
        <w:t>.</w:t>
      </w:r>
    </w:p>
    <w:p w14:paraId="17987EA5" w14:textId="77777777" w:rsidR="0057201B" w:rsidRPr="00240BC4" w:rsidRDefault="0057201B" w:rsidP="0057201B">
      <w:pPr>
        <w:pStyle w:val="BodyText"/>
        <w:ind w:left="1080"/>
        <w:jc w:val="both"/>
        <w:rPr>
          <w:b/>
        </w:rPr>
      </w:pPr>
    </w:p>
    <w:p w14:paraId="503F47DF" w14:textId="77777777" w:rsidR="0057201B" w:rsidRPr="00AE3A84" w:rsidRDefault="0057201B" w:rsidP="00933F91">
      <w:pPr>
        <w:pStyle w:val="BodyText"/>
        <w:widowControl/>
        <w:numPr>
          <w:ilvl w:val="0"/>
          <w:numId w:val="56"/>
        </w:numPr>
        <w:ind w:left="1440"/>
        <w:jc w:val="both"/>
        <w:rPr>
          <w:b/>
          <w:lang w:val="es-US"/>
        </w:rPr>
      </w:pPr>
      <w:r>
        <w:rPr>
          <w:b/>
          <w:lang w:val="es-US"/>
        </w:rPr>
        <w:t>Report</w:t>
      </w:r>
      <w:r w:rsidRPr="00AE3A84">
        <w:rPr>
          <w:b/>
          <w:lang w:val="es-US"/>
        </w:rPr>
        <w:t xml:space="preserve"> No. 164/22, P-2105-13 Zaida Mariaca Rada, Bolivia</w:t>
      </w:r>
    </w:p>
    <w:p w14:paraId="26B51E3D" w14:textId="77777777" w:rsidR="0057201B" w:rsidRPr="00AE3A84" w:rsidRDefault="0057201B" w:rsidP="0057201B">
      <w:pPr>
        <w:pStyle w:val="ListParagraph"/>
        <w:autoSpaceDE w:val="0"/>
        <w:autoSpaceDN w:val="0"/>
        <w:adjustRightInd w:val="0"/>
        <w:contextualSpacing w:val="0"/>
        <w:jc w:val="both"/>
        <w:rPr>
          <w:rFonts w:ascii="Cambria" w:hAnsi="Cambria"/>
          <w:sz w:val="20"/>
          <w:szCs w:val="20"/>
          <w:lang w:val="es-US"/>
        </w:rPr>
      </w:pPr>
    </w:p>
    <w:p w14:paraId="0D55D70A" w14:textId="77777777" w:rsidR="0057201B" w:rsidRPr="00503F8B" w:rsidRDefault="0057201B" w:rsidP="00933F91">
      <w:pPr>
        <w:pStyle w:val="ListParagraph"/>
        <w:numPr>
          <w:ilvl w:val="0"/>
          <w:numId w:val="58"/>
        </w:numPr>
        <w:autoSpaceDE w:val="0"/>
        <w:autoSpaceDN w:val="0"/>
        <w:adjustRightInd w:val="0"/>
        <w:ind w:left="0" w:firstLine="720"/>
        <w:contextualSpacing w:val="0"/>
        <w:jc w:val="both"/>
        <w:rPr>
          <w:rFonts w:ascii="Cambria" w:hAnsi="Cambria"/>
          <w:sz w:val="20"/>
          <w:szCs w:val="20"/>
        </w:rPr>
      </w:pPr>
      <w:r w:rsidRPr="00144BCF">
        <w:rPr>
          <w:rFonts w:ascii="Cambria" w:hAnsi="Cambria"/>
          <w:sz w:val="20"/>
          <w:szCs w:val="20"/>
        </w:rPr>
        <w:t xml:space="preserve">The petitioners request that the Bolivian State be </w:t>
      </w:r>
      <w:r>
        <w:rPr>
          <w:rFonts w:ascii="Cambria" w:hAnsi="Cambria"/>
          <w:sz w:val="20"/>
          <w:szCs w:val="20"/>
        </w:rPr>
        <w:t>found</w:t>
      </w:r>
      <w:r w:rsidRPr="00144BCF">
        <w:rPr>
          <w:rFonts w:ascii="Cambria" w:hAnsi="Cambria"/>
          <w:sz w:val="20"/>
          <w:szCs w:val="20"/>
        </w:rPr>
        <w:t xml:space="preserve"> internationally responsible for violating the human rights of Mrs. </w:t>
      </w:r>
      <w:r>
        <w:rPr>
          <w:rFonts w:ascii="Cambria" w:hAnsi="Cambria"/>
          <w:sz w:val="20"/>
          <w:szCs w:val="20"/>
        </w:rPr>
        <w:t xml:space="preserve">Zaida </w:t>
      </w:r>
      <w:r w:rsidRPr="00144BCF">
        <w:rPr>
          <w:rFonts w:ascii="Cambria" w:hAnsi="Cambria"/>
          <w:sz w:val="20"/>
          <w:szCs w:val="20"/>
        </w:rPr>
        <w:t xml:space="preserve">Mariaca Rada during the </w:t>
      </w:r>
      <w:r>
        <w:rPr>
          <w:rFonts w:ascii="Cambria" w:hAnsi="Cambria"/>
          <w:sz w:val="20"/>
          <w:szCs w:val="20"/>
        </w:rPr>
        <w:t>selection process</w:t>
      </w:r>
      <w:r w:rsidRPr="00144BCF">
        <w:rPr>
          <w:rFonts w:ascii="Cambria" w:hAnsi="Cambria"/>
          <w:sz w:val="20"/>
          <w:szCs w:val="20"/>
        </w:rPr>
        <w:t xml:space="preserve"> </w:t>
      </w:r>
      <w:r>
        <w:rPr>
          <w:rFonts w:ascii="Cambria" w:hAnsi="Cambria"/>
          <w:sz w:val="20"/>
          <w:szCs w:val="20"/>
        </w:rPr>
        <w:t>for</w:t>
      </w:r>
      <w:r w:rsidRPr="00144BCF">
        <w:rPr>
          <w:rFonts w:ascii="Cambria" w:hAnsi="Cambria"/>
          <w:sz w:val="20"/>
          <w:szCs w:val="20"/>
        </w:rPr>
        <w:t xml:space="preserve"> candidates to </w:t>
      </w:r>
      <w:r>
        <w:rPr>
          <w:rFonts w:ascii="Cambria" w:hAnsi="Cambria"/>
          <w:sz w:val="20"/>
          <w:szCs w:val="20"/>
        </w:rPr>
        <w:t>be promoted</w:t>
      </w:r>
      <w:r w:rsidRPr="00144BCF">
        <w:rPr>
          <w:rFonts w:ascii="Cambria" w:hAnsi="Cambria"/>
          <w:sz w:val="20"/>
          <w:szCs w:val="20"/>
        </w:rPr>
        <w:t xml:space="preserve"> to the rank of gener</w:t>
      </w:r>
      <w:r>
        <w:rPr>
          <w:rFonts w:ascii="Cambria" w:hAnsi="Cambria"/>
          <w:sz w:val="20"/>
          <w:szCs w:val="20"/>
        </w:rPr>
        <w:t xml:space="preserve">al in the Bolivian National Police. </w:t>
      </w:r>
      <w:r w:rsidRPr="00503F8B">
        <w:rPr>
          <w:rFonts w:ascii="Cambria" w:hAnsi="Cambria"/>
          <w:sz w:val="20"/>
          <w:szCs w:val="20"/>
        </w:rPr>
        <w:t xml:space="preserve">In the course of the proceedings before the IACHR, the petitioners </w:t>
      </w:r>
      <w:r>
        <w:rPr>
          <w:rFonts w:ascii="Cambria" w:hAnsi="Cambria"/>
          <w:sz w:val="20"/>
          <w:szCs w:val="20"/>
        </w:rPr>
        <w:t>brought up</w:t>
      </w:r>
      <w:r w:rsidRPr="00503F8B">
        <w:rPr>
          <w:rFonts w:ascii="Cambria" w:hAnsi="Cambria"/>
          <w:sz w:val="20"/>
          <w:szCs w:val="20"/>
        </w:rPr>
        <w:t xml:space="preserve"> concrete factors </w:t>
      </w:r>
      <w:r>
        <w:rPr>
          <w:rFonts w:ascii="Cambria" w:hAnsi="Cambria"/>
          <w:sz w:val="20"/>
          <w:szCs w:val="20"/>
        </w:rPr>
        <w:t xml:space="preserve">purporting to indicate that the </w:t>
      </w:r>
      <w:r w:rsidRPr="00503F8B">
        <w:rPr>
          <w:rFonts w:ascii="Cambria" w:hAnsi="Cambria"/>
          <w:sz w:val="20"/>
          <w:szCs w:val="20"/>
        </w:rPr>
        <w:t xml:space="preserve">alleged victim </w:t>
      </w:r>
      <w:r>
        <w:rPr>
          <w:rFonts w:ascii="Cambria" w:hAnsi="Cambria"/>
          <w:sz w:val="20"/>
          <w:szCs w:val="20"/>
        </w:rPr>
        <w:t>was</w:t>
      </w:r>
      <w:r w:rsidRPr="00503F8B">
        <w:rPr>
          <w:rFonts w:ascii="Cambria" w:hAnsi="Cambria"/>
          <w:sz w:val="20"/>
          <w:szCs w:val="20"/>
        </w:rPr>
        <w:t xml:space="preserve"> the </w:t>
      </w:r>
      <w:r>
        <w:rPr>
          <w:rFonts w:ascii="Cambria" w:hAnsi="Cambria"/>
          <w:sz w:val="20"/>
          <w:szCs w:val="20"/>
        </w:rPr>
        <w:t>subject</w:t>
      </w:r>
      <w:r w:rsidRPr="00503F8B">
        <w:rPr>
          <w:rFonts w:ascii="Cambria" w:hAnsi="Cambria"/>
          <w:sz w:val="20"/>
          <w:szCs w:val="20"/>
        </w:rPr>
        <w:t xml:space="preserve"> of discriminatory treatment by the high police command</w:t>
      </w:r>
      <w:r>
        <w:rPr>
          <w:rFonts w:ascii="Cambria" w:hAnsi="Cambria"/>
          <w:sz w:val="20"/>
          <w:szCs w:val="20"/>
        </w:rPr>
        <w:t xml:space="preserve"> in the</w:t>
      </w:r>
      <w:r w:rsidRPr="00503F8B">
        <w:rPr>
          <w:rFonts w:ascii="Cambria" w:hAnsi="Cambria"/>
          <w:sz w:val="20"/>
          <w:szCs w:val="20"/>
        </w:rPr>
        <w:t xml:space="preserve"> </w:t>
      </w:r>
      <w:r w:rsidRPr="007F1052">
        <w:rPr>
          <w:rFonts w:ascii="Cambria" w:hAnsi="Cambria"/>
          <w:sz w:val="20"/>
          <w:szCs w:val="20"/>
        </w:rPr>
        <w:t xml:space="preserve">procedures followed </w:t>
      </w:r>
      <w:r>
        <w:rPr>
          <w:rFonts w:ascii="Cambria" w:hAnsi="Cambria"/>
          <w:sz w:val="20"/>
          <w:szCs w:val="20"/>
        </w:rPr>
        <w:t>for</w:t>
      </w:r>
      <w:r w:rsidRPr="007F1052">
        <w:rPr>
          <w:rFonts w:ascii="Cambria" w:hAnsi="Cambria"/>
          <w:sz w:val="20"/>
          <w:szCs w:val="20"/>
        </w:rPr>
        <w:t xml:space="preserve"> promotions,</w:t>
      </w:r>
      <w:r>
        <w:rPr>
          <w:rFonts w:ascii="Cambria" w:hAnsi="Cambria"/>
          <w:sz w:val="20"/>
          <w:szCs w:val="20"/>
        </w:rPr>
        <w:t xml:space="preserve"> and that</w:t>
      </w:r>
      <w:r w:rsidRPr="00503F8B">
        <w:rPr>
          <w:rFonts w:ascii="Cambria" w:hAnsi="Cambria"/>
          <w:sz w:val="20"/>
          <w:szCs w:val="20"/>
        </w:rPr>
        <w:t xml:space="preserve"> a series of </w:t>
      </w:r>
      <w:r>
        <w:rPr>
          <w:rFonts w:ascii="Cambria" w:hAnsi="Cambria"/>
          <w:sz w:val="20"/>
          <w:szCs w:val="20"/>
        </w:rPr>
        <w:t>tactics</w:t>
      </w:r>
      <w:r w:rsidRPr="00503F8B">
        <w:rPr>
          <w:rFonts w:ascii="Cambria" w:hAnsi="Cambria"/>
          <w:sz w:val="20"/>
          <w:szCs w:val="20"/>
        </w:rPr>
        <w:t xml:space="preserve"> and tricks </w:t>
      </w:r>
      <w:r>
        <w:rPr>
          <w:rFonts w:ascii="Cambria" w:hAnsi="Cambria"/>
          <w:sz w:val="20"/>
          <w:szCs w:val="20"/>
        </w:rPr>
        <w:t xml:space="preserve">were used </w:t>
      </w:r>
      <w:r w:rsidRPr="00503F8B">
        <w:rPr>
          <w:rFonts w:ascii="Cambria" w:hAnsi="Cambria"/>
          <w:sz w:val="20"/>
          <w:szCs w:val="20"/>
        </w:rPr>
        <w:t>to disqualify her time and again. The petitioners claim that this was all part of an even broader pattern of workplace harassment against the alleged victim withi</w:t>
      </w:r>
      <w:r>
        <w:rPr>
          <w:rFonts w:ascii="Cambria" w:hAnsi="Cambria"/>
          <w:sz w:val="20"/>
          <w:szCs w:val="20"/>
        </w:rPr>
        <w:t xml:space="preserve">n the police institution. </w:t>
      </w:r>
      <w:r w:rsidRPr="00503F8B">
        <w:rPr>
          <w:rFonts w:ascii="Cambria" w:hAnsi="Cambria"/>
          <w:sz w:val="20"/>
          <w:szCs w:val="20"/>
        </w:rPr>
        <w:t xml:space="preserve">This </w:t>
      </w:r>
      <w:r>
        <w:rPr>
          <w:rFonts w:ascii="Cambria" w:hAnsi="Cambria"/>
          <w:sz w:val="20"/>
          <w:szCs w:val="20"/>
        </w:rPr>
        <w:t>is thus a case</w:t>
      </w:r>
      <w:r w:rsidRPr="00503F8B">
        <w:rPr>
          <w:rFonts w:ascii="Cambria" w:hAnsi="Cambria"/>
          <w:sz w:val="20"/>
          <w:szCs w:val="20"/>
        </w:rPr>
        <w:t xml:space="preserve"> in which the events being alleged revolve around the </w:t>
      </w:r>
      <w:r>
        <w:rPr>
          <w:rFonts w:ascii="Cambria" w:hAnsi="Cambria"/>
          <w:sz w:val="20"/>
          <w:szCs w:val="20"/>
        </w:rPr>
        <w:t>reported</w:t>
      </w:r>
      <w:r w:rsidRPr="00503F8B">
        <w:rPr>
          <w:rFonts w:ascii="Cambria" w:hAnsi="Cambria"/>
          <w:sz w:val="20"/>
          <w:szCs w:val="20"/>
        </w:rPr>
        <w:t xml:space="preserve"> violation of th</w:t>
      </w:r>
      <w:r>
        <w:rPr>
          <w:rFonts w:ascii="Cambria" w:hAnsi="Cambria"/>
          <w:sz w:val="20"/>
          <w:szCs w:val="20"/>
        </w:rPr>
        <w:t>e alleged victim’s right to equality under the law; it is also alleged that the rights to a fair trial and to judicial protection were violated.</w:t>
      </w:r>
    </w:p>
    <w:p w14:paraId="31275C0C" w14:textId="77777777" w:rsidR="0057201B" w:rsidRPr="00503F8B" w:rsidRDefault="0057201B" w:rsidP="0057201B">
      <w:pPr>
        <w:pStyle w:val="ListParagraph"/>
        <w:autoSpaceDE w:val="0"/>
        <w:autoSpaceDN w:val="0"/>
        <w:adjustRightInd w:val="0"/>
        <w:contextualSpacing w:val="0"/>
        <w:jc w:val="both"/>
        <w:rPr>
          <w:rFonts w:ascii="Cambria" w:hAnsi="Cambria"/>
          <w:sz w:val="20"/>
          <w:szCs w:val="20"/>
        </w:rPr>
      </w:pPr>
    </w:p>
    <w:p w14:paraId="4E0301CA" w14:textId="31AF9B6F" w:rsidR="0057201B" w:rsidRPr="00C45D2E" w:rsidRDefault="0057201B" w:rsidP="00933F91">
      <w:pPr>
        <w:pStyle w:val="BodyText"/>
        <w:widowControl/>
        <w:numPr>
          <w:ilvl w:val="0"/>
          <w:numId w:val="56"/>
        </w:numPr>
        <w:ind w:left="1440"/>
        <w:jc w:val="both"/>
        <w:rPr>
          <w:b/>
        </w:rPr>
      </w:pPr>
      <w:r w:rsidRPr="004E06E3">
        <w:rPr>
          <w:b/>
        </w:rPr>
        <w:t xml:space="preserve">Report No. 246/22, P-1518-18 Luis Alberto Sobalvarro </w:t>
      </w:r>
      <w:r w:rsidRPr="00C45D2E">
        <w:rPr>
          <w:b/>
        </w:rPr>
        <w:t xml:space="preserve">Herrera and Relatives; Report No. 254/22, P-2432-18 Raynéia Gabrielle da Costa Lima Rocha and her </w:t>
      </w:r>
      <w:r w:rsidR="00242756" w:rsidRPr="00C45D2E">
        <w:rPr>
          <w:b/>
        </w:rPr>
        <w:t>mother</w:t>
      </w:r>
      <w:r w:rsidRPr="00C45D2E">
        <w:rPr>
          <w:b/>
        </w:rPr>
        <w:t>; Report No. 312/22, P-1224-18 Edgard Hernández Torres; and Report No. 144/22, P-2150-18 Vicente Rappaccioli, all with respect to Nicaragua</w:t>
      </w:r>
    </w:p>
    <w:p w14:paraId="64687C85" w14:textId="77777777" w:rsidR="0057201B" w:rsidRPr="00B51185" w:rsidRDefault="0057201B" w:rsidP="0057201B">
      <w:pPr>
        <w:pStyle w:val="ListParagraph"/>
        <w:autoSpaceDE w:val="0"/>
        <w:autoSpaceDN w:val="0"/>
        <w:adjustRightInd w:val="0"/>
        <w:contextualSpacing w:val="0"/>
        <w:jc w:val="both"/>
        <w:rPr>
          <w:rFonts w:ascii="Cambria" w:hAnsi="Cambria"/>
          <w:sz w:val="20"/>
          <w:szCs w:val="20"/>
        </w:rPr>
      </w:pPr>
    </w:p>
    <w:p w14:paraId="177DE7DD" w14:textId="77777777" w:rsidR="0057201B" w:rsidRPr="00B12EC9" w:rsidRDefault="0057201B" w:rsidP="00933F91">
      <w:pPr>
        <w:pStyle w:val="ListParagraph"/>
        <w:numPr>
          <w:ilvl w:val="0"/>
          <w:numId w:val="58"/>
        </w:numPr>
        <w:autoSpaceDE w:val="0"/>
        <w:autoSpaceDN w:val="0"/>
        <w:adjustRightInd w:val="0"/>
        <w:ind w:left="0" w:firstLine="720"/>
        <w:contextualSpacing w:val="0"/>
        <w:jc w:val="both"/>
        <w:rPr>
          <w:rFonts w:ascii="Cambria" w:hAnsi="Cambria"/>
          <w:sz w:val="20"/>
          <w:szCs w:val="20"/>
        </w:rPr>
      </w:pPr>
      <w:r w:rsidRPr="00B12EC9">
        <w:rPr>
          <w:rFonts w:ascii="Cambria" w:hAnsi="Cambria"/>
          <w:sz w:val="20"/>
          <w:szCs w:val="20"/>
        </w:rPr>
        <w:t xml:space="preserve">These four petitions, which the IACHR examined in connection with the priority attention it has given to events in Nicaragua </w:t>
      </w:r>
      <w:r>
        <w:rPr>
          <w:rFonts w:ascii="Cambria" w:hAnsi="Cambria"/>
          <w:sz w:val="20"/>
          <w:szCs w:val="20"/>
        </w:rPr>
        <w:t>since</w:t>
      </w:r>
      <w:r w:rsidRPr="00B12EC9">
        <w:rPr>
          <w:rFonts w:ascii="Cambria" w:hAnsi="Cambria"/>
          <w:sz w:val="20"/>
          <w:szCs w:val="20"/>
        </w:rPr>
        <w:t xml:space="preserve"> the April 2018 protests, allege acts that share certain</w:t>
      </w:r>
      <w:r>
        <w:rPr>
          <w:rFonts w:ascii="Cambria" w:hAnsi="Cambria"/>
          <w:sz w:val="20"/>
          <w:szCs w:val="20"/>
        </w:rPr>
        <w:t xml:space="preserve"> aspects </w:t>
      </w:r>
      <w:r w:rsidRPr="00B12EC9">
        <w:rPr>
          <w:rFonts w:ascii="Cambria" w:hAnsi="Cambria"/>
          <w:sz w:val="20"/>
          <w:szCs w:val="20"/>
        </w:rPr>
        <w:t>characteristic</w:t>
      </w:r>
      <w:r>
        <w:rPr>
          <w:rFonts w:ascii="Cambria" w:hAnsi="Cambria"/>
          <w:sz w:val="20"/>
          <w:szCs w:val="20"/>
        </w:rPr>
        <w:t xml:space="preserve"> of</w:t>
      </w:r>
      <w:r w:rsidRPr="00B12EC9">
        <w:rPr>
          <w:rFonts w:ascii="Cambria" w:hAnsi="Cambria"/>
          <w:sz w:val="20"/>
          <w:szCs w:val="20"/>
        </w:rPr>
        <w:t xml:space="preserve"> this context of political violence. These include, for example, that the alleged victims were executed or gravely wounded by members of the police or paramilitary groups with ties to the government; </w:t>
      </w:r>
      <w:r w:rsidRPr="00B12EC9">
        <w:rPr>
          <w:rFonts w:ascii="Cambria" w:hAnsi="Cambria"/>
          <w:sz w:val="20"/>
          <w:szCs w:val="20"/>
        </w:rPr>
        <w:lastRenderedPageBreak/>
        <w:t xml:space="preserve">that </w:t>
      </w:r>
      <w:r>
        <w:rPr>
          <w:rFonts w:ascii="Cambria" w:hAnsi="Cambria"/>
          <w:sz w:val="20"/>
          <w:szCs w:val="20"/>
        </w:rPr>
        <w:t>they</w:t>
      </w:r>
      <w:r w:rsidRPr="00B12EC9">
        <w:rPr>
          <w:rFonts w:ascii="Cambria" w:hAnsi="Cambria"/>
          <w:sz w:val="20"/>
          <w:szCs w:val="20"/>
        </w:rPr>
        <w:t xml:space="preserve"> were attacked with firearms; that in some cases they received deficient medical </w:t>
      </w:r>
      <w:r>
        <w:rPr>
          <w:rFonts w:ascii="Cambria" w:hAnsi="Cambria"/>
          <w:sz w:val="20"/>
          <w:szCs w:val="20"/>
        </w:rPr>
        <w:t>care</w:t>
      </w:r>
      <w:r w:rsidRPr="00B12EC9">
        <w:rPr>
          <w:rFonts w:ascii="Cambria" w:hAnsi="Cambria"/>
          <w:sz w:val="20"/>
          <w:szCs w:val="20"/>
        </w:rPr>
        <w:t xml:space="preserve"> or </w:t>
      </w:r>
      <w:r>
        <w:rPr>
          <w:rFonts w:ascii="Cambria" w:hAnsi="Cambria"/>
          <w:sz w:val="20"/>
          <w:szCs w:val="20"/>
        </w:rPr>
        <w:t xml:space="preserve">were treated with </w:t>
      </w:r>
      <w:r w:rsidRPr="00B12EC9">
        <w:rPr>
          <w:rFonts w:ascii="Cambria" w:hAnsi="Cambria"/>
          <w:sz w:val="20"/>
          <w:szCs w:val="20"/>
        </w:rPr>
        <w:t>open</w:t>
      </w:r>
      <w:r>
        <w:rPr>
          <w:rFonts w:ascii="Cambria" w:hAnsi="Cambria"/>
          <w:sz w:val="20"/>
          <w:szCs w:val="20"/>
        </w:rPr>
        <w:t xml:space="preserve"> hostility </w:t>
      </w:r>
      <w:r w:rsidRPr="00B12EC9">
        <w:rPr>
          <w:rFonts w:ascii="Cambria" w:hAnsi="Cambria"/>
          <w:sz w:val="20"/>
          <w:szCs w:val="20"/>
        </w:rPr>
        <w:t xml:space="preserve">in public hospitals; that the investigations were closed based on Law No. 996 </w:t>
      </w:r>
      <w:r>
        <w:rPr>
          <w:rFonts w:ascii="Cambria" w:hAnsi="Cambria"/>
          <w:sz w:val="20"/>
          <w:szCs w:val="20"/>
        </w:rPr>
        <w:t xml:space="preserve">of June </w:t>
      </w:r>
      <w:r w:rsidRPr="00B12EC9">
        <w:rPr>
          <w:rFonts w:ascii="Cambria" w:hAnsi="Cambria"/>
          <w:sz w:val="20"/>
          <w:szCs w:val="20"/>
        </w:rPr>
        <w:t>10</w:t>
      </w:r>
      <w:r>
        <w:rPr>
          <w:rFonts w:ascii="Cambria" w:hAnsi="Cambria"/>
          <w:sz w:val="20"/>
          <w:szCs w:val="20"/>
        </w:rPr>
        <w:t>,</w:t>
      </w:r>
      <w:r w:rsidRPr="00B12EC9">
        <w:rPr>
          <w:rFonts w:ascii="Cambria" w:hAnsi="Cambria"/>
          <w:sz w:val="20"/>
          <w:szCs w:val="20"/>
        </w:rPr>
        <w:t xml:space="preserve"> 2019</w:t>
      </w:r>
      <w:r>
        <w:rPr>
          <w:rFonts w:ascii="Cambria" w:hAnsi="Cambria"/>
          <w:sz w:val="20"/>
          <w:szCs w:val="20"/>
        </w:rPr>
        <w:t>,</w:t>
      </w:r>
      <w:r w:rsidRPr="00B12EC9">
        <w:rPr>
          <w:rFonts w:ascii="Cambria" w:hAnsi="Cambria"/>
          <w:sz w:val="20"/>
          <w:szCs w:val="20"/>
        </w:rPr>
        <w:t xml:space="preserve"> o</w:t>
      </w:r>
      <w:r>
        <w:rPr>
          <w:rFonts w:ascii="Cambria" w:hAnsi="Cambria"/>
          <w:sz w:val="20"/>
          <w:szCs w:val="20"/>
        </w:rPr>
        <w:t>r the “Amnesty law”; and that</w:t>
      </w:r>
      <w:r w:rsidRPr="00B12EC9">
        <w:rPr>
          <w:rFonts w:ascii="Cambria" w:hAnsi="Cambria"/>
          <w:sz w:val="20"/>
          <w:szCs w:val="20"/>
        </w:rPr>
        <w:t xml:space="preserve"> </w:t>
      </w:r>
      <w:r>
        <w:rPr>
          <w:rFonts w:ascii="Cambria" w:hAnsi="Cambria"/>
          <w:sz w:val="20"/>
          <w:szCs w:val="20"/>
        </w:rPr>
        <w:t>i</w:t>
      </w:r>
      <w:r w:rsidRPr="00B12EC9">
        <w:rPr>
          <w:rFonts w:ascii="Cambria" w:hAnsi="Cambria"/>
          <w:sz w:val="20"/>
          <w:szCs w:val="20"/>
        </w:rPr>
        <w:t xml:space="preserve">n the case of Raynéia Gabrielle da Costa Lima Rocha, </w:t>
      </w:r>
      <w:r>
        <w:rPr>
          <w:rFonts w:ascii="Cambria" w:hAnsi="Cambria"/>
          <w:sz w:val="20"/>
          <w:szCs w:val="20"/>
        </w:rPr>
        <w:t>the person responsible for her execution was pardoned the year after he was convicted based on that same law</w:t>
      </w:r>
      <w:r w:rsidRPr="00B12EC9">
        <w:rPr>
          <w:rFonts w:ascii="Cambria" w:hAnsi="Cambria"/>
          <w:sz w:val="20"/>
          <w:szCs w:val="20"/>
        </w:rPr>
        <w:t xml:space="preserve">. </w:t>
      </w:r>
    </w:p>
    <w:p w14:paraId="5434D231" w14:textId="77777777" w:rsidR="0057201B" w:rsidRPr="00B12EC9" w:rsidRDefault="0057201B" w:rsidP="0057201B">
      <w:pPr>
        <w:pStyle w:val="BodyText"/>
        <w:ind w:left="1080"/>
        <w:jc w:val="both"/>
        <w:rPr>
          <w:b/>
        </w:rPr>
      </w:pPr>
    </w:p>
    <w:p w14:paraId="09707187" w14:textId="77777777" w:rsidR="0057201B" w:rsidRPr="00A31360" w:rsidRDefault="0057201B" w:rsidP="00933F91">
      <w:pPr>
        <w:pStyle w:val="BodyText"/>
        <w:widowControl/>
        <w:numPr>
          <w:ilvl w:val="0"/>
          <w:numId w:val="56"/>
        </w:numPr>
        <w:ind w:left="1440"/>
        <w:jc w:val="both"/>
        <w:rPr>
          <w:b/>
        </w:rPr>
      </w:pPr>
      <w:r w:rsidRPr="00A31360">
        <w:rPr>
          <w:b/>
        </w:rPr>
        <w:t>Report No. 238/22, P-106-14 Amber Anderson et al.; and Report No. 290/22, P-2340-15, Carla Butcher et al., both petitions agains</w:t>
      </w:r>
      <w:r>
        <w:rPr>
          <w:b/>
        </w:rPr>
        <w:t xml:space="preserve">t the United States </w:t>
      </w:r>
    </w:p>
    <w:p w14:paraId="39C005B6" w14:textId="77777777" w:rsidR="0057201B" w:rsidRPr="00A31360" w:rsidRDefault="0057201B" w:rsidP="0057201B">
      <w:pPr>
        <w:pStyle w:val="BodyText"/>
        <w:ind w:left="1080"/>
        <w:jc w:val="both"/>
        <w:rPr>
          <w:b/>
        </w:rPr>
      </w:pPr>
    </w:p>
    <w:p w14:paraId="16A7DD67" w14:textId="61AF5535" w:rsidR="0057201B" w:rsidRPr="00A31360" w:rsidRDefault="0057201B" w:rsidP="00933F91">
      <w:pPr>
        <w:pStyle w:val="ListParagraph"/>
        <w:numPr>
          <w:ilvl w:val="0"/>
          <w:numId w:val="58"/>
        </w:numPr>
        <w:autoSpaceDE w:val="0"/>
        <w:autoSpaceDN w:val="0"/>
        <w:adjustRightInd w:val="0"/>
        <w:ind w:left="0" w:firstLine="720"/>
        <w:contextualSpacing w:val="0"/>
        <w:jc w:val="both"/>
        <w:rPr>
          <w:rFonts w:ascii="Cambria" w:hAnsi="Cambria"/>
          <w:sz w:val="20"/>
          <w:szCs w:val="20"/>
        </w:rPr>
      </w:pPr>
      <w:r w:rsidRPr="00A31360">
        <w:rPr>
          <w:rFonts w:ascii="Cambria" w:hAnsi="Cambria"/>
          <w:sz w:val="20"/>
          <w:szCs w:val="20"/>
        </w:rPr>
        <w:t>Both petitions claim that the alleged victims were target</w:t>
      </w:r>
      <w:r>
        <w:rPr>
          <w:rFonts w:ascii="Cambria" w:hAnsi="Cambria"/>
          <w:sz w:val="20"/>
          <w:szCs w:val="20"/>
        </w:rPr>
        <w:t>s</w:t>
      </w:r>
      <w:r w:rsidRPr="00A31360">
        <w:rPr>
          <w:rFonts w:ascii="Cambria" w:hAnsi="Cambria"/>
          <w:sz w:val="20"/>
          <w:szCs w:val="20"/>
        </w:rPr>
        <w:t xml:space="preserve"> of different acts of sexual violence within the United States Army, acts </w:t>
      </w:r>
      <w:r>
        <w:rPr>
          <w:rFonts w:ascii="Cambria" w:hAnsi="Cambria"/>
          <w:sz w:val="20"/>
          <w:szCs w:val="20"/>
        </w:rPr>
        <w:t>said to</w:t>
      </w:r>
      <w:r w:rsidRPr="00A31360">
        <w:rPr>
          <w:rFonts w:ascii="Cambria" w:hAnsi="Cambria"/>
          <w:sz w:val="20"/>
          <w:szCs w:val="20"/>
        </w:rPr>
        <w:t xml:space="preserve"> range from situations of workplace and sexual harassment to rape</w:t>
      </w:r>
      <w:r>
        <w:rPr>
          <w:rFonts w:ascii="Cambria" w:hAnsi="Cambria"/>
          <w:sz w:val="20"/>
          <w:szCs w:val="20"/>
        </w:rPr>
        <w:t xml:space="preserve">. </w:t>
      </w:r>
      <w:r w:rsidRPr="00A31360">
        <w:rPr>
          <w:rFonts w:ascii="Cambria" w:hAnsi="Cambria"/>
          <w:sz w:val="20"/>
          <w:szCs w:val="20"/>
        </w:rPr>
        <w:t xml:space="preserve">Most of these acts </w:t>
      </w:r>
      <w:r>
        <w:rPr>
          <w:rFonts w:ascii="Cambria" w:hAnsi="Cambria"/>
          <w:sz w:val="20"/>
          <w:szCs w:val="20"/>
        </w:rPr>
        <w:t>reportedly</w:t>
      </w:r>
      <w:r w:rsidRPr="00A31360">
        <w:rPr>
          <w:rFonts w:ascii="Cambria" w:hAnsi="Cambria"/>
          <w:sz w:val="20"/>
          <w:szCs w:val="20"/>
        </w:rPr>
        <w:t xml:space="preserve"> occurred between 2000 and 2010 in different branches of the armed forces, and their common denominator </w:t>
      </w:r>
      <w:r>
        <w:rPr>
          <w:rFonts w:ascii="Cambria" w:hAnsi="Cambria"/>
          <w:sz w:val="20"/>
          <w:szCs w:val="20"/>
        </w:rPr>
        <w:t xml:space="preserve">seems to be </w:t>
      </w:r>
      <w:r w:rsidRPr="00A31360">
        <w:rPr>
          <w:rFonts w:ascii="Cambria" w:hAnsi="Cambria"/>
          <w:sz w:val="20"/>
          <w:szCs w:val="20"/>
        </w:rPr>
        <w:t xml:space="preserve">the lack of effective mechanisms </w:t>
      </w:r>
      <w:r>
        <w:rPr>
          <w:rFonts w:ascii="Cambria" w:hAnsi="Cambria"/>
          <w:sz w:val="20"/>
          <w:szCs w:val="20"/>
        </w:rPr>
        <w:t xml:space="preserve">for the alleged victims, </w:t>
      </w:r>
      <w:r w:rsidRPr="00A31360">
        <w:rPr>
          <w:rFonts w:ascii="Cambria" w:hAnsi="Cambria"/>
          <w:sz w:val="20"/>
          <w:szCs w:val="20"/>
        </w:rPr>
        <w:t xml:space="preserve">both to report the </w:t>
      </w:r>
      <w:r>
        <w:rPr>
          <w:rFonts w:ascii="Cambria" w:hAnsi="Cambria"/>
          <w:sz w:val="20"/>
          <w:szCs w:val="20"/>
        </w:rPr>
        <w:t>incidents</w:t>
      </w:r>
      <w:r w:rsidRPr="00A31360">
        <w:rPr>
          <w:rFonts w:ascii="Cambria" w:hAnsi="Cambria"/>
          <w:sz w:val="20"/>
          <w:szCs w:val="20"/>
        </w:rPr>
        <w:t xml:space="preserve"> as well as to fi</w:t>
      </w:r>
      <w:r>
        <w:rPr>
          <w:rFonts w:ascii="Cambria" w:hAnsi="Cambria"/>
          <w:sz w:val="20"/>
          <w:szCs w:val="20"/>
        </w:rPr>
        <w:t xml:space="preserve">nd some form of help or support in view of what they suffered. </w:t>
      </w:r>
      <w:r w:rsidRPr="00A31360">
        <w:rPr>
          <w:rFonts w:ascii="Cambria" w:hAnsi="Cambria"/>
          <w:sz w:val="20"/>
          <w:szCs w:val="20"/>
        </w:rPr>
        <w:t xml:space="preserve">Likewise, most of the alleged victims in these petitions are said to have lingering effects such as post-traumatic stress, depression, and anxiety. Another common denominator in the cases </w:t>
      </w:r>
      <w:r>
        <w:rPr>
          <w:rFonts w:ascii="Cambria" w:hAnsi="Cambria"/>
          <w:sz w:val="20"/>
          <w:szCs w:val="20"/>
        </w:rPr>
        <w:t>laid out</w:t>
      </w:r>
      <w:r w:rsidRPr="00A31360">
        <w:rPr>
          <w:rFonts w:ascii="Cambria" w:hAnsi="Cambria"/>
          <w:sz w:val="20"/>
          <w:szCs w:val="20"/>
        </w:rPr>
        <w:t xml:space="preserve"> in these two petiti</w:t>
      </w:r>
      <w:r>
        <w:rPr>
          <w:rFonts w:ascii="Cambria" w:hAnsi="Cambria"/>
          <w:sz w:val="20"/>
          <w:szCs w:val="20"/>
        </w:rPr>
        <w:t xml:space="preserve">ons appears to be a failure to conduct a proper investigation and punish those said to be responsible for the acts perpetrated against the alleged victims. </w:t>
      </w:r>
      <w:r w:rsidRPr="00A31360">
        <w:rPr>
          <w:rFonts w:ascii="Cambria" w:hAnsi="Cambria"/>
          <w:sz w:val="20"/>
          <w:szCs w:val="20"/>
        </w:rPr>
        <w:t xml:space="preserve">These cases of sexual violence within or between </w:t>
      </w:r>
      <w:r w:rsidR="00242756" w:rsidRPr="00A31360">
        <w:rPr>
          <w:rFonts w:ascii="Cambria" w:hAnsi="Cambria"/>
          <w:sz w:val="20"/>
          <w:szCs w:val="20"/>
        </w:rPr>
        <w:t>ranks of</w:t>
      </w:r>
      <w:r w:rsidRPr="00A31360">
        <w:rPr>
          <w:rFonts w:ascii="Cambria" w:hAnsi="Cambria"/>
          <w:sz w:val="20"/>
          <w:szCs w:val="20"/>
        </w:rPr>
        <w:t xml:space="preserve"> the armed forces will give the IACHR the opportunity to rule on the merits with regard</w:t>
      </w:r>
      <w:r>
        <w:rPr>
          <w:rFonts w:ascii="Cambria" w:hAnsi="Cambria"/>
          <w:sz w:val="20"/>
          <w:szCs w:val="20"/>
        </w:rPr>
        <w:t xml:space="preserve"> to a serious problem that affects many countries in the region</w:t>
      </w:r>
      <w:r w:rsidRPr="00A31360">
        <w:rPr>
          <w:rFonts w:ascii="Cambria" w:hAnsi="Cambria"/>
          <w:sz w:val="20"/>
          <w:szCs w:val="20"/>
        </w:rPr>
        <w:t xml:space="preserve">. </w:t>
      </w:r>
    </w:p>
    <w:p w14:paraId="40E57A6E" w14:textId="77777777" w:rsidR="0057201B" w:rsidRPr="00A31360" w:rsidRDefault="0057201B" w:rsidP="0057201B">
      <w:pPr>
        <w:pStyle w:val="BodyText"/>
        <w:ind w:left="1080"/>
        <w:jc w:val="both"/>
        <w:rPr>
          <w:b/>
        </w:rPr>
      </w:pPr>
    </w:p>
    <w:p w14:paraId="3E96A8C6" w14:textId="77777777" w:rsidR="0057201B" w:rsidRPr="00D55258" w:rsidRDefault="0057201B" w:rsidP="00933F91">
      <w:pPr>
        <w:pStyle w:val="BodyText"/>
        <w:widowControl/>
        <w:numPr>
          <w:ilvl w:val="0"/>
          <w:numId w:val="56"/>
        </w:numPr>
        <w:ind w:left="1440"/>
        <w:jc w:val="both"/>
        <w:rPr>
          <w:b/>
        </w:rPr>
      </w:pPr>
      <w:r w:rsidRPr="00D55258">
        <w:rPr>
          <w:b/>
        </w:rPr>
        <w:t>Report No. 262/22, P-391-15 Belén and Family, Chile</w:t>
      </w:r>
    </w:p>
    <w:p w14:paraId="34D59377" w14:textId="77777777" w:rsidR="0057201B" w:rsidRPr="00D55258" w:rsidRDefault="0057201B" w:rsidP="0057201B">
      <w:pPr>
        <w:pStyle w:val="ListParagraph"/>
        <w:autoSpaceDE w:val="0"/>
        <w:autoSpaceDN w:val="0"/>
        <w:adjustRightInd w:val="0"/>
        <w:contextualSpacing w:val="0"/>
        <w:jc w:val="both"/>
        <w:rPr>
          <w:rFonts w:ascii="Cambria" w:hAnsi="Cambria"/>
          <w:sz w:val="20"/>
          <w:szCs w:val="20"/>
        </w:rPr>
      </w:pPr>
    </w:p>
    <w:p w14:paraId="0087066A" w14:textId="77777777" w:rsidR="0057201B" w:rsidRPr="00FB51CC" w:rsidRDefault="0057201B" w:rsidP="00933F91">
      <w:pPr>
        <w:pStyle w:val="ListParagraph"/>
        <w:numPr>
          <w:ilvl w:val="0"/>
          <w:numId w:val="58"/>
        </w:numPr>
        <w:autoSpaceDE w:val="0"/>
        <w:autoSpaceDN w:val="0"/>
        <w:adjustRightInd w:val="0"/>
        <w:ind w:left="0" w:firstLine="720"/>
        <w:contextualSpacing w:val="0"/>
        <w:jc w:val="both"/>
        <w:rPr>
          <w:rFonts w:ascii="Cambria" w:hAnsi="Cambria"/>
          <w:sz w:val="20"/>
          <w:szCs w:val="20"/>
        </w:rPr>
      </w:pPr>
      <w:r>
        <w:rPr>
          <w:rFonts w:ascii="Cambria" w:hAnsi="Cambria"/>
          <w:sz w:val="20"/>
          <w:szCs w:val="20"/>
        </w:rPr>
        <w:t>T</w:t>
      </w:r>
      <w:r w:rsidRPr="00C7038D">
        <w:rPr>
          <w:rFonts w:ascii="Cambria" w:hAnsi="Cambria"/>
          <w:sz w:val="20"/>
          <w:szCs w:val="20"/>
        </w:rPr>
        <w:t xml:space="preserve">he central element </w:t>
      </w:r>
      <w:r>
        <w:rPr>
          <w:rFonts w:ascii="Cambria" w:hAnsi="Cambria"/>
          <w:sz w:val="20"/>
          <w:szCs w:val="20"/>
        </w:rPr>
        <w:t>of the case is the death of the alleged</w:t>
      </w:r>
      <w:r w:rsidRPr="00C7038D">
        <w:rPr>
          <w:rFonts w:ascii="Cambria" w:hAnsi="Cambria"/>
          <w:sz w:val="20"/>
          <w:szCs w:val="20"/>
        </w:rPr>
        <w:t xml:space="preserve"> victim</w:t>
      </w:r>
      <w:r>
        <w:rPr>
          <w:rFonts w:ascii="Cambria" w:hAnsi="Cambria"/>
          <w:sz w:val="20"/>
          <w:szCs w:val="20"/>
        </w:rPr>
        <w:t xml:space="preserve"> as a result of </w:t>
      </w:r>
      <w:r w:rsidRPr="00C7038D">
        <w:rPr>
          <w:rFonts w:ascii="Cambria" w:hAnsi="Cambria"/>
          <w:sz w:val="20"/>
          <w:szCs w:val="20"/>
        </w:rPr>
        <w:t xml:space="preserve">school bullying. </w:t>
      </w:r>
      <w:r>
        <w:rPr>
          <w:rFonts w:ascii="Cambria" w:hAnsi="Cambria"/>
          <w:sz w:val="20"/>
          <w:szCs w:val="20"/>
        </w:rPr>
        <w:t>A</w:t>
      </w:r>
      <w:r w:rsidRPr="00FB51CC">
        <w:rPr>
          <w:rFonts w:ascii="Cambria" w:hAnsi="Cambria"/>
          <w:sz w:val="20"/>
          <w:szCs w:val="20"/>
        </w:rPr>
        <w:t xml:space="preserve"> 13-year-old girl named Belén committed suicide, and her family is claiming that the State lacked an adequate child protection system that would enable early detection and treatment for mental health problems such as those that may have led Belén to suicide. They also allege that the Chilean criminal justice system does not contemplate appropriate mechanisms to investigate the causes of a suicide or to punish those who may be found responsible. The petition claims that the alleged victim took her own life due to factors such as bullying by some of the girls at her school and the lack of timely attention to other mental health issues which they say should have been identified at the school she attended, as well as in other public health institutions. In the merits stage, the IACHR will also address the alleged lack of legislation related to the proper investigation and punishment of cases that involve bullying. </w:t>
      </w:r>
    </w:p>
    <w:p w14:paraId="570DBD3D" w14:textId="77777777" w:rsidR="0057201B" w:rsidRPr="005E4856" w:rsidRDefault="0057201B" w:rsidP="0057201B">
      <w:pPr>
        <w:pStyle w:val="ListParagraph"/>
        <w:autoSpaceDE w:val="0"/>
        <w:autoSpaceDN w:val="0"/>
        <w:adjustRightInd w:val="0"/>
        <w:contextualSpacing w:val="0"/>
        <w:jc w:val="both"/>
        <w:rPr>
          <w:rFonts w:ascii="Cambria" w:hAnsi="Cambria"/>
          <w:sz w:val="20"/>
          <w:szCs w:val="20"/>
        </w:rPr>
      </w:pPr>
    </w:p>
    <w:p w14:paraId="4521B7DC" w14:textId="77777777" w:rsidR="0057201B" w:rsidRPr="00AE3A84" w:rsidRDefault="0057201B" w:rsidP="00933F91">
      <w:pPr>
        <w:pStyle w:val="BodyText"/>
        <w:widowControl/>
        <w:numPr>
          <w:ilvl w:val="0"/>
          <w:numId w:val="56"/>
        </w:numPr>
        <w:ind w:left="1440"/>
        <w:jc w:val="both"/>
        <w:rPr>
          <w:rFonts w:eastAsia="Times New Roman"/>
          <w:b/>
          <w:bCs/>
          <w:lang w:val="es-US"/>
        </w:rPr>
      </w:pPr>
      <w:r w:rsidRPr="00FB51CC">
        <w:rPr>
          <w:rFonts w:eastAsia="Times New Roman"/>
          <w:b/>
          <w:bCs/>
          <w:lang w:val="es-US"/>
        </w:rPr>
        <w:t>Report No. 239/22</w:t>
      </w:r>
      <w:r w:rsidRPr="00AE3A84">
        <w:rPr>
          <w:rFonts w:eastAsia="Times New Roman"/>
          <w:b/>
          <w:bCs/>
          <w:lang w:val="es-US"/>
        </w:rPr>
        <w:t>, P-1081-18. Alexa Hoffman</w:t>
      </w:r>
      <w:r>
        <w:rPr>
          <w:rFonts w:eastAsia="Times New Roman"/>
          <w:b/>
          <w:bCs/>
          <w:lang w:val="es-US"/>
        </w:rPr>
        <w:t>n</w:t>
      </w:r>
      <w:r w:rsidRPr="00AE3A84">
        <w:rPr>
          <w:rFonts w:eastAsia="Times New Roman"/>
          <w:b/>
          <w:bCs/>
          <w:lang w:val="es-US"/>
        </w:rPr>
        <w:t xml:space="preserve"> </w:t>
      </w:r>
      <w:r>
        <w:rPr>
          <w:rFonts w:eastAsia="Times New Roman"/>
          <w:b/>
          <w:bCs/>
          <w:lang w:val="es-US"/>
        </w:rPr>
        <w:t>et al.</w:t>
      </w:r>
      <w:r w:rsidRPr="00AE3A84">
        <w:rPr>
          <w:rFonts w:eastAsia="Times New Roman"/>
          <w:b/>
          <w:bCs/>
          <w:lang w:val="es-US"/>
        </w:rPr>
        <w:t>, Barbados</w:t>
      </w:r>
    </w:p>
    <w:p w14:paraId="39974B0A" w14:textId="77777777" w:rsidR="0057201B" w:rsidRPr="00AE3A84" w:rsidRDefault="0057201B" w:rsidP="0057201B">
      <w:pPr>
        <w:autoSpaceDE w:val="0"/>
        <w:autoSpaceDN w:val="0"/>
        <w:adjustRightInd w:val="0"/>
        <w:jc w:val="both"/>
        <w:rPr>
          <w:rFonts w:ascii="Cambria" w:hAnsi="Cambria"/>
          <w:sz w:val="20"/>
          <w:szCs w:val="20"/>
          <w:lang w:val="es-US"/>
        </w:rPr>
      </w:pPr>
    </w:p>
    <w:p w14:paraId="7C26897C" w14:textId="77777777" w:rsidR="0057201B" w:rsidRPr="00C662B1" w:rsidRDefault="0057201B" w:rsidP="00933F91">
      <w:pPr>
        <w:pStyle w:val="ListParagraph"/>
        <w:numPr>
          <w:ilvl w:val="0"/>
          <w:numId w:val="58"/>
        </w:numPr>
        <w:ind w:left="0" w:firstLine="720"/>
        <w:jc w:val="both"/>
        <w:rPr>
          <w:rFonts w:ascii="Cambria" w:hAnsi="Cambria"/>
          <w:sz w:val="20"/>
          <w:szCs w:val="20"/>
        </w:rPr>
      </w:pPr>
      <w:r w:rsidRPr="00C662B1">
        <w:rPr>
          <w:rFonts w:ascii="Cambria" w:hAnsi="Cambria"/>
          <w:sz w:val="20"/>
          <w:szCs w:val="20"/>
        </w:rPr>
        <w:t xml:space="preserve">The petitioners claim that Barbados is </w:t>
      </w:r>
      <w:r>
        <w:rPr>
          <w:rFonts w:ascii="Cambria" w:hAnsi="Cambria"/>
          <w:sz w:val="20"/>
          <w:szCs w:val="20"/>
        </w:rPr>
        <w:t>in violation of</w:t>
      </w:r>
      <w:r w:rsidRPr="00C662B1">
        <w:rPr>
          <w:rFonts w:ascii="Cambria" w:hAnsi="Cambria"/>
          <w:sz w:val="20"/>
          <w:szCs w:val="20"/>
        </w:rPr>
        <w:t xml:space="preserve"> its obligations under the American Convention by continuing to criminalize private consensual sexual activit</w:t>
      </w:r>
      <w:r>
        <w:rPr>
          <w:rFonts w:ascii="Cambria" w:hAnsi="Cambria"/>
          <w:sz w:val="20"/>
          <w:szCs w:val="20"/>
        </w:rPr>
        <w:t>y</w:t>
      </w:r>
      <w:r w:rsidRPr="00C662B1">
        <w:rPr>
          <w:rFonts w:ascii="Cambria" w:hAnsi="Cambria"/>
          <w:sz w:val="20"/>
          <w:szCs w:val="20"/>
        </w:rPr>
        <w:t xml:space="preserve"> between adult m</w:t>
      </w:r>
      <w:r>
        <w:rPr>
          <w:rFonts w:ascii="Cambria" w:hAnsi="Cambria"/>
          <w:sz w:val="20"/>
          <w:szCs w:val="20"/>
        </w:rPr>
        <w:t>ales</w:t>
      </w:r>
      <w:r w:rsidRPr="00C662B1">
        <w:rPr>
          <w:rFonts w:ascii="Cambria" w:hAnsi="Cambria"/>
          <w:sz w:val="20"/>
          <w:szCs w:val="20"/>
        </w:rPr>
        <w:t xml:space="preserve">, as well as </w:t>
      </w:r>
      <w:r>
        <w:rPr>
          <w:rFonts w:ascii="Cambria" w:hAnsi="Cambria"/>
          <w:sz w:val="20"/>
          <w:szCs w:val="20"/>
        </w:rPr>
        <w:t>between</w:t>
      </w:r>
      <w:r w:rsidRPr="00C662B1">
        <w:rPr>
          <w:rFonts w:ascii="Cambria" w:hAnsi="Cambria"/>
          <w:sz w:val="20"/>
          <w:szCs w:val="20"/>
        </w:rPr>
        <w:t xml:space="preserve"> adult members of the broader lesbian, gay, bisexual, and transsexual (LGBT)</w:t>
      </w:r>
      <w:r w:rsidRPr="00EF4802">
        <w:rPr>
          <w:rFonts w:ascii="Cambria" w:hAnsi="Cambria"/>
          <w:sz w:val="20"/>
          <w:szCs w:val="20"/>
        </w:rPr>
        <w:t xml:space="preserve"> </w:t>
      </w:r>
      <w:r w:rsidRPr="00C662B1">
        <w:rPr>
          <w:rFonts w:ascii="Cambria" w:hAnsi="Cambria"/>
          <w:sz w:val="20"/>
          <w:szCs w:val="20"/>
        </w:rPr>
        <w:t>communit</w:t>
      </w:r>
      <w:r>
        <w:rPr>
          <w:rFonts w:ascii="Cambria" w:hAnsi="Cambria"/>
          <w:sz w:val="20"/>
          <w:szCs w:val="20"/>
        </w:rPr>
        <w:t>y</w:t>
      </w:r>
      <w:r w:rsidRPr="00C662B1">
        <w:rPr>
          <w:rFonts w:ascii="Cambria" w:hAnsi="Cambria"/>
          <w:sz w:val="20"/>
          <w:szCs w:val="20"/>
        </w:rPr>
        <w:t xml:space="preserve">. The petition further alleges that this criminalization </w:t>
      </w:r>
      <w:r>
        <w:rPr>
          <w:rFonts w:ascii="Cambria" w:hAnsi="Cambria"/>
          <w:sz w:val="20"/>
          <w:szCs w:val="20"/>
        </w:rPr>
        <w:t xml:space="preserve">serves to </w:t>
      </w:r>
      <w:r w:rsidRPr="00C662B1">
        <w:rPr>
          <w:rFonts w:ascii="Cambria" w:hAnsi="Cambria"/>
          <w:sz w:val="20"/>
          <w:szCs w:val="20"/>
        </w:rPr>
        <w:t xml:space="preserve">encourage and legitimize discrimination and abuse against LGBT </w:t>
      </w:r>
      <w:r>
        <w:rPr>
          <w:rFonts w:ascii="Cambria" w:hAnsi="Cambria"/>
          <w:sz w:val="20"/>
          <w:szCs w:val="20"/>
        </w:rPr>
        <w:t>people</w:t>
      </w:r>
      <w:r w:rsidRPr="00C662B1">
        <w:rPr>
          <w:rFonts w:ascii="Cambria" w:hAnsi="Cambria"/>
          <w:sz w:val="20"/>
          <w:szCs w:val="20"/>
        </w:rPr>
        <w:t xml:space="preserve"> to the detriment of </w:t>
      </w:r>
      <w:r>
        <w:rPr>
          <w:rFonts w:ascii="Cambria" w:hAnsi="Cambria"/>
          <w:sz w:val="20"/>
          <w:szCs w:val="20"/>
        </w:rPr>
        <w:t>multiple</w:t>
      </w:r>
      <w:r w:rsidRPr="00C662B1">
        <w:rPr>
          <w:rFonts w:ascii="Cambria" w:hAnsi="Cambria"/>
          <w:sz w:val="20"/>
          <w:szCs w:val="20"/>
        </w:rPr>
        <w:t xml:space="preserve"> rights guaranteed </w:t>
      </w:r>
      <w:r>
        <w:rPr>
          <w:rFonts w:ascii="Cambria" w:hAnsi="Cambria"/>
          <w:sz w:val="20"/>
          <w:szCs w:val="20"/>
        </w:rPr>
        <w:t>by</w:t>
      </w:r>
      <w:r w:rsidRPr="00C662B1">
        <w:rPr>
          <w:rFonts w:ascii="Cambria" w:hAnsi="Cambria"/>
          <w:sz w:val="20"/>
          <w:szCs w:val="20"/>
        </w:rPr>
        <w:t xml:space="preserve"> the American Convention. The petition </w:t>
      </w:r>
      <w:r>
        <w:rPr>
          <w:rFonts w:ascii="Cambria" w:hAnsi="Cambria"/>
          <w:sz w:val="20"/>
          <w:szCs w:val="20"/>
        </w:rPr>
        <w:t>contends</w:t>
      </w:r>
      <w:r w:rsidRPr="00C662B1">
        <w:rPr>
          <w:rFonts w:ascii="Cambria" w:hAnsi="Cambria"/>
          <w:sz w:val="20"/>
          <w:szCs w:val="20"/>
        </w:rPr>
        <w:t xml:space="preserve"> that there is no justification for </w:t>
      </w:r>
      <w:r>
        <w:rPr>
          <w:rFonts w:ascii="Cambria" w:hAnsi="Cambria"/>
          <w:sz w:val="20"/>
          <w:szCs w:val="20"/>
        </w:rPr>
        <w:t xml:space="preserve">criminalizing </w:t>
      </w:r>
      <w:r w:rsidRPr="00C662B1">
        <w:rPr>
          <w:rFonts w:ascii="Cambria" w:hAnsi="Cambria"/>
          <w:sz w:val="20"/>
          <w:szCs w:val="20"/>
        </w:rPr>
        <w:t>consensual sexual activity and that there is no adequate</w:t>
      </w:r>
      <w:r>
        <w:rPr>
          <w:rFonts w:ascii="Cambria" w:hAnsi="Cambria"/>
          <w:sz w:val="20"/>
          <w:szCs w:val="20"/>
        </w:rPr>
        <w:t>,</w:t>
      </w:r>
      <w:r w:rsidRPr="00C662B1">
        <w:rPr>
          <w:rFonts w:ascii="Cambria" w:hAnsi="Cambria"/>
          <w:sz w:val="20"/>
          <w:szCs w:val="20"/>
        </w:rPr>
        <w:t xml:space="preserve"> effective remedy </w:t>
      </w:r>
      <w:r>
        <w:rPr>
          <w:rFonts w:ascii="Cambria" w:hAnsi="Cambria"/>
          <w:sz w:val="20"/>
          <w:szCs w:val="20"/>
        </w:rPr>
        <w:t>under</w:t>
      </w:r>
      <w:r w:rsidRPr="00C662B1">
        <w:rPr>
          <w:rFonts w:ascii="Cambria" w:hAnsi="Cambria"/>
          <w:sz w:val="20"/>
          <w:szCs w:val="20"/>
        </w:rPr>
        <w:t xml:space="preserve"> Barbad</w:t>
      </w:r>
      <w:r>
        <w:rPr>
          <w:rFonts w:ascii="Cambria" w:hAnsi="Cambria"/>
          <w:sz w:val="20"/>
          <w:szCs w:val="20"/>
        </w:rPr>
        <w:t>ian law</w:t>
      </w:r>
      <w:r w:rsidRPr="00C662B1">
        <w:rPr>
          <w:rFonts w:ascii="Cambria" w:hAnsi="Cambria"/>
          <w:sz w:val="20"/>
          <w:szCs w:val="20"/>
        </w:rPr>
        <w:t xml:space="preserve"> </w:t>
      </w:r>
      <w:r>
        <w:rPr>
          <w:rFonts w:ascii="Cambria" w:hAnsi="Cambria"/>
          <w:sz w:val="20"/>
          <w:szCs w:val="20"/>
        </w:rPr>
        <w:t>to challenge this criminalization</w:t>
      </w:r>
      <w:r w:rsidRPr="00C662B1">
        <w:rPr>
          <w:rFonts w:ascii="Cambria" w:hAnsi="Cambria"/>
          <w:sz w:val="20"/>
          <w:szCs w:val="20"/>
        </w:rPr>
        <w:t xml:space="preserve">. </w:t>
      </w:r>
      <w:r>
        <w:rPr>
          <w:rFonts w:ascii="Cambria" w:hAnsi="Cambria"/>
          <w:sz w:val="20"/>
          <w:szCs w:val="20"/>
        </w:rPr>
        <w:t>Th</w:t>
      </w:r>
      <w:r w:rsidRPr="00C662B1">
        <w:rPr>
          <w:rFonts w:ascii="Cambria" w:hAnsi="Cambria"/>
          <w:sz w:val="20"/>
          <w:szCs w:val="20"/>
        </w:rPr>
        <w:t>is case</w:t>
      </w:r>
      <w:r>
        <w:rPr>
          <w:rFonts w:ascii="Cambria" w:hAnsi="Cambria"/>
          <w:sz w:val="20"/>
          <w:szCs w:val="20"/>
        </w:rPr>
        <w:t xml:space="preserve"> will enable</w:t>
      </w:r>
      <w:r w:rsidRPr="00C662B1">
        <w:rPr>
          <w:rFonts w:ascii="Cambria" w:hAnsi="Cambria"/>
          <w:sz w:val="20"/>
          <w:szCs w:val="20"/>
        </w:rPr>
        <w:t xml:space="preserve"> the Commission</w:t>
      </w:r>
      <w:r>
        <w:rPr>
          <w:rFonts w:ascii="Cambria" w:hAnsi="Cambria"/>
          <w:sz w:val="20"/>
          <w:szCs w:val="20"/>
        </w:rPr>
        <w:t xml:space="preserve"> </w:t>
      </w:r>
      <w:r w:rsidRPr="00C662B1">
        <w:rPr>
          <w:rFonts w:ascii="Cambria" w:hAnsi="Cambria"/>
          <w:sz w:val="20"/>
          <w:szCs w:val="20"/>
        </w:rPr>
        <w:t xml:space="preserve">to do a more in-depth analysis of </w:t>
      </w:r>
      <w:r>
        <w:rPr>
          <w:rFonts w:ascii="Cambria" w:hAnsi="Cambria"/>
          <w:sz w:val="20"/>
          <w:szCs w:val="20"/>
        </w:rPr>
        <w:t xml:space="preserve">the repercussions that </w:t>
      </w:r>
      <w:r w:rsidRPr="00C662B1">
        <w:rPr>
          <w:rFonts w:ascii="Cambria" w:hAnsi="Cambria"/>
          <w:sz w:val="20"/>
          <w:szCs w:val="20"/>
        </w:rPr>
        <w:t xml:space="preserve">laws </w:t>
      </w:r>
      <w:r>
        <w:rPr>
          <w:rFonts w:ascii="Cambria" w:hAnsi="Cambria"/>
          <w:sz w:val="20"/>
          <w:szCs w:val="20"/>
        </w:rPr>
        <w:t>penalizing</w:t>
      </w:r>
      <w:r w:rsidRPr="00C662B1">
        <w:rPr>
          <w:rFonts w:ascii="Cambria" w:hAnsi="Cambria"/>
          <w:sz w:val="20"/>
          <w:szCs w:val="20"/>
        </w:rPr>
        <w:t xml:space="preserve"> consensual sexual activity </w:t>
      </w:r>
      <w:r>
        <w:rPr>
          <w:rFonts w:ascii="Cambria" w:hAnsi="Cambria"/>
          <w:sz w:val="20"/>
          <w:szCs w:val="20"/>
        </w:rPr>
        <w:t xml:space="preserve">have on </w:t>
      </w:r>
      <w:r w:rsidRPr="00C662B1">
        <w:rPr>
          <w:rFonts w:ascii="Cambria" w:hAnsi="Cambria"/>
          <w:sz w:val="20"/>
          <w:szCs w:val="20"/>
        </w:rPr>
        <w:t xml:space="preserve">the right to private life and </w:t>
      </w:r>
      <w:r>
        <w:rPr>
          <w:rFonts w:ascii="Cambria" w:hAnsi="Cambria"/>
          <w:sz w:val="20"/>
          <w:szCs w:val="20"/>
        </w:rPr>
        <w:t>their</w:t>
      </w:r>
      <w:r w:rsidRPr="00C662B1">
        <w:rPr>
          <w:rFonts w:ascii="Cambria" w:hAnsi="Cambria"/>
          <w:sz w:val="20"/>
          <w:szCs w:val="20"/>
        </w:rPr>
        <w:t xml:space="preserve"> disparate impa</w:t>
      </w:r>
      <w:r>
        <w:rPr>
          <w:rFonts w:ascii="Cambria" w:hAnsi="Cambria"/>
          <w:sz w:val="20"/>
          <w:szCs w:val="20"/>
        </w:rPr>
        <w:t xml:space="preserve">ct on </w:t>
      </w:r>
      <w:r w:rsidRPr="00C662B1">
        <w:rPr>
          <w:rFonts w:ascii="Cambria" w:hAnsi="Cambria"/>
          <w:sz w:val="20"/>
          <w:szCs w:val="20"/>
        </w:rPr>
        <w:t>LGBT</w:t>
      </w:r>
      <w:r>
        <w:rPr>
          <w:rFonts w:ascii="Cambria" w:hAnsi="Cambria"/>
          <w:sz w:val="20"/>
          <w:szCs w:val="20"/>
        </w:rPr>
        <w:t xml:space="preserve"> people</w:t>
      </w:r>
      <w:r w:rsidRPr="00C662B1">
        <w:rPr>
          <w:rFonts w:ascii="Cambria" w:hAnsi="Cambria"/>
          <w:sz w:val="20"/>
          <w:szCs w:val="20"/>
        </w:rPr>
        <w:t>.</w:t>
      </w:r>
    </w:p>
    <w:p w14:paraId="6D75457E" w14:textId="77777777" w:rsidR="0057201B" w:rsidRPr="00C662B1" w:rsidRDefault="0057201B" w:rsidP="0057201B">
      <w:pPr>
        <w:pStyle w:val="ListParagraph"/>
        <w:jc w:val="both"/>
        <w:rPr>
          <w:rFonts w:ascii="Cambria" w:hAnsi="Cambria"/>
          <w:sz w:val="20"/>
          <w:szCs w:val="20"/>
        </w:rPr>
      </w:pPr>
    </w:p>
    <w:p w14:paraId="46F7DEE5" w14:textId="5929F3D4" w:rsidR="0057201B" w:rsidRPr="00D05EE2" w:rsidRDefault="0057201B" w:rsidP="00933F91">
      <w:pPr>
        <w:pStyle w:val="ListParagraph"/>
        <w:numPr>
          <w:ilvl w:val="0"/>
          <w:numId w:val="61"/>
        </w:numPr>
        <w:tabs>
          <w:tab w:val="left" w:pos="1440"/>
        </w:tabs>
        <w:autoSpaceDE w:val="0"/>
        <w:autoSpaceDN w:val="0"/>
        <w:adjustRightInd w:val="0"/>
        <w:ind w:hanging="720"/>
        <w:contextualSpacing w:val="0"/>
        <w:jc w:val="both"/>
        <w:rPr>
          <w:rFonts w:ascii="Cambria" w:hAnsi="Cambria"/>
          <w:b/>
          <w:bCs/>
          <w:sz w:val="20"/>
          <w:szCs w:val="20"/>
          <w:lang w:val="es-ES_tradnl"/>
        </w:rPr>
      </w:pPr>
      <w:r w:rsidRPr="00D05EE2">
        <w:rPr>
          <w:rFonts w:ascii="Cambria" w:hAnsi="Cambria"/>
          <w:b/>
          <w:bCs/>
          <w:sz w:val="20"/>
          <w:szCs w:val="20"/>
        </w:rPr>
        <w:t xml:space="preserve"> </w:t>
      </w:r>
      <w:r w:rsidRPr="00D05EE2">
        <w:rPr>
          <w:rFonts w:ascii="Cambria" w:hAnsi="Cambria"/>
          <w:b/>
          <w:bCs/>
          <w:sz w:val="20"/>
          <w:szCs w:val="20"/>
          <w:lang w:val="es-ES_tradnl"/>
        </w:rPr>
        <w:t>Merits</w:t>
      </w:r>
    </w:p>
    <w:p w14:paraId="2E2ED53A" w14:textId="77777777" w:rsidR="0057201B" w:rsidRPr="00AE3A84" w:rsidRDefault="0057201B" w:rsidP="0057201B">
      <w:pPr>
        <w:pStyle w:val="ListParagraph"/>
        <w:autoSpaceDE w:val="0"/>
        <w:autoSpaceDN w:val="0"/>
        <w:adjustRightInd w:val="0"/>
        <w:contextualSpacing w:val="0"/>
        <w:jc w:val="both"/>
        <w:rPr>
          <w:rFonts w:ascii="Cambria" w:hAnsi="Cambria" w:cs="Calibri"/>
          <w:sz w:val="20"/>
          <w:szCs w:val="20"/>
          <w:lang w:val="es-US"/>
        </w:rPr>
      </w:pPr>
    </w:p>
    <w:p w14:paraId="55B6EA56" w14:textId="77777777" w:rsidR="0057201B" w:rsidRPr="00364B33" w:rsidRDefault="0057201B" w:rsidP="00933F91">
      <w:pPr>
        <w:pStyle w:val="ListParagraph"/>
        <w:numPr>
          <w:ilvl w:val="0"/>
          <w:numId w:val="58"/>
        </w:numPr>
        <w:autoSpaceDE w:val="0"/>
        <w:autoSpaceDN w:val="0"/>
        <w:adjustRightInd w:val="0"/>
        <w:ind w:left="0" w:firstLine="720"/>
        <w:contextualSpacing w:val="0"/>
        <w:jc w:val="both"/>
        <w:rPr>
          <w:rFonts w:ascii="Cambria" w:hAnsi="Cambria" w:cs="Calibri"/>
          <w:sz w:val="20"/>
          <w:szCs w:val="20"/>
        </w:rPr>
      </w:pPr>
      <w:r w:rsidRPr="00C662B1">
        <w:rPr>
          <w:rFonts w:ascii="Cambria" w:hAnsi="Cambria" w:cs="Calibri"/>
          <w:color w:val="000000"/>
          <w:sz w:val="20"/>
          <w:szCs w:val="20"/>
        </w:rPr>
        <w:t>Th</w:t>
      </w:r>
      <w:r>
        <w:rPr>
          <w:rFonts w:ascii="Cambria" w:hAnsi="Cambria" w:cs="Calibri"/>
          <w:color w:val="000000"/>
          <w:sz w:val="20"/>
          <w:szCs w:val="20"/>
        </w:rPr>
        <w:t>e following</w:t>
      </w:r>
      <w:r w:rsidRPr="00C662B1">
        <w:rPr>
          <w:rFonts w:ascii="Cambria" w:hAnsi="Cambria" w:cs="Calibri"/>
          <w:color w:val="000000"/>
          <w:sz w:val="20"/>
          <w:szCs w:val="20"/>
        </w:rPr>
        <w:t xml:space="preserve"> </w:t>
      </w:r>
      <w:r>
        <w:rPr>
          <w:rFonts w:ascii="Cambria" w:hAnsi="Cambria" w:cs="Calibri"/>
          <w:color w:val="000000"/>
          <w:sz w:val="20"/>
          <w:szCs w:val="20"/>
        </w:rPr>
        <w:t>is a description of</w:t>
      </w:r>
      <w:r w:rsidRPr="00C662B1">
        <w:rPr>
          <w:rFonts w:ascii="Cambria" w:hAnsi="Cambria" w:cs="Calibri"/>
          <w:color w:val="000000"/>
          <w:sz w:val="20"/>
          <w:szCs w:val="20"/>
        </w:rPr>
        <w:t xml:space="preserve"> some of the </w:t>
      </w:r>
      <w:r>
        <w:rPr>
          <w:rFonts w:ascii="Cambria" w:hAnsi="Cambria" w:cs="Calibri"/>
          <w:color w:val="000000"/>
          <w:sz w:val="20"/>
          <w:szCs w:val="20"/>
        </w:rPr>
        <w:t>decisions</w:t>
      </w:r>
      <w:r w:rsidRPr="00C662B1">
        <w:rPr>
          <w:rFonts w:ascii="Cambria" w:hAnsi="Cambria" w:cs="Calibri"/>
          <w:color w:val="000000"/>
          <w:sz w:val="20"/>
          <w:szCs w:val="20"/>
        </w:rPr>
        <w:t xml:space="preserve"> and developments in inter-American standards </w:t>
      </w:r>
      <w:r>
        <w:rPr>
          <w:rFonts w:ascii="Cambria" w:hAnsi="Cambria" w:cs="Calibri"/>
          <w:color w:val="000000"/>
          <w:sz w:val="20"/>
          <w:szCs w:val="20"/>
        </w:rPr>
        <w:t>laid out in</w:t>
      </w:r>
      <w:r w:rsidRPr="00C662B1">
        <w:rPr>
          <w:rFonts w:ascii="Cambria" w:hAnsi="Cambria" w:cs="Calibri"/>
          <w:color w:val="000000"/>
          <w:sz w:val="20"/>
          <w:szCs w:val="20"/>
        </w:rPr>
        <w:t xml:space="preserve"> the merits reports the Commission adopted. The merits reports related to these decisions are not published after being adopted, in </w:t>
      </w:r>
      <w:r>
        <w:rPr>
          <w:rFonts w:ascii="Cambria" w:hAnsi="Cambria" w:cs="Calibri"/>
          <w:color w:val="000000"/>
          <w:sz w:val="20"/>
          <w:szCs w:val="20"/>
        </w:rPr>
        <w:t>accordance</w:t>
      </w:r>
      <w:r w:rsidRPr="00C662B1">
        <w:rPr>
          <w:rFonts w:ascii="Cambria" w:hAnsi="Cambria" w:cs="Calibri"/>
          <w:color w:val="000000"/>
          <w:sz w:val="20"/>
          <w:szCs w:val="20"/>
        </w:rPr>
        <w:t xml:space="preserve"> with the provisions of Article 50 </w:t>
      </w:r>
      <w:r>
        <w:rPr>
          <w:rFonts w:ascii="Cambria" w:hAnsi="Cambria" w:cs="Calibri"/>
          <w:color w:val="000000"/>
          <w:sz w:val="20"/>
          <w:szCs w:val="20"/>
        </w:rPr>
        <w:t xml:space="preserve">of the American Convention and Article 43 of the IACHR Rules of Procedure. </w:t>
      </w:r>
      <w:r w:rsidRPr="00C662B1">
        <w:rPr>
          <w:rFonts w:ascii="Cambria" w:hAnsi="Cambria" w:cs="Calibri"/>
          <w:color w:val="000000"/>
          <w:sz w:val="20"/>
          <w:szCs w:val="20"/>
        </w:rPr>
        <w:t xml:space="preserve">Such reports </w:t>
      </w:r>
      <w:r>
        <w:rPr>
          <w:rFonts w:ascii="Cambria" w:hAnsi="Cambria" w:cs="Calibri"/>
          <w:color w:val="000000"/>
          <w:sz w:val="20"/>
          <w:szCs w:val="20"/>
        </w:rPr>
        <w:t>may</w:t>
      </w:r>
      <w:r w:rsidRPr="00C662B1">
        <w:rPr>
          <w:rFonts w:ascii="Cambria" w:hAnsi="Cambria" w:cs="Calibri"/>
          <w:color w:val="000000"/>
          <w:sz w:val="20"/>
          <w:szCs w:val="20"/>
        </w:rPr>
        <w:t xml:space="preserve"> be made public once the Commission decides on </w:t>
      </w:r>
      <w:r>
        <w:rPr>
          <w:rFonts w:ascii="Cambria" w:hAnsi="Cambria" w:cs="Calibri"/>
          <w:color w:val="000000"/>
          <w:sz w:val="20"/>
          <w:szCs w:val="20"/>
        </w:rPr>
        <w:t xml:space="preserve">whether to send them to the Inter-American Court, in the case of those States that have </w:t>
      </w:r>
      <w:r>
        <w:rPr>
          <w:rFonts w:ascii="Cambria" w:hAnsi="Cambria" w:cs="Calibri"/>
          <w:color w:val="000000"/>
          <w:sz w:val="20"/>
          <w:szCs w:val="20"/>
        </w:rPr>
        <w:lastRenderedPageBreak/>
        <w:t>recognized its jurisdiction, or whether to publish them, in line with the provisions of Article</w:t>
      </w:r>
      <w:r w:rsidRPr="00364B33">
        <w:rPr>
          <w:rFonts w:ascii="Cambria" w:hAnsi="Cambria" w:cs="Calibri"/>
          <w:color w:val="000000"/>
          <w:sz w:val="20"/>
          <w:szCs w:val="20"/>
        </w:rPr>
        <w:t xml:space="preserve"> 51 o</w:t>
      </w:r>
      <w:r>
        <w:rPr>
          <w:rFonts w:ascii="Cambria" w:hAnsi="Cambria" w:cs="Calibri"/>
          <w:color w:val="000000"/>
          <w:sz w:val="20"/>
          <w:szCs w:val="20"/>
        </w:rPr>
        <w:t xml:space="preserve">f the American Convention and </w:t>
      </w:r>
      <w:r w:rsidRPr="00364B33">
        <w:rPr>
          <w:rFonts w:ascii="Cambria" w:hAnsi="Cambria" w:cs="Calibri"/>
          <w:color w:val="000000"/>
          <w:sz w:val="20"/>
          <w:szCs w:val="20"/>
        </w:rPr>
        <w:t xml:space="preserve">47 </w:t>
      </w:r>
      <w:r>
        <w:rPr>
          <w:rFonts w:ascii="Cambria" w:hAnsi="Cambria" w:cs="Calibri"/>
          <w:color w:val="000000"/>
          <w:sz w:val="20"/>
          <w:szCs w:val="20"/>
        </w:rPr>
        <w:t>of the IACHR Rules of Procedure</w:t>
      </w:r>
      <w:r w:rsidRPr="00364B33">
        <w:rPr>
          <w:rFonts w:ascii="Cambria" w:hAnsi="Cambria" w:cs="Calibri"/>
          <w:color w:val="000000"/>
          <w:sz w:val="20"/>
          <w:szCs w:val="20"/>
        </w:rPr>
        <w:t>.</w:t>
      </w:r>
    </w:p>
    <w:p w14:paraId="6548BE08" w14:textId="77777777" w:rsidR="0057201B" w:rsidRPr="00364B33" w:rsidRDefault="0057201B" w:rsidP="0057201B">
      <w:pPr>
        <w:pStyle w:val="ListParagraph"/>
        <w:autoSpaceDE w:val="0"/>
        <w:autoSpaceDN w:val="0"/>
        <w:adjustRightInd w:val="0"/>
        <w:contextualSpacing w:val="0"/>
        <w:jc w:val="both"/>
        <w:rPr>
          <w:rFonts w:ascii="Cambria" w:hAnsi="Cambria" w:cs="Calibri"/>
          <w:sz w:val="20"/>
          <w:szCs w:val="20"/>
        </w:rPr>
      </w:pPr>
    </w:p>
    <w:p w14:paraId="32AF1C1D" w14:textId="77777777" w:rsidR="0057201B" w:rsidRPr="0057201B" w:rsidRDefault="0057201B" w:rsidP="00933F91">
      <w:pPr>
        <w:pStyle w:val="BodyText"/>
        <w:widowControl/>
        <w:numPr>
          <w:ilvl w:val="0"/>
          <w:numId w:val="56"/>
        </w:numPr>
        <w:ind w:left="1440"/>
        <w:jc w:val="both"/>
        <w:rPr>
          <w:b/>
          <w:bCs/>
        </w:rPr>
      </w:pPr>
      <w:r w:rsidRPr="0057201B">
        <w:rPr>
          <w:b/>
          <w:bCs/>
        </w:rPr>
        <w:t xml:space="preserve">Rights of Indigenous Peoples in Voluntary Isolation or Initial Contact and Buffer Zones </w:t>
      </w:r>
    </w:p>
    <w:p w14:paraId="02D64AE6" w14:textId="77777777" w:rsidR="0057201B" w:rsidRPr="00364B33" w:rsidRDefault="0057201B" w:rsidP="0057201B"/>
    <w:p w14:paraId="7203FC2B" w14:textId="77777777" w:rsidR="0057201B" w:rsidRPr="004372DE" w:rsidRDefault="0057201B" w:rsidP="00933F91">
      <w:pPr>
        <w:numPr>
          <w:ilvl w:val="0"/>
          <w:numId w:val="58"/>
        </w:numPr>
        <w:autoSpaceDE w:val="0"/>
        <w:autoSpaceDN w:val="0"/>
        <w:adjustRightInd w:val="0"/>
        <w:ind w:left="0" w:firstLine="720"/>
        <w:jc w:val="both"/>
        <w:rPr>
          <w:rFonts w:ascii="Cambria" w:hAnsi="Cambria"/>
          <w:sz w:val="20"/>
          <w:szCs w:val="20"/>
        </w:rPr>
      </w:pPr>
      <w:r w:rsidRPr="00342CF9">
        <w:rPr>
          <w:rFonts w:ascii="Cambria" w:hAnsi="Cambria"/>
          <w:sz w:val="20"/>
          <w:szCs w:val="20"/>
        </w:rPr>
        <w:t xml:space="preserve">In </w:t>
      </w:r>
      <w:r>
        <w:rPr>
          <w:rFonts w:ascii="Cambria" w:hAnsi="Cambria"/>
          <w:sz w:val="20"/>
          <w:szCs w:val="20"/>
        </w:rPr>
        <w:t>a</w:t>
      </w:r>
      <w:r w:rsidRPr="00342CF9">
        <w:rPr>
          <w:rFonts w:ascii="Cambria" w:hAnsi="Cambria"/>
          <w:sz w:val="20"/>
          <w:szCs w:val="20"/>
        </w:rPr>
        <w:t xml:space="preserve"> case related to the territorial rights of peoples in voluntary isolation, the IACHR reiterated the standards on this matter recognized in its merits report on the case involving the </w:t>
      </w:r>
      <w:hyperlink r:id="rId13" w:history="1">
        <w:r w:rsidRPr="00342CF9">
          <w:rPr>
            <w:rStyle w:val="Hyperlink"/>
            <w:rFonts w:ascii="Cambria" w:hAnsi="Cambria"/>
            <w:sz w:val="20"/>
            <w:szCs w:val="20"/>
          </w:rPr>
          <w:t>Tagaeri and Taromenane Indigenous Peoples with respect to Ecuador</w:t>
        </w:r>
      </w:hyperlink>
      <w:r w:rsidRPr="00342CF9">
        <w:rPr>
          <w:rFonts w:ascii="Cambria" w:hAnsi="Cambria"/>
          <w:sz w:val="20"/>
          <w:szCs w:val="20"/>
        </w:rPr>
        <w:t xml:space="preserve">. </w:t>
      </w:r>
      <w:r w:rsidRPr="004372DE">
        <w:rPr>
          <w:rFonts w:ascii="Cambria" w:hAnsi="Cambria"/>
          <w:sz w:val="20"/>
          <w:szCs w:val="20"/>
        </w:rPr>
        <w:t xml:space="preserve">It also recognized that buffer zones that are contiguous to the ancestral lands of such peoples act as a safeguard against the risks of </w:t>
      </w:r>
      <w:r>
        <w:rPr>
          <w:rFonts w:ascii="Cambria" w:hAnsi="Cambria"/>
          <w:sz w:val="20"/>
          <w:szCs w:val="20"/>
        </w:rPr>
        <w:t>potential</w:t>
      </w:r>
      <w:r w:rsidRPr="004372DE">
        <w:rPr>
          <w:rFonts w:ascii="Cambria" w:hAnsi="Cambria"/>
          <w:sz w:val="20"/>
          <w:szCs w:val="20"/>
        </w:rPr>
        <w:t xml:space="preserve"> </w:t>
      </w:r>
      <w:r>
        <w:rPr>
          <w:rFonts w:ascii="Cambria" w:hAnsi="Cambria"/>
          <w:sz w:val="20"/>
          <w:szCs w:val="20"/>
        </w:rPr>
        <w:t xml:space="preserve">impacts </w:t>
      </w:r>
      <w:r w:rsidRPr="004372DE">
        <w:rPr>
          <w:rFonts w:ascii="Cambria" w:hAnsi="Cambria"/>
          <w:sz w:val="20"/>
          <w:szCs w:val="20"/>
        </w:rPr>
        <w:t xml:space="preserve">that may </w:t>
      </w:r>
      <w:r>
        <w:rPr>
          <w:rFonts w:ascii="Cambria" w:hAnsi="Cambria"/>
          <w:sz w:val="20"/>
          <w:szCs w:val="20"/>
        </w:rPr>
        <w:t>occur</w:t>
      </w:r>
      <w:r w:rsidRPr="004372DE">
        <w:rPr>
          <w:rFonts w:ascii="Cambria" w:hAnsi="Cambria"/>
          <w:sz w:val="20"/>
          <w:szCs w:val="20"/>
        </w:rPr>
        <w:t xml:space="preserve"> in adjacent or adjoining areas. In this regard, the Commission determined that these buffer zones constitute a reasonable, essential measure to prevent violations </w:t>
      </w:r>
      <w:r>
        <w:rPr>
          <w:rFonts w:ascii="Cambria" w:hAnsi="Cambria"/>
          <w:sz w:val="20"/>
          <w:szCs w:val="20"/>
        </w:rPr>
        <w:t xml:space="preserve">of </w:t>
      </w:r>
      <w:r w:rsidRPr="004372DE">
        <w:rPr>
          <w:rFonts w:ascii="Cambria" w:hAnsi="Cambria"/>
          <w:sz w:val="20"/>
          <w:szCs w:val="20"/>
        </w:rPr>
        <w:t xml:space="preserve">rights in </w:t>
      </w:r>
      <w:r>
        <w:rPr>
          <w:rFonts w:ascii="Cambria" w:hAnsi="Cambria"/>
          <w:sz w:val="20"/>
          <w:szCs w:val="20"/>
        </w:rPr>
        <w:t>the event that</w:t>
      </w:r>
      <w:r w:rsidRPr="004372DE">
        <w:rPr>
          <w:rFonts w:ascii="Cambria" w:hAnsi="Cambria"/>
          <w:sz w:val="20"/>
          <w:szCs w:val="20"/>
        </w:rPr>
        <w:t xml:space="preserve"> the State carries out activities or projects that could have an impact on the territory, including violations th</w:t>
      </w:r>
      <w:r>
        <w:rPr>
          <w:rFonts w:ascii="Cambria" w:hAnsi="Cambria"/>
          <w:sz w:val="20"/>
          <w:szCs w:val="20"/>
        </w:rPr>
        <w:t>at could result from contact alone.</w:t>
      </w:r>
    </w:p>
    <w:p w14:paraId="1DEDFAAE" w14:textId="77777777" w:rsidR="0057201B" w:rsidRPr="004372DE" w:rsidRDefault="0057201B" w:rsidP="0057201B">
      <w:pPr>
        <w:autoSpaceDE w:val="0"/>
        <w:autoSpaceDN w:val="0"/>
        <w:adjustRightInd w:val="0"/>
        <w:ind w:left="720"/>
        <w:jc w:val="both"/>
        <w:rPr>
          <w:rFonts w:ascii="Cambria" w:hAnsi="Cambria"/>
          <w:sz w:val="20"/>
          <w:szCs w:val="20"/>
        </w:rPr>
      </w:pPr>
    </w:p>
    <w:p w14:paraId="4DB6B5C2" w14:textId="77777777" w:rsidR="0057201B" w:rsidRPr="0057201B" w:rsidRDefault="0057201B" w:rsidP="00933F91">
      <w:pPr>
        <w:pStyle w:val="BodyText"/>
        <w:widowControl/>
        <w:numPr>
          <w:ilvl w:val="0"/>
          <w:numId w:val="56"/>
        </w:numPr>
        <w:ind w:left="1440"/>
        <w:jc w:val="both"/>
        <w:rPr>
          <w:b/>
          <w:bCs/>
        </w:rPr>
      </w:pPr>
      <w:r w:rsidRPr="0057201B">
        <w:rPr>
          <w:b/>
          <w:bCs/>
        </w:rPr>
        <w:t>Rights to Identity in the Context of Declaration of Paternity Cases</w:t>
      </w:r>
    </w:p>
    <w:p w14:paraId="7567B76E" w14:textId="77777777" w:rsidR="0057201B" w:rsidRPr="004372DE" w:rsidRDefault="0057201B" w:rsidP="0057201B"/>
    <w:p w14:paraId="26F4DCA4" w14:textId="77777777" w:rsidR="0057201B" w:rsidRPr="00A3620E" w:rsidRDefault="0057201B" w:rsidP="00933F91">
      <w:pPr>
        <w:numPr>
          <w:ilvl w:val="0"/>
          <w:numId w:val="58"/>
        </w:numPr>
        <w:autoSpaceDE w:val="0"/>
        <w:autoSpaceDN w:val="0"/>
        <w:adjustRightInd w:val="0"/>
        <w:ind w:left="0" w:firstLine="720"/>
        <w:jc w:val="both"/>
        <w:rPr>
          <w:rFonts w:ascii="Cambria" w:hAnsi="Cambria"/>
          <w:sz w:val="20"/>
          <w:szCs w:val="20"/>
        </w:rPr>
      </w:pPr>
      <w:r w:rsidRPr="004372DE">
        <w:rPr>
          <w:rFonts w:ascii="Cambria" w:hAnsi="Cambria"/>
          <w:sz w:val="20"/>
          <w:szCs w:val="20"/>
        </w:rPr>
        <w:t xml:space="preserve">In a case related to proceedings to determine </w:t>
      </w:r>
      <w:r>
        <w:rPr>
          <w:rFonts w:ascii="Cambria" w:hAnsi="Cambria"/>
          <w:sz w:val="20"/>
          <w:szCs w:val="20"/>
        </w:rPr>
        <w:t xml:space="preserve">the </w:t>
      </w:r>
      <w:r w:rsidRPr="004372DE">
        <w:rPr>
          <w:rFonts w:ascii="Cambria" w:hAnsi="Cambria"/>
          <w:sz w:val="20"/>
          <w:szCs w:val="20"/>
        </w:rPr>
        <w:t>paternity</w:t>
      </w:r>
      <w:r>
        <w:rPr>
          <w:rFonts w:ascii="Cambria" w:hAnsi="Cambria"/>
          <w:sz w:val="20"/>
          <w:szCs w:val="20"/>
        </w:rPr>
        <w:t xml:space="preserve"> of </w:t>
      </w:r>
      <w:r w:rsidRPr="004372DE">
        <w:rPr>
          <w:rFonts w:ascii="Cambria" w:hAnsi="Cambria"/>
          <w:sz w:val="20"/>
          <w:szCs w:val="20"/>
        </w:rPr>
        <w:t xml:space="preserve">a child, the Commission found that given the direct </w:t>
      </w:r>
      <w:r>
        <w:rPr>
          <w:rFonts w:ascii="Cambria" w:hAnsi="Cambria"/>
          <w:sz w:val="20"/>
          <w:szCs w:val="20"/>
        </w:rPr>
        <w:t>bearing</w:t>
      </w:r>
      <w:r w:rsidRPr="004372DE">
        <w:rPr>
          <w:rFonts w:ascii="Cambria" w:hAnsi="Cambria"/>
          <w:sz w:val="20"/>
          <w:szCs w:val="20"/>
        </w:rPr>
        <w:t xml:space="preserve"> such proceedings </w:t>
      </w:r>
      <w:r>
        <w:rPr>
          <w:rFonts w:ascii="Cambria" w:hAnsi="Cambria"/>
          <w:sz w:val="20"/>
          <w:szCs w:val="20"/>
        </w:rPr>
        <w:t>can</w:t>
      </w:r>
      <w:r w:rsidRPr="004372DE">
        <w:rPr>
          <w:rFonts w:ascii="Cambria" w:hAnsi="Cambria"/>
          <w:sz w:val="20"/>
          <w:szCs w:val="20"/>
        </w:rPr>
        <w:t xml:space="preserve"> have on the rights of children, including the right to identity, States have the obligation to adopt measures </w:t>
      </w:r>
      <w:r>
        <w:rPr>
          <w:rFonts w:ascii="Cambria" w:hAnsi="Cambria"/>
          <w:sz w:val="20"/>
          <w:szCs w:val="20"/>
        </w:rPr>
        <w:t>that take into account their vulnerable situation and that protect their rights and look after their best interests</w:t>
      </w:r>
      <w:r w:rsidRPr="004372DE">
        <w:rPr>
          <w:rFonts w:ascii="Cambria" w:hAnsi="Cambria"/>
          <w:sz w:val="20"/>
          <w:szCs w:val="20"/>
        </w:rPr>
        <w:t xml:space="preserve">. </w:t>
      </w:r>
      <w:r w:rsidRPr="00F52962">
        <w:rPr>
          <w:rFonts w:ascii="Cambria" w:hAnsi="Cambria"/>
          <w:sz w:val="20"/>
          <w:szCs w:val="20"/>
        </w:rPr>
        <w:t xml:space="preserve">Accordingly, the Commission determined that when the authorities make decisions in such cases, they </w:t>
      </w:r>
      <w:r>
        <w:rPr>
          <w:rFonts w:ascii="Cambria" w:hAnsi="Cambria"/>
          <w:sz w:val="20"/>
          <w:szCs w:val="20"/>
        </w:rPr>
        <w:t>must</w:t>
      </w:r>
      <w:r w:rsidRPr="00F52962">
        <w:rPr>
          <w:rFonts w:ascii="Cambria" w:hAnsi="Cambria"/>
          <w:sz w:val="20"/>
          <w:szCs w:val="20"/>
        </w:rPr>
        <w:t xml:space="preserve"> always assess the potential repercussions, both positive and negative, that </w:t>
      </w:r>
      <w:r>
        <w:rPr>
          <w:rFonts w:ascii="Cambria" w:hAnsi="Cambria"/>
          <w:sz w:val="20"/>
          <w:szCs w:val="20"/>
        </w:rPr>
        <w:t>any</w:t>
      </w:r>
      <w:r w:rsidRPr="00F52962">
        <w:rPr>
          <w:rFonts w:ascii="Cambria" w:hAnsi="Cambria"/>
          <w:sz w:val="20"/>
          <w:szCs w:val="20"/>
        </w:rPr>
        <w:t xml:space="preserve"> decision </w:t>
      </w:r>
      <w:r>
        <w:rPr>
          <w:rFonts w:ascii="Cambria" w:hAnsi="Cambria"/>
          <w:sz w:val="20"/>
          <w:szCs w:val="20"/>
        </w:rPr>
        <w:t>may entail and must indicate explicitly how this obligation was met. G</w:t>
      </w:r>
      <w:r w:rsidRPr="00F52962">
        <w:rPr>
          <w:rFonts w:ascii="Cambria" w:hAnsi="Cambria"/>
          <w:sz w:val="20"/>
          <w:szCs w:val="20"/>
        </w:rPr>
        <w:t xml:space="preserve">iven the importance </w:t>
      </w:r>
      <w:r>
        <w:rPr>
          <w:rFonts w:ascii="Cambria" w:hAnsi="Cambria"/>
          <w:sz w:val="20"/>
          <w:szCs w:val="20"/>
        </w:rPr>
        <w:t>of</w:t>
      </w:r>
      <w:r w:rsidRPr="00F52962">
        <w:rPr>
          <w:rFonts w:ascii="Cambria" w:hAnsi="Cambria"/>
          <w:sz w:val="20"/>
          <w:szCs w:val="20"/>
        </w:rPr>
        <w:t xml:space="preserve"> a DNA test in </w:t>
      </w:r>
      <w:r>
        <w:rPr>
          <w:rFonts w:ascii="Cambria" w:hAnsi="Cambria"/>
          <w:sz w:val="20"/>
          <w:szCs w:val="20"/>
        </w:rPr>
        <w:t>establishing</w:t>
      </w:r>
      <w:r w:rsidRPr="00F52962">
        <w:rPr>
          <w:rFonts w:ascii="Cambria" w:hAnsi="Cambria"/>
          <w:sz w:val="20"/>
          <w:szCs w:val="20"/>
        </w:rPr>
        <w:t xml:space="preserve"> identity, the Commission found that</w:t>
      </w:r>
      <w:r>
        <w:rPr>
          <w:rFonts w:ascii="Cambria" w:hAnsi="Cambria"/>
          <w:sz w:val="20"/>
          <w:szCs w:val="20"/>
        </w:rPr>
        <w:t xml:space="preserve"> the most important determinant in the decision, without further argument, must not be the payment of a </w:t>
      </w:r>
      <w:r w:rsidRPr="006742D0">
        <w:rPr>
          <w:rFonts w:ascii="Cambria" w:hAnsi="Cambria"/>
          <w:sz w:val="20"/>
          <w:szCs w:val="20"/>
        </w:rPr>
        <w:t>bond</w:t>
      </w:r>
      <w:r>
        <w:rPr>
          <w:rFonts w:ascii="Cambria" w:hAnsi="Cambria"/>
          <w:sz w:val="20"/>
          <w:szCs w:val="20"/>
        </w:rPr>
        <w:t xml:space="preserve"> for the preservation of the remains of the parent on whom the DNA test is being sought, without considering the rights of the child in the event of the potential loss of this evidence to verify the child’s identity</w:t>
      </w:r>
      <w:r w:rsidRPr="00A3620E">
        <w:rPr>
          <w:rFonts w:ascii="Cambria" w:hAnsi="Cambria"/>
          <w:sz w:val="20"/>
          <w:szCs w:val="20"/>
        </w:rPr>
        <w:t>.</w:t>
      </w:r>
    </w:p>
    <w:p w14:paraId="1AC145CA" w14:textId="77777777" w:rsidR="0057201B" w:rsidRPr="00A3620E" w:rsidRDefault="0057201B" w:rsidP="0057201B">
      <w:pPr>
        <w:autoSpaceDE w:val="0"/>
        <w:autoSpaceDN w:val="0"/>
        <w:adjustRightInd w:val="0"/>
        <w:ind w:left="720"/>
        <w:jc w:val="both"/>
        <w:rPr>
          <w:rFonts w:ascii="Cambria" w:hAnsi="Cambria"/>
          <w:sz w:val="20"/>
          <w:szCs w:val="20"/>
        </w:rPr>
      </w:pPr>
    </w:p>
    <w:p w14:paraId="039F116E" w14:textId="77777777" w:rsidR="0057201B" w:rsidRPr="0057201B" w:rsidRDefault="0057201B" w:rsidP="00933F91">
      <w:pPr>
        <w:pStyle w:val="BodyText"/>
        <w:widowControl/>
        <w:numPr>
          <w:ilvl w:val="0"/>
          <w:numId w:val="56"/>
        </w:numPr>
        <w:ind w:left="1440"/>
        <w:jc w:val="both"/>
        <w:rPr>
          <w:b/>
          <w:bCs/>
        </w:rPr>
      </w:pPr>
      <w:r w:rsidRPr="0057201B">
        <w:rPr>
          <w:b/>
          <w:bCs/>
        </w:rPr>
        <w:t xml:space="preserve">Prevention of Violations of the Right to Life and Personal Integrity in Projects Developed in Public Spaces </w:t>
      </w:r>
    </w:p>
    <w:p w14:paraId="086C6189" w14:textId="77777777" w:rsidR="0057201B" w:rsidRPr="00A3620E" w:rsidRDefault="0057201B" w:rsidP="0057201B"/>
    <w:p w14:paraId="40E67D91" w14:textId="77777777" w:rsidR="0057201B" w:rsidRPr="003A6A92" w:rsidRDefault="0057201B" w:rsidP="00933F91">
      <w:pPr>
        <w:numPr>
          <w:ilvl w:val="0"/>
          <w:numId w:val="58"/>
        </w:numPr>
        <w:autoSpaceDE w:val="0"/>
        <w:autoSpaceDN w:val="0"/>
        <w:adjustRightInd w:val="0"/>
        <w:ind w:left="0" w:firstLine="720"/>
        <w:jc w:val="both"/>
        <w:rPr>
          <w:rFonts w:ascii="Cambria" w:hAnsi="Cambria"/>
          <w:sz w:val="20"/>
          <w:szCs w:val="20"/>
        </w:rPr>
      </w:pPr>
      <w:r w:rsidRPr="003A6A92">
        <w:rPr>
          <w:rFonts w:ascii="Cambria" w:hAnsi="Cambria"/>
          <w:sz w:val="20"/>
          <w:szCs w:val="20"/>
        </w:rPr>
        <w:t xml:space="preserve">In a case </w:t>
      </w:r>
      <w:r>
        <w:rPr>
          <w:rFonts w:ascii="Cambria" w:hAnsi="Cambria"/>
          <w:sz w:val="20"/>
          <w:szCs w:val="20"/>
        </w:rPr>
        <w:t>about whether</w:t>
      </w:r>
      <w:r w:rsidRPr="003A6A92">
        <w:rPr>
          <w:rFonts w:ascii="Cambria" w:hAnsi="Cambria"/>
          <w:sz w:val="20"/>
          <w:szCs w:val="20"/>
        </w:rPr>
        <w:t xml:space="preserve"> a State</w:t>
      </w:r>
      <w:r>
        <w:rPr>
          <w:rFonts w:ascii="Cambria" w:hAnsi="Cambria"/>
          <w:sz w:val="20"/>
          <w:szCs w:val="20"/>
        </w:rPr>
        <w:t xml:space="preserve"> is</w:t>
      </w:r>
      <w:r w:rsidRPr="003A6A92">
        <w:rPr>
          <w:rFonts w:ascii="Cambria" w:hAnsi="Cambria"/>
          <w:sz w:val="20"/>
          <w:szCs w:val="20"/>
        </w:rPr>
        <w:t xml:space="preserve"> responsib</w:t>
      </w:r>
      <w:r>
        <w:rPr>
          <w:rFonts w:ascii="Cambria" w:hAnsi="Cambria"/>
          <w:sz w:val="20"/>
          <w:szCs w:val="20"/>
        </w:rPr>
        <w:t>le for</w:t>
      </w:r>
      <w:r w:rsidRPr="003A6A92">
        <w:rPr>
          <w:rFonts w:ascii="Cambria" w:hAnsi="Cambria"/>
          <w:sz w:val="20"/>
          <w:szCs w:val="20"/>
        </w:rPr>
        <w:t xml:space="preserve"> </w:t>
      </w:r>
      <w:r w:rsidRPr="006742D0">
        <w:rPr>
          <w:rFonts w:ascii="Cambria" w:hAnsi="Cambria"/>
          <w:sz w:val="20"/>
          <w:szCs w:val="20"/>
        </w:rPr>
        <w:t>loss of life resulting</w:t>
      </w:r>
      <w:r>
        <w:rPr>
          <w:rFonts w:ascii="Cambria" w:hAnsi="Cambria"/>
          <w:sz w:val="20"/>
          <w:szCs w:val="20"/>
        </w:rPr>
        <w:t xml:space="preserve"> from</w:t>
      </w:r>
      <w:r w:rsidRPr="003A6A92">
        <w:rPr>
          <w:rFonts w:ascii="Cambria" w:hAnsi="Cambria"/>
          <w:sz w:val="20"/>
          <w:szCs w:val="20"/>
        </w:rPr>
        <w:t xml:space="preserve"> a work of art falling in a public space, the Commission </w:t>
      </w:r>
      <w:r>
        <w:rPr>
          <w:rFonts w:ascii="Cambria" w:hAnsi="Cambria"/>
          <w:sz w:val="20"/>
          <w:szCs w:val="20"/>
        </w:rPr>
        <w:t>determined</w:t>
      </w:r>
      <w:r w:rsidRPr="003A6A92">
        <w:rPr>
          <w:rFonts w:ascii="Cambria" w:hAnsi="Cambria"/>
          <w:sz w:val="20"/>
          <w:szCs w:val="20"/>
        </w:rPr>
        <w:t xml:space="preserve"> that </w:t>
      </w:r>
      <w:r>
        <w:rPr>
          <w:rFonts w:ascii="Cambria" w:hAnsi="Cambria"/>
          <w:sz w:val="20"/>
          <w:szCs w:val="20"/>
        </w:rPr>
        <w:t>although</w:t>
      </w:r>
      <w:r w:rsidRPr="003A6A92">
        <w:rPr>
          <w:rFonts w:ascii="Cambria" w:hAnsi="Cambria"/>
          <w:sz w:val="20"/>
          <w:szCs w:val="20"/>
        </w:rPr>
        <w:t xml:space="preserve"> </w:t>
      </w:r>
      <w:r>
        <w:rPr>
          <w:rFonts w:ascii="Cambria" w:hAnsi="Cambria"/>
          <w:sz w:val="20"/>
          <w:szCs w:val="20"/>
        </w:rPr>
        <w:t>States are not to blame for all</w:t>
      </w:r>
      <w:r w:rsidRPr="003A6A92">
        <w:rPr>
          <w:rFonts w:ascii="Cambria" w:hAnsi="Cambria"/>
          <w:sz w:val="20"/>
          <w:szCs w:val="20"/>
        </w:rPr>
        <w:t xml:space="preserve"> </w:t>
      </w:r>
      <w:r w:rsidRPr="006742D0">
        <w:rPr>
          <w:rFonts w:ascii="Cambria" w:hAnsi="Cambria"/>
          <w:sz w:val="20"/>
          <w:szCs w:val="20"/>
        </w:rPr>
        <w:t>impacts on life and integrity t</w:t>
      </w:r>
      <w:r w:rsidRPr="003A6A92">
        <w:rPr>
          <w:rFonts w:ascii="Cambria" w:hAnsi="Cambria"/>
          <w:sz w:val="20"/>
          <w:szCs w:val="20"/>
        </w:rPr>
        <w:t xml:space="preserve">hat occur in areas </w:t>
      </w:r>
      <w:r>
        <w:rPr>
          <w:rFonts w:ascii="Cambria" w:hAnsi="Cambria"/>
          <w:sz w:val="20"/>
          <w:szCs w:val="20"/>
        </w:rPr>
        <w:t xml:space="preserve">frequented by the public </w:t>
      </w:r>
      <w:r w:rsidRPr="003A6A92">
        <w:rPr>
          <w:rFonts w:ascii="Cambria" w:hAnsi="Cambria"/>
          <w:sz w:val="20"/>
          <w:szCs w:val="20"/>
        </w:rPr>
        <w:t xml:space="preserve">where private companies </w:t>
      </w:r>
      <w:r>
        <w:rPr>
          <w:rFonts w:ascii="Cambria" w:hAnsi="Cambria"/>
          <w:sz w:val="20"/>
          <w:szCs w:val="20"/>
        </w:rPr>
        <w:t>are licensed to operate</w:t>
      </w:r>
      <w:r w:rsidRPr="003A6A92">
        <w:rPr>
          <w:rFonts w:ascii="Cambria" w:hAnsi="Cambria"/>
          <w:sz w:val="20"/>
          <w:szCs w:val="20"/>
        </w:rPr>
        <w:t xml:space="preserve">, </w:t>
      </w:r>
      <w:r>
        <w:rPr>
          <w:rFonts w:ascii="Cambria" w:hAnsi="Cambria"/>
          <w:sz w:val="20"/>
          <w:szCs w:val="20"/>
        </w:rPr>
        <w:t xml:space="preserve">the </w:t>
      </w:r>
      <w:r w:rsidRPr="003A6A92">
        <w:rPr>
          <w:rFonts w:ascii="Cambria" w:hAnsi="Cambria"/>
          <w:sz w:val="20"/>
          <w:szCs w:val="20"/>
        </w:rPr>
        <w:t xml:space="preserve">State may in fact </w:t>
      </w:r>
      <w:r>
        <w:rPr>
          <w:rFonts w:ascii="Cambria" w:hAnsi="Cambria"/>
          <w:sz w:val="20"/>
          <w:szCs w:val="20"/>
        </w:rPr>
        <w:t>be</w:t>
      </w:r>
      <w:r w:rsidRPr="00CF3CDF">
        <w:rPr>
          <w:rFonts w:ascii="Cambria" w:hAnsi="Cambria"/>
          <w:sz w:val="20"/>
          <w:szCs w:val="20"/>
        </w:rPr>
        <w:t xml:space="preserve"> international</w:t>
      </w:r>
      <w:r>
        <w:rPr>
          <w:rFonts w:ascii="Cambria" w:hAnsi="Cambria"/>
          <w:sz w:val="20"/>
          <w:szCs w:val="20"/>
        </w:rPr>
        <w:t>ly</w:t>
      </w:r>
      <w:r w:rsidRPr="00CF3CDF">
        <w:rPr>
          <w:rFonts w:ascii="Cambria" w:hAnsi="Cambria"/>
          <w:sz w:val="20"/>
          <w:szCs w:val="20"/>
        </w:rPr>
        <w:t xml:space="preserve"> responsib</w:t>
      </w:r>
      <w:r>
        <w:rPr>
          <w:rFonts w:ascii="Cambria" w:hAnsi="Cambria"/>
          <w:sz w:val="20"/>
          <w:szCs w:val="20"/>
        </w:rPr>
        <w:t>le</w:t>
      </w:r>
      <w:r w:rsidRPr="00CF3CDF">
        <w:rPr>
          <w:rFonts w:ascii="Cambria" w:hAnsi="Cambria"/>
          <w:sz w:val="20"/>
          <w:szCs w:val="20"/>
        </w:rPr>
        <w:t xml:space="preserve"> </w:t>
      </w:r>
      <w:r>
        <w:rPr>
          <w:rFonts w:ascii="Cambria" w:hAnsi="Cambria"/>
          <w:sz w:val="20"/>
          <w:szCs w:val="20"/>
        </w:rPr>
        <w:t xml:space="preserve">for such impacts when they have taken place in the absence of adequate measures of regulation, oversight, and control. </w:t>
      </w:r>
      <w:r w:rsidRPr="003A6A92">
        <w:rPr>
          <w:rFonts w:ascii="Cambria" w:hAnsi="Cambria"/>
          <w:sz w:val="20"/>
          <w:szCs w:val="20"/>
        </w:rPr>
        <w:t>Specifically, in the case of art galleries</w:t>
      </w:r>
      <w:r>
        <w:rPr>
          <w:rFonts w:ascii="Cambria" w:hAnsi="Cambria"/>
          <w:sz w:val="20"/>
          <w:szCs w:val="20"/>
        </w:rPr>
        <w:t xml:space="preserve"> with</w:t>
      </w:r>
      <w:r w:rsidRPr="003A6A92">
        <w:rPr>
          <w:rFonts w:ascii="Cambria" w:hAnsi="Cambria"/>
          <w:sz w:val="20"/>
          <w:szCs w:val="20"/>
        </w:rPr>
        <w:t xml:space="preserve"> large, heavy structures </w:t>
      </w:r>
      <w:r>
        <w:rPr>
          <w:rFonts w:ascii="Cambria" w:hAnsi="Cambria"/>
          <w:sz w:val="20"/>
          <w:szCs w:val="20"/>
        </w:rPr>
        <w:t xml:space="preserve">located </w:t>
      </w:r>
      <w:r w:rsidRPr="003A6A92">
        <w:rPr>
          <w:rFonts w:ascii="Cambria" w:hAnsi="Cambria"/>
          <w:sz w:val="20"/>
          <w:szCs w:val="20"/>
        </w:rPr>
        <w:t>in places where children are engaged in recreational activities, the State must comply with</w:t>
      </w:r>
      <w:r>
        <w:rPr>
          <w:rFonts w:ascii="Cambria" w:hAnsi="Cambria"/>
          <w:sz w:val="20"/>
          <w:szCs w:val="20"/>
        </w:rPr>
        <w:t xml:space="preserve"> these obligations so as to ensure that any activity of this type, even if done by private entities, does not jeopardize their life and personal integrity</w:t>
      </w:r>
      <w:r w:rsidRPr="003A6A92">
        <w:rPr>
          <w:rFonts w:ascii="Cambria" w:hAnsi="Cambria"/>
          <w:sz w:val="20"/>
          <w:szCs w:val="20"/>
        </w:rPr>
        <w:t>.</w:t>
      </w:r>
    </w:p>
    <w:p w14:paraId="656BF160" w14:textId="77777777" w:rsidR="0057201B" w:rsidRPr="003A6A92" w:rsidRDefault="0057201B" w:rsidP="0057201B">
      <w:pPr>
        <w:autoSpaceDE w:val="0"/>
        <w:autoSpaceDN w:val="0"/>
        <w:adjustRightInd w:val="0"/>
        <w:ind w:left="720"/>
        <w:jc w:val="both"/>
        <w:rPr>
          <w:rFonts w:ascii="Cambria" w:hAnsi="Cambria"/>
          <w:sz w:val="20"/>
          <w:szCs w:val="20"/>
        </w:rPr>
      </w:pPr>
    </w:p>
    <w:p w14:paraId="7917D793" w14:textId="77777777" w:rsidR="0057201B" w:rsidRPr="0057201B" w:rsidRDefault="0057201B" w:rsidP="00933F91">
      <w:pPr>
        <w:pStyle w:val="BodyText"/>
        <w:widowControl/>
        <w:numPr>
          <w:ilvl w:val="0"/>
          <w:numId w:val="56"/>
        </w:numPr>
        <w:ind w:left="1440"/>
        <w:jc w:val="both"/>
        <w:rPr>
          <w:b/>
          <w:bCs/>
        </w:rPr>
      </w:pPr>
      <w:r w:rsidRPr="0057201B">
        <w:rPr>
          <w:b/>
          <w:bCs/>
        </w:rPr>
        <w:t xml:space="preserve">States’ Obligations regarding Contagion among Children in Private Clinics </w:t>
      </w:r>
    </w:p>
    <w:p w14:paraId="22B60B3B" w14:textId="77777777" w:rsidR="0057201B" w:rsidRPr="00DA6310" w:rsidRDefault="0057201B" w:rsidP="0057201B"/>
    <w:p w14:paraId="3CD98E68" w14:textId="77777777" w:rsidR="0057201B" w:rsidRPr="0098345E" w:rsidRDefault="0057201B" w:rsidP="00933F91">
      <w:pPr>
        <w:numPr>
          <w:ilvl w:val="0"/>
          <w:numId w:val="58"/>
        </w:numPr>
        <w:autoSpaceDE w:val="0"/>
        <w:autoSpaceDN w:val="0"/>
        <w:adjustRightInd w:val="0"/>
        <w:ind w:left="0" w:firstLine="720"/>
        <w:jc w:val="both"/>
        <w:rPr>
          <w:rFonts w:ascii="Cambria" w:eastAsiaTheme="majorEastAsia" w:hAnsi="Cambria" w:cstheme="majorBidi"/>
          <w:b/>
          <w:bCs/>
          <w:sz w:val="20"/>
          <w:szCs w:val="26"/>
        </w:rPr>
      </w:pPr>
      <w:r w:rsidRPr="00DA6310">
        <w:rPr>
          <w:rFonts w:ascii="Cambria" w:hAnsi="Cambria"/>
          <w:sz w:val="20"/>
          <w:szCs w:val="20"/>
        </w:rPr>
        <w:t xml:space="preserve">In a case </w:t>
      </w:r>
      <w:r>
        <w:rPr>
          <w:rFonts w:ascii="Cambria" w:hAnsi="Cambria"/>
          <w:sz w:val="20"/>
          <w:szCs w:val="20"/>
        </w:rPr>
        <w:t>related</w:t>
      </w:r>
      <w:r w:rsidRPr="00DA6310">
        <w:rPr>
          <w:rFonts w:ascii="Cambria" w:hAnsi="Cambria"/>
          <w:sz w:val="20"/>
          <w:szCs w:val="20"/>
        </w:rPr>
        <w:t xml:space="preserve"> </w:t>
      </w:r>
      <w:r>
        <w:rPr>
          <w:rFonts w:ascii="Cambria" w:hAnsi="Cambria"/>
          <w:sz w:val="20"/>
          <w:szCs w:val="20"/>
        </w:rPr>
        <w:t xml:space="preserve">to </w:t>
      </w:r>
      <w:r w:rsidRPr="00DA6310">
        <w:rPr>
          <w:rFonts w:ascii="Cambria" w:hAnsi="Cambria"/>
          <w:sz w:val="20"/>
          <w:szCs w:val="20"/>
        </w:rPr>
        <w:t xml:space="preserve">a State’s responsibility for the death of infants </w:t>
      </w:r>
      <w:r>
        <w:rPr>
          <w:rFonts w:ascii="Cambria" w:hAnsi="Cambria"/>
          <w:sz w:val="20"/>
          <w:szCs w:val="20"/>
        </w:rPr>
        <w:t>in a private clinic, alleged to have</w:t>
      </w:r>
      <w:r w:rsidRPr="00DA6310">
        <w:rPr>
          <w:rFonts w:ascii="Cambria" w:hAnsi="Cambria"/>
          <w:sz w:val="20"/>
          <w:szCs w:val="20"/>
        </w:rPr>
        <w:t xml:space="preserve"> result</w:t>
      </w:r>
      <w:r>
        <w:rPr>
          <w:rFonts w:ascii="Cambria" w:hAnsi="Cambria"/>
          <w:sz w:val="20"/>
          <w:szCs w:val="20"/>
        </w:rPr>
        <w:t>ed</w:t>
      </w:r>
      <w:r w:rsidRPr="00DA6310">
        <w:rPr>
          <w:rFonts w:ascii="Cambria" w:hAnsi="Cambria"/>
          <w:sz w:val="20"/>
          <w:szCs w:val="20"/>
        </w:rPr>
        <w:t xml:space="preserve"> </w:t>
      </w:r>
      <w:r>
        <w:rPr>
          <w:rFonts w:ascii="Cambria" w:hAnsi="Cambria"/>
          <w:sz w:val="20"/>
          <w:szCs w:val="20"/>
        </w:rPr>
        <w:t>from</w:t>
      </w:r>
      <w:r w:rsidRPr="00DA6310">
        <w:rPr>
          <w:rFonts w:ascii="Cambria" w:hAnsi="Cambria"/>
          <w:sz w:val="20"/>
          <w:szCs w:val="20"/>
        </w:rPr>
        <w:t xml:space="preserve"> </w:t>
      </w:r>
      <w:r>
        <w:rPr>
          <w:rFonts w:ascii="Cambria" w:hAnsi="Cambria"/>
          <w:sz w:val="20"/>
          <w:szCs w:val="20"/>
        </w:rPr>
        <w:t>an outbreak of infections</w:t>
      </w:r>
      <w:r w:rsidRPr="00DA6310">
        <w:rPr>
          <w:rFonts w:ascii="Cambria" w:hAnsi="Cambria"/>
          <w:sz w:val="20"/>
          <w:szCs w:val="20"/>
        </w:rPr>
        <w:t xml:space="preserve">, the Commission reiterated that health-care services </w:t>
      </w:r>
      <w:r>
        <w:rPr>
          <w:rFonts w:ascii="Cambria" w:hAnsi="Cambria"/>
          <w:sz w:val="20"/>
          <w:szCs w:val="20"/>
        </w:rPr>
        <w:t>fall into a category</w:t>
      </w:r>
      <w:r w:rsidRPr="00DA6310">
        <w:rPr>
          <w:rFonts w:ascii="Cambria" w:hAnsi="Cambria"/>
          <w:sz w:val="20"/>
          <w:szCs w:val="20"/>
        </w:rPr>
        <w:t xml:space="preserve"> in which it is incumbent upon the State to exercise regulation, oversight, and control, </w:t>
      </w:r>
      <w:r>
        <w:rPr>
          <w:rFonts w:ascii="Cambria" w:hAnsi="Cambria"/>
          <w:sz w:val="20"/>
          <w:szCs w:val="20"/>
        </w:rPr>
        <w:t>due to</w:t>
      </w:r>
      <w:r w:rsidRPr="00DA6310">
        <w:rPr>
          <w:rFonts w:ascii="Cambria" w:hAnsi="Cambria"/>
          <w:sz w:val="20"/>
          <w:szCs w:val="20"/>
        </w:rPr>
        <w:t xml:space="preserve"> the direct relationship </w:t>
      </w:r>
      <w:r>
        <w:rPr>
          <w:rFonts w:ascii="Cambria" w:hAnsi="Cambria"/>
          <w:sz w:val="20"/>
          <w:szCs w:val="20"/>
        </w:rPr>
        <w:t>between</w:t>
      </w:r>
      <w:r w:rsidRPr="00DA6310">
        <w:rPr>
          <w:rFonts w:ascii="Cambria" w:hAnsi="Cambria"/>
          <w:sz w:val="20"/>
          <w:szCs w:val="20"/>
        </w:rPr>
        <w:t xml:space="preserve"> these activities </w:t>
      </w:r>
      <w:r>
        <w:rPr>
          <w:rFonts w:ascii="Cambria" w:hAnsi="Cambria"/>
          <w:sz w:val="20"/>
          <w:szCs w:val="20"/>
        </w:rPr>
        <w:t>and</w:t>
      </w:r>
      <w:r w:rsidRPr="00DA6310">
        <w:rPr>
          <w:rFonts w:ascii="Cambria" w:hAnsi="Cambria"/>
          <w:sz w:val="20"/>
          <w:szCs w:val="20"/>
        </w:rPr>
        <w:t xml:space="preserve"> the enjoyment of the rights to life, personal integrity, or health.</w:t>
      </w:r>
      <w:r w:rsidRPr="00DA6310">
        <w:rPr>
          <w:rFonts w:ascii="Cambria" w:eastAsia="Batang" w:hAnsi="Cambria"/>
          <w:sz w:val="20"/>
          <w:szCs w:val="20"/>
        </w:rPr>
        <w:t xml:space="preserve"> This obligation is especially reinforced when it comes to newborn</w:t>
      </w:r>
      <w:r>
        <w:rPr>
          <w:rFonts w:ascii="Cambria" w:eastAsia="Batang" w:hAnsi="Cambria"/>
          <w:sz w:val="20"/>
          <w:szCs w:val="20"/>
        </w:rPr>
        <w:t>s,</w:t>
      </w:r>
      <w:r w:rsidRPr="00DA6310">
        <w:rPr>
          <w:rFonts w:ascii="Cambria" w:eastAsia="Batang" w:hAnsi="Cambria"/>
          <w:sz w:val="20"/>
          <w:szCs w:val="20"/>
        </w:rPr>
        <w:t xml:space="preserve"> who are</w:t>
      </w:r>
      <w:r>
        <w:rPr>
          <w:rFonts w:ascii="Cambria" w:eastAsia="Batang" w:hAnsi="Cambria"/>
          <w:sz w:val="20"/>
          <w:szCs w:val="20"/>
        </w:rPr>
        <w:t xml:space="preserve"> </w:t>
      </w:r>
      <w:r w:rsidRPr="00DA6310">
        <w:rPr>
          <w:rFonts w:ascii="Cambria" w:eastAsia="Batang" w:hAnsi="Cambria"/>
          <w:sz w:val="20"/>
          <w:szCs w:val="20"/>
        </w:rPr>
        <w:t>extremely vulnerable.</w:t>
      </w:r>
      <w:r>
        <w:rPr>
          <w:rFonts w:ascii="Cambria" w:eastAsia="Batang" w:hAnsi="Cambria"/>
          <w:sz w:val="20"/>
          <w:szCs w:val="20"/>
        </w:rPr>
        <w:t xml:space="preserve"> In this case, g</w:t>
      </w:r>
      <w:r w:rsidRPr="00DA6310">
        <w:rPr>
          <w:rFonts w:ascii="Cambria" w:eastAsia="Batang" w:hAnsi="Cambria"/>
          <w:sz w:val="20"/>
          <w:szCs w:val="20"/>
        </w:rPr>
        <w:t>iven an abnormal rate of hospital in</w:t>
      </w:r>
      <w:r>
        <w:rPr>
          <w:rFonts w:ascii="Cambria" w:eastAsia="Batang" w:hAnsi="Cambria"/>
          <w:sz w:val="20"/>
          <w:szCs w:val="20"/>
        </w:rPr>
        <w:t>fections, factors such as overcrowding and lack of adequate professional staffing, as well as conditions associated with deficient hygiene and cleanliness of the environment that could be related to an increase in infant mortality, t</w:t>
      </w:r>
      <w:r w:rsidRPr="00DA6310">
        <w:rPr>
          <w:rFonts w:ascii="Cambria" w:eastAsia="Batang" w:hAnsi="Cambria"/>
          <w:sz w:val="20"/>
          <w:szCs w:val="20"/>
        </w:rPr>
        <w:t xml:space="preserve">he Commission deemed that </w:t>
      </w:r>
      <w:r>
        <w:rPr>
          <w:rFonts w:ascii="Cambria" w:eastAsia="Batang" w:hAnsi="Cambria"/>
          <w:sz w:val="20"/>
          <w:szCs w:val="20"/>
        </w:rPr>
        <w:t xml:space="preserve">the State </w:t>
      </w:r>
      <w:r>
        <w:rPr>
          <w:rFonts w:ascii="Cambria" w:hAnsi="Cambria"/>
          <w:sz w:val="20"/>
          <w:szCs w:val="20"/>
        </w:rPr>
        <w:t>is</w:t>
      </w:r>
      <w:r w:rsidRPr="00CF3CDF">
        <w:rPr>
          <w:rFonts w:ascii="Cambria" w:hAnsi="Cambria"/>
          <w:sz w:val="20"/>
          <w:szCs w:val="20"/>
        </w:rPr>
        <w:t xml:space="preserve"> international</w:t>
      </w:r>
      <w:r>
        <w:rPr>
          <w:rFonts w:ascii="Cambria" w:hAnsi="Cambria"/>
          <w:sz w:val="20"/>
          <w:szCs w:val="20"/>
        </w:rPr>
        <w:t>ly</w:t>
      </w:r>
      <w:r w:rsidRPr="00CF3CDF">
        <w:rPr>
          <w:rFonts w:ascii="Cambria" w:hAnsi="Cambria"/>
          <w:sz w:val="20"/>
          <w:szCs w:val="20"/>
        </w:rPr>
        <w:t xml:space="preserve"> responsib</w:t>
      </w:r>
      <w:r>
        <w:rPr>
          <w:rFonts w:ascii="Cambria" w:hAnsi="Cambria"/>
          <w:sz w:val="20"/>
          <w:szCs w:val="20"/>
        </w:rPr>
        <w:t>le</w:t>
      </w:r>
      <w:r w:rsidRPr="00CF3CDF">
        <w:rPr>
          <w:rFonts w:ascii="Cambria" w:hAnsi="Cambria"/>
          <w:sz w:val="20"/>
          <w:szCs w:val="20"/>
        </w:rPr>
        <w:t xml:space="preserve"> </w:t>
      </w:r>
      <w:r>
        <w:rPr>
          <w:rFonts w:ascii="Cambria" w:eastAsia="Batang" w:hAnsi="Cambria"/>
          <w:sz w:val="20"/>
          <w:szCs w:val="20"/>
        </w:rPr>
        <w:t>for failing to perform the aforementioned obligations, by which it should have become aware of the potential risk</w:t>
      </w:r>
      <w:r w:rsidRPr="00961EAB">
        <w:rPr>
          <w:rFonts w:ascii="Cambria" w:eastAsia="Batang" w:hAnsi="Cambria"/>
          <w:sz w:val="20"/>
          <w:szCs w:val="20"/>
        </w:rPr>
        <w:t xml:space="preserve"> </w:t>
      </w:r>
      <w:r>
        <w:rPr>
          <w:rFonts w:ascii="Cambria" w:eastAsia="Batang" w:hAnsi="Cambria"/>
          <w:sz w:val="20"/>
          <w:szCs w:val="20"/>
        </w:rPr>
        <w:t>that such circumstances could pose to life and personal integrity</w:t>
      </w:r>
      <w:r w:rsidRPr="00DA6310">
        <w:rPr>
          <w:rFonts w:ascii="Cambria" w:eastAsia="Batang" w:hAnsi="Cambria"/>
          <w:sz w:val="20"/>
          <w:szCs w:val="20"/>
        </w:rPr>
        <w:t>.</w:t>
      </w:r>
      <w:r w:rsidRPr="0098345E">
        <w:rPr>
          <w:rFonts w:ascii="Cambria" w:eastAsia="Batang" w:hAnsi="Cambria"/>
          <w:sz w:val="20"/>
          <w:szCs w:val="20"/>
        </w:rPr>
        <w:t xml:space="preserve"> </w:t>
      </w:r>
    </w:p>
    <w:p w14:paraId="0138F990" w14:textId="77777777" w:rsidR="0057201B" w:rsidRPr="0098345E" w:rsidRDefault="0057201B" w:rsidP="0057201B">
      <w:pPr>
        <w:autoSpaceDE w:val="0"/>
        <w:autoSpaceDN w:val="0"/>
        <w:adjustRightInd w:val="0"/>
        <w:ind w:left="720"/>
        <w:jc w:val="both"/>
        <w:rPr>
          <w:rFonts w:ascii="Cambria" w:eastAsiaTheme="majorEastAsia" w:hAnsi="Cambria" w:cstheme="majorBidi"/>
          <w:b/>
          <w:bCs/>
          <w:sz w:val="20"/>
          <w:szCs w:val="26"/>
        </w:rPr>
      </w:pPr>
    </w:p>
    <w:p w14:paraId="01CAAB42" w14:textId="77777777" w:rsidR="0057201B" w:rsidRPr="0057201B" w:rsidRDefault="0057201B" w:rsidP="00933F91">
      <w:pPr>
        <w:pStyle w:val="BodyText"/>
        <w:widowControl/>
        <w:numPr>
          <w:ilvl w:val="0"/>
          <w:numId w:val="56"/>
        </w:numPr>
        <w:ind w:left="1440"/>
        <w:jc w:val="both"/>
        <w:rPr>
          <w:b/>
          <w:bCs/>
        </w:rPr>
      </w:pPr>
      <w:r w:rsidRPr="0057201B">
        <w:rPr>
          <w:b/>
          <w:bCs/>
        </w:rPr>
        <w:lastRenderedPageBreak/>
        <w:t xml:space="preserve">Violations of Freedom of Conscience and Religion as a Result of Violations of the Right to Life </w:t>
      </w:r>
    </w:p>
    <w:p w14:paraId="5718C151" w14:textId="77777777" w:rsidR="0057201B" w:rsidRPr="0098345E" w:rsidRDefault="0057201B" w:rsidP="0057201B"/>
    <w:p w14:paraId="6BBD2A8F" w14:textId="77777777" w:rsidR="0057201B" w:rsidRDefault="0057201B" w:rsidP="00933F91">
      <w:pPr>
        <w:numPr>
          <w:ilvl w:val="0"/>
          <w:numId w:val="58"/>
        </w:numPr>
        <w:autoSpaceDE w:val="0"/>
        <w:autoSpaceDN w:val="0"/>
        <w:adjustRightInd w:val="0"/>
        <w:ind w:left="0" w:firstLine="720"/>
        <w:jc w:val="both"/>
        <w:rPr>
          <w:rFonts w:ascii="Cambria" w:hAnsi="Cambria"/>
          <w:sz w:val="20"/>
          <w:szCs w:val="20"/>
        </w:rPr>
      </w:pPr>
      <w:r w:rsidRPr="009C4012">
        <w:rPr>
          <w:rFonts w:ascii="Cambria" w:hAnsi="Cambria"/>
          <w:sz w:val="20"/>
          <w:szCs w:val="20"/>
        </w:rPr>
        <w:t xml:space="preserve">In a case involving a priest’s forced disappearance, which </w:t>
      </w:r>
      <w:r>
        <w:rPr>
          <w:rFonts w:ascii="Cambria" w:hAnsi="Cambria"/>
          <w:sz w:val="20"/>
          <w:szCs w:val="20"/>
        </w:rPr>
        <w:t>could</w:t>
      </w:r>
      <w:r w:rsidRPr="009C4012">
        <w:rPr>
          <w:rFonts w:ascii="Cambria" w:hAnsi="Cambria"/>
          <w:sz w:val="20"/>
          <w:szCs w:val="20"/>
        </w:rPr>
        <w:t xml:space="preserve"> </w:t>
      </w:r>
      <w:r w:rsidRPr="006742D0">
        <w:rPr>
          <w:rFonts w:ascii="Cambria" w:hAnsi="Cambria"/>
          <w:sz w:val="20"/>
          <w:szCs w:val="20"/>
        </w:rPr>
        <w:t>reasonably be considered</w:t>
      </w:r>
      <w:r w:rsidRPr="009C4012">
        <w:rPr>
          <w:rFonts w:ascii="Cambria" w:hAnsi="Cambria"/>
          <w:sz w:val="20"/>
          <w:szCs w:val="20"/>
        </w:rPr>
        <w:t xml:space="preserve"> to constitute a reprisal </w:t>
      </w:r>
      <w:r>
        <w:rPr>
          <w:rFonts w:ascii="Cambria" w:hAnsi="Cambria"/>
          <w:sz w:val="20"/>
          <w:szCs w:val="20"/>
        </w:rPr>
        <w:t>for</w:t>
      </w:r>
      <w:r w:rsidRPr="009C4012">
        <w:rPr>
          <w:rFonts w:ascii="Cambria" w:hAnsi="Cambria"/>
          <w:sz w:val="20"/>
          <w:szCs w:val="20"/>
        </w:rPr>
        <w:t xml:space="preserve"> the human rights work he </w:t>
      </w:r>
      <w:r>
        <w:rPr>
          <w:rFonts w:ascii="Cambria" w:hAnsi="Cambria"/>
          <w:sz w:val="20"/>
          <w:szCs w:val="20"/>
        </w:rPr>
        <w:t>did</w:t>
      </w:r>
      <w:r w:rsidRPr="009C4012">
        <w:rPr>
          <w:rFonts w:ascii="Cambria" w:hAnsi="Cambria"/>
          <w:sz w:val="20"/>
          <w:szCs w:val="20"/>
        </w:rPr>
        <w:t xml:space="preserve"> as part of his pastoral and social activities in a peasant community, the Commission determined that these acts translated in</w:t>
      </w:r>
      <w:r>
        <w:rPr>
          <w:rFonts w:ascii="Cambria" w:hAnsi="Cambria"/>
          <w:sz w:val="20"/>
          <w:szCs w:val="20"/>
        </w:rPr>
        <w:t>to</w:t>
      </w:r>
      <w:r w:rsidRPr="009C4012">
        <w:rPr>
          <w:rFonts w:ascii="Cambria" w:hAnsi="Cambria"/>
          <w:sz w:val="20"/>
          <w:szCs w:val="20"/>
        </w:rPr>
        <w:t xml:space="preserve"> a violation of freedom of association. It also found that—in keeping with precedent established in the merits report in </w:t>
      </w:r>
      <w:hyperlink r:id="rId14" w:history="1">
        <w:r w:rsidRPr="009C4012">
          <w:rPr>
            <w:rStyle w:val="Hyperlink"/>
            <w:rFonts w:ascii="Cambria" w:hAnsi="Cambria"/>
            <w:sz w:val="20"/>
            <w:szCs w:val="20"/>
          </w:rPr>
          <w:t>Case 10.526</w:t>
        </w:r>
      </w:hyperlink>
      <w:r>
        <w:rPr>
          <w:rFonts w:ascii="Cambria" w:hAnsi="Cambria"/>
          <w:sz w:val="20"/>
          <w:szCs w:val="20"/>
        </w:rPr>
        <w:t>—</w:t>
      </w:r>
      <w:r w:rsidRPr="009C4012">
        <w:rPr>
          <w:rFonts w:ascii="Cambria" w:hAnsi="Cambria"/>
          <w:sz w:val="20"/>
          <w:szCs w:val="20"/>
        </w:rPr>
        <w:t>the</w:t>
      </w:r>
      <w:r>
        <w:rPr>
          <w:rFonts w:ascii="Cambria" w:hAnsi="Cambria"/>
          <w:sz w:val="20"/>
          <w:szCs w:val="20"/>
        </w:rPr>
        <w:t>se acts</w:t>
      </w:r>
      <w:r w:rsidRPr="009C4012">
        <w:rPr>
          <w:rFonts w:ascii="Cambria" w:hAnsi="Cambria"/>
          <w:sz w:val="20"/>
          <w:szCs w:val="20"/>
        </w:rPr>
        <w:t xml:space="preserve"> constituted a violation of freedom of conscience and religion. </w:t>
      </w:r>
    </w:p>
    <w:p w14:paraId="23D04F33" w14:textId="77777777" w:rsidR="0057201B" w:rsidRPr="009C4012" w:rsidRDefault="0057201B" w:rsidP="004B7474">
      <w:pPr>
        <w:autoSpaceDE w:val="0"/>
        <w:autoSpaceDN w:val="0"/>
        <w:adjustRightInd w:val="0"/>
        <w:jc w:val="both"/>
        <w:rPr>
          <w:rFonts w:ascii="Cambria" w:hAnsi="Cambria"/>
          <w:sz w:val="20"/>
          <w:szCs w:val="20"/>
        </w:rPr>
      </w:pPr>
    </w:p>
    <w:p w14:paraId="097B1B6B" w14:textId="77777777" w:rsidR="0057201B" w:rsidRPr="0057201B" w:rsidRDefault="0057201B" w:rsidP="00933F91">
      <w:pPr>
        <w:pStyle w:val="BodyText"/>
        <w:widowControl/>
        <w:numPr>
          <w:ilvl w:val="0"/>
          <w:numId w:val="56"/>
        </w:numPr>
        <w:ind w:left="1440"/>
        <w:jc w:val="both"/>
        <w:rPr>
          <w:b/>
          <w:bCs/>
        </w:rPr>
      </w:pPr>
      <w:r w:rsidRPr="0057201B">
        <w:rPr>
          <w:b/>
          <w:bCs/>
        </w:rPr>
        <w:t xml:space="preserve">Violations of Freedom of Conscience and Religion Stemming from the Inability to Practice Funeral Rituals in Keeping with Personal Beliefs </w:t>
      </w:r>
    </w:p>
    <w:p w14:paraId="52D77AB6" w14:textId="77777777" w:rsidR="0057201B" w:rsidRPr="009C4012" w:rsidRDefault="0057201B" w:rsidP="0057201B"/>
    <w:p w14:paraId="2F8B83B7" w14:textId="77777777" w:rsidR="0057201B" w:rsidRPr="00FE48F9" w:rsidRDefault="0057201B" w:rsidP="00933F91">
      <w:pPr>
        <w:numPr>
          <w:ilvl w:val="0"/>
          <w:numId w:val="58"/>
        </w:numPr>
        <w:autoSpaceDE w:val="0"/>
        <w:autoSpaceDN w:val="0"/>
        <w:adjustRightInd w:val="0"/>
        <w:ind w:left="0" w:firstLine="720"/>
        <w:jc w:val="both"/>
        <w:rPr>
          <w:rFonts w:ascii="Cambria" w:hAnsi="Cambria"/>
          <w:sz w:val="20"/>
          <w:szCs w:val="20"/>
        </w:rPr>
      </w:pPr>
      <w:r w:rsidRPr="00FE48F9">
        <w:rPr>
          <w:rFonts w:ascii="Cambria" w:hAnsi="Cambria"/>
          <w:sz w:val="20"/>
          <w:szCs w:val="20"/>
        </w:rPr>
        <w:t xml:space="preserve">In </w:t>
      </w:r>
      <w:r>
        <w:rPr>
          <w:rFonts w:ascii="Cambria" w:hAnsi="Cambria"/>
          <w:sz w:val="20"/>
          <w:szCs w:val="20"/>
        </w:rPr>
        <w:t>this</w:t>
      </w:r>
      <w:r w:rsidRPr="00FE48F9">
        <w:rPr>
          <w:rFonts w:ascii="Cambria" w:hAnsi="Cambria"/>
          <w:sz w:val="20"/>
          <w:szCs w:val="20"/>
        </w:rPr>
        <w:t xml:space="preserve"> case </w:t>
      </w:r>
      <w:r>
        <w:rPr>
          <w:rFonts w:ascii="Cambria" w:hAnsi="Cambria"/>
          <w:sz w:val="20"/>
          <w:szCs w:val="20"/>
        </w:rPr>
        <w:t>involving</w:t>
      </w:r>
      <w:r w:rsidRPr="00FE48F9">
        <w:rPr>
          <w:rFonts w:ascii="Cambria" w:hAnsi="Cambria"/>
          <w:sz w:val="20"/>
          <w:szCs w:val="20"/>
        </w:rPr>
        <w:t xml:space="preserve"> the extrajudicial execution of the victims, the State did not allow </w:t>
      </w:r>
      <w:r>
        <w:rPr>
          <w:rFonts w:ascii="Cambria" w:hAnsi="Cambria"/>
          <w:sz w:val="20"/>
          <w:szCs w:val="20"/>
        </w:rPr>
        <w:t>family members</w:t>
      </w:r>
      <w:r w:rsidRPr="00FE48F9">
        <w:rPr>
          <w:rFonts w:ascii="Cambria" w:hAnsi="Cambria"/>
          <w:sz w:val="20"/>
          <w:szCs w:val="20"/>
        </w:rPr>
        <w:t xml:space="preserve"> to hold a funeral in keeping with their customs, </w:t>
      </w:r>
      <w:r>
        <w:rPr>
          <w:rFonts w:ascii="Cambria" w:hAnsi="Cambria"/>
          <w:sz w:val="20"/>
          <w:szCs w:val="20"/>
        </w:rPr>
        <w:t>instead giving</w:t>
      </w:r>
      <w:r w:rsidRPr="00FE48F9">
        <w:rPr>
          <w:rFonts w:ascii="Cambria" w:hAnsi="Cambria"/>
          <w:sz w:val="20"/>
          <w:szCs w:val="20"/>
        </w:rPr>
        <w:t xml:space="preserve"> them access to a “controlled” burial without </w:t>
      </w:r>
      <w:r>
        <w:rPr>
          <w:rFonts w:ascii="Cambria" w:hAnsi="Cambria"/>
          <w:sz w:val="20"/>
          <w:szCs w:val="20"/>
        </w:rPr>
        <w:t>allowing them</w:t>
      </w:r>
      <w:r w:rsidRPr="00FE48F9">
        <w:rPr>
          <w:rFonts w:ascii="Cambria" w:hAnsi="Cambria"/>
          <w:sz w:val="20"/>
          <w:szCs w:val="20"/>
        </w:rPr>
        <w:t xml:space="preserve"> to </w:t>
      </w:r>
      <w:r>
        <w:rPr>
          <w:rFonts w:ascii="Cambria" w:hAnsi="Cambria"/>
          <w:sz w:val="20"/>
          <w:szCs w:val="20"/>
        </w:rPr>
        <w:t>keep</w:t>
      </w:r>
      <w:r w:rsidRPr="00FE48F9">
        <w:rPr>
          <w:rFonts w:ascii="Cambria" w:hAnsi="Cambria"/>
          <w:sz w:val="20"/>
          <w:szCs w:val="20"/>
        </w:rPr>
        <w:t xml:space="preserve"> vigil over the bodies or choose the burial site or clothing</w:t>
      </w:r>
      <w:r>
        <w:rPr>
          <w:rFonts w:ascii="Cambria" w:hAnsi="Cambria"/>
          <w:sz w:val="20"/>
          <w:szCs w:val="20"/>
        </w:rPr>
        <w:t>. T</w:t>
      </w:r>
      <w:r w:rsidRPr="00FE48F9">
        <w:rPr>
          <w:rFonts w:ascii="Cambria" w:hAnsi="Cambria"/>
          <w:sz w:val="20"/>
          <w:szCs w:val="20"/>
        </w:rPr>
        <w:t xml:space="preserve">he Commission reiterated that rituals or religious practices </w:t>
      </w:r>
      <w:r>
        <w:rPr>
          <w:rFonts w:ascii="Cambria" w:hAnsi="Cambria"/>
          <w:sz w:val="20"/>
          <w:szCs w:val="20"/>
        </w:rPr>
        <w:t xml:space="preserve">associated with burials </w:t>
      </w:r>
      <w:r w:rsidRPr="00FE48F9">
        <w:rPr>
          <w:rFonts w:ascii="Cambria" w:hAnsi="Cambria"/>
          <w:sz w:val="20"/>
          <w:szCs w:val="20"/>
        </w:rPr>
        <w:t xml:space="preserve">are fundamentally important to facilitate mourning and allow people to </w:t>
      </w:r>
      <w:r>
        <w:rPr>
          <w:rFonts w:ascii="Cambria" w:hAnsi="Cambria"/>
          <w:sz w:val="20"/>
          <w:szCs w:val="20"/>
        </w:rPr>
        <w:t>reframe</w:t>
      </w:r>
      <w:r w:rsidRPr="00FE48F9">
        <w:rPr>
          <w:rFonts w:ascii="Cambria" w:hAnsi="Cambria"/>
          <w:sz w:val="20"/>
          <w:szCs w:val="20"/>
        </w:rPr>
        <w:t xml:space="preserve"> their relationships with the dead. These hindrances</w:t>
      </w:r>
      <w:r>
        <w:rPr>
          <w:rFonts w:ascii="Cambria" w:hAnsi="Cambria"/>
          <w:sz w:val="20"/>
          <w:szCs w:val="20"/>
        </w:rPr>
        <w:t xml:space="preserve"> thus </w:t>
      </w:r>
      <w:r w:rsidRPr="00FE48F9">
        <w:rPr>
          <w:rFonts w:ascii="Cambria" w:hAnsi="Cambria"/>
          <w:sz w:val="20"/>
          <w:szCs w:val="20"/>
        </w:rPr>
        <w:t xml:space="preserve">translated into a violation of the right to personal integrity and to freedom of conscience and religion. </w:t>
      </w:r>
    </w:p>
    <w:p w14:paraId="1648D707" w14:textId="77777777" w:rsidR="0057201B" w:rsidRPr="00FE48F9" w:rsidRDefault="0057201B" w:rsidP="0057201B">
      <w:pPr>
        <w:pStyle w:val="ListParagraph"/>
        <w:autoSpaceDE w:val="0"/>
        <w:autoSpaceDN w:val="0"/>
        <w:adjustRightInd w:val="0"/>
        <w:ind w:left="1080"/>
        <w:jc w:val="both"/>
        <w:rPr>
          <w:rFonts w:ascii="Cambria" w:hAnsi="Cambria"/>
          <w:b/>
          <w:sz w:val="20"/>
          <w:szCs w:val="20"/>
        </w:rPr>
      </w:pPr>
    </w:p>
    <w:p w14:paraId="036DEF54" w14:textId="77777777" w:rsidR="0057201B" w:rsidRPr="00EA3179" w:rsidRDefault="0057201B" w:rsidP="00933F91">
      <w:pPr>
        <w:pStyle w:val="BodyText"/>
        <w:widowControl/>
        <w:numPr>
          <w:ilvl w:val="0"/>
          <w:numId w:val="56"/>
        </w:numPr>
        <w:ind w:left="1440"/>
        <w:jc w:val="both"/>
        <w:rPr>
          <w:b/>
        </w:rPr>
      </w:pPr>
      <w:r w:rsidRPr="00EA3179">
        <w:rPr>
          <w:b/>
        </w:rPr>
        <w:t xml:space="preserve">Obligations of States regarding National Censuses </w:t>
      </w:r>
    </w:p>
    <w:p w14:paraId="2B831D71" w14:textId="77777777" w:rsidR="0057201B" w:rsidRPr="00EA3179" w:rsidRDefault="0057201B" w:rsidP="0057201B">
      <w:pPr>
        <w:autoSpaceDE w:val="0"/>
        <w:autoSpaceDN w:val="0"/>
        <w:adjustRightInd w:val="0"/>
        <w:ind w:left="720"/>
        <w:jc w:val="both"/>
        <w:rPr>
          <w:rFonts w:ascii="Cambria" w:hAnsi="Cambria"/>
          <w:sz w:val="20"/>
          <w:szCs w:val="20"/>
        </w:rPr>
      </w:pPr>
    </w:p>
    <w:p w14:paraId="600D4D2B" w14:textId="77777777" w:rsidR="0057201B" w:rsidRPr="00566C14" w:rsidRDefault="0057201B" w:rsidP="00933F91">
      <w:pPr>
        <w:numPr>
          <w:ilvl w:val="0"/>
          <w:numId w:val="58"/>
        </w:numPr>
        <w:autoSpaceDE w:val="0"/>
        <w:autoSpaceDN w:val="0"/>
        <w:adjustRightInd w:val="0"/>
        <w:ind w:left="0" w:firstLine="720"/>
        <w:jc w:val="both"/>
        <w:rPr>
          <w:rFonts w:ascii="Cambria" w:hAnsi="Cambria"/>
          <w:sz w:val="20"/>
          <w:szCs w:val="20"/>
        </w:rPr>
      </w:pPr>
      <w:r w:rsidRPr="009767B6">
        <w:rPr>
          <w:rFonts w:ascii="Cambria" w:hAnsi="Cambria"/>
          <w:sz w:val="20"/>
          <w:szCs w:val="20"/>
        </w:rPr>
        <w:t>The Commission</w:t>
      </w:r>
      <w:r w:rsidRPr="00F44745">
        <w:rPr>
          <w:rFonts w:ascii="Cambria" w:hAnsi="Cambria"/>
          <w:sz w:val="20"/>
          <w:szCs w:val="20"/>
        </w:rPr>
        <w:t xml:space="preserve"> expressed its opinion </w:t>
      </w:r>
      <w:r>
        <w:rPr>
          <w:rFonts w:ascii="Cambria" w:hAnsi="Cambria"/>
          <w:sz w:val="20"/>
          <w:szCs w:val="20"/>
        </w:rPr>
        <w:t>regarding</w:t>
      </w:r>
      <w:r w:rsidRPr="00F44745">
        <w:rPr>
          <w:rFonts w:ascii="Cambria" w:hAnsi="Cambria"/>
          <w:sz w:val="20"/>
          <w:szCs w:val="20"/>
        </w:rPr>
        <w:t xml:space="preserve"> the responsibility of a State in a case in which the </w:t>
      </w:r>
      <w:r>
        <w:rPr>
          <w:rFonts w:ascii="Cambria" w:hAnsi="Cambria"/>
          <w:sz w:val="20"/>
          <w:szCs w:val="20"/>
        </w:rPr>
        <w:t>competent</w:t>
      </w:r>
      <w:r w:rsidRPr="00F44745">
        <w:rPr>
          <w:rFonts w:ascii="Cambria" w:hAnsi="Cambria"/>
          <w:sz w:val="20"/>
          <w:szCs w:val="20"/>
        </w:rPr>
        <w:t xml:space="preserve"> authority refused to include the category of “Afrodescend</w:t>
      </w:r>
      <w:r>
        <w:rPr>
          <w:rFonts w:ascii="Cambria" w:hAnsi="Cambria"/>
          <w:sz w:val="20"/>
          <w:szCs w:val="20"/>
        </w:rPr>
        <w:t>a</w:t>
      </w:r>
      <w:r w:rsidRPr="00F44745">
        <w:rPr>
          <w:rFonts w:ascii="Cambria" w:hAnsi="Cambria"/>
          <w:sz w:val="20"/>
          <w:szCs w:val="20"/>
        </w:rPr>
        <w:t xml:space="preserve">nt” in a national census, on grounds that for census purposes it was enough to identify people of African descent in the category of “Others” and that the </w:t>
      </w:r>
      <w:r>
        <w:rPr>
          <w:rFonts w:ascii="Cambria" w:hAnsi="Cambria"/>
          <w:sz w:val="20"/>
          <w:szCs w:val="20"/>
        </w:rPr>
        <w:t xml:space="preserve">process in place for defining the questions had already ended. </w:t>
      </w:r>
      <w:r w:rsidRPr="00F44745">
        <w:rPr>
          <w:rFonts w:ascii="Cambria" w:hAnsi="Cambria"/>
          <w:sz w:val="20"/>
          <w:szCs w:val="20"/>
        </w:rPr>
        <w:t>The Commission called to mind that State</w:t>
      </w:r>
      <w:r>
        <w:rPr>
          <w:rFonts w:ascii="Cambria" w:hAnsi="Cambria"/>
          <w:sz w:val="20"/>
          <w:szCs w:val="20"/>
        </w:rPr>
        <w:t>s</w:t>
      </w:r>
      <w:r w:rsidRPr="00F44745">
        <w:rPr>
          <w:rFonts w:ascii="Cambria" w:hAnsi="Cambria"/>
          <w:sz w:val="20"/>
          <w:szCs w:val="20"/>
        </w:rPr>
        <w:t xml:space="preserve"> have the obligation to adopt measures to eliminate racial discrimination and </w:t>
      </w:r>
      <w:r>
        <w:rPr>
          <w:rFonts w:ascii="Cambria" w:hAnsi="Cambria"/>
          <w:sz w:val="20"/>
          <w:szCs w:val="20"/>
        </w:rPr>
        <w:t>guarantee</w:t>
      </w:r>
      <w:r w:rsidRPr="00F44745">
        <w:rPr>
          <w:rFonts w:ascii="Cambria" w:hAnsi="Cambria"/>
          <w:sz w:val="20"/>
          <w:szCs w:val="20"/>
        </w:rPr>
        <w:t xml:space="preserve"> the right</w:t>
      </w:r>
      <w:r>
        <w:rPr>
          <w:rFonts w:ascii="Cambria" w:hAnsi="Cambria"/>
          <w:sz w:val="20"/>
          <w:szCs w:val="20"/>
        </w:rPr>
        <w:t>s</w:t>
      </w:r>
      <w:r w:rsidRPr="00F44745">
        <w:rPr>
          <w:rFonts w:ascii="Cambria" w:hAnsi="Cambria"/>
          <w:sz w:val="20"/>
          <w:szCs w:val="20"/>
        </w:rPr>
        <w:t xml:space="preserve"> of people of African descent</w:t>
      </w:r>
      <w:r>
        <w:rPr>
          <w:rFonts w:ascii="Cambria" w:hAnsi="Cambria"/>
          <w:sz w:val="20"/>
          <w:szCs w:val="20"/>
        </w:rPr>
        <w:t xml:space="preserve">; to that end, having </w:t>
      </w:r>
      <w:r w:rsidRPr="00F44745">
        <w:rPr>
          <w:rFonts w:ascii="Cambria" w:hAnsi="Cambria"/>
          <w:sz w:val="20"/>
          <w:szCs w:val="20"/>
        </w:rPr>
        <w:t xml:space="preserve">adequate and disaggregated information </w:t>
      </w:r>
      <w:r>
        <w:rPr>
          <w:rFonts w:ascii="Cambria" w:hAnsi="Cambria"/>
          <w:sz w:val="20"/>
          <w:szCs w:val="20"/>
        </w:rPr>
        <w:t>is essential for the development of</w:t>
      </w:r>
      <w:r w:rsidRPr="00F44745">
        <w:rPr>
          <w:rFonts w:ascii="Cambria" w:hAnsi="Cambria"/>
          <w:sz w:val="20"/>
          <w:szCs w:val="20"/>
        </w:rPr>
        <w:t xml:space="preserve"> public policies that achieve material equali</w:t>
      </w:r>
      <w:r>
        <w:rPr>
          <w:rFonts w:ascii="Cambria" w:hAnsi="Cambria"/>
          <w:sz w:val="20"/>
          <w:szCs w:val="20"/>
        </w:rPr>
        <w:t xml:space="preserve">ty. </w:t>
      </w:r>
      <w:r w:rsidRPr="00F44745">
        <w:rPr>
          <w:rFonts w:ascii="Cambria" w:hAnsi="Cambria"/>
          <w:sz w:val="20"/>
          <w:szCs w:val="20"/>
        </w:rPr>
        <w:t xml:space="preserve">The Commission considered that the omission of the category of “Afrodescendant” in the census amounted to a difference in treatment from other population groups that were </w:t>
      </w:r>
      <w:r>
        <w:rPr>
          <w:rFonts w:ascii="Cambria" w:hAnsi="Cambria"/>
          <w:sz w:val="20"/>
          <w:szCs w:val="20"/>
        </w:rPr>
        <w:t>included</w:t>
      </w:r>
      <w:r w:rsidRPr="00F44745">
        <w:rPr>
          <w:rFonts w:ascii="Cambria" w:hAnsi="Cambria"/>
          <w:sz w:val="20"/>
          <w:szCs w:val="20"/>
        </w:rPr>
        <w:t>, something that was not explain</w:t>
      </w:r>
      <w:r>
        <w:rPr>
          <w:rFonts w:ascii="Cambria" w:hAnsi="Cambria"/>
          <w:sz w:val="20"/>
          <w:szCs w:val="20"/>
        </w:rPr>
        <w:t xml:space="preserve">ed by the State. </w:t>
      </w:r>
      <w:r w:rsidRPr="008E1806">
        <w:rPr>
          <w:rFonts w:ascii="Cambria" w:hAnsi="Cambria"/>
          <w:sz w:val="20"/>
          <w:szCs w:val="20"/>
        </w:rPr>
        <w:t xml:space="preserve">Specifically, the Commission </w:t>
      </w:r>
      <w:r>
        <w:rPr>
          <w:rFonts w:ascii="Cambria" w:hAnsi="Cambria"/>
          <w:sz w:val="20"/>
          <w:szCs w:val="20"/>
        </w:rPr>
        <w:t xml:space="preserve">deemed </w:t>
      </w:r>
      <w:r w:rsidRPr="008E1806">
        <w:rPr>
          <w:rFonts w:ascii="Cambria" w:hAnsi="Cambria"/>
          <w:sz w:val="20"/>
          <w:szCs w:val="20"/>
        </w:rPr>
        <w:t xml:space="preserve">that the State had an obligation to legally recognize people of African descent and that </w:t>
      </w:r>
      <w:r>
        <w:rPr>
          <w:rFonts w:ascii="Cambria" w:hAnsi="Cambria"/>
          <w:sz w:val="20"/>
          <w:szCs w:val="20"/>
        </w:rPr>
        <w:t>al</w:t>
      </w:r>
      <w:r w:rsidRPr="008E1806">
        <w:rPr>
          <w:rFonts w:ascii="Cambria" w:hAnsi="Cambria"/>
          <w:sz w:val="20"/>
          <w:szCs w:val="20"/>
        </w:rPr>
        <w:t xml:space="preserve">though implementing the census within the regulatory deadlines was a legitimate aim, the refusal to incorporate that category did not constitute the least harmful means to achieve the </w:t>
      </w:r>
      <w:r>
        <w:rPr>
          <w:rFonts w:ascii="Cambria" w:hAnsi="Cambria"/>
          <w:sz w:val="20"/>
          <w:szCs w:val="20"/>
        </w:rPr>
        <w:t>objective being sought, as there were options available to the State to conduct the census in a timely manner. In any case</w:t>
      </w:r>
      <w:r w:rsidRPr="00566C14">
        <w:rPr>
          <w:rFonts w:ascii="Cambria" w:hAnsi="Cambria"/>
          <w:sz w:val="20"/>
          <w:szCs w:val="20"/>
        </w:rPr>
        <w:t>, the failure to incorporate this category in the census was disproportionate in nature</w:t>
      </w:r>
      <w:r>
        <w:rPr>
          <w:rFonts w:ascii="Cambria" w:hAnsi="Cambria"/>
          <w:sz w:val="20"/>
          <w:szCs w:val="20"/>
        </w:rPr>
        <w:t xml:space="preserve">; </w:t>
      </w:r>
      <w:r w:rsidRPr="00566C14">
        <w:rPr>
          <w:rFonts w:ascii="Cambria" w:hAnsi="Cambria"/>
          <w:sz w:val="20"/>
          <w:szCs w:val="20"/>
        </w:rPr>
        <w:t>far from helping to counter the historic</w:t>
      </w:r>
      <w:r>
        <w:rPr>
          <w:rFonts w:ascii="Cambria" w:hAnsi="Cambria"/>
          <w:sz w:val="20"/>
          <w:szCs w:val="20"/>
        </w:rPr>
        <w:t>al</w:t>
      </w:r>
      <w:r w:rsidRPr="00566C14">
        <w:rPr>
          <w:rFonts w:ascii="Cambria" w:hAnsi="Cambria"/>
          <w:sz w:val="20"/>
          <w:szCs w:val="20"/>
        </w:rPr>
        <w:t xml:space="preserve"> exclusion and discrimination </w:t>
      </w:r>
      <w:r>
        <w:rPr>
          <w:rFonts w:ascii="Cambria" w:hAnsi="Cambria"/>
          <w:sz w:val="20"/>
          <w:szCs w:val="20"/>
        </w:rPr>
        <w:t>that</w:t>
      </w:r>
      <w:r w:rsidRPr="00566C14">
        <w:rPr>
          <w:rFonts w:ascii="Cambria" w:hAnsi="Cambria"/>
          <w:sz w:val="20"/>
          <w:szCs w:val="20"/>
        </w:rPr>
        <w:t xml:space="preserve"> tribal peoples of African descent</w:t>
      </w:r>
      <w:r>
        <w:rPr>
          <w:rFonts w:ascii="Cambria" w:hAnsi="Cambria"/>
          <w:sz w:val="20"/>
          <w:szCs w:val="20"/>
        </w:rPr>
        <w:t xml:space="preserve"> have endured</w:t>
      </w:r>
      <w:r w:rsidRPr="00566C14">
        <w:rPr>
          <w:rFonts w:ascii="Cambria" w:hAnsi="Cambria"/>
          <w:sz w:val="20"/>
          <w:szCs w:val="20"/>
        </w:rPr>
        <w:t xml:space="preserve">, </w:t>
      </w:r>
      <w:r>
        <w:rPr>
          <w:rFonts w:ascii="Cambria" w:hAnsi="Cambria"/>
          <w:sz w:val="20"/>
          <w:szCs w:val="20"/>
        </w:rPr>
        <w:t>rendering</w:t>
      </w:r>
      <w:r w:rsidRPr="00566C14">
        <w:rPr>
          <w:rFonts w:ascii="Cambria" w:hAnsi="Cambria"/>
          <w:sz w:val="20"/>
          <w:szCs w:val="20"/>
        </w:rPr>
        <w:t xml:space="preserve"> them invisible under the “Others” category helped to perpetuate the exclusion and discrimination over</w:t>
      </w:r>
      <w:r>
        <w:rPr>
          <w:rFonts w:ascii="Cambria" w:hAnsi="Cambria"/>
          <w:sz w:val="20"/>
          <w:szCs w:val="20"/>
        </w:rPr>
        <w:t xml:space="preserve"> time. </w:t>
      </w:r>
      <w:r w:rsidRPr="00566C14">
        <w:rPr>
          <w:rFonts w:ascii="Cambria" w:hAnsi="Cambria"/>
          <w:sz w:val="20"/>
          <w:szCs w:val="20"/>
        </w:rPr>
        <w:t xml:space="preserve">The Commission therefore concluded </w:t>
      </w:r>
      <w:r>
        <w:rPr>
          <w:rFonts w:ascii="Cambria" w:hAnsi="Cambria"/>
          <w:sz w:val="20"/>
          <w:szCs w:val="20"/>
        </w:rPr>
        <w:t xml:space="preserve">that </w:t>
      </w:r>
      <w:r w:rsidRPr="00566C14">
        <w:rPr>
          <w:rFonts w:ascii="Cambria" w:hAnsi="Cambria"/>
          <w:sz w:val="20"/>
          <w:szCs w:val="20"/>
        </w:rPr>
        <w:t>the right to equality and nondiscrimination</w:t>
      </w:r>
      <w:r>
        <w:rPr>
          <w:rFonts w:ascii="Cambria" w:hAnsi="Cambria"/>
          <w:sz w:val="20"/>
          <w:szCs w:val="20"/>
        </w:rPr>
        <w:t xml:space="preserve"> was violated in this case</w:t>
      </w:r>
      <w:r w:rsidRPr="00566C14">
        <w:rPr>
          <w:rFonts w:ascii="Cambria" w:hAnsi="Cambria"/>
          <w:sz w:val="20"/>
          <w:szCs w:val="20"/>
        </w:rPr>
        <w:t>.</w:t>
      </w:r>
    </w:p>
    <w:p w14:paraId="795651A5" w14:textId="77777777" w:rsidR="0057201B" w:rsidRPr="00566C14" w:rsidRDefault="0057201B" w:rsidP="0057201B">
      <w:pPr>
        <w:pStyle w:val="ListParagraph"/>
        <w:autoSpaceDE w:val="0"/>
        <w:autoSpaceDN w:val="0"/>
        <w:adjustRightInd w:val="0"/>
        <w:ind w:left="1080"/>
        <w:jc w:val="both"/>
        <w:rPr>
          <w:rFonts w:ascii="Cambria" w:hAnsi="Cambria"/>
          <w:b/>
          <w:sz w:val="20"/>
          <w:szCs w:val="20"/>
        </w:rPr>
      </w:pPr>
    </w:p>
    <w:p w14:paraId="7F871DC6" w14:textId="77777777" w:rsidR="0057201B" w:rsidRPr="00825F6D" w:rsidRDefault="0057201B" w:rsidP="00933F91">
      <w:pPr>
        <w:pStyle w:val="BodyText"/>
        <w:widowControl/>
        <w:numPr>
          <w:ilvl w:val="0"/>
          <w:numId w:val="56"/>
        </w:numPr>
        <w:ind w:left="1440"/>
        <w:jc w:val="both"/>
        <w:rPr>
          <w:b/>
        </w:rPr>
      </w:pPr>
      <w:r w:rsidRPr="00825F6D">
        <w:rPr>
          <w:b/>
        </w:rPr>
        <w:t xml:space="preserve">Barriers </w:t>
      </w:r>
      <w:r>
        <w:rPr>
          <w:b/>
        </w:rPr>
        <w:t>to</w:t>
      </w:r>
      <w:r w:rsidRPr="00825F6D">
        <w:rPr>
          <w:b/>
        </w:rPr>
        <w:t xml:space="preserve"> Access to Judicial Protection</w:t>
      </w:r>
    </w:p>
    <w:p w14:paraId="7D8E386D" w14:textId="77777777" w:rsidR="0057201B" w:rsidRPr="00825F6D" w:rsidRDefault="0057201B" w:rsidP="0057201B">
      <w:pPr>
        <w:autoSpaceDE w:val="0"/>
        <w:autoSpaceDN w:val="0"/>
        <w:adjustRightInd w:val="0"/>
        <w:ind w:left="720"/>
        <w:jc w:val="both"/>
        <w:rPr>
          <w:rFonts w:ascii="Cambria" w:hAnsi="Cambria"/>
          <w:sz w:val="20"/>
          <w:szCs w:val="20"/>
        </w:rPr>
      </w:pPr>
    </w:p>
    <w:p w14:paraId="5417A568" w14:textId="77777777" w:rsidR="0057201B" w:rsidRPr="00CD1DA1" w:rsidRDefault="0057201B" w:rsidP="00933F91">
      <w:pPr>
        <w:numPr>
          <w:ilvl w:val="0"/>
          <w:numId w:val="58"/>
        </w:numPr>
        <w:autoSpaceDE w:val="0"/>
        <w:autoSpaceDN w:val="0"/>
        <w:adjustRightInd w:val="0"/>
        <w:ind w:left="0" w:firstLine="720"/>
        <w:jc w:val="both"/>
        <w:rPr>
          <w:rFonts w:ascii="Cambria" w:hAnsi="Cambria"/>
          <w:sz w:val="20"/>
          <w:szCs w:val="20"/>
        </w:rPr>
      </w:pPr>
      <w:r w:rsidRPr="00D46788">
        <w:rPr>
          <w:rFonts w:ascii="Cambria" w:hAnsi="Cambria"/>
          <w:sz w:val="20"/>
          <w:szCs w:val="20"/>
        </w:rPr>
        <w:t xml:space="preserve">In </w:t>
      </w:r>
      <w:r>
        <w:rPr>
          <w:rFonts w:ascii="Cambria" w:hAnsi="Cambria"/>
          <w:sz w:val="20"/>
          <w:szCs w:val="20"/>
        </w:rPr>
        <w:t>this case,</w:t>
      </w:r>
      <w:r w:rsidRPr="00D46788">
        <w:rPr>
          <w:rFonts w:ascii="Cambria" w:hAnsi="Cambria"/>
          <w:sz w:val="20"/>
          <w:szCs w:val="20"/>
        </w:rPr>
        <w:t xml:space="preserve"> a tenant in a proceeding related to</w:t>
      </w:r>
      <w:r>
        <w:rPr>
          <w:rFonts w:ascii="Cambria" w:hAnsi="Cambria"/>
          <w:sz w:val="20"/>
          <w:szCs w:val="20"/>
        </w:rPr>
        <w:t xml:space="preserve"> </w:t>
      </w:r>
      <w:r w:rsidRPr="00D46788">
        <w:rPr>
          <w:rFonts w:ascii="Cambria" w:hAnsi="Cambria"/>
          <w:sz w:val="20"/>
          <w:szCs w:val="20"/>
        </w:rPr>
        <w:t xml:space="preserve">a </w:t>
      </w:r>
      <w:r>
        <w:rPr>
          <w:rFonts w:ascii="Cambria" w:hAnsi="Cambria"/>
          <w:sz w:val="20"/>
          <w:szCs w:val="20"/>
        </w:rPr>
        <w:t>rental</w:t>
      </w:r>
      <w:r w:rsidRPr="00D46788">
        <w:rPr>
          <w:rFonts w:ascii="Cambria" w:hAnsi="Cambria"/>
          <w:sz w:val="20"/>
          <w:szCs w:val="20"/>
        </w:rPr>
        <w:t xml:space="preserve"> contract </w:t>
      </w:r>
      <w:r>
        <w:rPr>
          <w:rFonts w:ascii="Cambria" w:hAnsi="Cambria"/>
          <w:sz w:val="20"/>
          <w:szCs w:val="20"/>
        </w:rPr>
        <w:t xml:space="preserve">debt </w:t>
      </w:r>
      <w:r w:rsidRPr="00D46788">
        <w:rPr>
          <w:rFonts w:ascii="Cambria" w:hAnsi="Cambria"/>
          <w:sz w:val="20"/>
          <w:szCs w:val="20"/>
        </w:rPr>
        <w:t xml:space="preserve">was required to pay a bond </w:t>
      </w:r>
      <w:r>
        <w:rPr>
          <w:rFonts w:ascii="Cambria" w:hAnsi="Cambria"/>
          <w:sz w:val="20"/>
          <w:szCs w:val="20"/>
        </w:rPr>
        <w:t>in order</w:t>
      </w:r>
      <w:r w:rsidRPr="00D46788">
        <w:rPr>
          <w:rFonts w:ascii="Cambria" w:hAnsi="Cambria"/>
          <w:sz w:val="20"/>
          <w:szCs w:val="20"/>
        </w:rPr>
        <w:t xml:space="preserve"> to appeal an unfavorable judgment</w:t>
      </w:r>
      <w:r>
        <w:rPr>
          <w:rFonts w:ascii="Cambria" w:hAnsi="Cambria"/>
          <w:sz w:val="20"/>
          <w:szCs w:val="20"/>
        </w:rPr>
        <w:t>. T</w:t>
      </w:r>
      <w:r w:rsidRPr="00D46788">
        <w:rPr>
          <w:rFonts w:ascii="Cambria" w:hAnsi="Cambria"/>
          <w:sz w:val="20"/>
          <w:szCs w:val="20"/>
        </w:rPr>
        <w:t>he Commission deemed that this requirement</w:t>
      </w:r>
      <w:r>
        <w:rPr>
          <w:rFonts w:ascii="Cambria" w:hAnsi="Cambria"/>
          <w:sz w:val="20"/>
          <w:szCs w:val="20"/>
        </w:rPr>
        <w:t>—</w:t>
      </w:r>
      <w:r w:rsidRPr="00D46788">
        <w:rPr>
          <w:rFonts w:ascii="Cambria" w:hAnsi="Cambria"/>
          <w:sz w:val="20"/>
          <w:szCs w:val="20"/>
        </w:rPr>
        <w:t xml:space="preserve">though </w:t>
      </w:r>
      <w:r>
        <w:rPr>
          <w:rFonts w:ascii="Cambria" w:hAnsi="Cambria"/>
          <w:sz w:val="20"/>
          <w:szCs w:val="20"/>
        </w:rPr>
        <w:t xml:space="preserve">perhaps </w:t>
      </w:r>
      <w:r w:rsidRPr="00D46788">
        <w:rPr>
          <w:rFonts w:ascii="Cambria" w:hAnsi="Cambria"/>
          <w:sz w:val="20"/>
          <w:szCs w:val="20"/>
        </w:rPr>
        <w:t xml:space="preserve">related to the need to limit dilatory appeals and to the principle of procedural </w:t>
      </w:r>
      <w:r>
        <w:rPr>
          <w:rFonts w:ascii="Cambria" w:hAnsi="Cambria"/>
          <w:sz w:val="20"/>
          <w:szCs w:val="20"/>
        </w:rPr>
        <w:t>celerity</w:t>
      </w:r>
      <w:r w:rsidRPr="00D46788">
        <w:rPr>
          <w:rFonts w:ascii="Cambria" w:hAnsi="Cambria"/>
          <w:sz w:val="20"/>
          <w:szCs w:val="20"/>
        </w:rPr>
        <w:t xml:space="preserve"> in the administration of justice</w:t>
      </w:r>
      <w:r>
        <w:rPr>
          <w:rFonts w:ascii="Cambria" w:hAnsi="Cambria"/>
          <w:sz w:val="20"/>
          <w:szCs w:val="20"/>
        </w:rPr>
        <w:t>—</w:t>
      </w:r>
      <w:r w:rsidRPr="00D46788">
        <w:rPr>
          <w:rFonts w:ascii="Cambria" w:hAnsi="Cambria"/>
          <w:sz w:val="20"/>
          <w:szCs w:val="20"/>
        </w:rPr>
        <w:t>was disproportionate in the case at hand</w:t>
      </w:r>
      <w:r>
        <w:rPr>
          <w:rFonts w:ascii="Cambria" w:hAnsi="Cambria"/>
          <w:sz w:val="20"/>
          <w:szCs w:val="20"/>
        </w:rPr>
        <w:t xml:space="preserve">, because without the </w:t>
      </w:r>
      <w:r w:rsidRPr="005A3540">
        <w:rPr>
          <w:rFonts w:ascii="Cambria" w:hAnsi="Cambria"/>
          <w:sz w:val="20"/>
          <w:szCs w:val="20"/>
        </w:rPr>
        <w:t xml:space="preserve">ability to come up with the </w:t>
      </w:r>
      <w:r>
        <w:rPr>
          <w:rFonts w:ascii="Cambria" w:hAnsi="Cambria"/>
          <w:sz w:val="20"/>
          <w:szCs w:val="20"/>
        </w:rPr>
        <w:t>required amount</w:t>
      </w:r>
      <w:r w:rsidRPr="005A3540">
        <w:rPr>
          <w:rFonts w:ascii="Cambria" w:hAnsi="Cambria"/>
          <w:sz w:val="20"/>
          <w:szCs w:val="20"/>
        </w:rPr>
        <w:t>, the victim did not have access to a remedy to appeal th</w:t>
      </w:r>
      <w:r>
        <w:rPr>
          <w:rFonts w:ascii="Cambria" w:hAnsi="Cambria"/>
          <w:sz w:val="20"/>
          <w:szCs w:val="20"/>
        </w:rPr>
        <w:t>e</w:t>
      </w:r>
      <w:r w:rsidRPr="005A3540">
        <w:rPr>
          <w:rFonts w:ascii="Cambria" w:hAnsi="Cambria"/>
          <w:sz w:val="20"/>
          <w:szCs w:val="20"/>
        </w:rPr>
        <w:t xml:space="preserve"> judgment </w:t>
      </w:r>
      <w:r>
        <w:rPr>
          <w:rFonts w:ascii="Cambria" w:hAnsi="Cambria"/>
          <w:sz w:val="20"/>
          <w:szCs w:val="20"/>
        </w:rPr>
        <w:t>requiring a payment</w:t>
      </w:r>
      <w:r w:rsidRPr="005A3540">
        <w:rPr>
          <w:rFonts w:ascii="Cambria" w:hAnsi="Cambria"/>
          <w:sz w:val="20"/>
          <w:szCs w:val="20"/>
        </w:rPr>
        <w:t xml:space="preserve">. </w:t>
      </w:r>
      <w:r w:rsidRPr="00CD1DA1">
        <w:rPr>
          <w:rFonts w:ascii="Cambria" w:hAnsi="Cambria"/>
          <w:sz w:val="20"/>
          <w:szCs w:val="20"/>
        </w:rPr>
        <w:t xml:space="preserve">The Commission </w:t>
      </w:r>
      <w:r>
        <w:rPr>
          <w:rFonts w:ascii="Cambria" w:hAnsi="Cambria"/>
          <w:sz w:val="20"/>
          <w:szCs w:val="20"/>
        </w:rPr>
        <w:t>found</w:t>
      </w:r>
      <w:r w:rsidRPr="00CD1DA1">
        <w:rPr>
          <w:rFonts w:ascii="Cambria" w:hAnsi="Cambria"/>
          <w:sz w:val="20"/>
          <w:szCs w:val="20"/>
        </w:rPr>
        <w:t xml:space="preserve"> that the State’s argument regarding the need to safeguard the principle of procedural celerity did not </w:t>
      </w:r>
      <w:r>
        <w:rPr>
          <w:rFonts w:ascii="Cambria" w:hAnsi="Cambria"/>
          <w:sz w:val="20"/>
          <w:szCs w:val="20"/>
        </w:rPr>
        <w:t>justify</w:t>
      </w:r>
      <w:r w:rsidRPr="00CD1DA1">
        <w:rPr>
          <w:rFonts w:ascii="Cambria" w:hAnsi="Cambria"/>
          <w:sz w:val="20"/>
          <w:szCs w:val="20"/>
        </w:rPr>
        <w:t xml:space="preserve"> the</w:t>
      </w:r>
      <w:r>
        <w:rPr>
          <w:rFonts w:ascii="Cambria" w:hAnsi="Cambria"/>
          <w:sz w:val="20"/>
          <w:szCs w:val="20"/>
        </w:rPr>
        <w:t xml:space="preserve"> need to apply </w:t>
      </w:r>
      <w:r w:rsidRPr="00CD1DA1">
        <w:rPr>
          <w:rFonts w:ascii="Cambria" w:hAnsi="Cambria"/>
          <w:sz w:val="20"/>
          <w:szCs w:val="20"/>
        </w:rPr>
        <w:t>th</w:t>
      </w:r>
      <w:r>
        <w:rPr>
          <w:rFonts w:ascii="Cambria" w:hAnsi="Cambria"/>
          <w:sz w:val="20"/>
          <w:szCs w:val="20"/>
        </w:rPr>
        <w:t>at</w:t>
      </w:r>
      <w:r w:rsidRPr="00CD1DA1">
        <w:rPr>
          <w:rFonts w:ascii="Cambria" w:hAnsi="Cambria"/>
          <w:sz w:val="20"/>
          <w:szCs w:val="20"/>
        </w:rPr>
        <w:t xml:space="preserve"> </w:t>
      </w:r>
      <w:r>
        <w:rPr>
          <w:rFonts w:ascii="Cambria" w:hAnsi="Cambria"/>
          <w:sz w:val="20"/>
          <w:szCs w:val="20"/>
        </w:rPr>
        <w:t>requirement for justice to be served. Judges, as those who govern the process, have a duty to direct and ensure speedy judicial proceedings without sacrificing access to justice and due process of law. In these circumstances, the Commission determined that the requirement in this case amounted to a violation of the right to judicial protection</w:t>
      </w:r>
      <w:r w:rsidRPr="00CD1DA1">
        <w:rPr>
          <w:rFonts w:ascii="Cambria" w:hAnsi="Cambria"/>
          <w:sz w:val="20"/>
          <w:szCs w:val="20"/>
        </w:rPr>
        <w:t>.</w:t>
      </w:r>
    </w:p>
    <w:p w14:paraId="2A3171B5" w14:textId="77777777" w:rsidR="0057201B" w:rsidRPr="00CD1DA1" w:rsidRDefault="0057201B" w:rsidP="0057201B">
      <w:pPr>
        <w:autoSpaceDE w:val="0"/>
        <w:autoSpaceDN w:val="0"/>
        <w:adjustRightInd w:val="0"/>
        <w:ind w:left="720"/>
        <w:jc w:val="both"/>
        <w:rPr>
          <w:rFonts w:ascii="Cambria" w:hAnsi="Cambria"/>
          <w:sz w:val="20"/>
          <w:szCs w:val="20"/>
        </w:rPr>
      </w:pPr>
    </w:p>
    <w:p w14:paraId="45E3E7F2" w14:textId="77777777" w:rsidR="0057201B" w:rsidRPr="00825F6D" w:rsidRDefault="0057201B" w:rsidP="00933F91">
      <w:pPr>
        <w:pStyle w:val="BodyText"/>
        <w:widowControl/>
        <w:numPr>
          <w:ilvl w:val="0"/>
          <w:numId w:val="56"/>
        </w:numPr>
        <w:ind w:left="1440"/>
        <w:jc w:val="both"/>
        <w:rPr>
          <w:b/>
        </w:rPr>
      </w:pPr>
      <w:r w:rsidRPr="00825F6D">
        <w:rPr>
          <w:b/>
        </w:rPr>
        <w:lastRenderedPageBreak/>
        <w:t>Legal Capacity of Persons with Disabilities</w:t>
      </w:r>
    </w:p>
    <w:p w14:paraId="53461BC9" w14:textId="77777777" w:rsidR="0057201B" w:rsidRPr="00825F6D" w:rsidRDefault="0057201B" w:rsidP="0057201B">
      <w:pPr>
        <w:autoSpaceDE w:val="0"/>
        <w:autoSpaceDN w:val="0"/>
        <w:adjustRightInd w:val="0"/>
        <w:ind w:left="720"/>
        <w:jc w:val="both"/>
        <w:rPr>
          <w:rFonts w:ascii="Cambria" w:hAnsi="Cambria"/>
          <w:sz w:val="20"/>
          <w:szCs w:val="20"/>
        </w:rPr>
      </w:pPr>
    </w:p>
    <w:p w14:paraId="43A4C4F0" w14:textId="77777777" w:rsidR="0057201B" w:rsidRDefault="0057201B" w:rsidP="00933F91">
      <w:pPr>
        <w:numPr>
          <w:ilvl w:val="0"/>
          <w:numId w:val="58"/>
        </w:numPr>
        <w:autoSpaceDE w:val="0"/>
        <w:autoSpaceDN w:val="0"/>
        <w:adjustRightInd w:val="0"/>
        <w:ind w:left="0" w:firstLine="720"/>
        <w:jc w:val="both"/>
        <w:rPr>
          <w:rFonts w:ascii="Cambria" w:hAnsi="Cambria"/>
          <w:sz w:val="20"/>
          <w:szCs w:val="20"/>
        </w:rPr>
      </w:pPr>
      <w:r>
        <w:rPr>
          <w:rFonts w:ascii="Cambria" w:hAnsi="Cambria"/>
          <w:sz w:val="20"/>
          <w:szCs w:val="20"/>
        </w:rPr>
        <w:t>This is</w:t>
      </w:r>
      <w:r w:rsidRPr="00F96531">
        <w:rPr>
          <w:rFonts w:ascii="Cambria" w:hAnsi="Cambria"/>
          <w:sz w:val="20"/>
          <w:szCs w:val="20"/>
        </w:rPr>
        <w:t xml:space="preserve"> a case in which the institutionalization of </w:t>
      </w:r>
      <w:r>
        <w:rPr>
          <w:rFonts w:ascii="Cambria" w:hAnsi="Cambria"/>
          <w:sz w:val="20"/>
          <w:szCs w:val="20"/>
        </w:rPr>
        <w:t>persons</w:t>
      </w:r>
      <w:r w:rsidRPr="00F96531">
        <w:rPr>
          <w:rFonts w:ascii="Cambria" w:hAnsi="Cambria"/>
          <w:sz w:val="20"/>
          <w:szCs w:val="20"/>
        </w:rPr>
        <w:t xml:space="preserve"> with mental disabilities in a public hospital mean</w:t>
      </w:r>
      <w:r>
        <w:rPr>
          <w:rFonts w:ascii="Cambria" w:hAnsi="Cambria"/>
          <w:sz w:val="20"/>
          <w:szCs w:val="20"/>
        </w:rPr>
        <w:t>t</w:t>
      </w:r>
      <w:r w:rsidRPr="00F96531">
        <w:rPr>
          <w:rFonts w:ascii="Cambria" w:hAnsi="Cambria"/>
          <w:sz w:val="20"/>
          <w:szCs w:val="20"/>
        </w:rPr>
        <w:t xml:space="preserve"> that they would automatically remain under the guardianship and representation of whoever headed the facility</w:t>
      </w:r>
      <w:r>
        <w:rPr>
          <w:rFonts w:ascii="Cambria" w:hAnsi="Cambria"/>
          <w:sz w:val="20"/>
          <w:szCs w:val="20"/>
        </w:rPr>
        <w:t>. T</w:t>
      </w:r>
      <w:r w:rsidRPr="00F96531">
        <w:rPr>
          <w:rFonts w:ascii="Cambria" w:hAnsi="Cambria"/>
          <w:sz w:val="20"/>
          <w:szCs w:val="20"/>
        </w:rPr>
        <w:t xml:space="preserve">he Commission determined that this type of arrangement denies the legal capacity of </w:t>
      </w:r>
      <w:r>
        <w:rPr>
          <w:rFonts w:ascii="Cambria" w:hAnsi="Cambria"/>
          <w:sz w:val="20"/>
          <w:szCs w:val="20"/>
        </w:rPr>
        <w:t>persons</w:t>
      </w:r>
      <w:r w:rsidRPr="00F96531">
        <w:rPr>
          <w:rFonts w:ascii="Cambria" w:hAnsi="Cambria"/>
          <w:sz w:val="20"/>
          <w:szCs w:val="20"/>
        </w:rPr>
        <w:t xml:space="preserve"> with mental disabilities</w:t>
      </w:r>
      <w:r>
        <w:rPr>
          <w:rFonts w:ascii="Cambria" w:hAnsi="Cambria"/>
          <w:sz w:val="20"/>
          <w:szCs w:val="20"/>
        </w:rPr>
        <w:t>, imposing</w:t>
      </w:r>
      <w:r w:rsidRPr="00F96531">
        <w:rPr>
          <w:rFonts w:ascii="Cambria" w:hAnsi="Cambria"/>
          <w:sz w:val="20"/>
          <w:szCs w:val="20"/>
        </w:rPr>
        <w:t xml:space="preserve"> a regime of </w:t>
      </w:r>
      <w:r>
        <w:rPr>
          <w:rFonts w:ascii="Cambria" w:hAnsi="Cambria"/>
          <w:sz w:val="20"/>
          <w:szCs w:val="20"/>
        </w:rPr>
        <w:t>total</w:t>
      </w:r>
      <w:r w:rsidRPr="00F96531">
        <w:rPr>
          <w:rFonts w:ascii="Cambria" w:hAnsi="Cambria"/>
          <w:sz w:val="20"/>
          <w:szCs w:val="20"/>
        </w:rPr>
        <w:t xml:space="preserve"> incapacity based on surrogate decision</w:t>
      </w:r>
      <w:r>
        <w:rPr>
          <w:rFonts w:ascii="Cambria" w:hAnsi="Cambria"/>
          <w:sz w:val="20"/>
          <w:szCs w:val="20"/>
        </w:rPr>
        <w:t>-making and not allowing</w:t>
      </w:r>
      <w:r w:rsidRPr="00F96531">
        <w:rPr>
          <w:rFonts w:ascii="Cambria" w:hAnsi="Cambria"/>
          <w:sz w:val="20"/>
          <w:szCs w:val="20"/>
        </w:rPr>
        <w:t xml:space="preserve"> </w:t>
      </w:r>
      <w:r>
        <w:rPr>
          <w:rFonts w:ascii="Cambria" w:hAnsi="Cambria"/>
          <w:sz w:val="20"/>
          <w:szCs w:val="20"/>
        </w:rPr>
        <w:t xml:space="preserve">these </w:t>
      </w:r>
      <w:r w:rsidRPr="00F96531">
        <w:rPr>
          <w:rFonts w:ascii="Cambria" w:hAnsi="Cambria"/>
          <w:sz w:val="20"/>
          <w:szCs w:val="20"/>
        </w:rPr>
        <w:t xml:space="preserve">persons </w:t>
      </w:r>
      <w:r>
        <w:rPr>
          <w:rFonts w:ascii="Cambria" w:hAnsi="Cambria"/>
          <w:sz w:val="20"/>
          <w:szCs w:val="20"/>
        </w:rPr>
        <w:t>to</w:t>
      </w:r>
      <w:r w:rsidRPr="00F96531">
        <w:rPr>
          <w:rFonts w:ascii="Cambria" w:hAnsi="Cambria"/>
          <w:sz w:val="20"/>
          <w:szCs w:val="20"/>
        </w:rPr>
        <w:t xml:space="preserve"> exercise their rights directly. </w:t>
      </w:r>
      <w:r w:rsidRPr="00DB455F">
        <w:rPr>
          <w:rFonts w:ascii="Cambria" w:hAnsi="Cambria"/>
          <w:sz w:val="20"/>
          <w:szCs w:val="20"/>
        </w:rPr>
        <w:t xml:space="preserve">The IACHR deemed that this regime runs contrary to the social disability model and itself translates into </w:t>
      </w:r>
      <w:r>
        <w:rPr>
          <w:rFonts w:ascii="Cambria" w:hAnsi="Cambria"/>
          <w:sz w:val="20"/>
          <w:szCs w:val="20"/>
        </w:rPr>
        <w:t>a violation</w:t>
      </w:r>
      <w:r w:rsidRPr="00DB455F">
        <w:rPr>
          <w:rFonts w:ascii="Cambria" w:hAnsi="Cambria"/>
          <w:sz w:val="20"/>
          <w:szCs w:val="20"/>
        </w:rPr>
        <w:t xml:space="preserve"> of the rights to recognition</w:t>
      </w:r>
      <w:r>
        <w:rPr>
          <w:rFonts w:ascii="Cambria" w:hAnsi="Cambria"/>
          <w:sz w:val="20"/>
          <w:szCs w:val="20"/>
        </w:rPr>
        <w:t xml:space="preserve"> </w:t>
      </w:r>
      <w:r w:rsidRPr="00DB455F">
        <w:rPr>
          <w:rFonts w:ascii="Cambria" w:hAnsi="Cambria"/>
          <w:sz w:val="20"/>
          <w:szCs w:val="20"/>
        </w:rPr>
        <w:t xml:space="preserve">as a person before the law, the right to equality and nondiscrimination, and the right to judicial protection.  </w:t>
      </w:r>
    </w:p>
    <w:p w14:paraId="2323F9A4" w14:textId="77777777" w:rsidR="0057201B" w:rsidRPr="00DB455F" w:rsidRDefault="0057201B" w:rsidP="0057201B">
      <w:pPr>
        <w:autoSpaceDE w:val="0"/>
        <w:autoSpaceDN w:val="0"/>
        <w:adjustRightInd w:val="0"/>
        <w:ind w:left="720"/>
        <w:jc w:val="both"/>
        <w:rPr>
          <w:rFonts w:ascii="Cambria" w:hAnsi="Cambria"/>
          <w:sz w:val="20"/>
          <w:szCs w:val="20"/>
        </w:rPr>
      </w:pPr>
    </w:p>
    <w:p w14:paraId="362CC2E0" w14:textId="77777777" w:rsidR="0057201B" w:rsidRPr="00DB455F" w:rsidRDefault="0057201B" w:rsidP="00933F91">
      <w:pPr>
        <w:pStyle w:val="BodyText"/>
        <w:widowControl/>
        <w:numPr>
          <w:ilvl w:val="0"/>
          <w:numId w:val="56"/>
        </w:numPr>
        <w:ind w:left="1440"/>
        <w:jc w:val="both"/>
        <w:rPr>
          <w:b/>
        </w:rPr>
      </w:pPr>
      <w:r w:rsidRPr="00DB455F">
        <w:rPr>
          <w:b/>
        </w:rPr>
        <w:t xml:space="preserve">Hindrances to the Exercise of </w:t>
      </w:r>
      <w:r>
        <w:rPr>
          <w:b/>
        </w:rPr>
        <w:t xml:space="preserve">Trade </w:t>
      </w:r>
      <w:r w:rsidRPr="00DB455F">
        <w:rPr>
          <w:b/>
        </w:rPr>
        <w:t>Union Rights</w:t>
      </w:r>
    </w:p>
    <w:p w14:paraId="6E3CCAFD" w14:textId="77777777" w:rsidR="0057201B" w:rsidRPr="00DB455F" w:rsidRDefault="0057201B" w:rsidP="0057201B">
      <w:pPr>
        <w:tabs>
          <w:tab w:val="left" w:pos="720"/>
        </w:tabs>
        <w:autoSpaceDE w:val="0"/>
        <w:autoSpaceDN w:val="0"/>
        <w:adjustRightInd w:val="0"/>
        <w:ind w:left="720"/>
        <w:jc w:val="both"/>
        <w:rPr>
          <w:rFonts w:ascii="Cambria" w:hAnsi="Cambria"/>
          <w:sz w:val="20"/>
          <w:szCs w:val="20"/>
        </w:rPr>
      </w:pPr>
    </w:p>
    <w:p w14:paraId="2D442DEB" w14:textId="77777777" w:rsidR="0057201B" w:rsidRPr="0030679F" w:rsidRDefault="0057201B" w:rsidP="00933F91">
      <w:pPr>
        <w:numPr>
          <w:ilvl w:val="0"/>
          <w:numId w:val="58"/>
        </w:numPr>
        <w:tabs>
          <w:tab w:val="left" w:pos="720"/>
        </w:tabs>
        <w:autoSpaceDE w:val="0"/>
        <w:autoSpaceDN w:val="0"/>
        <w:adjustRightInd w:val="0"/>
        <w:ind w:left="0" w:firstLine="720"/>
        <w:jc w:val="both"/>
        <w:rPr>
          <w:rFonts w:ascii="Cambria" w:hAnsi="Cambria"/>
          <w:sz w:val="20"/>
          <w:szCs w:val="20"/>
        </w:rPr>
      </w:pPr>
      <w:r>
        <w:rPr>
          <w:rFonts w:ascii="Cambria" w:hAnsi="Cambria"/>
          <w:sz w:val="20"/>
          <w:szCs w:val="20"/>
        </w:rPr>
        <w:t>This</w:t>
      </w:r>
      <w:r w:rsidRPr="0030679F">
        <w:rPr>
          <w:rFonts w:ascii="Cambria" w:hAnsi="Cambria"/>
          <w:sz w:val="20"/>
          <w:szCs w:val="20"/>
        </w:rPr>
        <w:t xml:space="preserve"> case </w:t>
      </w:r>
      <w:r>
        <w:rPr>
          <w:rFonts w:ascii="Cambria" w:hAnsi="Cambria"/>
          <w:sz w:val="20"/>
          <w:szCs w:val="20"/>
        </w:rPr>
        <w:t>involves</w:t>
      </w:r>
      <w:r w:rsidRPr="0030679F">
        <w:rPr>
          <w:rFonts w:ascii="Cambria" w:hAnsi="Cambria"/>
          <w:sz w:val="20"/>
          <w:szCs w:val="20"/>
        </w:rPr>
        <w:t xml:space="preserve"> </w:t>
      </w:r>
      <w:r>
        <w:rPr>
          <w:rFonts w:ascii="Cambria" w:hAnsi="Cambria"/>
          <w:sz w:val="20"/>
          <w:szCs w:val="20"/>
        </w:rPr>
        <w:t xml:space="preserve">the </w:t>
      </w:r>
      <w:r w:rsidRPr="0030679F">
        <w:rPr>
          <w:rFonts w:ascii="Cambria" w:hAnsi="Cambria"/>
          <w:sz w:val="20"/>
          <w:szCs w:val="20"/>
        </w:rPr>
        <w:t xml:space="preserve">failure </w:t>
      </w:r>
      <w:r>
        <w:rPr>
          <w:rFonts w:ascii="Cambria" w:hAnsi="Cambria"/>
          <w:sz w:val="20"/>
          <w:szCs w:val="20"/>
        </w:rPr>
        <w:t xml:space="preserve">of </w:t>
      </w:r>
      <w:r w:rsidRPr="0030679F">
        <w:rPr>
          <w:rFonts w:ascii="Cambria" w:hAnsi="Cambria"/>
          <w:sz w:val="20"/>
          <w:szCs w:val="20"/>
        </w:rPr>
        <w:t xml:space="preserve">administrative authorities to register </w:t>
      </w:r>
      <w:r w:rsidRPr="00B06639">
        <w:rPr>
          <w:rFonts w:ascii="Cambria" w:hAnsi="Cambria"/>
          <w:sz w:val="20"/>
          <w:szCs w:val="20"/>
        </w:rPr>
        <w:t>a union’s</w:t>
      </w:r>
      <w:r>
        <w:rPr>
          <w:rFonts w:ascii="Cambria" w:hAnsi="Cambria"/>
          <w:sz w:val="20"/>
          <w:szCs w:val="20"/>
        </w:rPr>
        <w:t xml:space="preserve"> </w:t>
      </w:r>
      <w:r w:rsidRPr="0030679F">
        <w:rPr>
          <w:rFonts w:ascii="Cambria" w:hAnsi="Cambria"/>
          <w:sz w:val="20"/>
          <w:szCs w:val="20"/>
        </w:rPr>
        <w:t xml:space="preserve">board of directors after </w:t>
      </w:r>
      <w:r w:rsidRPr="00B06639">
        <w:rPr>
          <w:rFonts w:ascii="Cambria" w:hAnsi="Cambria"/>
          <w:sz w:val="20"/>
          <w:szCs w:val="20"/>
        </w:rPr>
        <w:t>decisions had</w:t>
      </w:r>
      <w:r>
        <w:rPr>
          <w:rFonts w:ascii="Cambria" w:hAnsi="Cambria"/>
          <w:sz w:val="20"/>
          <w:szCs w:val="20"/>
        </w:rPr>
        <w:t xml:space="preserve"> been made in the board’s favor. T</w:t>
      </w:r>
      <w:r w:rsidRPr="0030679F">
        <w:rPr>
          <w:rFonts w:ascii="Cambria" w:hAnsi="Cambria"/>
          <w:sz w:val="20"/>
          <w:szCs w:val="20"/>
        </w:rPr>
        <w:t xml:space="preserve">he IACHR </w:t>
      </w:r>
      <w:r>
        <w:rPr>
          <w:rFonts w:ascii="Cambria" w:hAnsi="Cambria"/>
          <w:sz w:val="20"/>
          <w:szCs w:val="20"/>
        </w:rPr>
        <w:t>noted</w:t>
      </w:r>
      <w:r w:rsidRPr="0030679F">
        <w:rPr>
          <w:rFonts w:ascii="Cambria" w:hAnsi="Cambria"/>
          <w:sz w:val="20"/>
          <w:szCs w:val="20"/>
        </w:rPr>
        <w:t xml:space="preserve"> that the right to freedom of association and </w:t>
      </w:r>
      <w:r w:rsidRPr="000D18CF">
        <w:rPr>
          <w:rFonts w:ascii="Cambria" w:hAnsi="Cambria"/>
          <w:sz w:val="20"/>
          <w:szCs w:val="20"/>
        </w:rPr>
        <w:t>labor rights</w:t>
      </w:r>
      <w:r w:rsidRPr="0030679F">
        <w:rPr>
          <w:rFonts w:ascii="Cambria" w:hAnsi="Cambria"/>
          <w:sz w:val="20"/>
          <w:szCs w:val="20"/>
        </w:rPr>
        <w:t xml:space="preserve"> include </w:t>
      </w:r>
      <w:r>
        <w:rPr>
          <w:rFonts w:ascii="Cambria" w:hAnsi="Cambria"/>
          <w:sz w:val="20"/>
          <w:szCs w:val="20"/>
        </w:rPr>
        <w:t>the right for trade unions to engage in such</w:t>
      </w:r>
      <w:r w:rsidRPr="0030679F">
        <w:rPr>
          <w:rFonts w:ascii="Cambria" w:hAnsi="Cambria"/>
          <w:sz w:val="20"/>
          <w:szCs w:val="20"/>
        </w:rPr>
        <w:t xml:space="preserve"> activities</w:t>
      </w:r>
      <w:r>
        <w:rPr>
          <w:rFonts w:ascii="Cambria" w:hAnsi="Cambria"/>
          <w:sz w:val="20"/>
          <w:szCs w:val="20"/>
        </w:rPr>
        <w:t xml:space="preserve"> </w:t>
      </w:r>
      <w:r w:rsidRPr="0030679F">
        <w:rPr>
          <w:rFonts w:ascii="Cambria" w:hAnsi="Cambria"/>
          <w:sz w:val="20"/>
          <w:szCs w:val="20"/>
        </w:rPr>
        <w:t>as organiz</w:t>
      </w:r>
      <w:r>
        <w:rPr>
          <w:rFonts w:ascii="Cambria" w:hAnsi="Cambria"/>
          <w:sz w:val="20"/>
          <w:szCs w:val="20"/>
        </w:rPr>
        <w:t>ing</w:t>
      </w:r>
      <w:r w:rsidRPr="0030679F">
        <w:rPr>
          <w:rFonts w:ascii="Cambria" w:hAnsi="Cambria"/>
          <w:sz w:val="20"/>
          <w:szCs w:val="20"/>
        </w:rPr>
        <w:t xml:space="preserve"> </w:t>
      </w:r>
      <w:r>
        <w:rPr>
          <w:rFonts w:ascii="Cambria" w:hAnsi="Cambria"/>
          <w:sz w:val="20"/>
          <w:szCs w:val="20"/>
        </w:rPr>
        <w:t xml:space="preserve">their </w:t>
      </w:r>
      <w:r w:rsidRPr="0030679F">
        <w:rPr>
          <w:rFonts w:ascii="Cambria" w:hAnsi="Cambria"/>
          <w:sz w:val="20"/>
          <w:szCs w:val="20"/>
        </w:rPr>
        <w:t>operations</w:t>
      </w:r>
      <w:r>
        <w:rPr>
          <w:rFonts w:ascii="Cambria" w:hAnsi="Cambria"/>
          <w:sz w:val="20"/>
          <w:szCs w:val="20"/>
        </w:rPr>
        <w:t xml:space="preserve">, </w:t>
      </w:r>
      <w:r w:rsidRPr="0030679F">
        <w:rPr>
          <w:rFonts w:ascii="Cambria" w:hAnsi="Cambria"/>
          <w:sz w:val="20"/>
          <w:szCs w:val="20"/>
        </w:rPr>
        <w:t xml:space="preserve">electing their </w:t>
      </w:r>
      <w:r>
        <w:rPr>
          <w:rFonts w:ascii="Cambria" w:hAnsi="Cambria"/>
          <w:sz w:val="20"/>
          <w:szCs w:val="20"/>
        </w:rPr>
        <w:t xml:space="preserve">own </w:t>
      </w:r>
      <w:r w:rsidRPr="0030679F">
        <w:rPr>
          <w:rFonts w:ascii="Cambria" w:hAnsi="Cambria"/>
          <w:sz w:val="20"/>
          <w:szCs w:val="20"/>
        </w:rPr>
        <w:t>representatives</w:t>
      </w:r>
      <w:r>
        <w:rPr>
          <w:rFonts w:ascii="Cambria" w:hAnsi="Cambria"/>
          <w:sz w:val="20"/>
          <w:szCs w:val="20"/>
        </w:rPr>
        <w:t xml:space="preserve">, and being elected as representatives, without interference from the authorities that would limit or obstruct the exercise of these rights. In this case, in which </w:t>
      </w:r>
      <w:r w:rsidRPr="0030679F">
        <w:rPr>
          <w:rFonts w:ascii="Cambria" w:hAnsi="Cambria"/>
          <w:sz w:val="20"/>
          <w:szCs w:val="20"/>
        </w:rPr>
        <w:t xml:space="preserve">the </w:t>
      </w:r>
      <w:r>
        <w:rPr>
          <w:rFonts w:ascii="Cambria" w:hAnsi="Cambria"/>
          <w:sz w:val="20"/>
          <w:szCs w:val="20"/>
        </w:rPr>
        <w:t>competent</w:t>
      </w:r>
      <w:r w:rsidRPr="0030679F">
        <w:rPr>
          <w:rFonts w:ascii="Cambria" w:hAnsi="Cambria"/>
          <w:sz w:val="20"/>
          <w:szCs w:val="20"/>
        </w:rPr>
        <w:t xml:space="preserve"> administrative authority in </w:t>
      </w:r>
      <w:r>
        <w:rPr>
          <w:rFonts w:ascii="Cambria" w:hAnsi="Cambria"/>
          <w:sz w:val="20"/>
          <w:szCs w:val="20"/>
        </w:rPr>
        <w:t>the matter</w:t>
      </w:r>
      <w:r w:rsidRPr="0030679F">
        <w:rPr>
          <w:rFonts w:ascii="Cambria" w:hAnsi="Cambria"/>
          <w:sz w:val="20"/>
          <w:szCs w:val="20"/>
        </w:rPr>
        <w:t xml:space="preserve"> </w:t>
      </w:r>
      <w:r>
        <w:rPr>
          <w:rFonts w:ascii="Cambria" w:hAnsi="Cambria"/>
          <w:sz w:val="20"/>
          <w:szCs w:val="20"/>
        </w:rPr>
        <w:t xml:space="preserve">had made a </w:t>
      </w:r>
      <w:r w:rsidRPr="0030679F">
        <w:rPr>
          <w:rFonts w:ascii="Cambria" w:hAnsi="Cambria"/>
          <w:sz w:val="20"/>
          <w:szCs w:val="20"/>
        </w:rPr>
        <w:t xml:space="preserve">decision to register the board, the </w:t>
      </w:r>
      <w:r>
        <w:rPr>
          <w:rFonts w:ascii="Cambria" w:hAnsi="Cambria"/>
          <w:sz w:val="20"/>
          <w:szCs w:val="20"/>
        </w:rPr>
        <w:t xml:space="preserve">Commission deemed that the </w:t>
      </w:r>
      <w:r w:rsidRPr="0030679F">
        <w:rPr>
          <w:rFonts w:ascii="Cambria" w:hAnsi="Cambria"/>
          <w:sz w:val="20"/>
          <w:szCs w:val="20"/>
        </w:rPr>
        <w:t xml:space="preserve">public </w:t>
      </w:r>
      <w:r>
        <w:rPr>
          <w:rFonts w:ascii="Cambria" w:hAnsi="Cambria"/>
          <w:sz w:val="20"/>
          <w:szCs w:val="20"/>
        </w:rPr>
        <w:t>entity’s arbitrary refusal</w:t>
      </w:r>
      <w:r w:rsidRPr="0030679F">
        <w:rPr>
          <w:rFonts w:ascii="Cambria" w:hAnsi="Cambria"/>
          <w:sz w:val="20"/>
          <w:szCs w:val="20"/>
        </w:rPr>
        <w:t xml:space="preserve"> to comply </w:t>
      </w:r>
      <w:r w:rsidRPr="00250594">
        <w:rPr>
          <w:rFonts w:ascii="Cambria" w:hAnsi="Cambria"/>
          <w:sz w:val="20"/>
          <w:szCs w:val="20"/>
        </w:rPr>
        <w:t xml:space="preserve">with the </w:t>
      </w:r>
      <w:r>
        <w:rPr>
          <w:rFonts w:ascii="Cambria" w:hAnsi="Cambria"/>
          <w:sz w:val="20"/>
          <w:szCs w:val="20"/>
        </w:rPr>
        <w:t>instruction</w:t>
      </w:r>
      <w:r w:rsidRPr="0030679F">
        <w:rPr>
          <w:rFonts w:ascii="Cambria" w:hAnsi="Cambria"/>
          <w:sz w:val="20"/>
          <w:szCs w:val="20"/>
        </w:rPr>
        <w:t xml:space="preserve">, when </w:t>
      </w:r>
      <w:r>
        <w:rPr>
          <w:rFonts w:ascii="Cambria" w:hAnsi="Cambria"/>
          <w:sz w:val="20"/>
          <w:szCs w:val="20"/>
        </w:rPr>
        <w:t xml:space="preserve">there was </w:t>
      </w:r>
      <w:r w:rsidRPr="0030679F">
        <w:rPr>
          <w:rFonts w:ascii="Cambria" w:hAnsi="Cambria"/>
          <w:sz w:val="20"/>
          <w:szCs w:val="20"/>
        </w:rPr>
        <w:t xml:space="preserve">no court </w:t>
      </w:r>
      <w:r>
        <w:rPr>
          <w:rFonts w:ascii="Cambria" w:hAnsi="Cambria"/>
          <w:sz w:val="20"/>
          <w:szCs w:val="20"/>
        </w:rPr>
        <w:t>order preventing</w:t>
      </w:r>
      <w:r w:rsidRPr="0030679F">
        <w:rPr>
          <w:rFonts w:ascii="Cambria" w:hAnsi="Cambria"/>
          <w:sz w:val="20"/>
          <w:szCs w:val="20"/>
        </w:rPr>
        <w:t xml:space="preserve"> </w:t>
      </w:r>
      <w:r>
        <w:rPr>
          <w:rFonts w:ascii="Cambria" w:hAnsi="Cambria"/>
          <w:sz w:val="20"/>
          <w:szCs w:val="20"/>
        </w:rPr>
        <w:t>the</w:t>
      </w:r>
      <w:r w:rsidRPr="0030679F">
        <w:rPr>
          <w:rFonts w:ascii="Cambria" w:hAnsi="Cambria"/>
          <w:sz w:val="20"/>
          <w:szCs w:val="20"/>
        </w:rPr>
        <w:t xml:space="preserve"> registration, resulted in the trade union being </w:t>
      </w:r>
      <w:r>
        <w:rPr>
          <w:rFonts w:ascii="Cambria" w:hAnsi="Cambria"/>
          <w:sz w:val="20"/>
          <w:szCs w:val="20"/>
        </w:rPr>
        <w:t>un</w:t>
      </w:r>
      <w:r w:rsidRPr="0030679F">
        <w:rPr>
          <w:rFonts w:ascii="Cambria" w:hAnsi="Cambria"/>
          <w:sz w:val="20"/>
          <w:szCs w:val="20"/>
        </w:rPr>
        <w:t>able to operate freely through its legitimately elected representatives.</w:t>
      </w:r>
      <w:r>
        <w:rPr>
          <w:rFonts w:ascii="Cambria" w:hAnsi="Cambria"/>
          <w:sz w:val="20"/>
          <w:szCs w:val="20"/>
        </w:rPr>
        <w:t xml:space="preserve"> </w:t>
      </w:r>
      <w:r w:rsidRPr="0030679F">
        <w:rPr>
          <w:rFonts w:ascii="Cambria" w:hAnsi="Cambria"/>
          <w:sz w:val="20"/>
          <w:szCs w:val="20"/>
        </w:rPr>
        <w:t>This constituted undue interference in the operation</w:t>
      </w:r>
      <w:r>
        <w:rPr>
          <w:rFonts w:ascii="Cambria" w:hAnsi="Cambria"/>
          <w:sz w:val="20"/>
          <w:szCs w:val="20"/>
        </w:rPr>
        <w:t>s</w:t>
      </w:r>
      <w:r w:rsidRPr="0030679F">
        <w:rPr>
          <w:rFonts w:ascii="Cambria" w:hAnsi="Cambria"/>
          <w:sz w:val="20"/>
          <w:szCs w:val="20"/>
        </w:rPr>
        <w:t xml:space="preserve"> of the organization and a failure to recognize the </w:t>
      </w:r>
      <w:r>
        <w:rPr>
          <w:rFonts w:ascii="Cambria" w:hAnsi="Cambria"/>
          <w:sz w:val="20"/>
          <w:szCs w:val="20"/>
        </w:rPr>
        <w:t xml:space="preserve">union’s </w:t>
      </w:r>
      <w:r w:rsidRPr="0030679F">
        <w:rPr>
          <w:rFonts w:ascii="Cambria" w:hAnsi="Cambria"/>
          <w:sz w:val="20"/>
          <w:szCs w:val="20"/>
        </w:rPr>
        <w:t>right</w:t>
      </w:r>
      <w:r>
        <w:rPr>
          <w:rFonts w:ascii="Cambria" w:hAnsi="Cambria"/>
          <w:sz w:val="20"/>
          <w:szCs w:val="20"/>
        </w:rPr>
        <w:t xml:space="preserve"> </w:t>
      </w:r>
      <w:r w:rsidRPr="0030679F">
        <w:rPr>
          <w:rFonts w:ascii="Cambria" w:hAnsi="Cambria"/>
          <w:sz w:val="20"/>
          <w:szCs w:val="20"/>
        </w:rPr>
        <w:t xml:space="preserve">to operate freely and be represented by persons of </w:t>
      </w:r>
      <w:r>
        <w:rPr>
          <w:rFonts w:ascii="Cambria" w:hAnsi="Cambria"/>
          <w:sz w:val="20"/>
          <w:szCs w:val="20"/>
        </w:rPr>
        <w:t>its</w:t>
      </w:r>
      <w:r w:rsidRPr="0030679F">
        <w:rPr>
          <w:rFonts w:ascii="Cambria" w:hAnsi="Cambria"/>
          <w:sz w:val="20"/>
          <w:szCs w:val="20"/>
        </w:rPr>
        <w:t xml:space="preserve"> choice</w:t>
      </w:r>
      <w:r>
        <w:rPr>
          <w:rFonts w:ascii="Cambria" w:hAnsi="Cambria"/>
          <w:sz w:val="20"/>
          <w:szCs w:val="20"/>
        </w:rPr>
        <w:t xml:space="preserve">, in violation of the right to freedom of </w:t>
      </w:r>
      <w:r w:rsidRPr="0030679F">
        <w:rPr>
          <w:rFonts w:ascii="Cambria" w:hAnsi="Cambria"/>
          <w:sz w:val="20"/>
          <w:szCs w:val="20"/>
        </w:rPr>
        <w:t xml:space="preserve">association </w:t>
      </w:r>
      <w:r>
        <w:rPr>
          <w:rFonts w:ascii="Cambria" w:hAnsi="Cambria"/>
          <w:sz w:val="20"/>
          <w:szCs w:val="20"/>
        </w:rPr>
        <w:t>and labor rights</w:t>
      </w:r>
      <w:r w:rsidRPr="0030679F">
        <w:rPr>
          <w:rFonts w:ascii="Cambria" w:hAnsi="Cambria"/>
          <w:sz w:val="20"/>
          <w:szCs w:val="20"/>
        </w:rPr>
        <w:t xml:space="preserve">. </w:t>
      </w:r>
    </w:p>
    <w:p w14:paraId="2BA25A54" w14:textId="77777777" w:rsidR="0057201B" w:rsidRPr="0030679F" w:rsidRDefault="0057201B" w:rsidP="0057201B">
      <w:pPr>
        <w:pStyle w:val="ListParagraph"/>
        <w:autoSpaceDE w:val="0"/>
        <w:autoSpaceDN w:val="0"/>
        <w:adjustRightInd w:val="0"/>
        <w:jc w:val="both"/>
        <w:rPr>
          <w:rFonts w:ascii="Cambria" w:hAnsi="Cambria"/>
          <w:b/>
          <w:bCs/>
          <w:sz w:val="20"/>
          <w:szCs w:val="20"/>
        </w:rPr>
      </w:pPr>
    </w:p>
    <w:p w14:paraId="0E7006B6" w14:textId="7F07E64F" w:rsidR="0057201B" w:rsidRPr="004B7474" w:rsidRDefault="0057201B" w:rsidP="00933F91">
      <w:pPr>
        <w:pStyle w:val="ListParagraph"/>
        <w:numPr>
          <w:ilvl w:val="0"/>
          <w:numId w:val="55"/>
        </w:numPr>
        <w:autoSpaceDE w:val="0"/>
        <w:autoSpaceDN w:val="0"/>
        <w:adjustRightInd w:val="0"/>
        <w:ind w:left="1440" w:hanging="720"/>
        <w:contextualSpacing w:val="0"/>
        <w:jc w:val="both"/>
        <w:rPr>
          <w:rFonts w:ascii="Cambria" w:hAnsi="Cambria"/>
          <w:b/>
          <w:bCs/>
          <w:sz w:val="22"/>
          <w:szCs w:val="22"/>
        </w:rPr>
      </w:pPr>
      <w:r w:rsidRPr="004B7474">
        <w:rPr>
          <w:rFonts w:ascii="Cambria" w:hAnsi="Cambria"/>
          <w:b/>
          <w:bCs/>
          <w:sz w:val="22"/>
          <w:szCs w:val="22"/>
        </w:rPr>
        <w:t xml:space="preserve">Portfolio </w:t>
      </w:r>
      <w:r w:rsidR="009044E0" w:rsidRPr="004B7474">
        <w:rPr>
          <w:rFonts w:ascii="Cambria" w:hAnsi="Cambria"/>
          <w:b/>
          <w:bCs/>
          <w:sz w:val="22"/>
          <w:szCs w:val="22"/>
        </w:rPr>
        <w:t>m</w:t>
      </w:r>
      <w:r w:rsidRPr="004B7474">
        <w:rPr>
          <w:rFonts w:ascii="Cambria" w:hAnsi="Cambria"/>
          <w:b/>
          <w:bCs/>
          <w:sz w:val="22"/>
          <w:szCs w:val="22"/>
        </w:rPr>
        <w:t xml:space="preserve">eetings and </w:t>
      </w:r>
      <w:r w:rsidR="009044E0" w:rsidRPr="004B7474">
        <w:rPr>
          <w:rFonts w:ascii="Cambria" w:hAnsi="Cambria"/>
          <w:b/>
          <w:bCs/>
          <w:sz w:val="22"/>
          <w:szCs w:val="22"/>
        </w:rPr>
        <w:t>i</w:t>
      </w:r>
      <w:r w:rsidRPr="004B7474">
        <w:rPr>
          <w:rFonts w:ascii="Cambria" w:hAnsi="Cambria"/>
          <w:b/>
          <w:bCs/>
          <w:sz w:val="22"/>
          <w:szCs w:val="22"/>
        </w:rPr>
        <w:t xml:space="preserve">nformation to </w:t>
      </w:r>
      <w:r w:rsidR="009044E0" w:rsidRPr="004B7474">
        <w:rPr>
          <w:rFonts w:ascii="Cambria" w:hAnsi="Cambria"/>
          <w:b/>
          <w:bCs/>
          <w:sz w:val="22"/>
          <w:szCs w:val="22"/>
        </w:rPr>
        <w:t>m</w:t>
      </w:r>
      <w:r w:rsidRPr="004B7474">
        <w:rPr>
          <w:rFonts w:ascii="Cambria" w:hAnsi="Cambria"/>
          <w:b/>
          <w:bCs/>
          <w:sz w:val="22"/>
          <w:szCs w:val="22"/>
        </w:rPr>
        <w:t xml:space="preserve">ember </w:t>
      </w:r>
      <w:r w:rsidR="009044E0" w:rsidRPr="004B7474">
        <w:rPr>
          <w:rFonts w:ascii="Cambria" w:hAnsi="Cambria"/>
          <w:b/>
          <w:bCs/>
          <w:sz w:val="22"/>
          <w:szCs w:val="22"/>
        </w:rPr>
        <w:t>s</w:t>
      </w:r>
      <w:r w:rsidRPr="004B7474">
        <w:rPr>
          <w:rFonts w:ascii="Cambria" w:hAnsi="Cambria"/>
          <w:b/>
          <w:bCs/>
          <w:sz w:val="22"/>
          <w:szCs w:val="22"/>
        </w:rPr>
        <w:t xml:space="preserve">tates </w:t>
      </w:r>
    </w:p>
    <w:p w14:paraId="7ABE1E73" w14:textId="77777777" w:rsidR="0057201B" w:rsidRPr="007F4987" w:rsidRDefault="0057201B" w:rsidP="0057201B">
      <w:pPr>
        <w:pStyle w:val="BodyText"/>
        <w:ind w:left="720"/>
        <w:jc w:val="both"/>
        <w:rPr>
          <w:rStyle w:val="normaltextrun"/>
          <w:rFonts w:cs="Calibri"/>
        </w:rPr>
      </w:pPr>
    </w:p>
    <w:p w14:paraId="6AA313AB" w14:textId="77777777" w:rsidR="0057201B" w:rsidRPr="006F551B" w:rsidRDefault="0057201B" w:rsidP="00933F91">
      <w:pPr>
        <w:pStyle w:val="BodyText"/>
        <w:widowControl/>
        <w:numPr>
          <w:ilvl w:val="0"/>
          <w:numId w:val="58"/>
        </w:numPr>
        <w:ind w:left="0" w:firstLine="720"/>
        <w:jc w:val="both"/>
        <w:rPr>
          <w:rStyle w:val="eop"/>
          <w:rFonts w:cs="Calibri"/>
        </w:rPr>
      </w:pPr>
      <w:r w:rsidRPr="006F551B">
        <w:rPr>
          <w:rStyle w:val="normaltextrun"/>
          <w:rFonts w:cs="Calibri"/>
        </w:rPr>
        <w:t xml:space="preserve">In 2022, in order to ensure access to information related to the fulfillment of its mandate and foster a culture of active transparency with respect to the information under its control, including information on petitions and pending cases, the Commission on 16 occasions </w:t>
      </w:r>
      <w:r>
        <w:rPr>
          <w:rStyle w:val="normaltextrun"/>
          <w:rFonts w:cs="Calibri"/>
        </w:rPr>
        <w:t>provided</w:t>
      </w:r>
      <w:r w:rsidRPr="006F551B">
        <w:rPr>
          <w:rStyle w:val="normaltextrun"/>
          <w:rFonts w:cs="Calibri"/>
        </w:rPr>
        <w:t xml:space="preserve"> information</w:t>
      </w:r>
      <w:r>
        <w:rPr>
          <w:rStyle w:val="normaltextrun"/>
          <w:rFonts w:cs="Calibri"/>
        </w:rPr>
        <w:t xml:space="preserve"> </w:t>
      </w:r>
      <w:r w:rsidRPr="006F551B">
        <w:rPr>
          <w:rStyle w:val="normaltextrun"/>
          <w:rFonts w:cs="Calibri"/>
        </w:rPr>
        <w:t>on the status of portfolios of petitions and cases pending before the IACHR with respect to 14 Me</w:t>
      </w:r>
      <w:r>
        <w:rPr>
          <w:rStyle w:val="normaltextrun"/>
          <w:rFonts w:cs="Calibri"/>
        </w:rPr>
        <w:t>mber States of the Organization of American States (OAS)</w:t>
      </w:r>
      <w:r w:rsidRPr="006F551B">
        <w:rPr>
          <w:rStyle w:val="normaltextrun"/>
          <w:rFonts w:cs="Calibri"/>
        </w:rPr>
        <w:t>. </w:t>
      </w:r>
      <w:r w:rsidRPr="006F551B">
        <w:rPr>
          <w:rStyle w:val="eop"/>
          <w:rFonts w:cs="Calibri"/>
        </w:rPr>
        <w:t> </w:t>
      </w:r>
    </w:p>
    <w:p w14:paraId="0D36648F" w14:textId="77777777" w:rsidR="0057201B" w:rsidRPr="006F551B" w:rsidRDefault="0057201B" w:rsidP="0057201B">
      <w:pPr>
        <w:pStyle w:val="BodyText"/>
        <w:ind w:left="720"/>
        <w:jc w:val="both"/>
        <w:rPr>
          <w:rStyle w:val="normaltextrun"/>
          <w:rFonts w:cs="Calibri"/>
        </w:rPr>
      </w:pPr>
    </w:p>
    <w:p w14:paraId="7ABC88D4" w14:textId="77777777" w:rsidR="0057201B" w:rsidRPr="006F551B" w:rsidRDefault="0057201B" w:rsidP="00933F91">
      <w:pPr>
        <w:pStyle w:val="BodyText"/>
        <w:widowControl/>
        <w:numPr>
          <w:ilvl w:val="0"/>
          <w:numId w:val="58"/>
        </w:numPr>
        <w:ind w:left="0" w:firstLine="720"/>
        <w:jc w:val="both"/>
        <w:rPr>
          <w:rStyle w:val="eop"/>
          <w:rFonts w:cs="Calibri"/>
        </w:rPr>
      </w:pPr>
      <w:r w:rsidRPr="006F551B">
        <w:rPr>
          <w:rStyle w:val="normaltextrun"/>
          <w:rFonts w:cs="Calibri"/>
        </w:rPr>
        <w:t xml:space="preserve">Eight of these </w:t>
      </w:r>
      <w:r>
        <w:rPr>
          <w:rStyle w:val="normaltextrun"/>
          <w:rFonts w:cs="Calibri"/>
        </w:rPr>
        <w:t xml:space="preserve">instances involved </w:t>
      </w:r>
      <w:r w:rsidRPr="006F551B">
        <w:rPr>
          <w:rStyle w:val="normaltextrun"/>
          <w:rFonts w:cs="Calibri"/>
        </w:rPr>
        <w:t xml:space="preserve">virtual, in-person, or hybrid (virtual/in-person) meetings </w:t>
      </w:r>
      <w:r>
        <w:rPr>
          <w:rStyle w:val="normaltextrun"/>
          <w:rFonts w:cs="Calibri"/>
        </w:rPr>
        <w:t>to undertake</w:t>
      </w:r>
      <w:r w:rsidRPr="006F551B">
        <w:rPr>
          <w:rStyle w:val="normaltextrun"/>
          <w:rFonts w:cs="Calibri"/>
        </w:rPr>
        <w:t xml:space="preserve"> a detailed review of the portfolios; </w:t>
      </w:r>
      <w:r w:rsidRPr="00A876EA">
        <w:rPr>
          <w:rStyle w:val="normaltextrun"/>
          <w:rFonts w:cs="Calibri"/>
        </w:rPr>
        <w:t>these were with the</w:t>
      </w:r>
      <w:r w:rsidRPr="006F551B">
        <w:rPr>
          <w:rStyle w:val="normaltextrun"/>
          <w:rFonts w:cs="Calibri"/>
        </w:rPr>
        <w:t xml:space="preserve"> States of Argentina, Bahamas, Bolivia, Canad</w:t>
      </w:r>
      <w:r>
        <w:rPr>
          <w:rStyle w:val="normaltextrun"/>
          <w:rFonts w:cs="Calibri"/>
        </w:rPr>
        <w:t>a</w:t>
      </w:r>
      <w:r w:rsidRPr="006F551B">
        <w:rPr>
          <w:rStyle w:val="normaltextrun"/>
          <w:rFonts w:cs="Calibri"/>
        </w:rPr>
        <w:t>, Chile, Ecuador, Panam</w:t>
      </w:r>
      <w:r>
        <w:rPr>
          <w:rStyle w:val="normaltextrun"/>
          <w:rFonts w:cs="Calibri"/>
        </w:rPr>
        <w:t>a, and</w:t>
      </w:r>
      <w:r w:rsidRPr="006F551B">
        <w:rPr>
          <w:rStyle w:val="normaltextrun"/>
          <w:rFonts w:cs="Calibri"/>
        </w:rPr>
        <w:t xml:space="preserve"> Suriname.  </w:t>
      </w:r>
      <w:r w:rsidRPr="006F551B">
        <w:rPr>
          <w:rStyle w:val="eop"/>
          <w:rFonts w:cs="Calibri"/>
        </w:rPr>
        <w:t> </w:t>
      </w:r>
    </w:p>
    <w:p w14:paraId="2DDA26C7" w14:textId="77777777" w:rsidR="0057201B" w:rsidRPr="006F551B" w:rsidRDefault="0057201B" w:rsidP="0057201B">
      <w:pPr>
        <w:pStyle w:val="BodyText"/>
        <w:ind w:left="720"/>
        <w:jc w:val="both"/>
        <w:rPr>
          <w:rStyle w:val="normaltextrun"/>
          <w:rFonts w:cs="Calibri"/>
        </w:rPr>
      </w:pPr>
    </w:p>
    <w:p w14:paraId="250E5A37" w14:textId="3CE71EDD" w:rsidR="0057201B" w:rsidRPr="0090726E" w:rsidRDefault="00022F94" w:rsidP="00933F91">
      <w:pPr>
        <w:pStyle w:val="BodyText"/>
        <w:widowControl/>
        <w:numPr>
          <w:ilvl w:val="0"/>
          <w:numId w:val="58"/>
        </w:numPr>
        <w:ind w:left="0" w:firstLine="720"/>
        <w:jc w:val="both"/>
        <w:rPr>
          <w:rStyle w:val="eop"/>
          <w:rFonts w:cs="Calibri"/>
        </w:rPr>
      </w:pPr>
      <w:r>
        <w:rPr>
          <w:rStyle w:val="normaltextrun"/>
          <w:rFonts w:cs="Calibri"/>
        </w:rPr>
        <w:t>Regarding</w:t>
      </w:r>
      <w:r w:rsidR="0057201B" w:rsidRPr="0090726E">
        <w:rPr>
          <w:rStyle w:val="normaltextrun"/>
          <w:rFonts w:cs="Calibri"/>
        </w:rPr>
        <w:t xml:space="preserve"> the</w:t>
      </w:r>
      <w:r w:rsidR="0057201B">
        <w:rPr>
          <w:rStyle w:val="normaltextrun"/>
          <w:rFonts w:cs="Calibri"/>
        </w:rPr>
        <w:t xml:space="preserve"> provision of</w:t>
      </w:r>
      <w:r w:rsidR="0057201B" w:rsidRPr="0090726E">
        <w:rPr>
          <w:rStyle w:val="normaltextrun"/>
          <w:rFonts w:cs="Calibri"/>
        </w:rPr>
        <w:t xml:space="preserve"> information on the status of </w:t>
      </w:r>
      <w:r w:rsidR="0057201B">
        <w:rPr>
          <w:rStyle w:val="normaltextrun"/>
          <w:rFonts w:cs="Calibri"/>
        </w:rPr>
        <w:t xml:space="preserve">portfolios of </w:t>
      </w:r>
      <w:r w:rsidR="0057201B" w:rsidRPr="0090726E">
        <w:rPr>
          <w:rStyle w:val="normaltextrun"/>
          <w:rFonts w:cs="Calibri"/>
        </w:rPr>
        <w:t xml:space="preserve">petitions and cases pending before the IACHR, the </w:t>
      </w:r>
      <w:r w:rsidR="0057201B">
        <w:rPr>
          <w:rStyle w:val="normaltextrun"/>
          <w:rFonts w:cs="Calibri"/>
        </w:rPr>
        <w:t>Commission, on the one hand,</w:t>
      </w:r>
      <w:r w:rsidR="0057201B" w:rsidRPr="0090726E">
        <w:rPr>
          <w:rStyle w:val="normaltextrun"/>
          <w:rFonts w:cs="Calibri"/>
        </w:rPr>
        <w:t xml:space="preserve"> provided information ex officio with respect to three States with complex portfolios or in which there had been little interaction or compliance with regulatory requirements formulated by the Comm</w:t>
      </w:r>
      <w:r w:rsidR="0057201B">
        <w:rPr>
          <w:rStyle w:val="normaltextrun"/>
          <w:rFonts w:cs="Calibri"/>
        </w:rPr>
        <w:t xml:space="preserve">ission. </w:t>
      </w:r>
      <w:r w:rsidR="0057201B" w:rsidRPr="0090726E">
        <w:rPr>
          <w:rStyle w:val="normaltextrun"/>
          <w:rFonts w:cs="Calibri"/>
        </w:rPr>
        <w:t xml:space="preserve">In so doing, the Commission’s intention was to encourage the timely participation of the parties in the process and to </w:t>
      </w:r>
      <w:r w:rsidR="0057201B" w:rsidRPr="00C3089C">
        <w:rPr>
          <w:rStyle w:val="normaltextrun"/>
          <w:rFonts w:cs="Calibri"/>
        </w:rPr>
        <w:t>diligently take</w:t>
      </w:r>
      <w:r w:rsidR="0057201B" w:rsidRPr="0090726E">
        <w:rPr>
          <w:rStyle w:val="normaltextrun"/>
          <w:rFonts w:cs="Calibri"/>
        </w:rPr>
        <w:t xml:space="preserve"> the procedural </w:t>
      </w:r>
      <w:r w:rsidR="0057201B">
        <w:rPr>
          <w:rStyle w:val="normaltextrun"/>
          <w:rFonts w:cs="Calibri"/>
        </w:rPr>
        <w:t>steps</w:t>
      </w:r>
      <w:r w:rsidR="0057201B" w:rsidRPr="0090726E">
        <w:rPr>
          <w:rStyle w:val="normaltextrun"/>
          <w:rFonts w:cs="Calibri"/>
        </w:rPr>
        <w:t xml:space="preserve"> envisaged in the American Convention on Human Rights, the Commission’s Rules of Procedure and Statute, and other relevant instruments and p</w:t>
      </w:r>
      <w:r w:rsidR="0057201B">
        <w:rPr>
          <w:rStyle w:val="normaltextrun"/>
          <w:rFonts w:cs="Calibri"/>
        </w:rPr>
        <w:t xml:space="preserve">ractices. </w:t>
      </w:r>
      <w:r w:rsidR="0057201B" w:rsidRPr="0090726E">
        <w:rPr>
          <w:rStyle w:val="normaltextrun"/>
          <w:rFonts w:cs="Calibri"/>
        </w:rPr>
        <w:t xml:space="preserve">Finally, </w:t>
      </w:r>
      <w:r w:rsidR="0057201B">
        <w:rPr>
          <w:rStyle w:val="normaltextrun"/>
          <w:rFonts w:cs="Calibri"/>
        </w:rPr>
        <w:t xml:space="preserve">the Commission answered </w:t>
      </w:r>
      <w:r w:rsidR="0057201B" w:rsidRPr="0090726E">
        <w:rPr>
          <w:rStyle w:val="normaltextrun"/>
          <w:rFonts w:cs="Calibri"/>
        </w:rPr>
        <w:t>five requests for information on the status of portfolios of petitions and cases</w:t>
      </w:r>
      <w:r w:rsidR="0057201B">
        <w:rPr>
          <w:rStyle w:val="normaltextrun"/>
          <w:rFonts w:cs="Calibri"/>
        </w:rPr>
        <w:t>,</w:t>
      </w:r>
      <w:r w:rsidR="0057201B" w:rsidRPr="0090726E">
        <w:rPr>
          <w:rStyle w:val="normaltextrun"/>
          <w:rFonts w:cs="Calibri"/>
        </w:rPr>
        <w:t xml:space="preserve"> </w:t>
      </w:r>
      <w:r w:rsidR="0057201B">
        <w:rPr>
          <w:rStyle w:val="normaltextrun"/>
          <w:rFonts w:cs="Calibri"/>
        </w:rPr>
        <w:t xml:space="preserve">made by </w:t>
      </w:r>
      <w:r w:rsidR="0057201B" w:rsidRPr="0090726E">
        <w:rPr>
          <w:rStyle w:val="normaltextrun"/>
          <w:rFonts w:cs="Calibri"/>
        </w:rPr>
        <w:t>Bolivia, Chile, Colombia, M</w:t>
      </w:r>
      <w:r w:rsidR="0057201B">
        <w:rPr>
          <w:rStyle w:val="normaltextrun"/>
          <w:rFonts w:cs="Calibri"/>
        </w:rPr>
        <w:t>e</w:t>
      </w:r>
      <w:r w:rsidR="0057201B" w:rsidRPr="0090726E">
        <w:rPr>
          <w:rStyle w:val="normaltextrun"/>
          <w:rFonts w:cs="Calibri"/>
        </w:rPr>
        <w:t>xico</w:t>
      </w:r>
      <w:r w:rsidR="0057201B">
        <w:rPr>
          <w:rStyle w:val="normaltextrun"/>
          <w:rFonts w:cs="Calibri"/>
        </w:rPr>
        <w:t xml:space="preserve">, and </w:t>
      </w:r>
      <w:r w:rsidR="0057201B" w:rsidRPr="0090726E">
        <w:rPr>
          <w:rStyle w:val="normaltextrun"/>
          <w:rFonts w:cs="Calibri"/>
        </w:rPr>
        <w:t>Per</w:t>
      </w:r>
      <w:r w:rsidR="0057201B">
        <w:rPr>
          <w:rStyle w:val="normaltextrun"/>
          <w:rFonts w:cs="Calibri"/>
        </w:rPr>
        <w:t>u</w:t>
      </w:r>
      <w:r w:rsidR="0057201B" w:rsidRPr="0090726E">
        <w:rPr>
          <w:rStyle w:val="normaltextrun"/>
          <w:rFonts w:cs="Calibri"/>
        </w:rPr>
        <w:t>.</w:t>
      </w:r>
      <w:r w:rsidR="0057201B" w:rsidRPr="0090726E">
        <w:rPr>
          <w:rStyle w:val="eop"/>
          <w:rFonts w:cs="Calibri"/>
        </w:rPr>
        <w:t> </w:t>
      </w:r>
    </w:p>
    <w:p w14:paraId="32A7B31E" w14:textId="77777777" w:rsidR="0057201B" w:rsidRPr="0090726E" w:rsidRDefault="0057201B" w:rsidP="0057201B">
      <w:pPr>
        <w:pStyle w:val="BodyText"/>
        <w:ind w:left="720"/>
        <w:jc w:val="both"/>
        <w:rPr>
          <w:rStyle w:val="eop"/>
          <w:rFonts w:cs="Calibri"/>
        </w:rPr>
      </w:pPr>
    </w:p>
    <w:p w14:paraId="668F5625" w14:textId="77777777" w:rsidR="0057201B" w:rsidRDefault="0057201B" w:rsidP="00933F91">
      <w:pPr>
        <w:pStyle w:val="BodyText"/>
        <w:widowControl/>
        <w:numPr>
          <w:ilvl w:val="0"/>
          <w:numId w:val="58"/>
        </w:numPr>
        <w:ind w:left="0" w:firstLine="720"/>
        <w:jc w:val="both"/>
        <w:rPr>
          <w:rStyle w:val="eop"/>
          <w:rFonts w:cs="Calibri"/>
        </w:rPr>
      </w:pPr>
      <w:r w:rsidRPr="00E60AAA">
        <w:rPr>
          <w:rStyle w:val="eop"/>
          <w:rFonts w:cs="Calibri"/>
        </w:rPr>
        <w:t xml:space="preserve">In addition, </w:t>
      </w:r>
      <w:r>
        <w:rPr>
          <w:rStyle w:val="eop"/>
          <w:rFonts w:cs="Calibri"/>
        </w:rPr>
        <w:t xml:space="preserve">in the middle of the year </w:t>
      </w:r>
      <w:r w:rsidRPr="00E60AAA">
        <w:rPr>
          <w:rStyle w:val="eop"/>
          <w:rFonts w:cs="Calibri"/>
        </w:rPr>
        <w:t xml:space="preserve">the Commission sent information ex officio to the States </w:t>
      </w:r>
      <w:r>
        <w:rPr>
          <w:rStyle w:val="eop"/>
          <w:rFonts w:cs="Calibri"/>
        </w:rPr>
        <w:t>that have</w:t>
      </w:r>
      <w:r w:rsidRPr="00E60AAA">
        <w:rPr>
          <w:rStyle w:val="eop"/>
          <w:rFonts w:cs="Calibri"/>
        </w:rPr>
        <w:t xml:space="preserve"> the </w:t>
      </w:r>
      <w:r>
        <w:rPr>
          <w:rStyle w:val="eop"/>
          <w:rFonts w:cs="Calibri"/>
        </w:rPr>
        <w:t>most</w:t>
      </w:r>
      <w:r w:rsidRPr="00E60AAA">
        <w:rPr>
          <w:rStyle w:val="eop"/>
          <w:rFonts w:cs="Calibri"/>
        </w:rPr>
        <w:t xml:space="preserve"> petitions pending with respect to the percentage of measures </w:t>
      </w:r>
      <w:r>
        <w:rPr>
          <w:rStyle w:val="eop"/>
          <w:rFonts w:cs="Calibri"/>
        </w:rPr>
        <w:t xml:space="preserve">that were </w:t>
      </w:r>
      <w:r w:rsidRPr="00E60AAA">
        <w:rPr>
          <w:rStyle w:val="eop"/>
          <w:rFonts w:cs="Calibri"/>
        </w:rPr>
        <w:t>received during 2022</w:t>
      </w:r>
      <w:r>
        <w:rPr>
          <w:rStyle w:val="eop"/>
          <w:rFonts w:cs="Calibri"/>
        </w:rPr>
        <w:t>;</w:t>
      </w:r>
      <w:r w:rsidRPr="00E60AAA">
        <w:rPr>
          <w:rStyle w:val="eop"/>
          <w:rFonts w:cs="Calibri"/>
        </w:rPr>
        <w:t xml:space="preserve"> </w:t>
      </w:r>
      <w:r>
        <w:rPr>
          <w:rStyle w:val="eop"/>
          <w:rFonts w:cs="Calibri"/>
        </w:rPr>
        <w:t xml:space="preserve">the number of petitions opened and not opened for processing; and those in which additional information was requested from the petitioners. </w:t>
      </w:r>
    </w:p>
    <w:p w14:paraId="0E249FA5" w14:textId="77777777" w:rsidR="00D05EE2" w:rsidRDefault="00D05EE2" w:rsidP="00D05EE2">
      <w:pPr>
        <w:pStyle w:val="ListParagraph"/>
        <w:rPr>
          <w:rStyle w:val="eop"/>
          <w:rFonts w:cs="Calibri"/>
        </w:rPr>
      </w:pPr>
    </w:p>
    <w:p w14:paraId="0C6808C2" w14:textId="77777777" w:rsidR="00D05EE2" w:rsidRPr="00E60AAA" w:rsidRDefault="00D05EE2" w:rsidP="00D05EE2">
      <w:pPr>
        <w:pStyle w:val="BodyText"/>
        <w:widowControl/>
        <w:ind w:left="720"/>
        <w:jc w:val="both"/>
        <w:rPr>
          <w:rStyle w:val="eop"/>
          <w:rFonts w:cs="Calibri"/>
        </w:rPr>
      </w:pPr>
    </w:p>
    <w:p w14:paraId="23E8B7E3" w14:textId="77777777" w:rsidR="0057201B" w:rsidRPr="00E60AAA" w:rsidRDefault="0057201B" w:rsidP="0057201B">
      <w:pPr>
        <w:pStyle w:val="BodyText"/>
        <w:ind w:left="720"/>
        <w:jc w:val="both"/>
        <w:rPr>
          <w:rFonts w:cs="Calibri"/>
        </w:rPr>
      </w:pPr>
    </w:p>
    <w:p w14:paraId="31E34F44" w14:textId="479CED9B" w:rsidR="0057201B" w:rsidRPr="004B7474" w:rsidRDefault="0057201B" w:rsidP="00933F91">
      <w:pPr>
        <w:pStyle w:val="ListParagraph"/>
        <w:numPr>
          <w:ilvl w:val="0"/>
          <w:numId w:val="55"/>
        </w:numPr>
        <w:autoSpaceDE w:val="0"/>
        <w:autoSpaceDN w:val="0"/>
        <w:adjustRightInd w:val="0"/>
        <w:ind w:left="1440" w:hanging="720"/>
        <w:contextualSpacing w:val="0"/>
        <w:jc w:val="both"/>
        <w:rPr>
          <w:rFonts w:ascii="Cambria" w:hAnsi="Cambria"/>
          <w:b/>
          <w:bCs/>
          <w:sz w:val="22"/>
          <w:szCs w:val="22"/>
          <w:lang w:val="es-US"/>
        </w:rPr>
      </w:pPr>
      <w:r w:rsidRPr="004B7474">
        <w:rPr>
          <w:rFonts w:ascii="Cambria" w:hAnsi="Cambria"/>
          <w:b/>
          <w:bCs/>
          <w:sz w:val="22"/>
          <w:szCs w:val="22"/>
          <w:lang w:val="es-US"/>
        </w:rPr>
        <w:lastRenderedPageBreak/>
        <w:t xml:space="preserve">Hearings on </w:t>
      </w:r>
      <w:r w:rsidR="00022F94" w:rsidRPr="004B7474">
        <w:rPr>
          <w:rFonts w:ascii="Cambria" w:hAnsi="Cambria"/>
          <w:b/>
          <w:bCs/>
          <w:sz w:val="22"/>
          <w:szCs w:val="22"/>
          <w:lang w:val="es-US"/>
        </w:rPr>
        <w:t>c</w:t>
      </w:r>
      <w:r w:rsidRPr="004B7474">
        <w:rPr>
          <w:rFonts w:ascii="Cambria" w:hAnsi="Cambria"/>
          <w:b/>
          <w:bCs/>
          <w:sz w:val="22"/>
          <w:szCs w:val="22"/>
          <w:lang w:val="es-US"/>
        </w:rPr>
        <w:t xml:space="preserve">ontentious </w:t>
      </w:r>
      <w:r w:rsidR="00022F94" w:rsidRPr="004B7474">
        <w:rPr>
          <w:rFonts w:ascii="Cambria" w:hAnsi="Cambria"/>
          <w:b/>
          <w:bCs/>
          <w:sz w:val="22"/>
          <w:szCs w:val="22"/>
          <w:lang w:val="es-US"/>
        </w:rPr>
        <w:t>c</w:t>
      </w:r>
      <w:r w:rsidRPr="004B7474">
        <w:rPr>
          <w:rFonts w:ascii="Cambria" w:hAnsi="Cambria"/>
          <w:b/>
          <w:bCs/>
          <w:sz w:val="22"/>
          <w:szCs w:val="22"/>
          <w:lang w:val="es-US"/>
        </w:rPr>
        <w:t>ases</w:t>
      </w:r>
    </w:p>
    <w:p w14:paraId="7864A856" w14:textId="77777777" w:rsidR="0057201B" w:rsidRPr="00AE3A84" w:rsidRDefault="0057201B" w:rsidP="0057201B">
      <w:pPr>
        <w:autoSpaceDE w:val="0"/>
        <w:autoSpaceDN w:val="0"/>
        <w:adjustRightInd w:val="0"/>
        <w:ind w:left="720"/>
        <w:jc w:val="both"/>
        <w:rPr>
          <w:rFonts w:ascii="Cambria" w:hAnsi="Cambria" w:cs="Calibri"/>
          <w:sz w:val="20"/>
          <w:szCs w:val="20"/>
          <w:lang w:val="es-US"/>
        </w:rPr>
      </w:pPr>
    </w:p>
    <w:p w14:paraId="489AD3C4" w14:textId="77777777" w:rsidR="0057201B" w:rsidRPr="0057651C" w:rsidRDefault="0057201B" w:rsidP="00933F91">
      <w:pPr>
        <w:pStyle w:val="ListParagraph"/>
        <w:numPr>
          <w:ilvl w:val="0"/>
          <w:numId w:val="58"/>
        </w:numPr>
        <w:autoSpaceDE w:val="0"/>
        <w:autoSpaceDN w:val="0"/>
        <w:adjustRightInd w:val="0"/>
        <w:ind w:left="0" w:firstLine="720"/>
        <w:jc w:val="both"/>
        <w:rPr>
          <w:rFonts w:ascii="Cambria" w:hAnsi="Cambria" w:cs="Calibri"/>
          <w:sz w:val="20"/>
          <w:szCs w:val="20"/>
        </w:rPr>
      </w:pPr>
      <w:r w:rsidRPr="0057651C">
        <w:rPr>
          <w:rFonts w:ascii="Cambria" w:hAnsi="Cambria" w:cs="Calibri"/>
          <w:sz w:val="20"/>
          <w:szCs w:val="20"/>
        </w:rPr>
        <w:t xml:space="preserve">During </w:t>
      </w:r>
      <w:r w:rsidRPr="0057651C">
        <w:rPr>
          <w:rFonts w:ascii="Cambria" w:hAnsi="Cambria" w:cs="Calibri"/>
          <w:sz w:val="20"/>
          <w:szCs w:val="20"/>
          <w:lang w:eastAsia="es-ES_tradnl"/>
        </w:rPr>
        <w:t>2022</w:t>
      </w:r>
      <w:r w:rsidRPr="0057651C">
        <w:rPr>
          <w:rFonts w:ascii="Cambria" w:hAnsi="Cambria" w:cs="Calibri"/>
          <w:sz w:val="20"/>
          <w:szCs w:val="20"/>
        </w:rPr>
        <w:t xml:space="preserve">, in accordance with the provisions established in Article 64 of the Rules of Procedure, the Commission held a total of eight public hearings on pending cases. In these hearings, the Commission received testimonial or expert evidence and heard the arguments of the parties involved. </w:t>
      </w:r>
    </w:p>
    <w:p w14:paraId="76BAEF06" w14:textId="77777777" w:rsidR="0057201B" w:rsidRPr="00E60AAA" w:rsidRDefault="0057201B" w:rsidP="0057201B">
      <w:pPr>
        <w:autoSpaceDE w:val="0"/>
        <w:autoSpaceDN w:val="0"/>
        <w:adjustRightInd w:val="0"/>
        <w:ind w:left="720"/>
        <w:jc w:val="both"/>
        <w:rPr>
          <w:rFonts w:ascii="Cambria" w:hAnsi="Cambria" w:cs="Calibri"/>
          <w:sz w:val="20"/>
          <w:szCs w:val="20"/>
        </w:rPr>
      </w:pPr>
    </w:p>
    <w:p w14:paraId="7C70BDCD" w14:textId="77777777" w:rsidR="0057201B" w:rsidRPr="008C7F64" w:rsidRDefault="0057201B" w:rsidP="00933F91">
      <w:pPr>
        <w:numPr>
          <w:ilvl w:val="0"/>
          <w:numId w:val="58"/>
        </w:numPr>
        <w:autoSpaceDE w:val="0"/>
        <w:autoSpaceDN w:val="0"/>
        <w:adjustRightInd w:val="0"/>
        <w:ind w:left="0" w:firstLine="720"/>
        <w:jc w:val="both"/>
        <w:rPr>
          <w:rFonts w:ascii="Cambria" w:hAnsi="Cambria" w:cs="Calibri"/>
          <w:sz w:val="20"/>
          <w:szCs w:val="20"/>
        </w:rPr>
      </w:pPr>
      <w:r w:rsidRPr="00DB3B38">
        <w:rPr>
          <w:rFonts w:ascii="Cambria" w:hAnsi="Cambria" w:cs="Calibri"/>
          <w:sz w:val="20"/>
          <w:szCs w:val="20"/>
        </w:rPr>
        <w:t xml:space="preserve">It should be noted that starting in the second half of the year, in furtherance of the principle of immediacy </w:t>
      </w:r>
      <w:r w:rsidRPr="00632FF3">
        <w:rPr>
          <w:rFonts w:ascii="Cambria" w:hAnsi="Cambria" w:cs="Calibri"/>
          <w:sz w:val="20"/>
          <w:szCs w:val="20"/>
        </w:rPr>
        <w:t>for all of its members,</w:t>
      </w:r>
      <w:r w:rsidRPr="00DB3B38">
        <w:rPr>
          <w:rFonts w:ascii="Cambria" w:hAnsi="Cambria" w:cs="Calibri"/>
          <w:sz w:val="20"/>
          <w:szCs w:val="20"/>
        </w:rPr>
        <w:t xml:space="preserve"> the Commission</w:t>
      </w:r>
      <w:r>
        <w:rPr>
          <w:rFonts w:ascii="Cambria" w:hAnsi="Cambria" w:cs="Calibri"/>
          <w:sz w:val="20"/>
          <w:szCs w:val="20"/>
        </w:rPr>
        <w:t xml:space="preserve"> has held plenary hearings exclusively on contentious cases.</w:t>
      </w:r>
      <w:r w:rsidRPr="00DB3B38">
        <w:rPr>
          <w:rFonts w:ascii="Cambria" w:hAnsi="Cambria" w:cs="Calibri"/>
          <w:sz w:val="20"/>
          <w:szCs w:val="20"/>
        </w:rPr>
        <w:t xml:space="preserve"> </w:t>
      </w:r>
      <w:r>
        <w:rPr>
          <w:rFonts w:ascii="Cambria" w:hAnsi="Cambria" w:cs="Calibri"/>
          <w:sz w:val="20"/>
          <w:szCs w:val="20"/>
        </w:rPr>
        <w:t>Moreover, t</w:t>
      </w:r>
      <w:r w:rsidRPr="008C7F64">
        <w:rPr>
          <w:rFonts w:ascii="Cambria" w:hAnsi="Cambria" w:cs="Calibri"/>
          <w:sz w:val="20"/>
          <w:szCs w:val="20"/>
        </w:rPr>
        <w:t xml:space="preserve">he Commission has convened the great majority of hearings of its own accord on matters generally related to cases </w:t>
      </w:r>
      <w:r>
        <w:rPr>
          <w:rFonts w:ascii="Cambria" w:hAnsi="Cambria" w:cs="Calibri"/>
          <w:sz w:val="20"/>
          <w:szCs w:val="20"/>
        </w:rPr>
        <w:t xml:space="preserve">under review and deliberation. </w:t>
      </w:r>
      <w:r w:rsidRPr="008C7F64">
        <w:rPr>
          <w:rFonts w:ascii="Cambria" w:hAnsi="Cambria" w:cs="Calibri"/>
          <w:sz w:val="20"/>
          <w:szCs w:val="20"/>
        </w:rPr>
        <w:t xml:space="preserve">This enables the Commission to have more evidence available with respect to aspects </w:t>
      </w:r>
      <w:r>
        <w:rPr>
          <w:rFonts w:ascii="Cambria" w:hAnsi="Cambria" w:cs="Calibri"/>
          <w:sz w:val="20"/>
          <w:szCs w:val="20"/>
        </w:rPr>
        <w:t>being</w:t>
      </w:r>
      <w:r w:rsidRPr="008C7F64">
        <w:rPr>
          <w:rFonts w:ascii="Cambria" w:hAnsi="Cambria" w:cs="Calibri"/>
          <w:sz w:val="20"/>
          <w:szCs w:val="20"/>
        </w:rPr>
        <w:t xml:space="preserve"> debate</w:t>
      </w:r>
      <w:r>
        <w:rPr>
          <w:rFonts w:ascii="Cambria" w:hAnsi="Cambria" w:cs="Calibri"/>
          <w:sz w:val="20"/>
          <w:szCs w:val="20"/>
        </w:rPr>
        <w:t>d</w:t>
      </w:r>
      <w:r w:rsidRPr="008C7F64">
        <w:rPr>
          <w:rFonts w:ascii="Cambria" w:hAnsi="Cambria" w:cs="Calibri"/>
          <w:sz w:val="20"/>
          <w:szCs w:val="20"/>
        </w:rPr>
        <w:t xml:space="preserve"> </w:t>
      </w:r>
      <w:r>
        <w:rPr>
          <w:rFonts w:ascii="Cambria" w:hAnsi="Cambria" w:cs="Calibri"/>
          <w:sz w:val="20"/>
          <w:szCs w:val="20"/>
        </w:rPr>
        <w:t>by</w:t>
      </w:r>
      <w:r w:rsidRPr="008C7F64">
        <w:rPr>
          <w:rFonts w:ascii="Cambria" w:hAnsi="Cambria" w:cs="Calibri"/>
          <w:sz w:val="20"/>
          <w:szCs w:val="20"/>
        </w:rPr>
        <w:t xml:space="preserve"> </w:t>
      </w:r>
      <w:r>
        <w:rPr>
          <w:rFonts w:ascii="Cambria" w:hAnsi="Cambria" w:cs="Calibri"/>
          <w:sz w:val="20"/>
          <w:szCs w:val="20"/>
        </w:rPr>
        <w:t xml:space="preserve">the </w:t>
      </w:r>
      <w:r w:rsidRPr="008C7F64">
        <w:rPr>
          <w:rFonts w:ascii="Cambria" w:hAnsi="Cambria" w:cs="Calibri"/>
          <w:sz w:val="20"/>
          <w:szCs w:val="20"/>
        </w:rPr>
        <w:t xml:space="preserve">parties, as well as updated information, before issuing its decision. </w:t>
      </w:r>
    </w:p>
    <w:p w14:paraId="0C2E4ECC" w14:textId="77777777" w:rsidR="0057201B" w:rsidRPr="008C7F64" w:rsidRDefault="0057201B" w:rsidP="0057201B">
      <w:pPr>
        <w:autoSpaceDE w:val="0"/>
        <w:autoSpaceDN w:val="0"/>
        <w:adjustRightInd w:val="0"/>
        <w:ind w:left="720"/>
        <w:jc w:val="both"/>
        <w:rPr>
          <w:rFonts w:ascii="Cambria" w:hAnsi="Cambria" w:cs="Calibri"/>
          <w:sz w:val="20"/>
          <w:szCs w:val="20"/>
        </w:rPr>
      </w:pPr>
    </w:p>
    <w:p w14:paraId="67919C2F" w14:textId="77777777" w:rsidR="0057201B" w:rsidRPr="008C7F64" w:rsidRDefault="0057201B" w:rsidP="00933F91">
      <w:pPr>
        <w:numPr>
          <w:ilvl w:val="0"/>
          <w:numId w:val="58"/>
        </w:numPr>
        <w:autoSpaceDE w:val="0"/>
        <w:autoSpaceDN w:val="0"/>
        <w:adjustRightInd w:val="0"/>
        <w:ind w:left="0" w:firstLine="720"/>
        <w:jc w:val="both"/>
        <w:rPr>
          <w:rFonts w:ascii="Cambria" w:hAnsi="Cambria" w:cs="Calibri"/>
          <w:sz w:val="20"/>
          <w:szCs w:val="20"/>
        </w:rPr>
      </w:pPr>
      <w:r w:rsidRPr="008C7F64">
        <w:rPr>
          <w:rFonts w:ascii="Cambria" w:hAnsi="Cambria" w:cs="Calibri"/>
          <w:sz w:val="20"/>
          <w:szCs w:val="20"/>
        </w:rPr>
        <w:t>The Commission held hearings on the foll</w:t>
      </w:r>
      <w:r>
        <w:rPr>
          <w:rFonts w:ascii="Cambria" w:hAnsi="Cambria" w:cs="Calibri"/>
          <w:sz w:val="20"/>
          <w:szCs w:val="20"/>
        </w:rPr>
        <w:t>owing cases</w:t>
      </w:r>
      <w:r w:rsidRPr="008C7F64">
        <w:rPr>
          <w:rFonts w:ascii="Cambria" w:hAnsi="Cambria" w:cs="Calibri"/>
          <w:sz w:val="20"/>
          <w:szCs w:val="20"/>
        </w:rPr>
        <w:t>:</w:t>
      </w:r>
    </w:p>
    <w:p w14:paraId="58219A21" w14:textId="77777777" w:rsidR="0057201B" w:rsidRPr="008C7F64" w:rsidRDefault="0057201B" w:rsidP="0057201B">
      <w:pPr>
        <w:autoSpaceDE w:val="0"/>
        <w:autoSpaceDN w:val="0"/>
        <w:adjustRightInd w:val="0"/>
        <w:ind w:left="720"/>
        <w:jc w:val="both"/>
        <w:rPr>
          <w:rFonts w:ascii="Cambria" w:hAnsi="Cambria" w:cs="Calibri"/>
          <w:sz w:val="20"/>
          <w:szCs w:val="20"/>
        </w:rPr>
      </w:pPr>
    </w:p>
    <w:p w14:paraId="1C22C2C6" w14:textId="77777777" w:rsidR="0057201B" w:rsidRPr="00AE3A84" w:rsidRDefault="0071198A" w:rsidP="00933F91">
      <w:pPr>
        <w:pStyle w:val="Heading1"/>
        <w:numPr>
          <w:ilvl w:val="0"/>
          <w:numId w:val="60"/>
        </w:numPr>
        <w:tabs>
          <w:tab w:val="left" w:pos="1350"/>
        </w:tabs>
        <w:spacing w:before="0"/>
        <w:ind w:left="1800" w:right="156"/>
        <w:jc w:val="both"/>
        <w:rPr>
          <w:rFonts w:ascii="Cambria" w:hAnsi="Cambria" w:cs="Calibri"/>
          <w:color w:val="auto"/>
          <w:sz w:val="20"/>
          <w:lang w:val="es-US"/>
        </w:rPr>
      </w:pPr>
      <w:hyperlink r:id="rId15" w:history="1">
        <w:r w:rsidR="0057201B" w:rsidRPr="00AE3A84">
          <w:rPr>
            <w:rStyle w:val="Hyperlink"/>
            <w:rFonts w:ascii="Cambria" w:eastAsia="Calibri" w:hAnsi="Cambria" w:cs="Calibri"/>
            <w:color w:val="auto"/>
            <w:sz w:val="20"/>
            <w:lang w:val="es-US"/>
          </w:rPr>
          <w:t>Cas</w:t>
        </w:r>
        <w:r w:rsidR="0057201B">
          <w:rPr>
            <w:rStyle w:val="Hyperlink"/>
            <w:rFonts w:ascii="Cambria" w:eastAsia="Calibri" w:hAnsi="Cambria" w:cs="Calibri"/>
            <w:color w:val="auto"/>
            <w:sz w:val="20"/>
            <w:lang w:val="es-US"/>
          </w:rPr>
          <w:t>e</w:t>
        </w:r>
        <w:r w:rsidR="0057201B" w:rsidRPr="00AE3A84">
          <w:rPr>
            <w:rStyle w:val="Hyperlink"/>
            <w:rFonts w:ascii="Cambria" w:eastAsia="Calibri" w:hAnsi="Cambria" w:cs="Calibri"/>
            <w:color w:val="auto"/>
            <w:sz w:val="20"/>
            <w:lang w:val="es-US"/>
          </w:rPr>
          <w:t xml:space="preserve"> 13.807 - Santiago Efrain Velázquez Coello </w:t>
        </w:r>
        <w:r w:rsidR="0057201B">
          <w:rPr>
            <w:rStyle w:val="Hyperlink"/>
            <w:rFonts w:ascii="Cambria" w:eastAsia="Calibri" w:hAnsi="Cambria" w:cs="Calibri"/>
            <w:color w:val="auto"/>
            <w:sz w:val="20"/>
            <w:lang w:val="es-US"/>
          </w:rPr>
          <w:t>and</w:t>
        </w:r>
        <w:r w:rsidR="0057201B" w:rsidRPr="00AE3A84">
          <w:rPr>
            <w:rStyle w:val="Hyperlink"/>
            <w:rFonts w:ascii="Cambria" w:eastAsia="Calibri" w:hAnsi="Cambria" w:cs="Calibri"/>
            <w:color w:val="auto"/>
            <w:sz w:val="20"/>
            <w:lang w:val="es-US"/>
          </w:rPr>
          <w:t xml:space="preserve"> Jorge Guillermo Alvear Macías v</w:t>
        </w:r>
        <w:r w:rsidR="0057201B">
          <w:rPr>
            <w:rStyle w:val="Hyperlink"/>
            <w:rFonts w:ascii="Cambria" w:eastAsia="Calibri" w:hAnsi="Cambria" w:cs="Calibri"/>
            <w:color w:val="auto"/>
            <w:sz w:val="20"/>
            <w:lang w:val="es-US"/>
          </w:rPr>
          <w:t>.</w:t>
        </w:r>
        <w:r w:rsidR="0057201B" w:rsidRPr="00AE3A84">
          <w:rPr>
            <w:rStyle w:val="Hyperlink"/>
            <w:rFonts w:ascii="Cambria" w:eastAsia="Calibri" w:hAnsi="Cambria" w:cs="Calibri"/>
            <w:color w:val="auto"/>
            <w:sz w:val="20"/>
            <w:lang w:val="es-US"/>
          </w:rPr>
          <w:t xml:space="preserve"> Ecuador</w:t>
        </w:r>
      </w:hyperlink>
      <w:r w:rsidR="0057201B" w:rsidRPr="00AE3A84">
        <w:rPr>
          <w:rFonts w:ascii="Cambria" w:eastAsia="Calibri" w:hAnsi="Cambria" w:cs="Calibri"/>
          <w:color w:val="auto"/>
          <w:sz w:val="20"/>
          <w:lang w:val="es-US"/>
        </w:rPr>
        <w:t xml:space="preserve">, </w:t>
      </w:r>
      <w:r w:rsidR="0057201B">
        <w:rPr>
          <w:rFonts w:ascii="Cambria" w:eastAsia="Calibri" w:hAnsi="Cambria" w:cs="Calibri"/>
          <w:color w:val="auto"/>
          <w:sz w:val="20"/>
          <w:lang w:val="es-US"/>
        </w:rPr>
        <w:t xml:space="preserve">March </w:t>
      </w:r>
      <w:r w:rsidR="0057201B" w:rsidRPr="00AE3A84">
        <w:rPr>
          <w:rFonts w:ascii="Cambria" w:eastAsia="Calibri" w:hAnsi="Cambria" w:cs="Calibri"/>
          <w:color w:val="auto"/>
          <w:sz w:val="20"/>
          <w:lang w:val="es-US"/>
        </w:rPr>
        <w:t>18</w:t>
      </w:r>
      <w:r w:rsidR="0057201B">
        <w:rPr>
          <w:rFonts w:ascii="Cambria" w:eastAsia="Calibri" w:hAnsi="Cambria" w:cs="Calibri"/>
          <w:color w:val="auto"/>
          <w:sz w:val="20"/>
          <w:lang w:val="es-US"/>
        </w:rPr>
        <w:t xml:space="preserve">, </w:t>
      </w:r>
      <w:r w:rsidR="0057201B" w:rsidRPr="00AE3A84">
        <w:rPr>
          <w:rFonts w:ascii="Cambria" w:eastAsia="Calibri" w:hAnsi="Cambria" w:cs="Calibri"/>
          <w:color w:val="auto"/>
          <w:sz w:val="20"/>
          <w:lang w:val="es-US"/>
        </w:rPr>
        <w:t>2022.</w:t>
      </w:r>
    </w:p>
    <w:p w14:paraId="7C96F726" w14:textId="77777777" w:rsidR="0057201B" w:rsidRPr="008C7F64" w:rsidRDefault="0071198A" w:rsidP="00933F91">
      <w:pPr>
        <w:pStyle w:val="Heading1"/>
        <w:numPr>
          <w:ilvl w:val="0"/>
          <w:numId w:val="60"/>
        </w:numPr>
        <w:spacing w:before="0"/>
        <w:ind w:left="1800" w:right="156"/>
        <w:jc w:val="both"/>
        <w:rPr>
          <w:rFonts w:ascii="Cambria" w:eastAsia="Calibri" w:hAnsi="Cambria" w:cs="Calibri"/>
          <w:color w:val="auto"/>
          <w:sz w:val="20"/>
        </w:rPr>
      </w:pPr>
      <w:hyperlink r:id="rId16" w:history="1">
        <w:r w:rsidR="0057201B" w:rsidRPr="008C7F64">
          <w:rPr>
            <w:rStyle w:val="Hyperlink"/>
            <w:rFonts w:ascii="Cambria" w:eastAsia="Calibri" w:hAnsi="Cambria" w:cs="Calibri"/>
            <w:color w:val="auto"/>
            <w:sz w:val="20"/>
          </w:rPr>
          <w:t>Case 13.641 – Peasant Communities and Peasant Councils in the Provinces of Celendín, Hualgayoc-Bambamarca, an</w:t>
        </w:r>
        <w:r w:rsidR="0057201B">
          <w:rPr>
            <w:rStyle w:val="Hyperlink"/>
            <w:rFonts w:ascii="Cambria" w:eastAsia="Calibri" w:hAnsi="Cambria" w:cs="Calibri"/>
            <w:color w:val="auto"/>
            <w:sz w:val="20"/>
          </w:rPr>
          <w:t xml:space="preserve">d </w:t>
        </w:r>
        <w:r w:rsidR="0057201B" w:rsidRPr="008C7F64">
          <w:rPr>
            <w:rStyle w:val="Hyperlink"/>
            <w:rFonts w:ascii="Cambria" w:eastAsia="Calibri" w:hAnsi="Cambria" w:cs="Calibri"/>
            <w:color w:val="auto"/>
            <w:sz w:val="20"/>
          </w:rPr>
          <w:t>Cajamarca v</w:t>
        </w:r>
        <w:r w:rsidR="0057201B">
          <w:rPr>
            <w:rStyle w:val="Hyperlink"/>
            <w:rFonts w:ascii="Cambria" w:eastAsia="Calibri" w:hAnsi="Cambria" w:cs="Calibri"/>
            <w:color w:val="auto"/>
            <w:sz w:val="20"/>
          </w:rPr>
          <w:t>.</w:t>
        </w:r>
        <w:r w:rsidR="0057201B" w:rsidRPr="008C7F64">
          <w:rPr>
            <w:rStyle w:val="Hyperlink"/>
            <w:rFonts w:ascii="Cambria" w:eastAsia="Calibri" w:hAnsi="Cambria" w:cs="Calibri"/>
            <w:color w:val="auto"/>
            <w:sz w:val="20"/>
          </w:rPr>
          <w:t xml:space="preserve"> Per</w:t>
        </w:r>
        <w:r w:rsidR="0057201B">
          <w:rPr>
            <w:rStyle w:val="Hyperlink"/>
            <w:rFonts w:ascii="Cambria" w:eastAsia="Calibri" w:hAnsi="Cambria" w:cs="Calibri"/>
            <w:color w:val="auto"/>
            <w:sz w:val="20"/>
          </w:rPr>
          <w:t>u</w:t>
        </w:r>
      </w:hyperlink>
      <w:r w:rsidR="0057201B" w:rsidRPr="008C7F64">
        <w:rPr>
          <w:rFonts w:ascii="Cambria" w:eastAsia="Calibri" w:hAnsi="Cambria" w:cs="Calibri"/>
          <w:color w:val="auto"/>
          <w:sz w:val="20"/>
        </w:rPr>
        <w:t xml:space="preserve">, </w:t>
      </w:r>
      <w:r w:rsidR="0057201B">
        <w:rPr>
          <w:rFonts w:ascii="Cambria" w:eastAsia="Calibri" w:hAnsi="Cambria" w:cs="Calibri"/>
          <w:color w:val="auto"/>
          <w:sz w:val="20"/>
        </w:rPr>
        <w:t xml:space="preserve">March </w:t>
      </w:r>
      <w:r w:rsidR="0057201B" w:rsidRPr="008C7F64">
        <w:rPr>
          <w:rFonts w:ascii="Cambria" w:eastAsia="Calibri" w:hAnsi="Cambria" w:cs="Calibri"/>
          <w:color w:val="auto"/>
          <w:sz w:val="20"/>
        </w:rPr>
        <w:t>15</w:t>
      </w:r>
      <w:r w:rsidR="0057201B">
        <w:rPr>
          <w:rFonts w:ascii="Cambria" w:eastAsia="Calibri" w:hAnsi="Cambria" w:cs="Calibri"/>
          <w:color w:val="auto"/>
          <w:sz w:val="20"/>
        </w:rPr>
        <w:t>,</w:t>
      </w:r>
      <w:r w:rsidR="0057201B" w:rsidRPr="008C7F64">
        <w:rPr>
          <w:rFonts w:ascii="Cambria" w:eastAsia="Calibri" w:hAnsi="Cambria" w:cs="Calibri"/>
          <w:color w:val="auto"/>
          <w:sz w:val="20"/>
        </w:rPr>
        <w:t xml:space="preserve"> 2022.</w:t>
      </w:r>
    </w:p>
    <w:p w14:paraId="4694691C" w14:textId="77777777" w:rsidR="0057201B" w:rsidRPr="000E299C" w:rsidRDefault="0071198A" w:rsidP="00933F91">
      <w:pPr>
        <w:pStyle w:val="Heading1"/>
        <w:numPr>
          <w:ilvl w:val="0"/>
          <w:numId w:val="60"/>
        </w:numPr>
        <w:spacing w:before="0"/>
        <w:ind w:left="1800" w:right="156"/>
        <w:jc w:val="both"/>
        <w:rPr>
          <w:rFonts w:ascii="Cambria" w:eastAsia="Calibri" w:hAnsi="Cambria" w:cs="Calibri"/>
          <w:color w:val="auto"/>
          <w:sz w:val="20"/>
        </w:rPr>
      </w:pPr>
      <w:hyperlink r:id="rId17" w:history="1">
        <w:r w:rsidR="0057201B" w:rsidRPr="000E299C">
          <w:rPr>
            <w:rStyle w:val="Hyperlink"/>
            <w:rFonts w:ascii="Cambria" w:eastAsia="Calibri" w:hAnsi="Cambria" w:cs="Calibri"/>
            <w:color w:val="auto"/>
            <w:sz w:val="20"/>
          </w:rPr>
          <w:t>Case 13.349 - Jorge Luis de la Rosa Mejía and Others (“Missing Persons of San Onofre”) v. Colombia</w:t>
        </w:r>
      </w:hyperlink>
      <w:r w:rsidR="0057201B" w:rsidRPr="000E299C">
        <w:rPr>
          <w:rFonts w:ascii="Cambria" w:eastAsia="Calibri" w:hAnsi="Cambria" w:cs="Calibri"/>
          <w:color w:val="auto"/>
          <w:sz w:val="20"/>
        </w:rPr>
        <w:t>, March 14</w:t>
      </w:r>
      <w:r w:rsidR="0057201B">
        <w:rPr>
          <w:rFonts w:ascii="Cambria" w:eastAsia="Calibri" w:hAnsi="Cambria" w:cs="Calibri"/>
          <w:color w:val="auto"/>
          <w:sz w:val="20"/>
        </w:rPr>
        <w:t>,</w:t>
      </w:r>
      <w:r w:rsidR="0057201B" w:rsidRPr="000E299C">
        <w:rPr>
          <w:rFonts w:ascii="Cambria" w:eastAsia="Calibri" w:hAnsi="Cambria" w:cs="Calibri"/>
          <w:color w:val="auto"/>
          <w:sz w:val="20"/>
        </w:rPr>
        <w:t xml:space="preserve"> 2022.</w:t>
      </w:r>
    </w:p>
    <w:p w14:paraId="46913E33" w14:textId="77777777" w:rsidR="0057201B" w:rsidRPr="000E299C" w:rsidRDefault="0071198A" w:rsidP="00933F91">
      <w:pPr>
        <w:pStyle w:val="Heading1"/>
        <w:numPr>
          <w:ilvl w:val="0"/>
          <w:numId w:val="60"/>
        </w:numPr>
        <w:spacing w:before="0"/>
        <w:ind w:left="1800" w:right="156"/>
        <w:jc w:val="both"/>
        <w:rPr>
          <w:rFonts w:ascii="Cambria" w:eastAsia="Calibri" w:hAnsi="Cambria" w:cs="Calibri"/>
          <w:color w:val="auto"/>
          <w:sz w:val="20"/>
        </w:rPr>
      </w:pPr>
      <w:hyperlink r:id="rId18" w:history="1">
        <w:r w:rsidR="0057201B" w:rsidRPr="000E299C">
          <w:rPr>
            <w:rStyle w:val="Hyperlink"/>
            <w:rFonts w:ascii="Cambria" w:eastAsia="Calibri" w:hAnsi="Cambria" w:cs="Calibri"/>
            <w:color w:val="auto"/>
            <w:sz w:val="20"/>
          </w:rPr>
          <w:t>Case 13.524 - 334 Patients at Federico Mora Hospital v. Guatemala</w:t>
        </w:r>
      </w:hyperlink>
      <w:r w:rsidR="0057201B" w:rsidRPr="000E299C">
        <w:rPr>
          <w:rFonts w:ascii="Cambria" w:eastAsia="Calibri" w:hAnsi="Cambria" w:cs="Calibri"/>
          <w:color w:val="auto"/>
          <w:sz w:val="20"/>
        </w:rPr>
        <w:t>, June 24, 2022.</w:t>
      </w:r>
    </w:p>
    <w:p w14:paraId="4D0BFB00" w14:textId="77777777" w:rsidR="0057201B" w:rsidRPr="00B51185" w:rsidRDefault="0071198A" w:rsidP="00933F91">
      <w:pPr>
        <w:pStyle w:val="Heading1"/>
        <w:numPr>
          <w:ilvl w:val="0"/>
          <w:numId w:val="60"/>
        </w:numPr>
        <w:spacing w:before="0"/>
        <w:ind w:left="1800" w:right="156"/>
        <w:jc w:val="both"/>
        <w:rPr>
          <w:rFonts w:ascii="Cambria" w:eastAsia="Calibri" w:hAnsi="Cambria" w:cs="Calibri"/>
          <w:color w:val="auto"/>
          <w:sz w:val="20"/>
        </w:rPr>
      </w:pPr>
      <w:hyperlink r:id="rId19" w:history="1">
        <w:r w:rsidR="0057201B" w:rsidRPr="00B51185">
          <w:rPr>
            <w:rStyle w:val="Hyperlink"/>
            <w:rFonts w:ascii="Cambria" w:eastAsia="Calibri" w:hAnsi="Cambria" w:cs="Calibri"/>
            <w:color w:val="auto"/>
            <w:sz w:val="20"/>
          </w:rPr>
          <w:t>Case 13.572 - Mashco Piro, Yora, and Amahuanca Peoples v. Peru</w:t>
        </w:r>
      </w:hyperlink>
      <w:r w:rsidR="0057201B" w:rsidRPr="00B51185">
        <w:rPr>
          <w:rFonts w:ascii="Cambria" w:eastAsia="Calibri" w:hAnsi="Cambria" w:cs="Calibri"/>
          <w:color w:val="auto"/>
          <w:sz w:val="20"/>
        </w:rPr>
        <w:t>, June 23, 2022.</w:t>
      </w:r>
    </w:p>
    <w:p w14:paraId="5FA90BFC" w14:textId="77777777" w:rsidR="0057201B" w:rsidRPr="000E299C" w:rsidRDefault="0071198A" w:rsidP="00933F91">
      <w:pPr>
        <w:pStyle w:val="Heading1"/>
        <w:numPr>
          <w:ilvl w:val="0"/>
          <w:numId w:val="60"/>
        </w:numPr>
        <w:spacing w:before="0"/>
        <w:ind w:left="1800" w:right="156"/>
        <w:jc w:val="both"/>
        <w:rPr>
          <w:rFonts w:ascii="Cambria" w:eastAsia="Calibri" w:hAnsi="Cambria" w:cs="Calibri"/>
          <w:color w:val="auto"/>
          <w:sz w:val="20"/>
        </w:rPr>
      </w:pPr>
      <w:hyperlink r:id="rId20" w:history="1">
        <w:r w:rsidR="0057201B" w:rsidRPr="000E299C">
          <w:rPr>
            <w:rStyle w:val="Hyperlink"/>
            <w:rFonts w:ascii="Cambria" w:eastAsia="Calibri" w:hAnsi="Cambria" w:cs="Calibri"/>
            <w:color w:val="auto"/>
            <w:sz w:val="20"/>
          </w:rPr>
          <w:t>Case 14.042 - Anastasio Hernández Rojas v. United States</w:t>
        </w:r>
      </w:hyperlink>
      <w:r w:rsidR="0057201B" w:rsidRPr="000E299C">
        <w:rPr>
          <w:rFonts w:ascii="Cambria" w:eastAsia="Calibri" w:hAnsi="Cambria" w:cs="Calibri"/>
          <w:color w:val="auto"/>
          <w:sz w:val="20"/>
        </w:rPr>
        <w:t>, November 4, 2022.</w:t>
      </w:r>
    </w:p>
    <w:p w14:paraId="733DAC58" w14:textId="77777777" w:rsidR="0057201B" w:rsidRPr="00AE3A84" w:rsidRDefault="0071198A" w:rsidP="00933F91">
      <w:pPr>
        <w:pStyle w:val="Heading1"/>
        <w:numPr>
          <w:ilvl w:val="0"/>
          <w:numId w:val="60"/>
        </w:numPr>
        <w:spacing w:before="0"/>
        <w:ind w:left="1800" w:right="156"/>
        <w:jc w:val="both"/>
        <w:rPr>
          <w:rFonts w:ascii="Cambria" w:eastAsia="Calibri" w:hAnsi="Cambria" w:cs="Calibri"/>
          <w:color w:val="auto"/>
          <w:sz w:val="20"/>
          <w:lang w:val="es-US"/>
        </w:rPr>
      </w:pPr>
      <w:hyperlink r:id="rId21" w:history="1">
        <w:r w:rsidR="0057201B" w:rsidRPr="00AE3A84">
          <w:rPr>
            <w:rStyle w:val="Hyperlink"/>
            <w:rFonts w:ascii="Cambria" w:eastAsia="Calibri" w:hAnsi="Cambria" w:cs="Calibri"/>
            <w:color w:val="auto"/>
            <w:sz w:val="20"/>
            <w:lang w:val="es-US"/>
          </w:rPr>
          <w:t>Cas</w:t>
        </w:r>
        <w:r w:rsidR="0057201B">
          <w:rPr>
            <w:rStyle w:val="Hyperlink"/>
            <w:rFonts w:ascii="Cambria" w:eastAsia="Calibri" w:hAnsi="Cambria" w:cs="Calibri"/>
            <w:color w:val="auto"/>
            <w:sz w:val="20"/>
            <w:lang w:val="es-US"/>
          </w:rPr>
          <w:t>e</w:t>
        </w:r>
        <w:r w:rsidR="0057201B" w:rsidRPr="00AE3A84">
          <w:rPr>
            <w:rStyle w:val="Hyperlink"/>
            <w:rFonts w:ascii="Cambria" w:eastAsia="Calibri" w:hAnsi="Cambria" w:cs="Calibri"/>
            <w:color w:val="auto"/>
            <w:sz w:val="20"/>
            <w:lang w:val="es-US"/>
          </w:rPr>
          <w:t xml:space="preserve"> 13.141 - Luis Alfonso Hoyos Aristizábal v</w:t>
        </w:r>
        <w:r w:rsidR="0057201B">
          <w:rPr>
            <w:rStyle w:val="Hyperlink"/>
            <w:rFonts w:ascii="Cambria" w:eastAsia="Calibri" w:hAnsi="Cambria" w:cs="Calibri"/>
            <w:color w:val="auto"/>
            <w:sz w:val="20"/>
            <w:lang w:val="es-US"/>
          </w:rPr>
          <w:t>.</w:t>
        </w:r>
        <w:r w:rsidR="0057201B" w:rsidRPr="00AE3A84">
          <w:rPr>
            <w:rStyle w:val="Hyperlink"/>
            <w:rFonts w:ascii="Cambria" w:eastAsia="Calibri" w:hAnsi="Cambria" w:cs="Calibri"/>
            <w:color w:val="auto"/>
            <w:sz w:val="20"/>
            <w:lang w:val="es-US"/>
          </w:rPr>
          <w:t xml:space="preserve"> Colombia</w:t>
        </w:r>
      </w:hyperlink>
      <w:r w:rsidR="0057201B" w:rsidRPr="00AE3A84">
        <w:rPr>
          <w:rFonts w:ascii="Cambria" w:eastAsia="Calibri" w:hAnsi="Cambria" w:cs="Calibri"/>
          <w:color w:val="auto"/>
          <w:sz w:val="20"/>
          <w:lang w:val="es-US"/>
        </w:rPr>
        <w:t xml:space="preserve">, </w:t>
      </w:r>
      <w:r w:rsidR="0057201B">
        <w:rPr>
          <w:rFonts w:ascii="Cambria" w:eastAsia="Calibri" w:hAnsi="Cambria" w:cs="Calibri"/>
          <w:color w:val="auto"/>
          <w:sz w:val="20"/>
          <w:lang w:val="es-US"/>
        </w:rPr>
        <w:t xml:space="preserve">October </w:t>
      </w:r>
      <w:r w:rsidR="0057201B" w:rsidRPr="00AE3A84">
        <w:rPr>
          <w:rFonts w:ascii="Cambria" w:eastAsia="Calibri" w:hAnsi="Cambria" w:cs="Calibri"/>
          <w:color w:val="auto"/>
          <w:sz w:val="20"/>
          <w:lang w:val="es-US"/>
        </w:rPr>
        <w:t>27</w:t>
      </w:r>
      <w:r w:rsidR="0057201B">
        <w:rPr>
          <w:rFonts w:ascii="Cambria" w:eastAsia="Calibri" w:hAnsi="Cambria" w:cs="Calibri"/>
          <w:color w:val="auto"/>
          <w:sz w:val="20"/>
          <w:lang w:val="es-US"/>
        </w:rPr>
        <w:t>,</w:t>
      </w:r>
      <w:r w:rsidR="0057201B" w:rsidRPr="00AE3A84">
        <w:rPr>
          <w:rFonts w:ascii="Cambria" w:eastAsia="Calibri" w:hAnsi="Cambria" w:cs="Calibri"/>
          <w:color w:val="auto"/>
          <w:sz w:val="20"/>
          <w:lang w:val="es-US"/>
        </w:rPr>
        <w:t xml:space="preserve"> 2022.</w:t>
      </w:r>
    </w:p>
    <w:p w14:paraId="20099818" w14:textId="77777777" w:rsidR="0057201B" w:rsidRPr="000E299C" w:rsidRDefault="0071198A" w:rsidP="00933F91">
      <w:pPr>
        <w:pStyle w:val="ListParagraph"/>
        <w:numPr>
          <w:ilvl w:val="0"/>
          <w:numId w:val="60"/>
        </w:numPr>
        <w:ind w:left="1800"/>
        <w:jc w:val="both"/>
        <w:rPr>
          <w:rFonts w:ascii="Cambria" w:hAnsi="Cambria"/>
        </w:rPr>
      </w:pPr>
      <w:hyperlink r:id="rId22" w:history="1">
        <w:r w:rsidR="0057201B" w:rsidRPr="000E299C">
          <w:rPr>
            <w:rStyle w:val="Hyperlink"/>
            <w:rFonts w:ascii="Cambria" w:eastAsia="Calibri" w:hAnsi="Cambria" w:cs="Calibri"/>
            <w:color w:val="auto"/>
            <w:sz w:val="20"/>
            <w:szCs w:val="32"/>
          </w:rPr>
          <w:t>Case 13.730 - G.C.A.M. and Son v. Ecuador</w:t>
        </w:r>
      </w:hyperlink>
      <w:r w:rsidR="0057201B" w:rsidRPr="000E299C">
        <w:rPr>
          <w:rFonts w:ascii="Cambria" w:eastAsia="Calibri" w:hAnsi="Cambria" w:cs="Calibri"/>
          <w:sz w:val="20"/>
        </w:rPr>
        <w:t>, October 24, 2022</w:t>
      </w:r>
      <w:r w:rsidR="0057201B">
        <w:rPr>
          <w:rFonts w:ascii="Cambria" w:eastAsia="Calibri" w:hAnsi="Cambria" w:cs="Calibri"/>
          <w:sz w:val="20"/>
        </w:rPr>
        <w:t>.</w:t>
      </w:r>
    </w:p>
    <w:p w14:paraId="2B1C8864" w14:textId="77777777" w:rsidR="0057201B" w:rsidRPr="000E299C" w:rsidRDefault="0057201B" w:rsidP="0057201B">
      <w:pPr>
        <w:pStyle w:val="ListParagraph"/>
        <w:ind w:left="1440"/>
        <w:rPr>
          <w:rFonts w:ascii="Cambria" w:hAnsi="Cambria"/>
        </w:rPr>
      </w:pPr>
    </w:p>
    <w:p w14:paraId="00A93C99" w14:textId="77777777" w:rsidR="0057201B" w:rsidRPr="00050315" w:rsidRDefault="0057201B" w:rsidP="00933F91">
      <w:pPr>
        <w:pStyle w:val="ListParagraph"/>
        <w:numPr>
          <w:ilvl w:val="0"/>
          <w:numId w:val="55"/>
        </w:numPr>
        <w:autoSpaceDE w:val="0"/>
        <w:autoSpaceDN w:val="0"/>
        <w:adjustRightInd w:val="0"/>
        <w:ind w:left="1440" w:hanging="720"/>
        <w:contextualSpacing w:val="0"/>
        <w:jc w:val="both"/>
        <w:rPr>
          <w:rFonts w:ascii="Cambria" w:hAnsi="Cambria"/>
          <w:b/>
          <w:bCs/>
          <w:sz w:val="22"/>
          <w:szCs w:val="22"/>
          <w:lang w:val="es-US"/>
        </w:rPr>
      </w:pPr>
      <w:r w:rsidRPr="00050315">
        <w:rPr>
          <w:rFonts w:ascii="Cambria" w:hAnsi="Cambria"/>
          <w:b/>
          <w:bCs/>
          <w:sz w:val="22"/>
          <w:szCs w:val="22"/>
          <w:lang w:val="es-US"/>
        </w:rPr>
        <w:t>Strategic Plan 2023-2027</w:t>
      </w:r>
    </w:p>
    <w:p w14:paraId="77866C01" w14:textId="77777777" w:rsidR="0057201B" w:rsidRPr="00AE3A84" w:rsidRDefault="0057201B" w:rsidP="0057201B">
      <w:pPr>
        <w:pStyle w:val="BodyText"/>
        <w:ind w:left="720"/>
        <w:jc w:val="both"/>
        <w:rPr>
          <w:lang w:val="es-US"/>
        </w:rPr>
      </w:pPr>
    </w:p>
    <w:p w14:paraId="7AEA6BEE" w14:textId="77777777" w:rsidR="0057201B" w:rsidRPr="000038C1" w:rsidRDefault="0057201B" w:rsidP="00933F91">
      <w:pPr>
        <w:pStyle w:val="BodyText"/>
        <w:widowControl/>
        <w:numPr>
          <w:ilvl w:val="0"/>
          <w:numId w:val="58"/>
        </w:numPr>
        <w:ind w:left="0" w:firstLine="720"/>
        <w:jc w:val="both"/>
      </w:pPr>
      <w:r w:rsidRPr="000038C1">
        <w:t xml:space="preserve">During 2022, as part of the consultation and preparation process for </w:t>
      </w:r>
      <w:r>
        <w:t>its</w:t>
      </w:r>
      <w:r w:rsidRPr="000038C1">
        <w:t xml:space="preserve"> Strategic Plan</w:t>
      </w:r>
      <w:r>
        <w:t xml:space="preserve"> </w:t>
      </w:r>
      <w:r w:rsidRPr="000038C1">
        <w:t xml:space="preserve">2023-2027, the Commission held a series of forums, consultations, and workshops in which it evaluated </w:t>
      </w:r>
      <w:r>
        <w:t xml:space="preserve">some of the results of </w:t>
      </w:r>
      <w:r w:rsidRPr="000038C1">
        <w:t xml:space="preserve">measures that have been adopted historically to address the procedural backlog, with special emphasis on the results obtained following the implementation of </w:t>
      </w:r>
      <w:r>
        <w:t>its</w:t>
      </w:r>
      <w:r w:rsidRPr="000038C1">
        <w:t xml:space="preserve"> Strategic Plan</w:t>
      </w:r>
      <w:r>
        <w:t xml:space="preserve"> </w:t>
      </w:r>
      <w:r w:rsidRPr="000038C1">
        <w:t xml:space="preserve">2017-2021.  </w:t>
      </w:r>
    </w:p>
    <w:p w14:paraId="0E3B81B9" w14:textId="77777777" w:rsidR="0057201B" w:rsidRPr="000038C1" w:rsidRDefault="0057201B" w:rsidP="0057201B">
      <w:pPr>
        <w:pStyle w:val="BodyText"/>
        <w:ind w:left="720"/>
        <w:jc w:val="both"/>
      </w:pPr>
    </w:p>
    <w:p w14:paraId="1BEC5E37" w14:textId="77777777" w:rsidR="0057201B" w:rsidRPr="001C6D08" w:rsidRDefault="0057201B" w:rsidP="00933F91">
      <w:pPr>
        <w:pStyle w:val="BodyText"/>
        <w:widowControl/>
        <w:numPr>
          <w:ilvl w:val="0"/>
          <w:numId w:val="58"/>
        </w:numPr>
        <w:ind w:left="0" w:firstLine="720"/>
        <w:jc w:val="both"/>
      </w:pPr>
      <w:r w:rsidRPr="005103D0">
        <w:t xml:space="preserve">The </w:t>
      </w:r>
      <w:r>
        <w:t>updates</w:t>
      </w:r>
      <w:r w:rsidRPr="005103D0">
        <w:t xml:space="preserve"> issued by the IACHR throughout its Strategic Plan, and particularly the </w:t>
      </w:r>
      <w:hyperlink r:id="rId23" w:history="1">
        <w:r w:rsidRPr="00152F97">
          <w:rPr>
            <w:rStyle w:val="Hyperlink"/>
          </w:rPr>
          <w:t>2021 Annual Report</w:t>
        </w:r>
      </w:hyperlink>
      <w:r w:rsidRPr="005103D0">
        <w:t xml:space="preserve">, give an account of the measures </w:t>
      </w:r>
      <w:r>
        <w:t>that</w:t>
      </w:r>
      <w:r w:rsidRPr="005103D0">
        <w:t xml:space="preserve"> have been implemented</w:t>
      </w:r>
      <w:r>
        <w:t xml:space="preserve">, </w:t>
      </w:r>
      <w:r w:rsidRPr="005103D0">
        <w:t>which, taken together, have resulted in the elimination of the procedural backlog in the initial review of petitions</w:t>
      </w:r>
      <w:r>
        <w:t xml:space="preserve">, the simplification of the proceedings for admissibility and merits, as well as a significant increase in the production of reports and in the </w:t>
      </w:r>
      <w:r w:rsidRPr="00963607">
        <w:t>use of the</w:t>
      </w:r>
      <w:r>
        <w:t xml:space="preserve"> rules for archiving cases. </w:t>
      </w:r>
      <w:r w:rsidRPr="00963607">
        <w:t xml:space="preserve">In addition, with the increase in </w:t>
      </w:r>
      <w:r>
        <w:t>volume</w:t>
      </w:r>
      <w:r w:rsidRPr="00963607">
        <w:t xml:space="preserve"> </w:t>
      </w:r>
      <w:r>
        <w:t>of</w:t>
      </w:r>
      <w:r w:rsidRPr="00963607">
        <w:t xml:space="preserve"> merits reports, the Commission has </w:t>
      </w:r>
      <w:r w:rsidRPr="00152F97">
        <w:t xml:space="preserve">handled more </w:t>
      </w:r>
      <w:r>
        <w:t>matters</w:t>
      </w:r>
      <w:r w:rsidRPr="00152F97">
        <w:t xml:space="preserve"> in</w:t>
      </w:r>
      <w:r w:rsidRPr="00963607">
        <w:t xml:space="preserve"> the transition stage, as it has adopted a more active role to make its decisions more eff</w:t>
      </w:r>
      <w:r>
        <w:t>ective</w:t>
      </w:r>
      <w:r w:rsidRPr="00963607">
        <w:t>.</w:t>
      </w:r>
      <w:r>
        <w:t xml:space="preserve"> </w:t>
      </w:r>
      <w:r w:rsidRPr="00963607">
        <w:t xml:space="preserve">Moreover, as a result of the number of cases sent to the Inter-American Court, </w:t>
      </w:r>
      <w:r>
        <w:t>in view of</w:t>
      </w:r>
      <w:r w:rsidRPr="00963607">
        <w:t xml:space="preserve"> the need to obtain justice, the Commission has the </w:t>
      </w:r>
      <w:r>
        <w:t>largest</w:t>
      </w:r>
      <w:r w:rsidRPr="00963607">
        <w:t xml:space="preserve"> portfolio in its history </w:t>
      </w:r>
      <w:r>
        <w:t>of</w:t>
      </w:r>
      <w:r w:rsidRPr="00963607">
        <w:t xml:space="preserve"> matters pending before the Court.</w:t>
      </w:r>
      <w:r>
        <w:t xml:space="preserve"> </w:t>
      </w:r>
      <w:r w:rsidRPr="00963607">
        <w:t xml:space="preserve">This has required the Commission’s participation both in </w:t>
      </w:r>
      <w:r w:rsidRPr="000A4F8E">
        <w:t>written proceedings</w:t>
      </w:r>
      <w:r w:rsidRPr="00963607">
        <w:t xml:space="preserve"> and in public hearings. </w:t>
      </w:r>
      <w:r>
        <w:t xml:space="preserve"> </w:t>
      </w:r>
      <w:r w:rsidRPr="001C6D08">
        <w:t>Particularly, in 2022 the Commission participated in the maximum historical number of hearings of contentious cases and in supervision before the Inter-American Court, which entailed allocating a substantial part of its efforts in the area of the system of petitions and cases to fulfill said function.</w:t>
      </w:r>
    </w:p>
    <w:p w14:paraId="55E72CCF" w14:textId="77777777" w:rsidR="0057201B" w:rsidRPr="001C6D08" w:rsidRDefault="0057201B" w:rsidP="0057201B">
      <w:pPr>
        <w:pStyle w:val="BodyText"/>
        <w:ind w:left="720"/>
        <w:jc w:val="both"/>
      </w:pPr>
    </w:p>
    <w:p w14:paraId="20AEF052" w14:textId="77777777" w:rsidR="0057201B" w:rsidRPr="00B5614D" w:rsidRDefault="0057201B" w:rsidP="00933F91">
      <w:pPr>
        <w:pStyle w:val="BodyText"/>
        <w:widowControl/>
        <w:numPr>
          <w:ilvl w:val="0"/>
          <w:numId w:val="58"/>
        </w:numPr>
        <w:ind w:left="0" w:firstLine="720"/>
        <w:jc w:val="both"/>
      </w:pPr>
      <w:r>
        <w:t>T</w:t>
      </w:r>
      <w:r w:rsidRPr="00B63EF0">
        <w:t>he Commission</w:t>
      </w:r>
      <w:r w:rsidRPr="00963607">
        <w:t xml:space="preserve"> recognizes that despite the increase in </w:t>
      </w:r>
      <w:r>
        <w:t>productivity</w:t>
      </w:r>
      <w:r w:rsidRPr="00963607">
        <w:t xml:space="preserve">, the large number of cases that are pending in its admissibility and merits portfolios reflect </w:t>
      </w:r>
      <w:r>
        <w:t xml:space="preserve">the fact </w:t>
      </w:r>
      <w:r w:rsidRPr="00963607">
        <w:t xml:space="preserve">that </w:t>
      </w:r>
      <w:r>
        <w:t>there is still</w:t>
      </w:r>
      <w:r w:rsidRPr="00963607">
        <w:t xml:space="preserve"> a significant procedural backlog</w:t>
      </w:r>
      <w:r>
        <w:t xml:space="preserve">; this </w:t>
      </w:r>
      <w:r w:rsidRPr="00963607">
        <w:t xml:space="preserve">requires </w:t>
      </w:r>
      <w:r>
        <w:t>ongoing</w:t>
      </w:r>
      <w:r w:rsidRPr="00963607">
        <w:t xml:space="preserve"> attention to make proceedings more effici</w:t>
      </w:r>
      <w:r>
        <w:t>e</w:t>
      </w:r>
      <w:r w:rsidRPr="00963607">
        <w:t>nt, strengthen the capacity to handle cases, and adopt new me</w:t>
      </w:r>
      <w:r>
        <w:t>asures to address the backlog</w:t>
      </w:r>
      <w:r w:rsidRPr="00963607">
        <w:t xml:space="preserve">. </w:t>
      </w:r>
      <w:r w:rsidRPr="00B5614D">
        <w:t xml:space="preserve">During 2022, the IACHR adopted its </w:t>
      </w:r>
      <w:hyperlink r:id="rId24" w:history="1">
        <w:r w:rsidRPr="00B5614D">
          <w:rPr>
            <w:rStyle w:val="Hyperlink"/>
          </w:rPr>
          <w:t>Strategic Plan 2023-2027</w:t>
        </w:r>
      </w:hyperlink>
      <w:r w:rsidRPr="00B5614D">
        <w:t>, in which it decided to makes its Strategic Objective</w:t>
      </w:r>
      <w:r>
        <w:t xml:space="preserve"> 1 to increase access to inter-</w:t>
      </w:r>
      <w:r>
        <w:lastRenderedPageBreak/>
        <w:t xml:space="preserve">American justice. </w:t>
      </w:r>
      <w:r w:rsidRPr="00B5614D">
        <w:t xml:space="preserve">To that end, the Commission approved the following programs: i) Streamlining processes and progressive reduction of the procedural backlog; ii) Strengthening and expansion of friendly settlements; iii) Prioritization of petitions and cases to ensure more </w:t>
      </w:r>
      <w:r>
        <w:t>timely justice and the development of standards with a structural impact</w:t>
      </w:r>
      <w:r w:rsidRPr="00B5614D">
        <w:t xml:space="preserve">; </w:t>
      </w:r>
      <w:r>
        <w:t>and</w:t>
      </w:r>
      <w:r w:rsidRPr="00B5614D">
        <w:t xml:space="preserve"> iv) </w:t>
      </w:r>
      <w:r>
        <w:t>expansion of management capacity for cases in transition and being processed by the Inter-American Court of Human Rights</w:t>
      </w:r>
      <w:r w:rsidRPr="00B5614D">
        <w:t xml:space="preserve">. </w:t>
      </w:r>
    </w:p>
    <w:p w14:paraId="72463B93" w14:textId="77777777" w:rsidR="0057201B" w:rsidRPr="00B5614D" w:rsidRDefault="0057201B" w:rsidP="0057201B">
      <w:pPr>
        <w:pStyle w:val="BodyText"/>
        <w:ind w:left="720"/>
        <w:jc w:val="both"/>
      </w:pPr>
    </w:p>
    <w:p w14:paraId="0B6862AD" w14:textId="77777777" w:rsidR="0057201B" w:rsidRPr="002418D5" w:rsidRDefault="0057201B" w:rsidP="00933F91">
      <w:pPr>
        <w:pStyle w:val="BodyText"/>
        <w:widowControl/>
        <w:numPr>
          <w:ilvl w:val="0"/>
          <w:numId w:val="58"/>
        </w:numPr>
        <w:ind w:left="0" w:firstLine="720"/>
        <w:jc w:val="both"/>
      </w:pPr>
      <w:r w:rsidRPr="00C1680D">
        <w:t xml:space="preserve">Each of the programs has </w:t>
      </w:r>
      <w:r>
        <w:t>its own</w:t>
      </w:r>
      <w:r w:rsidRPr="00C1680D">
        <w:t xml:space="preserve"> strategic lines of action, which</w:t>
      </w:r>
      <w:r w:rsidRPr="00671664">
        <w:t xml:space="preserve"> are laid out </w:t>
      </w:r>
      <w:r>
        <w:t xml:space="preserve">in detail in the Strategic Plan. </w:t>
      </w:r>
      <w:r w:rsidRPr="00096637">
        <w:t xml:space="preserve">The first of these is to adopt new measures to </w:t>
      </w:r>
      <w:r>
        <w:t>accelerate output and gradually reduce the portfolio of cases</w:t>
      </w:r>
      <w:r w:rsidRPr="00096637">
        <w:t>. As one of the most immediate measures, the Commission has decided</w:t>
      </w:r>
      <w:r>
        <w:t xml:space="preserve"> that in light of </w:t>
      </w:r>
      <w:r w:rsidRPr="00096637">
        <w:t xml:space="preserve">the </w:t>
      </w:r>
      <w:r>
        <w:t>growth of</w:t>
      </w:r>
      <w:r w:rsidRPr="00096637">
        <w:t xml:space="preserve"> the merits portfolio</w:t>
      </w:r>
      <w:r>
        <w:t>—due to</w:t>
      </w:r>
      <w:r w:rsidRPr="00096637">
        <w:t xml:space="preserve"> the </w:t>
      </w:r>
      <w:r>
        <w:t>large</w:t>
      </w:r>
      <w:r w:rsidRPr="00096637">
        <w:t xml:space="preserve"> number of admissibility decisions adopted </w:t>
      </w:r>
      <w:r>
        <w:t>under</w:t>
      </w:r>
      <w:r w:rsidRPr="00096637">
        <w:t xml:space="preserve"> the previous Strategic Plan</w:t>
      </w:r>
      <w:r>
        <w:t>—it will consolidate the</w:t>
      </w:r>
      <w:r w:rsidRPr="00096637">
        <w:t xml:space="preserve"> result</w:t>
      </w:r>
      <w:r>
        <w:t>s</w:t>
      </w:r>
      <w:r w:rsidRPr="00096637">
        <w:t xml:space="preserve"> </w:t>
      </w:r>
      <w:r>
        <w:t>under</w:t>
      </w:r>
      <w:r w:rsidRPr="00096637">
        <w:t xml:space="preserve"> this new Strategic Plan by increasing the number of decisions on th</w:t>
      </w:r>
      <w:r>
        <w:t xml:space="preserve">e merits, so as to provide a timelier response. </w:t>
      </w:r>
      <w:r w:rsidRPr="00096637">
        <w:t xml:space="preserve">Consequently, the Commission will prioritize the allocation of its resources to decisions in the merits stage. During the time the Strategic Plan is in effect, the Commission will also study how to </w:t>
      </w:r>
      <w:r>
        <w:t>improve</w:t>
      </w:r>
      <w:r w:rsidRPr="00096637">
        <w:t xml:space="preserve"> existing measures or a</w:t>
      </w:r>
      <w:r>
        <w:t xml:space="preserve">dopt new ones to address the procedural backlog. </w:t>
      </w:r>
      <w:r w:rsidRPr="00096637">
        <w:t xml:space="preserve">The Commission will also continue to </w:t>
      </w:r>
      <w:r>
        <w:t xml:space="preserve">monitor and give impetus to </w:t>
      </w:r>
      <w:r w:rsidRPr="00096637">
        <w:t>the</w:t>
      </w:r>
      <w:r>
        <w:t xml:space="preserve"> </w:t>
      </w:r>
      <w:r w:rsidRPr="00096637">
        <w:t>negotiation processes underway</w:t>
      </w:r>
      <w:r>
        <w:t xml:space="preserve">, as well as to compliance with friendly settlement agreements. </w:t>
      </w:r>
      <w:r w:rsidRPr="002418D5">
        <w:t xml:space="preserve">To that end, it will continue to facilitate working meetings and, among other measures, apply alternative </w:t>
      </w:r>
      <w:r>
        <w:t>dispute</w:t>
      </w:r>
      <w:r w:rsidRPr="002418D5">
        <w:t xml:space="preserve"> resolution techniques so that if the parties are willing, they can </w:t>
      </w:r>
      <w:r>
        <w:t>have a roadmap to follow</w:t>
      </w:r>
      <w:r w:rsidRPr="002418D5">
        <w:t xml:space="preserve">. </w:t>
      </w:r>
    </w:p>
    <w:p w14:paraId="3E9E4C75" w14:textId="77777777" w:rsidR="0057201B" w:rsidRPr="002418D5" w:rsidRDefault="0057201B" w:rsidP="0057201B">
      <w:pPr>
        <w:pStyle w:val="BodyText"/>
        <w:ind w:left="720"/>
        <w:jc w:val="both"/>
      </w:pPr>
    </w:p>
    <w:p w14:paraId="59E7F487" w14:textId="77777777" w:rsidR="0057201B" w:rsidRPr="002418D5" w:rsidRDefault="0057201B" w:rsidP="00933F91">
      <w:pPr>
        <w:pStyle w:val="BodyText"/>
        <w:widowControl/>
        <w:numPr>
          <w:ilvl w:val="0"/>
          <w:numId w:val="58"/>
        </w:numPr>
        <w:ind w:left="0" w:firstLine="720"/>
        <w:jc w:val="both"/>
      </w:pPr>
      <w:r w:rsidRPr="002418D5">
        <w:t xml:space="preserve">Second, although the Commission has provided </w:t>
      </w:r>
      <w:hyperlink r:id="rId25" w:history="1">
        <w:r w:rsidRPr="00633B51">
          <w:rPr>
            <w:rStyle w:val="Hyperlink"/>
          </w:rPr>
          <w:t>information</w:t>
        </w:r>
      </w:hyperlink>
      <w:r w:rsidRPr="002418D5">
        <w:t xml:space="preserve"> about the criteria </w:t>
      </w:r>
      <w:r>
        <w:t xml:space="preserve">it has </w:t>
      </w:r>
      <w:r w:rsidRPr="002418D5">
        <w:t xml:space="preserve">adopted to prioritize certain petitions and cases, it has decided that it will study a prioritization policy for petitions and cases that will enable it to properly manage pending cases in a way that is clearer, </w:t>
      </w:r>
      <w:r>
        <w:t>so that it can provide a more timely response in cases where that is warranted</w:t>
      </w:r>
      <w:r w:rsidRPr="002418D5">
        <w:t xml:space="preserve">. </w:t>
      </w:r>
      <w:r>
        <w:t>The expectative is</w:t>
      </w:r>
      <w:r w:rsidRPr="002418D5">
        <w:t xml:space="preserve"> that the decisions adopted by the IACHR </w:t>
      </w:r>
      <w:r>
        <w:t>can be</w:t>
      </w:r>
      <w:r w:rsidRPr="002418D5">
        <w:t xml:space="preserve"> evaluated not </w:t>
      </w:r>
      <w:r>
        <w:t>just</w:t>
      </w:r>
      <w:r w:rsidRPr="002418D5">
        <w:t xml:space="preserve"> from a quantitative and chronological perspective but also based on </w:t>
      </w:r>
      <w:r>
        <w:t xml:space="preserve">the opportunity for the decisions to have </w:t>
      </w:r>
      <w:r w:rsidRPr="002418D5">
        <w:t xml:space="preserve">a bigger impact on structural aspects, such as norms or practices in the States that </w:t>
      </w:r>
      <w:r>
        <w:t xml:space="preserve">may </w:t>
      </w:r>
      <w:r w:rsidRPr="002418D5">
        <w:t xml:space="preserve">affect the enjoyment of human rights, so as to prevent new </w:t>
      </w:r>
      <w:r>
        <w:t>violations from occurring</w:t>
      </w:r>
      <w:r w:rsidRPr="002418D5">
        <w:t xml:space="preserve">. </w:t>
      </w:r>
    </w:p>
    <w:p w14:paraId="329CB895" w14:textId="77777777" w:rsidR="0057201B" w:rsidRPr="002418D5" w:rsidRDefault="0057201B" w:rsidP="0057201B">
      <w:pPr>
        <w:pStyle w:val="BodyText"/>
        <w:ind w:left="720"/>
        <w:jc w:val="both"/>
      </w:pPr>
    </w:p>
    <w:p w14:paraId="4162084A" w14:textId="77777777" w:rsidR="0057201B" w:rsidRPr="00CF3A57" w:rsidRDefault="0057201B" w:rsidP="00933F91">
      <w:pPr>
        <w:pStyle w:val="BodyText"/>
        <w:widowControl/>
        <w:numPr>
          <w:ilvl w:val="0"/>
          <w:numId w:val="58"/>
        </w:numPr>
        <w:ind w:left="0" w:firstLine="720"/>
        <w:jc w:val="both"/>
      </w:pPr>
      <w:r w:rsidRPr="00CF3A57">
        <w:t xml:space="preserve">Third, and as one of the distinctive elements of this Strategic Plan, the Commission has </w:t>
      </w:r>
      <w:r>
        <w:t>established the critical importance of improved</w:t>
      </w:r>
      <w:r w:rsidRPr="00CF3A57">
        <w:t xml:space="preserve"> knowledge management and </w:t>
      </w:r>
      <w:r>
        <w:t xml:space="preserve">the </w:t>
      </w:r>
      <w:r w:rsidRPr="00CF3A57">
        <w:t>study of work methods</w:t>
      </w:r>
      <w:r>
        <w:t xml:space="preserve"> </w:t>
      </w:r>
      <w:r w:rsidRPr="00CF3A57">
        <w:t>as one of the priority activities of the Assistant Secretariat for Petitions and</w:t>
      </w:r>
      <w:r>
        <w:t xml:space="preserve"> Cases. </w:t>
      </w:r>
      <w:r w:rsidRPr="00CF3A57">
        <w:t xml:space="preserve">This will involve, among other activities, examining </w:t>
      </w:r>
      <w:r>
        <w:t xml:space="preserve">its </w:t>
      </w:r>
      <w:r w:rsidRPr="00CF3A57">
        <w:t xml:space="preserve">portfolios to improve </w:t>
      </w:r>
      <w:r>
        <w:t>the categorization of cases</w:t>
      </w:r>
      <w:r w:rsidRPr="00CF3A57">
        <w:t xml:space="preserve"> for the adoption of measures that </w:t>
      </w:r>
      <w:r>
        <w:t xml:space="preserve">will </w:t>
      </w:r>
      <w:r w:rsidRPr="00CF3A57">
        <w:t xml:space="preserve">allow for </w:t>
      </w:r>
      <w:r>
        <w:t>faster</w:t>
      </w:r>
      <w:r w:rsidRPr="00CF3A57">
        <w:t xml:space="preserve"> decisions, for example</w:t>
      </w:r>
      <w:r>
        <w:t xml:space="preserve"> </w:t>
      </w:r>
      <w:r w:rsidRPr="00CF3A57">
        <w:t xml:space="preserve">when </w:t>
      </w:r>
      <w:r>
        <w:t>cases</w:t>
      </w:r>
      <w:r w:rsidRPr="00CF3A57">
        <w:t xml:space="preserve"> have certain </w:t>
      </w:r>
      <w:r>
        <w:t>similarities</w:t>
      </w:r>
      <w:r w:rsidRPr="00CF3A57">
        <w:t xml:space="preserve"> or may be repetitive. The IACHR will also systematize its precedents and formats to ensure </w:t>
      </w:r>
      <w:r>
        <w:t>greater</w:t>
      </w:r>
      <w:r w:rsidRPr="00CF3A57">
        <w:t xml:space="preserve"> consistency in </w:t>
      </w:r>
      <w:r>
        <w:t>its decisions, as well as provide</w:t>
      </w:r>
      <w:r w:rsidRPr="00CF3A57">
        <w:t xml:space="preserve"> ongoing training and </w:t>
      </w:r>
      <w:r>
        <w:t>preparation of the technical team that works in this area</w:t>
      </w:r>
      <w:r w:rsidRPr="00CF3A57">
        <w:t xml:space="preserve">. </w:t>
      </w:r>
    </w:p>
    <w:p w14:paraId="68E4E8C1" w14:textId="77777777" w:rsidR="0057201B" w:rsidRPr="00CF3A57" w:rsidRDefault="0057201B" w:rsidP="0057201B">
      <w:pPr>
        <w:pStyle w:val="BodyText"/>
        <w:ind w:left="720"/>
        <w:jc w:val="both"/>
      </w:pPr>
    </w:p>
    <w:p w14:paraId="30C22734" w14:textId="77777777" w:rsidR="0057201B" w:rsidRPr="00CF3A57" w:rsidRDefault="0057201B" w:rsidP="00933F91">
      <w:pPr>
        <w:pStyle w:val="BodyText"/>
        <w:widowControl/>
        <w:numPr>
          <w:ilvl w:val="0"/>
          <w:numId w:val="58"/>
        </w:numPr>
        <w:ind w:left="0" w:firstLine="720"/>
        <w:jc w:val="both"/>
      </w:pPr>
      <w:r w:rsidRPr="00CF3A57">
        <w:t>Fourth</w:t>
      </w:r>
      <w:r>
        <w:t>,</w:t>
      </w:r>
      <w:r w:rsidRPr="00CF3A57">
        <w:t xml:space="preserve"> </w:t>
      </w:r>
      <w:r>
        <w:t xml:space="preserve">as part of its </w:t>
      </w:r>
      <w:r w:rsidRPr="00CF3A57">
        <w:t xml:space="preserve">Strategic Plan the Commission will continue to strengthen its attention to matters that are in </w:t>
      </w:r>
      <w:r>
        <w:t>the</w:t>
      </w:r>
      <w:r w:rsidRPr="00CF3A57">
        <w:t xml:space="preserve"> transition </w:t>
      </w:r>
      <w:r>
        <w:t>stage</w:t>
      </w:r>
      <w:r w:rsidRPr="00CF3A57">
        <w:t>, in other words, merits reports that are pending a decision regarding their</w:t>
      </w:r>
      <w:r>
        <w:t xml:space="preserve"> transmittal to the Inter-American Court. </w:t>
      </w:r>
      <w:r w:rsidRPr="00CF3A57">
        <w:t xml:space="preserve">This will mean strengthening </w:t>
      </w:r>
      <w:r>
        <w:t xml:space="preserve">the </w:t>
      </w:r>
      <w:r w:rsidRPr="00CF3A57">
        <w:t>capacit</w:t>
      </w:r>
      <w:r>
        <w:t>y</w:t>
      </w:r>
      <w:r w:rsidRPr="00CF3A57">
        <w:t xml:space="preserve"> to manage and address these cases in the Assistant Secretariat for Petitions and Cases in order to </w:t>
      </w:r>
      <w:r>
        <w:t>help</w:t>
      </w:r>
      <w:r w:rsidRPr="00CF3A57">
        <w:t xml:space="preserve"> reach agreements that </w:t>
      </w:r>
      <w:r>
        <w:t>enable</w:t>
      </w:r>
      <w:r w:rsidRPr="00CF3A57">
        <w:t xml:space="preserve"> comprehensive reparation of victims of human rights violations through the i</w:t>
      </w:r>
      <w:r>
        <w:t xml:space="preserve">mplementation of the recommendations in the merits reports. </w:t>
      </w:r>
      <w:r w:rsidRPr="00CF3A57">
        <w:t xml:space="preserve">Along these lines, the Commission will continue to hold working meetings and issue technical notes </w:t>
      </w:r>
      <w:r>
        <w:t xml:space="preserve">as warranted </w:t>
      </w:r>
      <w:r w:rsidRPr="00CF3A57">
        <w:t>with respect to the scope of its recommendations.</w:t>
      </w:r>
    </w:p>
    <w:p w14:paraId="2366CFBB" w14:textId="77777777" w:rsidR="0057201B" w:rsidRPr="00CF3A57" w:rsidRDefault="0057201B" w:rsidP="0057201B">
      <w:pPr>
        <w:pStyle w:val="BodyText"/>
        <w:ind w:left="720"/>
        <w:jc w:val="both"/>
      </w:pPr>
    </w:p>
    <w:p w14:paraId="3A3C0A9B" w14:textId="77777777" w:rsidR="0057201B" w:rsidRPr="00F12F36" w:rsidRDefault="0057201B" w:rsidP="00933F91">
      <w:pPr>
        <w:pStyle w:val="BodyText"/>
        <w:widowControl/>
        <w:numPr>
          <w:ilvl w:val="0"/>
          <w:numId w:val="58"/>
        </w:numPr>
        <w:ind w:left="0" w:firstLine="720"/>
        <w:jc w:val="both"/>
      </w:pPr>
      <w:r w:rsidRPr="00AB0B9D">
        <w:t>Finally, as described in the Strategic Plan, the Commission will continue complying with its mandates before the Inter-American Court with regard to pend</w:t>
      </w:r>
      <w:r>
        <w:t>ing cases, advisory opinions, and supervision of judgment</w:t>
      </w:r>
      <w:r w:rsidRPr="00AB0B9D">
        <w:t xml:space="preserve">s. In will continue to activate the jurisdiction </w:t>
      </w:r>
      <w:r>
        <w:t xml:space="preserve">of the Court in view of </w:t>
      </w:r>
      <w:r w:rsidRPr="00AB0B9D">
        <w:t>the need to obtain justice and reparation for vic</w:t>
      </w:r>
      <w:r>
        <w:t>ti</w:t>
      </w:r>
      <w:r w:rsidRPr="00AB0B9D">
        <w:t xml:space="preserve">ms of human rights violations. </w:t>
      </w:r>
      <w:r>
        <w:t>In addition</w:t>
      </w:r>
      <w:r w:rsidRPr="00F12F36">
        <w:t xml:space="preserve">, in prioritizing petitions and cases, the Commission will seek to optimize the transmittal of cases to the Inter-American Court on aspects of inter-American public order that </w:t>
      </w:r>
      <w:r>
        <w:t>can</w:t>
      </w:r>
      <w:r w:rsidRPr="00F12F36">
        <w:t xml:space="preserve"> contribute to the development of the Court’s case law and </w:t>
      </w:r>
      <w:r>
        <w:t>enable</w:t>
      </w:r>
      <w:r w:rsidRPr="00F12F36">
        <w:t xml:space="preserve"> </w:t>
      </w:r>
      <w:r>
        <w:t xml:space="preserve">the </w:t>
      </w:r>
      <w:r w:rsidRPr="00F12F36">
        <w:t xml:space="preserve">States </w:t>
      </w:r>
      <w:r>
        <w:t xml:space="preserve">to </w:t>
      </w:r>
      <w:r w:rsidRPr="00F12F36">
        <w:t>have legal certainty regarding the scope of the rights protected by the inter-American instruments, as well as actions and omissions that could affect them, thus preventing th</w:t>
      </w:r>
      <w:r>
        <w:t>e occurrence of new human rights violations</w:t>
      </w:r>
      <w:r w:rsidRPr="00F12F36">
        <w:t xml:space="preserve">. </w:t>
      </w:r>
      <w:r w:rsidRPr="00F12F36">
        <w:lastRenderedPageBreak/>
        <w:t xml:space="preserve">Taking into account the growth in its portfolio of cases, the Commission will continue strengthening and </w:t>
      </w:r>
      <w:r>
        <w:t xml:space="preserve">providing specialized skills to the technical team handling these tasks. </w:t>
      </w:r>
    </w:p>
    <w:p w14:paraId="2C6FB5B3" w14:textId="77777777" w:rsidR="0057201B" w:rsidRPr="00F12F36" w:rsidRDefault="0057201B" w:rsidP="0057201B">
      <w:pPr>
        <w:pStyle w:val="BodyText"/>
        <w:ind w:left="720"/>
        <w:jc w:val="both"/>
      </w:pPr>
    </w:p>
    <w:p w14:paraId="549A6240" w14:textId="77777777" w:rsidR="0057201B" w:rsidRPr="00F12F36" w:rsidRDefault="0057201B" w:rsidP="00933F91">
      <w:pPr>
        <w:pStyle w:val="BodyText"/>
        <w:widowControl/>
        <w:numPr>
          <w:ilvl w:val="0"/>
          <w:numId w:val="58"/>
        </w:numPr>
        <w:ind w:left="0" w:firstLine="720"/>
        <w:jc w:val="both"/>
      </w:pPr>
      <w:r w:rsidRPr="00F12F36">
        <w:t xml:space="preserve">The Commission recognizes that </w:t>
      </w:r>
      <w:r>
        <w:t xml:space="preserve">it is </w:t>
      </w:r>
      <w:r w:rsidRPr="00F12F36">
        <w:t xml:space="preserve">essential </w:t>
      </w:r>
      <w:r>
        <w:t xml:space="preserve">to have </w:t>
      </w:r>
      <w:r w:rsidRPr="00F12F36">
        <w:t>the participation of the Member States, civil society organizations</w:t>
      </w:r>
      <w:r>
        <w:t>, and victims</w:t>
      </w:r>
      <w:r w:rsidRPr="00F12F36">
        <w:t xml:space="preserve"> in the activities and programs of </w:t>
      </w:r>
      <w:r>
        <w:t>its</w:t>
      </w:r>
      <w:r w:rsidRPr="00F12F36">
        <w:t xml:space="preserve"> Strategic Plan.</w:t>
      </w:r>
      <w:r>
        <w:t xml:space="preserve"> </w:t>
      </w:r>
      <w:r w:rsidRPr="00F12F36">
        <w:t>The</w:t>
      </w:r>
      <w:r>
        <w:t>y</w:t>
      </w:r>
      <w:r w:rsidRPr="00F12F36">
        <w:t xml:space="preserve"> represent the Commission’s permanent commitment to continue </w:t>
      </w:r>
      <w:r>
        <w:t>improving the effectiveness of</w:t>
      </w:r>
      <w:r w:rsidRPr="00F12F36">
        <w:t xml:space="preserve"> its procedures and work methods in its system of petitions and cases, with the aim of </w:t>
      </w:r>
      <w:r>
        <w:t>increasing</w:t>
      </w:r>
      <w:r w:rsidRPr="00F12F36">
        <w:t xml:space="preserve"> access to inter-American justice.</w:t>
      </w:r>
    </w:p>
    <w:p w14:paraId="6916CBE2" w14:textId="77777777" w:rsidR="00927EC6" w:rsidRPr="005E12DB" w:rsidRDefault="00927EC6" w:rsidP="005E12DB">
      <w:pPr>
        <w:rPr>
          <w:rFonts w:ascii="Cambria" w:eastAsia="Calibri" w:hAnsi="Cambria" w:cs="Calibri"/>
          <w:b/>
          <w:color w:val="000000"/>
          <w:sz w:val="22"/>
          <w:szCs w:val="22"/>
          <w:u w:color="000000"/>
          <w:bdr w:val="nil"/>
          <w14:textOutline w14:w="0" w14:cap="flat" w14:cmpd="sng" w14:algn="ctr">
            <w14:noFill/>
            <w14:prstDash w14:val="solid"/>
            <w14:bevel/>
          </w14:textOutline>
        </w:rPr>
      </w:pPr>
    </w:p>
    <w:p w14:paraId="03B3EBD1" w14:textId="460DD6F1" w:rsidR="00E404D8" w:rsidRDefault="004D5F7B" w:rsidP="00933F91">
      <w:pPr>
        <w:pStyle w:val="ListParagraph"/>
        <w:numPr>
          <w:ilvl w:val="0"/>
          <w:numId w:val="52"/>
        </w:numPr>
        <w:pBdr>
          <w:top w:val="nil"/>
          <w:left w:val="nil"/>
          <w:bottom w:val="nil"/>
          <w:right w:val="nil"/>
          <w:between w:val="nil"/>
          <w:bar w:val="nil"/>
        </w:pBdr>
        <w:ind w:hanging="720"/>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r w:rsidRPr="004D5F7B">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Advances </w:t>
      </w:r>
      <w:r>
        <w:rPr>
          <w:rFonts w:ascii="Cambria" w:eastAsia="Calibri" w:hAnsi="Cambria" w:cs="Calibri"/>
          <w:b/>
          <w:color w:val="000000"/>
          <w:sz w:val="22"/>
          <w:szCs w:val="22"/>
          <w:u w:color="000000"/>
          <w:bdr w:val="nil"/>
          <w14:textOutline w14:w="0" w14:cap="flat" w14:cmpd="sng" w14:algn="ctr">
            <w14:noFill/>
            <w14:prstDash w14:val="solid"/>
            <w14:bevel/>
          </w14:textOutline>
        </w:rPr>
        <w:t>a</w:t>
      </w:r>
      <w:r w:rsidRPr="004D5F7B">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nd </w:t>
      </w:r>
      <w:r>
        <w:rPr>
          <w:rFonts w:ascii="Cambria" w:eastAsia="Calibri" w:hAnsi="Cambria" w:cs="Calibri"/>
          <w:b/>
          <w:color w:val="000000"/>
          <w:sz w:val="22"/>
          <w:szCs w:val="22"/>
          <w:u w:color="000000"/>
          <w:bdr w:val="nil"/>
          <w14:textOutline w14:w="0" w14:cap="flat" w14:cmpd="sng" w14:algn="ctr">
            <w14:noFill/>
            <w14:prstDash w14:val="solid"/>
            <w14:bevel/>
          </w14:textOutline>
        </w:rPr>
        <w:t>c</w:t>
      </w:r>
      <w:r w:rsidRPr="004D5F7B">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hallenges </w:t>
      </w:r>
      <w:r>
        <w:rPr>
          <w:rFonts w:ascii="Cambria" w:eastAsia="Calibri" w:hAnsi="Cambria" w:cs="Calibri"/>
          <w:b/>
          <w:color w:val="000000"/>
          <w:sz w:val="22"/>
          <w:szCs w:val="22"/>
          <w:u w:color="000000"/>
          <w:bdr w:val="nil"/>
          <w14:textOutline w14:w="0" w14:cap="flat" w14:cmpd="sng" w14:algn="ctr">
            <w14:noFill/>
            <w14:prstDash w14:val="solid"/>
            <w14:bevel/>
          </w14:textOutline>
        </w:rPr>
        <w:t>o</w:t>
      </w:r>
      <w:r w:rsidRPr="004D5F7B">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n </w:t>
      </w:r>
      <w:r>
        <w:rPr>
          <w:rFonts w:ascii="Cambria" w:eastAsia="Calibri" w:hAnsi="Cambria" w:cs="Calibri"/>
          <w:b/>
          <w:color w:val="000000"/>
          <w:sz w:val="22"/>
          <w:szCs w:val="22"/>
          <w:u w:color="000000"/>
          <w:bdr w:val="nil"/>
          <w14:textOutline w14:w="0" w14:cap="flat" w14:cmpd="sng" w14:algn="ctr">
            <w14:noFill/>
            <w14:prstDash w14:val="solid"/>
            <w14:bevel/>
          </w14:textOutline>
        </w:rPr>
        <w:t>n</w:t>
      </w:r>
      <w:r w:rsidRPr="004D5F7B">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egotiation </w:t>
      </w:r>
      <w:r>
        <w:rPr>
          <w:rFonts w:ascii="Cambria" w:eastAsia="Calibri" w:hAnsi="Cambria" w:cs="Calibri"/>
          <w:b/>
          <w:color w:val="000000"/>
          <w:sz w:val="22"/>
          <w:szCs w:val="22"/>
          <w:u w:color="000000"/>
          <w:bdr w:val="nil"/>
          <w14:textOutline w14:w="0" w14:cap="flat" w14:cmpd="sng" w14:algn="ctr">
            <w14:noFill/>
            <w14:prstDash w14:val="solid"/>
            <w14:bevel/>
          </w14:textOutline>
        </w:rPr>
        <w:t>a</w:t>
      </w:r>
      <w:r w:rsidRPr="004D5F7B">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nd </w:t>
      </w:r>
      <w:r>
        <w:rPr>
          <w:rFonts w:ascii="Cambria" w:eastAsia="Calibri" w:hAnsi="Cambria" w:cs="Calibri"/>
          <w:b/>
          <w:color w:val="000000"/>
          <w:sz w:val="22"/>
          <w:szCs w:val="22"/>
          <w:u w:color="000000"/>
          <w:bdr w:val="nil"/>
          <w14:textOutline w14:w="0" w14:cap="flat" w14:cmpd="sng" w14:algn="ctr">
            <w14:noFill/>
            <w14:prstDash w14:val="solid"/>
            <w14:bevel/>
          </w14:textOutline>
        </w:rPr>
        <w:t>i</w:t>
      </w:r>
      <w:r w:rsidRPr="004D5F7B">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mplementation </w:t>
      </w:r>
      <w:r>
        <w:rPr>
          <w:rFonts w:ascii="Cambria" w:eastAsia="Calibri" w:hAnsi="Cambria" w:cs="Calibri"/>
          <w:b/>
          <w:color w:val="000000"/>
          <w:sz w:val="22"/>
          <w:szCs w:val="22"/>
          <w:u w:color="000000"/>
          <w:bdr w:val="nil"/>
          <w14:textOutline w14:w="0" w14:cap="flat" w14:cmpd="sng" w14:algn="ctr">
            <w14:noFill/>
            <w14:prstDash w14:val="solid"/>
            <w14:bevel/>
          </w14:textOutline>
        </w:rPr>
        <w:t>o</w:t>
      </w:r>
      <w:r w:rsidRPr="004D5F7B">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f </w:t>
      </w:r>
      <w:r>
        <w:rPr>
          <w:rFonts w:ascii="Cambria" w:eastAsia="Calibri" w:hAnsi="Cambria" w:cs="Calibri"/>
          <w:b/>
          <w:color w:val="000000"/>
          <w:sz w:val="22"/>
          <w:szCs w:val="22"/>
          <w:u w:color="000000"/>
          <w:bdr w:val="nil"/>
          <w14:textOutline w14:w="0" w14:cap="flat" w14:cmpd="sng" w14:algn="ctr">
            <w14:noFill/>
            <w14:prstDash w14:val="solid"/>
            <w14:bevel/>
          </w14:textOutline>
        </w:rPr>
        <w:t>f</w:t>
      </w:r>
      <w:r w:rsidRPr="004D5F7B">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riendly </w:t>
      </w:r>
      <w:r>
        <w:rPr>
          <w:rFonts w:ascii="Cambria" w:eastAsia="Calibri" w:hAnsi="Cambria" w:cs="Calibri"/>
          <w:b/>
          <w:color w:val="000000"/>
          <w:sz w:val="22"/>
          <w:szCs w:val="22"/>
          <w:u w:color="000000"/>
          <w:bdr w:val="nil"/>
          <w14:textOutline w14:w="0" w14:cap="flat" w14:cmpd="sng" w14:algn="ctr">
            <w14:noFill/>
            <w14:prstDash w14:val="solid"/>
            <w14:bevel/>
          </w14:textOutline>
        </w:rPr>
        <w:t>s</w:t>
      </w:r>
      <w:r w:rsidRPr="004D5F7B">
        <w:rPr>
          <w:rFonts w:ascii="Cambria" w:eastAsia="Calibri" w:hAnsi="Cambria" w:cs="Calibri"/>
          <w:b/>
          <w:color w:val="000000"/>
          <w:sz w:val="22"/>
          <w:szCs w:val="22"/>
          <w:u w:color="000000"/>
          <w:bdr w:val="nil"/>
          <w14:textOutline w14:w="0" w14:cap="flat" w14:cmpd="sng" w14:algn="ctr">
            <w14:noFill/>
            <w14:prstDash w14:val="solid"/>
            <w14:bevel/>
          </w14:textOutline>
        </w:rPr>
        <w:t>ettlements</w:t>
      </w:r>
    </w:p>
    <w:p w14:paraId="4F2A266A" w14:textId="77777777" w:rsidR="002E260B" w:rsidRPr="00AC7438" w:rsidRDefault="002E260B" w:rsidP="00AC7438">
      <w:pPr>
        <w:pBdr>
          <w:top w:val="nil"/>
          <w:left w:val="nil"/>
          <w:bottom w:val="nil"/>
          <w:right w:val="nil"/>
          <w:between w:val="nil"/>
          <w:bar w:val="nil"/>
        </w:pBdr>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p>
    <w:p w14:paraId="1F108118" w14:textId="64D9F73F" w:rsidR="002E260B" w:rsidRPr="002E260B" w:rsidRDefault="002E260B" w:rsidP="00933F91">
      <w:pPr>
        <w:pStyle w:val="ListParagraph"/>
        <w:numPr>
          <w:ilvl w:val="0"/>
          <w:numId w:val="62"/>
        </w:numPr>
        <w:pBdr>
          <w:top w:val="nil"/>
          <w:left w:val="nil"/>
          <w:bottom w:val="nil"/>
          <w:right w:val="nil"/>
          <w:between w:val="nil"/>
          <w:bar w:val="nil"/>
        </w:pBdr>
        <w:ind w:left="1440" w:hanging="720"/>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r w:rsidRPr="002E260B">
        <w:rPr>
          <w:rFonts w:ascii="Cambria" w:eastAsia="Calibri" w:hAnsi="Cambria" w:cs="Calibri"/>
          <w:b/>
          <w:color w:val="000000"/>
          <w:sz w:val="22"/>
          <w:szCs w:val="22"/>
          <w:u w:color="000000"/>
          <w:bdr w:val="nil"/>
          <w14:textOutline w14:w="0" w14:cap="flat" w14:cmpd="sng" w14:algn="ctr">
            <w14:noFill/>
            <w14:prstDash w14:val="solid"/>
            <w14:bevel/>
          </w14:textOutline>
        </w:rPr>
        <w:t>Introduction</w:t>
      </w:r>
    </w:p>
    <w:p w14:paraId="573549F0" w14:textId="77777777" w:rsidR="002E260B" w:rsidRPr="002E260B" w:rsidRDefault="002E260B" w:rsidP="002E260B">
      <w:pPr>
        <w:pStyle w:val="ListParagraph"/>
        <w:pBdr>
          <w:top w:val="nil"/>
          <w:left w:val="nil"/>
          <w:bottom w:val="nil"/>
          <w:right w:val="nil"/>
          <w:between w:val="nil"/>
          <w:bar w:val="nil"/>
        </w:pBdr>
        <w:ind w:left="1440"/>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p>
    <w:p w14:paraId="32625C52" w14:textId="4071826F" w:rsidR="002E260B" w:rsidRPr="00E93DD3"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E93DD3">
        <w:rPr>
          <w:rFonts w:eastAsia="Calibri" w:cs="Calibri"/>
          <w:bCs/>
          <w:color w:val="000000"/>
          <w:u w:color="000000"/>
          <w:bdr w:val="nil"/>
          <w14:textOutline w14:w="0" w14:cap="flat" w14:cmpd="sng" w14:algn="ctr">
            <w14:noFill/>
            <w14:prstDash w14:val="solid"/>
            <w14:bevel/>
          </w14:textOutline>
        </w:rPr>
        <w:t>The Inter-American Commission on Human Rights, presents for the first time an independent chapter dedicated to the work of promoting negotiations and compliance with friendly settlement agreements, as well as for the visibility of the efforts made by the IACHR in the framework of its Strategic Plan 2022-2027, to potentiate the friendly settlement mechanism, as an effective tool for the attention of matters that fall under the system of individual petitions and cases, as well as for obtaining full reparation by victims of human rights violations and to expand the use of the friendly settlement procedure as a strategy to address the procedural backlog.</w:t>
      </w:r>
    </w:p>
    <w:p w14:paraId="027C915B" w14:textId="77777777" w:rsidR="002E260B" w:rsidRPr="00E93DD3"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p>
    <w:p w14:paraId="7FE1022F" w14:textId="062634CA" w:rsidR="002E260B" w:rsidRPr="00E93DD3"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E93DD3">
        <w:rPr>
          <w:rFonts w:eastAsia="Calibri" w:cs="Calibri"/>
          <w:bCs/>
          <w:color w:val="000000"/>
          <w:u w:color="000000"/>
          <w:bdr w:val="nil"/>
          <w14:textOutline w14:w="0" w14:cap="flat" w14:cmpd="sng" w14:algn="ctr">
            <w14:noFill/>
            <w14:prstDash w14:val="solid"/>
            <w14:bevel/>
          </w14:textOutline>
        </w:rPr>
        <w:t xml:space="preserve">The Commission addresses in this chapter first the relevant results in the negotiation processes and implementation of friendly settlement agreements, including the agreements fully complied with in 2022; the specific advances in the implementation of measures of friendly settlement agreements; the new agreements signed during the year; and the new friendly settlement follow up processes. On the other hand, the activities for the promotion of friendly settlement agreements carried out during the year are addressed, including activities to promote negotiations and compliance with agreements; activities to promote the exchange and dissemination of good practices on the mechanism and the development of tools for access to information for users of the IACHR regarding friendly solutions. Likewise, the compliance status of the friendly settlement reports approved by the Commission is presented in the light of article 49 of the American Convention and the good practices and setbacks observed in 2022 regarding friendly solutions are raised. </w:t>
      </w:r>
    </w:p>
    <w:p w14:paraId="761DB2C5" w14:textId="77777777" w:rsidR="002E260B" w:rsidRPr="00E93DD3"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p>
    <w:p w14:paraId="6C601D7C" w14:textId="4EDDAE63" w:rsidR="002E260B" w:rsidRPr="00E93DD3"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E93DD3">
        <w:rPr>
          <w:rFonts w:eastAsia="Calibri" w:cs="Calibri"/>
          <w:bCs/>
          <w:color w:val="000000"/>
          <w:u w:color="000000"/>
          <w:bdr w:val="nil"/>
          <w14:textOutline w14:w="0" w14:cap="flat" w14:cmpd="sng" w14:algn="ctr">
            <w14:noFill/>
            <w14:prstDash w14:val="solid"/>
            <w14:bevel/>
          </w14:textOutline>
        </w:rPr>
        <w:t>Finally, it must be noted that pursuant to article 17.2.a of the Rules of Procedure of the IACHR, the Chair of the Commission, Commissioner Julissa Mantilla Falcón, a Peruvian national, did not participate in the discussion or in the conclusions of the reports concerning that country; neither did Commissioner Edgar Stuardo Ralón Orellana, First Vice Chair, nor Commissioner Margaret Macaulay, Second Vice Chair, nationals of Guatemala and Jamaica, respectively, in the matters concerning those countries; the same was true for Commissioners Joel Hernandez, in matters concerning Mexico, Esmeralda Arosemena de Troitiño, in matters concerning Panama, Roberta Clarke in matters concerning Barbados, and Carlos Bernal in matters concerning Colombia.</w:t>
      </w:r>
    </w:p>
    <w:p w14:paraId="3E5809DE"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527F722C" w14:textId="556C8B87" w:rsidR="002E260B" w:rsidRPr="00E93DD3" w:rsidRDefault="002E260B" w:rsidP="00933F91">
      <w:pPr>
        <w:pStyle w:val="ListParagraph"/>
        <w:numPr>
          <w:ilvl w:val="0"/>
          <w:numId w:val="62"/>
        </w:numPr>
        <w:pBdr>
          <w:top w:val="nil"/>
          <w:left w:val="nil"/>
          <w:bottom w:val="nil"/>
          <w:right w:val="nil"/>
          <w:between w:val="nil"/>
          <w:bar w:val="nil"/>
        </w:pBdr>
        <w:ind w:left="1440" w:hanging="720"/>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r w:rsidRPr="00E93DD3">
        <w:rPr>
          <w:rFonts w:ascii="Cambria" w:eastAsia="Calibri" w:hAnsi="Cambria" w:cs="Calibri"/>
          <w:b/>
          <w:color w:val="000000"/>
          <w:sz w:val="22"/>
          <w:szCs w:val="22"/>
          <w:u w:color="000000"/>
          <w:bdr w:val="nil"/>
          <w14:textOutline w14:w="0" w14:cap="flat" w14:cmpd="sng" w14:algn="ctr">
            <w14:noFill/>
            <w14:prstDash w14:val="solid"/>
            <w14:bevel/>
          </w14:textOutline>
        </w:rPr>
        <w:t>Relevant results on negotiation and implementation of friendly settlement agreements</w:t>
      </w:r>
    </w:p>
    <w:p w14:paraId="7E4BEABB"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r w:rsidRPr="00AC7438">
        <w:rPr>
          <w:rFonts w:ascii="Cambria" w:eastAsia="Calibri" w:hAnsi="Cambria" w:cs="Calibri"/>
          <w:bCs/>
          <w:color w:val="000000"/>
          <w:sz w:val="22"/>
          <w:szCs w:val="22"/>
          <w:u w:color="000000"/>
          <w:bdr w:val="nil"/>
          <w14:textOutline w14:w="0" w14:cap="flat" w14:cmpd="sng" w14:algn="ctr">
            <w14:noFill/>
            <w14:prstDash w14:val="solid"/>
            <w14:bevel/>
          </w14:textOutline>
        </w:rPr>
        <w:t xml:space="preserve"> </w:t>
      </w:r>
    </w:p>
    <w:p w14:paraId="41790597" w14:textId="6276A1E9" w:rsidR="002E260B" w:rsidRPr="00D05EE2" w:rsidRDefault="002E260B" w:rsidP="00933F91">
      <w:pPr>
        <w:pStyle w:val="ListParagraph"/>
        <w:numPr>
          <w:ilvl w:val="0"/>
          <w:numId w:val="63"/>
        </w:numPr>
        <w:pBdr>
          <w:top w:val="nil"/>
          <w:left w:val="nil"/>
          <w:bottom w:val="nil"/>
          <w:right w:val="nil"/>
          <w:between w:val="nil"/>
          <w:bar w:val="nil"/>
        </w:pBdr>
        <w:ind w:hanging="720"/>
        <w:jc w:val="both"/>
        <w:rPr>
          <w:rFonts w:ascii="Cambria" w:eastAsia="Calibri" w:hAnsi="Cambria" w:cs="Calibri"/>
          <w:b/>
          <w:color w:val="000000"/>
          <w:sz w:val="20"/>
          <w:szCs w:val="20"/>
          <w:u w:color="000000"/>
          <w:bdr w:val="nil"/>
          <w14:textOutline w14:w="0" w14:cap="flat" w14:cmpd="sng" w14:algn="ctr">
            <w14:noFill/>
            <w14:prstDash w14:val="solid"/>
            <w14:bevel/>
          </w14:textOutline>
        </w:rPr>
      </w:pPr>
      <w:r w:rsidRPr="00D05EE2">
        <w:rPr>
          <w:rFonts w:ascii="Cambria" w:eastAsia="Calibri" w:hAnsi="Cambria" w:cs="Calibri"/>
          <w:b/>
          <w:color w:val="000000"/>
          <w:sz w:val="20"/>
          <w:szCs w:val="20"/>
          <w:u w:color="000000"/>
          <w:bdr w:val="nil"/>
          <w14:textOutline w14:w="0" w14:cap="flat" w14:cmpd="sng" w14:algn="ctr">
            <w14:noFill/>
            <w14:prstDash w14:val="solid"/>
            <w14:bevel/>
          </w14:textOutline>
        </w:rPr>
        <w:t>Friendly settlement agreements fully implemented in 2022</w:t>
      </w:r>
    </w:p>
    <w:p w14:paraId="5AD83CDB"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34A396F2" w14:textId="762845E8" w:rsidR="002E260B" w:rsidRPr="00CB3737"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CB3737">
        <w:rPr>
          <w:rFonts w:eastAsia="Calibri" w:cs="Calibri"/>
          <w:bCs/>
          <w:color w:val="000000"/>
          <w:u w:color="000000"/>
          <w:bdr w:val="nil"/>
          <w14:textOutline w14:w="0" w14:cap="flat" w14:cmpd="sng" w14:algn="ctr">
            <w14:noFill/>
            <w14:prstDash w14:val="solid"/>
            <w14:bevel/>
          </w14:textOutline>
        </w:rPr>
        <w:t xml:space="preserve">The Commission notes with satisfaction that, in 2022, progress was made in terms of full compliance with nine friendly settlement agreements. In that regard, the Commission approved two friendly settlement agreements this year with a level of full compliance and, therefore, decided to cease its supervision of those agreements. In this regard, in 2022 the Commission approved two friendly settlement agreements on the arbitrary dismissal of police officers in Honduras under Decree 58-2001, in which full compliance was </w:t>
      </w:r>
      <w:r w:rsidRPr="00CB3737">
        <w:rPr>
          <w:rFonts w:eastAsia="Calibri" w:cs="Calibri"/>
          <w:bCs/>
          <w:color w:val="000000"/>
          <w:u w:color="000000"/>
          <w:bdr w:val="nil"/>
          <w14:textOutline w14:w="0" w14:cap="flat" w14:cmpd="sng" w14:algn="ctr">
            <w14:noFill/>
            <w14:prstDash w14:val="solid"/>
            <w14:bevel/>
          </w14:textOutline>
        </w:rPr>
        <w:lastRenderedPageBreak/>
        <w:t xml:space="preserve">reached prior to their approval by the Commission. Specifically, in Cases 12.961 I, Transito Eduardo Arriaga López et al. and 12.961 H, Juan González et al., the Honduran State fulfilled its obligation to provide economic compensation to the </w:t>
      </w:r>
      <w:r w:rsidR="00465936" w:rsidRPr="00CB3737">
        <w:rPr>
          <w:rFonts w:eastAsia="Calibri" w:cs="Calibri"/>
          <w:bCs/>
          <w:color w:val="000000"/>
          <w:u w:color="000000"/>
          <w:bdr w:val="nil"/>
          <w14:textOutline w14:w="0" w14:cap="flat" w14:cmpd="sng" w14:algn="ctr">
            <w14:noFill/>
            <w14:prstDash w14:val="solid"/>
            <w14:bevel/>
          </w14:textOutline>
        </w:rPr>
        <w:t>victims, for</w:t>
      </w:r>
      <w:r w:rsidRPr="00CB3737">
        <w:rPr>
          <w:rFonts w:eastAsia="Calibri" w:cs="Calibri"/>
          <w:bCs/>
          <w:color w:val="000000"/>
          <w:u w:color="000000"/>
          <w:bdr w:val="nil"/>
          <w14:textOutline w14:w="0" w14:cap="flat" w14:cmpd="sng" w14:algn="ctr">
            <w14:noFill/>
            <w14:prstDash w14:val="solid"/>
            <w14:bevel/>
          </w14:textOutline>
        </w:rPr>
        <w:t xml:space="preserve"> which reason the Commission declared full compliance with said agreements. In the framework of Case 12.961 H, the Commission mentioned in its report No. 287/22 that the State made economic compensation to the 27 beneficiaries under the FSA, for a total amount of L11,686,666L (eleven million six hundred eighty-eighty-six hundred sixty-six lempiras) or approximately US$474,869.21 (four hundred seventy-four thousand sixty-nine U.S. dollars and twenty-one cents). In the second matter, Case 12.961 I, in report No. 288/22, the Commission reported that the State provided economic compensation to the 34 beneficiaries under the FSA, for a total amount of L16,600,000 (sixteen million six hundred thousand lempiras) or approximately US$673,759.97 (six hundred and seventy-three thousand seven hundred and fifty-nine U.S. dollars and ninety-seven cents). Therefore, both agreements were approved with a level of total compliance. </w:t>
      </w:r>
    </w:p>
    <w:p w14:paraId="02E27F49"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4639BDEE" w14:textId="0A043C99" w:rsidR="002E260B" w:rsidRPr="00CB3737"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CB3737">
        <w:rPr>
          <w:rFonts w:eastAsia="Calibri" w:cs="Calibri"/>
          <w:bCs/>
          <w:color w:val="000000"/>
          <w:u w:color="000000"/>
          <w:bdr w:val="nil"/>
          <w14:textOutline w14:w="0" w14:cap="flat" w14:cmpd="sng" w14:algn="ctr">
            <w14:noFill/>
            <w14:prstDash w14:val="solid"/>
            <w14:bevel/>
          </w14:textOutline>
        </w:rPr>
        <w:t>The Commission notes with satisfaction that through its full compliance with the friendly settlement agreements relating to Reports Nos. 105/19 (Case 12.961 A, Bolívar Salgado Welban et al.); 101/19 (Case 12.961 C, Marcial Coello Medina et al.); 104/19 (Case 12.961 D, Jorge Enrique Valladares Argueñal et al); 42/21 (Case 12.961 E, Ecar Fernando Zavala Valladares et al.); 20/20 (Case 12.961 F, Miguel Angel Chinchilla Erazo et al.); 205/21 (Case 12.961 J, Faustino Garcia Cardenas et al.); 287/22 (Case 12.961 H, Juan González et al.); and 288/22 (Case 12.961 I, Transito Arriaga López et al.), the State has duly provided reparations by disbursing economic compensation amounting to approximately US$4,758,730 (four million seven hundred and fifty-eight thousand seven hundred and thirty dollars) to a total of 290 alleged victims in the original matter, Case 12.961 (Juan González et al.). The Commission greatly values the efforts made by both parties in the negotiations in these matters to reach these friendly settlements, which are compatible with the object and purpose of the Convention.</w:t>
      </w:r>
    </w:p>
    <w:p w14:paraId="303825F6"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75151852" w14:textId="47651993" w:rsidR="002E260B" w:rsidRPr="00CB3737"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CB3737">
        <w:rPr>
          <w:rFonts w:eastAsia="Calibri" w:cs="Calibri"/>
          <w:bCs/>
          <w:color w:val="000000"/>
          <w:u w:color="000000"/>
          <w:bdr w:val="nil"/>
          <w14:textOutline w14:w="0" w14:cap="flat" w14:cmpd="sng" w14:algn="ctr">
            <w14:noFill/>
            <w14:prstDash w14:val="solid"/>
            <w14:bevel/>
          </w14:textOutline>
        </w:rPr>
        <w:t xml:space="preserve">In the context of monitoring friendly settlement agreements approved by the Commission, in 2022 major progress was observed in terms of total compliance with seven friendly settlement agreements that were already subject to that monitoring mechanism in the following matters, the details of which can be found in the respective country data sheets with the corresponding findings: </w:t>
      </w:r>
    </w:p>
    <w:p w14:paraId="4552E658" w14:textId="77777777" w:rsidR="002E260B" w:rsidRPr="00CB3737"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p>
    <w:p w14:paraId="185B8ED2" w14:textId="77777777" w:rsidR="002E260B" w:rsidRPr="00CB3737"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CB373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CB373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Case 12.159, Report No. 79/09, Gabriel Egisto Santillan (Argentina)</w:t>
      </w:r>
    </w:p>
    <w:p w14:paraId="0B82C165" w14:textId="77777777" w:rsidR="002E260B" w:rsidRPr="00CB3737"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CB373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CB373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Case 12.282, Report No. 109/13, Florentino Rojas (Argentina)</w:t>
      </w:r>
    </w:p>
    <w:p w14:paraId="3241EE86" w14:textId="77777777" w:rsidR="002E260B" w:rsidRPr="00CB3737"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CB373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CB373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Case 12.756, Report No. 10/15, Estadero El Aracatazzo (Colombia)</w:t>
      </w:r>
    </w:p>
    <w:p w14:paraId="26685250" w14:textId="77777777" w:rsidR="002E260B" w:rsidRPr="00CB3737"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CB373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CB373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Case 11.538, Report No. 43/16, Herson Javier Caro (Colombia)</w:t>
      </w:r>
    </w:p>
    <w:p w14:paraId="0B2A936B" w14:textId="77777777" w:rsidR="002E260B" w:rsidRPr="00CB3737"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CB3737">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CB3737">
        <w:rPr>
          <w:rFonts w:ascii="Cambria" w:eastAsia="Calibri" w:hAnsi="Cambria" w:cs="Calibri"/>
          <w:bCs/>
          <w:color w:val="000000"/>
          <w:sz w:val="20"/>
          <w:szCs w:val="20"/>
          <w:u w:color="000000"/>
          <w:bdr w:val="nil"/>
          <w14:textOutline w14:w="0" w14:cap="flat" w14:cmpd="sng" w14:algn="ctr">
            <w14:noFill/>
            <w14:prstDash w14:val="solid"/>
            <w14:bevel/>
          </w14:textOutline>
        </w:rPr>
        <w:tab/>
        <w:t>Case 13.728, Report No. 21/20, A.G.A. and family (Colombia)</w:t>
      </w:r>
    </w:p>
    <w:p w14:paraId="7B6626DD" w14:textId="77777777" w:rsidR="002E260B" w:rsidRPr="00CB3737"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CB373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CB373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Case 11.422, Report No. 1/12, Mario Alioto López Sánchez (Guatemala)</w:t>
      </w:r>
    </w:p>
    <w:p w14:paraId="18EDF8EE" w14:textId="77777777" w:rsidR="002E260B" w:rsidRPr="00CB3737"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CB373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CB373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Case 11.822, Report No. 24/09, Reyes Penagos Martínez et al. (Mexico)</w:t>
      </w:r>
    </w:p>
    <w:p w14:paraId="7C7373AF"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lang w:val="es-AR"/>
          <w14:textOutline w14:w="0" w14:cap="flat" w14:cmpd="sng" w14:algn="ctr">
            <w14:noFill/>
            <w14:prstDash w14:val="solid"/>
            <w14:bevel/>
          </w14:textOutline>
        </w:rPr>
      </w:pPr>
    </w:p>
    <w:p w14:paraId="742A0DBC" w14:textId="3073C25B" w:rsidR="002E260B" w:rsidRPr="00BB369C"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B369C">
        <w:rPr>
          <w:rFonts w:eastAsia="Calibri" w:cs="Calibri"/>
          <w:bCs/>
          <w:color w:val="000000"/>
          <w:u w:color="000000"/>
          <w:bdr w:val="nil"/>
          <w14:textOutline w14:w="0" w14:cap="flat" w14:cmpd="sng" w14:algn="ctr">
            <w14:noFill/>
            <w14:prstDash w14:val="solid"/>
            <w14:bevel/>
          </w14:textOutline>
        </w:rPr>
        <w:t>The Commission considers that this progress is very important, and commends the states of Argentina, Colombia, Honduras, Guatemala, and Mexico for advancing in the full implementation of friendly settlement agreements and urges them to continue making use of the mechanism for resolving matters that are pending in the system of individual petitions and cases by having recourse to this non-contentious procedure.</w:t>
      </w:r>
    </w:p>
    <w:p w14:paraId="0C5DED98" w14:textId="77777777" w:rsidR="002E260B" w:rsidRPr="00D05EE2"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D05EE2">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w:t>
      </w:r>
    </w:p>
    <w:p w14:paraId="0A70A348" w14:textId="40E066EA" w:rsidR="002E260B" w:rsidRPr="00D05EE2" w:rsidRDefault="002E260B" w:rsidP="00933F91">
      <w:pPr>
        <w:pStyle w:val="ListParagraph"/>
        <w:numPr>
          <w:ilvl w:val="0"/>
          <w:numId w:val="63"/>
        </w:numPr>
        <w:pBdr>
          <w:top w:val="nil"/>
          <w:left w:val="nil"/>
          <w:bottom w:val="nil"/>
          <w:right w:val="nil"/>
          <w:between w:val="nil"/>
          <w:bar w:val="nil"/>
        </w:pBdr>
        <w:ind w:hanging="720"/>
        <w:jc w:val="both"/>
        <w:rPr>
          <w:rFonts w:ascii="Cambria" w:eastAsia="Calibri" w:hAnsi="Cambria" w:cs="Calibri"/>
          <w:b/>
          <w:color w:val="000000"/>
          <w:sz w:val="20"/>
          <w:szCs w:val="20"/>
          <w:u w:color="000000"/>
          <w:bdr w:val="nil"/>
          <w14:textOutline w14:w="0" w14:cap="flat" w14:cmpd="sng" w14:algn="ctr">
            <w14:noFill/>
            <w14:prstDash w14:val="solid"/>
            <w14:bevel/>
          </w14:textOutline>
        </w:rPr>
      </w:pPr>
      <w:r w:rsidRPr="00D05EE2">
        <w:rPr>
          <w:rFonts w:ascii="Cambria" w:eastAsia="Calibri" w:hAnsi="Cambria" w:cs="Calibri"/>
          <w:b/>
          <w:color w:val="000000"/>
          <w:sz w:val="20"/>
          <w:szCs w:val="20"/>
          <w:u w:color="000000"/>
          <w:bdr w:val="nil"/>
          <w14:textOutline w14:w="0" w14:cap="flat" w14:cmpd="sng" w14:algn="ctr">
            <w14:noFill/>
            <w14:prstDash w14:val="solid"/>
            <w14:bevel/>
          </w14:textOutline>
        </w:rPr>
        <w:t>Progress toward implementing measures of friendly settlement agreements in 2022</w:t>
      </w:r>
    </w:p>
    <w:p w14:paraId="1E34CA70"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6A46F6E3" w14:textId="439C7414" w:rsidR="002E260B" w:rsidRPr="00AD4C06"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AD4C06">
        <w:rPr>
          <w:rFonts w:eastAsia="Calibri" w:cs="Calibri"/>
          <w:bCs/>
          <w:color w:val="000000"/>
          <w:u w:color="000000"/>
          <w:bdr w:val="nil"/>
          <w14:textOutline w14:w="0" w14:cap="flat" w14:cmpd="sng" w14:algn="ctr">
            <w14:noFill/>
            <w14:prstDash w14:val="solid"/>
            <w14:bevel/>
          </w14:textOutline>
        </w:rPr>
        <w:t xml:space="preserve">The Commission is pleased to observe progress in the implementation of measures in 59 friendly settlement agreements. In addition, it was observed in the Commission’s analysis that, in 2022, 9 petitions and cases reached total </w:t>
      </w:r>
      <w:r w:rsidR="00AD4C06" w:rsidRPr="00AD4C06">
        <w:rPr>
          <w:rFonts w:eastAsia="Calibri" w:cs="Calibri"/>
          <w:bCs/>
          <w:color w:val="000000"/>
          <w:u w:color="000000"/>
          <w:bdr w:val="nil"/>
          <w14:textOutline w14:w="0" w14:cap="flat" w14:cmpd="sng" w14:algn="ctr">
            <w14:noFill/>
            <w14:prstDash w14:val="solid"/>
            <w14:bevel/>
          </w14:textOutline>
        </w:rPr>
        <w:t>compliance and</w:t>
      </w:r>
      <w:r w:rsidRPr="00AD4C06">
        <w:rPr>
          <w:rFonts w:eastAsia="Calibri" w:cs="Calibri"/>
          <w:bCs/>
          <w:color w:val="000000"/>
          <w:u w:color="000000"/>
          <w:bdr w:val="nil"/>
          <w14:textOutline w14:w="0" w14:cap="flat" w14:cmpd="sng" w14:algn="ctr">
            <w14:noFill/>
            <w14:prstDash w14:val="solid"/>
            <w14:bevel/>
          </w14:textOutline>
        </w:rPr>
        <w:t xml:space="preserve"> 21 cases met with partial compliance.  </w:t>
      </w:r>
    </w:p>
    <w:p w14:paraId="46AE92E4" w14:textId="77777777" w:rsidR="00AD4C06" w:rsidRPr="00AD4C06" w:rsidRDefault="00AD4C06" w:rsidP="00AD4C06">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3F7A5841" w14:textId="4455AF9A" w:rsidR="002E260B" w:rsidRPr="00AD4C06"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AD4C06">
        <w:rPr>
          <w:rFonts w:eastAsia="Calibri" w:cs="Calibri"/>
          <w:bCs/>
          <w:color w:val="000000"/>
          <w:u w:color="000000"/>
          <w:bdr w:val="nil"/>
          <w14:textOutline w14:w="0" w14:cap="flat" w14:cmpd="sng" w14:algn="ctr">
            <w14:noFill/>
            <w14:prstDash w14:val="solid"/>
            <w14:bevel/>
          </w14:textOutline>
        </w:rPr>
        <w:t xml:space="preserve">Additionally, the Commission observes that progress was made in implementing 134 measures, attaining total compliance with respect to 67 measures of reparation; partial substantial compliance </w:t>
      </w:r>
      <w:r w:rsidRPr="00AD4C06">
        <w:rPr>
          <w:rFonts w:eastAsia="Calibri" w:cs="Calibri"/>
          <w:bCs/>
          <w:color w:val="000000"/>
          <w:u w:color="000000"/>
          <w:bdr w:val="nil"/>
          <w14:textOutline w14:w="0" w14:cap="flat" w14:cmpd="sng" w14:algn="ctr">
            <w14:noFill/>
            <w14:prstDash w14:val="solid"/>
            <w14:bevel/>
          </w14:textOutline>
        </w:rPr>
        <w:lastRenderedPageBreak/>
        <w:t xml:space="preserve">with respect to 23 measures of reparation; and partial compliance with respect to 44 measures of reparation. Of the 134 measures that saw progress in 2022, 50 are structural and 84 are individual in nature. </w:t>
      </w:r>
    </w:p>
    <w:p w14:paraId="53987DC5" w14:textId="77777777" w:rsidR="002E260B" w:rsidRPr="00AD4C06" w:rsidRDefault="002E260B" w:rsidP="00AD4C06">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1C1DC556" w14:textId="60444933" w:rsidR="002E260B" w:rsidRPr="00AD4C06"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AD4C06">
        <w:rPr>
          <w:rFonts w:eastAsia="Calibri" w:cs="Calibri"/>
          <w:bCs/>
          <w:color w:val="000000"/>
          <w:u w:color="000000"/>
          <w:bdr w:val="nil"/>
          <w14:textOutline w14:w="0" w14:cap="flat" w14:cmpd="sng" w14:algn="ctr">
            <w14:noFill/>
            <w14:prstDash w14:val="solid"/>
            <w14:bevel/>
          </w14:textOutline>
        </w:rPr>
        <w:t>In this regard, the Commission observes that the countries that registered the highest levels of progress in the implementation of measures were, in the first place, Colombia, with 73 advanced measures in 2022, of which 38 achieved full compliance, 15 achieved partial substantial compliance and 20 achieved partial compliance. Likewise, Argentina made progress in complying with 30 measures (15 with full compliance, one with partial substantial compliance, and 14 with partial compliance). Additionally, it was observed that Mexico made progress in 12 measures, with full compliance with 3 measures, partial substantial compliance with 4 clauses, and partial compliance with 5 clauses.</w:t>
      </w:r>
    </w:p>
    <w:p w14:paraId="3D2834C2" w14:textId="77777777" w:rsidR="002E260B" w:rsidRPr="00AC7438" w:rsidRDefault="002E260B" w:rsidP="00AD4C06">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4A7CB903" w14:textId="58470DB3" w:rsidR="002E260B" w:rsidRPr="00AD4C06"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AD4C06">
        <w:rPr>
          <w:rFonts w:eastAsia="Calibri" w:cs="Calibri"/>
          <w:bCs/>
          <w:color w:val="000000"/>
          <w:u w:color="000000"/>
          <w:bdr w:val="nil"/>
          <w14:textOutline w14:w="0" w14:cap="flat" w14:cmpd="sng" w14:algn="ctr">
            <w14:noFill/>
            <w14:prstDash w14:val="solid"/>
            <w14:bevel/>
          </w14:textOutline>
        </w:rPr>
        <w:t>Other States that showed progress in the implementation of friendly settlement agreements were Honduras, which managed to advance with compliance with six measures (5 with full compliance and 1 with partial compliance); Chile, which also managed to advance in 4 clauses (1 with full compliance, 2 with partial substantial compliance and 1 with full compliance); Uruguay, which managed to advance in 4 clauses (3 with full compliance, and 1 with partial compliance). Finally, Guatemala, which also achieved compliance with three clauses (1 fully complied with, one partial substantial and 1 with partial compliance); and Brazil and Panama managed to advance with the fulfillment of one measure each, totally and partially, respectively.</w:t>
      </w:r>
    </w:p>
    <w:p w14:paraId="2DD28D52" w14:textId="77777777" w:rsidR="002E260B" w:rsidRPr="00AD4C06" w:rsidRDefault="002E260B" w:rsidP="00AD4C06">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0184457B" w14:textId="4EF0D71B" w:rsidR="002E260B" w:rsidRPr="00AD4C06"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AD4C06">
        <w:rPr>
          <w:rFonts w:eastAsia="Calibri" w:cs="Calibri"/>
          <w:bCs/>
          <w:color w:val="000000"/>
          <w:u w:color="000000"/>
          <w:bdr w:val="nil"/>
          <w14:textOutline w14:w="0" w14:cap="flat" w14:cmpd="sng" w14:algn="ctr">
            <w14:noFill/>
            <w14:prstDash w14:val="solid"/>
            <w14:bevel/>
          </w14:textOutline>
        </w:rPr>
        <w:t>The following is a detail of the specific progress in each case by country in the levels of total, partial substantial, and partial compliance with the clauses of the friendly settlement agreements as of 2022:</w:t>
      </w:r>
    </w:p>
    <w:p w14:paraId="4A6A261F"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4"/>
        <w:gridCol w:w="1259"/>
        <w:gridCol w:w="1172"/>
        <w:gridCol w:w="2343"/>
        <w:gridCol w:w="2931"/>
        <w:gridCol w:w="39"/>
        <w:gridCol w:w="1710"/>
      </w:tblGrid>
      <w:tr w:rsidR="007704F4" w:rsidRPr="00C57C0F" w14:paraId="3B84320A" w14:textId="77777777">
        <w:trPr>
          <w:trHeight w:val="350"/>
          <w:jc w:val="center"/>
        </w:trPr>
        <w:tc>
          <w:tcPr>
            <w:tcW w:w="9988" w:type="dxa"/>
            <w:gridSpan w:val="7"/>
            <w:shd w:val="clear" w:color="auto" w:fill="1F3864" w:themeFill="accent1" w:themeFillShade="80"/>
            <w:vAlign w:val="center"/>
          </w:tcPr>
          <w:p w14:paraId="0044EB85" w14:textId="77777777" w:rsidR="007704F4" w:rsidRPr="00C57C0F" w:rsidRDefault="007704F4" w:rsidP="00754DE3">
            <w:pPr>
              <w:pStyle w:val="paragraph"/>
              <w:spacing w:before="0" w:beforeAutospacing="0" w:after="0" w:afterAutospacing="0"/>
              <w:ind w:right="-30"/>
              <w:jc w:val="center"/>
              <w:textAlignment w:val="baseline"/>
              <w:rPr>
                <w:rFonts w:ascii="Cambria" w:hAnsi="Cambria" w:cs="Segoe UI"/>
                <w:b/>
                <w:sz w:val="18"/>
                <w:szCs w:val="18"/>
              </w:rPr>
            </w:pPr>
            <w:r w:rsidRPr="00C57C0F">
              <w:rPr>
                <w:rStyle w:val="normaltextrun"/>
                <w:rFonts w:ascii="Cambria" w:eastAsia="Yu Gothic Light" w:hAnsi="Cambria" w:cs="Segoe UI"/>
                <w:b/>
                <w:color w:val="FFFFFF"/>
                <w:sz w:val="18"/>
                <w:szCs w:val="18"/>
              </w:rPr>
              <w:t>PROGRESS ON THE IMPLEMENTATION OF FRIENDLY SETTLEMENT AGREEMENTS</w:t>
            </w:r>
            <w:r w:rsidRPr="00C57C0F">
              <w:rPr>
                <w:rStyle w:val="eop"/>
                <w:rFonts w:ascii="Cambria" w:eastAsia="Calibri" w:hAnsi="Cambria" w:cs="Segoe UI"/>
                <w:b/>
                <w:sz w:val="18"/>
                <w:szCs w:val="18"/>
              </w:rPr>
              <w:t> </w:t>
            </w:r>
          </w:p>
          <w:p w14:paraId="6F0C0762" w14:textId="77777777" w:rsidR="007704F4" w:rsidRPr="00C57C0F" w:rsidRDefault="007704F4" w:rsidP="00754DE3">
            <w:pPr>
              <w:pStyle w:val="paragraph"/>
              <w:spacing w:before="0" w:beforeAutospacing="0" w:after="0" w:afterAutospacing="0"/>
              <w:ind w:right="-30"/>
              <w:jc w:val="center"/>
              <w:textAlignment w:val="baseline"/>
              <w:rPr>
                <w:rFonts w:ascii="Cambria" w:eastAsia="MS Mincho" w:hAnsi="Cambria" w:cs="Arial"/>
                <w:b/>
                <w:sz w:val="18"/>
                <w:szCs w:val="18"/>
                <w:lang w:eastAsia="es-ES_tradnl"/>
              </w:rPr>
            </w:pPr>
            <w:r w:rsidRPr="00C57C0F">
              <w:rPr>
                <w:rStyle w:val="normaltextrun"/>
                <w:rFonts w:ascii="Cambria" w:eastAsia="Yu Gothic Light" w:hAnsi="Cambria" w:cs="Segoe UI"/>
                <w:b/>
                <w:color w:val="FFFFFF"/>
                <w:sz w:val="18"/>
                <w:szCs w:val="18"/>
              </w:rPr>
              <w:t>  2022</w:t>
            </w:r>
          </w:p>
        </w:tc>
      </w:tr>
      <w:tr w:rsidR="007704F4" w:rsidRPr="00C57C0F" w14:paraId="2CC08268" w14:textId="77777777">
        <w:trPr>
          <w:jc w:val="center"/>
        </w:trPr>
        <w:tc>
          <w:tcPr>
            <w:tcW w:w="534" w:type="dxa"/>
            <w:shd w:val="clear" w:color="auto" w:fill="92D050"/>
            <w:vAlign w:val="center"/>
          </w:tcPr>
          <w:p w14:paraId="59808006" w14:textId="77777777" w:rsidR="007704F4" w:rsidRPr="00C57C0F" w:rsidRDefault="007704F4">
            <w:pPr>
              <w:ind w:right="-18"/>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 xml:space="preserve"> No.</w:t>
            </w:r>
          </w:p>
        </w:tc>
        <w:tc>
          <w:tcPr>
            <w:tcW w:w="1259" w:type="dxa"/>
            <w:shd w:val="clear" w:color="auto" w:fill="92D050"/>
            <w:vAlign w:val="center"/>
          </w:tcPr>
          <w:p w14:paraId="31BC5094"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Matter</w:t>
            </w:r>
          </w:p>
        </w:tc>
        <w:tc>
          <w:tcPr>
            <w:tcW w:w="1172" w:type="dxa"/>
            <w:shd w:val="clear" w:color="auto" w:fill="92D050"/>
            <w:vAlign w:val="center"/>
          </w:tcPr>
          <w:p w14:paraId="206C14E9"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Impact</w:t>
            </w:r>
          </w:p>
        </w:tc>
        <w:tc>
          <w:tcPr>
            <w:tcW w:w="5313" w:type="dxa"/>
            <w:gridSpan w:val="3"/>
            <w:shd w:val="clear" w:color="auto" w:fill="92D050"/>
            <w:vAlign w:val="center"/>
          </w:tcPr>
          <w:p w14:paraId="6D6AEBA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Clause or measure</w:t>
            </w:r>
          </w:p>
        </w:tc>
        <w:tc>
          <w:tcPr>
            <w:tcW w:w="1710" w:type="dxa"/>
            <w:shd w:val="clear" w:color="auto" w:fill="92D050"/>
            <w:vAlign w:val="center"/>
          </w:tcPr>
          <w:p w14:paraId="39DEA083"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Level of compliance achieved</w:t>
            </w:r>
          </w:p>
        </w:tc>
      </w:tr>
      <w:tr w:rsidR="007704F4" w:rsidRPr="00C57C0F" w14:paraId="6902A4C2" w14:textId="77777777">
        <w:trPr>
          <w:trHeight w:val="495"/>
          <w:jc w:val="center"/>
        </w:trPr>
        <w:tc>
          <w:tcPr>
            <w:tcW w:w="9988" w:type="dxa"/>
            <w:gridSpan w:val="7"/>
            <w:shd w:val="clear" w:color="auto" w:fill="17365D"/>
            <w:vAlign w:val="center"/>
          </w:tcPr>
          <w:p w14:paraId="705787D3"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ARGENTINA</w:t>
            </w:r>
          </w:p>
        </w:tc>
      </w:tr>
      <w:tr w:rsidR="007704F4" w:rsidRPr="00C57C0F" w14:paraId="5F0830ED" w14:textId="77777777">
        <w:trPr>
          <w:trHeight w:val="504"/>
          <w:jc w:val="center"/>
        </w:trPr>
        <w:tc>
          <w:tcPr>
            <w:tcW w:w="534" w:type="dxa"/>
            <w:shd w:val="clear" w:color="auto" w:fill="auto"/>
            <w:vAlign w:val="center"/>
          </w:tcPr>
          <w:p w14:paraId="2577911A"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r w:rsidRPr="00C57C0F">
              <w:rPr>
                <w:rFonts w:ascii="Cambria" w:eastAsia="MS Mincho" w:hAnsi="Cambria" w:cs="Arial"/>
                <w:sz w:val="18"/>
                <w:szCs w:val="18"/>
              </w:rPr>
              <w:t>,</w:t>
            </w:r>
          </w:p>
        </w:tc>
        <w:tc>
          <w:tcPr>
            <w:tcW w:w="1259" w:type="dxa"/>
            <w:shd w:val="clear" w:color="auto" w:fill="auto"/>
            <w:vAlign w:val="center"/>
          </w:tcPr>
          <w:p w14:paraId="77065820"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 xml:space="preserve">Case 12.159, Report </w:t>
            </w:r>
            <w:r w:rsidRPr="00C57C0F">
              <w:rPr>
                <w:rFonts w:ascii="Cambria" w:hAnsi="Cambria" w:cs="Arial"/>
                <w:sz w:val="18"/>
                <w:szCs w:val="18"/>
              </w:rPr>
              <w:t xml:space="preserve">No. </w:t>
            </w:r>
            <w:r w:rsidRPr="00C57C0F">
              <w:rPr>
                <w:rFonts w:ascii="Cambria" w:eastAsia="MS Mincho" w:hAnsi="Cambria" w:cs="Arial"/>
                <w:sz w:val="18"/>
                <w:szCs w:val="18"/>
              </w:rPr>
              <w:t>79/09, Gabriel Egisto Santillan</w:t>
            </w:r>
          </w:p>
        </w:tc>
        <w:tc>
          <w:tcPr>
            <w:tcW w:w="1172" w:type="dxa"/>
            <w:shd w:val="clear" w:color="auto" w:fill="auto"/>
            <w:vAlign w:val="center"/>
          </w:tcPr>
          <w:p w14:paraId="496FC0FB"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auto"/>
            <w:vAlign w:val="center"/>
          </w:tcPr>
          <w:p w14:paraId="5F4B32AD" w14:textId="77777777" w:rsidR="007704F4" w:rsidRPr="00C57C0F" w:rsidRDefault="007704F4">
            <w:pPr>
              <w:ind w:right="-12"/>
              <w:jc w:val="both"/>
              <w:rPr>
                <w:rFonts w:ascii="Cambria" w:eastAsia="MS Mincho" w:hAnsi="Cambria" w:cs="Arial"/>
                <w:b/>
                <w:bCs/>
                <w:sz w:val="18"/>
                <w:szCs w:val="18"/>
                <w:lang w:eastAsia="es-ES_tradnl"/>
              </w:rPr>
            </w:pPr>
            <w:r w:rsidRPr="00C57C0F">
              <w:rPr>
                <w:rFonts w:ascii="Cambria" w:hAnsi="Cambria"/>
                <w:b/>
                <w:bCs/>
                <w:sz w:val="18"/>
                <w:szCs w:val="18"/>
              </w:rPr>
              <w:t xml:space="preserve">Clause B.2. </w:t>
            </w:r>
            <w:r w:rsidRPr="00C57C0F">
              <w:rPr>
                <w:rFonts w:ascii="Cambria" w:hAnsi="Cambria"/>
                <w:sz w:val="18"/>
                <w:szCs w:val="18"/>
              </w:rPr>
              <w:t>The Government of the Argentine Republic undertakes to invite the Government of the Province of Buenos Aires to report on the status of the following cases being heard by courts in the provincial jurisdiction until their final conclusion […].</w:t>
            </w:r>
          </w:p>
        </w:tc>
        <w:tc>
          <w:tcPr>
            <w:tcW w:w="1710" w:type="dxa"/>
            <w:shd w:val="clear" w:color="auto" w:fill="auto"/>
            <w:vAlign w:val="center"/>
          </w:tcPr>
          <w:p w14:paraId="62E3FA5A"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28CF5EED" w14:textId="77777777">
        <w:trPr>
          <w:trHeight w:val="504"/>
          <w:jc w:val="center"/>
        </w:trPr>
        <w:tc>
          <w:tcPr>
            <w:tcW w:w="534" w:type="dxa"/>
            <w:shd w:val="clear" w:color="auto" w:fill="D9D9D9" w:themeFill="background1" w:themeFillShade="D9"/>
            <w:vAlign w:val="center"/>
          </w:tcPr>
          <w:p w14:paraId="5849D2F5"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D9D9D9" w:themeFill="background1" w:themeFillShade="D9"/>
            <w:vAlign w:val="center"/>
          </w:tcPr>
          <w:p w14:paraId="232ED932" w14:textId="77777777" w:rsidR="007704F4" w:rsidRPr="00C57C0F" w:rsidRDefault="007704F4">
            <w:pPr>
              <w:ind w:right="-18"/>
              <w:contextualSpacing/>
              <w:rPr>
                <w:rFonts w:ascii="Cambria" w:eastAsia="MS Mincho" w:hAnsi="Cambria" w:cs="Arial"/>
                <w:sz w:val="18"/>
                <w:szCs w:val="18"/>
              </w:rPr>
            </w:pPr>
            <w:r w:rsidRPr="00C57C0F">
              <w:rPr>
                <w:rFonts w:ascii="Cambria" w:hAnsi="Cambria" w:cs="Arial"/>
                <w:sz w:val="18"/>
                <w:szCs w:val="18"/>
              </w:rPr>
              <w:t>Case 12.182, Report No. 109/13, Florentino Rojas</w:t>
            </w:r>
          </w:p>
        </w:tc>
        <w:tc>
          <w:tcPr>
            <w:tcW w:w="1172" w:type="dxa"/>
            <w:shd w:val="clear" w:color="auto" w:fill="D9D9D9" w:themeFill="background1" w:themeFillShade="D9"/>
            <w:vAlign w:val="center"/>
          </w:tcPr>
          <w:p w14:paraId="574F24FC"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124ABEE0" w14:textId="77777777" w:rsidR="007704F4" w:rsidRPr="00C57C0F" w:rsidRDefault="007704F4">
            <w:pPr>
              <w:ind w:right="-12"/>
              <w:jc w:val="both"/>
              <w:rPr>
                <w:rFonts w:ascii="Cambria" w:hAnsi="Cambria"/>
                <w:b/>
                <w:bCs/>
                <w:sz w:val="18"/>
                <w:szCs w:val="18"/>
              </w:rPr>
            </w:pPr>
            <w:r w:rsidRPr="00C57C0F">
              <w:rPr>
                <w:rFonts w:ascii="Cambria" w:hAnsi="Cambria"/>
                <w:sz w:val="18"/>
                <w:szCs w:val="18"/>
              </w:rPr>
              <w:t>[…] A.</w:t>
            </w:r>
            <w:r w:rsidRPr="00C57C0F">
              <w:rPr>
                <w:rFonts w:ascii="Cambria" w:hAnsi="Cambria"/>
                <w:sz w:val="18"/>
                <w:szCs w:val="18"/>
              </w:rPr>
              <w:tab/>
              <w:t>Provide appropriate housing in the area in which he currently resides, in keeping with physical and geographic specifications indicated in the operative section of the award; […]. b)</w:t>
            </w:r>
            <w:r w:rsidRPr="00C57C0F">
              <w:rPr>
                <w:rFonts w:ascii="Cambria" w:hAnsi="Cambria"/>
                <w:sz w:val="18"/>
                <w:szCs w:val="18"/>
              </w:rPr>
              <w:tab/>
              <w:t>the duty to “provide Mr. Florentino Rojas appropriate housing” provided for in section 1 of the operative part of the award dated March 3, 2016, implies the Argentine State’s obligation to provide Mr. Rojas possession of a dwelling—with the features that the same award lists—under a modality such that it allows him to freely exercise de facto power over its inheritance […].</w:t>
            </w:r>
          </w:p>
        </w:tc>
        <w:tc>
          <w:tcPr>
            <w:tcW w:w="1710" w:type="dxa"/>
            <w:shd w:val="clear" w:color="auto" w:fill="D9D9D9" w:themeFill="background1" w:themeFillShade="D9"/>
            <w:vAlign w:val="center"/>
          </w:tcPr>
          <w:p w14:paraId="58895D5B"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1AF94314" w14:textId="77777777">
        <w:trPr>
          <w:trHeight w:val="1493"/>
          <w:jc w:val="center"/>
        </w:trPr>
        <w:tc>
          <w:tcPr>
            <w:tcW w:w="534" w:type="dxa"/>
            <w:shd w:val="clear" w:color="auto" w:fill="FFFFFF" w:themeFill="background1"/>
            <w:vAlign w:val="center"/>
          </w:tcPr>
          <w:p w14:paraId="36796F08"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FFFFFF" w:themeFill="background1"/>
            <w:vAlign w:val="center"/>
          </w:tcPr>
          <w:p w14:paraId="6BA563F0"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 xml:space="preserve">Case 13.595, Report </w:t>
            </w:r>
            <w:r w:rsidRPr="00C57C0F">
              <w:rPr>
                <w:rFonts w:ascii="Cambria" w:hAnsi="Cambria" w:cs="Arial"/>
                <w:sz w:val="18"/>
                <w:szCs w:val="18"/>
              </w:rPr>
              <w:t xml:space="preserve">No. </w:t>
            </w:r>
            <w:r w:rsidRPr="00C57C0F">
              <w:rPr>
                <w:rFonts w:ascii="Cambria" w:eastAsia="MS Mincho" w:hAnsi="Cambria" w:cs="Arial"/>
                <w:sz w:val="18"/>
                <w:szCs w:val="18"/>
              </w:rPr>
              <w:t>207/21, Amanda Graciela Encaje and Family.</w:t>
            </w:r>
          </w:p>
        </w:tc>
        <w:tc>
          <w:tcPr>
            <w:tcW w:w="1172" w:type="dxa"/>
            <w:shd w:val="clear" w:color="auto" w:fill="FFFFFF" w:themeFill="background1"/>
            <w:vAlign w:val="center"/>
          </w:tcPr>
          <w:p w14:paraId="42F7ECD1"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3C44E6DE"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hAnsi="Cambria"/>
                <w:b/>
                <w:bCs/>
                <w:sz w:val="18"/>
                <w:szCs w:val="18"/>
              </w:rPr>
              <w:t xml:space="preserve">Clause III. A. Sculpture in tribute to the victims and their families. </w:t>
            </w:r>
            <w:r w:rsidRPr="00C57C0F">
              <w:rPr>
                <w:rFonts w:ascii="Cambria" w:hAnsi="Cambria"/>
                <w:sz w:val="18"/>
                <w:szCs w:val="18"/>
              </w:rPr>
              <w:t>The commitment is to carry out an emotive sculpture, in tribute to the victims and their families in their long struggle for justice, joined by a marble plaque with an allegoric inscription to the recognition of responsibility for the denial of justice and the friendly settlement agreement of the case. […].</w:t>
            </w:r>
          </w:p>
        </w:tc>
        <w:tc>
          <w:tcPr>
            <w:tcW w:w="1710" w:type="dxa"/>
            <w:shd w:val="clear" w:color="auto" w:fill="FFFFFF" w:themeFill="background1"/>
            <w:vAlign w:val="center"/>
          </w:tcPr>
          <w:p w14:paraId="3A599D6D"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0043F4E7" w14:textId="77777777">
        <w:trPr>
          <w:trHeight w:val="495"/>
          <w:jc w:val="center"/>
        </w:trPr>
        <w:tc>
          <w:tcPr>
            <w:tcW w:w="534" w:type="dxa"/>
            <w:shd w:val="clear" w:color="auto" w:fill="FFFFFF" w:themeFill="background1"/>
            <w:vAlign w:val="center"/>
          </w:tcPr>
          <w:p w14:paraId="678F1FFE"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78CB4948"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29C75295" w14:textId="77777777" w:rsidR="007704F4" w:rsidRPr="00C57C0F" w:rsidRDefault="007704F4">
            <w:pPr>
              <w:ind w:right="-18"/>
              <w:jc w:val="center"/>
              <w:rPr>
                <w:rFonts w:ascii="Cambria" w:hAnsi="Cambria"/>
                <w:sz w:val="18"/>
                <w:szCs w:val="18"/>
              </w:rPr>
            </w:pPr>
            <w:r w:rsidRPr="00C57C0F">
              <w:rPr>
                <w:rFonts w:ascii="Cambria" w:hAnsi="Cambria"/>
                <w:sz w:val="18"/>
                <w:szCs w:val="18"/>
              </w:rPr>
              <w:t xml:space="preserve">Individual </w:t>
            </w:r>
          </w:p>
        </w:tc>
        <w:tc>
          <w:tcPr>
            <w:tcW w:w="5313" w:type="dxa"/>
            <w:gridSpan w:val="3"/>
            <w:shd w:val="clear" w:color="auto" w:fill="FFFFFF" w:themeFill="background1"/>
            <w:vAlign w:val="center"/>
          </w:tcPr>
          <w:p w14:paraId="5EB7E8AE"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 xml:space="preserve">Clause III. B. Examine the feasibility of reopening the criminal case of the homicides of Amanda Encaje y Nestor Vivo. </w:t>
            </w:r>
            <w:r w:rsidRPr="00C57C0F">
              <w:rPr>
                <w:rFonts w:ascii="Cambria" w:hAnsi="Cambria"/>
                <w:sz w:val="18"/>
                <w:szCs w:val="18"/>
              </w:rPr>
              <w:t xml:space="preserve">The Provincial Government undertakes to request the Public </w:t>
            </w:r>
            <w:r w:rsidRPr="00C57C0F">
              <w:rPr>
                <w:rFonts w:ascii="Cambria" w:hAnsi="Cambria"/>
                <w:sz w:val="18"/>
                <w:szCs w:val="18"/>
              </w:rPr>
              <w:lastRenderedPageBreak/>
              <w:t>Prosecutor’s Office of the Chaco Province to analyze and justify the reopening of the criminal case entitled “COMISARIA SECCIONAL OCTAVA S/ ELEVA ACTUACIONES” (File Nº 893, year 1991, registry of the former instruction Court Nº5 transferred to the Transition and Guarantees Court Nº4, both at the city of Resistencia, Chaco Province).</w:t>
            </w:r>
          </w:p>
        </w:tc>
        <w:tc>
          <w:tcPr>
            <w:tcW w:w="1710" w:type="dxa"/>
            <w:shd w:val="clear" w:color="auto" w:fill="FFFFFF" w:themeFill="background1"/>
            <w:vAlign w:val="center"/>
          </w:tcPr>
          <w:p w14:paraId="50665126"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lastRenderedPageBreak/>
              <w:t>Total 2022</w:t>
            </w:r>
          </w:p>
        </w:tc>
      </w:tr>
      <w:tr w:rsidR="007704F4" w:rsidRPr="00C57C0F" w14:paraId="61F3B338" w14:textId="77777777">
        <w:trPr>
          <w:trHeight w:val="495"/>
          <w:jc w:val="center"/>
        </w:trPr>
        <w:tc>
          <w:tcPr>
            <w:tcW w:w="534" w:type="dxa"/>
            <w:shd w:val="clear" w:color="auto" w:fill="FFFFFF" w:themeFill="background1"/>
            <w:vAlign w:val="center"/>
          </w:tcPr>
          <w:p w14:paraId="4A16EA14"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6C1EE8E4"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78D96311"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46BA8746"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 xml:space="preserve">Clause III. C. Creation of the Official Defender of Victims position, with exclusive dedication to persons victims of crimes. </w:t>
            </w:r>
            <w:r w:rsidRPr="00C57C0F">
              <w:rPr>
                <w:rFonts w:ascii="Cambria" w:hAnsi="Cambria"/>
                <w:sz w:val="18"/>
                <w:szCs w:val="18"/>
              </w:rPr>
              <w:t>For the fulfillment of this point, the Executive Branch of the Chaco Province undertakes to raise, within a period of six months from the date of the homologation of the present agreement by the IACHR, a bill before the Provincial Chamber of Deputies that promotes the creation of two placements for Official Defense Counsel for Victims, one based at the city of Resistencia and the other at “Presidencia Roque Saenz Peña.” […].</w:t>
            </w:r>
          </w:p>
        </w:tc>
        <w:tc>
          <w:tcPr>
            <w:tcW w:w="1710" w:type="dxa"/>
            <w:shd w:val="clear" w:color="auto" w:fill="FFFFFF" w:themeFill="background1"/>
            <w:vAlign w:val="center"/>
          </w:tcPr>
          <w:p w14:paraId="7CE46B4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2022</w:t>
            </w:r>
          </w:p>
        </w:tc>
      </w:tr>
      <w:tr w:rsidR="007704F4" w:rsidRPr="00C57C0F" w14:paraId="70EB868A" w14:textId="77777777">
        <w:trPr>
          <w:trHeight w:val="504"/>
          <w:jc w:val="center"/>
        </w:trPr>
        <w:tc>
          <w:tcPr>
            <w:tcW w:w="534" w:type="dxa"/>
            <w:shd w:val="clear" w:color="auto" w:fill="FFFFFF" w:themeFill="background1"/>
            <w:vAlign w:val="center"/>
          </w:tcPr>
          <w:p w14:paraId="5D2F4914"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7A136705"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55641417"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7B639822"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hAnsi="Cambria"/>
                <w:b/>
                <w:bCs/>
                <w:sz w:val="18"/>
                <w:szCs w:val="18"/>
              </w:rPr>
              <w:t xml:space="preserve">Clause III. D. Creation of the Observatory for Crime Victims. </w:t>
            </w:r>
            <w:r w:rsidRPr="00C57C0F">
              <w:rPr>
                <w:rFonts w:ascii="Cambria" w:hAnsi="Cambria"/>
                <w:sz w:val="18"/>
                <w:szCs w:val="18"/>
              </w:rPr>
              <w:t>For the fulfillment of this point, the provincial Executive Branch undertakes to present, within a period of six months from the date of the homologation of the present agreement by the IACHR, a draft bill before the Provincial Chamber of Deputies that promotes the creation of an entity and to name it “Observatory of the Victims of Crimes/ Amanda Encaje” […].</w:t>
            </w:r>
          </w:p>
        </w:tc>
        <w:tc>
          <w:tcPr>
            <w:tcW w:w="1710" w:type="dxa"/>
            <w:shd w:val="clear" w:color="auto" w:fill="FFFFFF" w:themeFill="background1"/>
            <w:vAlign w:val="center"/>
          </w:tcPr>
          <w:p w14:paraId="36D05221"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38FA4CF6" w14:textId="77777777">
        <w:trPr>
          <w:trHeight w:val="504"/>
          <w:jc w:val="center"/>
        </w:trPr>
        <w:tc>
          <w:tcPr>
            <w:tcW w:w="534" w:type="dxa"/>
            <w:shd w:val="clear" w:color="auto" w:fill="FFFFFF" w:themeFill="background1"/>
            <w:vAlign w:val="center"/>
          </w:tcPr>
          <w:p w14:paraId="16955213"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797A52C7"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64C69F1E"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32D3216F"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Clause III.</w:t>
            </w:r>
            <w:r w:rsidRPr="00C57C0F">
              <w:rPr>
                <w:rFonts w:ascii="Cambria" w:hAnsi="Cambria"/>
                <w:sz w:val="18"/>
                <w:szCs w:val="18"/>
              </w:rPr>
              <w:t xml:space="preserve"> </w:t>
            </w:r>
            <w:r w:rsidRPr="00C57C0F">
              <w:rPr>
                <w:rFonts w:ascii="Cambria" w:hAnsi="Cambria"/>
                <w:b/>
                <w:bCs/>
                <w:sz w:val="18"/>
                <w:szCs w:val="18"/>
              </w:rPr>
              <w:t xml:space="preserve">E. Sanction of protocols for the preservation of the crime scene and to guarantee the chain of custody of evidence and effects seized, to optimize and streamline the investigation of complex crimes. </w:t>
            </w:r>
            <w:r w:rsidRPr="00C57C0F">
              <w:rPr>
                <w:rFonts w:ascii="Cambria" w:hAnsi="Cambria"/>
                <w:sz w:val="18"/>
                <w:szCs w:val="18"/>
              </w:rPr>
              <w:t>The Government of the Province undertakes to promote the ratification by law of a series of protocols that are implemented in the criminal investigations advanced in the provincial jurisdiction, but without legal force. […].</w:t>
            </w:r>
          </w:p>
        </w:tc>
        <w:tc>
          <w:tcPr>
            <w:tcW w:w="1710" w:type="dxa"/>
            <w:shd w:val="clear" w:color="auto" w:fill="FFFFFF" w:themeFill="background1"/>
            <w:vAlign w:val="center"/>
          </w:tcPr>
          <w:p w14:paraId="68B66980"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4ACC3720" w14:textId="77777777">
        <w:trPr>
          <w:trHeight w:val="504"/>
          <w:jc w:val="center"/>
        </w:trPr>
        <w:tc>
          <w:tcPr>
            <w:tcW w:w="534" w:type="dxa"/>
            <w:shd w:val="clear" w:color="auto" w:fill="FFFFFF" w:themeFill="background1"/>
            <w:vAlign w:val="center"/>
          </w:tcPr>
          <w:p w14:paraId="75673DB3"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14B6EF0C"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48FD4BF1"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38573950"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 xml:space="preserve">Clause III. G. Ratification and diffusion. </w:t>
            </w:r>
            <w:r w:rsidRPr="00C57C0F">
              <w:rPr>
                <w:rFonts w:ascii="Cambria" w:hAnsi="Cambria"/>
                <w:sz w:val="18"/>
                <w:szCs w:val="18"/>
              </w:rPr>
              <w:t>Finally, in the Minute of Compromise of Friendly Settlement, the Government of the Chaco Province, assumed to undertake that it would be approved by Provincial Decree, as it happened on May 3, 2021, (Decree Nº 949/2021), and to publish it in a newspaper of national and another one of provincial circulation, after the homologation report by the IACHR. Likewise, it was agreed that the provincial Government will request the National State to publish the content of the agreement on the websites Ministry of Foreign Affairs and Worship and the Ministry of Justice and Human Rights.</w:t>
            </w:r>
          </w:p>
        </w:tc>
        <w:tc>
          <w:tcPr>
            <w:tcW w:w="1710" w:type="dxa"/>
            <w:shd w:val="clear" w:color="auto" w:fill="FFFFFF" w:themeFill="background1"/>
            <w:vAlign w:val="center"/>
          </w:tcPr>
          <w:p w14:paraId="053E86F6"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2DB35B6F" w14:textId="77777777">
        <w:trPr>
          <w:trHeight w:val="504"/>
          <w:jc w:val="center"/>
        </w:trPr>
        <w:tc>
          <w:tcPr>
            <w:tcW w:w="534" w:type="dxa"/>
            <w:shd w:val="clear" w:color="auto" w:fill="D9D9D9" w:themeFill="background1" w:themeFillShade="D9"/>
            <w:vAlign w:val="center"/>
          </w:tcPr>
          <w:p w14:paraId="176BA377"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D9D9D9" w:themeFill="background1" w:themeFillShade="D9"/>
            <w:vAlign w:val="center"/>
          </w:tcPr>
          <w:p w14:paraId="176AC1BB" w14:textId="77777777" w:rsidR="007704F4" w:rsidRPr="00C57C0F" w:rsidRDefault="007704F4">
            <w:pPr>
              <w:ind w:right="-18"/>
              <w:contextualSpacing/>
              <w:rPr>
                <w:rFonts w:ascii="Cambria" w:eastAsia="MS Mincho" w:hAnsi="Cambria" w:cs="Arial"/>
                <w:sz w:val="18"/>
                <w:szCs w:val="18"/>
              </w:rPr>
            </w:pPr>
            <w:r w:rsidRPr="00C57C0F">
              <w:rPr>
                <w:rFonts w:ascii="Cambria" w:hAnsi="Cambria" w:cs="Arial"/>
                <w:sz w:val="18"/>
                <w:szCs w:val="18"/>
              </w:rPr>
              <w:t>Case 12.289, Report No. 168/2022, Guillermo Santiago Zaldivar</w:t>
            </w:r>
          </w:p>
        </w:tc>
        <w:tc>
          <w:tcPr>
            <w:tcW w:w="1172" w:type="dxa"/>
            <w:shd w:val="clear" w:color="auto" w:fill="D9D9D9" w:themeFill="background1" w:themeFillShade="D9"/>
            <w:vAlign w:val="center"/>
          </w:tcPr>
          <w:p w14:paraId="7596F0EE"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D9D9D9" w:themeFill="background1" w:themeFillShade="D9"/>
            <w:vAlign w:val="center"/>
          </w:tcPr>
          <w:p w14:paraId="3AA5DE09"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 xml:space="preserve">Clause A. Non-pecuniary reparation measures. </w:t>
            </w:r>
            <w:r w:rsidRPr="00C57C0F">
              <w:rPr>
                <w:rFonts w:ascii="Cambria" w:hAnsi="Cambria"/>
                <w:sz w:val="18"/>
                <w:szCs w:val="18"/>
              </w:rPr>
              <w:t>The Argentine State undertakes to make this agreement public in the “Official Gazette of the Argentine Republic”, and in two national newspapers through a press release, the text of which will be previously agreed upon with the petitioner party.</w:t>
            </w:r>
          </w:p>
        </w:tc>
        <w:tc>
          <w:tcPr>
            <w:tcW w:w="1710" w:type="dxa"/>
            <w:shd w:val="clear" w:color="auto" w:fill="D9D9D9" w:themeFill="background1" w:themeFillShade="D9"/>
            <w:vAlign w:val="center"/>
          </w:tcPr>
          <w:p w14:paraId="0843D79D"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2601CA54" w14:textId="77777777">
        <w:trPr>
          <w:trHeight w:val="504"/>
          <w:jc w:val="center"/>
        </w:trPr>
        <w:tc>
          <w:tcPr>
            <w:tcW w:w="534" w:type="dxa"/>
            <w:shd w:val="clear" w:color="auto" w:fill="auto"/>
            <w:vAlign w:val="center"/>
          </w:tcPr>
          <w:p w14:paraId="54C76A0B"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auto"/>
            <w:vAlign w:val="center"/>
          </w:tcPr>
          <w:p w14:paraId="013C1519" w14:textId="77777777" w:rsidR="007704F4" w:rsidRPr="00C57C0F" w:rsidRDefault="007704F4">
            <w:pPr>
              <w:ind w:right="-18"/>
              <w:contextualSpacing/>
              <w:rPr>
                <w:rFonts w:ascii="Cambria" w:hAnsi="Cambria" w:cs="Arial"/>
                <w:sz w:val="18"/>
                <w:szCs w:val="18"/>
              </w:rPr>
            </w:pPr>
            <w:r w:rsidRPr="00C57C0F">
              <w:rPr>
                <w:rFonts w:ascii="Cambria" w:hAnsi="Cambria" w:cs="Arial"/>
                <w:sz w:val="18"/>
                <w:szCs w:val="18"/>
              </w:rPr>
              <w:t>Petition 1256-05, Report No. 305/22, Ivana Rosales</w:t>
            </w:r>
          </w:p>
        </w:tc>
        <w:tc>
          <w:tcPr>
            <w:tcW w:w="1172" w:type="dxa"/>
            <w:shd w:val="clear" w:color="auto" w:fill="auto"/>
            <w:vAlign w:val="center"/>
          </w:tcPr>
          <w:p w14:paraId="7901FF2D"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5CA749CC" w14:textId="77777777" w:rsidR="007704F4" w:rsidRPr="00C57C0F" w:rsidRDefault="007704F4">
            <w:pPr>
              <w:ind w:right="-12"/>
              <w:jc w:val="both"/>
              <w:rPr>
                <w:rFonts w:ascii="Cambria" w:hAnsi="Cambria"/>
                <w:sz w:val="18"/>
                <w:szCs w:val="18"/>
              </w:rPr>
            </w:pPr>
            <w:r w:rsidRPr="00C57C0F">
              <w:rPr>
                <w:rFonts w:ascii="Cambria" w:hAnsi="Cambria"/>
                <w:b/>
                <w:bCs/>
                <w:sz w:val="18"/>
                <w:szCs w:val="18"/>
              </w:rPr>
              <w:t>Clause III. Non-pecuniary reparations measures. 1. Creation of the Ivana and Mayka Rosales Comprehensive Protection Center for victims of gender-based violence:</w:t>
            </w:r>
            <w:r w:rsidRPr="00C57C0F">
              <w:rPr>
                <w:rFonts w:ascii="Cambria" w:hAnsi="Cambria"/>
                <w:sz w:val="18"/>
                <w:szCs w:val="18"/>
              </w:rPr>
              <w:t xml:space="preserve"> Within a maximum period of one year from the publication of the Provincial Decree, the Province will inaugurate the Comprehensive Protection Center for victims of gender-based violence, to be called the Ivana and Mayka Rosales, located in the City of Plottier. […].</w:t>
            </w:r>
          </w:p>
        </w:tc>
        <w:tc>
          <w:tcPr>
            <w:tcW w:w="1710" w:type="dxa"/>
            <w:shd w:val="clear" w:color="auto" w:fill="auto"/>
            <w:vAlign w:val="center"/>
          </w:tcPr>
          <w:p w14:paraId="18C7046F"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670899CF" w14:textId="77777777">
        <w:trPr>
          <w:trHeight w:val="504"/>
          <w:jc w:val="center"/>
        </w:trPr>
        <w:tc>
          <w:tcPr>
            <w:tcW w:w="534" w:type="dxa"/>
            <w:shd w:val="clear" w:color="auto" w:fill="auto"/>
            <w:vAlign w:val="center"/>
          </w:tcPr>
          <w:p w14:paraId="2DBBAE3E"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14183D12" w14:textId="77777777" w:rsidR="007704F4" w:rsidRPr="00C57C0F" w:rsidRDefault="007704F4">
            <w:pPr>
              <w:ind w:right="-18"/>
              <w:contextualSpacing/>
              <w:rPr>
                <w:rFonts w:ascii="Cambria" w:hAnsi="Cambria" w:cs="Arial"/>
                <w:sz w:val="18"/>
                <w:szCs w:val="18"/>
              </w:rPr>
            </w:pPr>
          </w:p>
        </w:tc>
        <w:tc>
          <w:tcPr>
            <w:tcW w:w="1172" w:type="dxa"/>
            <w:shd w:val="clear" w:color="auto" w:fill="auto"/>
          </w:tcPr>
          <w:p w14:paraId="00EB8607"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66816DA4" w14:textId="77777777" w:rsidR="007704F4" w:rsidRPr="00C57C0F" w:rsidRDefault="007704F4">
            <w:pPr>
              <w:ind w:right="-12"/>
              <w:jc w:val="both"/>
              <w:rPr>
                <w:rFonts w:ascii="Cambria" w:hAnsi="Cambria"/>
                <w:sz w:val="18"/>
                <w:szCs w:val="18"/>
              </w:rPr>
            </w:pPr>
            <w:r w:rsidRPr="00C57C0F">
              <w:rPr>
                <w:rFonts w:ascii="Cambria" w:hAnsi="Cambria"/>
                <w:b/>
                <w:bCs/>
                <w:sz w:val="18"/>
                <w:szCs w:val="18"/>
              </w:rPr>
              <w:t xml:space="preserve">Clause III. Non-pecuniary reparations measures. </w:t>
            </w:r>
            <w:r w:rsidRPr="00C57C0F">
              <w:rPr>
                <w:rFonts w:ascii="Cambria" w:hAnsi="Cambria"/>
                <w:sz w:val="18"/>
                <w:szCs w:val="18"/>
              </w:rPr>
              <w:t>2. Free, comprehensive, and specialized legal aid: The province of Neuquén commits to implementing National Law 27,210 and Provincial Law 3106 creating the Lawyers’ Corps for Victims of Gender-based Violence in the Province of Neuquén. […].</w:t>
            </w:r>
          </w:p>
        </w:tc>
        <w:tc>
          <w:tcPr>
            <w:tcW w:w="1710" w:type="dxa"/>
            <w:shd w:val="clear" w:color="auto" w:fill="auto"/>
            <w:vAlign w:val="center"/>
          </w:tcPr>
          <w:p w14:paraId="0E582824"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0A9B6816" w14:textId="77777777">
        <w:trPr>
          <w:trHeight w:val="504"/>
          <w:jc w:val="center"/>
        </w:trPr>
        <w:tc>
          <w:tcPr>
            <w:tcW w:w="534" w:type="dxa"/>
            <w:shd w:val="clear" w:color="auto" w:fill="auto"/>
            <w:vAlign w:val="center"/>
          </w:tcPr>
          <w:p w14:paraId="500184E5"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65543834" w14:textId="77777777" w:rsidR="007704F4" w:rsidRPr="00C57C0F" w:rsidRDefault="007704F4">
            <w:pPr>
              <w:ind w:right="-18"/>
              <w:contextualSpacing/>
              <w:rPr>
                <w:rFonts w:ascii="Cambria" w:hAnsi="Cambria" w:cs="Arial"/>
                <w:sz w:val="18"/>
                <w:szCs w:val="18"/>
              </w:rPr>
            </w:pPr>
          </w:p>
        </w:tc>
        <w:tc>
          <w:tcPr>
            <w:tcW w:w="1172" w:type="dxa"/>
            <w:shd w:val="clear" w:color="auto" w:fill="auto"/>
          </w:tcPr>
          <w:p w14:paraId="6AFD1C1F"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0B2CCD6C"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 xml:space="preserve">Clause III. Non-pecuniary reparations measures. 3.  Publication and wide dissemination of an informational pamphlet on gender-based violence: </w:t>
            </w:r>
            <w:r w:rsidRPr="00C57C0F">
              <w:rPr>
                <w:rFonts w:ascii="Cambria" w:hAnsi="Cambria"/>
                <w:sz w:val="18"/>
                <w:szCs w:val="18"/>
              </w:rPr>
              <w:t>Within a year of the publication of the Provincial Decree, the Province of Neuquén commits to printing and disseminating an informational pamphlet with a detailed and clear description of all the resources available (care centers, phone numbers, financial aid, subsidies, legal aid, etc.) available to victims of gender-based violence in the Province, within the framework of the work already carried out by the Interagency Commission established under Laws 2785 and 2786.  […].</w:t>
            </w:r>
          </w:p>
        </w:tc>
        <w:tc>
          <w:tcPr>
            <w:tcW w:w="1710" w:type="dxa"/>
            <w:shd w:val="clear" w:color="auto" w:fill="auto"/>
            <w:vAlign w:val="center"/>
          </w:tcPr>
          <w:p w14:paraId="50D15AF6"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171665DE" w14:textId="77777777">
        <w:trPr>
          <w:trHeight w:val="504"/>
          <w:jc w:val="center"/>
        </w:trPr>
        <w:tc>
          <w:tcPr>
            <w:tcW w:w="534" w:type="dxa"/>
            <w:shd w:val="clear" w:color="auto" w:fill="auto"/>
            <w:vAlign w:val="center"/>
          </w:tcPr>
          <w:p w14:paraId="06F4C9DF"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77F11420" w14:textId="77777777" w:rsidR="007704F4" w:rsidRPr="00C57C0F" w:rsidRDefault="007704F4">
            <w:pPr>
              <w:ind w:right="-18"/>
              <w:contextualSpacing/>
              <w:rPr>
                <w:rFonts w:ascii="Cambria" w:hAnsi="Cambria" w:cs="Arial"/>
                <w:sz w:val="18"/>
                <w:szCs w:val="18"/>
              </w:rPr>
            </w:pPr>
          </w:p>
        </w:tc>
        <w:tc>
          <w:tcPr>
            <w:tcW w:w="1172" w:type="dxa"/>
            <w:shd w:val="clear" w:color="auto" w:fill="auto"/>
          </w:tcPr>
          <w:p w14:paraId="769DFE97"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263CE782"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 xml:space="preserve">Clause III. Non-pecuniary reparations measures. 4.  Training for public officials: </w:t>
            </w:r>
            <w:r w:rsidRPr="00C57C0F">
              <w:rPr>
                <w:rFonts w:ascii="Cambria" w:hAnsi="Cambria"/>
                <w:sz w:val="18"/>
                <w:szCs w:val="18"/>
              </w:rPr>
              <w:t>The Province shall take the measures necessary to guarantee implementation of “Micaela’s Law” (National Law 27499 and Provincial Law 3201) as a requirement for all persons serving as public officials in the Province (both contractors and permanent personnel). […].</w:t>
            </w:r>
          </w:p>
        </w:tc>
        <w:tc>
          <w:tcPr>
            <w:tcW w:w="1710" w:type="dxa"/>
            <w:shd w:val="clear" w:color="auto" w:fill="auto"/>
            <w:vAlign w:val="center"/>
          </w:tcPr>
          <w:p w14:paraId="098A3B6C"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5FC0CC91" w14:textId="77777777">
        <w:trPr>
          <w:trHeight w:val="504"/>
          <w:jc w:val="center"/>
        </w:trPr>
        <w:tc>
          <w:tcPr>
            <w:tcW w:w="534" w:type="dxa"/>
            <w:shd w:val="clear" w:color="auto" w:fill="auto"/>
            <w:vAlign w:val="center"/>
          </w:tcPr>
          <w:p w14:paraId="514EC200"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5575575C"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11A54AB4"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auto"/>
            <w:vAlign w:val="center"/>
          </w:tcPr>
          <w:p w14:paraId="0D2F8C8C"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 xml:space="preserve">Clause III. Non-pecuniary reparations measures. 6. Legal aid for Abril Rosales: </w:t>
            </w:r>
            <w:r w:rsidRPr="00C57C0F">
              <w:rPr>
                <w:rFonts w:ascii="Cambria" w:hAnsi="Cambria"/>
                <w:sz w:val="18"/>
                <w:szCs w:val="18"/>
              </w:rPr>
              <w:t>The Province commits to taking the necessary steps to change Abril Rosales’s last name and to complete the inheritance proceedings regarding Ivana Rosales’s passing. […].</w:t>
            </w:r>
          </w:p>
        </w:tc>
        <w:tc>
          <w:tcPr>
            <w:tcW w:w="1710" w:type="dxa"/>
            <w:shd w:val="clear" w:color="auto" w:fill="auto"/>
            <w:vAlign w:val="center"/>
          </w:tcPr>
          <w:p w14:paraId="742F9054"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42AA9C8E" w14:textId="77777777">
        <w:trPr>
          <w:trHeight w:val="440"/>
          <w:jc w:val="center"/>
        </w:trPr>
        <w:tc>
          <w:tcPr>
            <w:tcW w:w="534" w:type="dxa"/>
            <w:shd w:val="clear" w:color="auto" w:fill="auto"/>
            <w:vAlign w:val="center"/>
          </w:tcPr>
          <w:p w14:paraId="0274BFCE"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53EEEF3E"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105CFA37"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auto"/>
            <w:vAlign w:val="center"/>
          </w:tcPr>
          <w:p w14:paraId="59F7CE8B"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Clause IV. Measures for the reparation of material and non-material damage: 1. Provision of a home to Abril Rosales:</w:t>
            </w:r>
            <w:r w:rsidRPr="00C57C0F">
              <w:rPr>
                <w:rFonts w:ascii="Cambria" w:hAnsi="Cambria"/>
                <w:sz w:val="18"/>
                <w:szCs w:val="18"/>
              </w:rPr>
              <w:t xml:space="preserve"> The Province of Neuquén will hand over possession and bare ownership to petitioner Abril Rosales of a house from the “90 Housing” Plan (Case File 7442-000529/2016), free of charge, appraised at US$73,000 (seventy-three thousand US dollars), according to the selling exchange rate of Banco Nación as of June 26, 2019. […].</w:t>
            </w:r>
          </w:p>
        </w:tc>
        <w:tc>
          <w:tcPr>
            <w:tcW w:w="1710" w:type="dxa"/>
            <w:shd w:val="clear" w:color="auto" w:fill="auto"/>
            <w:vAlign w:val="center"/>
          </w:tcPr>
          <w:p w14:paraId="12BB9E0A"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44294316" w14:textId="77777777">
        <w:trPr>
          <w:trHeight w:val="1250"/>
          <w:jc w:val="center"/>
        </w:trPr>
        <w:tc>
          <w:tcPr>
            <w:tcW w:w="534" w:type="dxa"/>
            <w:shd w:val="clear" w:color="auto" w:fill="auto"/>
            <w:vAlign w:val="center"/>
          </w:tcPr>
          <w:p w14:paraId="2644D2E6"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395B76D4"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04EA827A"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auto"/>
            <w:vAlign w:val="center"/>
          </w:tcPr>
          <w:p w14:paraId="339C4588"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Clause IV. Measures for the reparation of material and non-material damage: 2. Economic compensation:</w:t>
            </w:r>
            <w:r w:rsidRPr="00C57C0F">
              <w:rPr>
                <w:rFonts w:ascii="Cambria" w:hAnsi="Cambria"/>
                <w:sz w:val="18"/>
                <w:szCs w:val="18"/>
              </w:rPr>
              <w:t xml:space="preserve"> […] Consequently, the Government of the Province of Neuquén commits to paying the victim, Abril Eve Rosales, a total and sole sum for pecuniary and non-pecuniary damage of US$10,000.00 (ten thousand dollars) within</w:t>
            </w:r>
            <w:r w:rsidRPr="00C57C0F">
              <w:rPr>
                <w:rFonts w:ascii="Cambria" w:hAnsi="Cambria"/>
                <w:b/>
                <w:bCs/>
                <w:sz w:val="18"/>
                <w:szCs w:val="18"/>
              </w:rPr>
              <w:t xml:space="preserve"> </w:t>
            </w:r>
            <w:r w:rsidRPr="00C57C0F">
              <w:rPr>
                <w:rFonts w:ascii="Cambria" w:hAnsi="Cambria"/>
                <w:sz w:val="18"/>
                <w:szCs w:val="18"/>
              </w:rPr>
              <w:t>one year of the issuance of the provincial decree. […].</w:t>
            </w:r>
          </w:p>
        </w:tc>
        <w:tc>
          <w:tcPr>
            <w:tcW w:w="1710" w:type="dxa"/>
            <w:shd w:val="clear" w:color="auto" w:fill="auto"/>
            <w:vAlign w:val="center"/>
          </w:tcPr>
          <w:p w14:paraId="0D2449A0"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18198B79" w14:textId="77777777">
        <w:trPr>
          <w:trHeight w:val="504"/>
          <w:jc w:val="center"/>
        </w:trPr>
        <w:tc>
          <w:tcPr>
            <w:tcW w:w="534" w:type="dxa"/>
            <w:shd w:val="clear" w:color="auto" w:fill="auto"/>
            <w:vAlign w:val="center"/>
          </w:tcPr>
          <w:p w14:paraId="7DFF7329"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4BF1F9BC"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1D06754B"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auto"/>
            <w:vAlign w:val="center"/>
          </w:tcPr>
          <w:p w14:paraId="1BCE897A" w14:textId="77777777" w:rsidR="007704F4" w:rsidRPr="00C57C0F" w:rsidRDefault="007704F4">
            <w:pPr>
              <w:jc w:val="both"/>
              <w:rPr>
                <w:rFonts w:ascii="Cambria" w:hAnsi="Cambria"/>
                <w:b/>
                <w:bCs/>
                <w:sz w:val="18"/>
                <w:szCs w:val="18"/>
              </w:rPr>
            </w:pPr>
            <w:r w:rsidRPr="00C57C0F">
              <w:rPr>
                <w:rFonts w:ascii="Cambria" w:hAnsi="Cambria"/>
                <w:b/>
                <w:bCs/>
                <w:sz w:val="18"/>
                <w:szCs w:val="18"/>
              </w:rPr>
              <w:t>Clause IV. Measures for the reparation of material and non-material damage: 3. Costs and Expenses:</w:t>
            </w:r>
            <w:r w:rsidRPr="00C57C0F">
              <w:rPr>
                <w:rFonts w:ascii="Cambria" w:hAnsi="Cambria"/>
                <w:sz w:val="18"/>
                <w:szCs w:val="18"/>
              </w:rPr>
              <w:t xml:space="preserve">  The Province of Neuquén shall assume the payment of the costs of the petitioner's attorneys (CELS) in the amount of two thousand five hundred US dollars (USD 2,500.00). […].</w:t>
            </w:r>
          </w:p>
        </w:tc>
        <w:tc>
          <w:tcPr>
            <w:tcW w:w="1710" w:type="dxa"/>
            <w:shd w:val="clear" w:color="auto" w:fill="auto"/>
            <w:vAlign w:val="center"/>
          </w:tcPr>
          <w:p w14:paraId="5D7CCEE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362DEFAF" w14:textId="77777777">
        <w:trPr>
          <w:trHeight w:val="504"/>
          <w:jc w:val="center"/>
        </w:trPr>
        <w:tc>
          <w:tcPr>
            <w:tcW w:w="534" w:type="dxa"/>
            <w:shd w:val="clear" w:color="auto" w:fill="auto"/>
            <w:vAlign w:val="center"/>
          </w:tcPr>
          <w:p w14:paraId="27084C7E"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046B45B5"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225DF29E"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09316447" w14:textId="77777777" w:rsidR="007704F4" w:rsidRPr="00C57C0F" w:rsidRDefault="007704F4">
            <w:pPr>
              <w:jc w:val="both"/>
              <w:rPr>
                <w:rFonts w:ascii="Cambria" w:hAnsi="Cambria"/>
                <w:sz w:val="18"/>
                <w:szCs w:val="18"/>
              </w:rPr>
            </w:pPr>
            <w:r w:rsidRPr="00C57C0F">
              <w:rPr>
                <w:rFonts w:ascii="Cambria" w:hAnsi="Cambria"/>
                <w:b/>
                <w:bCs/>
                <w:sz w:val="18"/>
                <w:szCs w:val="18"/>
              </w:rPr>
              <w:t xml:space="preserve">Clause V Publicity. 1. Dissemination of the film “Ella se lo buscó.” </w:t>
            </w:r>
            <w:r w:rsidRPr="00C57C0F">
              <w:rPr>
                <w:rFonts w:ascii="Cambria" w:hAnsi="Cambria"/>
                <w:sz w:val="18"/>
                <w:szCs w:val="18"/>
              </w:rPr>
              <w:t>The Government of the Province of Neuquén is committed to disseminating the film “Ella se lo buscó” (She asked for it) in educational institutions, for which purpose it has acquired five hundred copies of the film.</w:t>
            </w:r>
          </w:p>
        </w:tc>
        <w:tc>
          <w:tcPr>
            <w:tcW w:w="1710" w:type="dxa"/>
            <w:shd w:val="clear" w:color="auto" w:fill="auto"/>
            <w:vAlign w:val="center"/>
          </w:tcPr>
          <w:p w14:paraId="46E0B935"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381C28C4" w14:textId="77777777">
        <w:trPr>
          <w:trHeight w:val="504"/>
          <w:jc w:val="center"/>
        </w:trPr>
        <w:tc>
          <w:tcPr>
            <w:tcW w:w="534" w:type="dxa"/>
            <w:shd w:val="clear" w:color="auto" w:fill="auto"/>
            <w:vAlign w:val="center"/>
          </w:tcPr>
          <w:p w14:paraId="1B50E6B7"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09AFC1AA"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36A55FAA"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0153CC7C" w14:textId="77777777" w:rsidR="007704F4" w:rsidRPr="00C57C0F" w:rsidRDefault="007704F4">
            <w:pPr>
              <w:jc w:val="both"/>
              <w:rPr>
                <w:rFonts w:ascii="Cambria" w:hAnsi="Cambria"/>
                <w:b/>
                <w:bCs/>
                <w:sz w:val="18"/>
                <w:szCs w:val="18"/>
              </w:rPr>
            </w:pPr>
            <w:r w:rsidRPr="00C57C0F">
              <w:rPr>
                <w:rFonts w:ascii="Cambria" w:hAnsi="Cambria"/>
                <w:b/>
                <w:bCs/>
                <w:sz w:val="18"/>
                <w:szCs w:val="18"/>
              </w:rPr>
              <w:t xml:space="preserve">Clause III.1.1. Public act in acknowledgment of international responsibility: </w:t>
            </w:r>
            <w:r w:rsidRPr="00C57C0F">
              <w:rPr>
                <w:rFonts w:ascii="Cambria" w:hAnsi="Cambria"/>
                <w:sz w:val="18"/>
                <w:szCs w:val="18"/>
              </w:rPr>
              <w:t>Within a maximum period of six months from the signing of this Agreement, the Argentine State undertakes to carry out a public act in which, among other actions, the text of the acknowledgment of responsibility assumed in the present case will be read. […]</w:t>
            </w:r>
            <w:r w:rsidRPr="00C57C0F">
              <w:rPr>
                <w:rFonts w:ascii="Cambria" w:eastAsia="Times New Roman" w:hAnsi="Cambria"/>
                <w:sz w:val="18"/>
                <w:szCs w:val="18"/>
              </w:rPr>
              <w:t>The event will be filmed, and its images may form part of the training activities on gender-based violence to be carried out under this agreement.</w:t>
            </w:r>
          </w:p>
        </w:tc>
        <w:tc>
          <w:tcPr>
            <w:tcW w:w="1710" w:type="dxa"/>
            <w:shd w:val="clear" w:color="auto" w:fill="auto"/>
            <w:vAlign w:val="center"/>
          </w:tcPr>
          <w:p w14:paraId="06D86EB7"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24F197A8" w14:textId="77777777">
        <w:trPr>
          <w:trHeight w:val="504"/>
          <w:jc w:val="center"/>
        </w:trPr>
        <w:tc>
          <w:tcPr>
            <w:tcW w:w="534" w:type="dxa"/>
            <w:shd w:val="clear" w:color="auto" w:fill="auto"/>
            <w:vAlign w:val="center"/>
          </w:tcPr>
          <w:p w14:paraId="2B54B4B8"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6BA5B9FA"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4FDCA26E"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5E50447B" w14:textId="77777777" w:rsidR="007704F4" w:rsidRPr="00C57C0F" w:rsidRDefault="007704F4">
            <w:pPr>
              <w:jc w:val="both"/>
              <w:rPr>
                <w:rFonts w:ascii="Cambria" w:hAnsi="Cambria"/>
                <w:b/>
                <w:bCs/>
                <w:sz w:val="18"/>
                <w:szCs w:val="18"/>
              </w:rPr>
            </w:pPr>
            <w:r w:rsidRPr="00C57C0F">
              <w:rPr>
                <w:rFonts w:ascii="Cambria" w:hAnsi="Cambria"/>
                <w:b/>
                <w:bCs/>
                <w:sz w:val="18"/>
                <w:szCs w:val="18"/>
              </w:rPr>
              <w:t>Clause III.1.2. Publicity of the Friendly Settlement Agreement:</w:t>
            </w:r>
            <w:r w:rsidRPr="00C57C0F">
              <w:rPr>
                <w:rFonts w:ascii="Cambria" w:hAnsi="Cambria"/>
                <w:sz w:val="18"/>
                <w:szCs w:val="18"/>
              </w:rPr>
              <w:t xml:space="preserve"> The Argentine State commits to publicize this agreement within a maximum period of six months from its signature. […].</w:t>
            </w:r>
          </w:p>
        </w:tc>
        <w:tc>
          <w:tcPr>
            <w:tcW w:w="1710" w:type="dxa"/>
            <w:shd w:val="clear" w:color="auto" w:fill="auto"/>
            <w:vAlign w:val="center"/>
          </w:tcPr>
          <w:p w14:paraId="485FF973"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1C3A8C8E" w14:textId="77777777">
        <w:trPr>
          <w:trHeight w:val="504"/>
          <w:jc w:val="center"/>
        </w:trPr>
        <w:tc>
          <w:tcPr>
            <w:tcW w:w="534" w:type="dxa"/>
            <w:shd w:val="clear" w:color="auto" w:fill="auto"/>
            <w:vAlign w:val="center"/>
          </w:tcPr>
          <w:p w14:paraId="6353CA91"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208F01E8"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2948E3F8"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6C5E6DE5" w14:textId="77777777" w:rsidR="007704F4" w:rsidRPr="00C57C0F" w:rsidRDefault="007704F4">
            <w:pPr>
              <w:jc w:val="both"/>
              <w:rPr>
                <w:rFonts w:ascii="Cambria" w:hAnsi="Cambria"/>
                <w:b/>
                <w:bCs/>
                <w:sz w:val="18"/>
                <w:szCs w:val="18"/>
              </w:rPr>
            </w:pPr>
            <w:r w:rsidRPr="00C57C0F">
              <w:rPr>
                <w:rFonts w:ascii="Cambria" w:hAnsi="Cambria"/>
                <w:b/>
                <w:bCs/>
                <w:sz w:val="18"/>
                <w:szCs w:val="18"/>
              </w:rPr>
              <w:t xml:space="preserve">Clause III.2.2. National Program for the Prevention of Gender-Based Violence: </w:t>
            </w:r>
            <w:r w:rsidRPr="00C57C0F">
              <w:rPr>
                <w:rFonts w:ascii="Cambria" w:hAnsi="Cambria"/>
                <w:sz w:val="18"/>
                <w:szCs w:val="18"/>
              </w:rPr>
              <w:t>The Argentine State commits to continue to implement the National Program for the Prevention of Gender-Based Violence, under the Ministry of Women, Gender, and Diversity of the Nation (MMGyD).</w:t>
            </w:r>
            <w:r w:rsidRPr="00C57C0F">
              <w:rPr>
                <w:rFonts w:ascii="Cambria" w:hAnsi="Cambria"/>
                <w:b/>
                <w:bCs/>
                <w:sz w:val="18"/>
                <w:szCs w:val="18"/>
              </w:rPr>
              <w:t xml:space="preserve"> </w:t>
            </w:r>
            <w:r w:rsidRPr="00C57C0F">
              <w:rPr>
                <w:rFonts w:ascii="Cambria" w:hAnsi="Cambria"/>
                <w:sz w:val="18"/>
                <w:szCs w:val="18"/>
              </w:rPr>
              <w:t>[…].</w:t>
            </w:r>
          </w:p>
        </w:tc>
        <w:tc>
          <w:tcPr>
            <w:tcW w:w="1710" w:type="dxa"/>
            <w:shd w:val="clear" w:color="auto" w:fill="auto"/>
            <w:vAlign w:val="center"/>
          </w:tcPr>
          <w:p w14:paraId="7DAACAFF"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3488CED1" w14:textId="77777777">
        <w:trPr>
          <w:trHeight w:val="504"/>
          <w:jc w:val="center"/>
        </w:trPr>
        <w:tc>
          <w:tcPr>
            <w:tcW w:w="534" w:type="dxa"/>
            <w:shd w:val="clear" w:color="auto" w:fill="auto"/>
            <w:vAlign w:val="center"/>
          </w:tcPr>
          <w:p w14:paraId="0D2ED711"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58FD527C"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09523871"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324BEEEA" w14:textId="77777777" w:rsidR="007704F4" w:rsidRPr="00C57C0F" w:rsidRDefault="007704F4">
            <w:pPr>
              <w:jc w:val="both"/>
              <w:rPr>
                <w:rFonts w:ascii="Cambria" w:hAnsi="Cambria"/>
                <w:b/>
                <w:bCs/>
                <w:sz w:val="18"/>
                <w:szCs w:val="18"/>
              </w:rPr>
            </w:pPr>
            <w:r w:rsidRPr="00C57C0F">
              <w:rPr>
                <w:rFonts w:ascii="Cambria" w:hAnsi="Cambria"/>
                <w:b/>
                <w:bCs/>
                <w:sz w:val="18"/>
                <w:szCs w:val="18"/>
              </w:rPr>
              <w:t xml:space="preserve">Clause III.2.3. Promotion and training within the framework of Law 27,499 (“Micaela’s Law”): </w:t>
            </w:r>
            <w:r w:rsidRPr="00C57C0F">
              <w:rPr>
                <w:rFonts w:ascii="Cambria" w:hAnsi="Cambria"/>
                <w:sz w:val="18"/>
                <w:szCs w:val="18"/>
              </w:rPr>
              <w:t>The Argentine State, through the MMGyD, commits to adopt all the measures that are within its competence to continue with the effective implementation of the Law on Compulsory Training on Gender and Violence against Women ¿(known as “Michaela’s Law”).</w:t>
            </w:r>
          </w:p>
        </w:tc>
        <w:tc>
          <w:tcPr>
            <w:tcW w:w="1710" w:type="dxa"/>
            <w:shd w:val="clear" w:color="auto" w:fill="auto"/>
            <w:vAlign w:val="center"/>
          </w:tcPr>
          <w:p w14:paraId="261952C3"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4B2E626D" w14:textId="77777777">
        <w:trPr>
          <w:trHeight w:val="504"/>
          <w:jc w:val="center"/>
        </w:trPr>
        <w:tc>
          <w:tcPr>
            <w:tcW w:w="534" w:type="dxa"/>
            <w:shd w:val="clear" w:color="auto" w:fill="auto"/>
            <w:vAlign w:val="center"/>
          </w:tcPr>
          <w:p w14:paraId="7F7308CE"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7B25C1B7"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7285857C"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075ED791" w14:textId="77777777" w:rsidR="007704F4" w:rsidRPr="00C57C0F" w:rsidRDefault="007704F4">
            <w:pPr>
              <w:jc w:val="both"/>
              <w:rPr>
                <w:rFonts w:ascii="Cambria" w:hAnsi="Cambria"/>
                <w:b/>
                <w:bCs/>
                <w:sz w:val="18"/>
                <w:szCs w:val="18"/>
              </w:rPr>
            </w:pPr>
            <w:r w:rsidRPr="00C57C0F">
              <w:rPr>
                <w:rFonts w:ascii="Cambria" w:hAnsi="Cambria"/>
                <w:b/>
                <w:bCs/>
                <w:sz w:val="18"/>
                <w:szCs w:val="18"/>
              </w:rPr>
              <w:t xml:space="preserve">Clause III.2.4. Implementation and dissemination of the Program of Support for People at Risk of Gender-Based Violence (“Acompañar”): </w:t>
            </w:r>
            <w:r w:rsidRPr="00C57C0F">
              <w:rPr>
                <w:rFonts w:ascii="Cambria" w:hAnsi="Cambria"/>
                <w:sz w:val="18"/>
                <w:szCs w:val="18"/>
              </w:rPr>
              <w:t>the Argentine State, through the MMGyD, commits to ensuring the implementation and dissemination of the Program of Support for People at Risk of Gender-Based Violence (“Acompañar”), of national scope. […].</w:t>
            </w:r>
          </w:p>
        </w:tc>
        <w:tc>
          <w:tcPr>
            <w:tcW w:w="1710" w:type="dxa"/>
            <w:shd w:val="clear" w:color="auto" w:fill="auto"/>
            <w:vAlign w:val="center"/>
          </w:tcPr>
          <w:p w14:paraId="5C809058"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132F4F3A" w14:textId="77777777">
        <w:trPr>
          <w:trHeight w:val="504"/>
          <w:jc w:val="center"/>
        </w:trPr>
        <w:tc>
          <w:tcPr>
            <w:tcW w:w="534" w:type="dxa"/>
            <w:shd w:val="clear" w:color="auto" w:fill="auto"/>
            <w:vAlign w:val="center"/>
          </w:tcPr>
          <w:p w14:paraId="4D82BD00"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2B9974D4"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3923BBF6"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2AEEA921" w14:textId="77777777" w:rsidR="007704F4" w:rsidRPr="00C57C0F" w:rsidRDefault="007704F4">
            <w:pPr>
              <w:ind w:right="-12"/>
              <w:jc w:val="both"/>
              <w:rPr>
                <w:rFonts w:ascii="Cambria" w:hAnsi="Cambria"/>
                <w:sz w:val="18"/>
                <w:szCs w:val="18"/>
              </w:rPr>
            </w:pPr>
            <w:r w:rsidRPr="00C57C0F">
              <w:rPr>
                <w:rFonts w:ascii="Cambria" w:hAnsi="Cambria"/>
                <w:b/>
                <w:bCs/>
                <w:sz w:val="18"/>
                <w:szCs w:val="18"/>
              </w:rPr>
              <w:t xml:space="preserve">Clause III.2.6. Implementation and Dissemination of the Program for Urgent Support and Immediate Comprehensive Assistance in Cases of Extreme Gender-based Violence </w:t>
            </w:r>
            <w:r w:rsidRPr="00C57C0F">
              <w:rPr>
                <w:rFonts w:ascii="Cambria" w:hAnsi="Cambria"/>
                <w:sz w:val="18"/>
                <w:szCs w:val="18"/>
              </w:rPr>
              <w:t>[…].</w:t>
            </w:r>
          </w:p>
        </w:tc>
        <w:tc>
          <w:tcPr>
            <w:tcW w:w="1710" w:type="dxa"/>
            <w:shd w:val="clear" w:color="auto" w:fill="auto"/>
            <w:vAlign w:val="center"/>
          </w:tcPr>
          <w:p w14:paraId="20DB2BE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33F205DF" w14:textId="77777777">
        <w:trPr>
          <w:trHeight w:val="350"/>
          <w:jc w:val="center"/>
        </w:trPr>
        <w:tc>
          <w:tcPr>
            <w:tcW w:w="534" w:type="dxa"/>
            <w:shd w:val="clear" w:color="auto" w:fill="auto"/>
            <w:vAlign w:val="center"/>
          </w:tcPr>
          <w:p w14:paraId="18FF1A8C"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0DAA225D"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52F4F16C"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19DE9973"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 xml:space="preserve">Clause III.2.7. Strengthening access to justice for people in situations of gender-based violence: </w:t>
            </w:r>
            <w:r w:rsidRPr="00C57C0F">
              <w:rPr>
                <w:rFonts w:ascii="Cambria" w:hAnsi="Cambria"/>
                <w:sz w:val="18"/>
                <w:szCs w:val="18"/>
              </w:rPr>
              <w:t>The Argentine State commits to taking the necessary measures to ensure access to justice for women and LGBTI+ persons in situations of gender-based violence. In particular, it will seek to strengthen the Attorney Corps for Victims of Gender-based Violence (CAAVVG) created by National Law 27,210, as well as the Acercar Derechos Program (PAD).</w:t>
            </w:r>
          </w:p>
        </w:tc>
        <w:tc>
          <w:tcPr>
            <w:tcW w:w="1710" w:type="dxa"/>
            <w:shd w:val="clear" w:color="auto" w:fill="auto"/>
            <w:vAlign w:val="center"/>
          </w:tcPr>
          <w:p w14:paraId="0BB182C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43969347" w14:textId="77777777">
        <w:trPr>
          <w:trHeight w:val="504"/>
          <w:jc w:val="center"/>
        </w:trPr>
        <w:tc>
          <w:tcPr>
            <w:tcW w:w="534" w:type="dxa"/>
            <w:shd w:val="clear" w:color="auto" w:fill="auto"/>
            <w:vAlign w:val="center"/>
          </w:tcPr>
          <w:p w14:paraId="66D81B18"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0B9454D1"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54869B62"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4B03E70D"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Clause III.2.9. Program to Strengthen Territorial Mechanisms of Comprehensive Protection for Persons Experiencing Gender-Based Violence</w:t>
            </w:r>
            <w:r w:rsidRPr="00C57C0F">
              <w:rPr>
                <w:rFonts w:ascii="Cambria" w:hAnsi="Cambria"/>
                <w:sz w:val="18"/>
                <w:szCs w:val="18"/>
              </w:rPr>
              <w:t>: The Argentine State, through the MMGyD, commits to guarantee the implementation of the Program to Strengthen Territorial Mechanisms of Comprehensive Protection for Persons Experiencing Gender-Based Violence, of national scope, which aims to consolidate the network of shelters, refuges, and mechanisms of protection by funding projects aimed at renovating, equipping, and expanding them. […] The State commits to actively disseminate the Program in the provincial and/or municipal territorial comprehensive protection mechanisms, as well as through the MMGyD’s Federal Council. […].</w:t>
            </w:r>
          </w:p>
        </w:tc>
        <w:tc>
          <w:tcPr>
            <w:tcW w:w="1710" w:type="dxa"/>
            <w:shd w:val="clear" w:color="auto" w:fill="auto"/>
            <w:vAlign w:val="center"/>
          </w:tcPr>
          <w:p w14:paraId="6FC3BF80"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15924281" w14:textId="77777777">
        <w:trPr>
          <w:trHeight w:val="504"/>
          <w:jc w:val="center"/>
        </w:trPr>
        <w:tc>
          <w:tcPr>
            <w:tcW w:w="534" w:type="dxa"/>
            <w:shd w:val="clear" w:color="auto" w:fill="auto"/>
            <w:vAlign w:val="center"/>
          </w:tcPr>
          <w:p w14:paraId="029CD55A"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55B186E8"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16914861"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5E927067"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 xml:space="preserve">Clause III.2.10 Production of strategic and systematized information regarding gender-based violence </w:t>
            </w:r>
            <w:r w:rsidRPr="00C57C0F">
              <w:rPr>
                <w:rFonts w:ascii="Cambria" w:hAnsi="Cambria"/>
                <w:sz w:val="18"/>
                <w:szCs w:val="18"/>
              </w:rPr>
              <w:t>[…].</w:t>
            </w:r>
          </w:p>
        </w:tc>
        <w:tc>
          <w:tcPr>
            <w:tcW w:w="1710" w:type="dxa"/>
            <w:shd w:val="clear" w:color="auto" w:fill="auto"/>
            <w:vAlign w:val="center"/>
          </w:tcPr>
          <w:p w14:paraId="32EEFDFB"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72546BD8" w14:textId="77777777">
        <w:trPr>
          <w:trHeight w:val="504"/>
          <w:jc w:val="center"/>
        </w:trPr>
        <w:tc>
          <w:tcPr>
            <w:tcW w:w="534" w:type="dxa"/>
            <w:shd w:val="clear" w:color="auto" w:fill="auto"/>
            <w:vAlign w:val="center"/>
          </w:tcPr>
          <w:p w14:paraId="270E0ACF"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auto"/>
            <w:vAlign w:val="center"/>
          </w:tcPr>
          <w:p w14:paraId="60C166A9" w14:textId="77777777" w:rsidR="007704F4" w:rsidRPr="00C57C0F" w:rsidRDefault="007704F4">
            <w:pPr>
              <w:ind w:right="-18"/>
              <w:contextualSpacing/>
              <w:rPr>
                <w:rFonts w:ascii="Cambria" w:hAnsi="Cambria" w:cs="Arial"/>
                <w:sz w:val="18"/>
                <w:szCs w:val="18"/>
              </w:rPr>
            </w:pPr>
          </w:p>
        </w:tc>
        <w:tc>
          <w:tcPr>
            <w:tcW w:w="1172" w:type="dxa"/>
            <w:shd w:val="clear" w:color="auto" w:fill="auto"/>
            <w:vAlign w:val="center"/>
          </w:tcPr>
          <w:p w14:paraId="768C5BD3"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auto"/>
            <w:vAlign w:val="center"/>
          </w:tcPr>
          <w:p w14:paraId="01ABA637"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 xml:space="preserve">Clause III.2.13. Drafting and dissemination of general guidelines for work on masculinities without violence: </w:t>
            </w:r>
            <w:r w:rsidRPr="00C57C0F">
              <w:rPr>
                <w:rFonts w:ascii="Cambria" w:hAnsi="Cambria"/>
                <w:sz w:val="18"/>
                <w:szCs w:val="18"/>
              </w:rPr>
              <w:t xml:space="preserve">The Argentine State undertakes to continue carrying out actions to prevent gender-based violence. </w:t>
            </w:r>
          </w:p>
        </w:tc>
        <w:tc>
          <w:tcPr>
            <w:tcW w:w="1710" w:type="dxa"/>
            <w:shd w:val="clear" w:color="auto" w:fill="auto"/>
            <w:vAlign w:val="center"/>
          </w:tcPr>
          <w:p w14:paraId="3114497F"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41C6EBB7" w14:textId="77777777">
        <w:trPr>
          <w:trHeight w:val="504"/>
          <w:jc w:val="center"/>
        </w:trPr>
        <w:tc>
          <w:tcPr>
            <w:tcW w:w="534" w:type="dxa"/>
            <w:shd w:val="clear" w:color="auto" w:fill="D9D9D9" w:themeFill="background1" w:themeFillShade="D9"/>
            <w:vAlign w:val="center"/>
          </w:tcPr>
          <w:p w14:paraId="2BBA4517"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D9D9D9" w:themeFill="background1" w:themeFillShade="D9"/>
            <w:vAlign w:val="center"/>
          </w:tcPr>
          <w:p w14:paraId="23F95481" w14:textId="77777777" w:rsidR="007704F4" w:rsidRPr="00C57C0F" w:rsidRDefault="007704F4">
            <w:pPr>
              <w:ind w:right="-18"/>
              <w:contextualSpacing/>
              <w:rPr>
                <w:rFonts w:ascii="Cambria" w:hAnsi="Cambria" w:cs="Arial"/>
                <w:sz w:val="18"/>
                <w:szCs w:val="18"/>
              </w:rPr>
            </w:pPr>
            <w:r w:rsidRPr="00C57C0F">
              <w:rPr>
                <w:rFonts w:ascii="Cambria" w:hAnsi="Cambria" w:cs="Arial"/>
                <w:sz w:val="18"/>
                <w:szCs w:val="18"/>
              </w:rPr>
              <w:t>Case 13.869, Report No. 350/22, Silvia Monica Severini</w:t>
            </w:r>
          </w:p>
        </w:tc>
        <w:tc>
          <w:tcPr>
            <w:tcW w:w="1172" w:type="dxa"/>
            <w:shd w:val="clear" w:color="auto" w:fill="D9D9D9" w:themeFill="background1" w:themeFillShade="D9"/>
            <w:vAlign w:val="center"/>
          </w:tcPr>
          <w:p w14:paraId="2F2BA7D7"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38D2A7D1"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 xml:space="preserve">Clause 2. </w:t>
            </w:r>
            <w:r w:rsidRPr="00C57C0F">
              <w:rPr>
                <w:rFonts w:ascii="Cambria" w:hAnsi="Cambria"/>
                <w:sz w:val="18"/>
                <w:szCs w:val="18"/>
              </w:rPr>
              <w:t>The Argentine State undertakes that, within three (3) months from the publication in the Official Gazette of the Argentine Republic of the executive decree approving this agreement, a ministerial resolution will be issued granting the reparation benefit provided for in Law No. 24,043, without any additional costs or expenses. The amount of the reparation will be calculated at the date of issuance of said ministerial resolution.</w:t>
            </w:r>
          </w:p>
        </w:tc>
        <w:tc>
          <w:tcPr>
            <w:tcW w:w="1710" w:type="dxa"/>
            <w:shd w:val="clear" w:color="auto" w:fill="D9D9D9" w:themeFill="background1" w:themeFillShade="D9"/>
            <w:vAlign w:val="center"/>
          </w:tcPr>
          <w:p w14:paraId="047CC60F"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21CCA5A2" w14:textId="77777777">
        <w:trPr>
          <w:trHeight w:val="504"/>
          <w:jc w:val="center"/>
        </w:trPr>
        <w:tc>
          <w:tcPr>
            <w:tcW w:w="534" w:type="dxa"/>
            <w:shd w:val="clear" w:color="auto" w:fill="auto"/>
            <w:vAlign w:val="center"/>
          </w:tcPr>
          <w:p w14:paraId="074DA326"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auto"/>
            <w:vAlign w:val="center"/>
          </w:tcPr>
          <w:p w14:paraId="4878B036" w14:textId="77777777" w:rsidR="007704F4" w:rsidRPr="00C57C0F" w:rsidRDefault="007704F4">
            <w:pPr>
              <w:ind w:right="-18"/>
              <w:contextualSpacing/>
              <w:rPr>
                <w:rFonts w:ascii="Cambria" w:hAnsi="Cambria" w:cs="Arial"/>
                <w:sz w:val="18"/>
                <w:szCs w:val="18"/>
              </w:rPr>
            </w:pPr>
            <w:r w:rsidRPr="00C57C0F">
              <w:rPr>
                <w:rFonts w:ascii="Cambria" w:hAnsi="Cambria" w:cs="Arial"/>
                <w:sz w:val="18"/>
                <w:szCs w:val="18"/>
              </w:rPr>
              <w:t xml:space="preserve">Case 14.669, Report No. 350/22, </w:t>
            </w:r>
            <w:r w:rsidRPr="00C57C0F">
              <w:rPr>
                <w:rFonts w:ascii="Cambria" w:hAnsi="Cambria" w:cs="Arial"/>
                <w:sz w:val="18"/>
                <w:szCs w:val="18"/>
              </w:rPr>
              <w:lastRenderedPageBreak/>
              <w:t>Mariano Bejarano</w:t>
            </w:r>
          </w:p>
        </w:tc>
        <w:tc>
          <w:tcPr>
            <w:tcW w:w="1172" w:type="dxa"/>
            <w:shd w:val="clear" w:color="auto" w:fill="auto"/>
            <w:vAlign w:val="center"/>
          </w:tcPr>
          <w:p w14:paraId="590CE56D" w14:textId="77777777" w:rsidR="007704F4" w:rsidRPr="00C57C0F" w:rsidRDefault="007704F4">
            <w:pPr>
              <w:ind w:right="-18"/>
              <w:jc w:val="center"/>
              <w:rPr>
                <w:rFonts w:ascii="Cambria" w:hAnsi="Cambria"/>
                <w:sz w:val="18"/>
                <w:szCs w:val="18"/>
              </w:rPr>
            </w:pPr>
            <w:r w:rsidRPr="00C57C0F">
              <w:rPr>
                <w:rFonts w:ascii="Cambria" w:hAnsi="Cambria"/>
                <w:sz w:val="18"/>
                <w:szCs w:val="18"/>
              </w:rPr>
              <w:lastRenderedPageBreak/>
              <w:t>Individual</w:t>
            </w:r>
          </w:p>
        </w:tc>
        <w:tc>
          <w:tcPr>
            <w:tcW w:w="5313" w:type="dxa"/>
            <w:gridSpan w:val="3"/>
            <w:shd w:val="clear" w:color="auto" w:fill="auto"/>
            <w:vAlign w:val="center"/>
          </w:tcPr>
          <w:p w14:paraId="5ECA7052" w14:textId="77777777" w:rsidR="007704F4" w:rsidRPr="00C57C0F" w:rsidRDefault="007704F4">
            <w:pPr>
              <w:ind w:right="-12"/>
              <w:jc w:val="both"/>
              <w:rPr>
                <w:rFonts w:ascii="Cambria" w:hAnsi="Cambria"/>
                <w:b/>
                <w:bCs/>
                <w:sz w:val="18"/>
                <w:szCs w:val="18"/>
              </w:rPr>
            </w:pPr>
            <w:r w:rsidRPr="00C57C0F">
              <w:rPr>
                <w:rFonts w:ascii="Cambria" w:hAnsi="Cambria"/>
                <w:b/>
                <w:bCs/>
                <w:sz w:val="18"/>
                <w:szCs w:val="18"/>
              </w:rPr>
              <w:t xml:space="preserve">Clause 2. </w:t>
            </w:r>
            <w:r w:rsidRPr="00C57C0F">
              <w:rPr>
                <w:rFonts w:ascii="Cambria" w:hAnsi="Cambria"/>
                <w:sz w:val="18"/>
                <w:szCs w:val="18"/>
              </w:rPr>
              <w:t xml:space="preserve">The Argentine State undertakes that, within three (3) months from the publication in the Official Gazette of the Argentine Republic of the executive decree approving this agreement, a ministerial resolution will be issued granting the reparation benefit </w:t>
            </w:r>
            <w:r w:rsidRPr="00C57C0F">
              <w:rPr>
                <w:rFonts w:ascii="Cambria" w:hAnsi="Cambria"/>
                <w:sz w:val="18"/>
                <w:szCs w:val="18"/>
              </w:rPr>
              <w:lastRenderedPageBreak/>
              <w:t>provided for in Law No. 24,043, without any additional costs or expenses. The amount of the reparation will be calculated at the date of issuance of said ministerial resolution</w:t>
            </w:r>
            <w:r w:rsidRPr="00C57C0F">
              <w:rPr>
                <w:rFonts w:ascii="Cambria" w:hAnsi="Cambria"/>
                <w:b/>
                <w:bCs/>
                <w:sz w:val="18"/>
                <w:szCs w:val="18"/>
              </w:rPr>
              <w:t>.</w:t>
            </w:r>
          </w:p>
        </w:tc>
        <w:tc>
          <w:tcPr>
            <w:tcW w:w="1710" w:type="dxa"/>
            <w:shd w:val="clear" w:color="auto" w:fill="FFFFFF" w:themeFill="background1"/>
            <w:vAlign w:val="center"/>
          </w:tcPr>
          <w:p w14:paraId="1743DEF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lastRenderedPageBreak/>
              <w:t>Total 2022</w:t>
            </w:r>
          </w:p>
        </w:tc>
      </w:tr>
      <w:tr w:rsidR="007704F4" w:rsidRPr="00C57C0F" w14:paraId="108E3801" w14:textId="77777777">
        <w:trPr>
          <w:jc w:val="center"/>
        </w:trPr>
        <w:tc>
          <w:tcPr>
            <w:tcW w:w="9988" w:type="dxa"/>
            <w:gridSpan w:val="7"/>
            <w:shd w:val="clear" w:color="auto" w:fill="92D050"/>
            <w:vAlign w:val="center"/>
          </w:tcPr>
          <w:p w14:paraId="42FB08C6" w14:textId="77777777" w:rsidR="007704F4" w:rsidRPr="00C57C0F" w:rsidRDefault="007704F4">
            <w:pPr>
              <w:ind w:right="-18"/>
              <w:jc w:val="center"/>
              <w:rPr>
                <w:rFonts w:ascii="Cambria" w:eastAsia="MS Mincho" w:hAnsi="Cambria" w:cs="Arial"/>
                <w:b/>
                <w:sz w:val="18"/>
                <w:szCs w:val="18"/>
                <w:u w:val="single"/>
                <w:lang w:eastAsia="es-ES_tradnl"/>
              </w:rPr>
            </w:pPr>
            <w:r w:rsidRPr="00C57C0F">
              <w:rPr>
                <w:rFonts w:ascii="Cambria" w:eastAsia="MS Mincho" w:hAnsi="Cambria" w:cs="Arial"/>
                <w:b/>
                <w:sz w:val="18"/>
                <w:szCs w:val="18"/>
                <w:u w:val="single"/>
                <w:lang w:eastAsia="es-ES_tradnl"/>
              </w:rPr>
              <w:t>Argentina:</w:t>
            </w:r>
          </w:p>
          <w:p w14:paraId="338C745D" w14:textId="77777777" w:rsidR="007704F4" w:rsidRPr="00C57C0F" w:rsidRDefault="007704F4">
            <w:pPr>
              <w:ind w:right="-18"/>
              <w:jc w:val="center"/>
              <w:rPr>
                <w:rFonts w:ascii="Cambria" w:eastAsia="MS Mincho" w:hAnsi="Cambria" w:cs="Arial"/>
                <w:b/>
                <w:sz w:val="18"/>
                <w:szCs w:val="18"/>
                <w:lang w:eastAsia="es-ES_tradnl"/>
              </w:rPr>
            </w:pPr>
            <w:r w:rsidRPr="00C57C0F">
              <w:rPr>
                <w:rStyle w:val="normaltextrun"/>
                <w:rFonts w:ascii="Cambria" w:hAnsi="Cambria"/>
                <w:b/>
                <w:color w:val="000000"/>
                <w:sz w:val="18"/>
                <w:szCs w:val="18"/>
                <w:bdr w:val="none" w:sz="0" w:space="0" w:color="auto" w:frame="1"/>
              </w:rPr>
              <w:t>Number of measures where progress was achieved</w:t>
            </w:r>
            <w:r w:rsidRPr="00C57C0F">
              <w:rPr>
                <w:rFonts w:ascii="Cambria" w:eastAsia="MS Mincho" w:hAnsi="Cambria" w:cs="Arial"/>
                <w:b/>
                <w:sz w:val="18"/>
                <w:szCs w:val="18"/>
                <w:lang w:eastAsia="es-ES_tradnl"/>
              </w:rPr>
              <w:t>: 30 (10 individual, 20 structural)</w:t>
            </w:r>
          </w:p>
          <w:p w14:paraId="2E58E4DC"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compliance: 15</w:t>
            </w:r>
          </w:p>
          <w:p w14:paraId="235093EE"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1</w:t>
            </w:r>
          </w:p>
          <w:p w14:paraId="6547DA4A"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compliance: 14</w:t>
            </w:r>
          </w:p>
        </w:tc>
      </w:tr>
      <w:tr w:rsidR="007704F4" w:rsidRPr="00C57C0F" w14:paraId="470CE82D" w14:textId="77777777">
        <w:trPr>
          <w:jc w:val="center"/>
        </w:trPr>
        <w:tc>
          <w:tcPr>
            <w:tcW w:w="534" w:type="dxa"/>
            <w:shd w:val="clear" w:color="auto" w:fill="92D050"/>
            <w:vAlign w:val="center"/>
          </w:tcPr>
          <w:p w14:paraId="3B074027" w14:textId="77777777" w:rsidR="007704F4" w:rsidRPr="00C57C0F" w:rsidRDefault="007704F4">
            <w:pPr>
              <w:ind w:right="-18"/>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 xml:space="preserve"> No.</w:t>
            </w:r>
          </w:p>
        </w:tc>
        <w:tc>
          <w:tcPr>
            <w:tcW w:w="1259" w:type="dxa"/>
            <w:shd w:val="clear" w:color="auto" w:fill="92D050"/>
            <w:vAlign w:val="center"/>
          </w:tcPr>
          <w:p w14:paraId="2034DE14"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Matter</w:t>
            </w:r>
          </w:p>
        </w:tc>
        <w:tc>
          <w:tcPr>
            <w:tcW w:w="1172" w:type="dxa"/>
            <w:shd w:val="clear" w:color="auto" w:fill="92D050"/>
            <w:vAlign w:val="center"/>
          </w:tcPr>
          <w:p w14:paraId="27386ACD"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Impact</w:t>
            </w:r>
          </w:p>
        </w:tc>
        <w:tc>
          <w:tcPr>
            <w:tcW w:w="5313" w:type="dxa"/>
            <w:gridSpan w:val="3"/>
            <w:shd w:val="clear" w:color="auto" w:fill="92D050"/>
            <w:vAlign w:val="center"/>
          </w:tcPr>
          <w:p w14:paraId="3A660387"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Clause or measure</w:t>
            </w:r>
          </w:p>
        </w:tc>
        <w:tc>
          <w:tcPr>
            <w:tcW w:w="1710" w:type="dxa"/>
            <w:shd w:val="clear" w:color="auto" w:fill="92D050"/>
            <w:vAlign w:val="center"/>
          </w:tcPr>
          <w:p w14:paraId="76A22FB3"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Level of compliance achieved</w:t>
            </w:r>
          </w:p>
        </w:tc>
      </w:tr>
      <w:tr w:rsidR="007704F4" w:rsidRPr="00C57C0F" w14:paraId="451D813A" w14:textId="77777777">
        <w:trPr>
          <w:trHeight w:val="495"/>
          <w:jc w:val="center"/>
        </w:trPr>
        <w:tc>
          <w:tcPr>
            <w:tcW w:w="9988" w:type="dxa"/>
            <w:gridSpan w:val="7"/>
            <w:shd w:val="clear" w:color="auto" w:fill="17365D"/>
            <w:vAlign w:val="center"/>
          </w:tcPr>
          <w:p w14:paraId="5533F3D1"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BRAZIL</w:t>
            </w:r>
          </w:p>
        </w:tc>
      </w:tr>
      <w:tr w:rsidR="007704F4" w:rsidRPr="00C57C0F" w14:paraId="61B4A4F5" w14:textId="77777777">
        <w:trPr>
          <w:trHeight w:val="495"/>
          <w:jc w:val="center"/>
        </w:trPr>
        <w:tc>
          <w:tcPr>
            <w:tcW w:w="534" w:type="dxa"/>
            <w:shd w:val="clear" w:color="auto" w:fill="D9D9D9" w:themeFill="background1" w:themeFillShade="D9"/>
            <w:vAlign w:val="center"/>
          </w:tcPr>
          <w:p w14:paraId="17F361EB"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D9D9D9" w:themeFill="background1" w:themeFillShade="D9"/>
            <w:vAlign w:val="center"/>
          </w:tcPr>
          <w:p w14:paraId="6F0031A9" w14:textId="77777777" w:rsidR="007704F4" w:rsidRPr="00352AC9" w:rsidRDefault="007704F4">
            <w:pPr>
              <w:ind w:right="-18"/>
              <w:contextualSpacing/>
              <w:rPr>
                <w:rFonts w:ascii="Cambria" w:eastAsia="MS Mincho" w:hAnsi="Cambria" w:cs="Arial"/>
                <w:sz w:val="18"/>
                <w:szCs w:val="18"/>
                <w:lang w:val="pt-BR"/>
              </w:rPr>
            </w:pPr>
            <w:r w:rsidRPr="00352AC9">
              <w:rPr>
                <w:rFonts w:ascii="Cambria" w:hAnsi="Cambria" w:cs="Arial"/>
                <w:sz w:val="18"/>
                <w:szCs w:val="18"/>
                <w:lang w:val="pt-BR" w:eastAsia="es-ES_tradnl"/>
              </w:rPr>
              <w:t>Case 11.289, Report No. 95/03, José Pereira</w:t>
            </w:r>
          </w:p>
        </w:tc>
        <w:tc>
          <w:tcPr>
            <w:tcW w:w="1172" w:type="dxa"/>
            <w:shd w:val="clear" w:color="auto" w:fill="D9D9D9" w:themeFill="background1" w:themeFillShade="D9"/>
            <w:vAlign w:val="center"/>
          </w:tcPr>
          <w:p w14:paraId="757E108F"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D9D9D9" w:themeFill="background1" w:themeFillShade="D9"/>
            <w:vAlign w:val="center"/>
          </w:tcPr>
          <w:p w14:paraId="004E3B02" w14:textId="77777777" w:rsidR="007704F4" w:rsidRPr="00C57C0F" w:rsidRDefault="007704F4">
            <w:pPr>
              <w:jc w:val="both"/>
              <w:rPr>
                <w:rFonts w:ascii="Cambria" w:eastAsia="MS Mincho" w:hAnsi="Cambria" w:cs="Arial"/>
                <w:sz w:val="18"/>
                <w:szCs w:val="18"/>
                <w:lang w:eastAsia="es-ES_tradnl"/>
              </w:rPr>
            </w:pPr>
            <w:r w:rsidRPr="00C57C0F">
              <w:rPr>
                <w:rFonts w:ascii="Cambria" w:eastAsia="Times New Roman" w:hAnsi="Cambria"/>
                <w:b/>
                <w:bCs/>
                <w:color w:val="000000"/>
                <w:sz w:val="18"/>
                <w:szCs w:val="18"/>
                <w:lang w:eastAsia="es-ES"/>
              </w:rPr>
              <w:t>Clause 15.</w:t>
            </w:r>
            <w:r w:rsidRPr="00C57C0F">
              <w:rPr>
                <w:rFonts w:ascii="Cambria" w:eastAsia="Times New Roman" w:hAnsi="Cambria"/>
                <w:color w:val="000000"/>
                <w:sz w:val="18"/>
                <w:szCs w:val="18"/>
                <w:lang w:eastAsia="es-ES"/>
              </w:rPr>
              <w:t> The Brazilian State undertakes to strengthen gradually the Division of Repression of Slave Labor and Security of Dignitaries (STESD), established under the Department of the Federal Police by means of administrative ruling (Portaria)-MJ No. 1,016, of September 4, 2002, so as to give the Division adequate funds and human resources for the proper performance of the functions of the Federal Police in the actions to investigate reports of slave labor.</w:t>
            </w:r>
          </w:p>
        </w:tc>
        <w:tc>
          <w:tcPr>
            <w:tcW w:w="1710" w:type="dxa"/>
            <w:shd w:val="clear" w:color="auto" w:fill="D9D9D9" w:themeFill="background1" w:themeFillShade="D9"/>
            <w:vAlign w:val="center"/>
          </w:tcPr>
          <w:p w14:paraId="543A7558"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933F91" w14:paraId="10C3EA68" w14:textId="77777777">
        <w:trPr>
          <w:jc w:val="center"/>
        </w:trPr>
        <w:tc>
          <w:tcPr>
            <w:tcW w:w="9988" w:type="dxa"/>
            <w:gridSpan w:val="7"/>
            <w:shd w:val="clear" w:color="auto" w:fill="92D050"/>
            <w:vAlign w:val="center"/>
          </w:tcPr>
          <w:p w14:paraId="6A293A1F" w14:textId="77777777" w:rsidR="007704F4" w:rsidRPr="00C57C0F" w:rsidRDefault="007704F4">
            <w:pPr>
              <w:ind w:right="-18"/>
              <w:jc w:val="center"/>
              <w:rPr>
                <w:rFonts w:ascii="Cambria" w:eastAsia="MS Mincho" w:hAnsi="Cambria" w:cs="Arial"/>
                <w:b/>
                <w:sz w:val="18"/>
                <w:szCs w:val="18"/>
                <w:u w:val="single"/>
                <w:lang w:eastAsia="es-ES_tradnl"/>
              </w:rPr>
            </w:pPr>
            <w:r w:rsidRPr="00C57C0F">
              <w:rPr>
                <w:rFonts w:ascii="Cambria" w:eastAsia="MS Mincho" w:hAnsi="Cambria" w:cs="Arial"/>
                <w:b/>
                <w:sz w:val="18"/>
                <w:szCs w:val="18"/>
                <w:u w:val="single"/>
                <w:lang w:eastAsia="es-ES_tradnl"/>
              </w:rPr>
              <w:t>Brazil:</w:t>
            </w:r>
          </w:p>
          <w:p w14:paraId="4AA79F69" w14:textId="77777777" w:rsidR="007704F4" w:rsidRPr="00C57C0F" w:rsidRDefault="007704F4">
            <w:pPr>
              <w:ind w:right="-18"/>
              <w:jc w:val="center"/>
              <w:rPr>
                <w:rFonts w:ascii="Cambria" w:eastAsia="MS Mincho" w:hAnsi="Cambria" w:cs="Arial"/>
                <w:b/>
                <w:sz w:val="18"/>
                <w:szCs w:val="18"/>
                <w:lang w:eastAsia="es-ES_tradnl"/>
              </w:rPr>
            </w:pPr>
            <w:r w:rsidRPr="00C57C0F">
              <w:rPr>
                <w:rStyle w:val="normaltextrun"/>
                <w:rFonts w:ascii="Cambria" w:hAnsi="Cambria"/>
                <w:b/>
                <w:color w:val="000000"/>
                <w:sz w:val="18"/>
                <w:szCs w:val="18"/>
                <w:bdr w:val="none" w:sz="0" w:space="0" w:color="auto" w:frame="1"/>
              </w:rPr>
              <w:t>Number of measures where progress was achieved</w:t>
            </w:r>
            <w:r w:rsidRPr="00C57C0F">
              <w:rPr>
                <w:rFonts w:ascii="Cambria" w:eastAsia="MS Mincho" w:hAnsi="Cambria" w:cs="Arial"/>
                <w:b/>
                <w:sz w:val="18"/>
                <w:szCs w:val="18"/>
                <w:lang w:eastAsia="es-ES_tradnl"/>
              </w:rPr>
              <w:t>: 1(Structural)</w:t>
            </w:r>
          </w:p>
          <w:p w14:paraId="1B9B6B6B" w14:textId="77777777" w:rsidR="007704F4" w:rsidRPr="00352AC9" w:rsidRDefault="007704F4">
            <w:pPr>
              <w:ind w:right="-18"/>
              <w:jc w:val="center"/>
              <w:rPr>
                <w:rFonts w:ascii="Cambria" w:eastAsia="MS Mincho" w:hAnsi="Cambria" w:cs="Arial"/>
                <w:b/>
                <w:sz w:val="18"/>
                <w:szCs w:val="18"/>
                <w:lang w:val="pt-BR" w:eastAsia="es-ES_tradnl"/>
              </w:rPr>
            </w:pPr>
            <w:r w:rsidRPr="00352AC9">
              <w:rPr>
                <w:rFonts w:ascii="Cambria" w:eastAsia="MS Mincho" w:hAnsi="Cambria" w:cs="Arial"/>
                <w:b/>
                <w:sz w:val="18"/>
                <w:szCs w:val="18"/>
                <w:lang w:val="pt-BR" w:eastAsia="es-ES_tradnl"/>
              </w:rPr>
              <w:t>Total compliance: 1</w:t>
            </w:r>
          </w:p>
          <w:p w14:paraId="3474AD68" w14:textId="77777777" w:rsidR="007704F4" w:rsidRPr="00352AC9" w:rsidRDefault="007704F4">
            <w:pPr>
              <w:ind w:right="-18"/>
              <w:jc w:val="center"/>
              <w:rPr>
                <w:rFonts w:ascii="Cambria" w:eastAsia="MS Mincho" w:hAnsi="Cambria" w:cs="Arial"/>
                <w:b/>
                <w:sz w:val="18"/>
                <w:szCs w:val="18"/>
                <w:lang w:val="pt-BR" w:eastAsia="es-ES_tradnl"/>
              </w:rPr>
            </w:pPr>
            <w:r w:rsidRPr="00352AC9">
              <w:rPr>
                <w:rFonts w:ascii="Cambria" w:eastAsia="MS Mincho" w:hAnsi="Cambria" w:cs="Arial"/>
                <w:b/>
                <w:sz w:val="18"/>
                <w:szCs w:val="18"/>
                <w:lang w:val="pt-BR" w:eastAsia="es-ES_tradnl"/>
              </w:rPr>
              <w:t>Partial substantial: N/A</w:t>
            </w:r>
          </w:p>
          <w:p w14:paraId="7B2D37D5" w14:textId="77777777" w:rsidR="007704F4" w:rsidRPr="00352AC9" w:rsidRDefault="007704F4">
            <w:pPr>
              <w:ind w:right="-18"/>
              <w:jc w:val="center"/>
              <w:rPr>
                <w:rFonts w:ascii="Cambria" w:eastAsia="MS Mincho" w:hAnsi="Cambria" w:cs="Arial"/>
                <w:b/>
                <w:sz w:val="18"/>
                <w:szCs w:val="18"/>
                <w:lang w:val="pt-BR" w:eastAsia="es-ES_tradnl"/>
              </w:rPr>
            </w:pPr>
            <w:r w:rsidRPr="00352AC9">
              <w:rPr>
                <w:rFonts w:ascii="Cambria" w:eastAsia="MS Mincho" w:hAnsi="Cambria" w:cs="Arial"/>
                <w:b/>
                <w:sz w:val="18"/>
                <w:szCs w:val="18"/>
                <w:lang w:val="pt-BR" w:eastAsia="es-ES_tradnl"/>
              </w:rPr>
              <w:t>Partial compliance: N/A</w:t>
            </w:r>
          </w:p>
        </w:tc>
      </w:tr>
      <w:tr w:rsidR="007704F4" w:rsidRPr="00C57C0F" w14:paraId="17A56A7D" w14:textId="77777777">
        <w:trPr>
          <w:jc w:val="center"/>
        </w:trPr>
        <w:tc>
          <w:tcPr>
            <w:tcW w:w="534" w:type="dxa"/>
            <w:shd w:val="clear" w:color="auto" w:fill="92D050"/>
            <w:vAlign w:val="center"/>
          </w:tcPr>
          <w:p w14:paraId="47044D5B" w14:textId="77777777" w:rsidR="007704F4" w:rsidRPr="00C57C0F" w:rsidRDefault="007704F4">
            <w:pPr>
              <w:ind w:right="-18"/>
              <w:rPr>
                <w:rFonts w:ascii="Cambria" w:eastAsia="MS Mincho" w:hAnsi="Cambria" w:cs="Arial"/>
                <w:b/>
                <w:sz w:val="18"/>
                <w:szCs w:val="18"/>
                <w:lang w:eastAsia="es-ES_tradnl"/>
              </w:rPr>
            </w:pPr>
            <w:r w:rsidRPr="00352AC9">
              <w:rPr>
                <w:rFonts w:ascii="Cambria" w:eastAsia="MS Mincho" w:hAnsi="Cambria" w:cs="Arial"/>
                <w:b/>
                <w:sz w:val="18"/>
                <w:szCs w:val="18"/>
                <w:lang w:val="pt-BR" w:eastAsia="es-ES_tradnl"/>
              </w:rPr>
              <w:t xml:space="preserve"> </w:t>
            </w:r>
            <w:r w:rsidRPr="00C57C0F">
              <w:rPr>
                <w:rFonts w:ascii="Cambria" w:eastAsia="MS Mincho" w:hAnsi="Cambria" w:cs="Arial"/>
                <w:b/>
                <w:sz w:val="18"/>
                <w:szCs w:val="18"/>
                <w:lang w:eastAsia="es-ES_tradnl"/>
              </w:rPr>
              <w:t>No.</w:t>
            </w:r>
          </w:p>
        </w:tc>
        <w:tc>
          <w:tcPr>
            <w:tcW w:w="1259" w:type="dxa"/>
            <w:shd w:val="clear" w:color="auto" w:fill="92D050"/>
            <w:vAlign w:val="center"/>
          </w:tcPr>
          <w:p w14:paraId="0B187108"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Matter</w:t>
            </w:r>
          </w:p>
        </w:tc>
        <w:tc>
          <w:tcPr>
            <w:tcW w:w="1172" w:type="dxa"/>
            <w:shd w:val="clear" w:color="auto" w:fill="92D050"/>
            <w:vAlign w:val="center"/>
          </w:tcPr>
          <w:p w14:paraId="43B4F2A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Impact</w:t>
            </w:r>
          </w:p>
        </w:tc>
        <w:tc>
          <w:tcPr>
            <w:tcW w:w="5313" w:type="dxa"/>
            <w:gridSpan w:val="3"/>
            <w:shd w:val="clear" w:color="auto" w:fill="92D050"/>
            <w:vAlign w:val="center"/>
          </w:tcPr>
          <w:p w14:paraId="0FCD099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Clause or measure</w:t>
            </w:r>
          </w:p>
        </w:tc>
        <w:tc>
          <w:tcPr>
            <w:tcW w:w="1710" w:type="dxa"/>
            <w:shd w:val="clear" w:color="auto" w:fill="92D050"/>
            <w:vAlign w:val="center"/>
          </w:tcPr>
          <w:p w14:paraId="47F4DBEA"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Level of compliance achieved</w:t>
            </w:r>
          </w:p>
        </w:tc>
      </w:tr>
      <w:tr w:rsidR="007704F4" w:rsidRPr="00C57C0F" w14:paraId="693AA1AA" w14:textId="77777777">
        <w:trPr>
          <w:trHeight w:val="495"/>
          <w:jc w:val="center"/>
        </w:trPr>
        <w:tc>
          <w:tcPr>
            <w:tcW w:w="9988" w:type="dxa"/>
            <w:gridSpan w:val="7"/>
            <w:shd w:val="clear" w:color="auto" w:fill="17365D"/>
            <w:vAlign w:val="center"/>
          </w:tcPr>
          <w:p w14:paraId="3FF30604"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CHILE</w:t>
            </w:r>
          </w:p>
        </w:tc>
      </w:tr>
      <w:tr w:rsidR="007704F4" w:rsidRPr="00C57C0F" w14:paraId="0CF87958" w14:textId="77777777">
        <w:trPr>
          <w:trHeight w:val="504"/>
          <w:jc w:val="center"/>
        </w:trPr>
        <w:tc>
          <w:tcPr>
            <w:tcW w:w="534" w:type="dxa"/>
            <w:shd w:val="clear" w:color="auto" w:fill="FFFFFF" w:themeFill="background1"/>
            <w:vAlign w:val="center"/>
          </w:tcPr>
          <w:p w14:paraId="0958EB46"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FFFFFF" w:themeFill="background1"/>
            <w:vAlign w:val="center"/>
          </w:tcPr>
          <w:p w14:paraId="3346A137" w14:textId="77777777" w:rsidR="007704F4" w:rsidRPr="00C57C0F" w:rsidRDefault="007704F4">
            <w:pPr>
              <w:ind w:right="-18"/>
              <w:contextualSpacing/>
              <w:rPr>
                <w:rFonts w:ascii="Cambria" w:eastAsia="MS Mincho" w:hAnsi="Cambria" w:cs="Arial"/>
                <w:sz w:val="18"/>
                <w:szCs w:val="18"/>
              </w:rPr>
            </w:pPr>
            <w:r w:rsidRPr="00C57C0F">
              <w:rPr>
                <w:rFonts w:ascii="Cambria" w:hAnsi="Cambria" w:cs="Arial"/>
                <w:sz w:val="18"/>
                <w:szCs w:val="18"/>
              </w:rPr>
              <w:t>Petition 4617/02, Report No. 30/04, Mercedes Julia Huenteao Beroiza et all. (Chile)</w:t>
            </w:r>
          </w:p>
        </w:tc>
        <w:tc>
          <w:tcPr>
            <w:tcW w:w="1172" w:type="dxa"/>
            <w:shd w:val="clear" w:color="auto" w:fill="FFFFFF" w:themeFill="background1"/>
            <w:vAlign w:val="center"/>
          </w:tcPr>
          <w:p w14:paraId="37A38B14"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181B5EC7" w14:textId="77777777" w:rsidR="007704F4" w:rsidRPr="00C57C0F" w:rsidRDefault="007704F4">
            <w:pPr>
              <w:jc w:val="both"/>
              <w:rPr>
                <w:rFonts w:ascii="Cambria" w:eastAsia="MS Mincho" w:hAnsi="Cambria" w:cs="Arial"/>
                <w:sz w:val="18"/>
                <w:szCs w:val="18"/>
                <w:lang w:eastAsia="es-ES_tradnl"/>
              </w:rPr>
            </w:pPr>
            <w:r w:rsidRPr="00C57C0F">
              <w:rPr>
                <w:rFonts w:ascii="Cambria" w:eastAsia="Times New Roman" w:hAnsi="Cambria"/>
                <w:b/>
                <w:bCs/>
                <w:color w:val="000000"/>
                <w:sz w:val="18"/>
                <w:szCs w:val="18"/>
                <w:lang w:eastAsia="es-ES"/>
              </w:rPr>
              <w:t>Clause</w:t>
            </w:r>
            <w:r w:rsidRPr="00C57C0F">
              <w:rPr>
                <w:rFonts w:ascii="Cambria" w:eastAsia="MS Mincho" w:hAnsi="Cambria" w:cs="Arial"/>
                <w:b/>
                <w:bCs/>
                <w:sz w:val="18"/>
                <w:szCs w:val="18"/>
                <w:lang w:eastAsia="es-ES_tradnl"/>
              </w:rPr>
              <w:t xml:space="preserve"> 3. d)</w:t>
            </w:r>
            <w:r w:rsidRPr="00C57C0F">
              <w:rPr>
                <w:rFonts w:ascii="Cambria" w:eastAsia="MS Mincho" w:hAnsi="Cambria" w:cs="Arial"/>
                <w:sz w:val="18"/>
                <w:szCs w:val="18"/>
                <w:lang w:eastAsia="es-ES_tradnl"/>
              </w:rPr>
              <w:t xml:space="preserve">  Agree on binding mechanisms for all state organs to prevent the construction of future megaprojects, in particular hydroelectric projects, on indigenous lands in the Upper Bío Bío.</w:t>
            </w:r>
          </w:p>
        </w:tc>
        <w:tc>
          <w:tcPr>
            <w:tcW w:w="1710" w:type="dxa"/>
            <w:shd w:val="clear" w:color="auto" w:fill="FFFFFF" w:themeFill="background1"/>
            <w:vAlign w:val="center"/>
          </w:tcPr>
          <w:p w14:paraId="6D0FA9F8"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190F5F3A" w14:textId="77777777">
        <w:trPr>
          <w:trHeight w:val="504"/>
          <w:jc w:val="center"/>
        </w:trPr>
        <w:tc>
          <w:tcPr>
            <w:tcW w:w="534" w:type="dxa"/>
            <w:shd w:val="clear" w:color="auto" w:fill="FFFFFF" w:themeFill="background1"/>
            <w:vAlign w:val="center"/>
          </w:tcPr>
          <w:p w14:paraId="3353EE53"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35EAB953" w14:textId="77777777" w:rsidR="007704F4" w:rsidRPr="00C57C0F" w:rsidRDefault="007704F4">
            <w:pPr>
              <w:ind w:right="-18"/>
              <w:contextualSpacing/>
              <w:rPr>
                <w:rFonts w:ascii="Cambria" w:hAnsi="Cambria" w:cs="Arial"/>
                <w:sz w:val="18"/>
                <w:szCs w:val="18"/>
              </w:rPr>
            </w:pPr>
          </w:p>
        </w:tc>
        <w:tc>
          <w:tcPr>
            <w:tcW w:w="1172" w:type="dxa"/>
            <w:shd w:val="clear" w:color="auto" w:fill="FFFFFF" w:themeFill="background1"/>
            <w:vAlign w:val="center"/>
          </w:tcPr>
          <w:p w14:paraId="08D47075"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58EB0109" w14:textId="77777777" w:rsidR="007704F4" w:rsidRPr="00C57C0F" w:rsidRDefault="007704F4">
            <w:pPr>
              <w:jc w:val="both"/>
              <w:rPr>
                <w:rFonts w:ascii="Cambria" w:eastAsia="Times New Roman" w:hAnsi="Cambria"/>
                <w:b/>
                <w:bCs/>
                <w:color w:val="000000"/>
                <w:sz w:val="18"/>
                <w:szCs w:val="18"/>
                <w:lang w:eastAsia="es-ES"/>
              </w:rPr>
            </w:pPr>
            <w:r w:rsidRPr="00C57C0F">
              <w:rPr>
                <w:rFonts w:ascii="Cambria" w:eastAsia="Times New Roman" w:hAnsi="Cambria"/>
                <w:b/>
                <w:bCs/>
                <w:color w:val="000000"/>
                <w:sz w:val="18"/>
                <w:szCs w:val="18"/>
                <w:lang w:eastAsia="es-ES"/>
              </w:rPr>
              <w:t xml:space="preserve">Clause 5. </w:t>
            </w:r>
            <w:r w:rsidRPr="00C57C0F">
              <w:rPr>
                <w:rFonts w:ascii="Cambria" w:eastAsia="Times New Roman" w:hAnsi="Cambria"/>
                <w:color w:val="000000"/>
                <w:sz w:val="18"/>
                <w:szCs w:val="18"/>
                <w:lang w:eastAsia="es-ES"/>
              </w:rPr>
              <w:t>Measures to satisfy the particular demands of the Mapuche Pehuenche families affected.</w:t>
            </w:r>
          </w:p>
        </w:tc>
        <w:tc>
          <w:tcPr>
            <w:tcW w:w="1710" w:type="dxa"/>
            <w:shd w:val="clear" w:color="auto" w:fill="FFFFFF" w:themeFill="background1"/>
            <w:vAlign w:val="center"/>
          </w:tcPr>
          <w:p w14:paraId="4A938984"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2022</w:t>
            </w:r>
          </w:p>
        </w:tc>
      </w:tr>
      <w:tr w:rsidR="007704F4" w:rsidRPr="00C57C0F" w14:paraId="3E20328C" w14:textId="77777777">
        <w:trPr>
          <w:trHeight w:val="495"/>
          <w:jc w:val="center"/>
        </w:trPr>
        <w:tc>
          <w:tcPr>
            <w:tcW w:w="534" w:type="dxa"/>
            <w:shd w:val="clear" w:color="auto" w:fill="D9D9D9" w:themeFill="background1" w:themeFillShade="D9"/>
            <w:vAlign w:val="center"/>
          </w:tcPr>
          <w:p w14:paraId="7DC4F87A"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D9D9D9" w:themeFill="background1" w:themeFillShade="D9"/>
            <w:vAlign w:val="center"/>
          </w:tcPr>
          <w:p w14:paraId="087D5A4F" w14:textId="77777777" w:rsidR="007704F4" w:rsidRPr="00C57C0F" w:rsidRDefault="007704F4">
            <w:pPr>
              <w:ind w:right="-18"/>
              <w:contextualSpacing/>
              <w:rPr>
                <w:rFonts w:ascii="Cambria" w:eastAsia="MS Mincho" w:hAnsi="Cambria" w:cs="Arial"/>
                <w:sz w:val="18"/>
                <w:szCs w:val="18"/>
              </w:rPr>
            </w:pPr>
            <w:r w:rsidRPr="00C57C0F">
              <w:rPr>
                <w:rFonts w:ascii="Cambria" w:hAnsi="Cambria"/>
                <w:sz w:val="18"/>
                <w:szCs w:val="18"/>
              </w:rPr>
              <w:t>Petition 687-11, Report No. 138/19,</w:t>
            </w:r>
            <w:r w:rsidRPr="00C57C0F">
              <w:rPr>
                <w:rFonts w:ascii="Cambria" w:eastAsia="Times New Roman" w:hAnsi="Cambria" w:cs="Tahoma"/>
                <w:color w:val="333333"/>
                <w:sz w:val="18"/>
                <w:szCs w:val="18"/>
                <w:shd w:val="clear" w:color="auto" w:fill="FFFFFF"/>
              </w:rPr>
              <w:t xml:space="preserve"> </w:t>
            </w:r>
            <w:r w:rsidRPr="00C57C0F">
              <w:rPr>
                <w:rFonts w:ascii="Cambria" w:hAnsi="Cambria"/>
                <w:sz w:val="18"/>
                <w:szCs w:val="18"/>
              </w:rPr>
              <w:t xml:space="preserve">Gabriela Blas Blas </w:t>
            </w:r>
            <w:r w:rsidRPr="00C57C0F">
              <w:rPr>
                <w:rFonts w:ascii="Cambria" w:hAnsi="Cambria"/>
                <w:color w:val="000000"/>
                <w:sz w:val="18"/>
                <w:szCs w:val="18"/>
              </w:rPr>
              <w:t xml:space="preserve">and Daughter </w:t>
            </w:r>
            <w:r w:rsidRPr="00C57C0F">
              <w:rPr>
                <w:rFonts w:ascii="Cambria" w:hAnsi="Cambria"/>
                <w:sz w:val="18"/>
                <w:szCs w:val="18"/>
              </w:rPr>
              <w:t>C.B.B.</w:t>
            </w:r>
          </w:p>
        </w:tc>
        <w:tc>
          <w:tcPr>
            <w:tcW w:w="1172" w:type="dxa"/>
            <w:shd w:val="clear" w:color="auto" w:fill="D9D9D9" w:themeFill="background1" w:themeFillShade="D9"/>
            <w:vAlign w:val="center"/>
          </w:tcPr>
          <w:p w14:paraId="4BFE3116"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71ADEF28" w14:textId="77777777" w:rsidR="007704F4" w:rsidRPr="00C57C0F" w:rsidRDefault="007704F4">
            <w:pPr>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2. Elimination of Gabriela Blas Blas’s criminal record. </w:t>
            </w:r>
            <w:r w:rsidRPr="00C57C0F">
              <w:rPr>
                <w:rFonts w:ascii="Cambria" w:eastAsia="MS Mincho" w:hAnsi="Cambria" w:cs="Arial"/>
                <w:sz w:val="18"/>
                <w:szCs w:val="18"/>
                <w:lang w:eastAsia="es-ES_tradnl"/>
              </w:rPr>
              <w:t>b) Once the homologation of this Friendly Settlement Agreement by the Commission is obtained, the Civil Registry and Identification Service shall proceed to expunge Mrs. Gabriela Blas Blas’s criminal record within no more than six months. […].</w:t>
            </w:r>
          </w:p>
        </w:tc>
        <w:tc>
          <w:tcPr>
            <w:tcW w:w="1710" w:type="dxa"/>
            <w:shd w:val="clear" w:color="auto" w:fill="D9D9D9" w:themeFill="background1" w:themeFillShade="D9"/>
            <w:vAlign w:val="center"/>
          </w:tcPr>
          <w:p w14:paraId="38BCCD63"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3CFA48B8" w14:textId="77777777">
        <w:trPr>
          <w:trHeight w:val="504"/>
          <w:jc w:val="center"/>
        </w:trPr>
        <w:tc>
          <w:tcPr>
            <w:tcW w:w="534" w:type="dxa"/>
            <w:shd w:val="clear" w:color="auto" w:fill="D9D9D9" w:themeFill="background1" w:themeFillShade="D9"/>
            <w:vAlign w:val="center"/>
          </w:tcPr>
          <w:p w14:paraId="743FE7B1"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D9D9D9" w:themeFill="background1" w:themeFillShade="D9"/>
            <w:vAlign w:val="center"/>
          </w:tcPr>
          <w:p w14:paraId="52A87267"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D9D9D9" w:themeFill="background1" w:themeFillShade="D9"/>
            <w:vAlign w:val="center"/>
          </w:tcPr>
          <w:p w14:paraId="2339B20F"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D9D9D9" w:themeFill="background1" w:themeFillShade="D9"/>
            <w:vAlign w:val="center"/>
          </w:tcPr>
          <w:p w14:paraId="7770BEB7" w14:textId="77777777" w:rsidR="007704F4" w:rsidRPr="00C57C0F" w:rsidRDefault="007704F4">
            <w:pPr>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Clause 6. Guarantees of non-repetition</w:t>
            </w:r>
            <w:r w:rsidRPr="00C57C0F">
              <w:rPr>
                <w:rFonts w:ascii="Cambria" w:eastAsia="MS Mincho" w:hAnsi="Cambria" w:cs="Arial"/>
                <w:sz w:val="18"/>
                <w:szCs w:val="18"/>
                <w:lang w:eastAsia="es-ES_tradnl"/>
              </w:rPr>
              <w:t>. To establish, in the second half of 2016, together with the petitioners, a working group coordinated by the Ministry of Justice and Human Rights to develop a proposal for the formulation of indications for the Law Project that modifies the current Law No. 19.620, which dictates rules on the adoption of minors, with the aim of incorporating the principle of interculturality in the adoption processes. […].</w:t>
            </w:r>
          </w:p>
        </w:tc>
        <w:tc>
          <w:tcPr>
            <w:tcW w:w="1710" w:type="dxa"/>
            <w:shd w:val="clear" w:color="auto" w:fill="D9D9D9" w:themeFill="background1" w:themeFillShade="D9"/>
            <w:vAlign w:val="center"/>
          </w:tcPr>
          <w:p w14:paraId="3B51677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2022</w:t>
            </w:r>
          </w:p>
        </w:tc>
      </w:tr>
      <w:tr w:rsidR="007704F4" w:rsidRPr="00C57C0F" w14:paraId="38680473" w14:textId="77777777">
        <w:trPr>
          <w:jc w:val="center"/>
        </w:trPr>
        <w:tc>
          <w:tcPr>
            <w:tcW w:w="9988" w:type="dxa"/>
            <w:gridSpan w:val="7"/>
            <w:shd w:val="clear" w:color="auto" w:fill="92D050"/>
            <w:vAlign w:val="center"/>
          </w:tcPr>
          <w:p w14:paraId="68C49F8C" w14:textId="77777777" w:rsidR="007704F4" w:rsidRPr="00C57C0F" w:rsidRDefault="007704F4">
            <w:pPr>
              <w:ind w:right="-18"/>
              <w:jc w:val="center"/>
              <w:rPr>
                <w:rFonts w:ascii="Cambria" w:eastAsia="MS Mincho" w:hAnsi="Cambria" w:cs="Arial"/>
                <w:b/>
                <w:sz w:val="18"/>
                <w:szCs w:val="18"/>
                <w:u w:val="single"/>
                <w:lang w:eastAsia="es-ES_tradnl"/>
              </w:rPr>
            </w:pPr>
            <w:r w:rsidRPr="00C57C0F">
              <w:rPr>
                <w:rFonts w:ascii="Cambria" w:eastAsia="MS Mincho" w:hAnsi="Cambria" w:cs="Arial"/>
                <w:b/>
                <w:sz w:val="18"/>
                <w:szCs w:val="18"/>
                <w:u w:val="single"/>
                <w:lang w:eastAsia="es-ES_tradnl"/>
              </w:rPr>
              <w:t>Chile:</w:t>
            </w:r>
          </w:p>
          <w:p w14:paraId="5A299C7E" w14:textId="77777777" w:rsidR="007704F4" w:rsidRPr="00C57C0F" w:rsidRDefault="007704F4">
            <w:pPr>
              <w:ind w:right="-18"/>
              <w:jc w:val="center"/>
              <w:rPr>
                <w:rFonts w:ascii="Cambria" w:eastAsia="MS Mincho" w:hAnsi="Cambria" w:cs="Arial"/>
                <w:b/>
                <w:sz w:val="18"/>
                <w:szCs w:val="18"/>
                <w:lang w:eastAsia="es-ES_tradnl"/>
              </w:rPr>
            </w:pPr>
            <w:r w:rsidRPr="00C57C0F">
              <w:rPr>
                <w:rStyle w:val="normaltextrun"/>
                <w:rFonts w:ascii="Cambria" w:hAnsi="Cambria"/>
                <w:b/>
                <w:color w:val="000000"/>
                <w:sz w:val="18"/>
                <w:szCs w:val="18"/>
                <w:bdr w:val="none" w:sz="0" w:space="0" w:color="auto" w:frame="1"/>
              </w:rPr>
              <w:t>Number of measures where progress was achieved</w:t>
            </w:r>
            <w:r w:rsidRPr="00C57C0F">
              <w:rPr>
                <w:rFonts w:ascii="Cambria" w:eastAsia="MS Mincho" w:hAnsi="Cambria" w:cs="Arial"/>
                <w:b/>
                <w:sz w:val="18"/>
                <w:szCs w:val="18"/>
                <w:lang w:eastAsia="es-ES_tradnl"/>
              </w:rPr>
              <w:t>: 4 (1 individual, 3 structural)</w:t>
            </w:r>
          </w:p>
          <w:p w14:paraId="0965776D"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compliance: 1</w:t>
            </w:r>
          </w:p>
          <w:p w14:paraId="14A3486C"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2</w:t>
            </w:r>
          </w:p>
          <w:p w14:paraId="571E171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compliance: 1</w:t>
            </w:r>
          </w:p>
        </w:tc>
      </w:tr>
      <w:tr w:rsidR="007704F4" w:rsidRPr="00C57C0F" w14:paraId="26CFACA6" w14:textId="77777777">
        <w:trPr>
          <w:jc w:val="center"/>
        </w:trPr>
        <w:tc>
          <w:tcPr>
            <w:tcW w:w="534" w:type="dxa"/>
            <w:shd w:val="clear" w:color="auto" w:fill="92D050"/>
            <w:vAlign w:val="center"/>
          </w:tcPr>
          <w:p w14:paraId="097F93BC" w14:textId="77777777" w:rsidR="007704F4" w:rsidRPr="00C57C0F" w:rsidRDefault="007704F4">
            <w:pPr>
              <w:ind w:right="-18"/>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lastRenderedPageBreak/>
              <w:t xml:space="preserve"> No.</w:t>
            </w:r>
          </w:p>
        </w:tc>
        <w:tc>
          <w:tcPr>
            <w:tcW w:w="1259" w:type="dxa"/>
            <w:shd w:val="clear" w:color="auto" w:fill="92D050"/>
            <w:vAlign w:val="center"/>
          </w:tcPr>
          <w:p w14:paraId="7E53529C"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Matter</w:t>
            </w:r>
          </w:p>
        </w:tc>
        <w:tc>
          <w:tcPr>
            <w:tcW w:w="1172" w:type="dxa"/>
            <w:shd w:val="clear" w:color="auto" w:fill="92D050"/>
            <w:vAlign w:val="center"/>
          </w:tcPr>
          <w:p w14:paraId="5D95172B"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Impact</w:t>
            </w:r>
          </w:p>
        </w:tc>
        <w:tc>
          <w:tcPr>
            <w:tcW w:w="5313" w:type="dxa"/>
            <w:gridSpan w:val="3"/>
            <w:shd w:val="clear" w:color="auto" w:fill="92D050"/>
            <w:vAlign w:val="center"/>
          </w:tcPr>
          <w:p w14:paraId="3BA6A70F"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Clause or measure</w:t>
            </w:r>
          </w:p>
        </w:tc>
        <w:tc>
          <w:tcPr>
            <w:tcW w:w="1710" w:type="dxa"/>
            <w:shd w:val="clear" w:color="auto" w:fill="92D050"/>
            <w:vAlign w:val="center"/>
          </w:tcPr>
          <w:p w14:paraId="0363CD8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Level of compliance achieved</w:t>
            </w:r>
          </w:p>
        </w:tc>
      </w:tr>
      <w:tr w:rsidR="007704F4" w:rsidRPr="00C57C0F" w14:paraId="2F2269FD" w14:textId="77777777">
        <w:trPr>
          <w:trHeight w:val="495"/>
          <w:jc w:val="center"/>
        </w:trPr>
        <w:tc>
          <w:tcPr>
            <w:tcW w:w="9988" w:type="dxa"/>
            <w:gridSpan w:val="7"/>
            <w:shd w:val="clear" w:color="auto" w:fill="17365D"/>
            <w:vAlign w:val="center"/>
          </w:tcPr>
          <w:p w14:paraId="081F2D88"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COLOMBIA</w:t>
            </w:r>
          </w:p>
        </w:tc>
      </w:tr>
      <w:tr w:rsidR="007704F4" w:rsidRPr="00C57C0F" w14:paraId="6DAA5B6E" w14:textId="77777777">
        <w:trPr>
          <w:trHeight w:val="495"/>
          <w:jc w:val="center"/>
        </w:trPr>
        <w:tc>
          <w:tcPr>
            <w:tcW w:w="534" w:type="dxa"/>
            <w:shd w:val="clear" w:color="auto" w:fill="FFFFFF" w:themeFill="background1"/>
            <w:vAlign w:val="center"/>
          </w:tcPr>
          <w:p w14:paraId="5648CF7F"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FFFFFF" w:themeFill="background1"/>
            <w:vAlign w:val="center"/>
          </w:tcPr>
          <w:p w14:paraId="424D2B01"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12.756, Report No. 10/15, El Aracatazzo Bar Massacre</w:t>
            </w:r>
          </w:p>
        </w:tc>
        <w:tc>
          <w:tcPr>
            <w:tcW w:w="1172" w:type="dxa"/>
            <w:shd w:val="clear" w:color="auto" w:fill="FFFFFF" w:themeFill="background1"/>
            <w:vAlign w:val="center"/>
          </w:tcPr>
          <w:p w14:paraId="2577A679"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7A3A3304" w14:textId="77777777" w:rsidR="007704F4" w:rsidRPr="00C57C0F" w:rsidRDefault="007704F4">
            <w:pPr>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SECOND. -  On the subject of justice. </w:t>
            </w:r>
            <w:r w:rsidRPr="00C57C0F">
              <w:rPr>
                <w:rFonts w:ascii="Cambria" w:eastAsia="MS Mincho" w:hAnsi="Cambria" w:cs="Arial"/>
                <w:sz w:val="18"/>
                <w:szCs w:val="18"/>
                <w:lang w:eastAsia="es-ES_tradnl"/>
              </w:rPr>
              <w:t>The parties recognize the progress made in the area of justice in the instant case. However, the State undertakes to continue to honor its obligation to investigate, try and punish those responsible for the crimes.</w:t>
            </w:r>
          </w:p>
        </w:tc>
        <w:tc>
          <w:tcPr>
            <w:tcW w:w="1710" w:type="dxa"/>
            <w:shd w:val="clear" w:color="auto" w:fill="FFFFFF" w:themeFill="background1"/>
            <w:vAlign w:val="center"/>
          </w:tcPr>
          <w:p w14:paraId="25C41019"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6BFD9A3A" w14:textId="77777777">
        <w:trPr>
          <w:trHeight w:val="495"/>
          <w:jc w:val="center"/>
        </w:trPr>
        <w:tc>
          <w:tcPr>
            <w:tcW w:w="534" w:type="dxa"/>
            <w:shd w:val="clear" w:color="auto" w:fill="D9D9D9" w:themeFill="background1" w:themeFillShade="D9"/>
            <w:vAlign w:val="center"/>
          </w:tcPr>
          <w:p w14:paraId="3B828EAF"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D9D9D9" w:themeFill="background1" w:themeFillShade="D9"/>
            <w:vAlign w:val="center"/>
          </w:tcPr>
          <w:p w14:paraId="1AA8B601"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Petition 108-00, Report No. 38/15, Segovia Massacre</w:t>
            </w:r>
          </w:p>
        </w:tc>
        <w:tc>
          <w:tcPr>
            <w:tcW w:w="1172" w:type="dxa"/>
            <w:shd w:val="clear" w:color="auto" w:fill="D9D9D9" w:themeFill="background1" w:themeFillShade="D9"/>
            <w:vAlign w:val="center"/>
          </w:tcPr>
          <w:p w14:paraId="555B0374"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1FA050BC" w14:textId="77777777" w:rsidR="007704F4" w:rsidRPr="00C57C0F" w:rsidRDefault="007704F4">
            <w:pPr>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SECOND. -  On the subject of justice. </w:t>
            </w:r>
            <w:r w:rsidRPr="00C57C0F">
              <w:rPr>
                <w:rFonts w:ascii="Cambria" w:eastAsia="MS Mincho" w:hAnsi="Cambria" w:cs="Arial"/>
                <w:sz w:val="18"/>
                <w:szCs w:val="18"/>
                <w:lang w:eastAsia="es-ES_tradnl"/>
              </w:rPr>
              <w:t>The parties recognize the progress made in the area of justice in the instant case. However, the State undertakes to continue to honor its obligation to investigate, try and punish those responsible for the crimes.</w:t>
            </w:r>
          </w:p>
        </w:tc>
        <w:tc>
          <w:tcPr>
            <w:tcW w:w="1710" w:type="dxa"/>
            <w:shd w:val="clear" w:color="auto" w:fill="D9D9D9" w:themeFill="background1" w:themeFillShade="D9"/>
            <w:vAlign w:val="center"/>
          </w:tcPr>
          <w:p w14:paraId="6445FCBC"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0BD0CD4A" w14:textId="77777777">
        <w:trPr>
          <w:trHeight w:val="495"/>
          <w:jc w:val="center"/>
        </w:trPr>
        <w:tc>
          <w:tcPr>
            <w:tcW w:w="534" w:type="dxa"/>
            <w:shd w:val="clear" w:color="auto" w:fill="D9D9D9" w:themeFill="background1" w:themeFillShade="D9"/>
            <w:vAlign w:val="center"/>
          </w:tcPr>
          <w:p w14:paraId="7B128C6B"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D9D9D9" w:themeFill="background1" w:themeFillShade="D9"/>
            <w:vAlign w:val="center"/>
          </w:tcPr>
          <w:p w14:paraId="11A1CDB3"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D9D9D9" w:themeFill="background1" w:themeFillShade="D9"/>
            <w:vAlign w:val="center"/>
          </w:tcPr>
          <w:p w14:paraId="075D0401"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D9D9D9" w:themeFill="background1" w:themeFillShade="D9"/>
            <w:vAlign w:val="center"/>
          </w:tcPr>
          <w:p w14:paraId="166F41C7" w14:textId="77777777" w:rsidR="007704F4" w:rsidRPr="00C57C0F" w:rsidRDefault="007704F4">
            <w:pPr>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w:t>
            </w:r>
            <w:r w:rsidRPr="00C57C0F">
              <w:rPr>
                <w:rFonts w:ascii="Cambria" w:hAnsi="Cambria"/>
                <w:b/>
                <w:color w:val="000000"/>
                <w:kern w:val="36"/>
                <w:sz w:val="18"/>
                <w:szCs w:val="18"/>
              </w:rPr>
              <w:t>THIRD</w:t>
            </w:r>
            <w:r w:rsidRPr="00C57C0F">
              <w:rPr>
                <w:rFonts w:ascii="Cambria" w:eastAsia="MS Mincho" w:hAnsi="Cambria" w:cs="Arial"/>
                <w:b/>
                <w:bCs/>
                <w:sz w:val="18"/>
                <w:szCs w:val="18"/>
                <w:lang w:eastAsia="es-ES_tradnl"/>
              </w:rPr>
              <w:t>. ii</w:t>
            </w:r>
            <w:r w:rsidRPr="00C57C0F">
              <w:rPr>
                <w:rFonts w:ascii="Cambria" w:eastAsia="MS Mincho" w:hAnsi="Cambria" w:cs="Arial"/>
                <w:sz w:val="18"/>
                <w:szCs w:val="18"/>
                <w:lang w:eastAsia="es-ES_tradnl"/>
              </w:rPr>
              <w:t>) Measures of symbolic reparation such as actions relating to the historic record or memory and commemorations that will be arranged by consensus with the victims and their representatives.</w:t>
            </w:r>
          </w:p>
        </w:tc>
        <w:tc>
          <w:tcPr>
            <w:tcW w:w="1710" w:type="dxa"/>
            <w:shd w:val="clear" w:color="auto" w:fill="D9D9D9" w:themeFill="background1" w:themeFillShade="D9"/>
            <w:vAlign w:val="center"/>
          </w:tcPr>
          <w:p w14:paraId="453B3799"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3A0A9B30" w14:textId="77777777">
        <w:trPr>
          <w:trHeight w:val="495"/>
          <w:jc w:val="center"/>
        </w:trPr>
        <w:tc>
          <w:tcPr>
            <w:tcW w:w="534" w:type="dxa"/>
            <w:shd w:val="clear" w:color="auto" w:fill="FFFFFF" w:themeFill="background1"/>
            <w:vAlign w:val="center"/>
          </w:tcPr>
          <w:p w14:paraId="64604827"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FFFFFF" w:themeFill="background1"/>
            <w:vAlign w:val="center"/>
          </w:tcPr>
          <w:p w14:paraId="5CBCE9D1"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Petition 577-06, Report No. 82/15, Gloria Gonzalez, and family</w:t>
            </w:r>
          </w:p>
        </w:tc>
        <w:tc>
          <w:tcPr>
            <w:tcW w:w="1172" w:type="dxa"/>
            <w:shd w:val="clear" w:color="auto" w:fill="FFFFFF" w:themeFill="background1"/>
            <w:vAlign w:val="center"/>
          </w:tcPr>
          <w:p w14:paraId="5662D51C"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28967960" w14:textId="77777777" w:rsidR="007704F4" w:rsidRPr="00C57C0F" w:rsidRDefault="007704F4">
            <w:pPr>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w:t>
            </w:r>
            <w:r w:rsidRPr="00C57C0F">
              <w:rPr>
                <w:rFonts w:ascii="Cambria" w:hAnsi="Cambria"/>
                <w:b/>
                <w:color w:val="000000"/>
                <w:kern w:val="36"/>
                <w:sz w:val="18"/>
                <w:szCs w:val="18"/>
              </w:rPr>
              <w:t>THIRD</w:t>
            </w:r>
            <w:r w:rsidRPr="00C57C0F">
              <w:rPr>
                <w:rFonts w:ascii="Cambria" w:eastAsia="MS Mincho" w:hAnsi="Cambria" w:cs="Arial"/>
                <w:b/>
                <w:bCs/>
                <w:sz w:val="18"/>
                <w:szCs w:val="18"/>
                <w:lang w:eastAsia="es-ES_tradnl"/>
              </w:rPr>
              <w:t xml:space="preserve">. - </w:t>
            </w:r>
            <w:r w:rsidRPr="00C57C0F">
              <w:rPr>
                <w:rFonts w:ascii="Cambria" w:eastAsia="MS Mincho" w:hAnsi="Cambria" w:cs="Arial"/>
                <w:b/>
                <w:bCs/>
                <w:sz w:val="18"/>
                <w:szCs w:val="18"/>
                <w:lang w:eastAsia="es-ES_tradnl"/>
              </w:rPr>
              <w:tab/>
            </w:r>
            <w:r w:rsidRPr="00C57C0F">
              <w:rPr>
                <w:rFonts w:ascii="Cambria" w:eastAsia="MS Mincho" w:hAnsi="Cambria" w:cs="Arial"/>
                <w:sz w:val="18"/>
                <w:szCs w:val="18"/>
                <w:lang w:eastAsia="es-ES_tradnl"/>
              </w:rPr>
              <w:t>The State will arrange for $50,000,000 (FIFTY MILLION PESOS M C/TE) in aid for the minor child D, for the purpose of funding technical or technological studies and covering her child support. The amount of aid will increase to $70,000,000 (SEVENTY MILLION PESOS MC/TE) if the beneficiary chooses to pursue a professional career. […].</w:t>
            </w:r>
          </w:p>
        </w:tc>
        <w:tc>
          <w:tcPr>
            <w:tcW w:w="1710" w:type="dxa"/>
            <w:shd w:val="clear" w:color="auto" w:fill="FFFFFF" w:themeFill="background1"/>
            <w:vAlign w:val="center"/>
          </w:tcPr>
          <w:p w14:paraId="2FBB286D"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45D441B7" w14:textId="77777777">
        <w:trPr>
          <w:trHeight w:val="495"/>
          <w:jc w:val="center"/>
        </w:trPr>
        <w:tc>
          <w:tcPr>
            <w:tcW w:w="534" w:type="dxa"/>
            <w:shd w:val="clear" w:color="auto" w:fill="D9D9D9" w:themeFill="background1" w:themeFillShade="D9"/>
            <w:vAlign w:val="center"/>
          </w:tcPr>
          <w:p w14:paraId="43F0661E"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D9D9D9" w:themeFill="background1" w:themeFillShade="D9"/>
            <w:vAlign w:val="center"/>
          </w:tcPr>
          <w:p w14:paraId="788A5307"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11.538, Report No. 43/16, Herson Javier Caro</w:t>
            </w:r>
          </w:p>
        </w:tc>
        <w:tc>
          <w:tcPr>
            <w:tcW w:w="1172" w:type="dxa"/>
            <w:shd w:val="clear" w:color="auto" w:fill="D9D9D9" w:themeFill="background1" w:themeFillShade="D9"/>
            <w:vAlign w:val="center"/>
          </w:tcPr>
          <w:p w14:paraId="6DA03458"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3604F71A" w14:textId="77777777" w:rsidR="007704F4" w:rsidRPr="00C57C0F" w:rsidRDefault="007704F4">
            <w:pPr>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w:t>
            </w:r>
            <w:r w:rsidRPr="00C57C0F">
              <w:rPr>
                <w:rFonts w:ascii="Cambria" w:hAnsi="Cambria"/>
                <w:b/>
                <w:color w:val="000000"/>
                <w:kern w:val="36"/>
                <w:sz w:val="18"/>
                <w:szCs w:val="18"/>
              </w:rPr>
              <w:t>THIRD</w:t>
            </w:r>
            <w:r w:rsidRPr="00C57C0F">
              <w:rPr>
                <w:rFonts w:ascii="Cambria" w:eastAsia="MS Mincho" w:hAnsi="Cambria" w:cs="Arial"/>
                <w:b/>
                <w:bCs/>
                <w:sz w:val="18"/>
                <w:szCs w:val="18"/>
                <w:lang w:eastAsia="es-ES_tradnl"/>
              </w:rPr>
              <w:t xml:space="preserve">. 2. </w:t>
            </w:r>
            <w:r w:rsidRPr="00C57C0F">
              <w:rPr>
                <w:rFonts w:ascii="Cambria" w:eastAsia="MS Mincho" w:hAnsi="Cambria" w:cs="Arial"/>
                <w:sz w:val="18"/>
                <w:szCs w:val="18"/>
                <w:lang w:eastAsia="es-ES_tradnl"/>
              </w:rPr>
              <w:t>Provide a grant for $50,000,000 pesos (FIFTY MILLION PESOS, local currency) for Cielo Yamile Apache Caro and another of the same amount for William Alfonso Apache Caro, siblings of the victim, in order to finance the technical, technological, or professional education of their choosing and pay living expenses. […].</w:t>
            </w:r>
          </w:p>
        </w:tc>
        <w:tc>
          <w:tcPr>
            <w:tcW w:w="1710" w:type="dxa"/>
            <w:shd w:val="clear" w:color="auto" w:fill="D9D9D9" w:themeFill="background1" w:themeFillShade="D9"/>
            <w:vAlign w:val="center"/>
          </w:tcPr>
          <w:p w14:paraId="77885FE8"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6B7C8792" w14:textId="77777777">
        <w:trPr>
          <w:trHeight w:val="1520"/>
          <w:jc w:val="center"/>
        </w:trPr>
        <w:tc>
          <w:tcPr>
            <w:tcW w:w="534" w:type="dxa"/>
            <w:shd w:val="clear" w:color="auto" w:fill="FFFFFF" w:themeFill="background1"/>
            <w:vAlign w:val="center"/>
          </w:tcPr>
          <w:p w14:paraId="7AE9DBD3"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FFFFFF" w:themeFill="background1"/>
            <w:vAlign w:val="center"/>
          </w:tcPr>
          <w:p w14:paraId="78A31F64"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12.541, Report No. 67/16, Omar Zuñiga Vásquez and Amira Isabel Vásquez de Zuñiga</w:t>
            </w:r>
          </w:p>
        </w:tc>
        <w:tc>
          <w:tcPr>
            <w:tcW w:w="1172" w:type="dxa"/>
            <w:shd w:val="clear" w:color="auto" w:fill="FFFFFF" w:themeFill="background1"/>
            <w:vAlign w:val="center"/>
          </w:tcPr>
          <w:p w14:paraId="24F83558"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612327BD" w14:textId="77777777" w:rsidR="007704F4" w:rsidRPr="00C57C0F" w:rsidRDefault="007704F4">
            <w:pPr>
              <w:tabs>
                <w:tab w:val="left" w:pos="4573"/>
              </w:tabs>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SECOND. - Judicial measures. </w:t>
            </w:r>
            <w:r w:rsidRPr="00C57C0F">
              <w:rPr>
                <w:rFonts w:ascii="Cambria" w:eastAsia="MS Mincho" w:hAnsi="Cambria" w:cs="Arial"/>
                <w:sz w:val="18"/>
                <w:szCs w:val="18"/>
                <w:lang w:eastAsia="es-ES_tradnl"/>
              </w:rPr>
              <w:t>The Office of the Attorney General [Procuraduría General de la Nación] shall, within its sphere of competence, and once the report referred to in Article 49 of the American Convention has been published, bring an action for reconsideration of the resolution of May 28, 2014, issued by Prosecution Office 73 Delegated to the Superior Court of Bogota. […].</w:t>
            </w:r>
          </w:p>
        </w:tc>
        <w:tc>
          <w:tcPr>
            <w:tcW w:w="1710" w:type="dxa"/>
            <w:shd w:val="clear" w:color="auto" w:fill="FFFFFF" w:themeFill="background1"/>
            <w:vAlign w:val="center"/>
          </w:tcPr>
          <w:p w14:paraId="1CB87566"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2022</w:t>
            </w:r>
          </w:p>
        </w:tc>
      </w:tr>
      <w:tr w:rsidR="007704F4" w:rsidRPr="00C57C0F" w14:paraId="557E5F39" w14:textId="77777777">
        <w:trPr>
          <w:trHeight w:val="495"/>
          <w:jc w:val="center"/>
        </w:trPr>
        <w:tc>
          <w:tcPr>
            <w:tcW w:w="534" w:type="dxa"/>
            <w:shd w:val="clear" w:color="auto" w:fill="FFFFFF" w:themeFill="background1"/>
            <w:vAlign w:val="center"/>
          </w:tcPr>
          <w:p w14:paraId="2369CAC0"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2C93F201"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42B7EA6D"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24A93E2D" w14:textId="77777777" w:rsidR="007704F4" w:rsidRPr="00C57C0F" w:rsidRDefault="007704F4">
            <w:pPr>
              <w:tabs>
                <w:tab w:val="left" w:pos="4573"/>
              </w:tabs>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FOURTH. - Financial reparation. </w:t>
            </w:r>
            <w:r w:rsidRPr="00C57C0F">
              <w:rPr>
                <w:rFonts w:ascii="Cambria" w:eastAsia="MS Mincho" w:hAnsi="Cambria" w:cs="Arial"/>
                <w:sz w:val="18"/>
                <w:szCs w:val="18"/>
                <w:lang w:eastAsia="es-ES_tradnl"/>
              </w:rPr>
              <w:t>Once this friendly settlement agreement is approved by publication of the report referred to in Article 49 of the American Convention on Human Rights, the State commits to applying Law 288 of 1996 with a view to making reparation for any proven non-material and material injuries caused to immediate family members of Omar Zuñiga Vasquez and Amira Vasquez de Zuñiga that have not been compensated as a result of actions brought under administrative law. The Ministry of National Defense shall be responsible for implementing this measure. […]</w:t>
            </w:r>
          </w:p>
        </w:tc>
        <w:tc>
          <w:tcPr>
            <w:tcW w:w="1710" w:type="dxa"/>
            <w:shd w:val="clear" w:color="auto" w:fill="FFFFFF" w:themeFill="background1"/>
            <w:vAlign w:val="center"/>
          </w:tcPr>
          <w:p w14:paraId="0BC31161"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 xml:space="preserve">Partial substantial 2022 </w:t>
            </w:r>
          </w:p>
        </w:tc>
      </w:tr>
      <w:tr w:rsidR="007704F4" w:rsidRPr="00C57C0F" w14:paraId="1D5CAF97" w14:textId="77777777">
        <w:trPr>
          <w:trHeight w:val="495"/>
          <w:jc w:val="center"/>
        </w:trPr>
        <w:tc>
          <w:tcPr>
            <w:tcW w:w="534" w:type="dxa"/>
            <w:shd w:val="clear" w:color="auto" w:fill="D9D9D9" w:themeFill="background1" w:themeFillShade="D9"/>
            <w:vAlign w:val="center"/>
          </w:tcPr>
          <w:p w14:paraId="6C17F541"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D9D9D9" w:themeFill="background1" w:themeFillShade="D9"/>
            <w:vAlign w:val="center"/>
          </w:tcPr>
          <w:p w14:paraId="6E28BFDD"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11.007, Report No. 68/16, Trujillo Massacre</w:t>
            </w:r>
          </w:p>
        </w:tc>
        <w:tc>
          <w:tcPr>
            <w:tcW w:w="1172" w:type="dxa"/>
            <w:shd w:val="clear" w:color="auto" w:fill="D9D9D9" w:themeFill="background1" w:themeFillShade="D9"/>
            <w:vAlign w:val="center"/>
          </w:tcPr>
          <w:p w14:paraId="2C5567DD"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637E5662" w14:textId="77777777" w:rsidR="007704F4" w:rsidRPr="00C57C0F" w:rsidRDefault="007704F4">
            <w:pPr>
              <w:tabs>
                <w:tab w:val="left" w:pos="2503"/>
              </w:tabs>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FOURTH. - Measures to satisfy the victims' right to comprehensive reparation. </w:t>
            </w:r>
            <w:r w:rsidRPr="00C57C0F">
              <w:rPr>
                <w:rFonts w:ascii="Cambria" w:eastAsia="MS Mincho" w:hAnsi="Cambria" w:cs="Arial"/>
                <w:sz w:val="18"/>
                <w:szCs w:val="18"/>
                <w:lang w:eastAsia="es-ES_tradnl"/>
              </w:rPr>
              <w:t>1.</w:t>
            </w:r>
            <w:r w:rsidRPr="00C57C0F">
              <w:rPr>
                <w:rFonts w:ascii="Cambria" w:eastAsia="MS Mincho" w:hAnsi="Cambria" w:cs="Arial"/>
                <w:sz w:val="18"/>
                <w:szCs w:val="18"/>
                <w:lang w:eastAsia="es-ES_tradnl"/>
              </w:rPr>
              <w:tab/>
              <w:t xml:space="preserve">Financial reparation: The State undertakes, by means of the procedures set forth in Law 288 of 1996, to provide compensation for the material and non-material injuries found in favor of the next of kin of the victims recognized in Investigation No. 040 being conducted into the events by Prosecution Unit 17 of the Directorate of the Specialized National Prosecution Unit for Human Rights and International </w:t>
            </w:r>
            <w:r w:rsidRPr="00C57C0F">
              <w:rPr>
                <w:rFonts w:ascii="Cambria" w:eastAsia="MS Mincho" w:hAnsi="Cambria" w:cs="Arial"/>
                <w:sz w:val="18"/>
                <w:szCs w:val="18"/>
                <w:lang w:eastAsia="es-ES_tradnl"/>
              </w:rPr>
              <w:lastRenderedPageBreak/>
              <w:t>Humanitarian Law who have not yet been compensated in the administrative jurisdiction. […].</w:t>
            </w:r>
          </w:p>
        </w:tc>
        <w:tc>
          <w:tcPr>
            <w:tcW w:w="1710" w:type="dxa"/>
            <w:shd w:val="clear" w:color="auto" w:fill="D9D9D9" w:themeFill="background1" w:themeFillShade="D9"/>
            <w:vAlign w:val="center"/>
          </w:tcPr>
          <w:p w14:paraId="00C4EA49"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lastRenderedPageBreak/>
              <w:t xml:space="preserve">Partial substantial 2022 </w:t>
            </w:r>
          </w:p>
        </w:tc>
      </w:tr>
      <w:tr w:rsidR="007704F4" w:rsidRPr="00C57C0F" w14:paraId="5FC7C863" w14:textId="77777777">
        <w:trPr>
          <w:trHeight w:val="495"/>
          <w:jc w:val="center"/>
        </w:trPr>
        <w:tc>
          <w:tcPr>
            <w:tcW w:w="534" w:type="dxa"/>
            <w:shd w:val="clear" w:color="auto" w:fill="FFFFFF" w:themeFill="background1"/>
            <w:vAlign w:val="center"/>
          </w:tcPr>
          <w:p w14:paraId="07C8E8C3"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FFFFFF" w:themeFill="background1"/>
            <w:vAlign w:val="center"/>
          </w:tcPr>
          <w:p w14:paraId="41962298"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12.712, Report No. 135/17,</w:t>
            </w:r>
          </w:p>
          <w:p w14:paraId="37BA07AF"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Rubén Darío Arroyave</w:t>
            </w:r>
          </w:p>
        </w:tc>
        <w:tc>
          <w:tcPr>
            <w:tcW w:w="1172" w:type="dxa"/>
            <w:shd w:val="clear" w:color="auto" w:fill="FFFFFF" w:themeFill="background1"/>
            <w:vAlign w:val="center"/>
          </w:tcPr>
          <w:p w14:paraId="76C59A4A"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15BD014C" w14:textId="77777777" w:rsidR="007704F4" w:rsidRPr="00C57C0F" w:rsidRDefault="007704F4">
            <w:pPr>
              <w:tabs>
                <w:tab w:val="left" w:pos="2503"/>
              </w:tabs>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THIRD. - Pecuniary reparation. </w:t>
            </w:r>
            <w:r w:rsidRPr="00C57C0F">
              <w:rPr>
                <w:rFonts w:ascii="Cambria" w:eastAsia="MS Mincho" w:hAnsi="Cambria" w:cs="Arial"/>
                <w:sz w:val="18"/>
                <w:szCs w:val="18"/>
                <w:lang w:eastAsia="es-ES_tradnl"/>
              </w:rPr>
              <w:t>The State undertakes to enforce Law 288 once this Friendly Settlement Agreement is approved through issuance of the Article 49 report under the American Convention, for the purpose of redressing the non-material damages that may be proven to the relatives of the victim which have not been compensated through the contentious administrative jurisdiction.</w:t>
            </w:r>
          </w:p>
        </w:tc>
        <w:tc>
          <w:tcPr>
            <w:tcW w:w="1710" w:type="dxa"/>
            <w:shd w:val="clear" w:color="auto" w:fill="FFFFFF" w:themeFill="background1"/>
            <w:vAlign w:val="center"/>
          </w:tcPr>
          <w:p w14:paraId="0EE77031"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 xml:space="preserve">Partial substantial 2022 </w:t>
            </w:r>
          </w:p>
        </w:tc>
      </w:tr>
      <w:tr w:rsidR="007704F4" w:rsidRPr="00C57C0F" w14:paraId="3FD6C740" w14:textId="77777777">
        <w:trPr>
          <w:trHeight w:val="495"/>
          <w:jc w:val="center"/>
        </w:trPr>
        <w:tc>
          <w:tcPr>
            <w:tcW w:w="534" w:type="dxa"/>
            <w:shd w:val="clear" w:color="auto" w:fill="D9D9D9" w:themeFill="background1" w:themeFillShade="D9"/>
            <w:vAlign w:val="center"/>
          </w:tcPr>
          <w:p w14:paraId="0E5F6DD6"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D9D9D9" w:themeFill="background1" w:themeFillShade="D9"/>
            <w:vAlign w:val="center"/>
          </w:tcPr>
          <w:p w14:paraId="7E05657C"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12.941, Report No. 92/18, Nicolasa, and family</w:t>
            </w:r>
          </w:p>
        </w:tc>
        <w:tc>
          <w:tcPr>
            <w:tcW w:w="1172" w:type="dxa"/>
            <w:shd w:val="clear" w:color="auto" w:fill="D9D9D9" w:themeFill="background1" w:themeFillShade="D9"/>
            <w:vAlign w:val="center"/>
          </w:tcPr>
          <w:p w14:paraId="30132F79"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6B10FE4F" w14:textId="77777777" w:rsidR="007704F4" w:rsidRPr="00C57C0F" w:rsidRDefault="007704F4">
            <w:pPr>
              <w:tabs>
                <w:tab w:val="left" w:pos="2503"/>
              </w:tabs>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1. b. Measures relating to Nicolasa's education. </w:t>
            </w:r>
            <w:r w:rsidRPr="00C57C0F">
              <w:rPr>
                <w:rFonts w:ascii="Cambria" w:eastAsia="MS Mincho" w:hAnsi="Cambria" w:cs="Arial"/>
                <w:sz w:val="18"/>
                <w:szCs w:val="18"/>
                <w:lang w:eastAsia="es-ES_tradnl"/>
              </w:rPr>
              <w:t>Provide a $50.000.000 (FIFTY MILLION COLOMBIAN PESOS) grant to Nicolasa to finance her studies at any of the technical, vocational, technological or university levels, in any academic program or institute of higher education authorized in Colombia, that she, the beneficiary, chooses. That grant shall be used to pay for her tuition fees and maintenance costs. […].</w:t>
            </w:r>
          </w:p>
        </w:tc>
        <w:tc>
          <w:tcPr>
            <w:tcW w:w="1710" w:type="dxa"/>
            <w:shd w:val="clear" w:color="auto" w:fill="D9D9D9" w:themeFill="background1" w:themeFillShade="D9"/>
            <w:vAlign w:val="center"/>
          </w:tcPr>
          <w:p w14:paraId="05F9163D"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 xml:space="preserve">Partial substantial 2022 </w:t>
            </w:r>
          </w:p>
        </w:tc>
      </w:tr>
      <w:tr w:rsidR="007704F4" w:rsidRPr="00C57C0F" w14:paraId="07813783" w14:textId="77777777">
        <w:trPr>
          <w:trHeight w:val="495"/>
          <w:jc w:val="center"/>
        </w:trPr>
        <w:tc>
          <w:tcPr>
            <w:tcW w:w="534" w:type="dxa"/>
            <w:shd w:val="clear" w:color="auto" w:fill="D9D9D9" w:themeFill="background1" w:themeFillShade="D9"/>
            <w:vAlign w:val="center"/>
          </w:tcPr>
          <w:p w14:paraId="2DA6B8B8"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D9D9D9" w:themeFill="background1" w:themeFillShade="D9"/>
            <w:vAlign w:val="center"/>
          </w:tcPr>
          <w:p w14:paraId="700935D8"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D9D9D9" w:themeFill="background1" w:themeFillShade="D9"/>
            <w:vAlign w:val="center"/>
          </w:tcPr>
          <w:p w14:paraId="2C6398DB"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D9D9D9" w:themeFill="background1" w:themeFillShade="D9"/>
            <w:vAlign w:val="center"/>
          </w:tcPr>
          <w:p w14:paraId="03EBC6EE" w14:textId="77777777" w:rsidR="007704F4" w:rsidRPr="00C57C0F" w:rsidRDefault="007704F4">
            <w:pPr>
              <w:tabs>
                <w:tab w:val="left" w:pos="2503"/>
              </w:tabs>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3. Non-Repetition Measures. ii. </w:t>
            </w:r>
            <w:r w:rsidRPr="00C57C0F">
              <w:rPr>
                <w:rFonts w:ascii="Cambria" w:eastAsia="MS Mincho" w:hAnsi="Cambria" w:cs="Arial"/>
                <w:sz w:val="18"/>
                <w:szCs w:val="18"/>
                <w:lang w:eastAsia="es-ES_tradnl"/>
              </w:rPr>
              <w:t>The Office of the Attorney-General shall continue to monitor and issue recommendations regarding progress with investigations into the cases listed in the confidential annexes to Court Orders (Autos) 092 of 2008 and 009 of 2015, in follow-up to Judgment T-025 of 2004 of the Constitutional Court, through the Sub-Committee for Coordination of Investigation and Prosecution of Acts of Sexual Violence Committed in Connection with the Armed Conflict, established by Resolution 003 of November 2015. […].</w:t>
            </w:r>
          </w:p>
        </w:tc>
        <w:tc>
          <w:tcPr>
            <w:tcW w:w="1710" w:type="dxa"/>
            <w:shd w:val="clear" w:color="auto" w:fill="D9D9D9" w:themeFill="background1" w:themeFillShade="D9"/>
            <w:vAlign w:val="center"/>
          </w:tcPr>
          <w:p w14:paraId="073B42E0"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 xml:space="preserve">Partial substantial 2022 </w:t>
            </w:r>
          </w:p>
        </w:tc>
      </w:tr>
      <w:tr w:rsidR="007704F4" w:rsidRPr="00C57C0F" w14:paraId="6A44B8E7" w14:textId="77777777">
        <w:trPr>
          <w:trHeight w:val="495"/>
          <w:jc w:val="center"/>
        </w:trPr>
        <w:tc>
          <w:tcPr>
            <w:tcW w:w="534" w:type="dxa"/>
            <w:shd w:val="clear" w:color="auto" w:fill="D9D9D9" w:themeFill="background1" w:themeFillShade="D9"/>
            <w:vAlign w:val="center"/>
          </w:tcPr>
          <w:p w14:paraId="033B4F8C"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D9D9D9" w:themeFill="background1" w:themeFillShade="D9"/>
            <w:vAlign w:val="center"/>
          </w:tcPr>
          <w:p w14:paraId="15674EC1"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D9D9D9" w:themeFill="background1" w:themeFillShade="D9"/>
            <w:vAlign w:val="center"/>
          </w:tcPr>
          <w:p w14:paraId="374511FD"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6FCFF983" w14:textId="77777777" w:rsidR="007704F4" w:rsidRPr="00C57C0F" w:rsidRDefault="007704F4">
            <w:pPr>
              <w:ind w:right="-12"/>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4. Reparation measures. </w:t>
            </w:r>
            <w:r w:rsidRPr="00C57C0F">
              <w:rPr>
                <w:rFonts w:ascii="Cambria" w:eastAsia="MS Mincho" w:hAnsi="Cambria" w:cs="Arial"/>
                <w:sz w:val="18"/>
                <w:szCs w:val="18"/>
                <w:lang w:eastAsia="es-ES_tradnl"/>
              </w:rPr>
              <w:t>The Colombian State commits to making reparation to Nicolasa and her family, through the mechanism established by Law 288/96, for any moral and material harm that may be shown to have been done by the violations acknowledged in the present agreement. […].</w:t>
            </w:r>
          </w:p>
        </w:tc>
        <w:tc>
          <w:tcPr>
            <w:tcW w:w="1710" w:type="dxa"/>
            <w:shd w:val="clear" w:color="auto" w:fill="D9D9D9" w:themeFill="background1" w:themeFillShade="D9"/>
            <w:vAlign w:val="center"/>
          </w:tcPr>
          <w:p w14:paraId="18A4184B"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 xml:space="preserve">Partial substantial 2022 </w:t>
            </w:r>
          </w:p>
        </w:tc>
      </w:tr>
      <w:tr w:rsidR="007704F4" w:rsidRPr="00C57C0F" w14:paraId="44F62FC9" w14:textId="77777777">
        <w:trPr>
          <w:trHeight w:val="495"/>
          <w:jc w:val="center"/>
        </w:trPr>
        <w:tc>
          <w:tcPr>
            <w:tcW w:w="534" w:type="dxa"/>
            <w:shd w:val="clear" w:color="auto" w:fill="FFFFFF" w:themeFill="background1"/>
            <w:vAlign w:val="center"/>
          </w:tcPr>
          <w:p w14:paraId="697676F1"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FFFFFF" w:themeFill="background1"/>
            <w:vAlign w:val="center"/>
          </w:tcPr>
          <w:p w14:paraId="00BDF384" w14:textId="77777777" w:rsidR="007704F4" w:rsidRPr="00352AC9" w:rsidRDefault="007704F4">
            <w:pPr>
              <w:ind w:right="-18"/>
              <w:contextualSpacing/>
              <w:rPr>
                <w:rFonts w:ascii="Cambria" w:eastAsia="MS Mincho" w:hAnsi="Cambria" w:cs="Arial"/>
                <w:sz w:val="18"/>
                <w:szCs w:val="18"/>
                <w:lang w:val="es-AR"/>
              </w:rPr>
            </w:pPr>
            <w:r w:rsidRPr="00352AC9">
              <w:rPr>
                <w:rFonts w:ascii="Cambria" w:eastAsia="MS Mincho" w:hAnsi="Cambria" w:cs="Arial"/>
                <w:sz w:val="18"/>
                <w:szCs w:val="18"/>
                <w:lang w:val="es-AR"/>
              </w:rPr>
              <w:t>Case 11.144, Report No. 109/19, Gerson Jairzinho González Arroyo</w:t>
            </w:r>
          </w:p>
        </w:tc>
        <w:tc>
          <w:tcPr>
            <w:tcW w:w="1172" w:type="dxa"/>
            <w:shd w:val="clear" w:color="auto" w:fill="FFFFFF" w:themeFill="background1"/>
            <w:vAlign w:val="center"/>
          </w:tcPr>
          <w:p w14:paraId="1233BB04"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659A346F" w14:textId="77777777" w:rsidR="007704F4" w:rsidRPr="00C57C0F" w:rsidRDefault="007704F4">
            <w:pPr>
              <w:ind w:right="-12"/>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2.2. </w:t>
            </w:r>
            <w:r w:rsidRPr="00C57C0F">
              <w:rPr>
                <w:rFonts w:ascii="Cambria" w:eastAsia="MS Mincho" w:hAnsi="Cambria" w:cs="Arial"/>
                <w:sz w:val="18"/>
                <w:szCs w:val="18"/>
                <w:lang w:eastAsia="es-ES_tradnl"/>
              </w:rPr>
              <w:t>The National Agency for Legal Defense of the State undertakes, once the friendly settlement agreement is approved, to request before the Office of the Attorney General that, within the framework of its powers, establishes the feasibility of filing a review action of: (i) the Resolution dated June 13, 2003 issued by the Delegated Prosecutor's Office before the Specialized Criminal Judges of the Circuit, attached to the National Human Rights and International Humanitarian Law Unit in process No. 261, whereby he precluded the investigation in favor of Isnardo Alfonso Castellanos Peña, Jorge Muñoz Paez and German Antonio Gómez Díaz, and (ii) the judgment dated July 1, 2005, issued by the Criminal Court of the Special Circuit of Sincelejo Sucre, by which he was acquitted Mr. Alcides Medina.</w:t>
            </w:r>
          </w:p>
        </w:tc>
        <w:tc>
          <w:tcPr>
            <w:tcW w:w="1710" w:type="dxa"/>
            <w:shd w:val="clear" w:color="auto" w:fill="FFFFFF" w:themeFill="background1"/>
            <w:vAlign w:val="center"/>
          </w:tcPr>
          <w:p w14:paraId="67DA8391"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1E6B50F1" w14:textId="77777777">
        <w:trPr>
          <w:trHeight w:val="495"/>
          <w:jc w:val="center"/>
        </w:trPr>
        <w:tc>
          <w:tcPr>
            <w:tcW w:w="534" w:type="dxa"/>
            <w:shd w:val="clear" w:color="auto" w:fill="FFFFFF" w:themeFill="background1"/>
            <w:vAlign w:val="center"/>
          </w:tcPr>
          <w:p w14:paraId="33941141"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5266BF48"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4AC510BC"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051FE580" w14:textId="77777777" w:rsidR="007704F4" w:rsidRPr="00C57C0F" w:rsidRDefault="007704F4">
            <w:pPr>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3.3. </w:t>
            </w:r>
            <w:r w:rsidRPr="00C57C0F">
              <w:rPr>
                <w:rFonts w:ascii="Cambria" w:eastAsia="MS Mincho" w:hAnsi="Cambria" w:cs="Arial"/>
                <w:sz w:val="18"/>
                <w:szCs w:val="18"/>
                <w:lang w:eastAsia="es-ES_tradnl"/>
              </w:rPr>
              <w:t>The parties will arrange for the realization and implementation of a pedagogical measure that contributes to the non-repetition of the facts and to the recovery of the victim's memory. […].</w:t>
            </w:r>
          </w:p>
        </w:tc>
        <w:tc>
          <w:tcPr>
            <w:tcW w:w="1710" w:type="dxa"/>
            <w:shd w:val="clear" w:color="auto" w:fill="FFFFFF" w:themeFill="background1"/>
            <w:vAlign w:val="center"/>
          </w:tcPr>
          <w:p w14:paraId="33B413E0"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354CFCFE" w14:textId="77777777">
        <w:trPr>
          <w:trHeight w:val="495"/>
          <w:jc w:val="center"/>
        </w:trPr>
        <w:tc>
          <w:tcPr>
            <w:tcW w:w="534" w:type="dxa"/>
            <w:shd w:val="clear" w:color="auto" w:fill="D9D9D9" w:themeFill="background1" w:themeFillShade="D9"/>
            <w:vAlign w:val="center"/>
          </w:tcPr>
          <w:p w14:paraId="160CFBDB"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D9D9D9" w:themeFill="background1" w:themeFillShade="D9"/>
            <w:vAlign w:val="center"/>
          </w:tcPr>
          <w:p w14:paraId="0B26ACEB"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 xml:space="preserve">Case 13.776, Report No. 1/20, German Eduardo Giraldo </w:t>
            </w:r>
            <w:r w:rsidRPr="00C57C0F">
              <w:rPr>
                <w:rFonts w:ascii="Cambria" w:hAnsi="Cambria"/>
                <w:color w:val="000000"/>
                <w:sz w:val="18"/>
                <w:szCs w:val="18"/>
              </w:rPr>
              <w:t>and Family</w:t>
            </w:r>
          </w:p>
        </w:tc>
        <w:tc>
          <w:tcPr>
            <w:tcW w:w="1172" w:type="dxa"/>
            <w:shd w:val="clear" w:color="auto" w:fill="D9D9D9" w:themeFill="background1" w:themeFillShade="D9"/>
            <w:vAlign w:val="center"/>
          </w:tcPr>
          <w:p w14:paraId="65C47B3A"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3DB84154" w14:textId="77777777" w:rsidR="007704F4" w:rsidRPr="00C57C0F" w:rsidRDefault="007704F4">
            <w:pPr>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SECOND: Judicial measures. </w:t>
            </w:r>
            <w:r w:rsidRPr="00C57C0F">
              <w:rPr>
                <w:rFonts w:ascii="Cambria" w:eastAsia="MS Mincho" w:hAnsi="Cambria" w:cs="Arial"/>
                <w:sz w:val="18"/>
                <w:szCs w:val="18"/>
                <w:lang w:eastAsia="es-ES_tradnl"/>
              </w:rPr>
              <w:t>The State shall continue with its obligation to investigate, try, and punish those responsible for the facts in this case, with a view to establishing the real motives surrounding the murder of Mr. Germán Eduardo Giraldo.</w:t>
            </w:r>
          </w:p>
        </w:tc>
        <w:tc>
          <w:tcPr>
            <w:tcW w:w="1710" w:type="dxa"/>
            <w:shd w:val="clear" w:color="auto" w:fill="D9D9D9" w:themeFill="background1" w:themeFillShade="D9"/>
            <w:vAlign w:val="center"/>
          </w:tcPr>
          <w:p w14:paraId="60AF0483"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74B1A5F1" w14:textId="77777777">
        <w:trPr>
          <w:trHeight w:val="495"/>
          <w:jc w:val="center"/>
        </w:trPr>
        <w:tc>
          <w:tcPr>
            <w:tcW w:w="534" w:type="dxa"/>
            <w:shd w:val="clear" w:color="auto" w:fill="D9D9D9" w:themeFill="background1" w:themeFillShade="D9"/>
            <w:vAlign w:val="center"/>
          </w:tcPr>
          <w:p w14:paraId="65926939"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D9D9D9" w:themeFill="background1" w:themeFillShade="D9"/>
            <w:vAlign w:val="center"/>
          </w:tcPr>
          <w:p w14:paraId="3CDB9E74"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D9D9D9" w:themeFill="background1" w:themeFillShade="D9"/>
            <w:vAlign w:val="center"/>
          </w:tcPr>
          <w:p w14:paraId="505A8D73"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3CF14F4B" w14:textId="77777777" w:rsidR="007704F4" w:rsidRPr="00C57C0F" w:rsidRDefault="007704F4">
            <w:pPr>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FOURTH: Health measures. </w:t>
            </w:r>
            <w:r w:rsidRPr="00C57C0F">
              <w:rPr>
                <w:rFonts w:ascii="Cambria" w:eastAsia="MS Mincho" w:hAnsi="Cambria" w:cs="Arial"/>
                <w:sz w:val="18"/>
                <w:szCs w:val="18"/>
                <w:lang w:eastAsia="es-ES_tradnl"/>
              </w:rPr>
              <w:t xml:space="preserve">The Ministry of Health and Social Protection shall implement the health rehabilitation measures in the form of medical, psychological and psycho-social care through the General Social Security Health System and the Psycho-Social Care and Comprehensive Health Care for Victims Program (PAPSIVI), and through the General Social Security Health </w:t>
            </w:r>
            <w:r w:rsidRPr="00C57C0F">
              <w:rPr>
                <w:rFonts w:ascii="Cambria" w:eastAsia="MS Mincho" w:hAnsi="Cambria" w:cs="Arial"/>
                <w:sz w:val="18"/>
                <w:szCs w:val="18"/>
                <w:lang w:eastAsia="es-ES_tradnl"/>
              </w:rPr>
              <w:lastRenderedPageBreak/>
              <w:t>System shall provide appropriate, timely, and priority treatment (based on medical criteria) to the victims with whom this friendly settlement agreement is signed.</w:t>
            </w:r>
          </w:p>
        </w:tc>
        <w:tc>
          <w:tcPr>
            <w:tcW w:w="1710" w:type="dxa"/>
            <w:shd w:val="clear" w:color="auto" w:fill="D9D9D9" w:themeFill="background1" w:themeFillShade="D9"/>
            <w:vAlign w:val="center"/>
          </w:tcPr>
          <w:p w14:paraId="107BB3E9"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lastRenderedPageBreak/>
              <w:t>Partial substantial 2022</w:t>
            </w:r>
          </w:p>
        </w:tc>
      </w:tr>
      <w:tr w:rsidR="007704F4" w:rsidRPr="00C57C0F" w14:paraId="34F57158" w14:textId="77777777">
        <w:trPr>
          <w:trHeight w:val="495"/>
          <w:jc w:val="center"/>
        </w:trPr>
        <w:tc>
          <w:tcPr>
            <w:tcW w:w="534" w:type="dxa"/>
            <w:shd w:val="clear" w:color="auto" w:fill="D9D9D9" w:themeFill="background1" w:themeFillShade="D9"/>
            <w:vAlign w:val="center"/>
          </w:tcPr>
          <w:p w14:paraId="5E380682"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D9D9D9" w:themeFill="background1" w:themeFillShade="D9"/>
            <w:vAlign w:val="center"/>
          </w:tcPr>
          <w:p w14:paraId="265EA216"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D9D9D9" w:themeFill="background1" w:themeFillShade="D9"/>
            <w:vAlign w:val="center"/>
          </w:tcPr>
          <w:p w14:paraId="177CFF4F"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315B40F5" w14:textId="77777777" w:rsidR="007704F4" w:rsidRPr="00C57C0F" w:rsidRDefault="007704F4">
            <w:pPr>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SIXTH: Financial reparation. </w:t>
            </w:r>
            <w:r w:rsidRPr="00C57C0F">
              <w:rPr>
                <w:rFonts w:ascii="Cambria" w:eastAsia="MS Mincho" w:hAnsi="Cambria" w:cs="Arial"/>
                <w:sz w:val="18"/>
                <w:szCs w:val="18"/>
                <w:lang w:eastAsia="es-ES_tradnl"/>
              </w:rPr>
              <w:t>It has been accredited that those involved suffered harm in the form of the violations of the rights to family, the truth, (and) to effective judicial recourse,  for which reason the State shall  furnish a measure of satisfaction designed to restore the dignity, honor, good name and reputation of the Giraldo Agudelo family and, accordingly, shall agree to pay 100 legal minimum monthly wages (SMLMV) to each member of Mr. German Eduardo Giraldo's immediate nuclear family, […].</w:t>
            </w:r>
          </w:p>
        </w:tc>
        <w:tc>
          <w:tcPr>
            <w:tcW w:w="1710" w:type="dxa"/>
            <w:shd w:val="clear" w:color="auto" w:fill="D9D9D9" w:themeFill="background1" w:themeFillShade="D9"/>
            <w:vAlign w:val="center"/>
          </w:tcPr>
          <w:p w14:paraId="14D7C6E1"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2022</w:t>
            </w:r>
          </w:p>
        </w:tc>
      </w:tr>
      <w:tr w:rsidR="007704F4" w:rsidRPr="00C57C0F" w14:paraId="2DF2205A" w14:textId="77777777">
        <w:trPr>
          <w:trHeight w:val="495"/>
          <w:jc w:val="center"/>
        </w:trPr>
        <w:tc>
          <w:tcPr>
            <w:tcW w:w="534" w:type="dxa"/>
            <w:shd w:val="clear" w:color="auto" w:fill="FFFFFF" w:themeFill="background1"/>
            <w:vAlign w:val="center"/>
          </w:tcPr>
          <w:p w14:paraId="4709FB02"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FFFFFF" w:themeFill="background1"/>
            <w:vAlign w:val="center"/>
          </w:tcPr>
          <w:p w14:paraId="64EF64D9" w14:textId="77777777" w:rsidR="007704F4" w:rsidRPr="00352AC9" w:rsidRDefault="007704F4">
            <w:pPr>
              <w:ind w:right="-18"/>
              <w:contextualSpacing/>
              <w:rPr>
                <w:rFonts w:ascii="Cambria" w:eastAsia="MS Mincho" w:hAnsi="Cambria" w:cs="Arial"/>
                <w:sz w:val="18"/>
                <w:szCs w:val="18"/>
                <w:lang w:val="es-AR"/>
              </w:rPr>
            </w:pPr>
            <w:r w:rsidRPr="00352AC9">
              <w:rPr>
                <w:rFonts w:ascii="Cambria" w:eastAsia="MS Mincho" w:hAnsi="Cambria" w:cs="Arial"/>
                <w:sz w:val="18"/>
                <w:szCs w:val="18"/>
                <w:lang w:val="es-AR"/>
              </w:rPr>
              <w:t>Case 13.728, Report No. 21/20, Amira Guzmán Alonso</w:t>
            </w:r>
          </w:p>
        </w:tc>
        <w:tc>
          <w:tcPr>
            <w:tcW w:w="1172" w:type="dxa"/>
            <w:shd w:val="clear" w:color="auto" w:fill="FFFFFF" w:themeFill="background1"/>
            <w:vAlign w:val="center"/>
          </w:tcPr>
          <w:p w14:paraId="4EFCD2F7"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54362A6A"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FOURTH: Financial compensation. </w:t>
            </w:r>
            <w:r w:rsidRPr="00C57C0F">
              <w:rPr>
                <w:rFonts w:ascii="Cambria" w:eastAsia="MS Mincho" w:hAnsi="Cambria" w:cs="Arial"/>
                <w:sz w:val="18"/>
                <w:szCs w:val="18"/>
                <w:lang w:eastAsia="es-ES_tradnl"/>
              </w:rPr>
              <w:t>The State commits to applying Law 288 of 1996 once the present Friendly Settlement Agreement is approved by issuance of the report envisaged in Article 49 of the American Convention on Human Rights […].</w:t>
            </w:r>
          </w:p>
        </w:tc>
        <w:tc>
          <w:tcPr>
            <w:tcW w:w="1710" w:type="dxa"/>
            <w:shd w:val="clear" w:color="auto" w:fill="FFFFFF" w:themeFill="background1"/>
            <w:vAlign w:val="center"/>
          </w:tcPr>
          <w:p w14:paraId="3D0618CC"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2308F390" w14:textId="77777777">
        <w:trPr>
          <w:trHeight w:val="495"/>
          <w:jc w:val="center"/>
        </w:trPr>
        <w:tc>
          <w:tcPr>
            <w:tcW w:w="534" w:type="dxa"/>
            <w:shd w:val="clear" w:color="auto" w:fill="D9D9D9" w:themeFill="background1" w:themeFillShade="D9"/>
            <w:vAlign w:val="center"/>
          </w:tcPr>
          <w:p w14:paraId="3CCFF928"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D9D9D9" w:themeFill="background1" w:themeFillShade="D9"/>
            <w:vAlign w:val="center"/>
          </w:tcPr>
          <w:p w14:paraId="119652EB"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12.909, Report No. 22/20, Gerardo Bedoya Borrero</w:t>
            </w:r>
          </w:p>
        </w:tc>
        <w:tc>
          <w:tcPr>
            <w:tcW w:w="1172" w:type="dxa"/>
            <w:shd w:val="clear" w:color="auto" w:fill="D9D9D9" w:themeFill="background1" w:themeFillShade="D9"/>
            <w:vAlign w:val="center"/>
          </w:tcPr>
          <w:p w14:paraId="4EF7BD9D"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11320B60" w14:textId="77777777" w:rsidR="007704F4" w:rsidRPr="00C57C0F" w:rsidRDefault="007704F4">
            <w:pPr>
              <w:ind w:right="-12"/>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SECOND: Measures on justice. </w:t>
            </w:r>
            <w:r w:rsidRPr="00C57C0F">
              <w:rPr>
                <w:rFonts w:ascii="Cambria" w:eastAsia="MS Mincho" w:hAnsi="Cambria" w:cs="Arial"/>
                <w:sz w:val="18"/>
                <w:szCs w:val="18"/>
                <w:lang w:eastAsia="es-ES_tradnl"/>
              </w:rPr>
              <w:t>To see justice done, the following commitments are adopted: A) The State shall continue with its obligation to investigate, try, and punish those responsible for the facts in this case, with a view to establishing the real motives surrounding the murder of journalist Gerardo Bedoya Borrero.</w:t>
            </w:r>
          </w:p>
        </w:tc>
        <w:tc>
          <w:tcPr>
            <w:tcW w:w="1710" w:type="dxa"/>
            <w:shd w:val="clear" w:color="auto" w:fill="D9D9D9" w:themeFill="background1" w:themeFillShade="D9"/>
            <w:vAlign w:val="center"/>
          </w:tcPr>
          <w:p w14:paraId="47EB2576"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4986C209" w14:textId="77777777">
        <w:trPr>
          <w:trHeight w:val="495"/>
          <w:jc w:val="center"/>
        </w:trPr>
        <w:tc>
          <w:tcPr>
            <w:tcW w:w="534" w:type="dxa"/>
            <w:shd w:val="clear" w:color="auto" w:fill="D9D9D9" w:themeFill="background1" w:themeFillShade="D9"/>
            <w:vAlign w:val="center"/>
          </w:tcPr>
          <w:p w14:paraId="2974B108"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D9D9D9" w:themeFill="background1" w:themeFillShade="D9"/>
            <w:vAlign w:val="center"/>
          </w:tcPr>
          <w:p w14:paraId="7CB851F3"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D9D9D9" w:themeFill="background1" w:themeFillShade="D9"/>
            <w:vAlign w:val="center"/>
          </w:tcPr>
          <w:p w14:paraId="462CD382"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40BB025C"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FOURTH: Financial compensation. </w:t>
            </w:r>
            <w:r w:rsidRPr="00C57C0F">
              <w:rPr>
                <w:rFonts w:ascii="Cambria" w:eastAsia="MS Mincho" w:hAnsi="Cambria" w:cs="Arial"/>
                <w:sz w:val="18"/>
                <w:szCs w:val="18"/>
                <w:lang w:eastAsia="es-ES_tradnl"/>
              </w:rPr>
              <w:t>Once this friendly settlement agreement is approved through the adoption of the corresponding report under Article 49 of the American Convention of Human Rights, the State undertakes to enforce Law 288 of 1996 […].</w:t>
            </w:r>
          </w:p>
        </w:tc>
        <w:tc>
          <w:tcPr>
            <w:tcW w:w="1710" w:type="dxa"/>
            <w:shd w:val="clear" w:color="auto" w:fill="D9D9D9" w:themeFill="background1" w:themeFillShade="D9"/>
            <w:vAlign w:val="center"/>
          </w:tcPr>
          <w:p w14:paraId="61565EFC"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17B62124" w14:textId="77777777">
        <w:trPr>
          <w:trHeight w:val="495"/>
          <w:jc w:val="center"/>
        </w:trPr>
        <w:tc>
          <w:tcPr>
            <w:tcW w:w="534" w:type="dxa"/>
            <w:shd w:val="clear" w:color="auto" w:fill="FFFFFF" w:themeFill="background1"/>
            <w:vAlign w:val="center"/>
          </w:tcPr>
          <w:p w14:paraId="51CEC0F7"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FFFFFF" w:themeFill="background1"/>
            <w:vAlign w:val="center"/>
          </w:tcPr>
          <w:p w14:paraId="03CD9A94"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13.370, Report No. 80/20, Luis Horacio Patiño and family</w:t>
            </w:r>
          </w:p>
        </w:tc>
        <w:tc>
          <w:tcPr>
            <w:tcW w:w="1172" w:type="dxa"/>
            <w:shd w:val="clear" w:color="auto" w:fill="FFFFFF" w:themeFill="background1"/>
            <w:vAlign w:val="center"/>
          </w:tcPr>
          <w:p w14:paraId="01AFC0E3"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4E8782E1"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SECOND: Measures of satisfaction. B) Making of banners. </w:t>
            </w:r>
            <w:r w:rsidRPr="00C57C0F">
              <w:rPr>
                <w:rFonts w:ascii="Cambria" w:eastAsia="MS Mincho" w:hAnsi="Cambria" w:cs="Arial"/>
                <w:sz w:val="18"/>
                <w:szCs w:val="18"/>
                <w:lang w:eastAsia="es-ES_tradnl"/>
              </w:rPr>
              <w:t>The National Penitentiary and Prison Institute (INPEC) shall have banners made measuring 1.5 x 2.0 meters, bearing the photograph of Mr.  Luis Horacio Patiño Agudelo and a brief biographical sketch.  Which shall be hung in five of INPEC's second-generation national prison establishments.</w:t>
            </w:r>
          </w:p>
        </w:tc>
        <w:tc>
          <w:tcPr>
            <w:tcW w:w="1710" w:type="dxa"/>
            <w:shd w:val="clear" w:color="auto" w:fill="FFFFFF" w:themeFill="background1"/>
            <w:vAlign w:val="center"/>
          </w:tcPr>
          <w:p w14:paraId="3FB4D758"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7F171FE4" w14:textId="77777777">
        <w:trPr>
          <w:trHeight w:val="495"/>
          <w:jc w:val="center"/>
        </w:trPr>
        <w:tc>
          <w:tcPr>
            <w:tcW w:w="534" w:type="dxa"/>
            <w:shd w:val="clear" w:color="auto" w:fill="FFFFFF" w:themeFill="background1"/>
            <w:vAlign w:val="center"/>
          </w:tcPr>
          <w:p w14:paraId="41221135"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52FB01C2"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027F51B6"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696E6B9C" w14:textId="77777777" w:rsidR="007704F4" w:rsidRPr="00C57C0F" w:rsidRDefault="007704F4">
            <w:pPr>
              <w:ind w:right="-12"/>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THIRD: Guarantees of non-repetition. </w:t>
            </w:r>
            <w:r w:rsidRPr="00C57C0F">
              <w:rPr>
                <w:rFonts w:ascii="Cambria" w:eastAsia="MS Mincho" w:hAnsi="Cambria" w:cs="Arial"/>
                <w:sz w:val="18"/>
                <w:szCs w:val="18"/>
                <w:lang w:eastAsia="es-ES_tradnl"/>
              </w:rPr>
              <w:t>Through the National Penitentiary and Prison Institute (INPEC), the State commits to include what happened on January 17, 1996 in the "El Barne" National Penitentiary as a subject matter of a "lesson learned" exercise that will serve as a tool for evaluating and improving penitentiary services to be addressed in human rights training courses delivered by the National School of Penitentiary Studies [Escuela Penitenciaria Nacional in Spanish].</w:t>
            </w:r>
          </w:p>
        </w:tc>
        <w:tc>
          <w:tcPr>
            <w:tcW w:w="1710" w:type="dxa"/>
            <w:shd w:val="clear" w:color="auto" w:fill="FFFFFF" w:themeFill="background1"/>
            <w:vAlign w:val="center"/>
          </w:tcPr>
          <w:p w14:paraId="4C233E3A"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59E2A069" w14:textId="77777777">
        <w:trPr>
          <w:trHeight w:val="495"/>
          <w:jc w:val="center"/>
        </w:trPr>
        <w:tc>
          <w:tcPr>
            <w:tcW w:w="534" w:type="dxa"/>
            <w:shd w:val="clear" w:color="auto" w:fill="FFFFFF" w:themeFill="background1"/>
            <w:vAlign w:val="center"/>
          </w:tcPr>
          <w:p w14:paraId="352F7274"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78469318"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46860072"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1DCBF1A7"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FOURTH: Financial compensation. </w:t>
            </w:r>
            <w:r w:rsidRPr="00C57C0F">
              <w:rPr>
                <w:rFonts w:ascii="Cambria" w:eastAsia="MS Mincho" w:hAnsi="Cambria" w:cs="Arial"/>
                <w:sz w:val="18"/>
                <w:szCs w:val="18"/>
                <w:lang w:eastAsia="es-ES_tradnl"/>
              </w:rPr>
              <w:t>The State commits to applying Law 288 of 1996 once the present Friendly Settlement Agreement is approved by issuance of the report envisaged in Article 49 of the American Convention on Human Rights, […].</w:t>
            </w:r>
          </w:p>
        </w:tc>
        <w:tc>
          <w:tcPr>
            <w:tcW w:w="1710" w:type="dxa"/>
            <w:shd w:val="clear" w:color="auto" w:fill="FFFFFF" w:themeFill="background1"/>
            <w:vAlign w:val="center"/>
          </w:tcPr>
          <w:p w14:paraId="34025E26"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31EDA19E" w14:textId="77777777">
        <w:trPr>
          <w:trHeight w:val="495"/>
          <w:jc w:val="center"/>
        </w:trPr>
        <w:tc>
          <w:tcPr>
            <w:tcW w:w="534" w:type="dxa"/>
            <w:shd w:val="clear" w:color="auto" w:fill="D9D9D9" w:themeFill="background1" w:themeFillShade="D9"/>
            <w:vAlign w:val="center"/>
          </w:tcPr>
          <w:p w14:paraId="6630B65B"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D9D9D9" w:themeFill="background1" w:themeFillShade="D9"/>
            <w:vAlign w:val="center"/>
          </w:tcPr>
          <w:p w14:paraId="75D0B592"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 xml:space="preserve">Petition 595-09, Report No. 84/20, Jorge Alberto Montes </w:t>
            </w:r>
            <w:r w:rsidRPr="00C57C0F">
              <w:rPr>
                <w:rFonts w:ascii="Cambria" w:hAnsi="Cambria"/>
                <w:color w:val="000000"/>
                <w:sz w:val="18"/>
                <w:szCs w:val="18"/>
              </w:rPr>
              <w:t>and Family</w:t>
            </w:r>
            <w:r w:rsidRPr="00C57C0F">
              <w:rPr>
                <w:rFonts w:ascii="Cambria" w:eastAsia="MS Mincho" w:hAnsi="Cambria" w:cs="Arial"/>
                <w:sz w:val="18"/>
                <w:szCs w:val="18"/>
              </w:rPr>
              <w:t>,</w:t>
            </w:r>
          </w:p>
        </w:tc>
        <w:tc>
          <w:tcPr>
            <w:tcW w:w="1172" w:type="dxa"/>
            <w:shd w:val="clear" w:color="auto" w:fill="D9D9D9" w:themeFill="background1" w:themeFillShade="D9"/>
            <w:vAlign w:val="center"/>
          </w:tcPr>
          <w:p w14:paraId="62D28D2F"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427F3AB0"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THIRD: Financial reparation. </w:t>
            </w:r>
            <w:r w:rsidRPr="00C57C0F">
              <w:rPr>
                <w:rFonts w:ascii="Cambria" w:eastAsia="MS Mincho" w:hAnsi="Cambria" w:cs="Arial"/>
                <w:sz w:val="18"/>
                <w:szCs w:val="18"/>
                <w:lang w:eastAsia="es-ES_tradnl"/>
              </w:rPr>
              <w:t>The State commits to applying Law 288 of 1996 once the present Friendly Settlement Agreement is approved by issuance of the report envisaged in Article 49 of the American Convention on Human Rights, […].</w:t>
            </w:r>
          </w:p>
        </w:tc>
        <w:tc>
          <w:tcPr>
            <w:tcW w:w="1710" w:type="dxa"/>
            <w:shd w:val="clear" w:color="auto" w:fill="D9D9D9" w:themeFill="background1" w:themeFillShade="D9"/>
            <w:vAlign w:val="center"/>
          </w:tcPr>
          <w:p w14:paraId="25FB3A05"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3C33967E" w14:textId="77777777">
        <w:trPr>
          <w:trHeight w:val="495"/>
          <w:jc w:val="center"/>
        </w:trPr>
        <w:tc>
          <w:tcPr>
            <w:tcW w:w="534" w:type="dxa"/>
            <w:shd w:val="clear" w:color="auto" w:fill="FFFFFF" w:themeFill="background1"/>
            <w:vAlign w:val="center"/>
          </w:tcPr>
          <w:p w14:paraId="045DEF09"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FFFFFF" w:themeFill="background1"/>
            <w:vAlign w:val="center"/>
          </w:tcPr>
          <w:p w14:paraId="22A7EE6F"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 xml:space="preserve">Case 13.319, Report No. 213/20, William Fernández Becerra </w:t>
            </w:r>
            <w:r w:rsidRPr="00C57C0F">
              <w:rPr>
                <w:rFonts w:ascii="Cambria" w:hAnsi="Cambria"/>
                <w:color w:val="000000"/>
                <w:sz w:val="18"/>
                <w:szCs w:val="18"/>
              </w:rPr>
              <w:t>and Family,</w:t>
            </w:r>
          </w:p>
        </w:tc>
        <w:tc>
          <w:tcPr>
            <w:tcW w:w="1172" w:type="dxa"/>
            <w:shd w:val="clear" w:color="auto" w:fill="FFFFFF" w:themeFill="background1"/>
            <w:vAlign w:val="center"/>
          </w:tcPr>
          <w:p w14:paraId="1F72DAB7"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143D4F69" w14:textId="77777777" w:rsidR="007704F4" w:rsidRPr="00C57C0F" w:rsidRDefault="007704F4">
            <w:pPr>
              <w:ind w:right="-12"/>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CLAUSE</w:t>
            </w:r>
            <w:r w:rsidRPr="00C57C0F">
              <w:rPr>
                <w:rFonts w:ascii="Cambria" w:hAnsi="Cambria"/>
                <w:sz w:val="18"/>
                <w:szCs w:val="18"/>
              </w:rPr>
              <w:t xml:space="preserve"> </w:t>
            </w:r>
            <w:r w:rsidRPr="00C57C0F">
              <w:rPr>
                <w:rFonts w:ascii="Cambria" w:eastAsia="MS Mincho" w:hAnsi="Cambria" w:cs="Arial"/>
                <w:b/>
                <w:bCs/>
                <w:sz w:val="18"/>
                <w:szCs w:val="18"/>
                <w:lang w:eastAsia="es-ES_tradnl"/>
              </w:rPr>
              <w:t>SECOND. Act of acknowledgment of responsibility.</w:t>
            </w:r>
          </w:p>
          <w:p w14:paraId="0F1C3A13"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eastAsia="MS Mincho" w:hAnsi="Cambria" w:cs="Arial"/>
                <w:sz w:val="18"/>
                <w:szCs w:val="18"/>
                <w:lang w:eastAsia="es-ES_tradnl"/>
              </w:rPr>
              <w:t>A private ceremony acknowledging responsibility to be presided over by the Commander of the Metropolitan Police of Popayan. […].</w:t>
            </w:r>
          </w:p>
        </w:tc>
        <w:tc>
          <w:tcPr>
            <w:tcW w:w="1710" w:type="dxa"/>
            <w:shd w:val="clear" w:color="auto" w:fill="FFFFFF" w:themeFill="background1"/>
            <w:vAlign w:val="center"/>
          </w:tcPr>
          <w:p w14:paraId="48ECB6F4"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2E17F2E7" w14:textId="77777777">
        <w:trPr>
          <w:trHeight w:val="495"/>
          <w:jc w:val="center"/>
        </w:trPr>
        <w:tc>
          <w:tcPr>
            <w:tcW w:w="534" w:type="dxa"/>
            <w:shd w:val="clear" w:color="auto" w:fill="FFFFFF" w:themeFill="background1"/>
            <w:vAlign w:val="center"/>
          </w:tcPr>
          <w:p w14:paraId="2221302C"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6E41DE00"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6FEE93EB"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2EAD8A32" w14:textId="77777777" w:rsidR="007704F4" w:rsidRPr="00C57C0F" w:rsidRDefault="007704F4">
            <w:pPr>
              <w:ind w:right="-12"/>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SECOND. Publication of the facts. </w:t>
            </w:r>
            <w:r w:rsidRPr="00C57C0F">
              <w:rPr>
                <w:rFonts w:ascii="Cambria" w:eastAsia="MS Mincho" w:hAnsi="Cambria" w:cs="Arial"/>
                <w:sz w:val="18"/>
                <w:szCs w:val="18"/>
                <w:lang w:eastAsia="es-ES_tradnl"/>
              </w:rPr>
              <w:t xml:space="preserve">The Colombian State commits to posting the report issued by the Inter-American Commission on Human Rights pursuant to Article 49 of the American Convention that approves the friendly settlement </w:t>
            </w:r>
            <w:r w:rsidRPr="00C57C0F">
              <w:rPr>
                <w:rFonts w:ascii="Cambria" w:eastAsia="MS Mincho" w:hAnsi="Cambria" w:cs="Arial"/>
                <w:sz w:val="18"/>
                <w:szCs w:val="18"/>
                <w:lang w:eastAsia="es-ES_tradnl"/>
              </w:rPr>
              <w:lastRenderedPageBreak/>
              <w:t>agreement on the web pages of the Ministry of National Defense and the National Legal Defense Agency of the State.</w:t>
            </w:r>
          </w:p>
        </w:tc>
        <w:tc>
          <w:tcPr>
            <w:tcW w:w="1710" w:type="dxa"/>
            <w:shd w:val="clear" w:color="auto" w:fill="FFFFFF" w:themeFill="background1"/>
            <w:vAlign w:val="center"/>
          </w:tcPr>
          <w:p w14:paraId="529B6253"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lastRenderedPageBreak/>
              <w:t>Total 2022</w:t>
            </w:r>
          </w:p>
        </w:tc>
      </w:tr>
      <w:tr w:rsidR="007704F4" w:rsidRPr="00C57C0F" w14:paraId="0BC474AE" w14:textId="77777777">
        <w:trPr>
          <w:trHeight w:val="495"/>
          <w:jc w:val="center"/>
        </w:trPr>
        <w:tc>
          <w:tcPr>
            <w:tcW w:w="534" w:type="dxa"/>
            <w:shd w:val="clear" w:color="auto" w:fill="FFFFFF" w:themeFill="background1"/>
            <w:vAlign w:val="center"/>
          </w:tcPr>
          <w:p w14:paraId="67CE5F35"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7327658B"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496F77E9"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54580D92"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FOURTH: Financial reparation. </w:t>
            </w:r>
            <w:r w:rsidRPr="00C57C0F">
              <w:rPr>
                <w:rFonts w:ascii="Cambria" w:eastAsia="MS Mincho" w:hAnsi="Cambria" w:cs="Arial"/>
                <w:sz w:val="18"/>
                <w:szCs w:val="18"/>
                <w:lang w:eastAsia="es-ES_tradnl"/>
              </w:rPr>
              <w:t>Clause 4.1 The State shall implement a satisfaction measure geared to restoring the dignity of the family of the young WILLAM FERNANDEZ BECERRA and agree to pay 100 minimum monthly legal wages (SMLMV) to each member of his immediate nuclear family, that is to say, his parents, and 50 SMLMV to each of his two (2) siblings.</w:t>
            </w:r>
          </w:p>
        </w:tc>
        <w:tc>
          <w:tcPr>
            <w:tcW w:w="1710" w:type="dxa"/>
            <w:shd w:val="clear" w:color="auto" w:fill="FFFFFF" w:themeFill="background1"/>
            <w:vAlign w:val="center"/>
          </w:tcPr>
          <w:p w14:paraId="510D7168"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2022</w:t>
            </w:r>
          </w:p>
        </w:tc>
      </w:tr>
      <w:tr w:rsidR="007704F4" w:rsidRPr="00C57C0F" w14:paraId="7347D366" w14:textId="77777777">
        <w:trPr>
          <w:trHeight w:val="495"/>
          <w:jc w:val="center"/>
        </w:trPr>
        <w:tc>
          <w:tcPr>
            <w:tcW w:w="534" w:type="dxa"/>
            <w:shd w:val="clear" w:color="auto" w:fill="D9D9D9" w:themeFill="background1" w:themeFillShade="D9"/>
            <w:vAlign w:val="center"/>
          </w:tcPr>
          <w:p w14:paraId="0ABCFF25"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D9D9D9" w:themeFill="background1" w:themeFillShade="D9"/>
            <w:vAlign w:val="center"/>
          </w:tcPr>
          <w:p w14:paraId="0F94F04F"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13.421, Report No. 333/20, Geminiano Gil Martinez and Family,</w:t>
            </w:r>
          </w:p>
        </w:tc>
        <w:tc>
          <w:tcPr>
            <w:tcW w:w="1172" w:type="dxa"/>
            <w:shd w:val="clear" w:color="auto" w:fill="D9D9D9" w:themeFill="background1" w:themeFillShade="D9"/>
            <w:vAlign w:val="center"/>
          </w:tcPr>
          <w:p w14:paraId="5FD3AD36"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D9D9D9" w:themeFill="background1" w:themeFillShade="D9"/>
            <w:vAlign w:val="center"/>
          </w:tcPr>
          <w:p w14:paraId="56A8D864" w14:textId="77777777" w:rsidR="007704F4" w:rsidRPr="00C57C0F" w:rsidRDefault="007704F4">
            <w:pPr>
              <w:ind w:right="-12"/>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THIRD. C)   Publication of the facts: </w:t>
            </w:r>
            <w:r w:rsidRPr="00C57C0F">
              <w:rPr>
                <w:rFonts w:ascii="Cambria" w:eastAsia="MS Mincho" w:hAnsi="Cambria" w:cs="Arial"/>
                <w:sz w:val="18"/>
                <w:szCs w:val="18"/>
                <w:lang w:eastAsia="es-ES_tradnl"/>
              </w:rPr>
              <w:t>The Colombian State commits to posting the report issued by the Inter-American Commission on Human Rights pursuant to Article 49 of the American Convention that approves the friendly settlement agreement on the web page of the National Legal Defense Agency of the State for a period of six months.</w:t>
            </w:r>
          </w:p>
        </w:tc>
        <w:tc>
          <w:tcPr>
            <w:tcW w:w="1710" w:type="dxa"/>
            <w:shd w:val="clear" w:color="auto" w:fill="D9D9D9" w:themeFill="background1" w:themeFillShade="D9"/>
            <w:vAlign w:val="center"/>
          </w:tcPr>
          <w:p w14:paraId="2682641F"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27755516" w14:textId="77777777">
        <w:trPr>
          <w:trHeight w:val="495"/>
          <w:jc w:val="center"/>
        </w:trPr>
        <w:tc>
          <w:tcPr>
            <w:tcW w:w="534" w:type="dxa"/>
            <w:shd w:val="clear" w:color="auto" w:fill="D9D9D9" w:themeFill="background1" w:themeFillShade="D9"/>
            <w:vAlign w:val="center"/>
          </w:tcPr>
          <w:p w14:paraId="2585DD9A"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D9D9D9" w:themeFill="background1" w:themeFillShade="D9"/>
            <w:vAlign w:val="center"/>
          </w:tcPr>
          <w:p w14:paraId="1B932601"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D9D9D9" w:themeFill="background1" w:themeFillShade="D9"/>
            <w:vAlign w:val="center"/>
          </w:tcPr>
          <w:p w14:paraId="7725ABA8"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7B374E2E"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FOURTH: Financial reparation. </w:t>
            </w:r>
            <w:r w:rsidRPr="00C57C0F">
              <w:rPr>
                <w:rFonts w:ascii="Cambria" w:eastAsia="MS Mincho" w:hAnsi="Cambria" w:cs="Arial"/>
                <w:sz w:val="18"/>
                <w:szCs w:val="18"/>
                <w:lang w:eastAsia="es-ES_tradnl"/>
              </w:rPr>
              <w:t>The State commits to applying Law 288 of 1996 once the present Friendly Settlement Agreement is approved by issuance of the report envisaged in Article 49 of the American Convention on Human Rights, […].</w:t>
            </w:r>
          </w:p>
        </w:tc>
        <w:tc>
          <w:tcPr>
            <w:tcW w:w="1710" w:type="dxa"/>
            <w:shd w:val="clear" w:color="auto" w:fill="D9D9D9" w:themeFill="background1" w:themeFillShade="D9"/>
            <w:vAlign w:val="center"/>
          </w:tcPr>
          <w:p w14:paraId="13BF282F"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2022</w:t>
            </w:r>
          </w:p>
        </w:tc>
      </w:tr>
      <w:tr w:rsidR="007704F4" w:rsidRPr="00C57C0F" w14:paraId="19855B01" w14:textId="77777777">
        <w:trPr>
          <w:trHeight w:val="495"/>
          <w:jc w:val="center"/>
        </w:trPr>
        <w:tc>
          <w:tcPr>
            <w:tcW w:w="534" w:type="dxa"/>
            <w:shd w:val="clear" w:color="auto" w:fill="FFFFFF" w:themeFill="background1"/>
            <w:vAlign w:val="center"/>
          </w:tcPr>
          <w:p w14:paraId="5B4E07CE"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FFFFFF" w:themeFill="background1"/>
            <w:vAlign w:val="center"/>
          </w:tcPr>
          <w:p w14:paraId="5B8E495E" w14:textId="77777777" w:rsidR="007704F4" w:rsidRPr="00C57C0F" w:rsidRDefault="007704F4">
            <w:pPr>
              <w:ind w:right="-18"/>
              <w:contextualSpacing/>
              <w:rPr>
                <w:rFonts w:ascii="Cambria" w:eastAsia="MS Mincho" w:hAnsi="Cambria" w:cs="Arial"/>
                <w:sz w:val="18"/>
                <w:szCs w:val="18"/>
              </w:rPr>
            </w:pPr>
          </w:p>
          <w:p w14:paraId="7CA18BB0" w14:textId="77777777" w:rsidR="007704F4" w:rsidRPr="00C57C0F" w:rsidRDefault="007704F4">
            <w:pPr>
              <w:ind w:right="-18"/>
              <w:contextualSpacing/>
              <w:rPr>
                <w:rFonts w:ascii="Cambria" w:eastAsia="MS Mincho" w:hAnsi="Cambria" w:cs="Arial"/>
                <w:sz w:val="18"/>
                <w:szCs w:val="18"/>
              </w:rPr>
            </w:pPr>
          </w:p>
          <w:p w14:paraId="5C78D865" w14:textId="77777777" w:rsidR="007704F4" w:rsidRPr="00C57C0F" w:rsidRDefault="007704F4">
            <w:pPr>
              <w:ind w:right="-18"/>
              <w:contextualSpacing/>
              <w:rPr>
                <w:rFonts w:ascii="Cambria" w:eastAsia="MS Mincho" w:hAnsi="Cambria" w:cs="Arial"/>
                <w:sz w:val="18"/>
                <w:szCs w:val="18"/>
              </w:rPr>
            </w:pPr>
          </w:p>
          <w:p w14:paraId="23128577" w14:textId="77777777" w:rsidR="007704F4" w:rsidRPr="00C57C0F" w:rsidRDefault="007704F4">
            <w:pPr>
              <w:ind w:right="-18"/>
              <w:contextualSpacing/>
              <w:rPr>
                <w:rFonts w:ascii="Cambria" w:eastAsia="MS Mincho" w:hAnsi="Cambria" w:cs="Arial"/>
                <w:sz w:val="18"/>
                <w:szCs w:val="18"/>
              </w:rPr>
            </w:pPr>
          </w:p>
          <w:p w14:paraId="1896F9DA" w14:textId="77777777" w:rsidR="007704F4" w:rsidRPr="00C57C0F" w:rsidRDefault="007704F4">
            <w:pPr>
              <w:ind w:right="-18"/>
              <w:contextualSpacing/>
              <w:rPr>
                <w:rFonts w:ascii="Cambria" w:eastAsia="MS Mincho" w:hAnsi="Cambria" w:cs="Arial"/>
                <w:sz w:val="18"/>
                <w:szCs w:val="18"/>
              </w:rPr>
            </w:pPr>
          </w:p>
          <w:p w14:paraId="72FBEEF1" w14:textId="77777777" w:rsidR="007704F4" w:rsidRPr="00C57C0F" w:rsidRDefault="007704F4">
            <w:pPr>
              <w:ind w:right="-18"/>
              <w:contextualSpacing/>
              <w:rPr>
                <w:rFonts w:ascii="Cambria" w:eastAsia="MS Mincho" w:hAnsi="Cambria" w:cs="Arial"/>
                <w:sz w:val="18"/>
                <w:szCs w:val="18"/>
              </w:rPr>
            </w:pPr>
          </w:p>
          <w:p w14:paraId="460A9015" w14:textId="77777777" w:rsidR="007704F4" w:rsidRPr="00C57C0F" w:rsidRDefault="007704F4">
            <w:pPr>
              <w:ind w:right="-18"/>
              <w:contextualSpacing/>
              <w:rPr>
                <w:rFonts w:ascii="Cambria" w:eastAsia="MS Mincho" w:hAnsi="Cambria" w:cs="Arial"/>
                <w:sz w:val="18"/>
                <w:szCs w:val="18"/>
              </w:rPr>
            </w:pPr>
          </w:p>
          <w:p w14:paraId="1E464B46"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13.642, Report No. 41/21, Edgar José Sánchez Duarte, and Family,</w:t>
            </w:r>
          </w:p>
        </w:tc>
        <w:tc>
          <w:tcPr>
            <w:tcW w:w="1172" w:type="dxa"/>
            <w:shd w:val="clear" w:color="auto" w:fill="FFFFFF" w:themeFill="background1"/>
            <w:vAlign w:val="center"/>
          </w:tcPr>
          <w:p w14:paraId="09C28783"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06D56038"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CLAUSE 1.1.2. 1.1</w:t>
            </w:r>
            <w:r w:rsidRPr="00C57C0F">
              <w:rPr>
                <w:rFonts w:ascii="Cambria" w:eastAsia="MS Mincho" w:hAnsi="Cambria" w:cs="Arial"/>
                <w:b/>
                <w:bCs/>
                <w:sz w:val="18"/>
                <w:szCs w:val="18"/>
                <w:lang w:eastAsia="es-ES_tradnl"/>
              </w:rPr>
              <w:tab/>
              <w:t xml:space="preserve">Medical and psychosocial care: </w:t>
            </w:r>
            <w:r w:rsidRPr="00C57C0F">
              <w:rPr>
                <w:rFonts w:ascii="Cambria" w:eastAsia="MS Mincho" w:hAnsi="Cambria" w:cs="Arial"/>
                <w:sz w:val="18"/>
                <w:szCs w:val="18"/>
                <w:lang w:eastAsia="es-ES_tradnl"/>
              </w:rPr>
              <w:t>The Ministry of Health and Social Protection, in exercise of the powers described in Decree Law 4107 of 2011, will coordinate the health rehabilitation measures that constitute medical, psychological and psychosocial care through the General System of Social Security in Health and its members, which will guarantee adequate, opportune and prioritized treatment as long as necessary (according to medical criteria), in accordance with the legal provisions on the matter. […].</w:t>
            </w:r>
          </w:p>
        </w:tc>
        <w:tc>
          <w:tcPr>
            <w:tcW w:w="1710" w:type="dxa"/>
            <w:shd w:val="clear" w:color="auto" w:fill="FFFFFF" w:themeFill="background1"/>
            <w:vAlign w:val="center"/>
          </w:tcPr>
          <w:p w14:paraId="42D8FD97"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2022</w:t>
            </w:r>
          </w:p>
        </w:tc>
      </w:tr>
      <w:tr w:rsidR="007704F4" w:rsidRPr="00C57C0F" w14:paraId="68ED52B6" w14:textId="77777777">
        <w:trPr>
          <w:trHeight w:val="495"/>
          <w:jc w:val="center"/>
        </w:trPr>
        <w:tc>
          <w:tcPr>
            <w:tcW w:w="534" w:type="dxa"/>
            <w:shd w:val="clear" w:color="auto" w:fill="FFFFFF" w:themeFill="background1"/>
            <w:vAlign w:val="center"/>
          </w:tcPr>
          <w:p w14:paraId="2C010457"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3E104251"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10CCE68F"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1FB5BA38"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CLAUSE 1.2 Financial aid:</w:t>
            </w:r>
            <w:r w:rsidRPr="00C57C0F">
              <w:rPr>
                <w:rFonts w:ascii="Cambria" w:eastAsia="MS Mincho" w:hAnsi="Cambria" w:cs="Arial"/>
                <w:sz w:val="18"/>
                <w:szCs w:val="18"/>
                <w:lang w:eastAsia="es-ES_tradnl"/>
              </w:rPr>
              <w:t xml:space="preserve"> The Colombian State, through the Ministry of National Education and the Colombian Institute of Educational Credit and Technical Studies Abroad ICETEX, will grant financial assistance to Edgar José Sánchez Fuentes, son of Mr. Edgar José Sánchez Duarte, hereinafter the "beneficiary", who did not benefit from the reparation granted by the contentious administrative jurisdiction, with the aim of financing an academic program of a technical, professional, technological, university or postgraduate level in a Higher Education Institution in Colombia recognized by the Ministry of National Education, in a classroom-base, distance learning or virtual modality. […].</w:t>
            </w:r>
          </w:p>
        </w:tc>
        <w:tc>
          <w:tcPr>
            <w:tcW w:w="1710" w:type="dxa"/>
            <w:shd w:val="clear" w:color="auto" w:fill="FFFFFF" w:themeFill="background1"/>
            <w:vAlign w:val="center"/>
          </w:tcPr>
          <w:p w14:paraId="19B5A7A6"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12C4A311" w14:textId="77777777">
        <w:trPr>
          <w:trHeight w:val="495"/>
          <w:jc w:val="center"/>
        </w:trPr>
        <w:tc>
          <w:tcPr>
            <w:tcW w:w="534" w:type="dxa"/>
            <w:shd w:val="clear" w:color="auto" w:fill="FFFFFF" w:themeFill="background1"/>
            <w:vAlign w:val="center"/>
          </w:tcPr>
          <w:p w14:paraId="738AEDED"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33D686D3"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47FF0B84"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1E69B001" w14:textId="77777777" w:rsidR="007704F4" w:rsidRPr="00C57C0F" w:rsidRDefault="007704F4">
            <w:pPr>
              <w:tabs>
                <w:tab w:val="left" w:pos="4483"/>
              </w:tabs>
              <w:ind w:right="-12"/>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1.3. Economic reparations: </w:t>
            </w:r>
            <w:r w:rsidRPr="00C57C0F">
              <w:rPr>
                <w:rFonts w:ascii="Cambria" w:eastAsia="MS Mincho" w:hAnsi="Cambria" w:cs="Arial"/>
                <w:sz w:val="18"/>
                <w:szCs w:val="18"/>
                <w:lang w:eastAsia="es-ES_tradnl"/>
              </w:rPr>
              <w:t>The Ministry of National Defense undertakes to compensate the moral damages that will be proven by the violations recognized in this agreement through the mechanism established by Law 288 of 1996. […].</w:t>
            </w:r>
          </w:p>
        </w:tc>
        <w:tc>
          <w:tcPr>
            <w:tcW w:w="1710" w:type="dxa"/>
            <w:shd w:val="clear" w:color="auto" w:fill="FFFFFF" w:themeFill="background1"/>
            <w:vAlign w:val="center"/>
          </w:tcPr>
          <w:p w14:paraId="5791E32A"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2022</w:t>
            </w:r>
          </w:p>
        </w:tc>
      </w:tr>
      <w:tr w:rsidR="007704F4" w:rsidRPr="00C57C0F" w14:paraId="7B61650C" w14:textId="77777777">
        <w:trPr>
          <w:trHeight w:val="495"/>
          <w:jc w:val="center"/>
        </w:trPr>
        <w:tc>
          <w:tcPr>
            <w:tcW w:w="534" w:type="dxa"/>
            <w:shd w:val="clear" w:color="auto" w:fill="D9D9D9" w:themeFill="background1" w:themeFillShade="D9"/>
            <w:vAlign w:val="center"/>
          </w:tcPr>
          <w:p w14:paraId="1CB090BB"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D9D9D9" w:themeFill="background1" w:themeFillShade="D9"/>
            <w:vAlign w:val="center"/>
          </w:tcPr>
          <w:p w14:paraId="3CAD0956"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13.171, Report No. 115/21, Luis Argemiro Gómez Atehortua</w:t>
            </w:r>
          </w:p>
        </w:tc>
        <w:tc>
          <w:tcPr>
            <w:tcW w:w="1172" w:type="dxa"/>
            <w:shd w:val="clear" w:color="auto" w:fill="D9D9D9" w:themeFill="background1" w:themeFillShade="D9"/>
            <w:vAlign w:val="center"/>
          </w:tcPr>
          <w:p w14:paraId="554BF2F2"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D9D9D9" w:themeFill="background1" w:themeFillShade="D9"/>
            <w:vAlign w:val="center"/>
          </w:tcPr>
          <w:p w14:paraId="5DB40B6C" w14:textId="77777777" w:rsidR="007704F4" w:rsidRPr="00C57C0F" w:rsidRDefault="007704F4">
            <w:pPr>
              <w:tabs>
                <w:tab w:val="left" w:pos="4483"/>
              </w:tabs>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1.2 Publication of the facts. </w:t>
            </w:r>
            <w:r w:rsidRPr="00C57C0F">
              <w:rPr>
                <w:rFonts w:ascii="Cambria" w:eastAsia="MS Mincho" w:hAnsi="Cambria" w:cs="Arial"/>
                <w:sz w:val="18"/>
                <w:szCs w:val="18"/>
                <w:lang w:eastAsia="es-ES_tradnl"/>
              </w:rPr>
              <w:t>The Colombian State commits itself to publish the report on Article 49 of the American Convention on Human Rights issued by the Inter-American Commission on Human Rights that approves the friendly settlement agreement, on the website of the Ministry of Defense and the National Police, for six months.</w:t>
            </w:r>
          </w:p>
        </w:tc>
        <w:tc>
          <w:tcPr>
            <w:tcW w:w="1710" w:type="dxa"/>
            <w:shd w:val="clear" w:color="auto" w:fill="D9D9D9" w:themeFill="background1" w:themeFillShade="D9"/>
            <w:vAlign w:val="center"/>
          </w:tcPr>
          <w:p w14:paraId="5F27227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04533024" w14:textId="77777777">
        <w:trPr>
          <w:trHeight w:val="495"/>
          <w:jc w:val="center"/>
        </w:trPr>
        <w:tc>
          <w:tcPr>
            <w:tcW w:w="534" w:type="dxa"/>
            <w:shd w:val="clear" w:color="auto" w:fill="D9D9D9" w:themeFill="background1" w:themeFillShade="D9"/>
            <w:vAlign w:val="center"/>
          </w:tcPr>
          <w:p w14:paraId="626E844E"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D9D9D9" w:themeFill="background1" w:themeFillShade="D9"/>
            <w:vAlign w:val="center"/>
          </w:tcPr>
          <w:p w14:paraId="44D6836C"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D9D9D9" w:themeFill="background1" w:themeFillShade="D9"/>
            <w:vAlign w:val="center"/>
          </w:tcPr>
          <w:p w14:paraId="747C8CF7"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D9D9D9" w:themeFill="background1" w:themeFillShade="D9"/>
            <w:vAlign w:val="center"/>
          </w:tcPr>
          <w:p w14:paraId="6938CB8D" w14:textId="77777777" w:rsidR="007704F4" w:rsidRPr="00C57C0F" w:rsidRDefault="007704F4">
            <w:pPr>
              <w:tabs>
                <w:tab w:val="left" w:pos="4483"/>
              </w:tabs>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1.3 Guarantees of non-repetition. </w:t>
            </w:r>
            <w:r w:rsidRPr="00C57C0F">
              <w:rPr>
                <w:rFonts w:ascii="Cambria" w:eastAsia="MS Mincho" w:hAnsi="Cambria" w:cs="Arial"/>
                <w:sz w:val="18"/>
                <w:szCs w:val="18"/>
                <w:lang w:eastAsia="es-ES_tradnl"/>
              </w:rPr>
              <w:t>The Ministry of Defense will carry out face-to-face and / or virtual training aimed at the Medellín Police Gaula, the Antioquia Police Department, the “General Francisco de Paula Santander” Police Officer Training School and the Non-Commissioned officers and Executive Level School “Gonzalo Jiménez de Quesada”, […].</w:t>
            </w:r>
          </w:p>
        </w:tc>
        <w:tc>
          <w:tcPr>
            <w:tcW w:w="1710" w:type="dxa"/>
            <w:shd w:val="clear" w:color="auto" w:fill="D9D9D9" w:themeFill="background1" w:themeFillShade="D9"/>
            <w:vAlign w:val="center"/>
          </w:tcPr>
          <w:p w14:paraId="42E5C8BF"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4B33C5B9" w14:textId="77777777">
        <w:trPr>
          <w:trHeight w:val="495"/>
          <w:jc w:val="center"/>
        </w:trPr>
        <w:tc>
          <w:tcPr>
            <w:tcW w:w="534" w:type="dxa"/>
            <w:shd w:val="clear" w:color="auto" w:fill="D9D9D9" w:themeFill="background1" w:themeFillShade="D9"/>
            <w:vAlign w:val="center"/>
          </w:tcPr>
          <w:p w14:paraId="066A8603"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D9D9D9" w:themeFill="background1" w:themeFillShade="D9"/>
            <w:vAlign w:val="center"/>
          </w:tcPr>
          <w:p w14:paraId="3FA3C5A8"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D9D9D9" w:themeFill="background1" w:themeFillShade="D9"/>
            <w:vAlign w:val="center"/>
          </w:tcPr>
          <w:p w14:paraId="08E28A16"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75D82F7A" w14:textId="77777777" w:rsidR="007704F4" w:rsidRPr="00C57C0F" w:rsidRDefault="007704F4">
            <w:pPr>
              <w:tabs>
                <w:tab w:val="left" w:pos="4483"/>
              </w:tabs>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CLAUSE</w:t>
            </w:r>
            <w:r w:rsidRPr="00C57C0F">
              <w:rPr>
                <w:rFonts w:ascii="Cambria" w:eastAsia="MS Mincho" w:hAnsi="Cambria" w:cs="Arial"/>
                <w:sz w:val="18"/>
                <w:szCs w:val="18"/>
                <w:lang w:eastAsia="es-ES_tradnl"/>
              </w:rPr>
              <w:t xml:space="preserve"> </w:t>
            </w:r>
            <w:r w:rsidRPr="00C57C0F">
              <w:rPr>
                <w:rFonts w:ascii="Cambria" w:eastAsia="MS Mincho" w:hAnsi="Cambria" w:cs="Arial"/>
                <w:b/>
                <w:bCs/>
                <w:sz w:val="18"/>
                <w:szCs w:val="18"/>
                <w:lang w:eastAsia="es-ES_tradnl"/>
              </w:rPr>
              <w:t xml:space="preserve">1.5 Pecuniary Reparation. </w:t>
            </w:r>
            <w:r w:rsidRPr="00C57C0F">
              <w:rPr>
                <w:rFonts w:ascii="Cambria" w:eastAsia="MS Mincho" w:hAnsi="Cambria" w:cs="Arial"/>
                <w:sz w:val="18"/>
                <w:szCs w:val="18"/>
                <w:lang w:eastAsia="es-ES_tradnl"/>
              </w:rPr>
              <w:t xml:space="preserve">The Ministry of Defense - National Police undertakes to compensate the moral damages that </w:t>
            </w:r>
            <w:r w:rsidRPr="00C57C0F">
              <w:rPr>
                <w:rFonts w:ascii="Cambria" w:eastAsia="MS Mincho" w:hAnsi="Cambria" w:cs="Arial"/>
                <w:sz w:val="18"/>
                <w:szCs w:val="18"/>
                <w:lang w:eastAsia="es-ES_tradnl"/>
              </w:rPr>
              <w:lastRenderedPageBreak/>
              <w:t xml:space="preserve">are proven by the violations recognized in this agreement through the mechanism established by Law 288 of 1996. […]. </w:t>
            </w:r>
          </w:p>
        </w:tc>
        <w:tc>
          <w:tcPr>
            <w:tcW w:w="1710" w:type="dxa"/>
            <w:shd w:val="clear" w:color="auto" w:fill="D9D9D9" w:themeFill="background1" w:themeFillShade="D9"/>
            <w:vAlign w:val="center"/>
          </w:tcPr>
          <w:p w14:paraId="01A25216"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lastRenderedPageBreak/>
              <w:t>Partial substantial 2022</w:t>
            </w:r>
          </w:p>
        </w:tc>
      </w:tr>
      <w:tr w:rsidR="007704F4" w:rsidRPr="00C57C0F" w14:paraId="4B93AEA2" w14:textId="77777777">
        <w:trPr>
          <w:trHeight w:val="495"/>
          <w:jc w:val="center"/>
        </w:trPr>
        <w:tc>
          <w:tcPr>
            <w:tcW w:w="534" w:type="dxa"/>
            <w:shd w:val="clear" w:color="auto" w:fill="FFFFFF" w:themeFill="background1"/>
            <w:vAlign w:val="center"/>
          </w:tcPr>
          <w:p w14:paraId="1C3518BC"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FFFFFF" w:themeFill="background1"/>
            <w:vAlign w:val="center"/>
          </w:tcPr>
          <w:p w14:paraId="3C02B106" w14:textId="77777777" w:rsidR="007704F4" w:rsidRPr="00C57C0F" w:rsidRDefault="007704F4">
            <w:pPr>
              <w:ind w:right="-18"/>
              <w:contextualSpacing/>
              <w:rPr>
                <w:rFonts w:ascii="Cambria" w:eastAsia="MS Mincho" w:hAnsi="Cambria" w:cs="Arial"/>
                <w:sz w:val="18"/>
                <w:szCs w:val="18"/>
              </w:rPr>
            </w:pPr>
          </w:p>
          <w:p w14:paraId="4E4E0D05"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13.571, Report 336/21, Carlos Mario Muñoz Gómez</w:t>
            </w:r>
          </w:p>
          <w:p w14:paraId="23564A7E"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407476CD"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4EFE64B2" w14:textId="77777777" w:rsidR="007704F4" w:rsidRPr="00C57C0F" w:rsidRDefault="007704F4">
            <w:pPr>
              <w:tabs>
                <w:tab w:val="left" w:pos="4663"/>
              </w:tabs>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1. b. Publication of the facts. </w:t>
            </w:r>
            <w:r w:rsidRPr="00C57C0F">
              <w:rPr>
                <w:rFonts w:ascii="Cambria" w:eastAsia="MS Mincho" w:hAnsi="Cambria" w:cs="Arial"/>
                <w:sz w:val="18"/>
                <w:szCs w:val="18"/>
                <w:lang w:eastAsia="es-ES_tradnl"/>
              </w:rPr>
              <w:t>The Colombian State undertakes to publish the report established on Article 49 of the American Convention on Human Rights issued by the Inter-American Commission on Human Rights that approves the friendly settlement agreement, on the National Police website for a period of one year, thus guaranteeing access to the homologation report and court rulings.</w:t>
            </w:r>
          </w:p>
        </w:tc>
        <w:tc>
          <w:tcPr>
            <w:tcW w:w="1710" w:type="dxa"/>
            <w:shd w:val="clear" w:color="auto" w:fill="FFFFFF" w:themeFill="background1"/>
            <w:vAlign w:val="center"/>
          </w:tcPr>
          <w:p w14:paraId="1069F2C8"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2022</w:t>
            </w:r>
          </w:p>
        </w:tc>
      </w:tr>
      <w:tr w:rsidR="007704F4" w:rsidRPr="00C57C0F" w14:paraId="4663C413" w14:textId="77777777">
        <w:trPr>
          <w:trHeight w:val="854"/>
          <w:jc w:val="center"/>
        </w:trPr>
        <w:tc>
          <w:tcPr>
            <w:tcW w:w="534" w:type="dxa"/>
            <w:shd w:val="clear" w:color="auto" w:fill="FFFFFF" w:themeFill="background1"/>
            <w:vAlign w:val="center"/>
          </w:tcPr>
          <w:p w14:paraId="7B9F5DBB"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2BDBC9D1"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29DA2C92"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tcPr>
          <w:p w14:paraId="31ECA81E" w14:textId="77777777" w:rsidR="007704F4" w:rsidRPr="00C57C0F" w:rsidRDefault="007704F4">
            <w:pPr>
              <w:tabs>
                <w:tab w:val="left" w:pos="4663"/>
              </w:tabs>
              <w:jc w:val="both"/>
              <w:rPr>
                <w:rFonts w:ascii="Cambria" w:hAnsi="Cambria" w:cs="Calibri"/>
                <w:color w:val="000000"/>
                <w:sz w:val="18"/>
                <w:szCs w:val="18"/>
                <w:bdr w:val="none" w:sz="0" w:space="0" w:color="auto" w:frame="1"/>
                <w:lang w:eastAsia="es-ES"/>
              </w:rPr>
            </w:pPr>
            <w:r w:rsidRPr="00C57C0F">
              <w:rPr>
                <w:rFonts w:ascii="Cambria" w:eastAsia="MS Mincho" w:hAnsi="Cambria" w:cs="Arial"/>
                <w:b/>
                <w:bCs/>
                <w:sz w:val="18"/>
                <w:szCs w:val="18"/>
                <w:lang w:eastAsia="es-ES_tradnl"/>
              </w:rPr>
              <w:t>CLAUSE</w:t>
            </w:r>
            <w:r w:rsidRPr="00C57C0F">
              <w:rPr>
                <w:rFonts w:ascii="Cambria" w:eastAsia="Times New Roman" w:hAnsi="Cambria"/>
                <w:b/>
                <w:bCs/>
                <w:sz w:val="18"/>
                <w:szCs w:val="18"/>
              </w:rPr>
              <w:t xml:space="preserve"> 3. Pecuniary damages. </w:t>
            </w:r>
            <w:r w:rsidRPr="00C57C0F">
              <w:rPr>
                <w:rFonts w:ascii="Cambria" w:eastAsia="Times New Roman" w:hAnsi="Cambria"/>
                <w:sz w:val="18"/>
                <w:szCs w:val="18"/>
              </w:rPr>
              <w:t xml:space="preserve">The State undertakes to apply Law 288 of 1996, once this friendly settlement agreement is approved by issuing the report established on Article 49 of the American Convention on Human Rights. </w:t>
            </w:r>
            <w:r w:rsidRPr="00C57C0F">
              <w:rPr>
                <w:rFonts w:ascii="Cambria" w:hAnsi="Cambria" w:cs="Calibri"/>
                <w:color w:val="000000"/>
                <w:sz w:val="18"/>
                <w:szCs w:val="18"/>
                <w:bdr w:val="none" w:sz="0" w:space="0" w:color="auto" w:frame="1"/>
                <w:lang w:eastAsia="es-ES"/>
              </w:rPr>
              <w:t>[…].</w:t>
            </w:r>
          </w:p>
        </w:tc>
        <w:tc>
          <w:tcPr>
            <w:tcW w:w="1710" w:type="dxa"/>
            <w:shd w:val="clear" w:color="auto" w:fill="FFFFFF" w:themeFill="background1"/>
            <w:vAlign w:val="center"/>
          </w:tcPr>
          <w:p w14:paraId="5EFA60E3"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16D2D434" w14:textId="77777777">
        <w:trPr>
          <w:trHeight w:val="495"/>
          <w:jc w:val="center"/>
        </w:trPr>
        <w:tc>
          <w:tcPr>
            <w:tcW w:w="534" w:type="dxa"/>
            <w:shd w:val="clear" w:color="auto" w:fill="D9D9D9" w:themeFill="background1" w:themeFillShade="D9"/>
            <w:vAlign w:val="center"/>
          </w:tcPr>
          <w:p w14:paraId="7C65DE0C"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D9D9D9" w:themeFill="background1" w:themeFillShade="D9"/>
            <w:vAlign w:val="center"/>
          </w:tcPr>
          <w:p w14:paraId="6B0467B2"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13.758, Report 337/21, Franklin Bustamante Restrepo</w:t>
            </w:r>
          </w:p>
        </w:tc>
        <w:tc>
          <w:tcPr>
            <w:tcW w:w="1172" w:type="dxa"/>
            <w:shd w:val="clear" w:color="auto" w:fill="D9D9D9" w:themeFill="background1" w:themeFillShade="D9"/>
            <w:vAlign w:val="center"/>
          </w:tcPr>
          <w:p w14:paraId="230B02E3"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D9D9D9" w:themeFill="background1" w:themeFillShade="D9"/>
            <w:vAlign w:val="center"/>
          </w:tcPr>
          <w:p w14:paraId="787A959A" w14:textId="77777777" w:rsidR="007704F4" w:rsidRPr="00C57C0F" w:rsidRDefault="007704F4">
            <w:pPr>
              <w:tabs>
                <w:tab w:val="left" w:pos="4663"/>
              </w:tabs>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CLAUSE</w:t>
            </w:r>
            <w:r w:rsidRPr="00C57C0F">
              <w:rPr>
                <w:rFonts w:ascii="Cambria" w:eastAsia="Times New Roman" w:hAnsi="Cambria"/>
                <w:b/>
                <w:bCs/>
                <w:sz w:val="18"/>
                <w:szCs w:val="18"/>
              </w:rPr>
              <w:t xml:space="preserve">  </w:t>
            </w:r>
            <w:r w:rsidRPr="00C57C0F">
              <w:rPr>
                <w:rFonts w:ascii="Cambria" w:eastAsia="MS Mincho" w:hAnsi="Cambria" w:cs="Arial"/>
                <w:b/>
                <w:bCs/>
                <w:sz w:val="18"/>
                <w:szCs w:val="18"/>
                <w:lang w:eastAsia="es-ES_tradnl"/>
              </w:rPr>
              <w:t xml:space="preserve">2. Publication of the Report of Article 49: </w:t>
            </w:r>
            <w:r w:rsidRPr="00C57C0F">
              <w:rPr>
                <w:rFonts w:ascii="Cambria" w:eastAsia="MS Mincho" w:hAnsi="Cambria" w:cs="Arial"/>
                <w:sz w:val="18"/>
                <w:szCs w:val="18"/>
                <w:lang w:eastAsia="es-ES_tradnl"/>
              </w:rPr>
              <w:t>The Colombian State shall carry out the publication of the Report of article 49 of the IACHR, once it is issued by the Inter-American Commission on Human Rights, on the web page of the National Agency of Juridical Defense of the State, for the term of six (6) months.</w:t>
            </w:r>
          </w:p>
        </w:tc>
        <w:tc>
          <w:tcPr>
            <w:tcW w:w="1710" w:type="dxa"/>
            <w:shd w:val="clear" w:color="auto" w:fill="D9D9D9" w:themeFill="background1" w:themeFillShade="D9"/>
            <w:vAlign w:val="center"/>
          </w:tcPr>
          <w:p w14:paraId="11CA3EAB"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11DD8D12" w14:textId="77777777">
        <w:trPr>
          <w:trHeight w:val="495"/>
          <w:jc w:val="center"/>
        </w:trPr>
        <w:tc>
          <w:tcPr>
            <w:tcW w:w="534" w:type="dxa"/>
            <w:shd w:val="clear" w:color="auto" w:fill="D9D9D9" w:themeFill="background1" w:themeFillShade="D9"/>
            <w:vAlign w:val="center"/>
          </w:tcPr>
          <w:p w14:paraId="31239D91"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D9D9D9" w:themeFill="background1" w:themeFillShade="D9"/>
            <w:vAlign w:val="center"/>
          </w:tcPr>
          <w:p w14:paraId="3E6092E0"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D9D9D9" w:themeFill="background1" w:themeFillShade="D9"/>
            <w:vAlign w:val="center"/>
          </w:tcPr>
          <w:p w14:paraId="19EF74FE"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1267F10B" w14:textId="77777777" w:rsidR="007704F4" w:rsidRPr="00C57C0F" w:rsidRDefault="007704F4">
            <w:pPr>
              <w:tabs>
                <w:tab w:val="left" w:pos="4663"/>
              </w:tabs>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CLAUSE</w:t>
            </w:r>
            <w:r w:rsidRPr="00C57C0F">
              <w:rPr>
                <w:rFonts w:ascii="Cambria" w:hAnsi="Cambria"/>
                <w:b/>
                <w:bCs/>
                <w:sz w:val="18"/>
                <w:szCs w:val="18"/>
              </w:rPr>
              <w:t xml:space="preserve"> SIXTH PART: Measures of compensation. </w:t>
            </w:r>
            <w:r w:rsidRPr="00C57C0F">
              <w:rPr>
                <w:rFonts w:ascii="Cambria" w:eastAsia="MS Mincho" w:hAnsi="Cambria" w:cs="Arial"/>
                <w:sz w:val="18"/>
                <w:szCs w:val="18"/>
                <w:lang w:eastAsia="es-ES_tradnl"/>
              </w:rPr>
              <w:t>The State is obliged to initiate the compliance of Law 288 of 1996 “By means of which instruments are established for the compensation of detriment to the victims of human rights violations by virtue of the set forth by certain international human rights bodies”, once the present Friendly Settlement Agreement is homologated by means of the issuance of the Report of Article 49 of the American Convention on Human Rights, […].</w:t>
            </w:r>
          </w:p>
        </w:tc>
        <w:tc>
          <w:tcPr>
            <w:tcW w:w="1710" w:type="dxa"/>
            <w:shd w:val="clear" w:color="auto" w:fill="D9D9D9" w:themeFill="background1" w:themeFillShade="D9"/>
            <w:vAlign w:val="center"/>
          </w:tcPr>
          <w:p w14:paraId="3896F263"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526B3F98" w14:textId="77777777">
        <w:trPr>
          <w:trHeight w:val="495"/>
          <w:jc w:val="center"/>
        </w:trPr>
        <w:tc>
          <w:tcPr>
            <w:tcW w:w="534" w:type="dxa"/>
            <w:shd w:val="clear" w:color="auto" w:fill="FFFFFF" w:themeFill="background1"/>
            <w:vAlign w:val="center"/>
          </w:tcPr>
          <w:p w14:paraId="7B799B7D"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FFFFFF" w:themeFill="background1"/>
            <w:vAlign w:val="center"/>
          </w:tcPr>
          <w:p w14:paraId="034F1435"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14.291, Report No. 58/22, Captain N</w:t>
            </w:r>
          </w:p>
        </w:tc>
        <w:tc>
          <w:tcPr>
            <w:tcW w:w="1172" w:type="dxa"/>
            <w:shd w:val="clear" w:color="auto" w:fill="FFFFFF" w:themeFill="background1"/>
            <w:vAlign w:val="center"/>
          </w:tcPr>
          <w:p w14:paraId="0BC6EA3B"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69149D05" w14:textId="77777777" w:rsidR="007704F4" w:rsidRPr="00C57C0F" w:rsidRDefault="007704F4">
            <w:pPr>
              <w:tabs>
                <w:tab w:val="left" w:pos="4663"/>
              </w:tabs>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ii. Publish Report on Article 49:  </w:t>
            </w:r>
            <w:r w:rsidRPr="00C57C0F">
              <w:rPr>
                <w:rFonts w:ascii="Cambria" w:eastAsia="MS Mincho" w:hAnsi="Cambria" w:cs="Arial"/>
                <w:sz w:val="18"/>
                <w:szCs w:val="18"/>
                <w:lang w:eastAsia="es-ES_tradnl"/>
              </w:rPr>
              <w:t>The Colombian State shall publish the relevant sections of the report on the friendly settlement – once the Inter-American Commission has homologated said report – on the website of the National Agency for the Legal Defense of the State and the website of the Ministry of National Defense, for six (6) months.</w:t>
            </w:r>
          </w:p>
        </w:tc>
        <w:tc>
          <w:tcPr>
            <w:tcW w:w="1710" w:type="dxa"/>
            <w:shd w:val="clear" w:color="auto" w:fill="FFFFFF" w:themeFill="background1"/>
            <w:vAlign w:val="center"/>
          </w:tcPr>
          <w:p w14:paraId="56D8B381"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2470EB6B" w14:textId="77777777">
        <w:trPr>
          <w:trHeight w:val="495"/>
          <w:jc w:val="center"/>
        </w:trPr>
        <w:tc>
          <w:tcPr>
            <w:tcW w:w="534" w:type="dxa"/>
            <w:shd w:val="clear" w:color="auto" w:fill="FFFFFF" w:themeFill="background1"/>
            <w:vAlign w:val="center"/>
          </w:tcPr>
          <w:p w14:paraId="77737AFD"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244234C6"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1AEF42F5"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67E87F3A" w14:textId="77777777" w:rsidR="007704F4" w:rsidRPr="00C57C0F" w:rsidRDefault="007704F4">
            <w:pPr>
              <w:tabs>
                <w:tab w:val="left" w:pos="4663"/>
              </w:tabs>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SEVENTH: compensation measures. </w:t>
            </w:r>
            <w:r w:rsidRPr="00C57C0F">
              <w:rPr>
                <w:rFonts w:ascii="Cambria" w:eastAsia="MS Mincho" w:hAnsi="Cambria" w:cs="Arial"/>
                <w:sz w:val="18"/>
                <w:szCs w:val="18"/>
                <w:lang w:eastAsia="es-ES_tradnl"/>
              </w:rPr>
              <w:t>The State undertakes to initiate the procedure foreseen in Law No. 288 of 1996, which “establishes instruments to compensate victims of violations of human rights by virtue of what is set forth in some international human rights bodies,” once the instant Friendly Settlement Agreement is homologated by means of the issuance of Report on Article 49 of the American Convention on Human Rights, […].</w:t>
            </w:r>
          </w:p>
        </w:tc>
        <w:tc>
          <w:tcPr>
            <w:tcW w:w="1710" w:type="dxa"/>
            <w:shd w:val="clear" w:color="auto" w:fill="FFFFFF" w:themeFill="background1"/>
            <w:vAlign w:val="center"/>
          </w:tcPr>
          <w:p w14:paraId="5D65C62F"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294933AE" w14:textId="77777777">
        <w:trPr>
          <w:trHeight w:val="495"/>
          <w:jc w:val="center"/>
        </w:trPr>
        <w:tc>
          <w:tcPr>
            <w:tcW w:w="534" w:type="dxa"/>
            <w:shd w:val="clear" w:color="auto" w:fill="D9D9D9" w:themeFill="background1" w:themeFillShade="D9"/>
            <w:vAlign w:val="center"/>
          </w:tcPr>
          <w:p w14:paraId="1B042265"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D9D9D9" w:themeFill="background1" w:themeFillShade="D9"/>
            <w:vAlign w:val="center"/>
          </w:tcPr>
          <w:p w14:paraId="08A82ADA"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Petition 535-17, Report No. 59/22, Luis Gerardo Bermudez</w:t>
            </w:r>
          </w:p>
        </w:tc>
        <w:tc>
          <w:tcPr>
            <w:tcW w:w="1172" w:type="dxa"/>
            <w:shd w:val="clear" w:color="auto" w:fill="D9D9D9" w:themeFill="background1" w:themeFillShade="D9"/>
            <w:vAlign w:val="center"/>
          </w:tcPr>
          <w:p w14:paraId="36809C7A"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7EFFBF65" w14:textId="77777777" w:rsidR="007704F4" w:rsidRPr="00C57C0F" w:rsidRDefault="007704F4">
            <w:pPr>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i. Act of Acknowledgement of Responsibility:  </w:t>
            </w:r>
            <w:r w:rsidRPr="00C57C0F">
              <w:rPr>
                <w:rFonts w:ascii="Cambria" w:eastAsia="MS Mincho" w:hAnsi="Cambria" w:cs="Arial"/>
                <w:sz w:val="18"/>
                <w:szCs w:val="18"/>
                <w:lang w:eastAsia="es-ES_tradnl"/>
              </w:rPr>
              <w:t>The Colombian State shall carry out a Private Act of Acknowledgment of Responsibility, which shall be conducted virtually with the participation of the petitioners. […].</w:t>
            </w:r>
          </w:p>
        </w:tc>
        <w:tc>
          <w:tcPr>
            <w:tcW w:w="1710" w:type="dxa"/>
            <w:shd w:val="clear" w:color="auto" w:fill="D9D9D9" w:themeFill="background1" w:themeFillShade="D9"/>
            <w:vAlign w:val="center"/>
          </w:tcPr>
          <w:p w14:paraId="345E860B"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05033E66" w14:textId="77777777">
        <w:trPr>
          <w:trHeight w:val="495"/>
          <w:jc w:val="center"/>
        </w:trPr>
        <w:tc>
          <w:tcPr>
            <w:tcW w:w="534" w:type="dxa"/>
            <w:shd w:val="clear" w:color="auto" w:fill="D9D9D9" w:themeFill="background1" w:themeFillShade="D9"/>
            <w:vAlign w:val="center"/>
          </w:tcPr>
          <w:p w14:paraId="78507253"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D9D9D9" w:themeFill="background1" w:themeFillShade="D9"/>
            <w:vAlign w:val="center"/>
          </w:tcPr>
          <w:p w14:paraId="413ECB5F"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D9D9D9" w:themeFill="background1" w:themeFillShade="D9"/>
            <w:vAlign w:val="center"/>
          </w:tcPr>
          <w:p w14:paraId="210CC0AC"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D9D9D9" w:themeFill="background1" w:themeFillShade="D9"/>
            <w:vAlign w:val="center"/>
          </w:tcPr>
          <w:p w14:paraId="01485311" w14:textId="77777777" w:rsidR="007704F4" w:rsidRPr="00C57C0F" w:rsidRDefault="007704F4">
            <w:pPr>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CLAUSE ii. Publication of the Report of Article 49</w:t>
            </w:r>
            <w:r w:rsidRPr="00C57C0F">
              <w:rPr>
                <w:rFonts w:ascii="Cambria" w:eastAsia="MS Mincho" w:hAnsi="Cambria" w:cs="Arial"/>
                <w:sz w:val="18"/>
                <w:szCs w:val="18"/>
                <w:lang w:eastAsia="es-ES_tradnl"/>
              </w:rPr>
              <w:t>: The Colombian State shall publish the pertinent sections of the friendly settlement report, once it has been approved by the Inter-American Commission, on the web page of the National Agency for the Legal Defense of the State, for a period of six (6) months.</w:t>
            </w:r>
          </w:p>
        </w:tc>
        <w:tc>
          <w:tcPr>
            <w:tcW w:w="1710" w:type="dxa"/>
            <w:shd w:val="clear" w:color="auto" w:fill="D9D9D9" w:themeFill="background1" w:themeFillShade="D9"/>
            <w:vAlign w:val="center"/>
          </w:tcPr>
          <w:p w14:paraId="4EA758B7"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44937B18" w14:textId="77777777">
        <w:trPr>
          <w:trHeight w:val="495"/>
          <w:jc w:val="center"/>
        </w:trPr>
        <w:tc>
          <w:tcPr>
            <w:tcW w:w="534" w:type="dxa"/>
            <w:shd w:val="clear" w:color="auto" w:fill="D9D9D9" w:themeFill="background1" w:themeFillShade="D9"/>
            <w:vAlign w:val="center"/>
          </w:tcPr>
          <w:p w14:paraId="687D8CCB"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D9D9D9" w:themeFill="background1" w:themeFillShade="D9"/>
            <w:vAlign w:val="center"/>
          </w:tcPr>
          <w:p w14:paraId="338F3B5D"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D9D9D9" w:themeFill="background1" w:themeFillShade="D9"/>
            <w:vAlign w:val="center"/>
          </w:tcPr>
          <w:p w14:paraId="18E51CAE"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2889F40A" w14:textId="77777777" w:rsidR="007704F4" w:rsidRPr="00C57C0F" w:rsidRDefault="007704F4">
            <w:pPr>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SEVENTH. Compensation measures: </w:t>
            </w:r>
            <w:r w:rsidRPr="00C57C0F">
              <w:rPr>
                <w:rFonts w:ascii="Cambria" w:eastAsia="MS Mincho" w:hAnsi="Cambria" w:cs="Arial"/>
                <w:sz w:val="18"/>
                <w:szCs w:val="18"/>
                <w:lang w:eastAsia="es-ES_tradnl"/>
              </w:rPr>
              <w:t xml:space="preserve">The State undertakes to initiate the process of Law 288 of 1996 "Whereby instruments are established for the compensation of damages to victims of human rights violations in accordance with the provisions of certain international human rights bodies", once this friendly settlement agreement is approved through the issuance of </w:t>
            </w:r>
            <w:r w:rsidRPr="00C57C0F">
              <w:rPr>
                <w:rFonts w:ascii="Cambria" w:eastAsia="MS Mincho" w:hAnsi="Cambria" w:cs="Arial"/>
                <w:sz w:val="18"/>
                <w:szCs w:val="18"/>
                <w:lang w:eastAsia="es-ES_tradnl"/>
              </w:rPr>
              <w:lastRenderedPageBreak/>
              <w:t>the Report of Article 49 of the American Convention on Human Rights, […].</w:t>
            </w:r>
          </w:p>
        </w:tc>
        <w:tc>
          <w:tcPr>
            <w:tcW w:w="1710" w:type="dxa"/>
            <w:shd w:val="clear" w:color="auto" w:fill="D9D9D9" w:themeFill="background1" w:themeFillShade="D9"/>
            <w:vAlign w:val="center"/>
          </w:tcPr>
          <w:p w14:paraId="4F63D948"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lastRenderedPageBreak/>
              <w:t>Partial 2022</w:t>
            </w:r>
          </w:p>
        </w:tc>
      </w:tr>
      <w:tr w:rsidR="007704F4" w:rsidRPr="00C57C0F" w14:paraId="374BED58" w14:textId="77777777">
        <w:trPr>
          <w:trHeight w:val="495"/>
          <w:jc w:val="center"/>
        </w:trPr>
        <w:tc>
          <w:tcPr>
            <w:tcW w:w="534" w:type="dxa"/>
            <w:shd w:val="clear" w:color="auto" w:fill="FFFFFF" w:themeFill="background1"/>
            <w:vAlign w:val="center"/>
          </w:tcPr>
          <w:p w14:paraId="68E61CAF"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FFFFFF" w:themeFill="background1"/>
            <w:vAlign w:val="center"/>
          </w:tcPr>
          <w:p w14:paraId="5EE76507" w14:textId="77777777" w:rsidR="007704F4" w:rsidRPr="00352AC9" w:rsidRDefault="007704F4">
            <w:pPr>
              <w:ind w:right="-18"/>
              <w:contextualSpacing/>
              <w:rPr>
                <w:rFonts w:ascii="Cambria" w:eastAsia="MS Mincho" w:hAnsi="Cambria" w:cs="Arial"/>
                <w:sz w:val="18"/>
                <w:szCs w:val="18"/>
                <w:lang w:val="es-AR"/>
              </w:rPr>
            </w:pPr>
            <w:r w:rsidRPr="00352AC9">
              <w:rPr>
                <w:rFonts w:ascii="Cambria" w:eastAsia="MS Mincho" w:hAnsi="Cambria" w:cs="Arial"/>
                <w:sz w:val="18"/>
                <w:szCs w:val="18"/>
                <w:lang w:val="es-AR"/>
              </w:rPr>
              <w:t>Petition 514-11, Report No. 60/22, Luis Hernando Morera Garzón</w:t>
            </w:r>
          </w:p>
        </w:tc>
        <w:tc>
          <w:tcPr>
            <w:tcW w:w="1172" w:type="dxa"/>
            <w:shd w:val="clear" w:color="auto" w:fill="FFFFFF" w:themeFill="background1"/>
            <w:vAlign w:val="center"/>
          </w:tcPr>
          <w:p w14:paraId="6E1B9641"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33603E37" w14:textId="77777777" w:rsidR="007704F4" w:rsidRPr="00C57C0F" w:rsidRDefault="007704F4">
            <w:pPr>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FIFTH. i. Act of acknowledgment of responsibility: </w:t>
            </w:r>
            <w:r w:rsidRPr="00C57C0F">
              <w:rPr>
                <w:rFonts w:ascii="Cambria" w:eastAsia="MS Mincho" w:hAnsi="Cambria" w:cs="Arial"/>
                <w:sz w:val="18"/>
                <w:szCs w:val="18"/>
                <w:lang w:eastAsia="es-ES_tradnl"/>
              </w:rPr>
              <w:t>the Colombian State will carry out a Private Act of Acknowledgment of Responsibility, which will be carried out virtually with the participation of the petitioners. […].</w:t>
            </w:r>
          </w:p>
        </w:tc>
        <w:tc>
          <w:tcPr>
            <w:tcW w:w="1710" w:type="dxa"/>
            <w:shd w:val="clear" w:color="auto" w:fill="FFFFFF" w:themeFill="background1"/>
            <w:vAlign w:val="center"/>
          </w:tcPr>
          <w:p w14:paraId="0E3F8E8A"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615E2151" w14:textId="77777777">
        <w:trPr>
          <w:trHeight w:val="504"/>
          <w:jc w:val="center"/>
        </w:trPr>
        <w:tc>
          <w:tcPr>
            <w:tcW w:w="534" w:type="dxa"/>
            <w:shd w:val="clear" w:color="auto" w:fill="FFFFFF" w:themeFill="background1"/>
            <w:vAlign w:val="center"/>
          </w:tcPr>
          <w:p w14:paraId="76DD1F0F"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1BFD7757"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65D805DE"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2B65F782" w14:textId="77777777" w:rsidR="007704F4" w:rsidRPr="00C57C0F" w:rsidRDefault="007704F4">
            <w:pPr>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FIFTH. iii. Working meetings with the Ministry of Housing, City and Territory: </w:t>
            </w:r>
            <w:r w:rsidRPr="00C57C0F">
              <w:rPr>
                <w:rFonts w:ascii="Cambria" w:eastAsia="MS Mincho" w:hAnsi="Cambria" w:cs="Arial"/>
                <w:sz w:val="18"/>
                <w:szCs w:val="18"/>
                <w:lang w:eastAsia="es-ES_tradnl"/>
              </w:rPr>
              <w:t>The Colombian State, through the Ministry of Housing, City and Territory, will hold three (3) working meetings with the beneficiaries of the Friendly Settlement Agreement, if they so wish, with the aim of presenting the institutional offer established by the Colombian State to access to housing programs, including the requirements and the way to access this offer.  […].</w:t>
            </w:r>
          </w:p>
        </w:tc>
        <w:tc>
          <w:tcPr>
            <w:tcW w:w="1710" w:type="dxa"/>
            <w:shd w:val="clear" w:color="auto" w:fill="FFFFFF" w:themeFill="background1"/>
            <w:vAlign w:val="center"/>
          </w:tcPr>
          <w:p w14:paraId="01D4F240"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45AF7CF7" w14:textId="77777777">
        <w:trPr>
          <w:trHeight w:val="504"/>
          <w:jc w:val="center"/>
        </w:trPr>
        <w:tc>
          <w:tcPr>
            <w:tcW w:w="534" w:type="dxa"/>
            <w:shd w:val="clear" w:color="auto" w:fill="FFFFFF" w:themeFill="background1"/>
            <w:vAlign w:val="center"/>
          </w:tcPr>
          <w:p w14:paraId="733116BD"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3D423A3C"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30C0E717"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736E2848" w14:textId="77777777" w:rsidR="007704F4" w:rsidRPr="00C57C0F" w:rsidRDefault="007704F4">
            <w:pPr>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FIFTH. iv. Publication of the Article 49 Report: </w:t>
            </w:r>
            <w:r w:rsidRPr="00C57C0F">
              <w:rPr>
                <w:rFonts w:ascii="Cambria" w:eastAsia="MS Mincho" w:hAnsi="Cambria" w:cs="Arial"/>
                <w:sz w:val="18"/>
                <w:szCs w:val="18"/>
                <w:lang w:eastAsia="es-ES_tradnl"/>
              </w:rPr>
              <w:t>The Colombian State will publish the pertinent sections of the friendly settlement report once it is approved by the Inter-American Commission, on the website of the National Legal Defense Agency of the State, for a term of six (6) months.</w:t>
            </w:r>
          </w:p>
        </w:tc>
        <w:tc>
          <w:tcPr>
            <w:tcW w:w="1710" w:type="dxa"/>
            <w:shd w:val="clear" w:color="auto" w:fill="FFFFFF" w:themeFill="background1"/>
            <w:vAlign w:val="center"/>
          </w:tcPr>
          <w:p w14:paraId="640C449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517A1975" w14:textId="77777777">
        <w:trPr>
          <w:trHeight w:val="504"/>
          <w:jc w:val="center"/>
        </w:trPr>
        <w:tc>
          <w:tcPr>
            <w:tcW w:w="534" w:type="dxa"/>
            <w:shd w:val="clear" w:color="auto" w:fill="FFFFFF" w:themeFill="background1"/>
            <w:vAlign w:val="center"/>
          </w:tcPr>
          <w:p w14:paraId="7859E718"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2C037BFB" w14:textId="77777777" w:rsidR="007704F4" w:rsidRPr="00C57C0F" w:rsidRDefault="007704F4">
            <w:pPr>
              <w:ind w:right="-18"/>
              <w:contextualSpacing/>
              <w:rPr>
                <w:rFonts w:ascii="Cambria" w:eastAsia="MS Mincho" w:hAnsi="Cambria" w:cs="Arial"/>
                <w:sz w:val="18"/>
                <w:szCs w:val="18"/>
              </w:rPr>
            </w:pPr>
          </w:p>
        </w:tc>
        <w:tc>
          <w:tcPr>
            <w:tcW w:w="1172" w:type="dxa"/>
            <w:shd w:val="clear" w:color="auto" w:fill="FFFFFF" w:themeFill="background1"/>
            <w:vAlign w:val="center"/>
          </w:tcPr>
          <w:p w14:paraId="1CB81431"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5CEB64A1" w14:textId="77777777" w:rsidR="007704F4" w:rsidRPr="00C57C0F" w:rsidRDefault="007704F4">
            <w:pPr>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SIXTH. Compensation. </w:t>
            </w:r>
            <w:r w:rsidRPr="00C57C0F">
              <w:rPr>
                <w:rFonts w:ascii="Cambria" w:eastAsia="MS Mincho" w:hAnsi="Cambria" w:cs="Arial"/>
                <w:sz w:val="18"/>
                <w:szCs w:val="18"/>
                <w:lang w:eastAsia="es-ES_tradnl"/>
              </w:rPr>
              <w:t>The State undertakes to initiate the processing of Law 288 of 1996 “By means of which instruments are established for the compensation of damages to the victims of human rights violations by virtue of the decisions of certain international Human Rights bodies”, once this friendly settlement agreement is approved through the issuance of the Report foreseen in Article 49 of the American Convention on Human Rights, […].</w:t>
            </w:r>
          </w:p>
        </w:tc>
        <w:tc>
          <w:tcPr>
            <w:tcW w:w="1710" w:type="dxa"/>
            <w:shd w:val="clear" w:color="auto" w:fill="FFFFFF" w:themeFill="background1"/>
            <w:vAlign w:val="center"/>
          </w:tcPr>
          <w:p w14:paraId="4D80639B"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31065C76"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42F89C6"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EC55CD4" w14:textId="77777777" w:rsidR="007704F4" w:rsidRPr="00C57C0F" w:rsidRDefault="007704F4">
            <w:pPr>
              <w:ind w:right="-30"/>
              <w:textAlignment w:val="baseline"/>
              <w:rPr>
                <w:rFonts w:ascii="Cambria" w:eastAsia="Times New Roman" w:hAnsi="Cambria" w:cs="Segoe UI"/>
                <w:sz w:val="18"/>
                <w:szCs w:val="18"/>
              </w:rPr>
            </w:pPr>
            <w:r w:rsidRPr="00C57C0F">
              <w:rPr>
                <w:rFonts w:ascii="Cambria" w:eastAsia="Times New Roman" w:hAnsi="Cambria" w:cs="Segoe UI"/>
                <w:sz w:val="18"/>
                <w:szCs w:val="18"/>
              </w:rPr>
              <w:t>Case 13.775, Report No. 63/22, Gabriel Angel Gómez Martínez and Family</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486FA12"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9346233" w14:textId="77777777" w:rsidR="007704F4" w:rsidRPr="00C57C0F" w:rsidRDefault="007704F4">
            <w:pPr>
              <w:ind w:left="89" w:right="170"/>
              <w:jc w:val="both"/>
              <w:textAlignment w:val="baseline"/>
              <w:rPr>
                <w:rFonts w:ascii="Cambria" w:eastAsia="Times New Roman" w:hAnsi="Cambria" w:cs="Segoe UI"/>
                <w:b/>
                <w:bCs/>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 Act of Acknowledgement of Responsibility: </w:t>
            </w:r>
            <w:r w:rsidRPr="00C57C0F">
              <w:rPr>
                <w:rFonts w:ascii="Cambria" w:eastAsia="Times New Roman" w:hAnsi="Cambria" w:cs="Segoe UI"/>
                <w:sz w:val="18"/>
                <w:szCs w:val="18"/>
              </w:rPr>
              <w:t>The Colombian State shall proceed to a Private Act of Acknowledgement of Responsibility, virtually conducted, with the participation of the relatives of Mr. Gabriel Angel Gómez and their representatives. […].</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9A81A51"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00D6BF1F" w14:textId="77777777">
        <w:trPr>
          <w:trHeight w:val="504"/>
          <w:jc w:val="center"/>
        </w:trPr>
        <w:tc>
          <w:tcPr>
            <w:tcW w:w="534" w:type="dxa"/>
            <w:tcBorders>
              <w:right w:val="single" w:sz="6" w:space="0" w:color="auto"/>
            </w:tcBorders>
            <w:shd w:val="clear" w:color="auto" w:fill="D9D9D9" w:themeFill="background1" w:themeFillShade="D9"/>
            <w:vAlign w:val="center"/>
          </w:tcPr>
          <w:p w14:paraId="5C15D5D6"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right w:val="single" w:sz="6" w:space="0" w:color="auto"/>
            </w:tcBorders>
            <w:shd w:val="clear" w:color="auto" w:fill="D9D9D9" w:themeFill="background1" w:themeFillShade="D9"/>
            <w:vAlign w:val="center"/>
          </w:tcPr>
          <w:p w14:paraId="4CB94AB5" w14:textId="77777777" w:rsidR="007704F4" w:rsidRPr="00C57C0F" w:rsidRDefault="007704F4">
            <w:pPr>
              <w:ind w:right="-18"/>
              <w:contextualSpacing/>
              <w:rPr>
                <w:rFonts w:ascii="Cambria" w:eastAsia="MS Mincho" w:hAnsi="Cambria" w:cs="Arial"/>
                <w:sz w:val="18"/>
                <w:szCs w:val="18"/>
              </w:rPr>
            </w:pPr>
          </w:p>
        </w:tc>
        <w:tc>
          <w:tcPr>
            <w:tcW w:w="1172" w:type="dxa"/>
            <w:tcBorders>
              <w:left w:val="single" w:sz="6" w:space="0" w:color="auto"/>
            </w:tcBorders>
            <w:shd w:val="clear" w:color="auto" w:fill="D9D9D9" w:themeFill="background1" w:themeFillShade="D9"/>
            <w:vAlign w:val="center"/>
          </w:tcPr>
          <w:p w14:paraId="7B73E508"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D9D9D9" w:themeFill="background1" w:themeFillShade="D9"/>
            <w:vAlign w:val="center"/>
          </w:tcPr>
          <w:p w14:paraId="28265799" w14:textId="77777777" w:rsidR="007704F4" w:rsidRPr="00C57C0F" w:rsidRDefault="007704F4">
            <w:pPr>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ii.</w:t>
            </w:r>
            <w:r w:rsidRPr="00C57C0F">
              <w:rPr>
                <w:rFonts w:ascii="Cambria" w:eastAsia="Times New Roman" w:hAnsi="Cambria" w:cs="Segoe UI"/>
                <w:b/>
                <w:bCs/>
                <w:sz w:val="18"/>
                <w:szCs w:val="18"/>
              </w:rPr>
              <w:tab/>
              <w:t xml:space="preserve"> Publication of the Report of Article 49: </w:t>
            </w:r>
            <w:r w:rsidRPr="00C57C0F">
              <w:rPr>
                <w:rFonts w:ascii="Cambria" w:eastAsia="Times New Roman" w:hAnsi="Cambria" w:cs="Segoe UI"/>
                <w:sz w:val="18"/>
                <w:szCs w:val="18"/>
              </w:rPr>
              <w:t>The Colombian State shall publish the pertinent sections of the friendly settlement report once it is issued by the Inter-American Commission on Human Rights, on the website of the National Agency for the Legal Defense of the State, for a term of six (6) months.</w:t>
            </w:r>
          </w:p>
        </w:tc>
        <w:tc>
          <w:tcPr>
            <w:tcW w:w="1710" w:type="dxa"/>
            <w:shd w:val="clear" w:color="auto" w:fill="D9D9D9" w:themeFill="background1" w:themeFillShade="D9"/>
            <w:vAlign w:val="center"/>
          </w:tcPr>
          <w:p w14:paraId="61FB4D70"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Times New Roman" w:hAnsi="Cambria" w:cs="Segoe UI"/>
                <w:b/>
                <w:bCs/>
                <w:sz w:val="18"/>
                <w:szCs w:val="18"/>
              </w:rPr>
              <w:t>Total 2022</w:t>
            </w:r>
          </w:p>
        </w:tc>
      </w:tr>
      <w:tr w:rsidR="007704F4" w:rsidRPr="00C57C0F" w14:paraId="586560D2"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96EBE49"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tcBorders>
              <w:top w:val="single" w:sz="6" w:space="0" w:color="auto"/>
              <w:left w:val="single" w:sz="6" w:space="0" w:color="auto"/>
              <w:right w:val="single" w:sz="6" w:space="0" w:color="auto"/>
            </w:tcBorders>
            <w:shd w:val="clear" w:color="auto" w:fill="FFFFFF" w:themeFill="background1"/>
            <w:vAlign w:val="center"/>
          </w:tcPr>
          <w:p w14:paraId="3886CEF0" w14:textId="77777777" w:rsidR="007704F4" w:rsidRPr="00C57C0F" w:rsidRDefault="007704F4">
            <w:pPr>
              <w:ind w:right="-30"/>
              <w:textAlignment w:val="baseline"/>
              <w:rPr>
                <w:rFonts w:ascii="Cambria" w:eastAsia="Times New Roman" w:hAnsi="Cambria" w:cs="Segoe UI"/>
                <w:sz w:val="18"/>
                <w:szCs w:val="18"/>
              </w:rPr>
            </w:pPr>
            <w:r w:rsidRPr="00C57C0F">
              <w:rPr>
                <w:rFonts w:ascii="Cambria" w:eastAsia="Times New Roman" w:hAnsi="Cambria" w:cs="Segoe UI"/>
                <w:sz w:val="18"/>
                <w:szCs w:val="18"/>
              </w:rPr>
              <w:t>Case 13.654, Report No. 64/22, Juan Simón Cantillo Raigoza, Keyla Sandrith Cantillo Vides and family</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6BD9904"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2A40166" w14:textId="77777777" w:rsidR="007704F4" w:rsidRPr="00C57C0F" w:rsidRDefault="007704F4">
            <w:pPr>
              <w:ind w:left="89" w:right="78"/>
              <w:jc w:val="both"/>
              <w:textAlignment w:val="baseline"/>
              <w:rPr>
                <w:rFonts w:ascii="Cambria" w:eastAsia="Times New Roman" w:hAnsi="Cambria" w:cs="Segoe UI"/>
                <w:b/>
                <w:bCs/>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 Act of Acknowledgment of Responsibility: </w:t>
            </w:r>
            <w:r w:rsidRPr="00C57C0F">
              <w:rPr>
                <w:rFonts w:ascii="Cambria" w:eastAsia="Times New Roman" w:hAnsi="Cambria" w:cs="Segoe UI"/>
                <w:sz w:val="18"/>
                <w:szCs w:val="18"/>
              </w:rPr>
              <w:t>The Colombian State will carry out a virtual Act of Acknowledgment of Responsibility, with the participation of the families and representatives of the victims. […].</w:t>
            </w:r>
          </w:p>
        </w:tc>
        <w:tc>
          <w:tcPr>
            <w:tcW w:w="17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8D682D0"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3A933ADC"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4402A7C"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right w:val="single" w:sz="6" w:space="0" w:color="auto"/>
            </w:tcBorders>
            <w:shd w:val="clear" w:color="auto" w:fill="FFFFFF" w:themeFill="background1"/>
            <w:vAlign w:val="center"/>
          </w:tcPr>
          <w:p w14:paraId="6CAABAD9" w14:textId="77777777" w:rsidR="007704F4" w:rsidRPr="00C57C0F" w:rsidRDefault="007704F4">
            <w:pPr>
              <w:ind w:right="-30"/>
              <w:textAlignment w:val="baseline"/>
              <w:rPr>
                <w:rFonts w:ascii="Cambria" w:eastAsia="Times New Roman" w:hAnsi="Cambria"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CCF14EF"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F6309A3" w14:textId="77777777" w:rsidR="007704F4" w:rsidRPr="00C57C0F" w:rsidRDefault="007704F4">
            <w:pPr>
              <w:ind w:left="89" w:right="78"/>
              <w:jc w:val="both"/>
              <w:textAlignment w:val="baseline"/>
              <w:rPr>
                <w:rFonts w:ascii="Cambria" w:eastAsia="Times New Roman" w:hAnsi="Cambria" w:cs="Segoe UI"/>
                <w:b/>
                <w:bCs/>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ii. Distribution of tokens of remembrance: </w:t>
            </w:r>
            <w:r w:rsidRPr="00C57C0F">
              <w:rPr>
                <w:rFonts w:ascii="Cambria" w:eastAsia="Times New Roman" w:hAnsi="Cambria" w:cs="Segoe UI"/>
                <w:sz w:val="18"/>
                <w:szCs w:val="18"/>
              </w:rPr>
              <w:t>The Colombian State will deliver up to 75 tokens of remembrance to the relatives within the framework of the Act of Acknowledgment of Responsibility, whose design and content will be agreed upon with the victims and their representatives. […].</w:t>
            </w:r>
          </w:p>
        </w:tc>
        <w:tc>
          <w:tcPr>
            <w:tcW w:w="17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57592F2"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123BA74C" w14:textId="77777777">
        <w:trPr>
          <w:trHeight w:val="504"/>
          <w:jc w:val="center"/>
        </w:trPr>
        <w:tc>
          <w:tcPr>
            <w:tcW w:w="534" w:type="dxa"/>
            <w:tcBorders>
              <w:right w:val="single" w:sz="6" w:space="0" w:color="auto"/>
            </w:tcBorders>
            <w:shd w:val="clear" w:color="auto" w:fill="FFFFFF" w:themeFill="background1"/>
            <w:vAlign w:val="center"/>
          </w:tcPr>
          <w:p w14:paraId="3D45E7F5"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right w:val="single" w:sz="6" w:space="0" w:color="auto"/>
            </w:tcBorders>
            <w:shd w:val="clear" w:color="auto" w:fill="FFFFFF" w:themeFill="background1"/>
            <w:vAlign w:val="center"/>
          </w:tcPr>
          <w:p w14:paraId="3DE07A45" w14:textId="77777777" w:rsidR="007704F4" w:rsidRPr="00C57C0F" w:rsidRDefault="007704F4">
            <w:pPr>
              <w:ind w:right="-18"/>
              <w:contextualSpacing/>
              <w:rPr>
                <w:rFonts w:ascii="Cambria" w:eastAsia="MS Mincho" w:hAnsi="Cambria" w:cs="Arial"/>
                <w:sz w:val="18"/>
                <w:szCs w:val="18"/>
              </w:rPr>
            </w:pPr>
          </w:p>
        </w:tc>
        <w:tc>
          <w:tcPr>
            <w:tcW w:w="1172" w:type="dxa"/>
            <w:tcBorders>
              <w:left w:val="single" w:sz="6" w:space="0" w:color="auto"/>
            </w:tcBorders>
            <w:shd w:val="clear" w:color="auto" w:fill="FFFFFF" w:themeFill="background1"/>
            <w:vAlign w:val="center"/>
          </w:tcPr>
          <w:p w14:paraId="67BF81DB"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38E591C4" w14:textId="77777777" w:rsidR="007704F4" w:rsidRPr="00C57C0F" w:rsidRDefault="007704F4">
            <w:pPr>
              <w:ind w:right="78"/>
              <w:jc w:val="both"/>
              <w:rPr>
                <w:rFonts w:ascii="Cambria" w:eastAsia="Times New Roman" w:hAnsi="Cambria" w:cs="Segoe UI"/>
                <w:b/>
                <w:bCs/>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ii.</w:t>
            </w:r>
            <w:r w:rsidRPr="00C57C0F">
              <w:rPr>
                <w:rFonts w:ascii="Cambria" w:eastAsia="Times New Roman" w:hAnsi="Cambria" w:cs="Segoe UI"/>
                <w:b/>
                <w:bCs/>
                <w:sz w:val="18"/>
                <w:szCs w:val="18"/>
              </w:rPr>
              <w:tab/>
              <w:t xml:space="preserve">Publish Report on Article 49: </w:t>
            </w:r>
            <w:r w:rsidRPr="00C57C0F">
              <w:rPr>
                <w:rFonts w:ascii="Cambria" w:eastAsia="Times New Roman" w:hAnsi="Cambria" w:cs="Segoe UI"/>
                <w:sz w:val="18"/>
                <w:szCs w:val="18"/>
              </w:rPr>
              <w:t>The Colombian State will publish the relevant sections of the friendly settlement report once it is approved by the Inter-American Commission, on the website of the National Agency for Legal Defense of the State, for a term of six (6) months.</w:t>
            </w:r>
          </w:p>
        </w:tc>
        <w:tc>
          <w:tcPr>
            <w:tcW w:w="1710" w:type="dxa"/>
            <w:shd w:val="clear" w:color="auto" w:fill="FFFFFF" w:themeFill="background1"/>
            <w:vAlign w:val="center"/>
          </w:tcPr>
          <w:p w14:paraId="5A15D28F" w14:textId="77777777" w:rsidR="007704F4" w:rsidRPr="00C57C0F" w:rsidRDefault="007704F4">
            <w:pPr>
              <w:ind w:right="-18"/>
              <w:jc w:val="center"/>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7A943B57" w14:textId="77777777">
        <w:trPr>
          <w:trHeight w:val="504"/>
          <w:jc w:val="center"/>
        </w:trPr>
        <w:tc>
          <w:tcPr>
            <w:tcW w:w="534" w:type="dxa"/>
            <w:tcBorders>
              <w:right w:val="single" w:sz="6" w:space="0" w:color="auto"/>
            </w:tcBorders>
            <w:shd w:val="clear" w:color="auto" w:fill="FFFFFF" w:themeFill="background1"/>
            <w:vAlign w:val="center"/>
          </w:tcPr>
          <w:p w14:paraId="158DBEF1"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right w:val="single" w:sz="6" w:space="0" w:color="auto"/>
            </w:tcBorders>
            <w:shd w:val="clear" w:color="auto" w:fill="FFFFFF" w:themeFill="background1"/>
            <w:vAlign w:val="center"/>
          </w:tcPr>
          <w:p w14:paraId="79E2DD18" w14:textId="77777777" w:rsidR="007704F4" w:rsidRPr="00C57C0F" w:rsidRDefault="007704F4">
            <w:pPr>
              <w:ind w:right="-18"/>
              <w:contextualSpacing/>
              <w:rPr>
                <w:rFonts w:ascii="Cambria" w:eastAsia="MS Mincho" w:hAnsi="Cambria" w:cs="Arial"/>
                <w:sz w:val="18"/>
                <w:szCs w:val="18"/>
              </w:rPr>
            </w:pPr>
          </w:p>
        </w:tc>
        <w:tc>
          <w:tcPr>
            <w:tcW w:w="1172" w:type="dxa"/>
            <w:tcBorders>
              <w:left w:val="single" w:sz="6" w:space="0" w:color="auto"/>
            </w:tcBorders>
            <w:shd w:val="clear" w:color="auto" w:fill="FFFFFF" w:themeFill="background1"/>
            <w:vAlign w:val="center"/>
          </w:tcPr>
          <w:p w14:paraId="0F48CEBE" w14:textId="77777777" w:rsidR="007704F4" w:rsidRPr="00C57C0F" w:rsidRDefault="007704F4">
            <w:pPr>
              <w:ind w:right="-18"/>
              <w:jc w:val="center"/>
              <w:rPr>
                <w:rFonts w:ascii="Cambria" w:hAnsi="Cambria"/>
                <w:sz w:val="18"/>
                <w:szCs w:val="18"/>
              </w:rPr>
            </w:pPr>
            <w:r w:rsidRPr="00C57C0F">
              <w:rPr>
                <w:rFonts w:ascii="Cambria" w:eastAsia="Times New Roman" w:hAnsi="Cambria" w:cs="Segoe UI"/>
                <w:sz w:val="18"/>
                <w:szCs w:val="18"/>
              </w:rPr>
              <w:t>Individual</w:t>
            </w:r>
          </w:p>
        </w:tc>
        <w:tc>
          <w:tcPr>
            <w:tcW w:w="5313" w:type="dxa"/>
            <w:gridSpan w:val="3"/>
            <w:shd w:val="clear" w:color="auto" w:fill="FFFFFF" w:themeFill="background1"/>
            <w:vAlign w:val="center"/>
          </w:tcPr>
          <w:p w14:paraId="77300D96" w14:textId="77777777" w:rsidR="007704F4" w:rsidRPr="00C57C0F" w:rsidRDefault="007704F4">
            <w:pPr>
              <w:ind w:right="78"/>
              <w:jc w:val="both"/>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CLAUSE EIGHTH. Compensation Measures </w:t>
            </w:r>
            <w:r w:rsidRPr="00C57C0F">
              <w:rPr>
                <w:rFonts w:ascii="Cambria" w:eastAsia="Times New Roman" w:hAnsi="Cambria" w:cs="Segoe UI"/>
                <w:sz w:val="18"/>
                <w:szCs w:val="18"/>
              </w:rPr>
              <w:t xml:space="preserve">The State undertakes to start the process of Law 288 of 1996 “Through which instruments are established for the compensation of damage to the victims of human rights violations by virtue of the provisions of certain international human rights bodies”, once this friendly settlement agreement is homologated through the Report </w:t>
            </w:r>
            <w:r w:rsidRPr="00C57C0F">
              <w:rPr>
                <w:rFonts w:ascii="Cambria" w:eastAsia="Times New Roman" w:hAnsi="Cambria" w:cs="Segoe UI"/>
                <w:sz w:val="18"/>
                <w:szCs w:val="18"/>
              </w:rPr>
              <w:lastRenderedPageBreak/>
              <w:t>foreseen in Article 49 of the American Convention on Human Rights, […].</w:t>
            </w:r>
          </w:p>
        </w:tc>
        <w:tc>
          <w:tcPr>
            <w:tcW w:w="1710" w:type="dxa"/>
            <w:shd w:val="clear" w:color="auto" w:fill="FFFFFF" w:themeFill="background1"/>
            <w:vAlign w:val="center"/>
          </w:tcPr>
          <w:p w14:paraId="09862709" w14:textId="77777777" w:rsidR="007704F4" w:rsidRPr="00C57C0F" w:rsidRDefault="007704F4">
            <w:pPr>
              <w:ind w:right="-18"/>
              <w:jc w:val="center"/>
              <w:rPr>
                <w:rFonts w:ascii="Cambria" w:eastAsia="Times New Roman" w:hAnsi="Cambria" w:cs="Segoe UI"/>
                <w:b/>
                <w:bCs/>
                <w:sz w:val="18"/>
                <w:szCs w:val="18"/>
              </w:rPr>
            </w:pPr>
            <w:r w:rsidRPr="00C57C0F">
              <w:rPr>
                <w:rFonts w:ascii="Cambria" w:eastAsia="Times New Roman" w:hAnsi="Cambria" w:cs="Segoe UI"/>
                <w:b/>
                <w:bCs/>
                <w:sz w:val="18"/>
                <w:szCs w:val="18"/>
              </w:rPr>
              <w:lastRenderedPageBreak/>
              <w:t xml:space="preserve">Partial </w:t>
            </w:r>
            <w:r w:rsidRPr="00C57C0F">
              <w:rPr>
                <w:rFonts w:ascii="Cambria" w:eastAsia="MS Mincho" w:hAnsi="Cambria" w:cs="Arial"/>
                <w:b/>
                <w:sz w:val="18"/>
                <w:szCs w:val="18"/>
                <w:lang w:eastAsia="es-ES_tradnl"/>
              </w:rPr>
              <w:t>2022</w:t>
            </w:r>
          </w:p>
        </w:tc>
      </w:tr>
      <w:tr w:rsidR="007704F4" w:rsidRPr="00C57C0F" w14:paraId="5EB19C32"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3B565DA"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1112FBF" w14:textId="77777777" w:rsidR="007704F4" w:rsidRPr="00C57C0F" w:rsidRDefault="007704F4">
            <w:pPr>
              <w:ind w:right="-30"/>
              <w:textAlignment w:val="baseline"/>
              <w:rPr>
                <w:rFonts w:ascii="Cambria" w:eastAsia="Times New Roman" w:hAnsi="Cambria" w:cs="Segoe UI"/>
                <w:sz w:val="18"/>
                <w:szCs w:val="18"/>
              </w:rPr>
            </w:pPr>
            <w:r w:rsidRPr="00C57C0F">
              <w:rPr>
                <w:rFonts w:ascii="Cambria" w:eastAsia="Times New Roman" w:hAnsi="Cambria" w:cs="Segoe UI"/>
                <w:sz w:val="18"/>
                <w:szCs w:val="18"/>
              </w:rPr>
              <w:t>Case 14.306, Report No. 65/22, José Ramón Ochoa Salazar and Family</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B6153CF"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FD8E021" w14:textId="77777777" w:rsidR="007704F4" w:rsidRPr="00C57C0F" w:rsidRDefault="007704F4">
            <w:pPr>
              <w:ind w:left="89" w:right="165"/>
              <w:jc w:val="both"/>
              <w:textAlignment w:val="baseline"/>
              <w:rPr>
                <w:rFonts w:ascii="Cambria" w:eastAsia="Times New Roman" w:hAnsi="Cambria" w:cs="Segoe UI"/>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  Act of Acknowledgment of Responsibility: </w:t>
            </w:r>
            <w:r w:rsidRPr="00C57C0F">
              <w:rPr>
                <w:rFonts w:ascii="Cambria" w:eastAsia="Times New Roman" w:hAnsi="Cambria" w:cs="Segoe UI"/>
                <w:sz w:val="18"/>
                <w:szCs w:val="18"/>
              </w:rPr>
              <w:t>The Colombian State will hold a Public Act of Acknowledgment of Responsibility, virtually, with the participation of the petitioner. The act will be carried out in accordance with the acknowledgment of responsibility indicated in this Agreement. […].</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E1B0C3F"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09118F07"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EC22169"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right w:val="single" w:sz="6" w:space="0" w:color="auto"/>
            </w:tcBorders>
            <w:shd w:val="clear" w:color="auto" w:fill="D9D9D9" w:themeFill="background1" w:themeFillShade="D9"/>
            <w:vAlign w:val="center"/>
          </w:tcPr>
          <w:p w14:paraId="5888A93C" w14:textId="77777777" w:rsidR="007704F4" w:rsidRPr="00C57C0F" w:rsidRDefault="007704F4">
            <w:pPr>
              <w:ind w:right="-30"/>
              <w:textAlignment w:val="baseline"/>
              <w:rPr>
                <w:rFonts w:ascii="Cambria" w:eastAsia="Times New Roman" w:hAnsi="Cambria"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DD158D0"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348DA43" w14:textId="77777777" w:rsidR="007704F4" w:rsidRPr="00C57C0F" w:rsidRDefault="007704F4">
            <w:pPr>
              <w:ind w:left="89" w:right="165"/>
              <w:jc w:val="both"/>
              <w:textAlignment w:val="baseline"/>
              <w:rPr>
                <w:rFonts w:ascii="Cambria" w:eastAsia="Times New Roman" w:hAnsi="Cambria" w:cs="Segoe UI"/>
                <w:b/>
                <w:bCs/>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iii. Workshops with Ministry of Housing, City and Territory: </w:t>
            </w:r>
            <w:r w:rsidRPr="00C57C0F">
              <w:rPr>
                <w:rFonts w:ascii="Cambria" w:eastAsia="Times New Roman" w:hAnsi="Cambria" w:cs="Segoe UI"/>
                <w:sz w:val="18"/>
                <w:szCs w:val="18"/>
              </w:rPr>
              <w:t>The Colombian State, through the Ministry of Housing, City and Territory, will hold three (3) workshops with the beneficiaries of the Friendly Settlement Agreement, if they so wish, with the aim of presenting the institutional offering established by the Colombian State for access to housing programs, including the requirements and the way to access this offering. […].</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CEA06BF"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1C74544B"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1A8B785"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bottom w:val="single" w:sz="6" w:space="0" w:color="auto"/>
              <w:right w:val="single" w:sz="6" w:space="0" w:color="auto"/>
            </w:tcBorders>
            <w:shd w:val="clear" w:color="auto" w:fill="D9D9D9" w:themeFill="background1" w:themeFillShade="D9"/>
            <w:vAlign w:val="center"/>
          </w:tcPr>
          <w:p w14:paraId="409510BB" w14:textId="77777777" w:rsidR="007704F4" w:rsidRPr="00C57C0F" w:rsidRDefault="007704F4">
            <w:pPr>
              <w:ind w:right="-30"/>
              <w:textAlignment w:val="baseline"/>
              <w:rPr>
                <w:rFonts w:ascii="Cambria" w:eastAsia="Times New Roman" w:hAnsi="Cambria"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AF9E3E"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hAnsi="Cambria"/>
                <w:sz w:val="18"/>
                <w:szCs w:val="18"/>
              </w:rPr>
              <w:t>Structural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9567A54" w14:textId="77777777" w:rsidR="007704F4" w:rsidRPr="00C57C0F" w:rsidRDefault="007704F4">
            <w:pPr>
              <w:ind w:left="89" w:right="80"/>
              <w:jc w:val="both"/>
              <w:textAlignment w:val="baseline"/>
              <w:rPr>
                <w:rFonts w:ascii="Cambria" w:eastAsia="Times New Roman" w:hAnsi="Cambria" w:cs="Segoe UI"/>
                <w:b/>
                <w:bCs/>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iv. Publish Report on Article 49: </w:t>
            </w:r>
            <w:r w:rsidRPr="00C57C0F">
              <w:rPr>
                <w:rFonts w:ascii="Cambria" w:eastAsia="Times New Roman" w:hAnsi="Cambria" w:cs="Segoe UI"/>
                <w:sz w:val="18"/>
                <w:szCs w:val="18"/>
              </w:rPr>
              <w:t>The Colombian State will publish the relevant sections of the friendly settlement report once it is approved by the Inter-American Commission, on the website of the National Agency for Legal Defense of the State, for a term of six (6) months.</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9FBF22"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01E3282E" w14:textId="77777777">
        <w:trPr>
          <w:trHeight w:val="504"/>
          <w:jc w:val="center"/>
        </w:trPr>
        <w:tc>
          <w:tcPr>
            <w:tcW w:w="534" w:type="dxa"/>
            <w:tcBorders>
              <w:right w:val="single" w:sz="6" w:space="0" w:color="auto"/>
            </w:tcBorders>
            <w:shd w:val="clear" w:color="auto" w:fill="FFFFFF" w:themeFill="background1"/>
            <w:vAlign w:val="center"/>
          </w:tcPr>
          <w:p w14:paraId="35D28C07"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tcBorders>
              <w:left w:val="single" w:sz="6" w:space="0" w:color="auto"/>
              <w:right w:val="single" w:sz="6" w:space="0" w:color="auto"/>
            </w:tcBorders>
            <w:shd w:val="clear" w:color="auto" w:fill="FFFFFF" w:themeFill="background1"/>
            <w:vAlign w:val="center"/>
          </w:tcPr>
          <w:p w14:paraId="6952A6A8" w14:textId="77777777" w:rsidR="007704F4" w:rsidRPr="00C57C0F" w:rsidRDefault="007704F4">
            <w:pPr>
              <w:ind w:right="-18"/>
              <w:contextualSpacing/>
              <w:rPr>
                <w:rFonts w:ascii="Cambria" w:eastAsia="MS Mincho" w:hAnsi="Cambria" w:cs="Arial"/>
                <w:sz w:val="18"/>
                <w:szCs w:val="18"/>
              </w:rPr>
            </w:pPr>
            <w:r w:rsidRPr="00C57C0F">
              <w:rPr>
                <w:rFonts w:ascii="Cambria" w:eastAsia="MS Mincho" w:hAnsi="Cambria" w:cs="Arial"/>
                <w:sz w:val="18"/>
                <w:szCs w:val="18"/>
              </w:rPr>
              <w:t>Case 13.964, Report No. 66/22, Darío Gómez Cartagena, and Family</w:t>
            </w:r>
          </w:p>
        </w:tc>
        <w:tc>
          <w:tcPr>
            <w:tcW w:w="1172" w:type="dxa"/>
            <w:tcBorders>
              <w:left w:val="single" w:sz="6" w:space="0" w:color="auto"/>
            </w:tcBorders>
            <w:shd w:val="clear" w:color="auto" w:fill="FFFFFF" w:themeFill="background1"/>
            <w:vAlign w:val="center"/>
          </w:tcPr>
          <w:p w14:paraId="22D06B20" w14:textId="77777777" w:rsidR="007704F4" w:rsidRPr="00C57C0F" w:rsidRDefault="007704F4">
            <w:pPr>
              <w:ind w:right="-18"/>
              <w:jc w:val="center"/>
              <w:rPr>
                <w:rFonts w:ascii="Cambria" w:eastAsia="Times New Roman" w:hAnsi="Cambria" w:cs="Segoe UI"/>
                <w:sz w:val="18"/>
                <w:szCs w:val="18"/>
              </w:rPr>
            </w:pPr>
            <w:r w:rsidRPr="00C57C0F">
              <w:rPr>
                <w:rFonts w:ascii="Cambria" w:eastAsia="Times New Roman" w:hAnsi="Cambria" w:cs="Segoe UI"/>
                <w:sz w:val="18"/>
                <w:szCs w:val="18"/>
              </w:rPr>
              <w:t>Individual </w:t>
            </w:r>
          </w:p>
        </w:tc>
        <w:tc>
          <w:tcPr>
            <w:tcW w:w="5313" w:type="dxa"/>
            <w:gridSpan w:val="3"/>
            <w:shd w:val="clear" w:color="auto" w:fill="FFFFFF" w:themeFill="background1"/>
            <w:vAlign w:val="center"/>
          </w:tcPr>
          <w:p w14:paraId="30AA7A46" w14:textId="77777777" w:rsidR="007704F4" w:rsidRPr="00C57C0F" w:rsidRDefault="007704F4">
            <w:pPr>
              <w:ind w:right="80"/>
              <w:jc w:val="both"/>
              <w:rPr>
                <w:rFonts w:ascii="Cambria" w:eastAsia="Times New Roman" w:hAnsi="Cambria" w:cs="Segoe UI"/>
                <w:b/>
                <w:bCs/>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 Act of acknowledgment of responsibility: </w:t>
            </w:r>
            <w:r w:rsidRPr="00C57C0F">
              <w:rPr>
                <w:rFonts w:ascii="Cambria" w:eastAsia="Times New Roman" w:hAnsi="Cambria" w:cs="Segoe UI"/>
                <w:sz w:val="18"/>
                <w:szCs w:val="18"/>
              </w:rPr>
              <w:t>The Colombian State will hold a Public Act of Acknowledgment of Responsibility, virtually, with the participation of the relatives of Mr. Darío Gomez Cartagena and his representatives. […].</w:t>
            </w:r>
          </w:p>
        </w:tc>
        <w:tc>
          <w:tcPr>
            <w:tcW w:w="1710" w:type="dxa"/>
            <w:shd w:val="clear" w:color="auto" w:fill="FFFFFF" w:themeFill="background1"/>
            <w:vAlign w:val="center"/>
          </w:tcPr>
          <w:p w14:paraId="1721AC7E" w14:textId="77777777" w:rsidR="007704F4" w:rsidRPr="00C57C0F" w:rsidRDefault="007704F4">
            <w:pPr>
              <w:ind w:right="-18"/>
              <w:jc w:val="center"/>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65B95BE2" w14:textId="77777777">
        <w:trPr>
          <w:trHeight w:val="504"/>
          <w:jc w:val="center"/>
        </w:trPr>
        <w:tc>
          <w:tcPr>
            <w:tcW w:w="534" w:type="dxa"/>
            <w:tcBorders>
              <w:right w:val="single" w:sz="6" w:space="0" w:color="auto"/>
            </w:tcBorders>
            <w:shd w:val="clear" w:color="auto" w:fill="FFFFFF" w:themeFill="background1"/>
            <w:vAlign w:val="center"/>
          </w:tcPr>
          <w:p w14:paraId="02892E5A"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right w:val="single" w:sz="6" w:space="0" w:color="auto"/>
            </w:tcBorders>
            <w:shd w:val="clear" w:color="auto" w:fill="FFFFFF" w:themeFill="background1"/>
            <w:vAlign w:val="center"/>
          </w:tcPr>
          <w:p w14:paraId="63C3EAAB" w14:textId="77777777" w:rsidR="007704F4" w:rsidRPr="00C57C0F" w:rsidRDefault="007704F4">
            <w:pPr>
              <w:ind w:right="-18"/>
              <w:contextualSpacing/>
              <w:rPr>
                <w:rFonts w:ascii="Cambria" w:eastAsia="MS Mincho" w:hAnsi="Cambria" w:cs="Arial"/>
                <w:sz w:val="18"/>
                <w:szCs w:val="18"/>
              </w:rPr>
            </w:pPr>
          </w:p>
        </w:tc>
        <w:tc>
          <w:tcPr>
            <w:tcW w:w="1172" w:type="dxa"/>
            <w:tcBorders>
              <w:left w:val="single" w:sz="6" w:space="0" w:color="auto"/>
            </w:tcBorders>
            <w:shd w:val="clear" w:color="auto" w:fill="FFFFFF" w:themeFill="background1"/>
            <w:vAlign w:val="center"/>
          </w:tcPr>
          <w:p w14:paraId="6E0E86E4" w14:textId="77777777" w:rsidR="007704F4" w:rsidRPr="00C57C0F" w:rsidRDefault="007704F4">
            <w:pPr>
              <w:ind w:right="-18"/>
              <w:jc w:val="center"/>
              <w:rPr>
                <w:rFonts w:ascii="Cambria" w:eastAsia="Times New Roman" w:hAnsi="Cambria" w:cs="Segoe UI"/>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3E59DD27" w14:textId="77777777" w:rsidR="007704F4" w:rsidRPr="00C57C0F" w:rsidRDefault="007704F4">
            <w:pPr>
              <w:ind w:right="80"/>
              <w:jc w:val="both"/>
              <w:rPr>
                <w:rFonts w:ascii="Cambria" w:eastAsia="Times New Roman" w:hAnsi="Cambria" w:cs="Segoe UI"/>
                <w:b/>
                <w:bCs/>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iv. Publish Report on Article 49: </w:t>
            </w:r>
            <w:r w:rsidRPr="00C57C0F">
              <w:rPr>
                <w:rFonts w:ascii="Cambria" w:eastAsia="Times New Roman" w:hAnsi="Cambria" w:cs="Segoe UI"/>
                <w:sz w:val="18"/>
                <w:szCs w:val="18"/>
              </w:rPr>
              <w:t>The Colombian State will publish the relevant sections of the friendly settlement report once it is approved by the Inter-American Commission, on the website of the National Agency for Legal Defense of the State, for a term of six (6) months.</w:t>
            </w:r>
          </w:p>
        </w:tc>
        <w:tc>
          <w:tcPr>
            <w:tcW w:w="1710" w:type="dxa"/>
            <w:shd w:val="clear" w:color="auto" w:fill="FFFFFF" w:themeFill="background1"/>
            <w:vAlign w:val="center"/>
          </w:tcPr>
          <w:p w14:paraId="1885F29E" w14:textId="77777777" w:rsidR="007704F4" w:rsidRPr="00C57C0F" w:rsidRDefault="007704F4">
            <w:pPr>
              <w:ind w:right="-18"/>
              <w:jc w:val="center"/>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3187BB2F" w14:textId="77777777">
        <w:trPr>
          <w:trHeight w:val="504"/>
          <w:jc w:val="center"/>
        </w:trPr>
        <w:tc>
          <w:tcPr>
            <w:tcW w:w="534" w:type="dxa"/>
            <w:tcBorders>
              <w:right w:val="single" w:sz="6" w:space="0" w:color="auto"/>
            </w:tcBorders>
            <w:shd w:val="clear" w:color="auto" w:fill="FFFFFF" w:themeFill="background1"/>
            <w:vAlign w:val="center"/>
          </w:tcPr>
          <w:p w14:paraId="1306C7B1"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right w:val="single" w:sz="6" w:space="0" w:color="auto"/>
            </w:tcBorders>
            <w:shd w:val="clear" w:color="auto" w:fill="FFFFFF" w:themeFill="background1"/>
            <w:vAlign w:val="center"/>
          </w:tcPr>
          <w:p w14:paraId="06279BEF" w14:textId="77777777" w:rsidR="007704F4" w:rsidRPr="00C57C0F" w:rsidRDefault="007704F4">
            <w:pPr>
              <w:ind w:right="-18"/>
              <w:contextualSpacing/>
              <w:rPr>
                <w:rFonts w:ascii="Cambria" w:eastAsia="MS Mincho" w:hAnsi="Cambria" w:cs="Arial"/>
                <w:sz w:val="18"/>
                <w:szCs w:val="18"/>
              </w:rPr>
            </w:pPr>
          </w:p>
        </w:tc>
        <w:tc>
          <w:tcPr>
            <w:tcW w:w="1172" w:type="dxa"/>
            <w:tcBorders>
              <w:left w:val="single" w:sz="6" w:space="0" w:color="auto"/>
            </w:tcBorders>
            <w:shd w:val="clear" w:color="auto" w:fill="FFFFFF" w:themeFill="background1"/>
            <w:vAlign w:val="center"/>
          </w:tcPr>
          <w:p w14:paraId="3895D001" w14:textId="77777777" w:rsidR="007704F4" w:rsidRPr="00C57C0F" w:rsidRDefault="007704F4">
            <w:pPr>
              <w:ind w:right="-18"/>
              <w:jc w:val="center"/>
              <w:rPr>
                <w:rFonts w:ascii="Cambria" w:hAnsi="Cambria"/>
                <w:sz w:val="18"/>
                <w:szCs w:val="18"/>
              </w:rPr>
            </w:pPr>
            <w:r w:rsidRPr="00C57C0F">
              <w:rPr>
                <w:rFonts w:ascii="Cambria" w:eastAsia="Times New Roman" w:hAnsi="Cambria" w:cs="Segoe UI"/>
                <w:sz w:val="18"/>
                <w:szCs w:val="18"/>
              </w:rPr>
              <w:t>Individual </w:t>
            </w:r>
          </w:p>
        </w:tc>
        <w:tc>
          <w:tcPr>
            <w:tcW w:w="5313" w:type="dxa"/>
            <w:gridSpan w:val="3"/>
            <w:shd w:val="clear" w:color="auto" w:fill="FFFFFF" w:themeFill="background1"/>
            <w:vAlign w:val="center"/>
          </w:tcPr>
          <w:p w14:paraId="66598855" w14:textId="77777777" w:rsidR="007704F4" w:rsidRPr="00C57C0F" w:rsidRDefault="007704F4">
            <w:pPr>
              <w:ind w:right="80"/>
              <w:jc w:val="both"/>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CLAUSE SIXTH. Reparation measures. </w:t>
            </w:r>
            <w:r w:rsidRPr="00C57C0F">
              <w:rPr>
                <w:rFonts w:ascii="Cambria" w:eastAsia="Times New Roman" w:hAnsi="Cambria" w:cs="Segoe UI"/>
                <w:sz w:val="18"/>
                <w:szCs w:val="18"/>
              </w:rPr>
              <w:t>The State undertakes to start the process of Law 288 of 1996 “Through which instruments are established for the compensation of damage to the victims of human rights violations by virtue of the provisions of certain international human rights bodies”, once this friendly settlement agreement is homologated through the Report foreseen in Article 49 of the American Convention on Human Rights, […].</w:t>
            </w:r>
          </w:p>
        </w:tc>
        <w:tc>
          <w:tcPr>
            <w:tcW w:w="1710" w:type="dxa"/>
            <w:shd w:val="clear" w:color="auto" w:fill="FFFFFF" w:themeFill="background1"/>
            <w:vAlign w:val="center"/>
          </w:tcPr>
          <w:p w14:paraId="13D01A25" w14:textId="77777777" w:rsidR="007704F4" w:rsidRPr="00C57C0F" w:rsidRDefault="007704F4">
            <w:pPr>
              <w:ind w:right="-18"/>
              <w:jc w:val="center"/>
              <w:rPr>
                <w:rFonts w:ascii="Cambria" w:eastAsia="Times New Roman" w:hAnsi="Cambria" w:cs="Segoe UI"/>
                <w:b/>
                <w:bCs/>
                <w:sz w:val="18"/>
                <w:szCs w:val="18"/>
              </w:rPr>
            </w:pPr>
            <w:r w:rsidRPr="00C57C0F">
              <w:rPr>
                <w:rFonts w:ascii="Cambria" w:eastAsia="Times New Roman" w:hAnsi="Cambria" w:cs="Segoe UI"/>
                <w:b/>
                <w:bCs/>
                <w:sz w:val="18"/>
                <w:szCs w:val="18"/>
              </w:rPr>
              <w:t xml:space="preserve">Partial </w:t>
            </w:r>
            <w:r w:rsidRPr="00C57C0F">
              <w:rPr>
                <w:rFonts w:ascii="Cambria" w:eastAsia="MS Mincho" w:hAnsi="Cambria" w:cs="Arial"/>
                <w:b/>
                <w:sz w:val="18"/>
                <w:szCs w:val="18"/>
                <w:lang w:eastAsia="es-ES_tradnl"/>
              </w:rPr>
              <w:t>2022</w:t>
            </w:r>
          </w:p>
        </w:tc>
      </w:tr>
      <w:tr w:rsidR="007704F4" w:rsidRPr="00C57C0F" w14:paraId="4FBBE091"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24C753"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0FF9F69" w14:textId="77777777" w:rsidR="007704F4" w:rsidRPr="00C57C0F" w:rsidRDefault="007704F4">
            <w:pPr>
              <w:ind w:right="-30"/>
              <w:textAlignment w:val="baseline"/>
              <w:rPr>
                <w:rFonts w:ascii="Cambria" w:eastAsia="Times New Roman" w:hAnsi="Cambria" w:cs="Segoe UI"/>
                <w:sz w:val="18"/>
                <w:szCs w:val="18"/>
              </w:rPr>
            </w:pPr>
            <w:r w:rsidRPr="00C57C0F">
              <w:rPr>
                <w:rFonts w:ascii="Cambria" w:eastAsia="Times New Roman" w:hAnsi="Cambria" w:cs="Segoe UI"/>
                <w:sz w:val="18"/>
                <w:szCs w:val="18"/>
              </w:rPr>
              <w:t>Case 13.436, Report No. 67/22, José Oleaguer Correa Castrillón</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99333F7"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F3D8D1B" w14:textId="77777777" w:rsidR="007704F4" w:rsidRPr="00C57C0F" w:rsidRDefault="007704F4">
            <w:pPr>
              <w:ind w:left="89" w:right="80"/>
              <w:jc w:val="both"/>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CLAUSE 4.1.1. Act of atonement: </w:t>
            </w:r>
            <w:r w:rsidRPr="00C57C0F">
              <w:rPr>
                <w:rFonts w:ascii="Cambria" w:eastAsia="Times New Roman" w:hAnsi="Cambria" w:cs="Segoe UI"/>
                <w:sz w:val="18"/>
                <w:szCs w:val="18"/>
              </w:rPr>
              <w:t>A virtual Act of Acknowledgment of Responsibility. The act of acknowledgment of responsibility shall be conducted with the active participation of the family members and representatives of the victims. [….]</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75B2C37"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11407E50"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A3096B"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right w:val="single" w:sz="6" w:space="0" w:color="auto"/>
            </w:tcBorders>
            <w:shd w:val="clear" w:color="auto" w:fill="D9D9D9" w:themeFill="background1" w:themeFillShade="D9"/>
            <w:vAlign w:val="center"/>
          </w:tcPr>
          <w:p w14:paraId="0AAD398C" w14:textId="77777777" w:rsidR="007704F4" w:rsidRPr="00C57C0F" w:rsidRDefault="007704F4">
            <w:pPr>
              <w:ind w:right="-30"/>
              <w:textAlignment w:val="baseline"/>
              <w:rPr>
                <w:rFonts w:ascii="Cambria" w:eastAsia="Times New Roman" w:hAnsi="Cambria"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2856416"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hAnsi="Cambria"/>
                <w:sz w:val="18"/>
                <w:szCs w:val="18"/>
              </w:rPr>
              <w:t>Structural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25D6A9F" w14:textId="77777777" w:rsidR="007704F4" w:rsidRPr="00C57C0F" w:rsidRDefault="007704F4">
            <w:pPr>
              <w:ind w:left="89" w:right="80"/>
              <w:jc w:val="both"/>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CLAUSE 4.1.2. Publication of the facts: </w:t>
            </w:r>
            <w:r w:rsidRPr="00C57C0F">
              <w:rPr>
                <w:rFonts w:ascii="Cambria" w:eastAsia="Times New Roman" w:hAnsi="Cambria" w:cs="Segoe UI"/>
                <w:sz w:val="18"/>
                <w:szCs w:val="18"/>
              </w:rPr>
              <w:t>The Colombian State undertakes to publish the report of Article 49 of the American Convention on Human Rights issued by the Inter-American Commission on Human Rights homologating the friendly settlement agreement, on the website of the National Agency for the Legal Defense of the State, for a period of six months, thus guaranteeing access to the homologation report.</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4D02C4F"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5E08A229"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23A6B99"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bottom w:val="single" w:sz="6" w:space="0" w:color="auto"/>
              <w:right w:val="single" w:sz="6" w:space="0" w:color="auto"/>
            </w:tcBorders>
            <w:shd w:val="clear" w:color="auto" w:fill="D9D9D9" w:themeFill="background1" w:themeFillShade="D9"/>
            <w:vAlign w:val="center"/>
          </w:tcPr>
          <w:p w14:paraId="463EB0B0" w14:textId="77777777" w:rsidR="007704F4" w:rsidRPr="00C57C0F" w:rsidRDefault="007704F4">
            <w:pPr>
              <w:ind w:right="-30"/>
              <w:textAlignment w:val="baseline"/>
              <w:rPr>
                <w:rFonts w:ascii="Cambria" w:eastAsia="Times New Roman" w:hAnsi="Cambria"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E0D1D30" w14:textId="77777777" w:rsidR="007704F4" w:rsidRPr="00C57C0F" w:rsidRDefault="007704F4">
            <w:pPr>
              <w:ind w:right="-30"/>
              <w:jc w:val="center"/>
              <w:textAlignment w:val="baseline"/>
              <w:rPr>
                <w:rFonts w:ascii="Cambria" w:hAnsi="Cambria"/>
                <w:sz w:val="18"/>
                <w:szCs w:val="18"/>
              </w:rPr>
            </w:pPr>
            <w:r w:rsidRPr="00C57C0F">
              <w:rPr>
                <w:rFonts w:ascii="Cambria" w:eastAsia="Times New Roman" w:hAnsi="Cambria" w:cs="Segoe UI"/>
                <w:sz w:val="18"/>
                <w:szCs w:val="18"/>
              </w:rPr>
              <w:t>Individual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8259EB2" w14:textId="77777777" w:rsidR="007704F4" w:rsidRPr="00C57C0F" w:rsidRDefault="007704F4">
            <w:pPr>
              <w:ind w:left="89" w:right="80"/>
              <w:jc w:val="both"/>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CLAUSE 4.3. Pecuniary Reparation. </w:t>
            </w:r>
            <w:r w:rsidRPr="00C57C0F">
              <w:rPr>
                <w:rFonts w:ascii="Cambria" w:eastAsia="Times New Roman" w:hAnsi="Cambria" w:cs="Segoe UI"/>
                <w:sz w:val="18"/>
                <w:szCs w:val="18"/>
              </w:rPr>
              <w:t>The State undertakes to apply Law 288 of 1996, once this Friendly Settlement Agreement is homologated through the issuance of the Report of Article 49 of the American Convention on Human Rights. […].</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645C7A4"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Partial </w:t>
            </w:r>
            <w:r w:rsidRPr="00C57C0F">
              <w:rPr>
                <w:rFonts w:ascii="Cambria" w:eastAsia="MS Mincho" w:hAnsi="Cambria" w:cs="Arial"/>
                <w:b/>
                <w:sz w:val="18"/>
                <w:szCs w:val="18"/>
                <w:lang w:eastAsia="es-ES_tradnl"/>
              </w:rPr>
              <w:t>2022</w:t>
            </w:r>
          </w:p>
        </w:tc>
      </w:tr>
      <w:tr w:rsidR="007704F4" w:rsidRPr="00C57C0F" w14:paraId="39080CD3"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C41F8F5"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tcBorders>
              <w:top w:val="single" w:sz="6" w:space="0" w:color="auto"/>
              <w:left w:val="single" w:sz="6" w:space="0" w:color="auto"/>
              <w:right w:val="single" w:sz="6" w:space="0" w:color="auto"/>
            </w:tcBorders>
            <w:shd w:val="clear" w:color="auto" w:fill="FFFFFF" w:themeFill="background1"/>
            <w:vAlign w:val="center"/>
          </w:tcPr>
          <w:p w14:paraId="59F87E5B" w14:textId="77777777" w:rsidR="007704F4" w:rsidRPr="00C57C0F" w:rsidRDefault="007704F4">
            <w:pPr>
              <w:ind w:right="-30"/>
              <w:textAlignment w:val="baseline"/>
              <w:rPr>
                <w:rFonts w:ascii="Cambria" w:eastAsia="Times New Roman" w:hAnsi="Cambria" w:cs="Segoe UI"/>
                <w:sz w:val="18"/>
                <w:szCs w:val="18"/>
              </w:rPr>
            </w:pPr>
            <w:r w:rsidRPr="00C57C0F">
              <w:rPr>
                <w:rFonts w:ascii="Cambria" w:eastAsia="Times New Roman" w:hAnsi="Cambria" w:cs="Segoe UI"/>
                <w:sz w:val="18"/>
                <w:szCs w:val="18"/>
              </w:rPr>
              <w:t>Case 13.125, Report No. 68/22, Ricardo Antonio Elías and Family</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D146178"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1EC0E77" w14:textId="77777777" w:rsidR="007704F4" w:rsidRPr="00C57C0F" w:rsidRDefault="007704F4">
            <w:pPr>
              <w:ind w:left="89" w:right="78"/>
              <w:jc w:val="both"/>
              <w:textAlignment w:val="baseline"/>
              <w:rPr>
                <w:rFonts w:ascii="Cambria" w:eastAsia="Times New Roman" w:hAnsi="Cambria" w:cs="Segoe UI"/>
                <w:b/>
                <w:bCs/>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 Submission of a letter of dignification: </w:t>
            </w:r>
            <w:r w:rsidRPr="00C57C0F">
              <w:rPr>
                <w:rFonts w:ascii="Cambria" w:eastAsia="Times New Roman" w:hAnsi="Cambria" w:cs="Segoe UI"/>
                <w:sz w:val="18"/>
                <w:szCs w:val="18"/>
              </w:rPr>
              <w:t>The Colombian State shall deliver a letter of dignification to Mrs. Soraya Adalgiza Elías Puente, sister of Mr. Ricardo Antonio Elías Puente, stating the acknowledgement of responsibility made by the Colombian State for the facts of the case, in accordance with the provisions of this Agreement. […].</w:t>
            </w:r>
          </w:p>
        </w:tc>
        <w:tc>
          <w:tcPr>
            <w:tcW w:w="17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7F3A4D9"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74108D18" w14:textId="77777777">
        <w:trPr>
          <w:trHeight w:val="504"/>
          <w:jc w:val="center"/>
        </w:trPr>
        <w:tc>
          <w:tcPr>
            <w:tcW w:w="534" w:type="dxa"/>
            <w:tcBorders>
              <w:right w:val="single" w:sz="6" w:space="0" w:color="auto"/>
            </w:tcBorders>
            <w:shd w:val="clear" w:color="auto" w:fill="FFFFFF" w:themeFill="background1"/>
            <w:vAlign w:val="center"/>
          </w:tcPr>
          <w:p w14:paraId="04E0CC07"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right w:val="single" w:sz="6" w:space="0" w:color="auto"/>
            </w:tcBorders>
            <w:shd w:val="clear" w:color="auto" w:fill="FFFFFF" w:themeFill="background1"/>
            <w:vAlign w:val="center"/>
          </w:tcPr>
          <w:p w14:paraId="3EFFE60F" w14:textId="77777777" w:rsidR="007704F4" w:rsidRPr="00C57C0F" w:rsidRDefault="007704F4">
            <w:pPr>
              <w:ind w:right="-18"/>
              <w:contextualSpacing/>
              <w:rPr>
                <w:rFonts w:ascii="Cambria" w:eastAsia="MS Mincho" w:hAnsi="Cambria" w:cs="Arial"/>
                <w:sz w:val="18"/>
                <w:szCs w:val="18"/>
              </w:rPr>
            </w:pPr>
          </w:p>
        </w:tc>
        <w:tc>
          <w:tcPr>
            <w:tcW w:w="1172" w:type="dxa"/>
            <w:tcBorders>
              <w:left w:val="single" w:sz="6" w:space="0" w:color="auto"/>
            </w:tcBorders>
            <w:shd w:val="clear" w:color="auto" w:fill="FFFFFF" w:themeFill="background1"/>
            <w:vAlign w:val="center"/>
          </w:tcPr>
          <w:p w14:paraId="7A29AC28" w14:textId="77777777" w:rsidR="007704F4" w:rsidRPr="00C57C0F" w:rsidRDefault="007704F4">
            <w:pPr>
              <w:ind w:right="-18"/>
              <w:jc w:val="center"/>
              <w:rPr>
                <w:rFonts w:ascii="Cambria" w:eastAsia="Times New Roman" w:hAnsi="Cambria" w:cs="Segoe UI"/>
                <w:sz w:val="18"/>
                <w:szCs w:val="18"/>
              </w:rPr>
            </w:pPr>
            <w:r w:rsidRPr="00C57C0F">
              <w:rPr>
                <w:rFonts w:ascii="Cambria" w:hAnsi="Cambria"/>
                <w:sz w:val="18"/>
                <w:szCs w:val="18"/>
              </w:rPr>
              <w:t>Structural</w:t>
            </w:r>
          </w:p>
        </w:tc>
        <w:tc>
          <w:tcPr>
            <w:tcW w:w="5313" w:type="dxa"/>
            <w:gridSpan w:val="3"/>
            <w:shd w:val="clear" w:color="auto" w:fill="FFFFFF" w:themeFill="background1"/>
            <w:vAlign w:val="center"/>
          </w:tcPr>
          <w:p w14:paraId="2BBE6B26" w14:textId="77777777" w:rsidR="007704F4" w:rsidRPr="00C57C0F" w:rsidRDefault="007704F4">
            <w:pPr>
              <w:ind w:right="-12"/>
              <w:jc w:val="both"/>
              <w:rPr>
                <w:rFonts w:ascii="Cambria" w:eastAsia="Times New Roman" w:hAnsi="Cambria" w:cs="Segoe UI"/>
                <w:b/>
                <w:bCs/>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ii. Publication of the Article 49 report. </w:t>
            </w:r>
            <w:r w:rsidRPr="00C57C0F">
              <w:rPr>
                <w:rFonts w:ascii="Cambria" w:eastAsia="Times New Roman" w:hAnsi="Cambria" w:cs="Segoe UI"/>
                <w:sz w:val="18"/>
                <w:szCs w:val="18"/>
              </w:rPr>
              <w:t>The Colombian State shall publish the pertinent sections of the friendly settlement report, once it has been approved by the Inter-American Commission, on the web page of the National Agency for the Legal Defense of the State, for a period of six (6) months.</w:t>
            </w:r>
          </w:p>
        </w:tc>
        <w:tc>
          <w:tcPr>
            <w:tcW w:w="1710" w:type="dxa"/>
            <w:shd w:val="clear" w:color="auto" w:fill="FFFFFF" w:themeFill="background1"/>
            <w:vAlign w:val="center"/>
          </w:tcPr>
          <w:p w14:paraId="43216AF2" w14:textId="77777777" w:rsidR="007704F4" w:rsidRPr="00C57C0F" w:rsidRDefault="007704F4">
            <w:pPr>
              <w:ind w:right="-18"/>
              <w:jc w:val="center"/>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1DF66328" w14:textId="77777777">
        <w:trPr>
          <w:trHeight w:val="504"/>
          <w:jc w:val="center"/>
        </w:trPr>
        <w:tc>
          <w:tcPr>
            <w:tcW w:w="534" w:type="dxa"/>
            <w:tcBorders>
              <w:right w:val="single" w:sz="6" w:space="0" w:color="auto"/>
            </w:tcBorders>
            <w:shd w:val="clear" w:color="auto" w:fill="FFFFFF" w:themeFill="background1"/>
            <w:vAlign w:val="center"/>
          </w:tcPr>
          <w:p w14:paraId="3A01C0FD"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right w:val="single" w:sz="6" w:space="0" w:color="auto"/>
            </w:tcBorders>
            <w:shd w:val="clear" w:color="auto" w:fill="FFFFFF" w:themeFill="background1"/>
            <w:vAlign w:val="center"/>
          </w:tcPr>
          <w:p w14:paraId="705579B5" w14:textId="77777777" w:rsidR="007704F4" w:rsidRPr="00C57C0F" w:rsidRDefault="007704F4">
            <w:pPr>
              <w:ind w:right="-18"/>
              <w:contextualSpacing/>
              <w:rPr>
                <w:rFonts w:ascii="Cambria" w:eastAsia="MS Mincho" w:hAnsi="Cambria" w:cs="Arial"/>
                <w:sz w:val="18"/>
                <w:szCs w:val="18"/>
              </w:rPr>
            </w:pPr>
          </w:p>
        </w:tc>
        <w:tc>
          <w:tcPr>
            <w:tcW w:w="1172" w:type="dxa"/>
            <w:tcBorders>
              <w:left w:val="single" w:sz="6" w:space="0" w:color="auto"/>
            </w:tcBorders>
            <w:shd w:val="clear" w:color="auto" w:fill="FFFFFF" w:themeFill="background1"/>
            <w:vAlign w:val="center"/>
          </w:tcPr>
          <w:p w14:paraId="1A2AFFC1" w14:textId="77777777" w:rsidR="007704F4" w:rsidRPr="00C57C0F" w:rsidRDefault="007704F4">
            <w:pPr>
              <w:ind w:right="-18"/>
              <w:jc w:val="center"/>
              <w:rPr>
                <w:rFonts w:ascii="Cambria" w:hAnsi="Cambria"/>
                <w:sz w:val="18"/>
                <w:szCs w:val="18"/>
              </w:rPr>
            </w:pPr>
            <w:r w:rsidRPr="00C57C0F">
              <w:rPr>
                <w:rFonts w:ascii="Cambria" w:eastAsia="Times New Roman" w:hAnsi="Cambria" w:cs="Segoe UI"/>
                <w:sz w:val="18"/>
                <w:szCs w:val="18"/>
              </w:rPr>
              <w:t>Individual</w:t>
            </w:r>
          </w:p>
        </w:tc>
        <w:tc>
          <w:tcPr>
            <w:tcW w:w="5313" w:type="dxa"/>
            <w:gridSpan w:val="3"/>
            <w:shd w:val="clear" w:color="auto" w:fill="FFFFFF" w:themeFill="background1"/>
            <w:vAlign w:val="center"/>
          </w:tcPr>
          <w:p w14:paraId="7EA25145" w14:textId="77777777" w:rsidR="007704F4" w:rsidRPr="00C57C0F" w:rsidRDefault="007704F4">
            <w:pPr>
              <w:ind w:right="-12"/>
              <w:jc w:val="both"/>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CLAUSE SIXTH. Compensation measures. </w:t>
            </w:r>
            <w:r w:rsidRPr="00C57C0F">
              <w:rPr>
                <w:rFonts w:ascii="Cambria" w:eastAsia="Times New Roman" w:hAnsi="Cambria" w:cs="Segoe UI"/>
                <w:sz w:val="18"/>
                <w:szCs w:val="18"/>
              </w:rPr>
              <w:t>The State undertakes to initiate the process of Law 288 of 1996 "Whereby instruments are established for the compensation of damages to victims of human rights violations by virtue of the provisions of certain international human rights bodies", once this friendly settlement agreement is approved through the issuance of the Report of Article 49 of the American Convention on Human Rights, […].</w:t>
            </w:r>
          </w:p>
        </w:tc>
        <w:tc>
          <w:tcPr>
            <w:tcW w:w="1710" w:type="dxa"/>
            <w:shd w:val="clear" w:color="auto" w:fill="FFFFFF" w:themeFill="background1"/>
            <w:vAlign w:val="center"/>
          </w:tcPr>
          <w:p w14:paraId="3414D32E" w14:textId="77777777" w:rsidR="007704F4" w:rsidRPr="00C57C0F" w:rsidRDefault="007704F4">
            <w:pPr>
              <w:ind w:right="-18"/>
              <w:jc w:val="center"/>
              <w:rPr>
                <w:rFonts w:ascii="Cambria" w:eastAsia="Times New Roman" w:hAnsi="Cambria" w:cs="Segoe UI"/>
                <w:b/>
                <w:bCs/>
                <w:sz w:val="18"/>
                <w:szCs w:val="18"/>
              </w:rPr>
            </w:pPr>
            <w:r w:rsidRPr="00C57C0F">
              <w:rPr>
                <w:rFonts w:ascii="Cambria" w:eastAsia="Times New Roman" w:hAnsi="Cambria" w:cs="Segoe UI"/>
                <w:b/>
                <w:bCs/>
                <w:sz w:val="18"/>
                <w:szCs w:val="18"/>
              </w:rPr>
              <w:t xml:space="preserve">Partial </w:t>
            </w:r>
            <w:r w:rsidRPr="00C57C0F">
              <w:rPr>
                <w:rFonts w:ascii="Cambria" w:eastAsia="MS Mincho" w:hAnsi="Cambria" w:cs="Arial"/>
                <w:b/>
                <w:sz w:val="18"/>
                <w:szCs w:val="18"/>
                <w:lang w:eastAsia="es-ES_tradnl"/>
              </w:rPr>
              <w:t>2022</w:t>
            </w:r>
          </w:p>
        </w:tc>
      </w:tr>
      <w:tr w:rsidR="007704F4" w:rsidRPr="00C57C0F" w14:paraId="08C64A4A"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046A809"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1A92515" w14:textId="77777777" w:rsidR="007704F4" w:rsidRPr="00C57C0F" w:rsidRDefault="007704F4">
            <w:pPr>
              <w:ind w:right="-30"/>
              <w:textAlignment w:val="baseline"/>
              <w:rPr>
                <w:rFonts w:ascii="Cambria" w:eastAsia="Times New Roman" w:hAnsi="Cambria" w:cs="Segoe UI"/>
                <w:sz w:val="18"/>
                <w:szCs w:val="18"/>
              </w:rPr>
            </w:pPr>
            <w:r w:rsidRPr="00C57C0F">
              <w:rPr>
                <w:rFonts w:ascii="Cambria" w:eastAsia="Times New Roman" w:hAnsi="Cambria" w:cs="Segoe UI"/>
                <w:sz w:val="18"/>
                <w:szCs w:val="18"/>
              </w:rPr>
              <w:t>Petition 1391-15, Report No. 94/22, Mario Antonio Cardona Varela et all,</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10058DD" w14:textId="77777777" w:rsidR="007704F4" w:rsidRPr="00C57C0F" w:rsidRDefault="007704F4">
            <w:pPr>
              <w:ind w:right="-104"/>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55E0602" w14:textId="77777777" w:rsidR="007704F4" w:rsidRPr="00C57C0F" w:rsidRDefault="007704F4">
            <w:pPr>
              <w:ind w:left="89" w:right="78"/>
              <w:jc w:val="both"/>
              <w:textAlignment w:val="baseline"/>
              <w:rPr>
                <w:rFonts w:ascii="Cambria" w:eastAsia="Times New Roman" w:hAnsi="Cambria" w:cs="Segoe UI"/>
                <w:b/>
                <w:bCs/>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 Act of redress. </w:t>
            </w:r>
            <w:r w:rsidRPr="00C57C0F">
              <w:rPr>
                <w:rFonts w:ascii="Cambria" w:eastAsia="Times New Roman" w:hAnsi="Cambria" w:cs="Segoe UI"/>
                <w:sz w:val="18"/>
                <w:szCs w:val="18"/>
              </w:rPr>
              <w:t>The Colombian State will carry out a Private Act of Acknowledgment of Responsibility, which shall be held virtually with the participation of the next of kin of Mr. Mario Antonio Cardona Varela and his representatives. […].</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1932FF"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1074BFB9" w14:textId="77777777">
        <w:trPr>
          <w:trHeight w:val="504"/>
          <w:jc w:val="center"/>
        </w:trPr>
        <w:tc>
          <w:tcPr>
            <w:tcW w:w="534" w:type="dxa"/>
            <w:tcBorders>
              <w:right w:val="single" w:sz="6" w:space="0" w:color="auto"/>
            </w:tcBorders>
            <w:shd w:val="clear" w:color="auto" w:fill="D9D9D9" w:themeFill="background1" w:themeFillShade="D9"/>
            <w:vAlign w:val="center"/>
          </w:tcPr>
          <w:p w14:paraId="3A1CB0B5"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right w:val="single" w:sz="6" w:space="0" w:color="auto"/>
            </w:tcBorders>
            <w:shd w:val="clear" w:color="auto" w:fill="D9D9D9" w:themeFill="background1" w:themeFillShade="D9"/>
            <w:vAlign w:val="center"/>
          </w:tcPr>
          <w:p w14:paraId="79B3CF97" w14:textId="77777777" w:rsidR="007704F4" w:rsidRPr="00C57C0F" w:rsidRDefault="007704F4">
            <w:pPr>
              <w:ind w:right="-18"/>
              <w:contextualSpacing/>
              <w:rPr>
                <w:rFonts w:ascii="Cambria" w:eastAsia="MS Mincho" w:hAnsi="Cambria" w:cs="Arial"/>
                <w:sz w:val="18"/>
                <w:szCs w:val="18"/>
              </w:rPr>
            </w:pPr>
          </w:p>
        </w:tc>
        <w:tc>
          <w:tcPr>
            <w:tcW w:w="1172" w:type="dxa"/>
            <w:tcBorders>
              <w:left w:val="single" w:sz="6" w:space="0" w:color="auto"/>
            </w:tcBorders>
            <w:shd w:val="clear" w:color="auto" w:fill="D9D9D9" w:themeFill="background1" w:themeFillShade="D9"/>
            <w:vAlign w:val="center"/>
          </w:tcPr>
          <w:p w14:paraId="022FCAC5" w14:textId="77777777" w:rsidR="007704F4" w:rsidRPr="00C57C0F" w:rsidRDefault="007704F4">
            <w:pPr>
              <w:ind w:right="-18"/>
              <w:jc w:val="center"/>
              <w:rPr>
                <w:rFonts w:ascii="Cambria" w:eastAsia="Times New Roman" w:hAnsi="Cambria" w:cs="Segoe UI"/>
                <w:sz w:val="18"/>
                <w:szCs w:val="18"/>
              </w:rPr>
            </w:pPr>
            <w:r w:rsidRPr="00C57C0F">
              <w:rPr>
                <w:rFonts w:ascii="Cambria" w:hAnsi="Cambria"/>
                <w:sz w:val="18"/>
                <w:szCs w:val="18"/>
              </w:rPr>
              <w:t>Structural</w:t>
            </w:r>
          </w:p>
        </w:tc>
        <w:tc>
          <w:tcPr>
            <w:tcW w:w="5313" w:type="dxa"/>
            <w:gridSpan w:val="3"/>
            <w:shd w:val="clear" w:color="auto" w:fill="D9D9D9" w:themeFill="background1" w:themeFillShade="D9"/>
            <w:vAlign w:val="center"/>
          </w:tcPr>
          <w:p w14:paraId="7E82A53B" w14:textId="77777777" w:rsidR="007704F4" w:rsidRPr="00C57C0F" w:rsidRDefault="007704F4">
            <w:pPr>
              <w:jc w:val="both"/>
              <w:rPr>
                <w:rFonts w:ascii="Cambria" w:eastAsia="Times New Roman" w:hAnsi="Cambria" w:cs="Segoe UI"/>
                <w:b/>
                <w:bCs/>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ii. Publication of the Art. 49 report.</w:t>
            </w:r>
            <w:r w:rsidRPr="00C57C0F">
              <w:rPr>
                <w:rFonts w:ascii="Cambria" w:eastAsia="Times New Roman" w:hAnsi="Cambria" w:cs="Segoe UI"/>
                <w:sz w:val="18"/>
                <w:szCs w:val="18"/>
              </w:rPr>
              <w:t xml:space="preserve"> The Colombian State will publish the Report on Article 49 of the ACHR, once it is issued by the Inter-American Commission on Human Rights, on the website of the National Agency for Legal Defense of the State, for a term of six (6) months.</w:t>
            </w:r>
          </w:p>
        </w:tc>
        <w:tc>
          <w:tcPr>
            <w:tcW w:w="1710" w:type="dxa"/>
            <w:shd w:val="clear" w:color="auto" w:fill="D9D9D9" w:themeFill="background1" w:themeFillShade="D9"/>
            <w:vAlign w:val="center"/>
          </w:tcPr>
          <w:p w14:paraId="7509B514" w14:textId="77777777" w:rsidR="007704F4" w:rsidRPr="00C57C0F" w:rsidRDefault="007704F4">
            <w:pPr>
              <w:ind w:right="-18"/>
              <w:jc w:val="center"/>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3B8FD511" w14:textId="77777777">
        <w:trPr>
          <w:trHeight w:val="504"/>
          <w:jc w:val="center"/>
        </w:trPr>
        <w:tc>
          <w:tcPr>
            <w:tcW w:w="534" w:type="dxa"/>
            <w:tcBorders>
              <w:right w:val="single" w:sz="6" w:space="0" w:color="auto"/>
            </w:tcBorders>
            <w:shd w:val="clear" w:color="auto" w:fill="D9D9D9" w:themeFill="background1" w:themeFillShade="D9"/>
            <w:vAlign w:val="center"/>
          </w:tcPr>
          <w:p w14:paraId="69EBCEA2"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right w:val="single" w:sz="6" w:space="0" w:color="auto"/>
            </w:tcBorders>
            <w:shd w:val="clear" w:color="auto" w:fill="D9D9D9" w:themeFill="background1" w:themeFillShade="D9"/>
            <w:vAlign w:val="center"/>
          </w:tcPr>
          <w:p w14:paraId="1663000F" w14:textId="77777777" w:rsidR="007704F4" w:rsidRPr="00C57C0F" w:rsidRDefault="007704F4">
            <w:pPr>
              <w:ind w:right="-18"/>
              <w:contextualSpacing/>
              <w:rPr>
                <w:rFonts w:ascii="Cambria" w:eastAsia="MS Mincho" w:hAnsi="Cambria" w:cs="Arial"/>
                <w:sz w:val="18"/>
                <w:szCs w:val="18"/>
              </w:rPr>
            </w:pPr>
          </w:p>
        </w:tc>
        <w:tc>
          <w:tcPr>
            <w:tcW w:w="1172" w:type="dxa"/>
            <w:tcBorders>
              <w:left w:val="single" w:sz="6" w:space="0" w:color="auto"/>
            </w:tcBorders>
            <w:shd w:val="clear" w:color="auto" w:fill="D9D9D9" w:themeFill="background1" w:themeFillShade="D9"/>
            <w:vAlign w:val="center"/>
          </w:tcPr>
          <w:p w14:paraId="6F0605CE" w14:textId="77777777" w:rsidR="007704F4" w:rsidRPr="00C57C0F" w:rsidRDefault="007704F4">
            <w:pPr>
              <w:ind w:right="-18"/>
              <w:jc w:val="center"/>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313" w:type="dxa"/>
            <w:gridSpan w:val="3"/>
            <w:shd w:val="clear" w:color="auto" w:fill="D9D9D9" w:themeFill="background1" w:themeFillShade="D9"/>
            <w:vAlign w:val="center"/>
          </w:tcPr>
          <w:p w14:paraId="55199F2E" w14:textId="77777777" w:rsidR="007704F4" w:rsidRPr="00C57C0F" w:rsidRDefault="007704F4">
            <w:pPr>
              <w:jc w:val="both"/>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CLAUSE SIXTH: Reparation measures. </w:t>
            </w:r>
            <w:r w:rsidRPr="00C57C0F">
              <w:rPr>
                <w:rFonts w:ascii="Cambria" w:eastAsia="Times New Roman" w:hAnsi="Cambria" w:cs="Segoe UI"/>
                <w:sz w:val="18"/>
                <w:szCs w:val="18"/>
              </w:rPr>
              <w:t>The State undertakes to initiate the processing of Law 288 of 1996 “By means of which instruments are established for the compensation of non-pecuniary and material damages to the victims of human rights violations by virtue of the provisions of certain international organs of Human Rights”, once this friendly settlement agreement is approved through the issuance of the Report of Article 49 of the American Convention on Human Rights, […].</w:t>
            </w:r>
          </w:p>
        </w:tc>
        <w:tc>
          <w:tcPr>
            <w:tcW w:w="1710" w:type="dxa"/>
            <w:shd w:val="clear" w:color="auto" w:fill="D9D9D9" w:themeFill="background1" w:themeFillShade="D9"/>
            <w:vAlign w:val="center"/>
          </w:tcPr>
          <w:p w14:paraId="52FC7E8D" w14:textId="77777777" w:rsidR="007704F4" w:rsidRPr="00C57C0F" w:rsidRDefault="007704F4">
            <w:pPr>
              <w:ind w:right="-18"/>
              <w:jc w:val="center"/>
              <w:rPr>
                <w:rFonts w:ascii="Cambria" w:eastAsia="Times New Roman" w:hAnsi="Cambria" w:cs="Segoe UI"/>
                <w:b/>
                <w:bCs/>
                <w:sz w:val="18"/>
                <w:szCs w:val="18"/>
              </w:rPr>
            </w:pPr>
            <w:r w:rsidRPr="00C57C0F">
              <w:rPr>
                <w:rFonts w:ascii="Cambria" w:eastAsia="Times New Roman" w:hAnsi="Cambria" w:cs="Segoe UI"/>
                <w:b/>
                <w:bCs/>
                <w:sz w:val="18"/>
                <w:szCs w:val="18"/>
              </w:rPr>
              <w:t xml:space="preserve">Partial </w:t>
            </w:r>
            <w:r w:rsidRPr="00C57C0F">
              <w:rPr>
                <w:rFonts w:ascii="Cambria" w:eastAsia="MS Mincho" w:hAnsi="Cambria" w:cs="Arial"/>
                <w:b/>
                <w:sz w:val="18"/>
                <w:szCs w:val="18"/>
                <w:lang w:eastAsia="es-ES_tradnl"/>
              </w:rPr>
              <w:t>2022</w:t>
            </w:r>
          </w:p>
        </w:tc>
      </w:tr>
      <w:tr w:rsidR="007704F4" w:rsidRPr="00C57C0F" w14:paraId="35AE4C0D"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7EDD1F5"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99C633F" w14:textId="77777777" w:rsidR="007704F4" w:rsidRPr="00352AC9" w:rsidRDefault="007704F4">
            <w:pPr>
              <w:ind w:right="-30"/>
              <w:textAlignment w:val="baseline"/>
              <w:rPr>
                <w:rFonts w:ascii="Cambria" w:eastAsia="Times New Roman" w:hAnsi="Cambria" w:cs="Segoe UI"/>
                <w:sz w:val="18"/>
                <w:szCs w:val="18"/>
                <w:lang w:val="pt-BR"/>
              </w:rPr>
            </w:pPr>
            <w:r w:rsidRPr="00352AC9">
              <w:rPr>
                <w:rFonts w:ascii="Cambria" w:eastAsia="Times New Roman" w:hAnsi="Cambria" w:cs="Segoe UI"/>
                <w:sz w:val="18"/>
                <w:szCs w:val="18"/>
                <w:lang w:val="pt-BR"/>
              </w:rPr>
              <w:t>Petition 1617-12, Report No. 169/22, Domingo José Rivas Coronado</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F98270E" w14:textId="77777777" w:rsidR="007704F4" w:rsidRPr="00C57C0F" w:rsidRDefault="007704F4">
            <w:pPr>
              <w:ind w:right="-104"/>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 </w:t>
            </w:r>
          </w:p>
        </w:tc>
        <w:tc>
          <w:tcPr>
            <w:tcW w:w="5313"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B1EFC49" w14:textId="77777777" w:rsidR="007704F4" w:rsidRPr="00C57C0F" w:rsidRDefault="007704F4">
            <w:pPr>
              <w:ind w:left="89" w:right="173"/>
              <w:jc w:val="both"/>
              <w:textAlignment w:val="baseline"/>
              <w:rPr>
                <w:rFonts w:ascii="Cambria" w:eastAsia="Times New Roman" w:hAnsi="Cambria" w:cs="Segoe UI"/>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 Act of Acknowledgment of Responsibility. </w:t>
            </w:r>
            <w:r w:rsidRPr="00C57C0F">
              <w:rPr>
                <w:rFonts w:ascii="Cambria" w:eastAsia="Times New Roman" w:hAnsi="Cambria" w:cs="Segoe UI"/>
                <w:sz w:val="18"/>
                <w:szCs w:val="18"/>
              </w:rPr>
              <w:t>The Colombian State shall carry out an Act of Acknowledgment of Responsibility, with the participation of the petitioner and the next of kin of Mr. Domingo José Rivas Coronado […].</w:t>
            </w:r>
          </w:p>
        </w:tc>
        <w:tc>
          <w:tcPr>
            <w:tcW w:w="17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EC138D6"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rPr>
              <w:t>Total 2022</w:t>
            </w:r>
            <w:r w:rsidRPr="00C57C0F">
              <w:rPr>
                <w:rFonts w:ascii="Cambria" w:eastAsia="Times New Roman" w:hAnsi="Cambria" w:cs="Segoe UI"/>
                <w:sz w:val="18"/>
                <w:szCs w:val="18"/>
              </w:rPr>
              <w:t> </w:t>
            </w:r>
          </w:p>
        </w:tc>
      </w:tr>
      <w:tr w:rsidR="007704F4" w:rsidRPr="00C57C0F" w14:paraId="33EB23A8"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AA84E2F"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5CC5B82" w14:textId="77777777" w:rsidR="007704F4" w:rsidRPr="00352AC9" w:rsidRDefault="007704F4">
            <w:pPr>
              <w:textAlignment w:val="baseline"/>
              <w:rPr>
                <w:rFonts w:ascii="Cambria" w:eastAsia="Times New Roman" w:hAnsi="Cambria" w:cs="Segoe UI"/>
                <w:sz w:val="18"/>
                <w:szCs w:val="18"/>
                <w:lang w:val="es-AR"/>
              </w:rPr>
            </w:pPr>
            <w:r w:rsidRPr="00352AC9">
              <w:rPr>
                <w:rFonts w:ascii="Cambria" w:eastAsia="Times New Roman" w:hAnsi="Cambria" w:cs="Segoe UI"/>
                <w:sz w:val="18"/>
                <w:szCs w:val="18"/>
                <w:lang w:val="es-AR"/>
              </w:rPr>
              <w:t>Case 14.312, Report No. 170/22, Juan Carlos De La Calle Jiménez and Javier De La Calle Jiménez</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BDF5C93" w14:textId="77777777" w:rsidR="007704F4" w:rsidRPr="00C57C0F" w:rsidRDefault="007704F4">
            <w:pPr>
              <w:ind w:right="-104"/>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 </w:t>
            </w:r>
          </w:p>
        </w:tc>
        <w:tc>
          <w:tcPr>
            <w:tcW w:w="531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2EF3EC8" w14:textId="77777777" w:rsidR="007704F4" w:rsidRPr="00C57C0F" w:rsidRDefault="007704F4">
            <w:pPr>
              <w:ind w:left="89" w:right="80"/>
              <w:jc w:val="both"/>
              <w:textAlignment w:val="baseline"/>
              <w:rPr>
                <w:rFonts w:ascii="Cambria" w:eastAsia="Times New Roman" w:hAnsi="Cambria" w:cs="Segoe UI"/>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 Act of Acknowledgment of Responsibility: </w:t>
            </w:r>
            <w:r w:rsidRPr="00C57C0F">
              <w:rPr>
                <w:rFonts w:ascii="Cambria" w:eastAsia="Times New Roman" w:hAnsi="Cambria" w:cs="Segoe UI"/>
                <w:sz w:val="18"/>
                <w:szCs w:val="18"/>
              </w:rPr>
              <w:t>The Colombian State will conduct a Private Act of Acknowledgment of Responsibility, which will be carried out virtually with the participation of the petitioners. […].</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F484E28"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rPr>
              <w:t>Total 2022</w:t>
            </w:r>
            <w:r w:rsidRPr="00C57C0F">
              <w:rPr>
                <w:rFonts w:ascii="Cambria" w:eastAsia="Times New Roman" w:hAnsi="Cambria" w:cs="Segoe UI"/>
                <w:sz w:val="18"/>
                <w:szCs w:val="18"/>
              </w:rPr>
              <w:t> </w:t>
            </w:r>
          </w:p>
        </w:tc>
      </w:tr>
      <w:tr w:rsidR="007704F4" w:rsidRPr="00C57C0F" w14:paraId="5E3B696F"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EC3B6AD"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543F21A" w14:textId="77777777" w:rsidR="007704F4" w:rsidRPr="00C57C0F" w:rsidRDefault="007704F4">
            <w:pPr>
              <w:textAlignment w:val="baseline"/>
              <w:rPr>
                <w:rFonts w:ascii="Cambria" w:eastAsia="Times New Roman" w:hAnsi="Cambria" w:cs="Segoe UI"/>
                <w:sz w:val="18"/>
                <w:szCs w:val="18"/>
              </w:rPr>
            </w:pPr>
            <w:r w:rsidRPr="00C57C0F">
              <w:rPr>
                <w:rFonts w:ascii="Cambria" w:eastAsia="Times New Roman" w:hAnsi="Cambria" w:cs="Segoe UI"/>
                <w:sz w:val="18"/>
                <w:szCs w:val="18"/>
              </w:rPr>
              <w:t>Case 14.093, Report 285/22, Ernesto Ramírez Berrios</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AAB8E75" w14:textId="77777777" w:rsidR="007704F4" w:rsidRPr="00C57C0F" w:rsidRDefault="007704F4">
            <w:pPr>
              <w:ind w:right="-104"/>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 </w:t>
            </w:r>
          </w:p>
        </w:tc>
        <w:tc>
          <w:tcPr>
            <w:tcW w:w="5313"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285157D" w14:textId="77777777" w:rsidR="007704F4" w:rsidRPr="00C57C0F" w:rsidRDefault="007704F4">
            <w:pPr>
              <w:ind w:left="89" w:right="80"/>
              <w:jc w:val="both"/>
              <w:textAlignment w:val="baseline"/>
              <w:rPr>
                <w:rFonts w:ascii="Cambria" w:eastAsia="Times New Roman" w:hAnsi="Cambria" w:cs="Segoe UI"/>
                <w:b/>
                <w:bCs/>
                <w:sz w:val="18"/>
                <w:szCs w:val="18"/>
              </w:rPr>
            </w:pPr>
            <w:r w:rsidRPr="00C57C0F">
              <w:rPr>
                <w:rFonts w:ascii="Cambria" w:eastAsia="MS Mincho" w:hAnsi="Cambria" w:cs="Arial"/>
                <w:b/>
                <w:bCs/>
                <w:sz w:val="18"/>
                <w:szCs w:val="18"/>
                <w:lang w:eastAsia="es-ES_tradnl"/>
              </w:rPr>
              <w:t>CLAUSE FIFTH.</w:t>
            </w:r>
            <w:r w:rsidRPr="00C57C0F">
              <w:rPr>
                <w:rFonts w:ascii="Cambria" w:eastAsia="Times New Roman" w:hAnsi="Cambria" w:cs="Segoe UI"/>
                <w:b/>
                <w:bCs/>
                <w:sz w:val="18"/>
                <w:szCs w:val="18"/>
              </w:rPr>
              <w:t xml:space="preserve"> i. Act of Acknowledgment of Responsibility: </w:t>
            </w:r>
            <w:r w:rsidRPr="00C57C0F">
              <w:rPr>
                <w:rFonts w:ascii="Cambria" w:eastAsia="Times New Roman" w:hAnsi="Cambria" w:cs="Segoe UI"/>
                <w:sz w:val="18"/>
                <w:szCs w:val="18"/>
              </w:rPr>
              <w:t>The Colombian State shall carry out a Public Act of Acknowledgment of Responsibility, virtually, with the participation of the family members of Mr. Ernesto Ramírez Berrios and their representatives. […].</w:t>
            </w:r>
          </w:p>
        </w:tc>
        <w:tc>
          <w:tcPr>
            <w:tcW w:w="17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6964755"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Total 2022</w:t>
            </w:r>
            <w:r w:rsidRPr="00C57C0F">
              <w:rPr>
                <w:rFonts w:ascii="Cambria" w:eastAsia="Times New Roman" w:hAnsi="Cambria" w:cs="Segoe UI"/>
                <w:sz w:val="18"/>
                <w:szCs w:val="18"/>
              </w:rPr>
              <w:t> </w:t>
            </w:r>
          </w:p>
        </w:tc>
      </w:tr>
      <w:tr w:rsidR="007704F4" w:rsidRPr="00C57C0F" w14:paraId="08F66334"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848B432"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835B916" w14:textId="77777777" w:rsidR="007704F4" w:rsidRPr="00C57C0F" w:rsidRDefault="007704F4">
            <w:pPr>
              <w:textAlignment w:val="baseline"/>
              <w:rPr>
                <w:rFonts w:ascii="Cambria" w:eastAsia="Times New Roman" w:hAnsi="Cambria" w:cs="Segoe UI"/>
                <w:sz w:val="18"/>
                <w:szCs w:val="18"/>
              </w:rPr>
            </w:pPr>
            <w:r w:rsidRPr="00C57C0F">
              <w:rPr>
                <w:rFonts w:ascii="Cambria" w:eastAsia="Times New Roman" w:hAnsi="Cambria" w:cs="Segoe UI"/>
                <w:sz w:val="18"/>
                <w:szCs w:val="18"/>
              </w:rPr>
              <w:t>87.</w:t>
            </w:r>
            <w:r w:rsidRPr="00C57C0F">
              <w:rPr>
                <w:rFonts w:ascii="Cambria" w:eastAsia="Times New Roman" w:hAnsi="Cambria" w:cs="Segoe UI"/>
                <w:sz w:val="18"/>
                <w:szCs w:val="18"/>
              </w:rPr>
              <w:tab/>
              <w:t>Case 13.226, Report No. 286/22, Dora Inés Meneses Gomez and Others.</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00A2915" w14:textId="77777777" w:rsidR="007704F4" w:rsidRPr="00C57C0F" w:rsidRDefault="007704F4">
            <w:pPr>
              <w:ind w:right="-104"/>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D6C4EC" w14:textId="77777777" w:rsidR="007704F4" w:rsidRPr="00C57C0F" w:rsidRDefault="007704F4">
            <w:pPr>
              <w:ind w:left="89" w:right="80"/>
              <w:jc w:val="both"/>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CLAUSE EIGHTH: Measures of compensation. </w:t>
            </w:r>
            <w:r w:rsidRPr="00C57C0F">
              <w:rPr>
                <w:rFonts w:ascii="Cambria" w:eastAsia="Times New Roman" w:hAnsi="Cambria" w:cs="Segoe UI"/>
                <w:sz w:val="18"/>
                <w:szCs w:val="18"/>
              </w:rPr>
              <w:t>[…] The Ministry of National Defense undertakes to provide compensation for the pecuniary and non-pecuniary damage proven to have been caused by the violations recognized in this agreement through the mechanism established by Law 288 of 1996. […].</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A4D77B5"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Partial </w:t>
            </w:r>
            <w:r w:rsidRPr="00C57C0F">
              <w:rPr>
                <w:rFonts w:ascii="Cambria" w:eastAsia="MS Mincho" w:hAnsi="Cambria" w:cs="Arial"/>
                <w:b/>
                <w:sz w:val="18"/>
                <w:szCs w:val="18"/>
                <w:lang w:eastAsia="es-ES_tradnl"/>
              </w:rPr>
              <w:t>2022</w:t>
            </w:r>
          </w:p>
        </w:tc>
      </w:tr>
      <w:tr w:rsidR="007704F4" w:rsidRPr="00C57C0F" w14:paraId="5E62CE11" w14:textId="77777777">
        <w:trPr>
          <w:jc w:val="center"/>
        </w:trPr>
        <w:tc>
          <w:tcPr>
            <w:tcW w:w="9988" w:type="dxa"/>
            <w:gridSpan w:val="7"/>
            <w:shd w:val="clear" w:color="auto" w:fill="92D050"/>
            <w:vAlign w:val="center"/>
          </w:tcPr>
          <w:p w14:paraId="6F486C86" w14:textId="77777777" w:rsidR="007704F4" w:rsidRPr="00C57C0F" w:rsidRDefault="007704F4">
            <w:pPr>
              <w:ind w:right="-18"/>
              <w:jc w:val="center"/>
              <w:rPr>
                <w:rFonts w:ascii="Cambria" w:eastAsia="MS Mincho" w:hAnsi="Cambria" w:cs="Arial"/>
                <w:b/>
                <w:sz w:val="18"/>
                <w:szCs w:val="18"/>
                <w:u w:val="single"/>
                <w:lang w:eastAsia="es-ES_tradnl"/>
              </w:rPr>
            </w:pPr>
            <w:r w:rsidRPr="00C57C0F">
              <w:rPr>
                <w:rFonts w:ascii="Cambria" w:eastAsia="MS Mincho" w:hAnsi="Cambria" w:cs="Arial"/>
                <w:b/>
                <w:sz w:val="18"/>
                <w:szCs w:val="18"/>
                <w:u w:val="single"/>
                <w:lang w:eastAsia="es-ES_tradnl"/>
              </w:rPr>
              <w:t>Colombia:</w:t>
            </w:r>
          </w:p>
          <w:p w14:paraId="48783815" w14:textId="77777777" w:rsidR="007704F4" w:rsidRPr="00C57C0F" w:rsidRDefault="007704F4">
            <w:pPr>
              <w:ind w:right="-18"/>
              <w:jc w:val="center"/>
              <w:rPr>
                <w:rFonts w:ascii="Cambria" w:eastAsia="MS Mincho" w:hAnsi="Cambria" w:cs="Arial"/>
                <w:b/>
                <w:sz w:val="18"/>
                <w:szCs w:val="18"/>
                <w:lang w:eastAsia="es-ES_tradnl"/>
              </w:rPr>
            </w:pPr>
            <w:r w:rsidRPr="00C57C0F">
              <w:rPr>
                <w:rStyle w:val="normaltextrun"/>
                <w:rFonts w:ascii="Cambria" w:hAnsi="Cambria"/>
                <w:b/>
                <w:color w:val="000000"/>
                <w:sz w:val="18"/>
                <w:szCs w:val="18"/>
                <w:bdr w:val="none" w:sz="0" w:space="0" w:color="auto" w:frame="1"/>
              </w:rPr>
              <w:t>Number of measures where progress was achieved</w:t>
            </w:r>
            <w:r w:rsidRPr="00C57C0F">
              <w:rPr>
                <w:rFonts w:ascii="Cambria" w:eastAsia="MS Mincho" w:hAnsi="Cambria" w:cs="Arial"/>
                <w:b/>
                <w:sz w:val="18"/>
                <w:szCs w:val="18"/>
                <w:lang w:eastAsia="es-ES_tradnl"/>
              </w:rPr>
              <w:t>: 73 (52 individual, 21 structural)</w:t>
            </w:r>
          </w:p>
          <w:p w14:paraId="470C4A95"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compliance: 38</w:t>
            </w:r>
          </w:p>
          <w:p w14:paraId="3D95FE83"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15</w:t>
            </w:r>
          </w:p>
          <w:p w14:paraId="3E51ACE6"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lastRenderedPageBreak/>
              <w:t>Partial compliance: 20</w:t>
            </w:r>
          </w:p>
        </w:tc>
      </w:tr>
      <w:tr w:rsidR="007704F4" w:rsidRPr="00C57C0F" w14:paraId="1DD56964" w14:textId="77777777">
        <w:trPr>
          <w:jc w:val="center"/>
        </w:trPr>
        <w:tc>
          <w:tcPr>
            <w:tcW w:w="534" w:type="dxa"/>
            <w:shd w:val="clear" w:color="auto" w:fill="92D050"/>
            <w:vAlign w:val="center"/>
          </w:tcPr>
          <w:p w14:paraId="0F884C34" w14:textId="77777777" w:rsidR="007704F4" w:rsidRPr="00C57C0F" w:rsidRDefault="007704F4">
            <w:pPr>
              <w:ind w:right="-18"/>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lastRenderedPageBreak/>
              <w:t xml:space="preserve"> No.</w:t>
            </w:r>
          </w:p>
        </w:tc>
        <w:tc>
          <w:tcPr>
            <w:tcW w:w="1259" w:type="dxa"/>
            <w:shd w:val="clear" w:color="auto" w:fill="92D050"/>
            <w:vAlign w:val="center"/>
          </w:tcPr>
          <w:p w14:paraId="7AE01B30"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Matter</w:t>
            </w:r>
          </w:p>
        </w:tc>
        <w:tc>
          <w:tcPr>
            <w:tcW w:w="1172" w:type="dxa"/>
            <w:shd w:val="clear" w:color="auto" w:fill="92D050"/>
            <w:vAlign w:val="center"/>
          </w:tcPr>
          <w:p w14:paraId="027FF867"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Impact</w:t>
            </w:r>
          </w:p>
        </w:tc>
        <w:tc>
          <w:tcPr>
            <w:tcW w:w="5313" w:type="dxa"/>
            <w:gridSpan w:val="3"/>
            <w:shd w:val="clear" w:color="auto" w:fill="92D050"/>
            <w:vAlign w:val="center"/>
          </w:tcPr>
          <w:p w14:paraId="0269338E"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Clause or measure</w:t>
            </w:r>
          </w:p>
        </w:tc>
        <w:tc>
          <w:tcPr>
            <w:tcW w:w="1710" w:type="dxa"/>
            <w:shd w:val="clear" w:color="auto" w:fill="92D050"/>
            <w:vAlign w:val="center"/>
          </w:tcPr>
          <w:p w14:paraId="18EB818B"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Level of compliance achieved</w:t>
            </w:r>
          </w:p>
        </w:tc>
      </w:tr>
      <w:tr w:rsidR="007704F4" w:rsidRPr="00C57C0F" w14:paraId="6409D848" w14:textId="77777777">
        <w:trPr>
          <w:trHeight w:val="495"/>
          <w:jc w:val="center"/>
        </w:trPr>
        <w:tc>
          <w:tcPr>
            <w:tcW w:w="9988" w:type="dxa"/>
            <w:gridSpan w:val="7"/>
            <w:shd w:val="clear" w:color="auto" w:fill="17365D"/>
            <w:vAlign w:val="center"/>
          </w:tcPr>
          <w:p w14:paraId="1F38E084"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GUATEMALA</w:t>
            </w:r>
          </w:p>
        </w:tc>
      </w:tr>
      <w:tr w:rsidR="007704F4" w:rsidRPr="00C57C0F" w14:paraId="46610327" w14:textId="77777777">
        <w:trPr>
          <w:trHeight w:val="495"/>
          <w:jc w:val="center"/>
        </w:trPr>
        <w:tc>
          <w:tcPr>
            <w:tcW w:w="534" w:type="dxa"/>
            <w:shd w:val="clear" w:color="auto" w:fill="FFFFFF" w:themeFill="background1"/>
            <w:vAlign w:val="center"/>
          </w:tcPr>
          <w:p w14:paraId="68BB2210"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FFFFFF" w:themeFill="background1"/>
            <w:vAlign w:val="center"/>
          </w:tcPr>
          <w:p w14:paraId="6E16ACD5" w14:textId="77777777" w:rsidR="007704F4" w:rsidRPr="00352AC9" w:rsidRDefault="007704F4">
            <w:pPr>
              <w:ind w:right="-18"/>
              <w:contextualSpacing/>
              <w:rPr>
                <w:rFonts w:ascii="Cambria" w:hAnsi="Cambria" w:cs="Arial"/>
                <w:sz w:val="18"/>
                <w:szCs w:val="18"/>
                <w:lang w:val="es-AR" w:eastAsia="es-ES_tradnl"/>
              </w:rPr>
            </w:pPr>
            <w:r w:rsidRPr="00352AC9">
              <w:rPr>
                <w:rFonts w:ascii="Cambria" w:hAnsi="Cambria" w:cs="Arial"/>
                <w:sz w:val="18"/>
                <w:szCs w:val="18"/>
                <w:lang w:val="es-AR" w:eastAsia="es-ES_tradnl"/>
              </w:rPr>
              <w:t>Case 11.197, Report No. 68/03, San Vicente de los Cimientos Community</w:t>
            </w:r>
          </w:p>
        </w:tc>
        <w:tc>
          <w:tcPr>
            <w:tcW w:w="1172" w:type="dxa"/>
            <w:shd w:val="clear" w:color="auto" w:fill="FFFFFF" w:themeFill="background1"/>
            <w:vAlign w:val="center"/>
          </w:tcPr>
          <w:p w14:paraId="76F14C3B"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22066028" w14:textId="77777777" w:rsidR="007704F4" w:rsidRPr="00C57C0F" w:rsidRDefault="007704F4">
            <w:pPr>
              <w:ind w:right="-12"/>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Clause 2.</w:t>
            </w:r>
            <w:r w:rsidRPr="00C57C0F">
              <w:rPr>
                <w:rFonts w:ascii="Cambria" w:eastAsia="MS Mincho" w:hAnsi="Cambria" w:cs="Arial"/>
                <w:sz w:val="18"/>
                <w:szCs w:val="18"/>
                <w:lang w:eastAsia="es-ES_tradnl"/>
              </w:rPr>
              <w:t xml:space="preserve"> The community of Los Cimientos, through the Community Association of Residents of Los Cimientos Xetzununchaj civic association, and the Government, shall identify and negotiate, within sixty days following the settlement of the community, urgent projects to reactivate its productive, economic, and social capacities, </w:t>
            </w:r>
            <w:r w:rsidRPr="00C57C0F">
              <w:rPr>
                <w:rFonts w:ascii="Cambria" w:eastAsia="Times New Roman" w:hAnsi="Cambria" w:cs="Segoe UI"/>
                <w:sz w:val="18"/>
                <w:szCs w:val="18"/>
              </w:rPr>
              <w:t>[…].</w:t>
            </w:r>
          </w:p>
        </w:tc>
        <w:tc>
          <w:tcPr>
            <w:tcW w:w="1710" w:type="dxa"/>
            <w:shd w:val="clear" w:color="auto" w:fill="FFFFFF" w:themeFill="background1"/>
            <w:vAlign w:val="center"/>
          </w:tcPr>
          <w:p w14:paraId="69A3A796"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2022</w:t>
            </w:r>
          </w:p>
        </w:tc>
      </w:tr>
      <w:tr w:rsidR="007704F4" w:rsidRPr="00C57C0F" w14:paraId="430C4F80" w14:textId="77777777">
        <w:trPr>
          <w:trHeight w:val="495"/>
          <w:jc w:val="center"/>
        </w:trPr>
        <w:tc>
          <w:tcPr>
            <w:tcW w:w="534" w:type="dxa"/>
            <w:shd w:val="clear" w:color="auto" w:fill="D9D9D9" w:themeFill="background1" w:themeFillShade="D9"/>
            <w:vAlign w:val="center"/>
          </w:tcPr>
          <w:p w14:paraId="12C2CAF5"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D9D9D9" w:themeFill="background1" w:themeFillShade="D9"/>
            <w:vAlign w:val="center"/>
          </w:tcPr>
          <w:p w14:paraId="55F0E009" w14:textId="77777777" w:rsidR="007704F4" w:rsidRPr="00C57C0F" w:rsidRDefault="007704F4">
            <w:pPr>
              <w:ind w:right="-18"/>
              <w:contextualSpacing/>
              <w:rPr>
                <w:rFonts w:ascii="Cambria" w:eastAsia="MS Mincho" w:hAnsi="Cambria" w:cs="Arial"/>
                <w:sz w:val="18"/>
                <w:szCs w:val="18"/>
              </w:rPr>
            </w:pPr>
            <w:r w:rsidRPr="00C57C0F">
              <w:rPr>
                <w:rFonts w:ascii="Cambria" w:hAnsi="Cambria" w:cs="Arial"/>
                <w:sz w:val="18"/>
                <w:szCs w:val="18"/>
                <w:lang w:eastAsia="es-ES_tradnl"/>
              </w:rPr>
              <w:t>Case 11.422, Report No. 1/12, Mario Alioto López Sánchez</w:t>
            </w:r>
          </w:p>
        </w:tc>
        <w:tc>
          <w:tcPr>
            <w:tcW w:w="1172" w:type="dxa"/>
            <w:shd w:val="clear" w:color="auto" w:fill="D9D9D9" w:themeFill="background1" w:themeFillShade="D9"/>
            <w:vAlign w:val="center"/>
          </w:tcPr>
          <w:p w14:paraId="14CF9A9B"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7B6ADDE8"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5. Investigation, trial and punishment of the guilty parties. </w:t>
            </w:r>
            <w:r w:rsidRPr="00C57C0F">
              <w:rPr>
                <w:rFonts w:ascii="Cambria" w:eastAsia="MS Mincho" w:hAnsi="Cambria" w:cs="Arial"/>
                <w:sz w:val="18"/>
                <w:szCs w:val="18"/>
                <w:lang w:eastAsia="es-ES_tradnl"/>
              </w:rPr>
              <w:t>The Guatemalan State pledges to pursue, through the appropriate institutions, the investigation, prosecution and punishment of those persons against whom criminal proceedings have been instituted and who stand accused in the death of Mario Alioto López Sánchez; it also pledges to pursue the present case in the Justice Promotion Committee [</w:t>
            </w:r>
            <w:r w:rsidRPr="00C57C0F">
              <w:rPr>
                <w:rFonts w:ascii="Cambria" w:eastAsia="MS Mincho" w:hAnsi="Cambria" w:cs="Arial"/>
                <w:i/>
                <w:iCs/>
                <w:sz w:val="18"/>
                <w:szCs w:val="18"/>
                <w:lang w:eastAsia="es-ES_tradnl"/>
              </w:rPr>
              <w:t>Comité de Impulso</w:t>
            </w:r>
            <w:r w:rsidRPr="00C57C0F">
              <w:rPr>
                <w:rFonts w:ascii="Cambria" w:eastAsia="MS Mincho" w:hAnsi="Cambria" w:cs="Arial"/>
                <w:sz w:val="18"/>
                <w:szCs w:val="18"/>
                <w:lang w:eastAsia="es-ES_tradnl"/>
              </w:rPr>
              <w:t>].</w:t>
            </w:r>
            <w:r w:rsidRPr="00C57C0F">
              <w:rPr>
                <w:rFonts w:ascii="Cambria" w:eastAsia="Times New Roman" w:hAnsi="Cambria" w:cs="Segoe UI"/>
                <w:sz w:val="18"/>
                <w:szCs w:val="18"/>
              </w:rPr>
              <w:t xml:space="preserve"> […].</w:t>
            </w:r>
          </w:p>
        </w:tc>
        <w:tc>
          <w:tcPr>
            <w:tcW w:w="1710" w:type="dxa"/>
            <w:shd w:val="clear" w:color="auto" w:fill="D9D9D9" w:themeFill="background1" w:themeFillShade="D9"/>
            <w:vAlign w:val="center"/>
          </w:tcPr>
          <w:p w14:paraId="4DD016ED"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76F6690B" w14:textId="77777777">
        <w:trPr>
          <w:trHeight w:val="504"/>
          <w:jc w:val="center"/>
        </w:trPr>
        <w:tc>
          <w:tcPr>
            <w:tcW w:w="534" w:type="dxa"/>
            <w:shd w:val="clear" w:color="auto" w:fill="auto"/>
            <w:vAlign w:val="center"/>
          </w:tcPr>
          <w:p w14:paraId="4A52AD54"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auto"/>
            <w:vAlign w:val="center"/>
          </w:tcPr>
          <w:p w14:paraId="60D04276" w14:textId="77777777" w:rsidR="007704F4" w:rsidRPr="00C57C0F" w:rsidRDefault="007704F4">
            <w:pPr>
              <w:ind w:right="-18"/>
              <w:contextualSpacing/>
              <w:rPr>
                <w:rFonts w:ascii="Cambria" w:eastAsia="MS Mincho" w:hAnsi="Cambria" w:cs="Arial"/>
                <w:sz w:val="18"/>
                <w:szCs w:val="18"/>
              </w:rPr>
            </w:pPr>
            <w:r w:rsidRPr="00C57C0F">
              <w:rPr>
                <w:rFonts w:ascii="Cambria" w:hAnsi="Cambria" w:cs="Arial"/>
                <w:sz w:val="18"/>
                <w:szCs w:val="18"/>
                <w:lang w:eastAsia="es-ES_tradnl"/>
              </w:rPr>
              <w:t>Case 12.737, Report No. 114/21, Carlos Raúl Morales Catalan</w:t>
            </w:r>
          </w:p>
        </w:tc>
        <w:tc>
          <w:tcPr>
            <w:tcW w:w="1172" w:type="dxa"/>
            <w:shd w:val="clear" w:color="auto" w:fill="auto"/>
            <w:vAlign w:val="center"/>
          </w:tcPr>
          <w:p w14:paraId="309285A1"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auto"/>
            <w:vAlign w:val="center"/>
          </w:tcPr>
          <w:p w14:paraId="001D4663"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Clause</w:t>
            </w:r>
            <w:r w:rsidRPr="00C57C0F">
              <w:rPr>
                <w:rFonts w:ascii="Cambria" w:hAnsi="Cambria"/>
                <w:b/>
                <w:bCs/>
                <w:sz w:val="18"/>
                <w:szCs w:val="18"/>
              </w:rPr>
              <w:t xml:space="preserve"> </w:t>
            </w:r>
            <w:r w:rsidRPr="00C57C0F">
              <w:rPr>
                <w:rFonts w:ascii="Cambria" w:eastAsia="MS Mincho" w:hAnsi="Cambria" w:cs="Arial"/>
                <w:b/>
                <w:bCs/>
                <w:sz w:val="18"/>
                <w:szCs w:val="18"/>
                <w:lang w:eastAsia="es-ES_tradnl"/>
              </w:rPr>
              <w:t>3) OTHER MEANS OF REPARATION, e) Justice:</w:t>
            </w:r>
            <w:r w:rsidRPr="00C57C0F">
              <w:rPr>
                <w:rFonts w:ascii="Cambria" w:eastAsia="MS Mincho" w:hAnsi="Cambria" w:cs="Arial"/>
                <w:sz w:val="18"/>
                <w:szCs w:val="18"/>
                <w:lang w:eastAsia="es-ES_tradnl"/>
              </w:rPr>
              <w:t xml:space="preserve"> The State of Guatemala, in accordance with the mandate of COPREDEH, commits itself to promote the necessary actions before the institutions of the justice sector for the execution of the sentence of damages and prejudices dictated by the First Instance Criminal, Drug Trafficking and Crimes against the Environment Sentencing Court, against Mr. SANTIAGO QUIDIELLO VALENZUELA and LAURA PATRICIA TORÓN TORRES DE LUNA, which are currently being processed in the Third Court of First Instance of the Civil Branch, </w:t>
            </w:r>
            <w:r w:rsidRPr="00C57C0F">
              <w:rPr>
                <w:rFonts w:ascii="Cambria" w:eastAsia="Times New Roman" w:hAnsi="Cambria" w:cs="Segoe UI"/>
                <w:sz w:val="18"/>
                <w:szCs w:val="18"/>
              </w:rPr>
              <w:t>[…].</w:t>
            </w:r>
          </w:p>
        </w:tc>
        <w:tc>
          <w:tcPr>
            <w:tcW w:w="1710" w:type="dxa"/>
            <w:shd w:val="clear" w:color="auto" w:fill="auto"/>
            <w:vAlign w:val="center"/>
          </w:tcPr>
          <w:p w14:paraId="7E21EFB8"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6802EDC7" w14:textId="77777777">
        <w:trPr>
          <w:jc w:val="center"/>
        </w:trPr>
        <w:tc>
          <w:tcPr>
            <w:tcW w:w="9988" w:type="dxa"/>
            <w:gridSpan w:val="7"/>
            <w:shd w:val="clear" w:color="auto" w:fill="92D050"/>
            <w:vAlign w:val="center"/>
          </w:tcPr>
          <w:p w14:paraId="6628B551" w14:textId="77777777" w:rsidR="007704F4" w:rsidRPr="00C57C0F" w:rsidRDefault="007704F4">
            <w:pPr>
              <w:ind w:right="-18"/>
              <w:jc w:val="center"/>
              <w:rPr>
                <w:rFonts w:ascii="Cambria" w:eastAsia="MS Mincho" w:hAnsi="Cambria" w:cs="Arial"/>
                <w:b/>
                <w:sz w:val="18"/>
                <w:szCs w:val="18"/>
                <w:u w:val="single"/>
                <w:lang w:eastAsia="es-ES_tradnl"/>
              </w:rPr>
            </w:pPr>
            <w:r w:rsidRPr="00C57C0F">
              <w:rPr>
                <w:rFonts w:ascii="Cambria" w:eastAsia="MS Mincho" w:hAnsi="Cambria" w:cs="Arial"/>
                <w:b/>
                <w:sz w:val="18"/>
                <w:szCs w:val="18"/>
                <w:u w:val="single"/>
                <w:lang w:eastAsia="es-ES_tradnl"/>
              </w:rPr>
              <w:t>Guatemala:</w:t>
            </w:r>
          </w:p>
          <w:p w14:paraId="42C0DB0A" w14:textId="77777777" w:rsidR="007704F4" w:rsidRPr="00C57C0F" w:rsidRDefault="007704F4">
            <w:pPr>
              <w:ind w:right="-18"/>
              <w:jc w:val="center"/>
              <w:rPr>
                <w:rFonts w:ascii="Cambria" w:eastAsia="MS Mincho" w:hAnsi="Cambria" w:cs="Arial"/>
                <w:b/>
                <w:sz w:val="18"/>
                <w:szCs w:val="18"/>
                <w:lang w:eastAsia="es-ES_tradnl"/>
              </w:rPr>
            </w:pPr>
            <w:r w:rsidRPr="00C57C0F">
              <w:rPr>
                <w:rStyle w:val="normaltextrun"/>
                <w:rFonts w:ascii="Cambria" w:hAnsi="Cambria"/>
                <w:b/>
                <w:color w:val="000000"/>
                <w:sz w:val="18"/>
                <w:szCs w:val="18"/>
                <w:bdr w:val="none" w:sz="0" w:space="0" w:color="auto" w:frame="1"/>
              </w:rPr>
              <w:t>Number of measures where progress was achieved</w:t>
            </w:r>
            <w:r w:rsidRPr="00C57C0F">
              <w:rPr>
                <w:rFonts w:ascii="Cambria" w:eastAsia="MS Mincho" w:hAnsi="Cambria" w:cs="Arial"/>
                <w:b/>
                <w:sz w:val="18"/>
                <w:szCs w:val="18"/>
                <w:lang w:eastAsia="es-ES_tradnl"/>
              </w:rPr>
              <w:t>: 3 (individual)</w:t>
            </w:r>
          </w:p>
          <w:p w14:paraId="7B9FD6B6"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compliance: 1</w:t>
            </w:r>
          </w:p>
          <w:p w14:paraId="3DFCFA48"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1</w:t>
            </w:r>
          </w:p>
          <w:p w14:paraId="2D1A60DE"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compliance: 1</w:t>
            </w:r>
          </w:p>
        </w:tc>
      </w:tr>
      <w:tr w:rsidR="007704F4" w:rsidRPr="00C57C0F" w14:paraId="4D0A59C5" w14:textId="77777777">
        <w:trPr>
          <w:jc w:val="center"/>
        </w:trPr>
        <w:tc>
          <w:tcPr>
            <w:tcW w:w="534" w:type="dxa"/>
            <w:shd w:val="clear" w:color="auto" w:fill="92D050"/>
            <w:vAlign w:val="center"/>
          </w:tcPr>
          <w:p w14:paraId="5368CFEC" w14:textId="77777777" w:rsidR="007704F4" w:rsidRPr="00C57C0F" w:rsidRDefault="007704F4">
            <w:pPr>
              <w:ind w:right="-18"/>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 xml:space="preserve"> No.</w:t>
            </w:r>
          </w:p>
        </w:tc>
        <w:tc>
          <w:tcPr>
            <w:tcW w:w="1259" w:type="dxa"/>
            <w:shd w:val="clear" w:color="auto" w:fill="92D050"/>
            <w:vAlign w:val="center"/>
          </w:tcPr>
          <w:p w14:paraId="76FD6866"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Matter</w:t>
            </w:r>
          </w:p>
        </w:tc>
        <w:tc>
          <w:tcPr>
            <w:tcW w:w="1172" w:type="dxa"/>
            <w:shd w:val="clear" w:color="auto" w:fill="92D050"/>
            <w:vAlign w:val="center"/>
          </w:tcPr>
          <w:p w14:paraId="729AFED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Impact</w:t>
            </w:r>
          </w:p>
        </w:tc>
        <w:tc>
          <w:tcPr>
            <w:tcW w:w="5313" w:type="dxa"/>
            <w:gridSpan w:val="3"/>
            <w:shd w:val="clear" w:color="auto" w:fill="92D050"/>
            <w:vAlign w:val="center"/>
          </w:tcPr>
          <w:p w14:paraId="3F2EC28A"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Clause or measure</w:t>
            </w:r>
          </w:p>
        </w:tc>
        <w:tc>
          <w:tcPr>
            <w:tcW w:w="1710" w:type="dxa"/>
            <w:shd w:val="clear" w:color="auto" w:fill="92D050"/>
            <w:vAlign w:val="center"/>
          </w:tcPr>
          <w:p w14:paraId="7FE9F288"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Level of compliance achieved</w:t>
            </w:r>
          </w:p>
        </w:tc>
      </w:tr>
      <w:tr w:rsidR="007704F4" w:rsidRPr="00C57C0F" w14:paraId="4C1C43B1" w14:textId="77777777">
        <w:trPr>
          <w:trHeight w:val="495"/>
          <w:jc w:val="center"/>
        </w:trPr>
        <w:tc>
          <w:tcPr>
            <w:tcW w:w="9988" w:type="dxa"/>
            <w:gridSpan w:val="7"/>
            <w:shd w:val="clear" w:color="auto" w:fill="17365D"/>
            <w:vAlign w:val="center"/>
          </w:tcPr>
          <w:p w14:paraId="2122B8E7"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HONDURAS</w:t>
            </w:r>
          </w:p>
        </w:tc>
      </w:tr>
      <w:tr w:rsidR="007704F4" w:rsidRPr="00C57C0F" w14:paraId="29680337" w14:textId="77777777">
        <w:trPr>
          <w:trHeight w:val="495"/>
          <w:jc w:val="center"/>
        </w:trPr>
        <w:tc>
          <w:tcPr>
            <w:tcW w:w="534" w:type="dxa"/>
            <w:shd w:val="clear" w:color="auto" w:fill="D9D9D9" w:themeFill="background1" w:themeFillShade="D9"/>
            <w:vAlign w:val="center"/>
          </w:tcPr>
          <w:p w14:paraId="735DCBF8"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D9D9D9" w:themeFill="background1" w:themeFillShade="D9"/>
            <w:vAlign w:val="center"/>
          </w:tcPr>
          <w:p w14:paraId="7066CDCB" w14:textId="77777777" w:rsidR="007704F4" w:rsidRPr="00352AC9" w:rsidRDefault="007704F4">
            <w:pPr>
              <w:ind w:right="-18"/>
              <w:contextualSpacing/>
              <w:rPr>
                <w:rFonts w:ascii="Cambria" w:eastAsia="MS Mincho" w:hAnsi="Cambria" w:cs="Arial"/>
                <w:sz w:val="18"/>
                <w:szCs w:val="18"/>
                <w:lang w:val="pt-BR"/>
              </w:rPr>
            </w:pPr>
            <w:r w:rsidRPr="00352AC9">
              <w:rPr>
                <w:rFonts w:ascii="Cambria" w:hAnsi="Cambria" w:cs="Arial"/>
                <w:sz w:val="18"/>
                <w:szCs w:val="18"/>
                <w:lang w:val="pt-BR" w:eastAsia="es-ES_tradnl"/>
              </w:rPr>
              <w:t>Case 11.562, Report No. 40/21, Dixie Miguel Urbina Rosales</w:t>
            </w:r>
          </w:p>
        </w:tc>
        <w:tc>
          <w:tcPr>
            <w:tcW w:w="1172" w:type="dxa"/>
            <w:shd w:val="clear" w:color="auto" w:fill="D9D9D9" w:themeFill="background1" w:themeFillShade="D9"/>
            <w:vAlign w:val="center"/>
          </w:tcPr>
          <w:p w14:paraId="32F1E9BF" w14:textId="77777777" w:rsidR="007704F4" w:rsidRPr="00C57C0F" w:rsidRDefault="007704F4">
            <w:pPr>
              <w:ind w:right="-18"/>
              <w:jc w:val="center"/>
              <w:rPr>
                <w:rFonts w:ascii="Cambria" w:hAnsi="Cambria"/>
                <w:sz w:val="18"/>
                <w:szCs w:val="18"/>
              </w:rPr>
            </w:pPr>
            <w:r w:rsidRPr="00C57C0F">
              <w:rPr>
                <w:rFonts w:ascii="Cambria" w:hAnsi="Cambria"/>
                <w:sz w:val="18"/>
                <w:szCs w:val="18"/>
              </w:rPr>
              <w:t>Structural</w:t>
            </w:r>
          </w:p>
        </w:tc>
        <w:tc>
          <w:tcPr>
            <w:tcW w:w="5313" w:type="dxa"/>
            <w:gridSpan w:val="3"/>
            <w:shd w:val="clear" w:color="auto" w:fill="D9D9D9" w:themeFill="background1" w:themeFillShade="D9"/>
            <w:vAlign w:val="center"/>
          </w:tcPr>
          <w:p w14:paraId="05A107C0" w14:textId="77777777" w:rsidR="007704F4" w:rsidRPr="00C57C0F" w:rsidRDefault="007704F4">
            <w:pPr>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2. Implementation of a registry of detainees. </w:t>
            </w:r>
            <w:r w:rsidRPr="00C57C0F">
              <w:rPr>
                <w:rFonts w:ascii="Cambria" w:eastAsia="MS Mincho" w:hAnsi="Cambria" w:cs="Arial"/>
                <w:sz w:val="18"/>
                <w:szCs w:val="18"/>
                <w:lang w:eastAsia="es-ES_tradnl"/>
              </w:rPr>
              <w:t>The State of Honduras undertakes to create and implement a Registry of Detainees or, where appropriate, adapt existing ones in the terms established in the Judgment issued by the InterAmerican Court in the case of Juan Humberto Sánchez v. Honduras, of June 7, 2003, [and other instruments].</w:t>
            </w:r>
          </w:p>
        </w:tc>
        <w:tc>
          <w:tcPr>
            <w:tcW w:w="1710" w:type="dxa"/>
            <w:shd w:val="clear" w:color="auto" w:fill="D9D9D9" w:themeFill="background1" w:themeFillShade="D9"/>
            <w:vAlign w:val="center"/>
          </w:tcPr>
          <w:p w14:paraId="0DB30F8B"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652C6B8D" w14:textId="77777777">
        <w:trPr>
          <w:trHeight w:val="504"/>
          <w:jc w:val="center"/>
        </w:trPr>
        <w:tc>
          <w:tcPr>
            <w:tcW w:w="534" w:type="dxa"/>
            <w:shd w:val="clear" w:color="auto" w:fill="FFFFFF" w:themeFill="background1"/>
            <w:vAlign w:val="center"/>
          </w:tcPr>
          <w:p w14:paraId="165025E8"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FFFFFF" w:themeFill="background1"/>
            <w:vAlign w:val="center"/>
          </w:tcPr>
          <w:p w14:paraId="1BCAEF5A" w14:textId="77777777" w:rsidR="007704F4" w:rsidRPr="00C57C0F" w:rsidRDefault="007704F4">
            <w:pPr>
              <w:ind w:right="-18"/>
              <w:contextualSpacing/>
              <w:rPr>
                <w:rFonts w:ascii="Cambria" w:eastAsia="MS Mincho" w:hAnsi="Cambria" w:cs="Arial"/>
                <w:sz w:val="18"/>
                <w:szCs w:val="18"/>
              </w:rPr>
            </w:pPr>
            <w:r w:rsidRPr="00C57C0F">
              <w:rPr>
                <w:rFonts w:ascii="Cambria" w:hAnsi="Cambria" w:cs="Arial"/>
                <w:sz w:val="18"/>
                <w:szCs w:val="18"/>
                <w:lang w:eastAsia="es-ES_tradnl"/>
              </w:rPr>
              <w:t>Case 11.545, Report No. 204/21, Martha Maria Saire</w:t>
            </w:r>
          </w:p>
        </w:tc>
        <w:tc>
          <w:tcPr>
            <w:tcW w:w="1172" w:type="dxa"/>
            <w:shd w:val="clear" w:color="auto" w:fill="FFFFFF" w:themeFill="background1"/>
            <w:vAlign w:val="center"/>
          </w:tcPr>
          <w:p w14:paraId="534D20C4"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50EEED92" w14:textId="77777777" w:rsidR="007704F4" w:rsidRPr="00C57C0F" w:rsidRDefault="007704F4">
            <w:pPr>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Fifth: </w:t>
            </w:r>
            <w:r w:rsidRPr="00C57C0F">
              <w:rPr>
                <w:rFonts w:ascii="Cambria" w:eastAsia="MS Mincho" w:hAnsi="Cambria" w:cs="Arial"/>
                <w:sz w:val="18"/>
                <w:szCs w:val="18"/>
                <w:lang w:eastAsia="es-ES_tradnl"/>
              </w:rPr>
              <w:t>The parties agree to form an accompaniment committee, with the objective of evaluating the progress in the implementation of the Comprehensive Care Plan. The composition of the committee, as well as the number of members and operation will be agreed between the parties.</w:t>
            </w:r>
          </w:p>
        </w:tc>
        <w:tc>
          <w:tcPr>
            <w:tcW w:w="1710" w:type="dxa"/>
            <w:shd w:val="clear" w:color="auto" w:fill="FFFFFF" w:themeFill="background1"/>
            <w:vAlign w:val="center"/>
          </w:tcPr>
          <w:p w14:paraId="791CE93B"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07A82401" w14:textId="77777777">
        <w:trPr>
          <w:trHeight w:val="504"/>
          <w:jc w:val="center"/>
        </w:trPr>
        <w:tc>
          <w:tcPr>
            <w:tcW w:w="534" w:type="dxa"/>
            <w:shd w:val="clear" w:color="auto" w:fill="D9D9D9" w:themeFill="background1" w:themeFillShade="D9"/>
            <w:vAlign w:val="center"/>
          </w:tcPr>
          <w:p w14:paraId="7426E872"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D9D9D9" w:themeFill="background1" w:themeFillShade="D9"/>
            <w:vAlign w:val="center"/>
          </w:tcPr>
          <w:p w14:paraId="13B050A8" w14:textId="77777777" w:rsidR="007704F4" w:rsidRPr="00C57C0F" w:rsidRDefault="007704F4">
            <w:pPr>
              <w:ind w:right="-18"/>
              <w:contextualSpacing/>
              <w:rPr>
                <w:rFonts w:ascii="Cambria" w:hAnsi="Cambria" w:cs="Arial"/>
                <w:sz w:val="18"/>
                <w:szCs w:val="18"/>
                <w:lang w:eastAsia="es-ES_tradnl"/>
              </w:rPr>
            </w:pPr>
            <w:r w:rsidRPr="00C57C0F">
              <w:rPr>
                <w:rFonts w:ascii="Cambria" w:hAnsi="Cambria" w:cs="Arial"/>
                <w:sz w:val="18"/>
                <w:szCs w:val="18"/>
                <w:lang w:eastAsia="es-ES_tradnl"/>
              </w:rPr>
              <w:t>Case 12.961 H, Report No. 287/22, Juan Gonzalez, and Others</w:t>
            </w:r>
          </w:p>
        </w:tc>
        <w:tc>
          <w:tcPr>
            <w:tcW w:w="1172" w:type="dxa"/>
            <w:shd w:val="clear" w:color="auto" w:fill="D9D9D9" w:themeFill="background1" w:themeFillShade="D9"/>
            <w:vAlign w:val="center"/>
          </w:tcPr>
          <w:p w14:paraId="6E12FE97"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69BDE495" w14:textId="77777777" w:rsidR="007704F4" w:rsidRPr="00C57C0F" w:rsidRDefault="007704F4">
            <w:pPr>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6. Satisfaction of the petitioners. </w:t>
            </w:r>
            <w:r w:rsidRPr="00C57C0F">
              <w:rPr>
                <w:rFonts w:ascii="Cambria" w:eastAsia="MS Mincho" w:hAnsi="Cambria" w:cs="Arial"/>
                <w:sz w:val="18"/>
                <w:szCs w:val="18"/>
                <w:lang w:eastAsia="es-ES_tradnl"/>
              </w:rPr>
              <w:t>The petitioning party considers that compliance with the economic commitments assumed by means of this friendly settlement agreement entails the full satisfaction of its claims in the Juan González et al. case (IACHR case No. 12.961) and its respective disaggregated cases. […].</w:t>
            </w:r>
          </w:p>
        </w:tc>
        <w:tc>
          <w:tcPr>
            <w:tcW w:w="1710" w:type="dxa"/>
            <w:shd w:val="clear" w:color="auto" w:fill="D9D9D9" w:themeFill="background1" w:themeFillShade="D9"/>
            <w:vAlign w:val="center"/>
          </w:tcPr>
          <w:p w14:paraId="34F7208A"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40CA7773" w14:textId="77777777">
        <w:trPr>
          <w:trHeight w:val="504"/>
          <w:jc w:val="center"/>
        </w:trPr>
        <w:tc>
          <w:tcPr>
            <w:tcW w:w="534" w:type="dxa"/>
            <w:shd w:val="clear" w:color="auto" w:fill="D9D9D9" w:themeFill="background1" w:themeFillShade="D9"/>
            <w:vAlign w:val="center"/>
          </w:tcPr>
          <w:p w14:paraId="5879F3FB"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D9D9D9" w:themeFill="background1" w:themeFillShade="D9"/>
            <w:vAlign w:val="center"/>
          </w:tcPr>
          <w:p w14:paraId="5991D82C" w14:textId="77777777" w:rsidR="007704F4" w:rsidRPr="00C57C0F" w:rsidRDefault="007704F4">
            <w:pPr>
              <w:ind w:right="-18"/>
              <w:contextualSpacing/>
              <w:rPr>
                <w:rFonts w:ascii="Cambria" w:hAnsi="Cambria" w:cs="Arial"/>
                <w:sz w:val="18"/>
                <w:szCs w:val="18"/>
                <w:lang w:eastAsia="es-ES_tradnl"/>
              </w:rPr>
            </w:pPr>
          </w:p>
        </w:tc>
        <w:tc>
          <w:tcPr>
            <w:tcW w:w="1172" w:type="dxa"/>
            <w:shd w:val="clear" w:color="auto" w:fill="D9D9D9" w:themeFill="background1" w:themeFillShade="D9"/>
            <w:vAlign w:val="center"/>
          </w:tcPr>
          <w:p w14:paraId="4B1EF0B7"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7D05896C" w14:textId="77777777" w:rsidR="007704F4" w:rsidRPr="00C57C0F" w:rsidRDefault="007704F4">
            <w:pPr>
              <w:jc w:val="both"/>
              <w:rPr>
                <w:rFonts w:ascii="Cambria" w:eastAsia="MS Mincho" w:hAnsi="Cambria" w:cs="Arial"/>
                <w:sz w:val="18"/>
                <w:szCs w:val="18"/>
                <w:lang w:eastAsia="es-ES_tradnl"/>
              </w:rPr>
            </w:pPr>
            <w:r w:rsidRPr="00C57C0F">
              <w:rPr>
                <w:rFonts w:ascii="Cambria" w:eastAsia="MS Mincho" w:hAnsi="Cambria" w:cs="Arial"/>
                <w:b/>
                <w:bCs/>
                <w:sz w:val="18"/>
                <w:szCs w:val="18"/>
                <w:lang w:eastAsia="es-ES_tradnl"/>
              </w:rPr>
              <w:t xml:space="preserve">Clause 7. Method for payment of economic reparation. </w:t>
            </w:r>
            <w:r w:rsidRPr="00C57C0F">
              <w:rPr>
                <w:rFonts w:ascii="Cambria" w:eastAsia="MS Mincho" w:hAnsi="Cambria" w:cs="Arial"/>
                <w:sz w:val="18"/>
                <w:szCs w:val="18"/>
                <w:lang w:eastAsia="es-ES_tradnl"/>
              </w:rPr>
              <w:t xml:space="preserve">In accordance with the request made by the petitioners that the amount offered be paid in a single payment, the State agrees to make the above-indicated amounts effective through the intermediary of the State Secretariat’s Security Office, in a single payment no later than October 15, 2019, </w:t>
            </w:r>
            <w:r w:rsidRPr="00C57C0F">
              <w:rPr>
                <w:rFonts w:ascii="Cambria" w:eastAsia="Times New Roman" w:hAnsi="Cambria" w:cs="Segoe UI"/>
                <w:sz w:val="18"/>
                <w:szCs w:val="18"/>
              </w:rPr>
              <w:t>[…].</w:t>
            </w:r>
          </w:p>
        </w:tc>
        <w:tc>
          <w:tcPr>
            <w:tcW w:w="1710" w:type="dxa"/>
            <w:shd w:val="clear" w:color="auto" w:fill="D9D9D9" w:themeFill="background1" w:themeFillShade="D9"/>
            <w:vAlign w:val="center"/>
          </w:tcPr>
          <w:p w14:paraId="5875F87B"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7A71E476" w14:textId="77777777">
        <w:trPr>
          <w:trHeight w:val="504"/>
          <w:jc w:val="center"/>
        </w:trPr>
        <w:tc>
          <w:tcPr>
            <w:tcW w:w="534" w:type="dxa"/>
            <w:shd w:val="clear" w:color="auto" w:fill="FFFFFF" w:themeFill="background1"/>
            <w:vAlign w:val="center"/>
          </w:tcPr>
          <w:p w14:paraId="32555EC7"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val="restart"/>
            <w:shd w:val="clear" w:color="auto" w:fill="FFFFFF" w:themeFill="background1"/>
            <w:vAlign w:val="center"/>
          </w:tcPr>
          <w:p w14:paraId="1021D6A2" w14:textId="77777777" w:rsidR="007704F4" w:rsidRPr="00C57C0F" w:rsidRDefault="007704F4">
            <w:pPr>
              <w:ind w:right="-18"/>
              <w:contextualSpacing/>
              <w:rPr>
                <w:rFonts w:ascii="Cambria" w:hAnsi="Cambria" w:cs="Arial"/>
                <w:sz w:val="18"/>
                <w:szCs w:val="18"/>
                <w:lang w:eastAsia="es-ES_tradnl"/>
              </w:rPr>
            </w:pPr>
            <w:r w:rsidRPr="00C57C0F">
              <w:rPr>
                <w:rFonts w:ascii="Cambria" w:hAnsi="Cambria" w:cs="Arial"/>
                <w:sz w:val="18"/>
                <w:szCs w:val="18"/>
                <w:lang w:eastAsia="es-ES_tradnl"/>
              </w:rPr>
              <w:t>Case 12.961 I, Report No. 288/22, Transito Eduardo Arriaga Lopez and Others</w:t>
            </w:r>
          </w:p>
        </w:tc>
        <w:tc>
          <w:tcPr>
            <w:tcW w:w="1172" w:type="dxa"/>
            <w:shd w:val="clear" w:color="auto" w:fill="FFFFFF" w:themeFill="background1"/>
            <w:vAlign w:val="center"/>
          </w:tcPr>
          <w:p w14:paraId="7D33AC43"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42647502" w14:textId="77777777" w:rsidR="007704F4" w:rsidRPr="00C57C0F" w:rsidRDefault="007704F4">
            <w:pPr>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6. Satisfaction of the petitioners. </w:t>
            </w:r>
            <w:r w:rsidRPr="00C57C0F">
              <w:rPr>
                <w:rFonts w:ascii="Cambria" w:eastAsia="MS Mincho" w:hAnsi="Cambria" w:cs="Arial"/>
                <w:sz w:val="18"/>
                <w:szCs w:val="18"/>
                <w:lang w:eastAsia="es-ES_tradnl"/>
              </w:rPr>
              <w:t xml:space="preserve">The petitioning party considers that compliance with the economic commitments assumed by means of this friendly settlement agreement entails the full satisfaction of its claims in the Juan González et al. case (IACHR case No. 12.961) and its respective disaggregated cases. </w:t>
            </w:r>
            <w:r w:rsidRPr="00C57C0F">
              <w:rPr>
                <w:rFonts w:ascii="Cambria" w:eastAsia="Times New Roman" w:hAnsi="Cambria" w:cs="Segoe UI"/>
                <w:sz w:val="18"/>
                <w:szCs w:val="18"/>
              </w:rPr>
              <w:t>[…].</w:t>
            </w:r>
          </w:p>
        </w:tc>
        <w:tc>
          <w:tcPr>
            <w:tcW w:w="1710" w:type="dxa"/>
            <w:shd w:val="clear" w:color="auto" w:fill="FFFFFF" w:themeFill="background1"/>
            <w:vAlign w:val="center"/>
          </w:tcPr>
          <w:p w14:paraId="22E9B28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2C2E71A6" w14:textId="77777777">
        <w:trPr>
          <w:trHeight w:val="504"/>
          <w:jc w:val="center"/>
        </w:trPr>
        <w:tc>
          <w:tcPr>
            <w:tcW w:w="534" w:type="dxa"/>
            <w:shd w:val="clear" w:color="auto" w:fill="FFFFFF" w:themeFill="background1"/>
            <w:vAlign w:val="center"/>
          </w:tcPr>
          <w:p w14:paraId="7E568EC1"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shd w:val="clear" w:color="auto" w:fill="FFFFFF" w:themeFill="background1"/>
            <w:vAlign w:val="center"/>
          </w:tcPr>
          <w:p w14:paraId="59AF871C" w14:textId="77777777" w:rsidR="007704F4" w:rsidRPr="00C57C0F" w:rsidRDefault="007704F4">
            <w:pPr>
              <w:ind w:right="-18"/>
              <w:contextualSpacing/>
              <w:rPr>
                <w:rFonts w:ascii="Cambria" w:hAnsi="Cambria" w:cs="Arial"/>
                <w:sz w:val="18"/>
                <w:szCs w:val="18"/>
                <w:lang w:eastAsia="es-ES_tradnl"/>
              </w:rPr>
            </w:pPr>
          </w:p>
        </w:tc>
        <w:tc>
          <w:tcPr>
            <w:tcW w:w="1172" w:type="dxa"/>
            <w:shd w:val="clear" w:color="auto" w:fill="FFFFFF" w:themeFill="background1"/>
            <w:vAlign w:val="center"/>
          </w:tcPr>
          <w:p w14:paraId="3DDF26E5"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FFFFFF" w:themeFill="background1"/>
            <w:vAlign w:val="center"/>
          </w:tcPr>
          <w:p w14:paraId="34E40458" w14:textId="77777777" w:rsidR="007704F4" w:rsidRPr="00C57C0F" w:rsidRDefault="007704F4">
            <w:pPr>
              <w:jc w:val="both"/>
              <w:rPr>
                <w:rFonts w:ascii="Cambria" w:eastAsia="MS Mincho" w:hAnsi="Cambria" w:cs="Arial"/>
                <w:b/>
                <w:bCs/>
                <w:sz w:val="18"/>
                <w:szCs w:val="18"/>
                <w:lang w:eastAsia="es-ES_tradnl"/>
              </w:rPr>
            </w:pPr>
            <w:r w:rsidRPr="00C57C0F">
              <w:rPr>
                <w:rFonts w:ascii="Cambria" w:eastAsia="MS Mincho" w:hAnsi="Cambria" w:cs="Arial"/>
                <w:b/>
                <w:bCs/>
                <w:sz w:val="18"/>
                <w:szCs w:val="18"/>
                <w:lang w:eastAsia="es-ES_tradnl"/>
              </w:rPr>
              <w:t xml:space="preserve">Clause 7. Method for payment of economic reparation. </w:t>
            </w:r>
            <w:r w:rsidRPr="00C57C0F">
              <w:rPr>
                <w:rFonts w:ascii="Cambria" w:eastAsia="MS Mincho" w:hAnsi="Cambria" w:cs="Arial"/>
                <w:sz w:val="18"/>
                <w:szCs w:val="18"/>
                <w:lang w:eastAsia="es-ES_tradnl"/>
              </w:rPr>
              <w:t xml:space="preserve">In accordance with the request made by the petitioners that the amount offered be paid in a single payment, the State agrees to make the above-indicated amounts effective through the intermediary of the State Secretariat’s Security Office, in a single payment no later than October 15, 2019, </w:t>
            </w:r>
            <w:r w:rsidRPr="00C57C0F">
              <w:rPr>
                <w:rFonts w:ascii="Cambria" w:eastAsia="Times New Roman" w:hAnsi="Cambria" w:cs="Segoe UI"/>
                <w:sz w:val="18"/>
                <w:szCs w:val="18"/>
              </w:rPr>
              <w:t>[…].</w:t>
            </w:r>
          </w:p>
        </w:tc>
        <w:tc>
          <w:tcPr>
            <w:tcW w:w="1710" w:type="dxa"/>
            <w:shd w:val="clear" w:color="auto" w:fill="FFFFFF" w:themeFill="background1"/>
            <w:vAlign w:val="center"/>
          </w:tcPr>
          <w:p w14:paraId="2A87860D"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2022</w:t>
            </w:r>
          </w:p>
        </w:tc>
      </w:tr>
      <w:tr w:rsidR="007704F4" w:rsidRPr="00C57C0F" w14:paraId="761CAE00" w14:textId="77777777">
        <w:trPr>
          <w:jc w:val="center"/>
        </w:trPr>
        <w:tc>
          <w:tcPr>
            <w:tcW w:w="9988" w:type="dxa"/>
            <w:gridSpan w:val="7"/>
            <w:shd w:val="clear" w:color="auto" w:fill="92D050"/>
            <w:vAlign w:val="center"/>
          </w:tcPr>
          <w:p w14:paraId="0CCAA761" w14:textId="77777777" w:rsidR="007704F4" w:rsidRPr="00C57C0F" w:rsidRDefault="007704F4">
            <w:pPr>
              <w:ind w:right="-18"/>
              <w:jc w:val="center"/>
              <w:rPr>
                <w:rFonts w:ascii="Cambria" w:eastAsia="MS Mincho" w:hAnsi="Cambria" w:cs="Arial"/>
                <w:b/>
                <w:sz w:val="18"/>
                <w:szCs w:val="18"/>
                <w:u w:val="single"/>
                <w:lang w:eastAsia="es-ES_tradnl"/>
              </w:rPr>
            </w:pPr>
            <w:r w:rsidRPr="00C57C0F">
              <w:rPr>
                <w:rFonts w:ascii="Cambria" w:eastAsia="MS Mincho" w:hAnsi="Cambria" w:cs="Arial"/>
                <w:b/>
                <w:sz w:val="18"/>
                <w:szCs w:val="18"/>
                <w:u w:val="single"/>
                <w:lang w:eastAsia="es-ES_tradnl"/>
              </w:rPr>
              <w:t>Honduras:</w:t>
            </w:r>
          </w:p>
          <w:p w14:paraId="5583DEF2" w14:textId="77777777" w:rsidR="007704F4" w:rsidRPr="00C57C0F" w:rsidRDefault="007704F4">
            <w:pPr>
              <w:ind w:right="-18"/>
              <w:jc w:val="center"/>
              <w:rPr>
                <w:rFonts w:ascii="Cambria" w:eastAsia="MS Mincho" w:hAnsi="Cambria" w:cs="Arial"/>
                <w:b/>
                <w:sz w:val="18"/>
                <w:szCs w:val="18"/>
                <w:lang w:eastAsia="es-ES_tradnl"/>
              </w:rPr>
            </w:pPr>
            <w:r w:rsidRPr="00C57C0F">
              <w:rPr>
                <w:rStyle w:val="normaltextrun"/>
                <w:rFonts w:ascii="Cambria" w:hAnsi="Cambria"/>
                <w:b/>
                <w:color w:val="000000"/>
                <w:sz w:val="18"/>
                <w:szCs w:val="18"/>
                <w:bdr w:val="none" w:sz="0" w:space="0" w:color="auto" w:frame="1"/>
              </w:rPr>
              <w:t>Number of measures where progress was achieved</w:t>
            </w:r>
            <w:r w:rsidRPr="00C57C0F">
              <w:rPr>
                <w:rFonts w:ascii="Cambria" w:eastAsia="MS Mincho" w:hAnsi="Cambria" w:cs="Arial"/>
                <w:b/>
                <w:sz w:val="18"/>
                <w:szCs w:val="18"/>
                <w:lang w:eastAsia="es-ES_tradnl"/>
              </w:rPr>
              <w:t>: 6 (5 individual, 1 structural)</w:t>
            </w:r>
          </w:p>
          <w:p w14:paraId="3F0CD849"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Total compliance: 5</w:t>
            </w:r>
          </w:p>
          <w:p w14:paraId="6AD23159"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substantial: N/A</w:t>
            </w:r>
          </w:p>
          <w:p w14:paraId="1CBC1274"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compliance: 1</w:t>
            </w:r>
          </w:p>
        </w:tc>
      </w:tr>
      <w:tr w:rsidR="007704F4" w:rsidRPr="00C57C0F" w14:paraId="2839AB04" w14:textId="77777777">
        <w:trPr>
          <w:jc w:val="center"/>
        </w:trPr>
        <w:tc>
          <w:tcPr>
            <w:tcW w:w="534" w:type="dxa"/>
            <w:shd w:val="clear" w:color="auto" w:fill="92D050"/>
            <w:vAlign w:val="center"/>
          </w:tcPr>
          <w:p w14:paraId="454C293D" w14:textId="77777777" w:rsidR="007704F4" w:rsidRPr="00C57C0F" w:rsidRDefault="007704F4">
            <w:pPr>
              <w:ind w:right="-18"/>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 xml:space="preserve"> No.</w:t>
            </w:r>
          </w:p>
        </w:tc>
        <w:tc>
          <w:tcPr>
            <w:tcW w:w="1259" w:type="dxa"/>
            <w:shd w:val="clear" w:color="auto" w:fill="92D050"/>
            <w:vAlign w:val="center"/>
          </w:tcPr>
          <w:p w14:paraId="15D6F117"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Matter</w:t>
            </w:r>
          </w:p>
        </w:tc>
        <w:tc>
          <w:tcPr>
            <w:tcW w:w="1172" w:type="dxa"/>
            <w:shd w:val="clear" w:color="auto" w:fill="92D050"/>
            <w:vAlign w:val="center"/>
          </w:tcPr>
          <w:p w14:paraId="71EBB05B"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Impact</w:t>
            </w:r>
          </w:p>
        </w:tc>
        <w:tc>
          <w:tcPr>
            <w:tcW w:w="5313" w:type="dxa"/>
            <w:gridSpan w:val="3"/>
            <w:shd w:val="clear" w:color="auto" w:fill="92D050"/>
            <w:vAlign w:val="center"/>
          </w:tcPr>
          <w:p w14:paraId="79D98B51"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Clause or measure</w:t>
            </w:r>
          </w:p>
        </w:tc>
        <w:tc>
          <w:tcPr>
            <w:tcW w:w="1710" w:type="dxa"/>
            <w:shd w:val="clear" w:color="auto" w:fill="92D050"/>
            <w:vAlign w:val="center"/>
          </w:tcPr>
          <w:p w14:paraId="29C290CC"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Level of compliance achieved</w:t>
            </w:r>
          </w:p>
        </w:tc>
      </w:tr>
      <w:tr w:rsidR="007704F4" w:rsidRPr="00C57C0F" w14:paraId="2A0F0A61"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88" w:type="dxa"/>
            <w:gridSpan w:val="7"/>
            <w:tcBorders>
              <w:top w:val="single" w:sz="6" w:space="0" w:color="auto"/>
              <w:left w:val="single" w:sz="6" w:space="0" w:color="auto"/>
              <w:bottom w:val="single" w:sz="6" w:space="0" w:color="auto"/>
              <w:right w:val="single" w:sz="6" w:space="0" w:color="auto"/>
            </w:tcBorders>
            <w:shd w:val="clear" w:color="auto" w:fill="17365D"/>
            <w:vAlign w:val="center"/>
            <w:hideMark/>
          </w:tcPr>
          <w:p w14:paraId="4762882D"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b/>
                <w:bCs/>
                <w:color w:val="FFFFFF"/>
                <w:sz w:val="18"/>
                <w:szCs w:val="18"/>
              </w:rPr>
              <w:t>MEXICO</w:t>
            </w:r>
          </w:p>
        </w:tc>
      </w:tr>
      <w:tr w:rsidR="007704F4" w:rsidRPr="00C57C0F" w14:paraId="336721F1"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0DF186" w14:textId="77777777" w:rsidR="007704F4" w:rsidRPr="00C57C0F" w:rsidRDefault="007704F4" w:rsidP="00933F91">
            <w:pPr>
              <w:numPr>
                <w:ilvl w:val="0"/>
                <w:numId w:val="69"/>
              </w:numPr>
              <w:ind w:left="0" w:right="-18" w:firstLine="0"/>
              <w:contextualSpacing/>
              <w:jc w:val="center"/>
              <w:rPr>
                <w:rFonts w:ascii="Cambria" w:eastAsia="Times New Roman" w:hAnsi="Cambria" w:cs="Segoe UI"/>
                <w:sz w:val="18"/>
                <w:szCs w:val="18"/>
              </w:rPr>
            </w:pPr>
          </w:p>
        </w:tc>
        <w:tc>
          <w:tcPr>
            <w:tcW w:w="125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7F763B2" w14:textId="77777777" w:rsidR="007704F4" w:rsidRPr="00C57C0F" w:rsidRDefault="007704F4">
            <w:pPr>
              <w:rPr>
                <w:rFonts w:ascii="Cambria" w:eastAsia="Times New Roman" w:hAnsi="Cambria" w:cs="Segoe UI"/>
                <w:sz w:val="18"/>
                <w:szCs w:val="18"/>
              </w:rPr>
            </w:pPr>
            <w:r w:rsidRPr="00C57C0F">
              <w:rPr>
                <w:rFonts w:ascii="Cambria" w:hAnsi="Cambria" w:cs="Arial"/>
                <w:sz w:val="18"/>
                <w:szCs w:val="18"/>
                <w:lang w:eastAsia="es-ES_tradnl"/>
              </w:rPr>
              <w:t xml:space="preserve">Case 11.822, Report No. 24/09, Reyes Penagos Martínez and Others </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8B8581E"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27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3193012" w14:textId="77777777" w:rsidR="007704F4" w:rsidRPr="00C57C0F" w:rsidRDefault="007704F4">
            <w:pPr>
              <w:ind w:left="89" w:right="130"/>
              <w:jc w:val="both"/>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Clause 3. b) Investigation and punishment of the persons responsible. </w:t>
            </w:r>
            <w:r w:rsidRPr="00C57C0F">
              <w:rPr>
                <w:rFonts w:ascii="Cambria" w:eastAsia="Times New Roman" w:hAnsi="Cambria" w:cs="Segoe UI"/>
                <w:sz w:val="18"/>
                <w:szCs w:val="18"/>
              </w:rPr>
              <w:t>In addition, the State undertakes to continue the investigations until attaining the sanction of the persons responsible for those crimes, through a serious and impartial investigation according to the international human rights standards, for the purpose of avoiding their re-victimization due to lack of access to justice.</w:t>
            </w:r>
          </w:p>
        </w:tc>
        <w:tc>
          <w:tcPr>
            <w:tcW w:w="1749"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855ECB9"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5393BA70"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68DDEE3" w14:textId="77777777" w:rsidR="007704F4" w:rsidRPr="00C57C0F" w:rsidRDefault="007704F4" w:rsidP="00933F91">
            <w:pPr>
              <w:numPr>
                <w:ilvl w:val="0"/>
                <w:numId w:val="69"/>
              </w:numPr>
              <w:ind w:left="0" w:right="-18" w:firstLine="0"/>
              <w:contextualSpacing/>
              <w:jc w:val="center"/>
              <w:rPr>
                <w:rFonts w:ascii="Cambria" w:eastAsia="Times New Roman" w:hAnsi="Cambria" w:cs="Segoe UI"/>
                <w:sz w:val="18"/>
                <w:szCs w:val="18"/>
              </w:rPr>
            </w:pPr>
          </w:p>
        </w:tc>
        <w:tc>
          <w:tcPr>
            <w:tcW w:w="12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BAC771D" w14:textId="77777777" w:rsidR="007704F4" w:rsidRPr="00C57C0F" w:rsidRDefault="007704F4">
            <w:pPr>
              <w:rPr>
                <w:rFonts w:ascii="Cambria" w:eastAsia="Times New Roman" w:hAnsi="Cambria" w:cs="Segoe UI"/>
                <w:sz w:val="18"/>
                <w:szCs w:val="18"/>
              </w:rPr>
            </w:pPr>
            <w:r w:rsidRPr="00C57C0F">
              <w:rPr>
                <w:rFonts w:ascii="Cambria" w:hAnsi="Cambria" w:cs="Arial"/>
                <w:sz w:val="18"/>
                <w:szCs w:val="18"/>
                <w:lang w:eastAsia="es-ES_tradnl"/>
              </w:rPr>
              <w:t>Petition 1171-09, Report No. 15/16, Ananias Laparra, and Family,</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2628CC6"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Structural</w:t>
            </w:r>
          </w:p>
        </w:tc>
        <w:tc>
          <w:tcPr>
            <w:tcW w:w="5274"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9BF375D" w14:textId="77777777" w:rsidR="007704F4" w:rsidRPr="00C57C0F" w:rsidRDefault="007704F4">
            <w:pPr>
              <w:ind w:left="89" w:right="130"/>
              <w:jc w:val="both"/>
              <w:textAlignment w:val="baseline"/>
              <w:rPr>
                <w:rFonts w:ascii="Cambria" w:eastAsia="Times New Roman" w:hAnsi="Cambria" w:cs="Segoe UI"/>
                <w:sz w:val="18"/>
                <w:szCs w:val="18"/>
              </w:rPr>
            </w:pPr>
            <w:r w:rsidRPr="00C57C0F">
              <w:rPr>
                <w:rFonts w:ascii="Cambria" w:eastAsia="Times New Roman" w:hAnsi="Cambria" w:cs="Segoe UI"/>
                <w:b/>
                <w:bCs/>
                <w:sz w:val="18"/>
                <w:szCs w:val="18"/>
              </w:rPr>
              <w:t xml:space="preserve">Clause VIII.2.7. Publication of the report of the iachr. </w:t>
            </w:r>
            <w:r w:rsidRPr="00C57C0F">
              <w:rPr>
                <w:rFonts w:ascii="Cambria" w:eastAsia="Times New Roman" w:hAnsi="Cambria" w:cs="Segoe UI"/>
                <w:sz w:val="18"/>
                <w:szCs w:val="18"/>
              </w:rPr>
              <w:t>The Mexican State agrees to publish one time only in the Official Gazette of the Federation, the Official Gazette of the State of Chiapas, and a broadly distributed national and local newspaper a summary of the facts in the case recognized by the Mexican State and the human rights violations recognized and established in the report of the IACHR, as agreed upon in advance with the victims and their representatives. […].</w:t>
            </w:r>
          </w:p>
        </w:tc>
        <w:tc>
          <w:tcPr>
            <w:tcW w:w="1749"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7BB9D70"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Partial substantial 2022</w:t>
            </w:r>
          </w:p>
        </w:tc>
      </w:tr>
      <w:tr w:rsidR="007704F4" w:rsidRPr="00C57C0F" w14:paraId="2EE0D72B"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6431FA" w14:textId="77777777" w:rsidR="007704F4" w:rsidRPr="00C57C0F" w:rsidRDefault="007704F4" w:rsidP="00933F91">
            <w:pPr>
              <w:numPr>
                <w:ilvl w:val="0"/>
                <w:numId w:val="69"/>
              </w:numPr>
              <w:ind w:left="0" w:right="-18" w:firstLine="0"/>
              <w:contextualSpacing/>
              <w:jc w:val="center"/>
              <w:rPr>
                <w:rFonts w:ascii="Cambria" w:eastAsia="Times New Roman" w:hAnsi="Cambria" w:cs="Segoe UI"/>
                <w:sz w:val="18"/>
                <w:szCs w:val="18"/>
              </w:rPr>
            </w:pPr>
          </w:p>
        </w:tc>
        <w:tc>
          <w:tcPr>
            <w:tcW w:w="125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FDE351C" w14:textId="77777777" w:rsidR="007704F4" w:rsidRPr="00C57C0F" w:rsidRDefault="007704F4">
            <w:pPr>
              <w:rPr>
                <w:rFonts w:ascii="Cambria" w:hAnsi="Cambria" w:cs="Arial"/>
                <w:sz w:val="18"/>
                <w:szCs w:val="18"/>
                <w:lang w:eastAsia="es-ES_tradnl"/>
              </w:rPr>
            </w:pPr>
            <w:r w:rsidRPr="00C57C0F">
              <w:rPr>
                <w:rFonts w:ascii="Cambria" w:hAnsi="Cambria" w:cs="Arial"/>
                <w:sz w:val="18"/>
                <w:szCs w:val="18"/>
                <w:lang w:eastAsia="es-ES_tradnl"/>
              </w:rPr>
              <w:t>Petition 1014-06, Report No. 35/19, Antonio Jacinto Lopez</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AA86597"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Structural</w:t>
            </w:r>
          </w:p>
        </w:tc>
        <w:tc>
          <w:tcPr>
            <w:tcW w:w="527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94E1358" w14:textId="77777777" w:rsidR="007704F4" w:rsidRPr="00C57C0F" w:rsidRDefault="007704F4">
            <w:pPr>
              <w:ind w:left="89" w:right="130"/>
              <w:jc w:val="both"/>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Clause 3.14</w:t>
            </w:r>
            <w:r w:rsidRPr="00C57C0F">
              <w:rPr>
                <w:rFonts w:ascii="Cambria" w:eastAsia="Times New Roman" w:hAnsi="Cambria" w:cs="Segoe UI"/>
                <w:sz w:val="18"/>
                <w:szCs w:val="18"/>
              </w:rPr>
              <w:t>. The Ministry of Interior shall make known the guidelines for implementing precautionary and provisional measures issued by national and international bodies through the Official Gazette (</w:t>
            </w:r>
            <w:r w:rsidRPr="00C57C0F">
              <w:rPr>
                <w:rFonts w:ascii="Cambria" w:eastAsia="Times New Roman" w:hAnsi="Cambria" w:cs="Segoe UI"/>
                <w:i/>
                <w:iCs/>
                <w:sz w:val="18"/>
                <w:szCs w:val="18"/>
              </w:rPr>
              <w:t>Diario Oficial de la Federación</w:t>
            </w:r>
            <w:r w:rsidRPr="00C57C0F">
              <w:rPr>
                <w:rFonts w:ascii="Cambria" w:eastAsia="Times New Roman" w:hAnsi="Cambria" w:cs="Segoe UI"/>
                <w:sz w:val="18"/>
                <w:szCs w:val="18"/>
              </w:rPr>
              <w:t>). […].</w:t>
            </w:r>
          </w:p>
        </w:tc>
        <w:tc>
          <w:tcPr>
            <w:tcW w:w="1749"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48E75E"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Partial substantial 2022</w:t>
            </w:r>
          </w:p>
        </w:tc>
      </w:tr>
      <w:tr w:rsidR="007704F4" w:rsidRPr="00C57C0F" w14:paraId="0590BEEB"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2AB542F" w14:textId="77777777" w:rsidR="007704F4" w:rsidRPr="00C57C0F" w:rsidRDefault="007704F4" w:rsidP="00933F91">
            <w:pPr>
              <w:numPr>
                <w:ilvl w:val="0"/>
                <w:numId w:val="69"/>
              </w:numPr>
              <w:ind w:left="0" w:right="-18" w:firstLine="0"/>
              <w:contextualSpacing/>
              <w:jc w:val="center"/>
              <w:rPr>
                <w:rFonts w:ascii="Cambria" w:eastAsia="Times New Roman" w:hAnsi="Cambria" w:cs="Segoe UI"/>
                <w:sz w:val="18"/>
                <w:szCs w:val="18"/>
              </w:rPr>
            </w:pPr>
          </w:p>
        </w:tc>
        <w:tc>
          <w:tcPr>
            <w:tcW w:w="12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1C92E19" w14:textId="77777777" w:rsidR="007704F4" w:rsidRPr="00C57C0F" w:rsidRDefault="007704F4">
            <w:pPr>
              <w:rPr>
                <w:rFonts w:ascii="Cambria" w:hAnsi="Cambria" w:cs="Arial"/>
                <w:sz w:val="18"/>
                <w:szCs w:val="18"/>
                <w:lang w:eastAsia="es-ES_tradnl"/>
              </w:rPr>
            </w:pPr>
            <w:r w:rsidRPr="00C57C0F">
              <w:rPr>
                <w:rFonts w:ascii="Cambria" w:hAnsi="Cambria" w:cs="Arial"/>
                <w:sz w:val="18"/>
                <w:szCs w:val="18"/>
                <w:lang w:eastAsia="es-ES_tradnl"/>
              </w:rPr>
              <w:t>Petition 735-07, Report No. 110/20, Ismael Mondragon Molina,</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DFA3035"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274"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218116E" w14:textId="77777777" w:rsidR="007704F4" w:rsidRPr="00C57C0F" w:rsidRDefault="007704F4">
            <w:pPr>
              <w:ind w:left="89" w:right="130"/>
              <w:jc w:val="both"/>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Clausula 3.5 Unveiling of commemorative plaque and bust in the Children’s Hospital of the State of Sonora. </w:t>
            </w:r>
            <w:r w:rsidRPr="00C57C0F">
              <w:rPr>
                <w:rFonts w:ascii="Cambria" w:eastAsia="Times New Roman" w:hAnsi="Cambria" w:cs="Segoe UI"/>
                <w:sz w:val="18"/>
                <w:szCs w:val="18"/>
              </w:rPr>
              <w:t>For the purpose of rendering tribute to the memory of Ismael Mondragon Molina, the "MEXICAN STATE," in particular the health authorities of "THE ENTITY,” shall take steps to install a commemorative plaque and bust at Children’s Hospital of the state of Sonora, which shall include a commemorative text. […].</w:t>
            </w:r>
          </w:p>
        </w:tc>
        <w:tc>
          <w:tcPr>
            <w:tcW w:w="1749"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061734B"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Partial substantial 2022</w:t>
            </w:r>
          </w:p>
        </w:tc>
      </w:tr>
      <w:tr w:rsidR="007704F4" w:rsidRPr="00C57C0F" w14:paraId="53205824"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3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F8F977" w14:textId="77777777" w:rsidR="007704F4" w:rsidRPr="00C57C0F" w:rsidRDefault="007704F4" w:rsidP="00933F91">
            <w:pPr>
              <w:numPr>
                <w:ilvl w:val="0"/>
                <w:numId w:val="69"/>
              </w:numPr>
              <w:ind w:left="0" w:right="-18" w:firstLine="0"/>
              <w:contextualSpacing/>
              <w:jc w:val="center"/>
              <w:rPr>
                <w:rFonts w:ascii="Cambria" w:eastAsia="Times New Roman" w:hAnsi="Cambria" w:cs="Segoe UI"/>
                <w:sz w:val="18"/>
                <w:szCs w:val="18"/>
              </w:rPr>
            </w:pPr>
          </w:p>
        </w:tc>
        <w:tc>
          <w:tcPr>
            <w:tcW w:w="125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68717A2" w14:textId="77777777" w:rsidR="007704F4" w:rsidRPr="00C57C0F" w:rsidRDefault="007704F4">
            <w:pPr>
              <w:rPr>
                <w:rFonts w:ascii="Cambria" w:hAnsi="Cambria" w:cs="Arial"/>
                <w:sz w:val="18"/>
                <w:szCs w:val="18"/>
                <w:lang w:eastAsia="es-ES_tradnl"/>
              </w:rPr>
            </w:pPr>
            <w:r w:rsidRPr="00C57C0F">
              <w:rPr>
                <w:rFonts w:ascii="Cambria" w:hAnsi="Cambria" w:cs="Arial"/>
                <w:sz w:val="18"/>
                <w:szCs w:val="18"/>
                <w:lang w:eastAsia="es-ES_tradnl"/>
              </w:rPr>
              <w:t xml:space="preserve">Case 12.610, Report No. 208/21, </w:t>
            </w:r>
            <w:r w:rsidRPr="00C57C0F">
              <w:rPr>
                <w:rFonts w:ascii="Cambria" w:hAnsi="Cambria" w:cs="Arial"/>
                <w:sz w:val="18"/>
                <w:szCs w:val="18"/>
                <w:lang w:eastAsia="es-ES_tradnl"/>
              </w:rPr>
              <w:lastRenderedPageBreak/>
              <w:t>Faustino Jiménez Álvarez</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7A26DAE"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lastRenderedPageBreak/>
              <w:t>Individual</w:t>
            </w:r>
          </w:p>
        </w:tc>
        <w:tc>
          <w:tcPr>
            <w:tcW w:w="527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D567F29" w14:textId="77777777" w:rsidR="007704F4" w:rsidRPr="00C57C0F" w:rsidRDefault="007704F4">
            <w:pPr>
              <w:ind w:left="89" w:right="130"/>
              <w:jc w:val="both"/>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Clausula VIII.3.2 Housing support. </w:t>
            </w:r>
            <w:r w:rsidRPr="00C57C0F">
              <w:rPr>
                <w:rFonts w:ascii="Cambria" w:eastAsia="Times New Roman" w:hAnsi="Cambria" w:cs="Segoe UI"/>
                <w:sz w:val="18"/>
                <w:szCs w:val="18"/>
              </w:rPr>
              <w:t xml:space="preserve">FIRST. – Given that the results of the socioeconomic studies carried out on Mrs. Enedina Cervantes Salgado show that she does not own her own house, the Government of the State of Guerrero will provide Mrs. Cervantes </w:t>
            </w:r>
            <w:r w:rsidRPr="00C57C0F">
              <w:rPr>
                <w:rFonts w:ascii="Cambria" w:eastAsia="Times New Roman" w:hAnsi="Cambria" w:cs="Segoe UI"/>
                <w:sz w:val="18"/>
                <w:szCs w:val="18"/>
              </w:rPr>
              <w:lastRenderedPageBreak/>
              <w:t>with the benefit of a house through one of the state housing programs. […].</w:t>
            </w:r>
          </w:p>
        </w:tc>
        <w:tc>
          <w:tcPr>
            <w:tcW w:w="1749"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58FE4B"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lastRenderedPageBreak/>
              <w:t>Total 2022</w:t>
            </w:r>
          </w:p>
        </w:tc>
      </w:tr>
      <w:tr w:rsidR="007704F4" w:rsidRPr="00C57C0F" w14:paraId="65DFA5B0"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AE22F34" w14:textId="77777777" w:rsidR="007704F4" w:rsidRPr="00C57C0F" w:rsidRDefault="007704F4" w:rsidP="00933F91">
            <w:pPr>
              <w:numPr>
                <w:ilvl w:val="0"/>
                <w:numId w:val="69"/>
              </w:numPr>
              <w:ind w:left="0" w:right="-18" w:firstLine="0"/>
              <w:contextualSpacing/>
              <w:jc w:val="center"/>
              <w:rPr>
                <w:rFonts w:ascii="Cambria" w:eastAsia="Times New Roman" w:hAnsi="Cambria" w:cs="Segoe UI"/>
                <w:sz w:val="18"/>
                <w:szCs w:val="18"/>
              </w:rPr>
            </w:pPr>
          </w:p>
        </w:tc>
        <w:tc>
          <w:tcPr>
            <w:tcW w:w="1259"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239945C" w14:textId="77777777" w:rsidR="007704F4" w:rsidRPr="00C57C0F" w:rsidRDefault="007704F4">
            <w:pPr>
              <w:ind w:right="-30"/>
              <w:textAlignment w:val="baseline"/>
              <w:rPr>
                <w:rFonts w:ascii="Cambria" w:eastAsia="Times New Roman" w:hAnsi="Cambria" w:cs="Segoe UI"/>
                <w:sz w:val="18"/>
                <w:szCs w:val="18"/>
              </w:rPr>
            </w:pPr>
            <w:r w:rsidRPr="00C57C0F">
              <w:rPr>
                <w:rFonts w:ascii="Cambria" w:eastAsia="Times New Roman" w:hAnsi="Cambria" w:cs="Segoe UI"/>
                <w:sz w:val="18"/>
                <w:szCs w:val="18"/>
              </w:rPr>
              <w:t>Case 13.007. 61/22, José Alfredo Jiménez Mota and family</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5FD8FA6"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274"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B7CA175" w14:textId="77777777" w:rsidR="007704F4" w:rsidRPr="00C57C0F" w:rsidRDefault="007704F4">
            <w:pPr>
              <w:ind w:left="89" w:right="130"/>
              <w:jc w:val="both"/>
              <w:textAlignment w:val="baseline"/>
              <w:rPr>
                <w:rFonts w:ascii="Cambria" w:eastAsia="Times New Roman" w:hAnsi="Cambria" w:cs="Segoe UI"/>
                <w:sz w:val="18"/>
                <w:szCs w:val="18"/>
              </w:rPr>
            </w:pPr>
            <w:r w:rsidRPr="00C57C0F">
              <w:rPr>
                <w:rFonts w:ascii="Cambria" w:eastAsia="Times New Roman" w:hAnsi="Cambria" w:cs="Segoe UI"/>
                <w:b/>
                <w:bCs/>
                <w:sz w:val="18"/>
                <w:szCs w:val="18"/>
              </w:rPr>
              <w:t>Clause A. Investigation.  "</w:t>
            </w:r>
            <w:r w:rsidRPr="00C57C0F">
              <w:rPr>
                <w:rFonts w:ascii="Cambria" w:eastAsia="Times New Roman" w:hAnsi="Cambria" w:cs="Segoe UI"/>
                <w:sz w:val="18"/>
                <w:szCs w:val="18"/>
              </w:rPr>
              <w:t>THE MEXICAN STATE" recognizes that the investigations are carried out in accordance with the obligations derived from the ACHR, Mexican law and in accordance with generally recognized principles, through the Special Prosecutor's Office for Attention to Crimes Committed against Freedom of Expression (FEADLE), of "THE FGR", in which there is a specific investigation plan which takes into account the considerations expressed by the victims in order to strengthen the existing lines of investigation, in which direct communication channels are guaranteed with "THE VICTIMS" and their legally accredited representatives within the investigation.</w:t>
            </w:r>
          </w:p>
          <w:p w14:paraId="474ACA4A" w14:textId="77777777" w:rsidR="007704F4" w:rsidRPr="00C57C0F" w:rsidRDefault="007704F4">
            <w:pPr>
              <w:ind w:left="89" w:right="130"/>
              <w:jc w:val="both"/>
              <w:textAlignment w:val="baseline"/>
              <w:rPr>
                <w:rFonts w:ascii="Cambria" w:eastAsia="Times New Roman" w:hAnsi="Cambria" w:cs="Segoe UI"/>
                <w:sz w:val="18"/>
                <w:szCs w:val="18"/>
              </w:rPr>
            </w:pPr>
            <w:r w:rsidRPr="00C57C0F">
              <w:rPr>
                <w:rFonts w:ascii="Cambria" w:eastAsia="Times New Roman" w:hAnsi="Cambria" w:cs="Segoe UI"/>
                <w:b/>
                <w:bCs/>
                <w:sz w:val="18"/>
                <w:szCs w:val="18"/>
              </w:rPr>
              <w:t>B.</w:t>
            </w:r>
            <w:r w:rsidRPr="00C57C0F">
              <w:rPr>
                <w:rFonts w:ascii="Cambria" w:eastAsia="Times New Roman" w:hAnsi="Cambria" w:cs="Segoe UI"/>
                <w:b/>
                <w:bCs/>
                <w:sz w:val="18"/>
                <w:szCs w:val="18"/>
              </w:rPr>
              <w:tab/>
              <w:t>Effective search</w:t>
            </w:r>
            <w:r w:rsidRPr="00C57C0F">
              <w:rPr>
                <w:rFonts w:ascii="Cambria" w:eastAsia="Times New Roman" w:hAnsi="Cambria" w:cs="Segoe UI"/>
                <w:sz w:val="18"/>
                <w:szCs w:val="18"/>
              </w:rPr>
              <w:t>.  "THE MEXICAN STATE”, through the CNB, commits to elaborate and implement a Search Plan to find the whereabouts of Alfredo Jiménez Mota, in collaboration with the Attorney General's Office and the CEAV, within the scope of their respective attributions.</w:t>
            </w:r>
          </w:p>
        </w:tc>
        <w:tc>
          <w:tcPr>
            <w:tcW w:w="1749"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B3F48FC"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rPr>
              <w:t xml:space="preserve">Partial </w:t>
            </w:r>
            <w:r w:rsidRPr="00C57C0F">
              <w:rPr>
                <w:rFonts w:ascii="Cambria" w:eastAsia="MS Mincho" w:hAnsi="Cambria" w:cs="Arial"/>
                <w:b/>
                <w:sz w:val="18"/>
                <w:szCs w:val="18"/>
                <w:lang w:eastAsia="es-ES_tradnl"/>
              </w:rPr>
              <w:t>2022</w:t>
            </w:r>
          </w:p>
        </w:tc>
      </w:tr>
      <w:tr w:rsidR="007704F4" w:rsidRPr="00C57C0F" w14:paraId="00333D95"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FE44F57" w14:textId="77777777" w:rsidR="007704F4" w:rsidRPr="00C57C0F" w:rsidRDefault="007704F4" w:rsidP="00933F91">
            <w:pPr>
              <w:numPr>
                <w:ilvl w:val="0"/>
                <w:numId w:val="69"/>
              </w:numPr>
              <w:ind w:left="0" w:right="-18" w:firstLine="0"/>
              <w:contextualSpacing/>
              <w:jc w:val="center"/>
              <w:rPr>
                <w:rFonts w:ascii="Cambria" w:eastAsia="Times New Roman" w:hAnsi="Cambria" w:cs="Segoe UI"/>
                <w:sz w:val="18"/>
                <w:szCs w:val="18"/>
              </w:rPr>
            </w:pPr>
          </w:p>
        </w:tc>
        <w:tc>
          <w:tcPr>
            <w:tcW w:w="1259"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4C4A6DC" w14:textId="77777777" w:rsidR="007704F4" w:rsidRPr="00C57C0F" w:rsidRDefault="007704F4">
            <w:pPr>
              <w:ind w:right="-30"/>
              <w:textAlignment w:val="baseline"/>
              <w:rPr>
                <w:rFonts w:ascii="Cambria" w:eastAsia="Times New Roman" w:hAnsi="Cambria"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741E8C4"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274"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68B6C71" w14:textId="77777777" w:rsidR="007704F4" w:rsidRPr="00C57C0F" w:rsidRDefault="007704F4">
            <w:pPr>
              <w:ind w:left="89" w:right="130"/>
              <w:jc w:val="both"/>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Clausula IV.1 In health matters.  </w:t>
            </w:r>
            <w:r w:rsidRPr="00C57C0F">
              <w:rPr>
                <w:rFonts w:ascii="Cambria" w:eastAsia="Times New Roman" w:hAnsi="Cambria" w:cs="Segoe UI"/>
                <w:sz w:val="18"/>
                <w:szCs w:val="18"/>
              </w:rPr>
              <w:t>[…] "THE MEXICAN STATE", undertakes to grant each one of "THE VICTIMS" adequate and free medical and psychological care, as well as the medicines found in the national compendium of health supplies, […].</w:t>
            </w:r>
          </w:p>
        </w:tc>
        <w:tc>
          <w:tcPr>
            <w:tcW w:w="1749"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DCBD83C"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Partial</w:t>
            </w:r>
            <w:r w:rsidRPr="00C57C0F">
              <w:rPr>
                <w:rFonts w:ascii="Cambria" w:eastAsia="Times New Roman" w:hAnsi="Cambria" w:cs="Segoe UI"/>
                <w:sz w:val="18"/>
                <w:szCs w:val="18"/>
              </w:rPr>
              <w:t> </w:t>
            </w:r>
            <w:r w:rsidRPr="00C57C0F">
              <w:rPr>
                <w:rFonts w:ascii="Cambria" w:eastAsia="MS Mincho" w:hAnsi="Cambria" w:cs="Arial"/>
                <w:b/>
                <w:sz w:val="18"/>
                <w:szCs w:val="18"/>
                <w:lang w:eastAsia="es-ES_tradnl"/>
              </w:rPr>
              <w:t>2022</w:t>
            </w:r>
          </w:p>
        </w:tc>
      </w:tr>
      <w:tr w:rsidR="007704F4" w:rsidRPr="00C57C0F" w14:paraId="3FEC80DF"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8CE310E" w14:textId="77777777" w:rsidR="007704F4" w:rsidRPr="00C57C0F" w:rsidRDefault="007704F4" w:rsidP="00933F91">
            <w:pPr>
              <w:numPr>
                <w:ilvl w:val="0"/>
                <w:numId w:val="69"/>
              </w:numPr>
              <w:ind w:left="0" w:right="-18" w:firstLine="0"/>
              <w:contextualSpacing/>
              <w:jc w:val="center"/>
              <w:rPr>
                <w:rFonts w:ascii="Cambria" w:eastAsia="Times New Roman" w:hAnsi="Cambria" w:cs="Segoe UI"/>
                <w:sz w:val="18"/>
                <w:szCs w:val="18"/>
              </w:rPr>
            </w:pPr>
          </w:p>
        </w:tc>
        <w:tc>
          <w:tcPr>
            <w:tcW w:w="1259"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93CBB35" w14:textId="77777777" w:rsidR="007704F4" w:rsidRPr="00C57C0F" w:rsidRDefault="007704F4">
            <w:pPr>
              <w:ind w:right="-30"/>
              <w:textAlignment w:val="baseline"/>
              <w:rPr>
                <w:rFonts w:ascii="Cambria" w:eastAsia="Times New Roman" w:hAnsi="Cambria"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9E6AF4E"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274"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1E00F04" w14:textId="77777777" w:rsidR="007704F4" w:rsidRPr="00C57C0F" w:rsidRDefault="007704F4">
            <w:pPr>
              <w:ind w:left="89" w:right="130"/>
              <w:jc w:val="both"/>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Clause IV.2 Labor reinsertion: </w:t>
            </w:r>
            <w:r w:rsidRPr="00C57C0F">
              <w:rPr>
                <w:rFonts w:ascii="Cambria" w:eastAsia="Times New Roman" w:hAnsi="Cambria" w:cs="Segoe UI"/>
                <w:sz w:val="18"/>
                <w:szCs w:val="18"/>
              </w:rPr>
              <w:t>"THE MEXICAN STATE" shall establish a link in the public institutions within six (6) months following the signing of this Agreement, to provide guidance on the procedures and requirements for Leticia Jiménez Mota to apply for a teaching position.</w:t>
            </w:r>
          </w:p>
        </w:tc>
        <w:tc>
          <w:tcPr>
            <w:tcW w:w="1749"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BACD176"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Partial </w:t>
            </w:r>
            <w:r w:rsidRPr="00C57C0F">
              <w:rPr>
                <w:rFonts w:ascii="Cambria" w:eastAsia="MS Mincho" w:hAnsi="Cambria" w:cs="Arial"/>
                <w:b/>
                <w:sz w:val="18"/>
                <w:szCs w:val="18"/>
                <w:lang w:eastAsia="es-ES_tradnl"/>
              </w:rPr>
              <w:t>2022</w:t>
            </w:r>
          </w:p>
        </w:tc>
      </w:tr>
      <w:tr w:rsidR="007704F4" w:rsidRPr="00C57C0F" w14:paraId="16430E58"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F18BF27" w14:textId="77777777" w:rsidR="007704F4" w:rsidRPr="00C57C0F" w:rsidRDefault="007704F4" w:rsidP="00933F91">
            <w:pPr>
              <w:numPr>
                <w:ilvl w:val="0"/>
                <w:numId w:val="69"/>
              </w:numPr>
              <w:ind w:left="0" w:right="-18" w:firstLine="0"/>
              <w:contextualSpacing/>
              <w:jc w:val="center"/>
              <w:rPr>
                <w:rFonts w:ascii="Cambria" w:eastAsia="Times New Roman" w:hAnsi="Cambria" w:cs="Segoe UI"/>
                <w:sz w:val="18"/>
                <w:szCs w:val="18"/>
              </w:rPr>
            </w:pPr>
          </w:p>
        </w:tc>
        <w:tc>
          <w:tcPr>
            <w:tcW w:w="1259"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36A3AB3" w14:textId="77777777" w:rsidR="007704F4" w:rsidRPr="00C57C0F" w:rsidRDefault="007704F4">
            <w:pPr>
              <w:rPr>
                <w:rFonts w:ascii="Cambria" w:eastAsia="Times New Roman" w:hAnsi="Cambria"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D5A9E7F"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Structural</w:t>
            </w:r>
          </w:p>
        </w:tc>
        <w:tc>
          <w:tcPr>
            <w:tcW w:w="5274"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87F5430" w14:textId="77777777" w:rsidR="007704F4" w:rsidRPr="00C57C0F" w:rsidRDefault="007704F4">
            <w:pPr>
              <w:ind w:left="89" w:right="130"/>
              <w:jc w:val="both"/>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Clausula V.1 Act of public acknowledgement of international responsibility and apology </w:t>
            </w:r>
            <w:r w:rsidRPr="00C57C0F">
              <w:rPr>
                <w:rFonts w:ascii="Cambria" w:eastAsia="Times New Roman" w:hAnsi="Cambria" w:cs="Segoe UI"/>
                <w:sz w:val="18"/>
                <w:szCs w:val="18"/>
              </w:rPr>
              <w:t>"THE MEXICAN STATE" shall conduct an act of acknowledgment of international responsibility and apology to "THE VICTIMS" within 6 (six) months following the signature of this Agreement. […].</w:t>
            </w:r>
          </w:p>
        </w:tc>
        <w:tc>
          <w:tcPr>
            <w:tcW w:w="1749"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7CD9E6A"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Partial substantial 2022 </w:t>
            </w:r>
          </w:p>
        </w:tc>
      </w:tr>
      <w:tr w:rsidR="007704F4" w:rsidRPr="00C57C0F" w14:paraId="49E249B2"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58A0489" w14:textId="77777777" w:rsidR="007704F4" w:rsidRPr="00C57C0F" w:rsidRDefault="007704F4" w:rsidP="00933F91">
            <w:pPr>
              <w:numPr>
                <w:ilvl w:val="0"/>
                <w:numId w:val="69"/>
              </w:numPr>
              <w:ind w:left="0" w:right="-18" w:firstLine="0"/>
              <w:contextualSpacing/>
              <w:jc w:val="center"/>
              <w:rPr>
                <w:rFonts w:ascii="Cambria" w:eastAsia="Times New Roman" w:hAnsi="Cambria" w:cs="Segoe UI"/>
                <w:sz w:val="18"/>
                <w:szCs w:val="18"/>
              </w:rPr>
            </w:pPr>
          </w:p>
        </w:tc>
        <w:tc>
          <w:tcPr>
            <w:tcW w:w="1259"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ADCC8F2" w14:textId="77777777" w:rsidR="007704F4" w:rsidRPr="00C57C0F" w:rsidRDefault="007704F4">
            <w:pPr>
              <w:rPr>
                <w:rFonts w:ascii="Cambria" w:eastAsia="Times New Roman" w:hAnsi="Cambria"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315C933"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274"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5D488D6" w14:textId="77777777" w:rsidR="007704F4" w:rsidRPr="00C57C0F" w:rsidRDefault="007704F4">
            <w:pPr>
              <w:ind w:left="89" w:right="130"/>
              <w:jc w:val="both"/>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Clausula V.2 "alfredo Jiménez Mota" street in Empalme, Sonora.  </w:t>
            </w:r>
            <w:r w:rsidRPr="00C57C0F">
              <w:rPr>
                <w:rFonts w:ascii="Cambria" w:eastAsia="Times New Roman" w:hAnsi="Cambria" w:cs="Segoe UI"/>
                <w:sz w:val="18"/>
                <w:szCs w:val="18"/>
              </w:rPr>
              <w:t>The Secretariat of Government of Sonora, respecting the constitutional autonomy of the Municipality of Empalme, will take the necessary steps to pave and rename the first street in the East neighborhood of the municipality of Empalme, where the Jiménez Mota family lives, with the full name of the victim "Alfredo Jiménez Mota Street" within one (1) year as of the signing of this Agreement.</w:t>
            </w:r>
          </w:p>
        </w:tc>
        <w:tc>
          <w:tcPr>
            <w:tcW w:w="1749"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5925561"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Partial </w:t>
            </w:r>
            <w:r w:rsidRPr="00C57C0F">
              <w:rPr>
                <w:rFonts w:ascii="Cambria" w:eastAsia="MS Mincho" w:hAnsi="Cambria" w:cs="Arial"/>
                <w:b/>
                <w:sz w:val="18"/>
                <w:szCs w:val="18"/>
                <w:lang w:eastAsia="es-ES_tradnl"/>
              </w:rPr>
              <w:t>2022</w:t>
            </w:r>
          </w:p>
        </w:tc>
      </w:tr>
      <w:tr w:rsidR="007704F4" w:rsidRPr="00C57C0F" w14:paraId="17B439C9"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9321B3E" w14:textId="77777777" w:rsidR="007704F4" w:rsidRPr="00C57C0F" w:rsidRDefault="007704F4" w:rsidP="00933F91">
            <w:pPr>
              <w:numPr>
                <w:ilvl w:val="0"/>
                <w:numId w:val="69"/>
              </w:numPr>
              <w:ind w:left="0" w:right="-18" w:firstLine="0"/>
              <w:contextualSpacing/>
              <w:jc w:val="center"/>
              <w:rPr>
                <w:rFonts w:ascii="Cambria" w:eastAsia="Times New Roman" w:hAnsi="Cambria" w:cs="Segoe UI"/>
                <w:sz w:val="18"/>
                <w:szCs w:val="18"/>
              </w:rPr>
            </w:pPr>
          </w:p>
        </w:tc>
        <w:tc>
          <w:tcPr>
            <w:tcW w:w="1259"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24BCA60" w14:textId="77777777" w:rsidR="007704F4" w:rsidRPr="00C57C0F" w:rsidRDefault="007704F4">
            <w:pPr>
              <w:rPr>
                <w:rFonts w:ascii="Cambria" w:eastAsia="Times New Roman" w:hAnsi="Cambria"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09FAF34"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Structural</w:t>
            </w:r>
          </w:p>
        </w:tc>
        <w:tc>
          <w:tcPr>
            <w:tcW w:w="5274"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91107B3" w14:textId="77777777" w:rsidR="007704F4" w:rsidRPr="00C57C0F" w:rsidRDefault="007704F4">
            <w:pPr>
              <w:ind w:left="89" w:right="130"/>
              <w:jc w:val="both"/>
              <w:textAlignment w:val="baseline"/>
              <w:rPr>
                <w:rFonts w:ascii="Cambria" w:eastAsia="Times New Roman" w:hAnsi="Cambria" w:cs="Segoe UI"/>
                <w:sz w:val="18"/>
                <w:szCs w:val="18"/>
              </w:rPr>
            </w:pPr>
            <w:r w:rsidRPr="00C57C0F">
              <w:rPr>
                <w:rFonts w:ascii="Cambria" w:eastAsia="Times New Roman" w:hAnsi="Cambria" w:cs="Segoe UI"/>
                <w:b/>
                <w:bCs/>
                <w:sz w:val="18"/>
                <w:szCs w:val="18"/>
              </w:rPr>
              <w:t>Clause VI.1 Training courses:</w:t>
            </w:r>
            <w:r w:rsidRPr="00C57C0F">
              <w:rPr>
                <w:rFonts w:ascii="Cambria" w:eastAsia="Times New Roman" w:hAnsi="Cambria" w:cs="Segoe UI"/>
                <w:sz w:val="18"/>
                <w:szCs w:val="18"/>
              </w:rPr>
              <w:t xml:space="preserve"> "THE MEXICAN STATE”, through the Attorney General's Office, will continue with the training plan for public servants who, due to their functions, may have direct interaction with cases related to the prevention, investigation, and punishment of crimes against journalists and/or freedom of expression. […].</w:t>
            </w:r>
          </w:p>
        </w:tc>
        <w:tc>
          <w:tcPr>
            <w:tcW w:w="1749"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D614580"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Partial </w:t>
            </w:r>
            <w:r w:rsidRPr="00C57C0F">
              <w:rPr>
                <w:rFonts w:ascii="Cambria" w:eastAsia="MS Mincho" w:hAnsi="Cambria" w:cs="Arial"/>
                <w:b/>
                <w:sz w:val="18"/>
                <w:szCs w:val="18"/>
                <w:lang w:eastAsia="es-ES_tradnl"/>
              </w:rPr>
              <w:t>2022</w:t>
            </w:r>
          </w:p>
        </w:tc>
      </w:tr>
      <w:tr w:rsidR="007704F4" w:rsidRPr="00C57C0F" w14:paraId="03E4D508"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443"/>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8199847" w14:textId="77777777" w:rsidR="007704F4" w:rsidRPr="00C57C0F" w:rsidRDefault="007704F4" w:rsidP="00933F91">
            <w:pPr>
              <w:numPr>
                <w:ilvl w:val="0"/>
                <w:numId w:val="69"/>
              </w:numPr>
              <w:ind w:left="0" w:right="-18" w:firstLine="0"/>
              <w:contextualSpacing/>
              <w:jc w:val="center"/>
              <w:rPr>
                <w:rFonts w:ascii="Cambria" w:eastAsia="Times New Roman" w:hAnsi="Cambria" w:cs="Segoe UI"/>
                <w:sz w:val="18"/>
                <w:szCs w:val="18"/>
              </w:rPr>
            </w:pPr>
          </w:p>
        </w:tc>
        <w:tc>
          <w:tcPr>
            <w:tcW w:w="1259"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8F3C7D8" w14:textId="77777777" w:rsidR="007704F4" w:rsidRPr="00C57C0F" w:rsidRDefault="007704F4">
            <w:pPr>
              <w:rPr>
                <w:rFonts w:ascii="Cambria" w:eastAsia="Times New Roman" w:hAnsi="Cambria"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B465A40"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 </w:t>
            </w:r>
          </w:p>
        </w:tc>
        <w:tc>
          <w:tcPr>
            <w:tcW w:w="5274"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501063E" w14:textId="77777777" w:rsidR="007704F4" w:rsidRPr="00C57C0F" w:rsidRDefault="007704F4">
            <w:pPr>
              <w:ind w:left="89" w:right="130"/>
              <w:jc w:val="both"/>
              <w:textAlignment w:val="baseline"/>
              <w:rPr>
                <w:rFonts w:ascii="Cambria" w:eastAsia="Times New Roman" w:hAnsi="Cambria" w:cs="Segoe UI"/>
                <w:sz w:val="18"/>
                <w:szCs w:val="18"/>
              </w:rPr>
            </w:pPr>
            <w:r w:rsidRPr="00C57C0F">
              <w:rPr>
                <w:rFonts w:ascii="Cambria" w:eastAsia="Times New Roman" w:hAnsi="Cambria" w:cs="Segoe UI"/>
                <w:b/>
                <w:bCs/>
                <w:sz w:val="18"/>
                <w:szCs w:val="18"/>
              </w:rPr>
              <w:t xml:space="preserve">Clausula VII.1 Economic compensation.  </w:t>
            </w:r>
            <w:r w:rsidRPr="00C57C0F">
              <w:rPr>
                <w:rFonts w:ascii="Cambria" w:eastAsia="Times New Roman" w:hAnsi="Cambria" w:cs="Segoe UI"/>
                <w:sz w:val="18"/>
                <w:szCs w:val="18"/>
              </w:rPr>
              <w:t>"THE MEXICAN STATE" shall grant a payment corresponding to the harm suffered by "THE VICTIMS" as part of the compensation measure, which includes both material and non-material damages.  "THE UDDH" will carry out the necessary actions to make the corresponding payment derived from this Agreement, […].</w:t>
            </w:r>
          </w:p>
        </w:tc>
        <w:tc>
          <w:tcPr>
            <w:tcW w:w="1749"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3594CD2"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rPr>
              <w:t>Total 2022</w:t>
            </w:r>
          </w:p>
        </w:tc>
      </w:tr>
      <w:tr w:rsidR="007704F4" w:rsidRPr="00C57C0F" w14:paraId="083F4622"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88" w:type="dxa"/>
            <w:gridSpan w:val="7"/>
            <w:tcBorders>
              <w:top w:val="single" w:sz="6" w:space="0" w:color="auto"/>
              <w:left w:val="single" w:sz="6" w:space="0" w:color="auto"/>
              <w:bottom w:val="single" w:sz="6" w:space="0" w:color="auto"/>
              <w:right w:val="single" w:sz="6" w:space="0" w:color="auto"/>
            </w:tcBorders>
            <w:shd w:val="clear" w:color="auto" w:fill="92D050"/>
            <w:vAlign w:val="center"/>
            <w:hideMark/>
          </w:tcPr>
          <w:p w14:paraId="7CCD44FB"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u w:val="single"/>
              </w:rPr>
              <w:t>Mexico:</w:t>
            </w:r>
            <w:r w:rsidRPr="00C57C0F">
              <w:rPr>
                <w:rFonts w:ascii="Cambria" w:eastAsia="Times New Roman" w:hAnsi="Cambria" w:cs="Segoe UI"/>
                <w:sz w:val="18"/>
                <w:szCs w:val="18"/>
              </w:rPr>
              <w:t> </w:t>
            </w:r>
          </w:p>
          <w:p w14:paraId="69DC5069" w14:textId="77777777" w:rsidR="007704F4" w:rsidRPr="00C57C0F" w:rsidRDefault="007704F4">
            <w:pPr>
              <w:ind w:right="-30"/>
              <w:jc w:val="center"/>
              <w:textAlignment w:val="baseline"/>
              <w:rPr>
                <w:rFonts w:ascii="Cambria" w:eastAsia="Times New Roman" w:hAnsi="Cambria" w:cs="Segoe UI"/>
                <w:sz w:val="18"/>
                <w:szCs w:val="18"/>
              </w:rPr>
            </w:pPr>
            <w:r w:rsidRPr="00C57C0F">
              <w:rPr>
                <w:rStyle w:val="normaltextrun"/>
                <w:rFonts w:ascii="Cambria" w:hAnsi="Cambria"/>
                <w:b/>
                <w:color w:val="000000"/>
                <w:sz w:val="18"/>
                <w:szCs w:val="18"/>
                <w:bdr w:val="none" w:sz="0" w:space="0" w:color="auto" w:frame="1"/>
              </w:rPr>
              <w:t>Number of measures where progress was achieved</w:t>
            </w:r>
            <w:r w:rsidRPr="00C57C0F">
              <w:rPr>
                <w:rFonts w:ascii="Cambria" w:eastAsia="Times New Roman" w:hAnsi="Cambria" w:cs="Segoe UI"/>
                <w:b/>
                <w:sz w:val="18"/>
                <w:szCs w:val="18"/>
              </w:rPr>
              <w:t>:</w:t>
            </w:r>
            <w:r w:rsidRPr="00C57C0F">
              <w:rPr>
                <w:rFonts w:ascii="Cambria" w:eastAsia="Times New Roman" w:hAnsi="Cambria" w:cs="Segoe UI"/>
                <w:b/>
                <w:bCs/>
                <w:sz w:val="18"/>
                <w:szCs w:val="18"/>
              </w:rPr>
              <w:t xml:space="preserve"> 12 (8 individual, 4 structural)</w:t>
            </w:r>
            <w:r w:rsidRPr="00C57C0F">
              <w:rPr>
                <w:rFonts w:ascii="Cambria" w:eastAsia="Times New Roman" w:hAnsi="Cambria" w:cs="Segoe UI"/>
                <w:sz w:val="18"/>
                <w:szCs w:val="18"/>
              </w:rPr>
              <w:t> </w:t>
            </w:r>
          </w:p>
          <w:p w14:paraId="4405B678"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rPr>
              <w:t>Total compliance: 3</w:t>
            </w:r>
            <w:r w:rsidRPr="00C57C0F">
              <w:rPr>
                <w:rFonts w:ascii="Cambria" w:eastAsia="Times New Roman" w:hAnsi="Cambria" w:cs="Segoe UI"/>
                <w:sz w:val="18"/>
                <w:szCs w:val="18"/>
              </w:rPr>
              <w:t> </w:t>
            </w:r>
          </w:p>
          <w:p w14:paraId="2A35E9C5"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rPr>
              <w:t>Partial substantial: 4</w:t>
            </w:r>
            <w:r w:rsidRPr="00C57C0F">
              <w:rPr>
                <w:rFonts w:ascii="Cambria" w:eastAsia="Times New Roman" w:hAnsi="Cambria" w:cs="Segoe UI"/>
                <w:sz w:val="18"/>
                <w:szCs w:val="18"/>
              </w:rPr>
              <w:t> </w:t>
            </w:r>
          </w:p>
          <w:p w14:paraId="7155EBAD"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rPr>
              <w:lastRenderedPageBreak/>
              <w:t>Partial compliance: 5</w:t>
            </w:r>
          </w:p>
        </w:tc>
      </w:tr>
      <w:tr w:rsidR="007704F4" w:rsidRPr="00C57C0F" w14:paraId="537625EE" w14:textId="77777777">
        <w:trPr>
          <w:jc w:val="center"/>
        </w:trPr>
        <w:tc>
          <w:tcPr>
            <w:tcW w:w="534" w:type="dxa"/>
            <w:shd w:val="clear" w:color="auto" w:fill="92D050"/>
            <w:vAlign w:val="center"/>
          </w:tcPr>
          <w:p w14:paraId="7E724A9C" w14:textId="77777777" w:rsidR="007704F4" w:rsidRPr="00C57C0F" w:rsidRDefault="007704F4">
            <w:pPr>
              <w:ind w:right="-18"/>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lastRenderedPageBreak/>
              <w:t xml:space="preserve"> No.</w:t>
            </w:r>
          </w:p>
        </w:tc>
        <w:tc>
          <w:tcPr>
            <w:tcW w:w="1259" w:type="dxa"/>
            <w:shd w:val="clear" w:color="auto" w:fill="92D050"/>
            <w:vAlign w:val="center"/>
          </w:tcPr>
          <w:p w14:paraId="01A52EB9"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Matter</w:t>
            </w:r>
          </w:p>
        </w:tc>
        <w:tc>
          <w:tcPr>
            <w:tcW w:w="1172" w:type="dxa"/>
            <w:shd w:val="clear" w:color="auto" w:fill="92D050"/>
            <w:vAlign w:val="center"/>
          </w:tcPr>
          <w:p w14:paraId="38FE1FFC"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Impact</w:t>
            </w:r>
          </w:p>
        </w:tc>
        <w:tc>
          <w:tcPr>
            <w:tcW w:w="5313" w:type="dxa"/>
            <w:gridSpan w:val="3"/>
            <w:shd w:val="clear" w:color="auto" w:fill="92D050"/>
            <w:vAlign w:val="center"/>
          </w:tcPr>
          <w:p w14:paraId="081DE9E8"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Clause or measure</w:t>
            </w:r>
          </w:p>
        </w:tc>
        <w:tc>
          <w:tcPr>
            <w:tcW w:w="1710" w:type="dxa"/>
            <w:shd w:val="clear" w:color="auto" w:fill="92D050"/>
            <w:vAlign w:val="center"/>
          </w:tcPr>
          <w:p w14:paraId="7EA322AC"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Level of compliance achieved</w:t>
            </w:r>
          </w:p>
        </w:tc>
      </w:tr>
      <w:tr w:rsidR="007704F4" w:rsidRPr="00C57C0F" w14:paraId="0E49FB48" w14:textId="77777777">
        <w:trPr>
          <w:trHeight w:val="495"/>
          <w:jc w:val="center"/>
        </w:trPr>
        <w:tc>
          <w:tcPr>
            <w:tcW w:w="9988" w:type="dxa"/>
            <w:gridSpan w:val="7"/>
            <w:shd w:val="clear" w:color="auto" w:fill="17365D"/>
            <w:vAlign w:val="center"/>
          </w:tcPr>
          <w:p w14:paraId="769A08A1"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PANAMÁ</w:t>
            </w:r>
          </w:p>
        </w:tc>
      </w:tr>
      <w:tr w:rsidR="007704F4" w:rsidRPr="00C57C0F" w14:paraId="389055F5" w14:textId="77777777">
        <w:trPr>
          <w:trHeight w:val="495"/>
          <w:jc w:val="center"/>
        </w:trPr>
        <w:tc>
          <w:tcPr>
            <w:tcW w:w="534" w:type="dxa"/>
            <w:shd w:val="clear" w:color="auto" w:fill="D9D9D9" w:themeFill="background1" w:themeFillShade="D9"/>
            <w:vAlign w:val="center"/>
          </w:tcPr>
          <w:p w14:paraId="4739B71F"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shd w:val="clear" w:color="auto" w:fill="D9D9D9" w:themeFill="background1" w:themeFillShade="D9"/>
            <w:vAlign w:val="center"/>
          </w:tcPr>
          <w:p w14:paraId="0C33026C" w14:textId="77777777" w:rsidR="007704F4" w:rsidRPr="00C57C0F" w:rsidRDefault="007704F4">
            <w:pPr>
              <w:ind w:right="-18"/>
              <w:contextualSpacing/>
              <w:rPr>
                <w:rFonts w:ascii="Cambria" w:eastAsia="MS Mincho" w:hAnsi="Cambria" w:cs="Arial"/>
                <w:sz w:val="18"/>
                <w:szCs w:val="18"/>
              </w:rPr>
            </w:pPr>
            <w:r w:rsidRPr="00C57C0F">
              <w:rPr>
                <w:rFonts w:ascii="Cambria" w:hAnsi="Cambria" w:cs="Arial"/>
                <w:sz w:val="18"/>
                <w:szCs w:val="18"/>
                <w:lang w:eastAsia="es-ES_tradnl"/>
              </w:rPr>
              <w:t>Case 13.017 C, Report No. 91/19, Relatives of the victims of the military dictatorship, October 1968 to December 1989</w:t>
            </w:r>
          </w:p>
        </w:tc>
        <w:tc>
          <w:tcPr>
            <w:tcW w:w="1172" w:type="dxa"/>
            <w:shd w:val="clear" w:color="auto" w:fill="D9D9D9" w:themeFill="background1" w:themeFillShade="D9"/>
            <w:vAlign w:val="center"/>
          </w:tcPr>
          <w:p w14:paraId="1BF09AC4" w14:textId="77777777" w:rsidR="007704F4" w:rsidRPr="00C57C0F" w:rsidRDefault="007704F4">
            <w:pPr>
              <w:ind w:right="-18"/>
              <w:jc w:val="center"/>
              <w:rPr>
                <w:rFonts w:ascii="Cambria" w:hAnsi="Cambria"/>
                <w:sz w:val="18"/>
                <w:szCs w:val="18"/>
              </w:rPr>
            </w:pPr>
            <w:r w:rsidRPr="00C57C0F">
              <w:rPr>
                <w:rFonts w:ascii="Cambria" w:hAnsi="Cambria"/>
                <w:sz w:val="18"/>
                <w:szCs w:val="18"/>
              </w:rPr>
              <w:t>Individual</w:t>
            </w:r>
          </w:p>
        </w:tc>
        <w:tc>
          <w:tcPr>
            <w:tcW w:w="5313" w:type="dxa"/>
            <w:gridSpan w:val="3"/>
            <w:shd w:val="clear" w:color="auto" w:fill="D9D9D9" w:themeFill="background1" w:themeFillShade="D9"/>
            <w:vAlign w:val="center"/>
          </w:tcPr>
          <w:p w14:paraId="786E0726" w14:textId="77777777" w:rsidR="007704F4" w:rsidRPr="00C57C0F" w:rsidRDefault="007704F4">
            <w:pPr>
              <w:ind w:right="-12"/>
              <w:jc w:val="both"/>
              <w:rPr>
                <w:rFonts w:ascii="Cambria" w:eastAsia="MS Mincho" w:hAnsi="Cambria" w:cs="Arial"/>
                <w:sz w:val="18"/>
                <w:szCs w:val="18"/>
                <w:lang w:eastAsia="es-ES_tradnl"/>
              </w:rPr>
            </w:pPr>
            <w:r w:rsidRPr="00C57C0F">
              <w:rPr>
                <w:rFonts w:ascii="Cambria" w:eastAsia="Times New Roman" w:hAnsi="Cambria" w:cs="Segoe UI"/>
                <w:b/>
                <w:bCs/>
                <w:sz w:val="18"/>
                <w:szCs w:val="18"/>
              </w:rPr>
              <w:t>Clausula</w:t>
            </w:r>
            <w:r w:rsidRPr="00C57C0F">
              <w:rPr>
                <w:rFonts w:ascii="Cambria" w:eastAsia="MS Mincho" w:hAnsi="Cambria" w:cs="Arial"/>
                <w:sz w:val="18"/>
                <w:szCs w:val="18"/>
                <w:lang w:eastAsia="es-ES_tradnl"/>
              </w:rPr>
              <w:t xml:space="preserve"> </w:t>
            </w:r>
            <w:r w:rsidRPr="00C57C0F">
              <w:rPr>
                <w:rFonts w:ascii="Cambria" w:eastAsia="MS Mincho" w:hAnsi="Cambria" w:cs="Arial"/>
                <w:b/>
                <w:bCs/>
                <w:sz w:val="18"/>
                <w:szCs w:val="18"/>
                <w:lang w:eastAsia="es-ES_tradnl"/>
              </w:rPr>
              <w:t xml:space="preserve">3. Payment of pecuniary reparation. </w:t>
            </w:r>
            <w:r w:rsidRPr="00C57C0F">
              <w:rPr>
                <w:rFonts w:ascii="Cambria" w:eastAsia="Times New Roman" w:hAnsi="Cambria" w:cs="Segoe UI"/>
                <w:sz w:val="18"/>
                <w:szCs w:val="18"/>
              </w:rPr>
              <w:t xml:space="preserve">[…] </w:t>
            </w:r>
            <w:r w:rsidRPr="00C57C0F">
              <w:rPr>
                <w:rFonts w:ascii="Cambria" w:eastAsia="MS Mincho" w:hAnsi="Cambria" w:cs="Arial"/>
                <w:sz w:val="18"/>
                <w:szCs w:val="18"/>
                <w:lang w:eastAsia="es-ES_tradnl"/>
              </w:rPr>
              <w:t xml:space="preserve">Through the Ministry of Economy and Finance, the State commits to reviewing the aforementioned expert actuarial reports to determine if they comply with the procedures established by the Ministry of Economy and Finance and Panamanian legislation on compensation in cases involving human rights and crimes against humanity. </w:t>
            </w:r>
            <w:r w:rsidRPr="00C57C0F">
              <w:rPr>
                <w:rFonts w:ascii="Cambria" w:eastAsia="Times New Roman" w:hAnsi="Cambria" w:cs="Segoe UI"/>
                <w:sz w:val="18"/>
                <w:szCs w:val="18"/>
              </w:rPr>
              <w:t>[…].</w:t>
            </w:r>
          </w:p>
        </w:tc>
        <w:tc>
          <w:tcPr>
            <w:tcW w:w="1710" w:type="dxa"/>
            <w:shd w:val="clear" w:color="auto" w:fill="D9D9D9" w:themeFill="background1" w:themeFillShade="D9"/>
            <w:vAlign w:val="center"/>
          </w:tcPr>
          <w:p w14:paraId="3015349E"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2022</w:t>
            </w:r>
          </w:p>
        </w:tc>
      </w:tr>
      <w:tr w:rsidR="007704F4" w:rsidRPr="00C57C0F" w14:paraId="50BAE556" w14:textId="77777777">
        <w:trPr>
          <w:jc w:val="center"/>
        </w:trPr>
        <w:tc>
          <w:tcPr>
            <w:tcW w:w="9988" w:type="dxa"/>
            <w:gridSpan w:val="7"/>
            <w:shd w:val="clear" w:color="auto" w:fill="92D050"/>
            <w:vAlign w:val="center"/>
          </w:tcPr>
          <w:p w14:paraId="143E7990" w14:textId="77777777" w:rsidR="007704F4" w:rsidRPr="00C57C0F" w:rsidRDefault="007704F4">
            <w:pPr>
              <w:ind w:right="-18"/>
              <w:jc w:val="center"/>
              <w:rPr>
                <w:rFonts w:ascii="Cambria" w:eastAsia="MS Mincho" w:hAnsi="Cambria" w:cs="Arial"/>
                <w:b/>
                <w:sz w:val="18"/>
                <w:szCs w:val="18"/>
                <w:u w:val="single"/>
                <w:lang w:eastAsia="es-ES_tradnl"/>
              </w:rPr>
            </w:pPr>
            <w:r w:rsidRPr="00C57C0F">
              <w:rPr>
                <w:rFonts w:ascii="Cambria" w:eastAsia="MS Mincho" w:hAnsi="Cambria" w:cs="Arial"/>
                <w:b/>
                <w:sz w:val="18"/>
                <w:szCs w:val="18"/>
                <w:u w:val="single"/>
                <w:lang w:eastAsia="es-ES_tradnl"/>
              </w:rPr>
              <w:t>Panama:</w:t>
            </w:r>
          </w:p>
          <w:p w14:paraId="3BCA4FD2" w14:textId="77777777" w:rsidR="007704F4" w:rsidRPr="00C57C0F" w:rsidRDefault="007704F4">
            <w:pPr>
              <w:ind w:right="-18"/>
              <w:jc w:val="center"/>
              <w:rPr>
                <w:rFonts w:ascii="Cambria" w:eastAsia="MS Mincho" w:hAnsi="Cambria" w:cs="Arial"/>
                <w:b/>
                <w:sz w:val="18"/>
                <w:szCs w:val="18"/>
                <w:lang w:eastAsia="es-ES_tradnl"/>
              </w:rPr>
            </w:pPr>
            <w:r w:rsidRPr="00C57C0F">
              <w:rPr>
                <w:rStyle w:val="normaltextrun"/>
                <w:rFonts w:ascii="Cambria" w:hAnsi="Cambria"/>
                <w:b/>
                <w:color w:val="000000"/>
                <w:sz w:val="18"/>
                <w:szCs w:val="18"/>
                <w:bdr w:val="none" w:sz="0" w:space="0" w:color="auto" w:frame="1"/>
              </w:rPr>
              <w:t>Number of measures where progress was achieved</w:t>
            </w:r>
            <w:r w:rsidRPr="00C57C0F">
              <w:rPr>
                <w:rFonts w:ascii="Cambria" w:eastAsia="MS Mincho" w:hAnsi="Cambria" w:cs="Arial"/>
                <w:b/>
                <w:sz w:val="18"/>
                <w:szCs w:val="18"/>
                <w:lang w:eastAsia="es-ES_tradnl"/>
              </w:rPr>
              <w:t>: 1 (individual)</w:t>
            </w:r>
          </w:p>
          <w:p w14:paraId="5B650234" w14:textId="77777777" w:rsidR="007704F4" w:rsidRPr="00352AC9" w:rsidRDefault="007704F4">
            <w:pPr>
              <w:ind w:right="-18"/>
              <w:jc w:val="center"/>
              <w:rPr>
                <w:rFonts w:ascii="Cambria" w:eastAsia="MS Mincho" w:hAnsi="Cambria" w:cs="Arial"/>
                <w:b/>
                <w:sz w:val="18"/>
                <w:szCs w:val="18"/>
                <w:lang w:val="pt-BR" w:eastAsia="es-ES_tradnl"/>
              </w:rPr>
            </w:pPr>
            <w:r w:rsidRPr="00352AC9">
              <w:rPr>
                <w:rFonts w:ascii="Cambria" w:eastAsia="MS Mincho" w:hAnsi="Cambria" w:cs="Arial"/>
                <w:b/>
                <w:sz w:val="18"/>
                <w:szCs w:val="18"/>
                <w:lang w:val="pt-BR" w:eastAsia="es-ES_tradnl"/>
              </w:rPr>
              <w:t>Total compliance: N/A</w:t>
            </w:r>
          </w:p>
          <w:p w14:paraId="4D1279B4" w14:textId="77777777" w:rsidR="007704F4" w:rsidRPr="00352AC9" w:rsidRDefault="007704F4">
            <w:pPr>
              <w:ind w:right="-18"/>
              <w:jc w:val="center"/>
              <w:rPr>
                <w:rFonts w:ascii="Cambria" w:eastAsia="MS Mincho" w:hAnsi="Cambria" w:cs="Arial"/>
                <w:b/>
                <w:sz w:val="18"/>
                <w:szCs w:val="18"/>
                <w:lang w:val="pt-BR" w:eastAsia="es-ES_tradnl"/>
              </w:rPr>
            </w:pPr>
            <w:r w:rsidRPr="00352AC9">
              <w:rPr>
                <w:rFonts w:ascii="Cambria" w:eastAsia="MS Mincho" w:hAnsi="Cambria" w:cs="Arial"/>
                <w:b/>
                <w:sz w:val="18"/>
                <w:szCs w:val="18"/>
                <w:lang w:val="pt-BR" w:eastAsia="es-ES_tradnl"/>
              </w:rPr>
              <w:t>Partial substantial: N/A</w:t>
            </w:r>
          </w:p>
          <w:p w14:paraId="58D3CF0C"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Partial compliance: 1</w:t>
            </w:r>
          </w:p>
        </w:tc>
      </w:tr>
      <w:tr w:rsidR="007704F4" w:rsidRPr="00C57C0F" w14:paraId="19B91B2F" w14:textId="77777777">
        <w:trPr>
          <w:jc w:val="center"/>
        </w:trPr>
        <w:tc>
          <w:tcPr>
            <w:tcW w:w="534" w:type="dxa"/>
            <w:shd w:val="clear" w:color="auto" w:fill="92D050"/>
            <w:vAlign w:val="center"/>
          </w:tcPr>
          <w:p w14:paraId="2CFCF640" w14:textId="77777777" w:rsidR="007704F4" w:rsidRPr="00C57C0F" w:rsidRDefault="007704F4">
            <w:pPr>
              <w:ind w:right="-18"/>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 xml:space="preserve"> No.</w:t>
            </w:r>
          </w:p>
        </w:tc>
        <w:tc>
          <w:tcPr>
            <w:tcW w:w="1259" w:type="dxa"/>
            <w:shd w:val="clear" w:color="auto" w:fill="92D050"/>
            <w:vAlign w:val="center"/>
          </w:tcPr>
          <w:p w14:paraId="7F7FBF33"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Matter</w:t>
            </w:r>
          </w:p>
        </w:tc>
        <w:tc>
          <w:tcPr>
            <w:tcW w:w="1172" w:type="dxa"/>
            <w:shd w:val="clear" w:color="auto" w:fill="92D050"/>
            <w:vAlign w:val="center"/>
          </w:tcPr>
          <w:p w14:paraId="62D71271"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Impact</w:t>
            </w:r>
          </w:p>
        </w:tc>
        <w:tc>
          <w:tcPr>
            <w:tcW w:w="5313" w:type="dxa"/>
            <w:gridSpan w:val="3"/>
            <w:shd w:val="clear" w:color="auto" w:fill="92D050"/>
            <w:vAlign w:val="center"/>
          </w:tcPr>
          <w:p w14:paraId="6FEB7042"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Clause or measure</w:t>
            </w:r>
          </w:p>
        </w:tc>
        <w:tc>
          <w:tcPr>
            <w:tcW w:w="1710" w:type="dxa"/>
            <w:shd w:val="clear" w:color="auto" w:fill="92D050"/>
            <w:vAlign w:val="center"/>
          </w:tcPr>
          <w:p w14:paraId="363E93CE" w14:textId="77777777" w:rsidR="007704F4" w:rsidRPr="00C57C0F" w:rsidRDefault="007704F4">
            <w:pPr>
              <w:ind w:right="-18"/>
              <w:jc w:val="center"/>
              <w:rPr>
                <w:rFonts w:ascii="Cambria" w:eastAsia="MS Mincho" w:hAnsi="Cambria" w:cs="Arial"/>
                <w:b/>
                <w:sz w:val="18"/>
                <w:szCs w:val="18"/>
                <w:lang w:eastAsia="es-ES_tradnl"/>
              </w:rPr>
            </w:pPr>
            <w:r w:rsidRPr="00C57C0F">
              <w:rPr>
                <w:rFonts w:ascii="Cambria" w:eastAsia="MS Mincho" w:hAnsi="Cambria" w:cs="Arial"/>
                <w:b/>
                <w:sz w:val="18"/>
                <w:szCs w:val="18"/>
                <w:lang w:eastAsia="es-ES_tradnl"/>
              </w:rPr>
              <w:t>Level of compliance achieved</w:t>
            </w:r>
          </w:p>
        </w:tc>
      </w:tr>
      <w:tr w:rsidR="007704F4" w:rsidRPr="00C57C0F" w14:paraId="5F235344"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88" w:type="dxa"/>
            <w:gridSpan w:val="7"/>
            <w:tcBorders>
              <w:top w:val="single" w:sz="6" w:space="0" w:color="auto"/>
              <w:left w:val="single" w:sz="6" w:space="0" w:color="auto"/>
              <w:bottom w:val="single" w:sz="6" w:space="0" w:color="auto"/>
              <w:right w:val="single" w:sz="6" w:space="0" w:color="auto"/>
            </w:tcBorders>
            <w:shd w:val="clear" w:color="auto" w:fill="17365D"/>
            <w:vAlign w:val="center"/>
            <w:hideMark/>
          </w:tcPr>
          <w:p w14:paraId="6D548947" w14:textId="77777777" w:rsidR="007704F4" w:rsidRPr="00C57C0F" w:rsidRDefault="007704F4">
            <w:pPr>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URUGUAY</w:t>
            </w:r>
          </w:p>
        </w:tc>
      </w:tr>
      <w:tr w:rsidR="007704F4" w:rsidRPr="00C57C0F" w14:paraId="56F70F43"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3E35E3"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r w:rsidRPr="00C57C0F">
              <w:rPr>
                <w:rFonts w:ascii="Cambria" w:eastAsia="MS Mincho" w:hAnsi="Cambria" w:cs="Arial"/>
                <w:sz w:val="18"/>
                <w:szCs w:val="18"/>
              </w:rPr>
              <w:t> </w:t>
            </w:r>
          </w:p>
        </w:tc>
        <w:tc>
          <w:tcPr>
            <w:tcW w:w="1259" w:type="dxa"/>
            <w:vMerge w:val="restart"/>
            <w:tcBorders>
              <w:top w:val="single" w:sz="6" w:space="0" w:color="auto"/>
              <w:left w:val="single" w:sz="6" w:space="0" w:color="auto"/>
              <w:right w:val="single" w:sz="6" w:space="0" w:color="auto"/>
            </w:tcBorders>
            <w:shd w:val="clear" w:color="auto" w:fill="FFFFFF"/>
            <w:vAlign w:val="center"/>
            <w:hideMark/>
          </w:tcPr>
          <w:p w14:paraId="12A62BAC" w14:textId="77777777" w:rsidR="007704F4" w:rsidRPr="00C57C0F" w:rsidRDefault="007704F4">
            <w:pPr>
              <w:ind w:right="-30"/>
              <w:textAlignment w:val="baseline"/>
              <w:rPr>
                <w:rFonts w:ascii="Cambria" w:eastAsia="Times New Roman" w:hAnsi="Cambria" w:cs="Segoe UI"/>
                <w:sz w:val="18"/>
                <w:szCs w:val="18"/>
              </w:rPr>
            </w:pPr>
            <w:r w:rsidRPr="00C57C0F">
              <w:rPr>
                <w:rFonts w:ascii="Cambria" w:hAnsi="Cambria" w:cs="Arial"/>
                <w:sz w:val="18"/>
                <w:szCs w:val="18"/>
                <w:lang w:eastAsia="es-ES_tradnl"/>
              </w:rPr>
              <w:t>Petition 1376-19, Report No. 183/22, Silvia Angelica Flores Mosquera</w:t>
            </w:r>
          </w:p>
        </w:tc>
        <w:tc>
          <w:tcPr>
            <w:tcW w:w="117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BE60FAC"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14:paraId="13F3F714" w14:textId="77777777" w:rsidR="007704F4" w:rsidRPr="00C57C0F" w:rsidRDefault="007704F4">
            <w:pPr>
              <w:ind w:left="89" w:right="80"/>
              <w:jc w:val="both"/>
              <w:textAlignment w:val="baseline"/>
              <w:rPr>
                <w:rFonts w:ascii="Cambria" w:eastAsia="Times New Roman" w:hAnsi="Cambria" w:cs="Segoe UI"/>
                <w:sz w:val="18"/>
                <w:szCs w:val="18"/>
              </w:rPr>
            </w:pPr>
            <w:r w:rsidRPr="00C57C0F">
              <w:rPr>
                <w:rFonts w:ascii="Cambria" w:eastAsia="Times New Roman" w:hAnsi="Cambria" w:cs="Segoe UI"/>
                <w:b/>
                <w:bCs/>
                <w:sz w:val="18"/>
                <w:szCs w:val="18"/>
              </w:rPr>
              <w:t xml:space="preserve">CLAUSE THIRD: 1. Acts of Acknowledgment of Responsibility: </w:t>
            </w:r>
            <w:r w:rsidRPr="00C57C0F">
              <w:rPr>
                <w:rFonts w:ascii="Cambria" w:eastAsia="Times New Roman" w:hAnsi="Cambria" w:cs="Segoe UI"/>
                <w:sz w:val="18"/>
                <w:szCs w:val="18"/>
              </w:rPr>
              <w:t>The Uruguayan State shall conduct a Private Act of Signature and Acknowledgement of Responsibility, which shall be carried out in person with the virtual participation and monitoring of the IACHR. […].</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15A7995"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rPr>
              <w:t>Total 2022</w:t>
            </w:r>
          </w:p>
        </w:tc>
      </w:tr>
      <w:tr w:rsidR="007704F4" w:rsidRPr="00C57C0F" w14:paraId="4EE589D7"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14:paraId="5F1157C7"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right w:val="single" w:sz="6" w:space="0" w:color="auto"/>
            </w:tcBorders>
            <w:shd w:val="clear" w:color="auto" w:fill="FFFFFF"/>
            <w:vAlign w:val="center"/>
          </w:tcPr>
          <w:p w14:paraId="37615059" w14:textId="77777777" w:rsidR="007704F4" w:rsidRPr="00C57C0F" w:rsidRDefault="007704F4">
            <w:pPr>
              <w:ind w:right="-30"/>
              <w:textAlignment w:val="baseline"/>
              <w:rPr>
                <w:rFonts w:ascii="Cambria" w:eastAsia="Times New Roman" w:hAnsi="Cambria"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FFFFFF"/>
            <w:vAlign w:val="center"/>
          </w:tcPr>
          <w:p w14:paraId="2B54451E"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5AEC611F" w14:textId="77777777" w:rsidR="007704F4" w:rsidRPr="00C57C0F" w:rsidRDefault="007704F4">
            <w:pPr>
              <w:ind w:left="89" w:right="80"/>
              <w:jc w:val="both"/>
              <w:textAlignment w:val="baseline"/>
              <w:rPr>
                <w:rFonts w:ascii="Cambria" w:eastAsia="Times New Roman" w:hAnsi="Cambria" w:cs="Segoe UI"/>
                <w:sz w:val="18"/>
                <w:szCs w:val="18"/>
              </w:rPr>
            </w:pPr>
            <w:r w:rsidRPr="00C57C0F">
              <w:rPr>
                <w:rFonts w:ascii="Cambria" w:eastAsia="Times New Roman" w:hAnsi="Cambria" w:cs="Segoe UI"/>
                <w:b/>
                <w:bCs/>
                <w:sz w:val="18"/>
                <w:szCs w:val="18"/>
              </w:rPr>
              <w:t xml:space="preserve">CLAUSE THIRD: 2. Economic Agreement. </w:t>
            </w:r>
            <w:r w:rsidRPr="00C57C0F">
              <w:rPr>
                <w:rFonts w:ascii="Cambria" w:eastAsia="Times New Roman" w:hAnsi="Cambria" w:cs="Segoe UI"/>
                <w:sz w:val="18"/>
                <w:szCs w:val="18"/>
              </w:rPr>
              <w:t xml:space="preserve">The State undertakes to pay Mrs. Silvia Angelica Flores Mosquera: i) The total and settled amount of [...]. </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14:paraId="3956B835"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49F04147"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14:paraId="56E5ECF9"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right w:val="single" w:sz="6" w:space="0" w:color="auto"/>
            </w:tcBorders>
            <w:shd w:val="clear" w:color="auto" w:fill="FFFFFF"/>
            <w:vAlign w:val="center"/>
          </w:tcPr>
          <w:p w14:paraId="4DC0ED90" w14:textId="77777777" w:rsidR="007704F4" w:rsidRPr="00C57C0F" w:rsidRDefault="007704F4">
            <w:pPr>
              <w:ind w:right="-30"/>
              <w:textAlignment w:val="baseline"/>
              <w:rPr>
                <w:rFonts w:ascii="Cambria" w:eastAsia="Times New Roman" w:hAnsi="Cambria"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FFFFFF"/>
            <w:vAlign w:val="center"/>
          </w:tcPr>
          <w:p w14:paraId="7D6696BC"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63B199F0" w14:textId="77777777" w:rsidR="007704F4" w:rsidRPr="00C57C0F" w:rsidRDefault="007704F4">
            <w:pPr>
              <w:ind w:left="89" w:right="80"/>
              <w:jc w:val="both"/>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CLAUSE THIRD: 2. ii) </w:t>
            </w:r>
            <w:r w:rsidRPr="00C57C0F">
              <w:rPr>
                <w:rFonts w:ascii="Cambria" w:hAnsi="Cambria"/>
                <w:sz w:val="18"/>
                <w:szCs w:val="18"/>
              </w:rPr>
              <w:t>It</w:t>
            </w:r>
            <w:r w:rsidRPr="00C57C0F">
              <w:rPr>
                <w:rFonts w:ascii="Cambria" w:eastAsia="Times New Roman" w:hAnsi="Cambria" w:cs="Segoe UI"/>
                <w:sz w:val="18"/>
                <w:szCs w:val="18"/>
              </w:rPr>
              <w:t xml:space="preserve"> is also agreed to deliver a monthly rent of […]. In all cases, the proof of transfer issued by the remitting bank will be sufficient to accredit the payment. […].</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14:paraId="2F6B7EE7"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Partial </w:t>
            </w:r>
            <w:r w:rsidRPr="00C57C0F">
              <w:rPr>
                <w:rFonts w:ascii="Cambria" w:eastAsia="MS Mincho" w:hAnsi="Cambria" w:cs="Arial"/>
                <w:b/>
                <w:sz w:val="18"/>
                <w:szCs w:val="18"/>
                <w:lang w:eastAsia="es-ES_tradnl"/>
              </w:rPr>
              <w:t>2022</w:t>
            </w:r>
          </w:p>
        </w:tc>
      </w:tr>
      <w:tr w:rsidR="007704F4" w:rsidRPr="00C57C0F" w14:paraId="5D0FF773"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14:paraId="21052713" w14:textId="77777777" w:rsidR="007704F4" w:rsidRPr="00C57C0F" w:rsidRDefault="007704F4" w:rsidP="00933F91">
            <w:pPr>
              <w:numPr>
                <w:ilvl w:val="0"/>
                <w:numId w:val="69"/>
              </w:numPr>
              <w:ind w:left="0" w:right="-18" w:firstLine="0"/>
              <w:contextualSpacing/>
              <w:jc w:val="center"/>
              <w:rPr>
                <w:rFonts w:ascii="Cambria" w:eastAsia="MS Mincho" w:hAnsi="Cambria" w:cs="Arial"/>
                <w:sz w:val="18"/>
                <w:szCs w:val="18"/>
              </w:rPr>
            </w:pPr>
          </w:p>
        </w:tc>
        <w:tc>
          <w:tcPr>
            <w:tcW w:w="1259" w:type="dxa"/>
            <w:vMerge/>
            <w:tcBorders>
              <w:left w:val="single" w:sz="6" w:space="0" w:color="auto"/>
              <w:bottom w:val="single" w:sz="6" w:space="0" w:color="auto"/>
              <w:right w:val="single" w:sz="6" w:space="0" w:color="auto"/>
            </w:tcBorders>
            <w:shd w:val="clear" w:color="auto" w:fill="FFFFFF"/>
            <w:vAlign w:val="center"/>
          </w:tcPr>
          <w:p w14:paraId="5DB8B50E" w14:textId="77777777" w:rsidR="007704F4" w:rsidRPr="00C57C0F" w:rsidRDefault="007704F4">
            <w:pPr>
              <w:ind w:right="-30"/>
              <w:textAlignment w:val="baseline"/>
              <w:rPr>
                <w:rFonts w:ascii="Cambria" w:eastAsia="Times New Roman" w:hAnsi="Cambria"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FFFFFF"/>
            <w:vAlign w:val="center"/>
          </w:tcPr>
          <w:p w14:paraId="1206B9EC"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t>Individual</w:t>
            </w:r>
          </w:p>
        </w:tc>
        <w:tc>
          <w:tcPr>
            <w:tcW w:w="531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2717526D" w14:textId="77777777" w:rsidR="007704F4" w:rsidRPr="00C57C0F" w:rsidRDefault="007704F4">
            <w:pPr>
              <w:ind w:left="89" w:right="80"/>
              <w:jc w:val="both"/>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 xml:space="preserve">CLAUSE FOURTH. Compensation measures: </w:t>
            </w:r>
            <w:r w:rsidRPr="00C57C0F">
              <w:rPr>
                <w:rFonts w:ascii="Cambria" w:eastAsia="Times New Roman" w:hAnsi="Cambria" w:cs="Segoe UI"/>
                <w:sz w:val="18"/>
                <w:szCs w:val="18"/>
              </w:rPr>
              <w:t>The State undertakes to initiate the administrative process to make the agreed financial compensation effective within a maximum period of two months as of the date on which the friendly settlement agreement is approved through the issuance of the report under Article 49 of the American Convention on Human Rights.</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14:paraId="44C1E235" w14:textId="77777777" w:rsidR="007704F4" w:rsidRPr="00C57C0F" w:rsidRDefault="007704F4">
            <w:pPr>
              <w:ind w:right="-3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Total 2022</w:t>
            </w:r>
          </w:p>
        </w:tc>
      </w:tr>
      <w:tr w:rsidR="007704F4" w:rsidRPr="00C57C0F" w14:paraId="1CD7CD6F"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88" w:type="dxa"/>
            <w:gridSpan w:val="7"/>
            <w:tcBorders>
              <w:top w:val="single" w:sz="6" w:space="0" w:color="auto"/>
              <w:left w:val="single" w:sz="6" w:space="0" w:color="auto"/>
              <w:bottom w:val="single" w:sz="6" w:space="0" w:color="auto"/>
              <w:right w:val="single" w:sz="6" w:space="0" w:color="auto"/>
            </w:tcBorders>
            <w:shd w:val="clear" w:color="auto" w:fill="92D050"/>
            <w:vAlign w:val="center"/>
            <w:hideMark/>
          </w:tcPr>
          <w:p w14:paraId="4894DBB5"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u w:val="single"/>
              </w:rPr>
              <w:t>Uruguay:</w:t>
            </w:r>
            <w:r w:rsidRPr="00C57C0F">
              <w:rPr>
                <w:rFonts w:ascii="Cambria" w:eastAsia="Times New Roman" w:hAnsi="Cambria" w:cs="Segoe UI"/>
                <w:sz w:val="18"/>
                <w:szCs w:val="18"/>
              </w:rPr>
              <w:t> </w:t>
            </w:r>
          </w:p>
          <w:p w14:paraId="11BD7BEF" w14:textId="77777777" w:rsidR="007704F4" w:rsidRPr="00C57C0F" w:rsidRDefault="007704F4">
            <w:pPr>
              <w:ind w:right="-30"/>
              <w:jc w:val="center"/>
              <w:textAlignment w:val="baseline"/>
              <w:rPr>
                <w:rFonts w:ascii="Cambria" w:eastAsia="Times New Roman" w:hAnsi="Cambria" w:cs="Segoe UI"/>
                <w:sz w:val="18"/>
                <w:szCs w:val="18"/>
              </w:rPr>
            </w:pPr>
            <w:r w:rsidRPr="00C57C0F">
              <w:rPr>
                <w:rStyle w:val="normaltextrun"/>
                <w:bCs/>
                <w:color w:val="000000"/>
                <w:sz w:val="18"/>
                <w:szCs w:val="18"/>
                <w:bdr w:val="none" w:sz="0" w:space="0" w:color="auto" w:frame="1"/>
              </w:rPr>
              <w:t>Number of measures where progress was achieved</w:t>
            </w:r>
            <w:r w:rsidRPr="00C57C0F">
              <w:rPr>
                <w:rFonts w:ascii="Cambria" w:eastAsia="Times New Roman" w:hAnsi="Cambria" w:cs="Segoe UI"/>
                <w:b/>
                <w:bCs/>
                <w:sz w:val="18"/>
                <w:szCs w:val="18"/>
              </w:rPr>
              <w:t>: 4 (individual)</w:t>
            </w:r>
            <w:r w:rsidRPr="00C57C0F">
              <w:rPr>
                <w:rFonts w:ascii="Cambria" w:eastAsia="Times New Roman" w:hAnsi="Cambria" w:cs="Segoe UI"/>
                <w:sz w:val="18"/>
                <w:szCs w:val="18"/>
              </w:rPr>
              <w:t> </w:t>
            </w:r>
          </w:p>
          <w:p w14:paraId="2D4836C0" w14:textId="77777777" w:rsidR="007704F4" w:rsidRPr="00C57C0F" w:rsidRDefault="007704F4">
            <w:pPr>
              <w:ind w:right="-3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rPr>
              <w:t>Total compliance: 3</w:t>
            </w:r>
            <w:r w:rsidRPr="00C57C0F">
              <w:rPr>
                <w:rFonts w:ascii="Cambria" w:eastAsia="Times New Roman" w:hAnsi="Cambria" w:cs="Segoe UI"/>
                <w:sz w:val="18"/>
                <w:szCs w:val="18"/>
              </w:rPr>
              <w:t> </w:t>
            </w:r>
          </w:p>
          <w:p w14:paraId="46691CB2" w14:textId="77777777" w:rsidR="007704F4" w:rsidRPr="00C57C0F" w:rsidRDefault="007704F4">
            <w:pPr>
              <w:ind w:right="-30"/>
              <w:jc w:val="center"/>
              <w:textAlignment w:val="baseline"/>
              <w:rPr>
                <w:rFonts w:ascii="Cambria" w:eastAsia="Times New Roman" w:hAnsi="Cambria" w:cs="Segoe UI"/>
                <w:b/>
                <w:sz w:val="18"/>
                <w:szCs w:val="18"/>
              </w:rPr>
            </w:pPr>
            <w:r w:rsidRPr="00C57C0F">
              <w:rPr>
                <w:rStyle w:val="normaltextrun"/>
                <w:rFonts w:ascii="Cambria" w:hAnsi="Cambria"/>
                <w:b/>
                <w:color w:val="000000"/>
                <w:sz w:val="18"/>
                <w:szCs w:val="18"/>
                <w:bdr w:val="none" w:sz="0" w:space="0" w:color="auto" w:frame="1"/>
              </w:rPr>
              <w:t>Partial substantial</w:t>
            </w:r>
            <w:r w:rsidRPr="00C57C0F">
              <w:rPr>
                <w:rFonts w:ascii="Cambria" w:eastAsia="Times New Roman" w:hAnsi="Cambria" w:cs="Segoe UI"/>
                <w:b/>
                <w:sz w:val="18"/>
                <w:szCs w:val="18"/>
              </w:rPr>
              <w:t>: N/A </w:t>
            </w:r>
          </w:p>
          <w:p w14:paraId="497EB44D" w14:textId="77777777" w:rsidR="007704F4" w:rsidRPr="00C57C0F" w:rsidRDefault="007704F4">
            <w:pPr>
              <w:ind w:right="-30"/>
              <w:jc w:val="center"/>
              <w:textAlignment w:val="baseline"/>
              <w:rPr>
                <w:rFonts w:ascii="Cambria" w:eastAsia="Times New Roman" w:hAnsi="Cambria" w:cs="Segoe UI"/>
                <w:sz w:val="18"/>
                <w:szCs w:val="18"/>
              </w:rPr>
            </w:pPr>
            <w:r w:rsidRPr="00C57C0F">
              <w:rPr>
                <w:rStyle w:val="normaltextrun"/>
                <w:rFonts w:ascii="Cambria" w:hAnsi="Cambria"/>
                <w:b/>
                <w:color w:val="000000"/>
                <w:sz w:val="18"/>
                <w:szCs w:val="18"/>
                <w:bdr w:val="none" w:sz="0" w:space="0" w:color="auto" w:frame="1"/>
              </w:rPr>
              <w:t>Partial compliance</w:t>
            </w:r>
            <w:r w:rsidRPr="00C57C0F">
              <w:rPr>
                <w:rFonts w:ascii="Cambria" w:eastAsia="Times New Roman" w:hAnsi="Cambria" w:cs="Segoe UI"/>
                <w:b/>
                <w:sz w:val="18"/>
                <w:szCs w:val="18"/>
              </w:rPr>
              <w:t>:1</w:t>
            </w:r>
          </w:p>
        </w:tc>
      </w:tr>
      <w:tr w:rsidR="007704F4" w:rsidRPr="00C57C0F" w14:paraId="624A21DE"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75"/>
        </w:trPr>
        <w:tc>
          <w:tcPr>
            <w:tcW w:w="5308"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DF0DE8A" w14:textId="77777777" w:rsidR="007704F4" w:rsidRPr="00C57C0F" w:rsidRDefault="007704F4">
            <w:pPr>
              <w:ind w:firstLine="72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rPr>
              <w:t>Number of measures where progress was achieved</w:t>
            </w:r>
          </w:p>
        </w:tc>
        <w:tc>
          <w:tcPr>
            <w:tcW w:w="468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C9604FD" w14:textId="77777777" w:rsidR="007704F4" w:rsidRPr="00C57C0F" w:rsidRDefault="007704F4">
            <w:pPr>
              <w:ind w:firstLine="72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134</w:t>
            </w:r>
          </w:p>
        </w:tc>
      </w:tr>
      <w:tr w:rsidR="007704F4" w:rsidRPr="00C57C0F" w14:paraId="6D62D724"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5308"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102382F" w14:textId="77777777" w:rsidR="007704F4" w:rsidRPr="00C57C0F" w:rsidRDefault="007704F4">
            <w:pPr>
              <w:ind w:firstLine="72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rPr>
              <w:t>Total number of measures where total compliance was achieved</w:t>
            </w:r>
          </w:p>
        </w:tc>
        <w:tc>
          <w:tcPr>
            <w:tcW w:w="468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D324A8C" w14:textId="77777777" w:rsidR="007704F4" w:rsidRPr="00C57C0F" w:rsidRDefault="007704F4">
            <w:pPr>
              <w:ind w:firstLine="72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67</w:t>
            </w:r>
          </w:p>
        </w:tc>
      </w:tr>
      <w:tr w:rsidR="007704F4" w:rsidRPr="00C57C0F" w14:paraId="25762CC4"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35"/>
        </w:trPr>
        <w:tc>
          <w:tcPr>
            <w:tcW w:w="5308"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3E46AB5" w14:textId="77777777" w:rsidR="007704F4" w:rsidRPr="00C57C0F" w:rsidRDefault="007704F4">
            <w:pPr>
              <w:ind w:firstLine="72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rPr>
              <w:t>Total number of measures where partial substantial compliance was achieved</w:t>
            </w:r>
          </w:p>
        </w:tc>
        <w:tc>
          <w:tcPr>
            <w:tcW w:w="468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CDE4125" w14:textId="77777777" w:rsidR="007704F4" w:rsidRPr="00C57C0F" w:rsidRDefault="007704F4">
            <w:pPr>
              <w:ind w:firstLine="72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23</w:t>
            </w:r>
          </w:p>
        </w:tc>
      </w:tr>
      <w:tr w:rsidR="007704F4" w:rsidRPr="00C57C0F" w14:paraId="2F2DFDC2"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25"/>
        </w:trPr>
        <w:tc>
          <w:tcPr>
            <w:tcW w:w="5308"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1A02CA7" w14:textId="77777777" w:rsidR="007704F4" w:rsidRPr="00C57C0F" w:rsidRDefault="007704F4">
            <w:pPr>
              <w:ind w:firstLine="72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rPr>
              <w:t>Total number of measures where partial compliance was achieved</w:t>
            </w:r>
          </w:p>
        </w:tc>
        <w:tc>
          <w:tcPr>
            <w:tcW w:w="468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DDC727" w14:textId="77777777" w:rsidR="007704F4" w:rsidRPr="00C57C0F" w:rsidRDefault="007704F4">
            <w:pPr>
              <w:ind w:firstLine="72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44</w:t>
            </w:r>
          </w:p>
        </w:tc>
      </w:tr>
      <w:tr w:rsidR="007704F4" w:rsidRPr="00C57C0F" w14:paraId="715DDEAA"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5308"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26CC61C" w14:textId="77777777" w:rsidR="007704F4" w:rsidRPr="00C57C0F" w:rsidRDefault="007704F4">
            <w:pPr>
              <w:ind w:firstLine="720"/>
              <w:jc w:val="center"/>
              <w:textAlignment w:val="baseline"/>
              <w:rPr>
                <w:rFonts w:ascii="Cambria" w:eastAsia="Times New Roman" w:hAnsi="Cambria" w:cs="Segoe UI"/>
                <w:sz w:val="18"/>
                <w:szCs w:val="18"/>
              </w:rPr>
            </w:pPr>
            <w:r w:rsidRPr="00C57C0F">
              <w:rPr>
                <w:rFonts w:ascii="Cambria" w:eastAsia="Times New Roman" w:hAnsi="Cambria" w:cs="Segoe UI"/>
                <w:sz w:val="18"/>
                <w:szCs w:val="18"/>
              </w:rPr>
              <w:lastRenderedPageBreak/>
              <w:t>Total number of structural measures where progress was achieved</w:t>
            </w:r>
            <w:r w:rsidRPr="00C57C0F">
              <w:rPr>
                <w:rStyle w:val="eop"/>
                <w:color w:val="000000"/>
                <w:sz w:val="18"/>
                <w:szCs w:val="18"/>
                <w:shd w:val="clear" w:color="auto" w:fill="FFFFFF"/>
              </w:rPr>
              <w:t> </w:t>
            </w:r>
          </w:p>
        </w:tc>
        <w:tc>
          <w:tcPr>
            <w:tcW w:w="468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1F8D059" w14:textId="77777777" w:rsidR="007704F4" w:rsidRPr="00C57C0F" w:rsidRDefault="007704F4">
            <w:pPr>
              <w:ind w:firstLine="72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50</w:t>
            </w:r>
          </w:p>
        </w:tc>
      </w:tr>
      <w:tr w:rsidR="007704F4" w:rsidRPr="00C57C0F" w14:paraId="5A4B92A3" w14:textId="7777777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5308"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934152C" w14:textId="77777777" w:rsidR="007704F4" w:rsidRPr="00C57C0F" w:rsidRDefault="007704F4">
            <w:pPr>
              <w:ind w:firstLine="720"/>
              <w:jc w:val="center"/>
              <w:textAlignment w:val="baseline"/>
              <w:rPr>
                <w:rFonts w:ascii="Cambria" w:eastAsia="Times New Roman" w:hAnsi="Cambria" w:cs="Segoe UI"/>
                <w:sz w:val="18"/>
                <w:szCs w:val="18"/>
              </w:rPr>
            </w:pPr>
            <w:r w:rsidRPr="00C57C0F">
              <w:rPr>
                <w:rFonts w:ascii="Cambria" w:eastAsia="Times New Roman" w:hAnsi="Cambria" w:cs="Segoe UI"/>
                <w:b/>
                <w:bCs/>
                <w:sz w:val="18"/>
                <w:szCs w:val="18"/>
              </w:rPr>
              <w:t>Total number of individual measures where progress was achieved</w:t>
            </w:r>
          </w:p>
        </w:tc>
        <w:tc>
          <w:tcPr>
            <w:tcW w:w="468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1D04BD" w14:textId="77777777" w:rsidR="007704F4" w:rsidRPr="00C57C0F" w:rsidRDefault="007704F4">
            <w:pPr>
              <w:ind w:firstLine="720"/>
              <w:jc w:val="center"/>
              <w:textAlignment w:val="baseline"/>
              <w:rPr>
                <w:rFonts w:ascii="Cambria" w:eastAsia="Times New Roman" w:hAnsi="Cambria" w:cs="Segoe UI"/>
                <w:b/>
                <w:bCs/>
                <w:sz w:val="18"/>
                <w:szCs w:val="18"/>
              </w:rPr>
            </w:pPr>
            <w:r w:rsidRPr="00C57C0F">
              <w:rPr>
                <w:rFonts w:ascii="Cambria" w:eastAsia="Times New Roman" w:hAnsi="Cambria" w:cs="Segoe UI"/>
                <w:b/>
                <w:bCs/>
                <w:sz w:val="18"/>
                <w:szCs w:val="18"/>
              </w:rPr>
              <w:t>84</w:t>
            </w:r>
          </w:p>
        </w:tc>
      </w:tr>
    </w:tbl>
    <w:p w14:paraId="7A135C4C" w14:textId="77777777" w:rsidR="00EC6B71" w:rsidRPr="00D752F9" w:rsidRDefault="00EC6B71" w:rsidP="00D752F9">
      <w:pPr>
        <w:pBdr>
          <w:top w:val="nil"/>
          <w:left w:val="nil"/>
          <w:bottom w:val="nil"/>
          <w:right w:val="nil"/>
          <w:between w:val="nil"/>
          <w:bar w:val="nil"/>
        </w:pBdr>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47F4E986" w14:textId="1591F78F" w:rsidR="002E260B"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007E3">
        <w:rPr>
          <w:rFonts w:eastAsia="Calibri" w:cs="Calibri"/>
          <w:bCs/>
          <w:color w:val="000000"/>
          <w:u w:color="000000"/>
          <w:bdr w:val="nil"/>
          <w14:textOutline w14:w="0" w14:cap="flat" w14:cmpd="sng" w14:algn="ctr">
            <w14:noFill/>
            <w14:prstDash w14:val="solid"/>
            <w14:bevel/>
          </w14:textOutline>
        </w:rPr>
        <w:t xml:space="preserve">The Commission values the efforts of the states of Argentina, Brazil, Chile, Colombia, Guatemala, Honduras, Mexico, Panama y Uruguay, and welcomes the progress they have made with implementing the clauses in the friendly settlement agreements that contain commitments to victims and their next of kin and on their compliance with the settlement agreements approved by the Inter-American Commission on Human Rights. The Commission reiterates that said compliance is vital for legitimization of the friendly settlement mechanism and for forging trust in the agreements and in the good faith of States wishing to comply with their international commitments. At the same time, the Commission wishes to take this opportunity to urge all States using the friendly settlement mechanism to complete compliance with measures currently being implemented, so that the IACHR can certify total compliance with the friendly settlement agreements and stop monitoring them. </w:t>
      </w:r>
    </w:p>
    <w:p w14:paraId="3C2F0228" w14:textId="77777777" w:rsidR="00465936" w:rsidRPr="00B007E3" w:rsidRDefault="00465936" w:rsidP="00465936">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19AFA3DB"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022DCACD" w14:textId="6E25D2C9" w:rsidR="002E260B" w:rsidRPr="00D05EE2" w:rsidRDefault="002E260B" w:rsidP="00933F91">
      <w:pPr>
        <w:pStyle w:val="ListParagraph"/>
        <w:numPr>
          <w:ilvl w:val="0"/>
          <w:numId w:val="63"/>
        </w:numPr>
        <w:pBdr>
          <w:top w:val="nil"/>
          <w:left w:val="nil"/>
          <w:bottom w:val="nil"/>
          <w:right w:val="nil"/>
          <w:between w:val="nil"/>
          <w:bar w:val="nil"/>
        </w:pBdr>
        <w:ind w:hanging="720"/>
        <w:jc w:val="both"/>
        <w:rPr>
          <w:rFonts w:ascii="Cambria" w:eastAsia="Calibri" w:hAnsi="Cambria" w:cs="Calibri"/>
          <w:b/>
          <w:color w:val="000000"/>
          <w:sz w:val="20"/>
          <w:szCs w:val="20"/>
          <w:u w:color="000000"/>
          <w:bdr w:val="nil"/>
          <w14:textOutline w14:w="0" w14:cap="flat" w14:cmpd="sng" w14:algn="ctr">
            <w14:noFill/>
            <w14:prstDash w14:val="solid"/>
            <w14:bevel/>
          </w14:textOutline>
        </w:rPr>
      </w:pPr>
      <w:r w:rsidRPr="00D05EE2">
        <w:rPr>
          <w:rFonts w:ascii="Cambria" w:eastAsia="Calibri" w:hAnsi="Cambria" w:cs="Calibri"/>
          <w:b/>
          <w:color w:val="000000"/>
          <w:sz w:val="20"/>
          <w:szCs w:val="20"/>
          <w:u w:color="000000"/>
          <w:bdr w:val="nil"/>
          <w14:textOutline w14:w="0" w14:cap="flat" w14:cmpd="sng" w14:algn="ctr">
            <w14:noFill/>
            <w14:prstDash w14:val="solid"/>
            <w14:bevel/>
          </w14:textOutline>
        </w:rPr>
        <w:t xml:space="preserve">Charts on progress with friendly settlement agreements </w:t>
      </w:r>
    </w:p>
    <w:p w14:paraId="31C9BD77"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23765168" w14:textId="1A83C535" w:rsidR="002E260B" w:rsidRPr="00B007E3"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007E3">
        <w:rPr>
          <w:rFonts w:eastAsia="Calibri" w:cs="Calibri"/>
          <w:bCs/>
          <w:color w:val="000000"/>
          <w:u w:color="000000"/>
          <w:bdr w:val="nil"/>
          <w14:textOutline w14:w="0" w14:cap="flat" w14:cmpd="sng" w14:algn="ctr">
            <w14:noFill/>
            <w14:prstDash w14:val="solid"/>
            <w14:bevel/>
          </w14:textOutline>
        </w:rPr>
        <w:t xml:space="preserve">Based on the above, following is a graphic description of progress observed with the implementation of friendly settlement agreements in 2022: </w:t>
      </w:r>
    </w:p>
    <w:p w14:paraId="0D1DBEBA"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492AA509"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r w:rsidRPr="00AC7438">
        <w:rPr>
          <w:rFonts w:ascii="Cambria" w:eastAsia="Calibri" w:hAnsi="Cambria" w:cs="Calibri"/>
          <w:bCs/>
          <w:color w:val="000000"/>
          <w:sz w:val="22"/>
          <w:szCs w:val="22"/>
          <w:u w:color="000000"/>
          <w:bdr w:val="nil"/>
          <w14:textOutline w14:w="0" w14:cap="flat" w14:cmpd="sng" w14:algn="ctr">
            <w14:noFill/>
            <w14:prstDash w14:val="solid"/>
            <w14:bevel/>
          </w14:textOutline>
        </w:rPr>
        <w:t xml:space="preserve"> </w:t>
      </w:r>
    </w:p>
    <w:p w14:paraId="040A1E58" w14:textId="561ED49C" w:rsidR="002E260B" w:rsidRPr="00AC7438" w:rsidRDefault="003906C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r w:rsidRPr="00C57C0F">
        <w:rPr>
          <w:noProof/>
        </w:rPr>
        <w:drawing>
          <wp:anchor distT="0" distB="0" distL="114300" distR="114300" simplePos="0" relativeHeight="251658240" behindDoc="0" locked="0" layoutInCell="1" allowOverlap="1" wp14:anchorId="0BA57E62" wp14:editId="77CF519D">
            <wp:simplePos x="0" y="0"/>
            <wp:positionH relativeFrom="margin">
              <wp:align>center</wp:align>
            </wp:positionH>
            <wp:positionV relativeFrom="paragraph">
              <wp:posOffset>11605</wp:posOffset>
            </wp:positionV>
            <wp:extent cx="4587240" cy="2678430"/>
            <wp:effectExtent l="0" t="0" r="3810" b="7620"/>
            <wp:wrapSquare wrapText="bothSides"/>
            <wp:docPr id="6" name="Chart 6">
              <a:extLst xmlns:a="http://schemas.openxmlformats.org/drawingml/2006/main">
                <a:ext uri="{FF2B5EF4-FFF2-40B4-BE49-F238E27FC236}">
                  <a16:creationId xmlns:a16="http://schemas.microsoft.com/office/drawing/2014/main" id="{632A4BDF-0279-4920-B2BE-0C83820D82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133AC1CE" w14:textId="5378A355"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r w:rsidRPr="00AC7438">
        <w:rPr>
          <w:rFonts w:ascii="Cambria" w:eastAsia="Calibri" w:hAnsi="Cambria" w:cs="Calibri"/>
          <w:bCs/>
          <w:color w:val="000000"/>
          <w:sz w:val="22"/>
          <w:szCs w:val="22"/>
          <w:u w:color="000000"/>
          <w:bdr w:val="nil"/>
          <w14:textOutline w14:w="0" w14:cap="flat" w14:cmpd="sng" w14:algn="ctr">
            <w14:noFill/>
            <w14:prstDash w14:val="solid"/>
            <w14:bevel/>
          </w14:textOutline>
        </w:rPr>
        <w:t xml:space="preserve"> </w:t>
      </w:r>
    </w:p>
    <w:p w14:paraId="5029B947"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6BB5B088"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r w:rsidRPr="00AC7438">
        <w:rPr>
          <w:rFonts w:ascii="Cambria" w:eastAsia="Calibri" w:hAnsi="Cambria" w:cs="Calibri"/>
          <w:bCs/>
          <w:color w:val="000000"/>
          <w:sz w:val="22"/>
          <w:szCs w:val="22"/>
          <w:u w:color="000000"/>
          <w:bdr w:val="nil"/>
          <w14:textOutline w14:w="0" w14:cap="flat" w14:cmpd="sng" w14:algn="ctr">
            <w14:noFill/>
            <w14:prstDash w14:val="solid"/>
            <w14:bevel/>
          </w14:textOutline>
        </w:rPr>
        <w:t xml:space="preserve"> </w:t>
      </w:r>
    </w:p>
    <w:p w14:paraId="34424625"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6D89D347"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5B7B42D4"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22BF988F"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2B4C5BC0"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2B689843"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66A60F10"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0B9CD905"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1B3E4021"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3E2EE504"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281498AE" w14:textId="77777777" w:rsidR="002E260B"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7BC925B5" w14:textId="77777777" w:rsidR="008E7B76" w:rsidRDefault="008E7B76"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3A570FAB" w14:textId="2D49CB17" w:rsidR="008E7B76" w:rsidRDefault="008E7B76"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74642177" w14:textId="67D6D6DB" w:rsidR="008E7B76" w:rsidRDefault="008E7B76"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r w:rsidRPr="00C57C0F">
        <w:rPr>
          <w:noProof/>
        </w:rPr>
        <w:lastRenderedPageBreak/>
        <w:drawing>
          <wp:anchor distT="0" distB="0" distL="114300" distR="114300" simplePos="0" relativeHeight="251658241" behindDoc="0" locked="0" layoutInCell="1" allowOverlap="1" wp14:anchorId="3245BDDD" wp14:editId="6EF5B1C3">
            <wp:simplePos x="0" y="0"/>
            <wp:positionH relativeFrom="margin">
              <wp:align>right</wp:align>
            </wp:positionH>
            <wp:positionV relativeFrom="paragraph">
              <wp:posOffset>202280</wp:posOffset>
            </wp:positionV>
            <wp:extent cx="5943600" cy="2470150"/>
            <wp:effectExtent l="0" t="0" r="0" b="6350"/>
            <wp:wrapSquare wrapText="bothSides"/>
            <wp:docPr id="8" name="Chart 8">
              <a:extLst xmlns:a="http://schemas.openxmlformats.org/drawingml/2006/main">
                <a:ext uri="{FF2B5EF4-FFF2-40B4-BE49-F238E27FC236}">
                  <a16:creationId xmlns:a16="http://schemas.microsoft.com/office/drawing/2014/main" id="{ACD2E85F-00A6-420F-9587-BD4406274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4EF62F54" w14:textId="77777777" w:rsidR="00D90A3A" w:rsidRPr="00D90A3A" w:rsidRDefault="00D90A3A" w:rsidP="00D90A3A">
      <w:pPr>
        <w:pBdr>
          <w:top w:val="nil"/>
          <w:left w:val="nil"/>
          <w:bottom w:val="nil"/>
          <w:right w:val="nil"/>
          <w:between w:val="nil"/>
          <w:bar w:val="nil"/>
        </w:pBdr>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322E0109" w14:textId="14BD501D" w:rsidR="00025DC9" w:rsidRPr="00025DC9" w:rsidRDefault="007B097C" w:rsidP="00025DC9">
      <w:pPr>
        <w:pBdr>
          <w:top w:val="nil"/>
          <w:left w:val="nil"/>
          <w:bottom w:val="nil"/>
          <w:right w:val="nil"/>
          <w:between w:val="nil"/>
          <w:bar w:val="nil"/>
        </w:pBdr>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r w:rsidRPr="00C57C0F">
        <w:rPr>
          <w:noProof/>
        </w:rPr>
        <w:drawing>
          <wp:anchor distT="0" distB="0" distL="114300" distR="114300" simplePos="0" relativeHeight="251658242" behindDoc="0" locked="0" layoutInCell="1" allowOverlap="1" wp14:anchorId="5E8EE5DD" wp14:editId="7AE69181">
            <wp:simplePos x="0" y="0"/>
            <wp:positionH relativeFrom="margin">
              <wp:align>center</wp:align>
            </wp:positionH>
            <wp:positionV relativeFrom="paragraph">
              <wp:posOffset>482</wp:posOffset>
            </wp:positionV>
            <wp:extent cx="4587875" cy="2867025"/>
            <wp:effectExtent l="0" t="0" r="3175" b="9525"/>
            <wp:wrapSquare wrapText="bothSides"/>
            <wp:docPr id="7" name="Chart 7">
              <a:extLst xmlns:a="http://schemas.openxmlformats.org/drawingml/2006/main">
                <a:ext uri="{FF2B5EF4-FFF2-40B4-BE49-F238E27FC236}">
                  <a16:creationId xmlns:a16="http://schemas.microsoft.com/office/drawing/2014/main" id="{1A082C3E-A3F0-4B0C-ABD5-71283C46EF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2725CE28"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1089B512"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6DF36ECF"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1D585C66"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0578E129"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263FCCBA"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59C3524F"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787DD90B"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0714E505"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454385E4"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6EAAD466"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545F1F97"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55124353"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7BCEB65C"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0827650C"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6E236F67"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1EC11611" w14:textId="77777777" w:rsidR="00025DC9" w:rsidRDefault="00025DC9"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2EE61629" w14:textId="77777777" w:rsidR="002703DB" w:rsidRDefault="002703D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5AC636BC" w14:textId="27C0F034" w:rsidR="002E260B" w:rsidRPr="002703DB" w:rsidRDefault="002E260B" w:rsidP="00933F91">
      <w:pPr>
        <w:pStyle w:val="ListParagraph"/>
        <w:numPr>
          <w:ilvl w:val="0"/>
          <w:numId w:val="63"/>
        </w:numPr>
        <w:pBdr>
          <w:top w:val="nil"/>
          <w:left w:val="nil"/>
          <w:bottom w:val="nil"/>
          <w:right w:val="nil"/>
          <w:between w:val="nil"/>
          <w:bar w:val="nil"/>
        </w:pBdr>
        <w:ind w:hanging="720"/>
        <w:jc w:val="both"/>
        <w:rPr>
          <w:rFonts w:ascii="Cambria" w:eastAsia="Calibri" w:hAnsi="Cambria" w:cs="Calibri"/>
          <w:b/>
          <w:color w:val="000000"/>
          <w:sz w:val="20"/>
          <w:szCs w:val="20"/>
          <w:u w:color="000000"/>
          <w:bdr w:val="nil"/>
          <w14:textOutline w14:w="0" w14:cap="flat" w14:cmpd="sng" w14:algn="ctr">
            <w14:noFill/>
            <w14:prstDash w14:val="solid"/>
            <w14:bevel/>
          </w14:textOutline>
        </w:rPr>
      </w:pPr>
      <w:r w:rsidRPr="002703DB">
        <w:rPr>
          <w:rFonts w:ascii="Cambria" w:eastAsia="Calibri" w:hAnsi="Cambria" w:cs="Calibri"/>
          <w:b/>
          <w:color w:val="000000"/>
          <w:sz w:val="20"/>
          <w:szCs w:val="20"/>
          <w:u w:color="000000"/>
          <w:bdr w:val="nil"/>
          <w14:textOutline w14:w="0" w14:cap="flat" w14:cmpd="sng" w14:algn="ctr">
            <w14:noFill/>
            <w14:prstDash w14:val="solid"/>
            <w14:bevel/>
          </w14:textOutline>
        </w:rPr>
        <w:t>New friendly settlement agreements signed</w:t>
      </w:r>
    </w:p>
    <w:p w14:paraId="012E9FF2"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74BAABA0" w14:textId="3A1F738F" w:rsidR="002E260B" w:rsidRPr="002E0360"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2E0360">
        <w:rPr>
          <w:rFonts w:eastAsia="Calibri" w:cs="Calibri"/>
          <w:bCs/>
          <w:color w:val="000000"/>
          <w:u w:color="000000"/>
          <w:bdr w:val="nil"/>
          <w14:textOutline w14:w="0" w14:cap="flat" w14:cmpd="sng" w14:algn="ctr">
            <w14:noFill/>
            <w14:prstDash w14:val="solid"/>
            <w14:bevel/>
          </w14:textOutline>
        </w:rPr>
        <w:t xml:space="preserve">In 2022, a total of 29 new friendly settlement agreements were signed. They are listed next, in chronological order by the date they were signed: </w:t>
      </w:r>
    </w:p>
    <w:p w14:paraId="3857197B"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tbl>
      <w:tblPr>
        <w:tblW w:w="8543"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513"/>
        <w:gridCol w:w="1295"/>
        <w:gridCol w:w="4334"/>
        <w:gridCol w:w="957"/>
        <w:gridCol w:w="1444"/>
      </w:tblGrid>
      <w:tr w:rsidR="00B342BF" w:rsidRPr="00C57C0F" w14:paraId="5FFAF596" w14:textId="77777777">
        <w:trPr>
          <w:cantSplit/>
          <w:trHeight w:val="450"/>
          <w:tblHeader/>
          <w:jc w:val="center"/>
        </w:trPr>
        <w:tc>
          <w:tcPr>
            <w:tcW w:w="513" w:type="dxa"/>
            <w:vMerge w:val="restart"/>
            <w:tcBorders>
              <w:top w:val="single" w:sz="4" w:space="0" w:color="4472C4"/>
              <w:left w:val="single" w:sz="4" w:space="0" w:color="4472C4"/>
              <w:bottom w:val="single" w:sz="4" w:space="0" w:color="4472C4"/>
              <w:right w:val="nil"/>
            </w:tcBorders>
            <w:shd w:val="clear" w:color="auto" w:fill="002060"/>
            <w:vAlign w:val="center"/>
            <w:hideMark/>
          </w:tcPr>
          <w:p w14:paraId="630C4DDF" w14:textId="77777777" w:rsidR="00B342BF" w:rsidRPr="00C57C0F" w:rsidRDefault="00B342BF">
            <w:pPr>
              <w:jc w:val="center"/>
              <w:rPr>
                <w:rFonts w:ascii="Cambria" w:eastAsia="Times New Roman" w:hAnsi="Cambria" w:cs="Calibri"/>
                <w:b/>
                <w:bCs/>
                <w:color w:val="FFFFFF" w:themeColor="background1"/>
                <w:sz w:val="18"/>
                <w:szCs w:val="18"/>
              </w:rPr>
            </w:pPr>
            <w:r w:rsidRPr="00C57C0F">
              <w:rPr>
                <w:rFonts w:ascii="Cambria" w:eastAsia="Times New Roman" w:hAnsi="Cambria" w:cs="Calibri"/>
                <w:b/>
                <w:bCs/>
                <w:color w:val="FFFFFF" w:themeColor="background1"/>
                <w:sz w:val="18"/>
                <w:szCs w:val="18"/>
              </w:rPr>
              <w:t>No.</w:t>
            </w:r>
          </w:p>
        </w:tc>
        <w:tc>
          <w:tcPr>
            <w:tcW w:w="1295" w:type="dxa"/>
            <w:vMerge w:val="restart"/>
            <w:tcBorders>
              <w:top w:val="single" w:sz="4" w:space="0" w:color="4472C4"/>
              <w:left w:val="nil"/>
              <w:bottom w:val="single" w:sz="4" w:space="0" w:color="4472C4"/>
              <w:right w:val="nil"/>
            </w:tcBorders>
            <w:shd w:val="clear" w:color="auto" w:fill="002060"/>
            <w:vAlign w:val="center"/>
            <w:hideMark/>
          </w:tcPr>
          <w:p w14:paraId="6A144079" w14:textId="77777777" w:rsidR="00B342BF" w:rsidRPr="00C57C0F" w:rsidRDefault="00B342BF">
            <w:pPr>
              <w:jc w:val="center"/>
              <w:rPr>
                <w:rFonts w:ascii="Cambria" w:eastAsia="Times New Roman" w:hAnsi="Cambria" w:cs="Calibri"/>
                <w:b/>
                <w:bCs/>
                <w:color w:val="FFFFFF" w:themeColor="background1"/>
                <w:sz w:val="18"/>
                <w:szCs w:val="18"/>
              </w:rPr>
            </w:pPr>
            <w:r w:rsidRPr="00C57C0F">
              <w:rPr>
                <w:rFonts w:ascii="Cambria" w:eastAsia="Times New Roman" w:hAnsi="Cambria" w:cs="Calibri"/>
                <w:b/>
                <w:bCs/>
                <w:color w:val="FFFFFF" w:themeColor="background1"/>
                <w:sz w:val="18"/>
                <w:szCs w:val="18"/>
              </w:rPr>
              <w:t>Matter</w:t>
            </w:r>
          </w:p>
        </w:tc>
        <w:tc>
          <w:tcPr>
            <w:tcW w:w="4334" w:type="dxa"/>
            <w:vMerge w:val="restart"/>
            <w:tcBorders>
              <w:top w:val="single" w:sz="4" w:space="0" w:color="4472C4"/>
              <w:left w:val="nil"/>
              <w:bottom w:val="single" w:sz="4" w:space="0" w:color="4472C4"/>
              <w:right w:val="nil"/>
            </w:tcBorders>
            <w:shd w:val="clear" w:color="auto" w:fill="002060"/>
            <w:vAlign w:val="center"/>
            <w:hideMark/>
          </w:tcPr>
          <w:p w14:paraId="25FA4158" w14:textId="77777777" w:rsidR="00B342BF" w:rsidRPr="00C57C0F" w:rsidRDefault="00B342BF">
            <w:pPr>
              <w:jc w:val="center"/>
              <w:rPr>
                <w:rFonts w:ascii="Cambria" w:eastAsia="Times New Roman" w:hAnsi="Cambria" w:cs="Calibri"/>
                <w:b/>
                <w:bCs/>
                <w:color w:val="FFFFFF" w:themeColor="background1"/>
                <w:sz w:val="18"/>
                <w:szCs w:val="18"/>
              </w:rPr>
            </w:pPr>
            <w:r w:rsidRPr="00C57C0F">
              <w:rPr>
                <w:rFonts w:ascii="Cambria" w:eastAsia="Times New Roman" w:hAnsi="Cambria" w:cs="Calibri"/>
                <w:b/>
                <w:bCs/>
                <w:color w:val="FFFFFF" w:themeColor="background1"/>
                <w:sz w:val="18"/>
                <w:szCs w:val="18"/>
              </w:rPr>
              <w:t>Name</w:t>
            </w:r>
          </w:p>
        </w:tc>
        <w:tc>
          <w:tcPr>
            <w:tcW w:w="957" w:type="dxa"/>
            <w:vMerge w:val="restart"/>
            <w:tcBorders>
              <w:top w:val="single" w:sz="4" w:space="0" w:color="4472C4"/>
              <w:left w:val="nil"/>
              <w:bottom w:val="single" w:sz="4" w:space="0" w:color="4472C4"/>
              <w:right w:val="nil"/>
            </w:tcBorders>
            <w:shd w:val="clear" w:color="auto" w:fill="002060"/>
            <w:vAlign w:val="center"/>
            <w:hideMark/>
          </w:tcPr>
          <w:p w14:paraId="0CA98937" w14:textId="77777777" w:rsidR="00B342BF" w:rsidRPr="00C57C0F" w:rsidRDefault="00B342BF">
            <w:pPr>
              <w:jc w:val="center"/>
              <w:rPr>
                <w:rFonts w:ascii="Cambria" w:eastAsia="Times New Roman" w:hAnsi="Cambria" w:cs="Calibri"/>
                <w:b/>
                <w:bCs/>
                <w:color w:val="FFFFFF" w:themeColor="background1"/>
                <w:sz w:val="18"/>
                <w:szCs w:val="18"/>
              </w:rPr>
            </w:pPr>
            <w:r w:rsidRPr="00C57C0F">
              <w:rPr>
                <w:rFonts w:ascii="Cambria" w:eastAsia="Times New Roman" w:hAnsi="Cambria" w:cs="Calibri"/>
                <w:b/>
                <w:bCs/>
                <w:color w:val="FFFFFF" w:themeColor="background1"/>
                <w:sz w:val="18"/>
                <w:szCs w:val="18"/>
              </w:rPr>
              <w:t>Country</w:t>
            </w:r>
          </w:p>
        </w:tc>
        <w:tc>
          <w:tcPr>
            <w:tcW w:w="1444" w:type="dxa"/>
            <w:vMerge w:val="restart"/>
            <w:tcBorders>
              <w:top w:val="single" w:sz="4" w:space="0" w:color="4472C4"/>
              <w:left w:val="nil"/>
              <w:bottom w:val="single" w:sz="4" w:space="0" w:color="4472C4"/>
              <w:right w:val="single" w:sz="4" w:space="0" w:color="4472C4"/>
            </w:tcBorders>
            <w:shd w:val="clear" w:color="auto" w:fill="002060"/>
            <w:vAlign w:val="center"/>
            <w:hideMark/>
          </w:tcPr>
          <w:p w14:paraId="5F01B7F4" w14:textId="77777777" w:rsidR="00B342BF" w:rsidRPr="00C57C0F" w:rsidRDefault="00B342BF">
            <w:pPr>
              <w:jc w:val="center"/>
              <w:rPr>
                <w:rFonts w:ascii="Cambria" w:eastAsia="Times New Roman" w:hAnsi="Cambria" w:cs="Calibri"/>
                <w:b/>
                <w:bCs/>
                <w:color w:val="FFFFFF" w:themeColor="background1"/>
                <w:sz w:val="18"/>
                <w:szCs w:val="18"/>
              </w:rPr>
            </w:pPr>
            <w:r w:rsidRPr="00C57C0F">
              <w:rPr>
                <w:rFonts w:ascii="Cambria" w:eastAsia="Times New Roman" w:hAnsi="Cambria" w:cs="Calibri"/>
                <w:b/>
                <w:bCs/>
                <w:color w:val="FFFFFF" w:themeColor="background1"/>
                <w:sz w:val="18"/>
                <w:szCs w:val="18"/>
              </w:rPr>
              <w:t>Date of signature of FSA (YY/MM/DD)</w:t>
            </w:r>
          </w:p>
        </w:tc>
      </w:tr>
      <w:tr w:rsidR="00B342BF" w:rsidRPr="00C57C0F" w14:paraId="011BC28B" w14:textId="77777777">
        <w:trPr>
          <w:trHeight w:val="450"/>
          <w:jc w:val="center"/>
        </w:trPr>
        <w:tc>
          <w:tcPr>
            <w:tcW w:w="513" w:type="dxa"/>
            <w:vMerge/>
            <w:shd w:val="clear" w:color="auto" w:fill="002060"/>
            <w:hideMark/>
          </w:tcPr>
          <w:p w14:paraId="39AC758D" w14:textId="77777777" w:rsidR="00B342BF" w:rsidRPr="00C57C0F" w:rsidRDefault="00B342BF">
            <w:pPr>
              <w:rPr>
                <w:rFonts w:ascii="Cambria" w:eastAsia="Times New Roman" w:hAnsi="Cambria" w:cs="Calibri"/>
                <w:b/>
                <w:bCs/>
                <w:color w:val="000000"/>
                <w:sz w:val="18"/>
                <w:szCs w:val="18"/>
              </w:rPr>
            </w:pPr>
          </w:p>
        </w:tc>
        <w:tc>
          <w:tcPr>
            <w:tcW w:w="1295" w:type="dxa"/>
            <w:vMerge/>
            <w:shd w:val="clear" w:color="auto" w:fill="002060"/>
            <w:hideMark/>
          </w:tcPr>
          <w:p w14:paraId="282677F1" w14:textId="77777777" w:rsidR="00B342BF" w:rsidRPr="00C57C0F" w:rsidRDefault="00B342BF">
            <w:pPr>
              <w:rPr>
                <w:rFonts w:ascii="Cambria" w:eastAsia="Times New Roman" w:hAnsi="Cambria" w:cs="Calibri"/>
                <w:b/>
                <w:bCs/>
                <w:color w:val="000000"/>
                <w:sz w:val="18"/>
                <w:szCs w:val="18"/>
              </w:rPr>
            </w:pPr>
          </w:p>
        </w:tc>
        <w:tc>
          <w:tcPr>
            <w:tcW w:w="4334" w:type="dxa"/>
            <w:vMerge/>
            <w:shd w:val="clear" w:color="auto" w:fill="002060"/>
            <w:hideMark/>
          </w:tcPr>
          <w:p w14:paraId="66D42A98" w14:textId="77777777" w:rsidR="00B342BF" w:rsidRPr="00C57C0F" w:rsidRDefault="00B342BF">
            <w:pPr>
              <w:rPr>
                <w:rFonts w:ascii="Cambria" w:eastAsia="Times New Roman" w:hAnsi="Cambria" w:cs="Calibri"/>
                <w:b/>
                <w:bCs/>
                <w:color w:val="000000"/>
                <w:sz w:val="18"/>
                <w:szCs w:val="18"/>
              </w:rPr>
            </w:pPr>
          </w:p>
        </w:tc>
        <w:tc>
          <w:tcPr>
            <w:tcW w:w="957" w:type="dxa"/>
            <w:vMerge/>
            <w:shd w:val="clear" w:color="auto" w:fill="002060"/>
            <w:hideMark/>
          </w:tcPr>
          <w:p w14:paraId="74730572" w14:textId="77777777" w:rsidR="00B342BF" w:rsidRPr="00C57C0F" w:rsidRDefault="00B342BF">
            <w:pPr>
              <w:rPr>
                <w:rFonts w:ascii="Cambria" w:eastAsia="Times New Roman" w:hAnsi="Cambria" w:cs="Calibri"/>
                <w:b/>
                <w:bCs/>
                <w:color w:val="000000"/>
                <w:sz w:val="18"/>
                <w:szCs w:val="18"/>
              </w:rPr>
            </w:pPr>
          </w:p>
        </w:tc>
        <w:tc>
          <w:tcPr>
            <w:tcW w:w="1444" w:type="dxa"/>
            <w:vMerge/>
            <w:shd w:val="clear" w:color="auto" w:fill="002060"/>
            <w:hideMark/>
          </w:tcPr>
          <w:p w14:paraId="7BA4ECC2" w14:textId="77777777" w:rsidR="00B342BF" w:rsidRPr="00C57C0F" w:rsidRDefault="00B342BF">
            <w:pPr>
              <w:rPr>
                <w:rFonts w:ascii="Cambria" w:eastAsia="Times New Roman" w:hAnsi="Cambria" w:cs="Calibri"/>
                <w:b/>
                <w:bCs/>
                <w:color w:val="000000"/>
                <w:sz w:val="18"/>
                <w:szCs w:val="18"/>
              </w:rPr>
            </w:pPr>
          </w:p>
        </w:tc>
      </w:tr>
      <w:tr w:rsidR="00B342BF" w:rsidRPr="00C57C0F" w14:paraId="0765C830" w14:textId="77777777">
        <w:trPr>
          <w:trHeight w:val="395"/>
          <w:jc w:val="center"/>
        </w:trPr>
        <w:tc>
          <w:tcPr>
            <w:tcW w:w="513" w:type="dxa"/>
            <w:shd w:val="clear" w:color="auto" w:fill="auto"/>
            <w:hideMark/>
          </w:tcPr>
          <w:p w14:paraId="21030FE9"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1</w:t>
            </w:r>
          </w:p>
        </w:tc>
        <w:tc>
          <w:tcPr>
            <w:tcW w:w="1295" w:type="dxa"/>
            <w:shd w:val="clear" w:color="auto" w:fill="auto"/>
            <w:hideMark/>
          </w:tcPr>
          <w:p w14:paraId="0D862714"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13.888</w:t>
            </w:r>
          </w:p>
        </w:tc>
        <w:tc>
          <w:tcPr>
            <w:tcW w:w="4334" w:type="dxa"/>
            <w:shd w:val="clear" w:color="auto" w:fill="auto"/>
            <w:hideMark/>
          </w:tcPr>
          <w:p w14:paraId="6E95E98A"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Diego Pablo Paredes</w:t>
            </w:r>
          </w:p>
        </w:tc>
        <w:tc>
          <w:tcPr>
            <w:tcW w:w="957" w:type="dxa"/>
            <w:shd w:val="clear" w:color="auto" w:fill="auto"/>
            <w:hideMark/>
          </w:tcPr>
          <w:p w14:paraId="082D4F55"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AR</w:t>
            </w:r>
          </w:p>
        </w:tc>
        <w:tc>
          <w:tcPr>
            <w:tcW w:w="1444" w:type="dxa"/>
            <w:shd w:val="clear" w:color="auto" w:fill="auto"/>
            <w:hideMark/>
          </w:tcPr>
          <w:p w14:paraId="4D4912DF"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2022.02.23</w:t>
            </w:r>
          </w:p>
        </w:tc>
      </w:tr>
      <w:tr w:rsidR="00B342BF" w:rsidRPr="00C57C0F" w14:paraId="01E08DCB" w14:textId="77777777">
        <w:trPr>
          <w:trHeight w:val="341"/>
          <w:jc w:val="center"/>
        </w:trPr>
        <w:tc>
          <w:tcPr>
            <w:tcW w:w="513" w:type="dxa"/>
            <w:shd w:val="clear" w:color="auto" w:fill="D9E2F3"/>
            <w:hideMark/>
          </w:tcPr>
          <w:p w14:paraId="66BD7E60"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2</w:t>
            </w:r>
          </w:p>
        </w:tc>
        <w:tc>
          <w:tcPr>
            <w:tcW w:w="1295" w:type="dxa"/>
            <w:shd w:val="clear" w:color="auto" w:fill="D9E2F3"/>
            <w:hideMark/>
          </w:tcPr>
          <w:p w14:paraId="0EA617C6"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13.869</w:t>
            </w:r>
          </w:p>
        </w:tc>
        <w:tc>
          <w:tcPr>
            <w:tcW w:w="4334" w:type="dxa"/>
            <w:shd w:val="clear" w:color="auto" w:fill="D9E2F3"/>
            <w:hideMark/>
          </w:tcPr>
          <w:p w14:paraId="14EAB3D1"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Silvia Mónica Severini</w:t>
            </w:r>
          </w:p>
        </w:tc>
        <w:tc>
          <w:tcPr>
            <w:tcW w:w="957" w:type="dxa"/>
            <w:shd w:val="clear" w:color="auto" w:fill="D9E2F3"/>
            <w:hideMark/>
          </w:tcPr>
          <w:p w14:paraId="0B0104D6"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AR</w:t>
            </w:r>
          </w:p>
        </w:tc>
        <w:tc>
          <w:tcPr>
            <w:tcW w:w="1444" w:type="dxa"/>
            <w:shd w:val="clear" w:color="auto" w:fill="D9E2F3"/>
            <w:hideMark/>
          </w:tcPr>
          <w:p w14:paraId="41234A27"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2022.02.23</w:t>
            </w:r>
          </w:p>
        </w:tc>
      </w:tr>
      <w:tr w:rsidR="00B342BF" w:rsidRPr="00C57C0F" w14:paraId="5CD6FDDE" w14:textId="77777777">
        <w:trPr>
          <w:trHeight w:val="350"/>
          <w:jc w:val="center"/>
        </w:trPr>
        <w:tc>
          <w:tcPr>
            <w:tcW w:w="513" w:type="dxa"/>
            <w:shd w:val="clear" w:color="auto" w:fill="auto"/>
            <w:hideMark/>
          </w:tcPr>
          <w:p w14:paraId="1EAC4D23"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lastRenderedPageBreak/>
              <w:t>3</w:t>
            </w:r>
          </w:p>
        </w:tc>
        <w:tc>
          <w:tcPr>
            <w:tcW w:w="1295" w:type="dxa"/>
            <w:shd w:val="clear" w:color="auto" w:fill="auto"/>
            <w:hideMark/>
          </w:tcPr>
          <w:p w14:paraId="5317E785"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14.536</w:t>
            </w:r>
          </w:p>
        </w:tc>
        <w:tc>
          <w:tcPr>
            <w:tcW w:w="4334" w:type="dxa"/>
            <w:shd w:val="clear" w:color="auto" w:fill="auto"/>
            <w:hideMark/>
          </w:tcPr>
          <w:p w14:paraId="5719C5D0"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 xml:space="preserve">Eduardo Hugo Molina Zequeira </w:t>
            </w:r>
          </w:p>
        </w:tc>
        <w:tc>
          <w:tcPr>
            <w:tcW w:w="957" w:type="dxa"/>
            <w:shd w:val="clear" w:color="auto" w:fill="auto"/>
            <w:hideMark/>
          </w:tcPr>
          <w:p w14:paraId="12C69701"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AR</w:t>
            </w:r>
          </w:p>
        </w:tc>
        <w:tc>
          <w:tcPr>
            <w:tcW w:w="1444" w:type="dxa"/>
            <w:shd w:val="clear" w:color="auto" w:fill="auto"/>
            <w:hideMark/>
          </w:tcPr>
          <w:p w14:paraId="679BBE0E"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2022.02.23</w:t>
            </w:r>
          </w:p>
        </w:tc>
      </w:tr>
      <w:tr w:rsidR="00B342BF" w:rsidRPr="00C57C0F" w14:paraId="518C7195" w14:textId="77777777">
        <w:trPr>
          <w:trHeight w:val="350"/>
          <w:jc w:val="center"/>
        </w:trPr>
        <w:tc>
          <w:tcPr>
            <w:tcW w:w="513" w:type="dxa"/>
            <w:shd w:val="clear" w:color="auto" w:fill="D9E2F3"/>
            <w:hideMark/>
          </w:tcPr>
          <w:p w14:paraId="3ED6253C"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4</w:t>
            </w:r>
          </w:p>
        </w:tc>
        <w:tc>
          <w:tcPr>
            <w:tcW w:w="1295" w:type="dxa"/>
            <w:shd w:val="clear" w:color="auto" w:fill="D9E2F3"/>
            <w:hideMark/>
          </w:tcPr>
          <w:p w14:paraId="385F44BE"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14.669</w:t>
            </w:r>
          </w:p>
        </w:tc>
        <w:tc>
          <w:tcPr>
            <w:tcW w:w="4334" w:type="dxa"/>
            <w:shd w:val="clear" w:color="auto" w:fill="D9E2F3"/>
            <w:hideMark/>
          </w:tcPr>
          <w:p w14:paraId="39DCED9D"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Mariano Bejarano</w:t>
            </w:r>
          </w:p>
        </w:tc>
        <w:tc>
          <w:tcPr>
            <w:tcW w:w="957" w:type="dxa"/>
            <w:shd w:val="clear" w:color="auto" w:fill="D9E2F3"/>
            <w:hideMark/>
          </w:tcPr>
          <w:p w14:paraId="6B94698A"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AR</w:t>
            </w:r>
          </w:p>
        </w:tc>
        <w:tc>
          <w:tcPr>
            <w:tcW w:w="1444" w:type="dxa"/>
            <w:shd w:val="clear" w:color="auto" w:fill="D9E2F3"/>
            <w:hideMark/>
          </w:tcPr>
          <w:p w14:paraId="37A1B43E"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2022.02.23</w:t>
            </w:r>
          </w:p>
        </w:tc>
      </w:tr>
      <w:tr w:rsidR="00B342BF" w:rsidRPr="00C57C0F" w14:paraId="1D04BA60" w14:textId="77777777">
        <w:trPr>
          <w:trHeight w:val="341"/>
          <w:jc w:val="center"/>
        </w:trPr>
        <w:tc>
          <w:tcPr>
            <w:tcW w:w="513" w:type="dxa"/>
            <w:shd w:val="clear" w:color="auto" w:fill="auto"/>
            <w:hideMark/>
          </w:tcPr>
          <w:p w14:paraId="13EE50C6"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5</w:t>
            </w:r>
          </w:p>
        </w:tc>
        <w:tc>
          <w:tcPr>
            <w:tcW w:w="1295" w:type="dxa"/>
            <w:shd w:val="clear" w:color="auto" w:fill="auto"/>
            <w:hideMark/>
          </w:tcPr>
          <w:p w14:paraId="389D8822"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13.125</w:t>
            </w:r>
          </w:p>
        </w:tc>
        <w:tc>
          <w:tcPr>
            <w:tcW w:w="4334" w:type="dxa"/>
            <w:shd w:val="clear" w:color="auto" w:fill="auto"/>
            <w:hideMark/>
          </w:tcPr>
          <w:p w14:paraId="0E7C4FC7" w14:textId="77777777" w:rsidR="00B342BF" w:rsidRPr="00352AC9" w:rsidRDefault="00B342BF">
            <w:pPr>
              <w:jc w:val="center"/>
              <w:rPr>
                <w:rFonts w:ascii="Cambria" w:eastAsia="Times New Roman" w:hAnsi="Cambria" w:cs="Calibri"/>
                <w:color w:val="000000"/>
                <w:sz w:val="18"/>
                <w:szCs w:val="18"/>
                <w:lang w:val="es-AR"/>
              </w:rPr>
            </w:pPr>
            <w:r w:rsidRPr="00352AC9">
              <w:rPr>
                <w:rFonts w:ascii="Cambria" w:eastAsia="Times New Roman" w:hAnsi="Cambria" w:cs="Calibri"/>
                <w:color w:val="000000"/>
                <w:sz w:val="18"/>
                <w:szCs w:val="18"/>
                <w:lang w:val="es-AR"/>
              </w:rPr>
              <w:t>Ricardo Antonio Elías Puente and relatives</w:t>
            </w:r>
          </w:p>
        </w:tc>
        <w:tc>
          <w:tcPr>
            <w:tcW w:w="957" w:type="dxa"/>
            <w:shd w:val="clear" w:color="auto" w:fill="auto"/>
            <w:hideMark/>
          </w:tcPr>
          <w:p w14:paraId="520D4D73"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CO</w:t>
            </w:r>
          </w:p>
        </w:tc>
        <w:tc>
          <w:tcPr>
            <w:tcW w:w="1444" w:type="dxa"/>
            <w:shd w:val="clear" w:color="auto" w:fill="auto"/>
            <w:hideMark/>
          </w:tcPr>
          <w:p w14:paraId="63610B8B"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2022.03.01</w:t>
            </w:r>
          </w:p>
        </w:tc>
      </w:tr>
      <w:tr w:rsidR="00B342BF" w:rsidRPr="00C57C0F" w14:paraId="0BE67086" w14:textId="77777777">
        <w:trPr>
          <w:trHeight w:val="350"/>
          <w:jc w:val="center"/>
        </w:trPr>
        <w:tc>
          <w:tcPr>
            <w:tcW w:w="513" w:type="dxa"/>
            <w:shd w:val="clear" w:color="auto" w:fill="D9E2F3"/>
            <w:hideMark/>
          </w:tcPr>
          <w:p w14:paraId="596EB769"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6</w:t>
            </w:r>
          </w:p>
        </w:tc>
        <w:tc>
          <w:tcPr>
            <w:tcW w:w="1295" w:type="dxa"/>
            <w:shd w:val="clear" w:color="auto" w:fill="D9E2F3"/>
            <w:hideMark/>
          </w:tcPr>
          <w:p w14:paraId="077F1C60"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14.093</w:t>
            </w:r>
          </w:p>
        </w:tc>
        <w:tc>
          <w:tcPr>
            <w:tcW w:w="4334" w:type="dxa"/>
            <w:shd w:val="clear" w:color="auto" w:fill="D9E2F3"/>
            <w:hideMark/>
          </w:tcPr>
          <w:p w14:paraId="32705190"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Ernesto Ramírez Berrios and relatives</w:t>
            </w:r>
          </w:p>
        </w:tc>
        <w:tc>
          <w:tcPr>
            <w:tcW w:w="957" w:type="dxa"/>
            <w:shd w:val="clear" w:color="auto" w:fill="D9E2F3"/>
            <w:hideMark/>
          </w:tcPr>
          <w:p w14:paraId="19F5CE1E"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CO</w:t>
            </w:r>
          </w:p>
        </w:tc>
        <w:tc>
          <w:tcPr>
            <w:tcW w:w="1444" w:type="dxa"/>
            <w:shd w:val="clear" w:color="auto" w:fill="D9E2F3"/>
            <w:hideMark/>
          </w:tcPr>
          <w:p w14:paraId="05F10F59"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2022.03.01</w:t>
            </w:r>
          </w:p>
        </w:tc>
      </w:tr>
      <w:tr w:rsidR="00B342BF" w:rsidRPr="00C57C0F" w14:paraId="0CFD4F22" w14:textId="77777777">
        <w:trPr>
          <w:trHeight w:val="350"/>
          <w:jc w:val="center"/>
        </w:trPr>
        <w:tc>
          <w:tcPr>
            <w:tcW w:w="513" w:type="dxa"/>
            <w:shd w:val="clear" w:color="auto" w:fill="auto"/>
            <w:hideMark/>
          </w:tcPr>
          <w:p w14:paraId="22777815"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7</w:t>
            </w:r>
          </w:p>
        </w:tc>
        <w:tc>
          <w:tcPr>
            <w:tcW w:w="1295" w:type="dxa"/>
            <w:shd w:val="clear" w:color="auto" w:fill="auto"/>
            <w:hideMark/>
          </w:tcPr>
          <w:p w14:paraId="5C468855"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 xml:space="preserve">P-1478-12 </w:t>
            </w:r>
          </w:p>
        </w:tc>
        <w:tc>
          <w:tcPr>
            <w:tcW w:w="4334" w:type="dxa"/>
            <w:shd w:val="clear" w:color="auto" w:fill="auto"/>
            <w:hideMark/>
          </w:tcPr>
          <w:p w14:paraId="18E90264"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José Manuel Bello Nieves</w:t>
            </w:r>
          </w:p>
        </w:tc>
        <w:tc>
          <w:tcPr>
            <w:tcW w:w="957" w:type="dxa"/>
            <w:shd w:val="clear" w:color="auto" w:fill="auto"/>
            <w:hideMark/>
          </w:tcPr>
          <w:p w14:paraId="3E0D842E"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CO</w:t>
            </w:r>
          </w:p>
        </w:tc>
        <w:tc>
          <w:tcPr>
            <w:tcW w:w="1444" w:type="dxa"/>
            <w:shd w:val="clear" w:color="auto" w:fill="auto"/>
            <w:hideMark/>
          </w:tcPr>
          <w:p w14:paraId="2794A7FD"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2022.03.01</w:t>
            </w:r>
          </w:p>
        </w:tc>
      </w:tr>
      <w:tr w:rsidR="00B342BF" w:rsidRPr="00C57C0F" w14:paraId="036C27D6" w14:textId="77777777">
        <w:trPr>
          <w:trHeight w:val="332"/>
          <w:jc w:val="center"/>
        </w:trPr>
        <w:tc>
          <w:tcPr>
            <w:tcW w:w="513" w:type="dxa"/>
            <w:shd w:val="clear" w:color="auto" w:fill="D9E2F3"/>
            <w:hideMark/>
          </w:tcPr>
          <w:p w14:paraId="6CD183FF"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8</w:t>
            </w:r>
          </w:p>
        </w:tc>
        <w:tc>
          <w:tcPr>
            <w:tcW w:w="1295" w:type="dxa"/>
            <w:shd w:val="clear" w:color="auto" w:fill="D9E2F3"/>
            <w:hideMark/>
          </w:tcPr>
          <w:p w14:paraId="3CC1B3C4"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13.232</w:t>
            </w:r>
          </w:p>
        </w:tc>
        <w:tc>
          <w:tcPr>
            <w:tcW w:w="4334" w:type="dxa"/>
            <w:shd w:val="clear" w:color="auto" w:fill="D9E2F3"/>
            <w:hideMark/>
          </w:tcPr>
          <w:p w14:paraId="6E1A2FDB"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Omar Ernesto Vázquez</w:t>
            </w:r>
          </w:p>
        </w:tc>
        <w:tc>
          <w:tcPr>
            <w:tcW w:w="957" w:type="dxa"/>
            <w:shd w:val="clear" w:color="auto" w:fill="D9E2F3"/>
            <w:hideMark/>
          </w:tcPr>
          <w:p w14:paraId="7DAAD399"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CO</w:t>
            </w:r>
          </w:p>
        </w:tc>
        <w:tc>
          <w:tcPr>
            <w:tcW w:w="1444" w:type="dxa"/>
            <w:shd w:val="clear" w:color="auto" w:fill="D9E2F3"/>
            <w:hideMark/>
          </w:tcPr>
          <w:p w14:paraId="1D849C48"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2022.03.01</w:t>
            </w:r>
          </w:p>
        </w:tc>
      </w:tr>
      <w:tr w:rsidR="00B342BF" w:rsidRPr="00C57C0F" w14:paraId="126EC0DC" w14:textId="77777777">
        <w:trPr>
          <w:trHeight w:val="341"/>
          <w:jc w:val="center"/>
        </w:trPr>
        <w:tc>
          <w:tcPr>
            <w:tcW w:w="513" w:type="dxa"/>
            <w:shd w:val="clear" w:color="auto" w:fill="auto"/>
          </w:tcPr>
          <w:p w14:paraId="674100A0"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9</w:t>
            </w:r>
          </w:p>
        </w:tc>
        <w:tc>
          <w:tcPr>
            <w:tcW w:w="1295" w:type="dxa"/>
            <w:shd w:val="clear" w:color="auto" w:fill="auto"/>
          </w:tcPr>
          <w:p w14:paraId="43C1E9B1"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lang w:eastAsia="es-CO"/>
              </w:rPr>
              <w:t>P-268-10</w:t>
            </w:r>
          </w:p>
        </w:tc>
        <w:tc>
          <w:tcPr>
            <w:tcW w:w="4334" w:type="dxa"/>
            <w:shd w:val="clear" w:color="auto" w:fill="auto"/>
          </w:tcPr>
          <w:p w14:paraId="012F16E7"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lang w:eastAsia="es-CO"/>
              </w:rPr>
              <w:t>Maria del Carmen Senem de Buzzi</w:t>
            </w:r>
          </w:p>
        </w:tc>
        <w:tc>
          <w:tcPr>
            <w:tcW w:w="957" w:type="dxa"/>
            <w:shd w:val="clear" w:color="auto" w:fill="auto"/>
          </w:tcPr>
          <w:p w14:paraId="068E491B"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lang w:eastAsia="es-CO"/>
              </w:rPr>
              <w:t>AR</w:t>
            </w:r>
          </w:p>
        </w:tc>
        <w:tc>
          <w:tcPr>
            <w:tcW w:w="1444" w:type="dxa"/>
            <w:shd w:val="clear" w:color="auto" w:fill="auto"/>
          </w:tcPr>
          <w:p w14:paraId="1B97323B"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lang w:eastAsia="es-CO"/>
              </w:rPr>
              <w:t>2022.06.06</w:t>
            </w:r>
          </w:p>
        </w:tc>
      </w:tr>
      <w:tr w:rsidR="00B342BF" w:rsidRPr="00C57C0F" w14:paraId="607C6B2E" w14:textId="77777777">
        <w:trPr>
          <w:trHeight w:val="341"/>
          <w:jc w:val="center"/>
        </w:trPr>
        <w:tc>
          <w:tcPr>
            <w:tcW w:w="513" w:type="dxa"/>
            <w:shd w:val="clear" w:color="auto" w:fill="D9E2F3" w:themeFill="accent1" w:themeFillTint="33"/>
            <w:hideMark/>
          </w:tcPr>
          <w:p w14:paraId="3DE96DAF"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10</w:t>
            </w:r>
          </w:p>
        </w:tc>
        <w:tc>
          <w:tcPr>
            <w:tcW w:w="1295" w:type="dxa"/>
            <w:shd w:val="clear" w:color="auto" w:fill="D9E2F3" w:themeFill="accent1" w:themeFillTint="33"/>
            <w:hideMark/>
          </w:tcPr>
          <w:p w14:paraId="3F21A5C8"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11.426</w:t>
            </w:r>
          </w:p>
        </w:tc>
        <w:tc>
          <w:tcPr>
            <w:tcW w:w="4334" w:type="dxa"/>
            <w:shd w:val="clear" w:color="auto" w:fill="D9E2F3" w:themeFill="accent1" w:themeFillTint="33"/>
            <w:hideMark/>
          </w:tcPr>
          <w:p w14:paraId="08E1CBAB"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Marcela Alejandra Porco</w:t>
            </w:r>
          </w:p>
        </w:tc>
        <w:tc>
          <w:tcPr>
            <w:tcW w:w="957" w:type="dxa"/>
            <w:shd w:val="clear" w:color="auto" w:fill="D9E2F3" w:themeFill="accent1" w:themeFillTint="33"/>
            <w:hideMark/>
          </w:tcPr>
          <w:p w14:paraId="594F02B6"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BO</w:t>
            </w:r>
          </w:p>
        </w:tc>
        <w:tc>
          <w:tcPr>
            <w:tcW w:w="1444" w:type="dxa"/>
            <w:shd w:val="clear" w:color="auto" w:fill="D9E2F3" w:themeFill="accent1" w:themeFillTint="33"/>
            <w:hideMark/>
          </w:tcPr>
          <w:p w14:paraId="4727E4AC"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2022.06.30</w:t>
            </w:r>
          </w:p>
        </w:tc>
      </w:tr>
      <w:tr w:rsidR="00B342BF" w:rsidRPr="00C57C0F" w14:paraId="21B94182" w14:textId="77777777">
        <w:trPr>
          <w:trHeight w:val="368"/>
          <w:jc w:val="center"/>
        </w:trPr>
        <w:tc>
          <w:tcPr>
            <w:tcW w:w="513" w:type="dxa"/>
            <w:shd w:val="clear" w:color="auto" w:fill="FFFFFF" w:themeFill="background1"/>
            <w:hideMark/>
          </w:tcPr>
          <w:p w14:paraId="2028B59B"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11</w:t>
            </w:r>
          </w:p>
        </w:tc>
        <w:tc>
          <w:tcPr>
            <w:tcW w:w="1295" w:type="dxa"/>
            <w:shd w:val="clear" w:color="auto" w:fill="FFFFFF" w:themeFill="background1"/>
            <w:hideMark/>
          </w:tcPr>
          <w:p w14:paraId="54CBB261"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13.804</w:t>
            </w:r>
          </w:p>
        </w:tc>
        <w:tc>
          <w:tcPr>
            <w:tcW w:w="4334" w:type="dxa"/>
            <w:shd w:val="clear" w:color="auto" w:fill="FFFFFF" w:themeFill="background1"/>
            <w:hideMark/>
          </w:tcPr>
          <w:p w14:paraId="2587207C" w14:textId="77777777" w:rsidR="00B342BF" w:rsidRPr="00352AC9" w:rsidRDefault="00B342BF">
            <w:pPr>
              <w:jc w:val="center"/>
              <w:rPr>
                <w:rFonts w:ascii="Cambria" w:eastAsia="Times New Roman" w:hAnsi="Cambria" w:cs="Calibri"/>
                <w:color w:val="000000"/>
                <w:sz w:val="18"/>
                <w:szCs w:val="18"/>
                <w:lang w:val="es-AR"/>
              </w:rPr>
            </w:pPr>
            <w:r w:rsidRPr="00352AC9">
              <w:rPr>
                <w:rFonts w:ascii="Cambria" w:eastAsia="Times New Roman" w:hAnsi="Cambria" w:cs="Calibri"/>
                <w:color w:val="000000"/>
                <w:sz w:val="18"/>
                <w:szCs w:val="18"/>
                <w:lang w:val="es-AR"/>
              </w:rPr>
              <w:t>Carlos Fernando Antonio Ballivian Jiménez</w:t>
            </w:r>
          </w:p>
        </w:tc>
        <w:tc>
          <w:tcPr>
            <w:tcW w:w="957" w:type="dxa"/>
            <w:shd w:val="clear" w:color="auto" w:fill="FFFFFF" w:themeFill="background1"/>
            <w:hideMark/>
          </w:tcPr>
          <w:p w14:paraId="4BF60871"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AR</w:t>
            </w:r>
          </w:p>
        </w:tc>
        <w:tc>
          <w:tcPr>
            <w:tcW w:w="1444" w:type="dxa"/>
            <w:shd w:val="clear" w:color="auto" w:fill="FFFFFF" w:themeFill="background1"/>
            <w:hideMark/>
          </w:tcPr>
          <w:p w14:paraId="38AEB742"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2022.07.05</w:t>
            </w:r>
          </w:p>
        </w:tc>
      </w:tr>
      <w:tr w:rsidR="00B342BF" w:rsidRPr="00C57C0F" w14:paraId="4D1A9F09" w14:textId="77777777">
        <w:trPr>
          <w:trHeight w:val="300"/>
          <w:jc w:val="center"/>
        </w:trPr>
        <w:tc>
          <w:tcPr>
            <w:tcW w:w="513" w:type="dxa"/>
            <w:shd w:val="clear" w:color="auto" w:fill="D9E2F3" w:themeFill="accent1" w:themeFillTint="33"/>
            <w:hideMark/>
          </w:tcPr>
          <w:p w14:paraId="5B12EC98"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12</w:t>
            </w:r>
          </w:p>
        </w:tc>
        <w:tc>
          <w:tcPr>
            <w:tcW w:w="1295" w:type="dxa"/>
            <w:shd w:val="clear" w:color="auto" w:fill="D9E2F3" w:themeFill="accent1" w:themeFillTint="33"/>
            <w:hideMark/>
          </w:tcPr>
          <w:p w14:paraId="000B714B"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14.770</w:t>
            </w:r>
          </w:p>
        </w:tc>
        <w:tc>
          <w:tcPr>
            <w:tcW w:w="4334" w:type="dxa"/>
            <w:shd w:val="clear" w:color="auto" w:fill="D9E2F3" w:themeFill="accent1" w:themeFillTint="33"/>
            <w:hideMark/>
          </w:tcPr>
          <w:p w14:paraId="5205F734"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Alicia María Jardel</w:t>
            </w:r>
          </w:p>
        </w:tc>
        <w:tc>
          <w:tcPr>
            <w:tcW w:w="957" w:type="dxa"/>
            <w:shd w:val="clear" w:color="auto" w:fill="D9E2F3" w:themeFill="accent1" w:themeFillTint="33"/>
            <w:hideMark/>
          </w:tcPr>
          <w:p w14:paraId="49E95F22"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AR</w:t>
            </w:r>
          </w:p>
        </w:tc>
        <w:tc>
          <w:tcPr>
            <w:tcW w:w="1444" w:type="dxa"/>
            <w:shd w:val="clear" w:color="auto" w:fill="D9E2F3" w:themeFill="accent1" w:themeFillTint="33"/>
            <w:hideMark/>
          </w:tcPr>
          <w:p w14:paraId="18F36948"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2022.07.05</w:t>
            </w:r>
          </w:p>
        </w:tc>
      </w:tr>
      <w:tr w:rsidR="00B342BF" w:rsidRPr="00C57C0F" w14:paraId="59D682A7" w14:textId="77777777">
        <w:trPr>
          <w:trHeight w:val="300"/>
          <w:jc w:val="center"/>
        </w:trPr>
        <w:tc>
          <w:tcPr>
            <w:tcW w:w="513" w:type="dxa"/>
            <w:shd w:val="clear" w:color="auto" w:fill="FFFFFF" w:themeFill="background1"/>
            <w:hideMark/>
          </w:tcPr>
          <w:p w14:paraId="1153F8BC"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13</w:t>
            </w:r>
          </w:p>
        </w:tc>
        <w:tc>
          <w:tcPr>
            <w:tcW w:w="1295" w:type="dxa"/>
            <w:shd w:val="clear" w:color="auto" w:fill="FFFFFF" w:themeFill="background1"/>
            <w:hideMark/>
          </w:tcPr>
          <w:p w14:paraId="5D79FD51"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14.781</w:t>
            </w:r>
          </w:p>
        </w:tc>
        <w:tc>
          <w:tcPr>
            <w:tcW w:w="4334" w:type="dxa"/>
            <w:shd w:val="clear" w:color="auto" w:fill="FFFFFF" w:themeFill="background1"/>
            <w:hideMark/>
          </w:tcPr>
          <w:p w14:paraId="2BF7EF08"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Luis Carlos Abregu</w:t>
            </w:r>
          </w:p>
        </w:tc>
        <w:tc>
          <w:tcPr>
            <w:tcW w:w="957" w:type="dxa"/>
            <w:shd w:val="clear" w:color="auto" w:fill="FFFFFF" w:themeFill="background1"/>
            <w:hideMark/>
          </w:tcPr>
          <w:p w14:paraId="6199E13E"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AR</w:t>
            </w:r>
          </w:p>
        </w:tc>
        <w:tc>
          <w:tcPr>
            <w:tcW w:w="1444" w:type="dxa"/>
            <w:shd w:val="clear" w:color="auto" w:fill="FFFFFF" w:themeFill="background1"/>
            <w:hideMark/>
          </w:tcPr>
          <w:p w14:paraId="6762F178"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2022.07.05</w:t>
            </w:r>
          </w:p>
        </w:tc>
      </w:tr>
      <w:tr w:rsidR="00B342BF" w:rsidRPr="00C57C0F" w14:paraId="52D24B27" w14:textId="77777777">
        <w:trPr>
          <w:trHeight w:val="368"/>
          <w:jc w:val="center"/>
        </w:trPr>
        <w:tc>
          <w:tcPr>
            <w:tcW w:w="513" w:type="dxa"/>
            <w:shd w:val="clear" w:color="auto" w:fill="D9E2F3" w:themeFill="accent1" w:themeFillTint="33"/>
            <w:hideMark/>
          </w:tcPr>
          <w:p w14:paraId="155F1664"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14</w:t>
            </w:r>
          </w:p>
        </w:tc>
        <w:tc>
          <w:tcPr>
            <w:tcW w:w="1295" w:type="dxa"/>
            <w:shd w:val="clear" w:color="auto" w:fill="D9E2F3" w:themeFill="accent1" w:themeFillTint="33"/>
            <w:hideMark/>
          </w:tcPr>
          <w:p w14:paraId="7BEAA602"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14.778</w:t>
            </w:r>
          </w:p>
        </w:tc>
        <w:tc>
          <w:tcPr>
            <w:tcW w:w="4334" w:type="dxa"/>
            <w:shd w:val="clear" w:color="auto" w:fill="D9E2F3" w:themeFill="accent1" w:themeFillTint="33"/>
            <w:hideMark/>
          </w:tcPr>
          <w:p w14:paraId="73EF96F4"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Graciela Edith Abecasis</w:t>
            </w:r>
          </w:p>
        </w:tc>
        <w:tc>
          <w:tcPr>
            <w:tcW w:w="957" w:type="dxa"/>
            <w:shd w:val="clear" w:color="auto" w:fill="D9E2F3" w:themeFill="accent1" w:themeFillTint="33"/>
            <w:hideMark/>
          </w:tcPr>
          <w:p w14:paraId="497F1523"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AR</w:t>
            </w:r>
          </w:p>
        </w:tc>
        <w:tc>
          <w:tcPr>
            <w:tcW w:w="1444" w:type="dxa"/>
            <w:shd w:val="clear" w:color="auto" w:fill="D9E2F3" w:themeFill="accent1" w:themeFillTint="33"/>
            <w:hideMark/>
          </w:tcPr>
          <w:p w14:paraId="2B5ABB5B"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2022.07.05</w:t>
            </w:r>
          </w:p>
        </w:tc>
      </w:tr>
      <w:tr w:rsidR="00B342BF" w:rsidRPr="00C57C0F" w14:paraId="6465B7F8" w14:textId="77777777">
        <w:trPr>
          <w:trHeight w:val="395"/>
          <w:jc w:val="center"/>
        </w:trPr>
        <w:tc>
          <w:tcPr>
            <w:tcW w:w="513" w:type="dxa"/>
            <w:shd w:val="clear" w:color="auto" w:fill="FFFFFF" w:themeFill="background1"/>
            <w:hideMark/>
          </w:tcPr>
          <w:p w14:paraId="689A00BD"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15</w:t>
            </w:r>
          </w:p>
        </w:tc>
        <w:tc>
          <w:tcPr>
            <w:tcW w:w="1295" w:type="dxa"/>
            <w:shd w:val="clear" w:color="auto" w:fill="FFFFFF" w:themeFill="background1"/>
            <w:hideMark/>
          </w:tcPr>
          <w:p w14:paraId="771B503D"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14.714</w:t>
            </w:r>
          </w:p>
        </w:tc>
        <w:tc>
          <w:tcPr>
            <w:tcW w:w="4334" w:type="dxa"/>
            <w:shd w:val="clear" w:color="auto" w:fill="FFFFFF" w:themeFill="background1"/>
            <w:hideMark/>
          </w:tcPr>
          <w:p w14:paraId="6DE21E7B"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Francisco Samuel Naishtat</w:t>
            </w:r>
          </w:p>
        </w:tc>
        <w:tc>
          <w:tcPr>
            <w:tcW w:w="957" w:type="dxa"/>
            <w:shd w:val="clear" w:color="auto" w:fill="FFFFFF" w:themeFill="background1"/>
            <w:hideMark/>
          </w:tcPr>
          <w:p w14:paraId="16B84B4C"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AR</w:t>
            </w:r>
          </w:p>
        </w:tc>
        <w:tc>
          <w:tcPr>
            <w:tcW w:w="1444" w:type="dxa"/>
            <w:shd w:val="clear" w:color="auto" w:fill="FFFFFF" w:themeFill="background1"/>
            <w:hideMark/>
          </w:tcPr>
          <w:p w14:paraId="372D6AC4"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2022.07.05</w:t>
            </w:r>
          </w:p>
        </w:tc>
      </w:tr>
      <w:tr w:rsidR="00B342BF" w:rsidRPr="00C57C0F" w14:paraId="5C2535BA" w14:textId="77777777">
        <w:trPr>
          <w:trHeight w:val="332"/>
          <w:jc w:val="center"/>
        </w:trPr>
        <w:tc>
          <w:tcPr>
            <w:tcW w:w="513" w:type="dxa"/>
            <w:shd w:val="clear" w:color="auto" w:fill="D9E2F3" w:themeFill="accent1" w:themeFillTint="33"/>
            <w:hideMark/>
          </w:tcPr>
          <w:p w14:paraId="2D4F8BF9"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16</w:t>
            </w:r>
          </w:p>
        </w:tc>
        <w:tc>
          <w:tcPr>
            <w:tcW w:w="1295" w:type="dxa"/>
            <w:shd w:val="clear" w:color="auto" w:fill="D9E2F3" w:themeFill="accent1" w:themeFillTint="33"/>
            <w:hideMark/>
          </w:tcPr>
          <w:p w14:paraId="5FB991FE"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14.769</w:t>
            </w:r>
          </w:p>
        </w:tc>
        <w:tc>
          <w:tcPr>
            <w:tcW w:w="4334" w:type="dxa"/>
            <w:shd w:val="clear" w:color="auto" w:fill="D9E2F3" w:themeFill="accent1" w:themeFillTint="33"/>
            <w:hideMark/>
          </w:tcPr>
          <w:p w14:paraId="6D22A280" w14:textId="77777777" w:rsidR="00B342BF" w:rsidRPr="00352AC9" w:rsidRDefault="00B342BF">
            <w:pPr>
              <w:jc w:val="center"/>
              <w:rPr>
                <w:rFonts w:ascii="Cambria" w:eastAsia="Times New Roman" w:hAnsi="Cambria" w:cs="Calibri"/>
                <w:color w:val="000000"/>
                <w:sz w:val="18"/>
                <w:szCs w:val="18"/>
                <w:lang w:val="es-AR"/>
              </w:rPr>
            </w:pPr>
            <w:r w:rsidRPr="00352AC9">
              <w:rPr>
                <w:rFonts w:ascii="Cambria" w:eastAsia="Times New Roman" w:hAnsi="Cambria" w:cs="Calibri"/>
                <w:color w:val="000000"/>
                <w:sz w:val="18"/>
                <w:szCs w:val="18"/>
                <w:lang w:val="es-AR"/>
              </w:rPr>
              <w:t>Claudia Laura Kleinman y Ana María Kleinman</w:t>
            </w:r>
          </w:p>
        </w:tc>
        <w:tc>
          <w:tcPr>
            <w:tcW w:w="957" w:type="dxa"/>
            <w:shd w:val="clear" w:color="auto" w:fill="D9E2F3" w:themeFill="accent1" w:themeFillTint="33"/>
            <w:hideMark/>
          </w:tcPr>
          <w:p w14:paraId="64C0F18C"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AR</w:t>
            </w:r>
          </w:p>
        </w:tc>
        <w:tc>
          <w:tcPr>
            <w:tcW w:w="1444" w:type="dxa"/>
            <w:shd w:val="clear" w:color="auto" w:fill="D9E2F3" w:themeFill="accent1" w:themeFillTint="33"/>
            <w:hideMark/>
          </w:tcPr>
          <w:p w14:paraId="58FF7B2C"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2022.07.05</w:t>
            </w:r>
          </w:p>
        </w:tc>
      </w:tr>
      <w:tr w:rsidR="00B342BF" w:rsidRPr="00C57C0F" w14:paraId="2B5B17F2" w14:textId="77777777">
        <w:trPr>
          <w:trHeight w:val="332"/>
          <w:jc w:val="center"/>
        </w:trPr>
        <w:tc>
          <w:tcPr>
            <w:tcW w:w="513" w:type="dxa"/>
            <w:shd w:val="clear" w:color="auto" w:fill="FFFFFF" w:themeFill="background1"/>
            <w:hideMark/>
          </w:tcPr>
          <w:p w14:paraId="1A8B0C3F"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17</w:t>
            </w:r>
          </w:p>
        </w:tc>
        <w:tc>
          <w:tcPr>
            <w:tcW w:w="1295" w:type="dxa"/>
            <w:shd w:val="clear" w:color="auto" w:fill="FFFFFF" w:themeFill="background1"/>
            <w:hideMark/>
          </w:tcPr>
          <w:p w14:paraId="63618109"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14.070</w:t>
            </w:r>
          </w:p>
        </w:tc>
        <w:tc>
          <w:tcPr>
            <w:tcW w:w="4334" w:type="dxa"/>
            <w:shd w:val="clear" w:color="auto" w:fill="FFFFFF" w:themeFill="background1"/>
            <w:hideMark/>
          </w:tcPr>
          <w:p w14:paraId="2EA0204B"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José Omar Torres Barbosa</w:t>
            </w:r>
          </w:p>
        </w:tc>
        <w:tc>
          <w:tcPr>
            <w:tcW w:w="957" w:type="dxa"/>
            <w:shd w:val="clear" w:color="auto" w:fill="FFFFFF" w:themeFill="background1"/>
            <w:hideMark/>
          </w:tcPr>
          <w:p w14:paraId="5003B7E9"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CO</w:t>
            </w:r>
          </w:p>
        </w:tc>
        <w:tc>
          <w:tcPr>
            <w:tcW w:w="1444" w:type="dxa"/>
            <w:shd w:val="clear" w:color="auto" w:fill="FFFFFF" w:themeFill="background1"/>
            <w:hideMark/>
          </w:tcPr>
          <w:p w14:paraId="39B3373E"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2022.07.19</w:t>
            </w:r>
          </w:p>
        </w:tc>
      </w:tr>
      <w:tr w:rsidR="00B342BF" w:rsidRPr="00C57C0F" w14:paraId="3F7F591D" w14:textId="77777777">
        <w:trPr>
          <w:trHeight w:val="341"/>
          <w:jc w:val="center"/>
        </w:trPr>
        <w:tc>
          <w:tcPr>
            <w:tcW w:w="513" w:type="dxa"/>
            <w:shd w:val="clear" w:color="auto" w:fill="D9E2F3" w:themeFill="accent1" w:themeFillTint="33"/>
            <w:hideMark/>
          </w:tcPr>
          <w:p w14:paraId="60B27142"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18</w:t>
            </w:r>
          </w:p>
        </w:tc>
        <w:tc>
          <w:tcPr>
            <w:tcW w:w="1295" w:type="dxa"/>
            <w:shd w:val="clear" w:color="auto" w:fill="D9E2F3" w:themeFill="accent1" w:themeFillTint="33"/>
            <w:hideMark/>
          </w:tcPr>
          <w:p w14:paraId="38AFE2B8"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14.577</w:t>
            </w:r>
          </w:p>
        </w:tc>
        <w:tc>
          <w:tcPr>
            <w:tcW w:w="4334" w:type="dxa"/>
            <w:shd w:val="clear" w:color="auto" w:fill="D9E2F3" w:themeFill="accent1" w:themeFillTint="33"/>
            <w:hideMark/>
          </w:tcPr>
          <w:p w14:paraId="4E997C58" w14:textId="77777777" w:rsidR="00B342BF" w:rsidRPr="00352AC9" w:rsidRDefault="00B342BF">
            <w:pPr>
              <w:jc w:val="center"/>
              <w:rPr>
                <w:rFonts w:ascii="Cambria" w:eastAsia="Times New Roman" w:hAnsi="Cambria" w:cs="Calibri"/>
                <w:color w:val="000000"/>
                <w:sz w:val="18"/>
                <w:szCs w:val="18"/>
                <w:lang w:val="es-AR"/>
              </w:rPr>
            </w:pPr>
            <w:r w:rsidRPr="00352AC9">
              <w:rPr>
                <w:rFonts w:ascii="Cambria" w:eastAsia="Times New Roman" w:hAnsi="Cambria" w:cs="Calibri"/>
                <w:color w:val="000000"/>
                <w:sz w:val="18"/>
                <w:szCs w:val="18"/>
                <w:lang w:val="es-AR"/>
              </w:rPr>
              <w:t>Teobaldo Enrique Martínez Fuentes and family</w:t>
            </w:r>
          </w:p>
        </w:tc>
        <w:tc>
          <w:tcPr>
            <w:tcW w:w="957" w:type="dxa"/>
            <w:shd w:val="clear" w:color="auto" w:fill="D9E2F3" w:themeFill="accent1" w:themeFillTint="33"/>
            <w:hideMark/>
          </w:tcPr>
          <w:p w14:paraId="71440B17"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CO</w:t>
            </w:r>
          </w:p>
        </w:tc>
        <w:tc>
          <w:tcPr>
            <w:tcW w:w="1444" w:type="dxa"/>
            <w:shd w:val="clear" w:color="auto" w:fill="D9E2F3" w:themeFill="accent1" w:themeFillTint="33"/>
            <w:hideMark/>
          </w:tcPr>
          <w:p w14:paraId="5A6A6A5D"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2022.07.26</w:t>
            </w:r>
          </w:p>
        </w:tc>
      </w:tr>
      <w:tr w:rsidR="00B342BF" w:rsidRPr="00C57C0F" w14:paraId="216A86AD" w14:textId="77777777">
        <w:trPr>
          <w:trHeight w:val="341"/>
          <w:jc w:val="center"/>
        </w:trPr>
        <w:tc>
          <w:tcPr>
            <w:tcW w:w="513" w:type="dxa"/>
            <w:shd w:val="clear" w:color="auto" w:fill="FFFFFF" w:themeFill="background1"/>
            <w:hideMark/>
          </w:tcPr>
          <w:p w14:paraId="138A7385"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19</w:t>
            </w:r>
          </w:p>
        </w:tc>
        <w:tc>
          <w:tcPr>
            <w:tcW w:w="1295" w:type="dxa"/>
            <w:shd w:val="clear" w:color="auto" w:fill="FFFFFF" w:themeFill="background1"/>
            <w:hideMark/>
          </w:tcPr>
          <w:p w14:paraId="417E81D2"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13.840</w:t>
            </w:r>
          </w:p>
        </w:tc>
        <w:tc>
          <w:tcPr>
            <w:tcW w:w="4334" w:type="dxa"/>
            <w:shd w:val="clear" w:color="auto" w:fill="FFFFFF" w:themeFill="background1"/>
            <w:hideMark/>
          </w:tcPr>
          <w:p w14:paraId="2D471A39"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Edwin Hernán Ciro and relatives</w:t>
            </w:r>
          </w:p>
        </w:tc>
        <w:tc>
          <w:tcPr>
            <w:tcW w:w="957" w:type="dxa"/>
            <w:shd w:val="clear" w:color="auto" w:fill="FFFFFF" w:themeFill="background1"/>
            <w:hideMark/>
          </w:tcPr>
          <w:p w14:paraId="1BC5DABF"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CO</w:t>
            </w:r>
          </w:p>
        </w:tc>
        <w:tc>
          <w:tcPr>
            <w:tcW w:w="1444" w:type="dxa"/>
            <w:shd w:val="clear" w:color="auto" w:fill="FFFFFF" w:themeFill="background1"/>
            <w:hideMark/>
          </w:tcPr>
          <w:p w14:paraId="1065834B"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2022.07.26</w:t>
            </w:r>
          </w:p>
        </w:tc>
      </w:tr>
      <w:tr w:rsidR="00B342BF" w:rsidRPr="00C57C0F" w14:paraId="317B1727" w14:textId="77777777">
        <w:trPr>
          <w:trHeight w:val="359"/>
          <w:jc w:val="center"/>
        </w:trPr>
        <w:tc>
          <w:tcPr>
            <w:tcW w:w="513" w:type="dxa"/>
            <w:shd w:val="clear" w:color="auto" w:fill="D9E2F3" w:themeFill="accent1" w:themeFillTint="33"/>
            <w:hideMark/>
          </w:tcPr>
          <w:p w14:paraId="0EBD57B1"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20</w:t>
            </w:r>
          </w:p>
        </w:tc>
        <w:tc>
          <w:tcPr>
            <w:tcW w:w="1295" w:type="dxa"/>
            <w:shd w:val="clear" w:color="auto" w:fill="D9E2F3" w:themeFill="accent1" w:themeFillTint="33"/>
            <w:hideMark/>
          </w:tcPr>
          <w:p w14:paraId="10D9E7A9"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14.145</w:t>
            </w:r>
          </w:p>
        </w:tc>
        <w:tc>
          <w:tcPr>
            <w:tcW w:w="4334" w:type="dxa"/>
            <w:shd w:val="clear" w:color="auto" w:fill="D9E2F3" w:themeFill="accent1" w:themeFillTint="33"/>
            <w:hideMark/>
          </w:tcPr>
          <w:p w14:paraId="12990761"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Eleazar Vargas Ardila and relatives</w:t>
            </w:r>
          </w:p>
        </w:tc>
        <w:tc>
          <w:tcPr>
            <w:tcW w:w="957" w:type="dxa"/>
            <w:shd w:val="clear" w:color="auto" w:fill="D9E2F3" w:themeFill="accent1" w:themeFillTint="33"/>
            <w:hideMark/>
          </w:tcPr>
          <w:p w14:paraId="13BCC492"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CO</w:t>
            </w:r>
          </w:p>
        </w:tc>
        <w:tc>
          <w:tcPr>
            <w:tcW w:w="1444" w:type="dxa"/>
            <w:shd w:val="clear" w:color="auto" w:fill="D9E2F3" w:themeFill="accent1" w:themeFillTint="33"/>
            <w:hideMark/>
          </w:tcPr>
          <w:p w14:paraId="4BCDCE95"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2022.07.22</w:t>
            </w:r>
          </w:p>
        </w:tc>
      </w:tr>
      <w:tr w:rsidR="00B342BF" w:rsidRPr="00C57C0F" w14:paraId="38A81302" w14:textId="77777777">
        <w:trPr>
          <w:trHeight w:val="287"/>
          <w:jc w:val="center"/>
        </w:trPr>
        <w:tc>
          <w:tcPr>
            <w:tcW w:w="513" w:type="dxa"/>
            <w:shd w:val="clear" w:color="auto" w:fill="FFFFFF" w:themeFill="background1"/>
            <w:hideMark/>
          </w:tcPr>
          <w:p w14:paraId="5A33F1A8"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21</w:t>
            </w:r>
          </w:p>
        </w:tc>
        <w:tc>
          <w:tcPr>
            <w:tcW w:w="1295" w:type="dxa"/>
            <w:shd w:val="clear" w:color="auto" w:fill="FFFFFF" w:themeFill="background1"/>
            <w:hideMark/>
          </w:tcPr>
          <w:p w14:paraId="15CAA69B"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13.606</w:t>
            </w:r>
          </w:p>
        </w:tc>
        <w:tc>
          <w:tcPr>
            <w:tcW w:w="4334" w:type="dxa"/>
            <w:shd w:val="clear" w:color="auto" w:fill="FFFFFF" w:themeFill="background1"/>
            <w:hideMark/>
          </w:tcPr>
          <w:p w14:paraId="1A66435B"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Raiza Isabela Salazar</w:t>
            </w:r>
          </w:p>
        </w:tc>
        <w:tc>
          <w:tcPr>
            <w:tcW w:w="957" w:type="dxa"/>
            <w:shd w:val="clear" w:color="auto" w:fill="FFFFFF" w:themeFill="background1"/>
            <w:hideMark/>
          </w:tcPr>
          <w:p w14:paraId="6032B2A1"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CO</w:t>
            </w:r>
          </w:p>
        </w:tc>
        <w:tc>
          <w:tcPr>
            <w:tcW w:w="1444" w:type="dxa"/>
            <w:shd w:val="clear" w:color="auto" w:fill="FFFFFF" w:themeFill="background1"/>
            <w:hideMark/>
          </w:tcPr>
          <w:p w14:paraId="13FBA9A6"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2022.08.08</w:t>
            </w:r>
          </w:p>
        </w:tc>
      </w:tr>
      <w:tr w:rsidR="00B342BF" w:rsidRPr="00C57C0F" w14:paraId="14A389D7" w14:textId="77777777">
        <w:trPr>
          <w:trHeight w:val="287"/>
          <w:jc w:val="center"/>
        </w:trPr>
        <w:tc>
          <w:tcPr>
            <w:tcW w:w="513" w:type="dxa"/>
            <w:shd w:val="clear" w:color="auto" w:fill="D9E2F3" w:themeFill="accent1" w:themeFillTint="33"/>
          </w:tcPr>
          <w:p w14:paraId="22EDF511"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22</w:t>
            </w:r>
          </w:p>
        </w:tc>
        <w:tc>
          <w:tcPr>
            <w:tcW w:w="1295" w:type="dxa"/>
            <w:shd w:val="clear" w:color="auto" w:fill="D9E2F3" w:themeFill="accent1" w:themeFillTint="33"/>
          </w:tcPr>
          <w:p w14:paraId="1DDF4FA4"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P-1376-19</w:t>
            </w:r>
          </w:p>
        </w:tc>
        <w:tc>
          <w:tcPr>
            <w:tcW w:w="4334" w:type="dxa"/>
            <w:shd w:val="clear" w:color="auto" w:fill="D9E2F3" w:themeFill="accent1" w:themeFillTint="33"/>
          </w:tcPr>
          <w:p w14:paraId="1AFEFE7A" w14:textId="77777777" w:rsidR="00B342BF" w:rsidRPr="00C57C0F" w:rsidRDefault="00B342BF">
            <w:pPr>
              <w:tabs>
                <w:tab w:val="left" w:pos="1481"/>
              </w:tabs>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Silvia Angelica Flores Mosquera</w:t>
            </w:r>
          </w:p>
        </w:tc>
        <w:tc>
          <w:tcPr>
            <w:tcW w:w="957" w:type="dxa"/>
            <w:shd w:val="clear" w:color="auto" w:fill="D9E2F3" w:themeFill="accent1" w:themeFillTint="33"/>
          </w:tcPr>
          <w:p w14:paraId="43755521"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UR</w:t>
            </w:r>
          </w:p>
        </w:tc>
        <w:tc>
          <w:tcPr>
            <w:tcW w:w="1444" w:type="dxa"/>
            <w:shd w:val="clear" w:color="auto" w:fill="D9E2F3" w:themeFill="accent1" w:themeFillTint="33"/>
          </w:tcPr>
          <w:p w14:paraId="074F9F6B"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2022.08.10</w:t>
            </w:r>
          </w:p>
        </w:tc>
      </w:tr>
      <w:tr w:rsidR="00B342BF" w:rsidRPr="00C57C0F" w14:paraId="6BD8DD8F" w14:textId="77777777">
        <w:trPr>
          <w:trHeight w:val="305"/>
          <w:jc w:val="center"/>
        </w:trPr>
        <w:tc>
          <w:tcPr>
            <w:tcW w:w="513" w:type="dxa"/>
            <w:shd w:val="clear" w:color="auto" w:fill="FFFFFF" w:themeFill="background1"/>
            <w:hideMark/>
          </w:tcPr>
          <w:p w14:paraId="60EBB8E6"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23</w:t>
            </w:r>
          </w:p>
        </w:tc>
        <w:tc>
          <w:tcPr>
            <w:tcW w:w="1295" w:type="dxa"/>
            <w:shd w:val="clear" w:color="auto" w:fill="FFFFFF" w:themeFill="background1"/>
            <w:hideMark/>
          </w:tcPr>
          <w:p w14:paraId="4E212772"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13.696</w:t>
            </w:r>
          </w:p>
        </w:tc>
        <w:tc>
          <w:tcPr>
            <w:tcW w:w="4334" w:type="dxa"/>
            <w:shd w:val="clear" w:color="auto" w:fill="FFFFFF" w:themeFill="background1"/>
            <w:hideMark/>
          </w:tcPr>
          <w:p w14:paraId="68F31CB9" w14:textId="77777777" w:rsidR="00B342BF" w:rsidRPr="00352AC9" w:rsidRDefault="00B342BF">
            <w:pPr>
              <w:jc w:val="center"/>
              <w:rPr>
                <w:rFonts w:ascii="Cambria" w:eastAsia="Times New Roman" w:hAnsi="Cambria" w:cs="Calibri"/>
                <w:color w:val="000000"/>
                <w:sz w:val="18"/>
                <w:szCs w:val="18"/>
                <w:lang w:val="es-AR"/>
              </w:rPr>
            </w:pPr>
            <w:r w:rsidRPr="00352AC9">
              <w:rPr>
                <w:rFonts w:ascii="Cambria" w:eastAsia="Times New Roman" w:hAnsi="Cambria" w:cs="Calibri"/>
                <w:color w:val="000000"/>
                <w:sz w:val="18"/>
                <w:szCs w:val="18"/>
                <w:lang w:val="es-AR"/>
              </w:rPr>
              <w:t xml:space="preserve">Octavio Romero y Gabriel Gersbach </w:t>
            </w:r>
          </w:p>
        </w:tc>
        <w:tc>
          <w:tcPr>
            <w:tcW w:w="957" w:type="dxa"/>
            <w:shd w:val="clear" w:color="auto" w:fill="FFFFFF" w:themeFill="background1"/>
            <w:hideMark/>
          </w:tcPr>
          <w:p w14:paraId="51A1DD04"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AR</w:t>
            </w:r>
          </w:p>
        </w:tc>
        <w:tc>
          <w:tcPr>
            <w:tcW w:w="1444" w:type="dxa"/>
            <w:shd w:val="clear" w:color="auto" w:fill="FFFFFF" w:themeFill="background1"/>
            <w:hideMark/>
          </w:tcPr>
          <w:p w14:paraId="49A8CD4D"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2022.09.07</w:t>
            </w:r>
          </w:p>
        </w:tc>
      </w:tr>
      <w:tr w:rsidR="00B342BF" w:rsidRPr="00C57C0F" w14:paraId="31956A4E" w14:textId="77777777">
        <w:trPr>
          <w:trHeight w:val="300"/>
          <w:jc w:val="center"/>
        </w:trPr>
        <w:tc>
          <w:tcPr>
            <w:tcW w:w="513" w:type="dxa"/>
            <w:shd w:val="clear" w:color="auto" w:fill="D9E2F3" w:themeFill="accent1" w:themeFillTint="33"/>
            <w:hideMark/>
          </w:tcPr>
          <w:p w14:paraId="79B8A7F0"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24</w:t>
            </w:r>
          </w:p>
        </w:tc>
        <w:tc>
          <w:tcPr>
            <w:tcW w:w="1295" w:type="dxa"/>
            <w:shd w:val="clear" w:color="auto" w:fill="D9E2F3" w:themeFill="accent1" w:themeFillTint="33"/>
            <w:hideMark/>
          </w:tcPr>
          <w:p w14:paraId="3C0F9F18"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13.710</w:t>
            </w:r>
          </w:p>
        </w:tc>
        <w:tc>
          <w:tcPr>
            <w:tcW w:w="4334" w:type="dxa"/>
            <w:shd w:val="clear" w:color="auto" w:fill="D9E2F3" w:themeFill="accent1" w:themeFillTint="33"/>
            <w:hideMark/>
          </w:tcPr>
          <w:p w14:paraId="3E572DC4"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Julián Toro</w:t>
            </w:r>
          </w:p>
        </w:tc>
        <w:tc>
          <w:tcPr>
            <w:tcW w:w="957" w:type="dxa"/>
            <w:shd w:val="clear" w:color="auto" w:fill="D9E2F3" w:themeFill="accent1" w:themeFillTint="33"/>
            <w:hideMark/>
          </w:tcPr>
          <w:p w14:paraId="31838E12"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CO</w:t>
            </w:r>
          </w:p>
        </w:tc>
        <w:tc>
          <w:tcPr>
            <w:tcW w:w="1444" w:type="dxa"/>
            <w:shd w:val="clear" w:color="auto" w:fill="D9E2F3" w:themeFill="accent1" w:themeFillTint="33"/>
            <w:hideMark/>
          </w:tcPr>
          <w:p w14:paraId="1EEE2886"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2022.09.29</w:t>
            </w:r>
          </w:p>
        </w:tc>
      </w:tr>
      <w:tr w:rsidR="00B342BF" w:rsidRPr="00C57C0F" w14:paraId="12E0BBF3" w14:textId="77777777">
        <w:trPr>
          <w:trHeight w:val="300"/>
          <w:jc w:val="center"/>
        </w:trPr>
        <w:tc>
          <w:tcPr>
            <w:tcW w:w="513" w:type="dxa"/>
            <w:shd w:val="clear" w:color="auto" w:fill="FFFFFF" w:themeFill="background1"/>
          </w:tcPr>
          <w:p w14:paraId="4C1C1311"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25</w:t>
            </w:r>
          </w:p>
        </w:tc>
        <w:tc>
          <w:tcPr>
            <w:tcW w:w="1295" w:type="dxa"/>
            <w:shd w:val="clear" w:color="auto" w:fill="FFFFFF" w:themeFill="background1"/>
          </w:tcPr>
          <w:p w14:paraId="6C14601F"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14.719</w:t>
            </w:r>
          </w:p>
        </w:tc>
        <w:tc>
          <w:tcPr>
            <w:tcW w:w="4334" w:type="dxa"/>
            <w:shd w:val="clear" w:color="auto" w:fill="FFFFFF" w:themeFill="background1"/>
          </w:tcPr>
          <w:p w14:paraId="64B86325"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Geovanni Aguirre Soto</w:t>
            </w:r>
          </w:p>
        </w:tc>
        <w:tc>
          <w:tcPr>
            <w:tcW w:w="957" w:type="dxa"/>
            <w:shd w:val="clear" w:color="auto" w:fill="FFFFFF" w:themeFill="background1"/>
          </w:tcPr>
          <w:p w14:paraId="10C07336"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CO</w:t>
            </w:r>
          </w:p>
        </w:tc>
        <w:tc>
          <w:tcPr>
            <w:tcW w:w="1444" w:type="dxa"/>
            <w:shd w:val="clear" w:color="auto" w:fill="FFFFFF" w:themeFill="background1"/>
          </w:tcPr>
          <w:p w14:paraId="4210A041"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2022.10.25</w:t>
            </w:r>
          </w:p>
        </w:tc>
      </w:tr>
      <w:tr w:rsidR="00B342BF" w:rsidRPr="00C57C0F" w14:paraId="30F43BD8" w14:textId="77777777">
        <w:trPr>
          <w:trHeight w:val="300"/>
          <w:jc w:val="center"/>
        </w:trPr>
        <w:tc>
          <w:tcPr>
            <w:tcW w:w="513" w:type="dxa"/>
            <w:shd w:val="clear" w:color="auto" w:fill="D9E2F3" w:themeFill="accent1" w:themeFillTint="33"/>
          </w:tcPr>
          <w:p w14:paraId="5297270D"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26</w:t>
            </w:r>
          </w:p>
        </w:tc>
        <w:tc>
          <w:tcPr>
            <w:tcW w:w="1295" w:type="dxa"/>
            <w:shd w:val="clear" w:color="auto" w:fill="D9E2F3" w:themeFill="accent1" w:themeFillTint="33"/>
          </w:tcPr>
          <w:p w14:paraId="0BC20C65"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13.780</w:t>
            </w:r>
          </w:p>
        </w:tc>
        <w:tc>
          <w:tcPr>
            <w:tcW w:w="4334" w:type="dxa"/>
            <w:shd w:val="clear" w:color="auto" w:fill="D9E2F3" w:themeFill="accent1" w:themeFillTint="33"/>
          </w:tcPr>
          <w:p w14:paraId="2E623D08"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Hugo Ferney León Londoño and family</w:t>
            </w:r>
          </w:p>
        </w:tc>
        <w:tc>
          <w:tcPr>
            <w:tcW w:w="957" w:type="dxa"/>
            <w:shd w:val="clear" w:color="auto" w:fill="D9E2F3" w:themeFill="accent1" w:themeFillTint="33"/>
          </w:tcPr>
          <w:p w14:paraId="09CC3A8B"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CO</w:t>
            </w:r>
          </w:p>
        </w:tc>
        <w:tc>
          <w:tcPr>
            <w:tcW w:w="1444" w:type="dxa"/>
            <w:shd w:val="clear" w:color="auto" w:fill="D9E2F3" w:themeFill="accent1" w:themeFillTint="33"/>
          </w:tcPr>
          <w:p w14:paraId="7AEEA9C7"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2022.11.14</w:t>
            </w:r>
          </w:p>
        </w:tc>
      </w:tr>
      <w:tr w:rsidR="00B342BF" w:rsidRPr="00C57C0F" w14:paraId="0321B95A" w14:textId="77777777">
        <w:trPr>
          <w:trHeight w:val="300"/>
          <w:jc w:val="center"/>
        </w:trPr>
        <w:tc>
          <w:tcPr>
            <w:tcW w:w="513" w:type="dxa"/>
            <w:shd w:val="clear" w:color="auto" w:fill="FFFFFF" w:themeFill="background1"/>
          </w:tcPr>
          <w:p w14:paraId="24A88D62"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27</w:t>
            </w:r>
          </w:p>
        </w:tc>
        <w:tc>
          <w:tcPr>
            <w:tcW w:w="1295" w:type="dxa"/>
            <w:shd w:val="clear" w:color="auto" w:fill="FFFFFF" w:themeFill="background1"/>
          </w:tcPr>
          <w:p w14:paraId="7144C01D" w14:textId="77777777" w:rsidR="00B342BF" w:rsidRPr="00C57C0F" w:rsidRDefault="00B342BF">
            <w:pPr>
              <w:jc w:val="center"/>
              <w:rPr>
                <w:rFonts w:ascii="Cambria" w:eastAsia="Times New Roman" w:hAnsi="Cambria" w:cs="Calibri"/>
                <w:b/>
                <w:bCs/>
                <w:color w:val="000000"/>
                <w:sz w:val="18"/>
                <w:szCs w:val="18"/>
              </w:rPr>
            </w:pPr>
            <w:r w:rsidRPr="00C57C0F">
              <w:rPr>
                <w:rStyle w:val="Nenhum"/>
                <w:rFonts w:ascii="Cambria" w:hAnsi="Cambria" w:cs="Calibri Light"/>
                <w:sz w:val="18"/>
                <w:szCs w:val="18"/>
              </w:rPr>
              <w:t>14.771</w:t>
            </w:r>
          </w:p>
        </w:tc>
        <w:tc>
          <w:tcPr>
            <w:tcW w:w="4334" w:type="dxa"/>
            <w:shd w:val="clear" w:color="auto" w:fill="FFFFFF" w:themeFill="background1"/>
          </w:tcPr>
          <w:p w14:paraId="758B1EBB" w14:textId="77777777" w:rsidR="00B342BF" w:rsidRPr="00C57C0F" w:rsidRDefault="00B342BF">
            <w:pPr>
              <w:jc w:val="center"/>
              <w:rPr>
                <w:rFonts w:ascii="Cambria" w:eastAsia="Times New Roman" w:hAnsi="Cambria" w:cs="Calibri"/>
                <w:b/>
                <w:bCs/>
                <w:color w:val="000000"/>
                <w:sz w:val="18"/>
                <w:szCs w:val="18"/>
              </w:rPr>
            </w:pPr>
            <w:r w:rsidRPr="00C57C0F">
              <w:rPr>
                <w:rStyle w:val="Nenhum"/>
                <w:rFonts w:ascii="Cambria" w:hAnsi="Cambria" w:cs="Calibri Light"/>
                <w:sz w:val="18"/>
                <w:szCs w:val="18"/>
              </w:rPr>
              <w:t>Lilia Etcheverry</w:t>
            </w:r>
          </w:p>
        </w:tc>
        <w:tc>
          <w:tcPr>
            <w:tcW w:w="957" w:type="dxa"/>
            <w:shd w:val="clear" w:color="auto" w:fill="FFFFFF" w:themeFill="background1"/>
          </w:tcPr>
          <w:p w14:paraId="7526D20F"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rPr>
              <w:t>AR</w:t>
            </w:r>
          </w:p>
        </w:tc>
        <w:tc>
          <w:tcPr>
            <w:tcW w:w="1444" w:type="dxa"/>
            <w:shd w:val="clear" w:color="auto" w:fill="FFFFFF" w:themeFill="background1"/>
          </w:tcPr>
          <w:p w14:paraId="6D557977" w14:textId="77777777" w:rsidR="00B342BF" w:rsidRPr="00C57C0F" w:rsidRDefault="00B342BF">
            <w:pPr>
              <w:jc w:val="center"/>
              <w:rPr>
                <w:rFonts w:ascii="Cambria" w:eastAsia="Times New Roman" w:hAnsi="Cambria" w:cs="Calibri"/>
                <w:b/>
                <w:bCs/>
                <w:color w:val="000000"/>
                <w:sz w:val="18"/>
                <w:szCs w:val="18"/>
              </w:rPr>
            </w:pPr>
            <w:r w:rsidRPr="00C57C0F">
              <w:rPr>
                <w:rStyle w:val="Nenhum"/>
                <w:rFonts w:ascii="Cambria" w:hAnsi="Cambria" w:cs="Calibri Light"/>
                <w:sz w:val="18"/>
                <w:szCs w:val="18"/>
              </w:rPr>
              <w:t>2022.11.14</w:t>
            </w:r>
          </w:p>
        </w:tc>
      </w:tr>
      <w:tr w:rsidR="00B342BF" w:rsidRPr="00C57C0F" w14:paraId="2CB44B07" w14:textId="77777777">
        <w:trPr>
          <w:trHeight w:val="300"/>
          <w:jc w:val="center"/>
        </w:trPr>
        <w:tc>
          <w:tcPr>
            <w:tcW w:w="513" w:type="dxa"/>
            <w:shd w:val="clear" w:color="auto" w:fill="D9E2F3" w:themeFill="accent1" w:themeFillTint="33"/>
          </w:tcPr>
          <w:p w14:paraId="3FD0738F"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28</w:t>
            </w:r>
          </w:p>
        </w:tc>
        <w:tc>
          <w:tcPr>
            <w:tcW w:w="1295" w:type="dxa"/>
            <w:shd w:val="clear" w:color="auto" w:fill="D9E2F3" w:themeFill="accent1" w:themeFillTint="33"/>
          </w:tcPr>
          <w:p w14:paraId="3AEE01D4" w14:textId="77777777" w:rsidR="00B342BF" w:rsidRPr="00C57C0F" w:rsidRDefault="00B342BF">
            <w:pPr>
              <w:jc w:val="center"/>
              <w:rPr>
                <w:rStyle w:val="Nenhum"/>
                <w:rFonts w:ascii="Cambria" w:hAnsi="Cambria" w:cs="Calibri Light"/>
                <w:sz w:val="18"/>
                <w:szCs w:val="18"/>
              </w:rPr>
            </w:pPr>
            <w:r w:rsidRPr="00C57C0F">
              <w:rPr>
                <w:rStyle w:val="Nenhum"/>
                <w:rFonts w:ascii="Cambria" w:hAnsi="Cambria" w:cs="Calibri Light"/>
                <w:sz w:val="18"/>
                <w:szCs w:val="18"/>
              </w:rPr>
              <w:t>13.581</w:t>
            </w:r>
          </w:p>
        </w:tc>
        <w:tc>
          <w:tcPr>
            <w:tcW w:w="4334" w:type="dxa"/>
            <w:shd w:val="clear" w:color="auto" w:fill="D9E2F3" w:themeFill="accent1" w:themeFillTint="33"/>
          </w:tcPr>
          <w:p w14:paraId="57C8FA6E" w14:textId="77777777" w:rsidR="00B342BF" w:rsidRPr="00C57C0F" w:rsidRDefault="00B342BF">
            <w:pPr>
              <w:jc w:val="center"/>
              <w:rPr>
                <w:rStyle w:val="Nenhum"/>
                <w:rFonts w:ascii="Cambria" w:hAnsi="Cambria" w:cs="Calibri Light"/>
                <w:sz w:val="18"/>
                <w:szCs w:val="18"/>
              </w:rPr>
            </w:pPr>
            <w:r w:rsidRPr="00C57C0F">
              <w:rPr>
                <w:rStyle w:val="Nenhum"/>
                <w:rFonts w:ascii="Cambria" w:hAnsi="Cambria" w:cs="Calibri Light"/>
                <w:sz w:val="18"/>
                <w:szCs w:val="18"/>
              </w:rPr>
              <w:t>José Luis D'Andrea Mohr</w:t>
            </w:r>
          </w:p>
        </w:tc>
        <w:tc>
          <w:tcPr>
            <w:tcW w:w="957" w:type="dxa"/>
            <w:shd w:val="clear" w:color="auto" w:fill="D9E2F3" w:themeFill="accent1" w:themeFillTint="33"/>
          </w:tcPr>
          <w:p w14:paraId="543C34B0" w14:textId="77777777" w:rsidR="00B342BF" w:rsidRPr="00C57C0F" w:rsidRDefault="00B342BF">
            <w:pPr>
              <w:jc w:val="center"/>
              <w:rPr>
                <w:rFonts w:ascii="Cambria" w:eastAsia="Times New Roman" w:hAnsi="Cambria" w:cs="Calibri"/>
                <w:color w:val="000000"/>
                <w:sz w:val="18"/>
                <w:szCs w:val="18"/>
              </w:rPr>
            </w:pPr>
            <w:r w:rsidRPr="00C57C0F">
              <w:rPr>
                <w:rFonts w:ascii="Cambria" w:eastAsia="Times New Roman" w:hAnsi="Cambria" w:cs="Calibri"/>
                <w:color w:val="000000"/>
                <w:sz w:val="18"/>
                <w:szCs w:val="18"/>
                <w:lang w:eastAsia="es-CO"/>
              </w:rPr>
              <w:t>AR</w:t>
            </w:r>
          </w:p>
        </w:tc>
        <w:tc>
          <w:tcPr>
            <w:tcW w:w="1444" w:type="dxa"/>
            <w:shd w:val="clear" w:color="auto" w:fill="D9E2F3" w:themeFill="accent1" w:themeFillTint="33"/>
          </w:tcPr>
          <w:p w14:paraId="24BE1EE7" w14:textId="77777777" w:rsidR="00B342BF" w:rsidRPr="00C57C0F" w:rsidRDefault="00B342BF">
            <w:pPr>
              <w:jc w:val="center"/>
              <w:rPr>
                <w:rStyle w:val="Nenhum"/>
                <w:rFonts w:ascii="Cambria" w:hAnsi="Cambria" w:cs="Calibri Light"/>
                <w:sz w:val="18"/>
                <w:szCs w:val="18"/>
              </w:rPr>
            </w:pPr>
            <w:r w:rsidRPr="00C57C0F">
              <w:rPr>
                <w:rStyle w:val="Nenhum"/>
                <w:rFonts w:ascii="Cambria" w:hAnsi="Cambria" w:cs="Calibri Light"/>
                <w:sz w:val="18"/>
                <w:szCs w:val="18"/>
              </w:rPr>
              <w:t>2022.11.15</w:t>
            </w:r>
          </w:p>
        </w:tc>
      </w:tr>
      <w:tr w:rsidR="00B342BF" w:rsidRPr="00C57C0F" w14:paraId="31242994" w14:textId="77777777">
        <w:trPr>
          <w:trHeight w:val="300"/>
          <w:jc w:val="center"/>
        </w:trPr>
        <w:tc>
          <w:tcPr>
            <w:tcW w:w="513" w:type="dxa"/>
            <w:shd w:val="clear" w:color="auto" w:fill="FFFFFF" w:themeFill="background1"/>
          </w:tcPr>
          <w:p w14:paraId="1BAF0D7B" w14:textId="77777777" w:rsidR="00B342BF" w:rsidRPr="00C57C0F" w:rsidRDefault="00B342BF">
            <w:pPr>
              <w:jc w:val="center"/>
              <w:rPr>
                <w:rFonts w:ascii="Cambria" w:eastAsia="Times New Roman" w:hAnsi="Cambria" w:cs="Calibri"/>
                <w:b/>
                <w:bCs/>
                <w:color w:val="000000"/>
                <w:sz w:val="18"/>
                <w:szCs w:val="18"/>
              </w:rPr>
            </w:pPr>
            <w:r w:rsidRPr="00C57C0F">
              <w:rPr>
                <w:rFonts w:ascii="Cambria" w:eastAsia="Times New Roman" w:hAnsi="Cambria" w:cs="Calibri"/>
                <w:b/>
                <w:bCs/>
                <w:color w:val="000000"/>
                <w:sz w:val="18"/>
                <w:szCs w:val="18"/>
              </w:rPr>
              <w:t>29</w:t>
            </w:r>
          </w:p>
        </w:tc>
        <w:tc>
          <w:tcPr>
            <w:tcW w:w="1295" w:type="dxa"/>
            <w:shd w:val="clear" w:color="auto" w:fill="FFFFFF" w:themeFill="background1"/>
          </w:tcPr>
          <w:p w14:paraId="25A4FB88" w14:textId="77777777" w:rsidR="00B342BF" w:rsidRPr="00C57C0F" w:rsidRDefault="00B342BF">
            <w:pPr>
              <w:jc w:val="center"/>
              <w:rPr>
                <w:rStyle w:val="Nenhum"/>
                <w:rFonts w:ascii="Cambria" w:hAnsi="Cambria" w:cs="Calibri Light"/>
                <w:sz w:val="18"/>
                <w:szCs w:val="18"/>
              </w:rPr>
            </w:pPr>
            <w:r w:rsidRPr="00C57C0F">
              <w:rPr>
                <w:rStyle w:val="Nenhum"/>
                <w:rFonts w:ascii="Cambria" w:hAnsi="Cambria" w:cs="Calibri Light"/>
                <w:sz w:val="18"/>
                <w:szCs w:val="18"/>
              </w:rPr>
              <w:t>12.843</w:t>
            </w:r>
          </w:p>
        </w:tc>
        <w:tc>
          <w:tcPr>
            <w:tcW w:w="4334" w:type="dxa"/>
            <w:shd w:val="clear" w:color="auto" w:fill="FFFFFF" w:themeFill="background1"/>
          </w:tcPr>
          <w:p w14:paraId="45524DB3" w14:textId="77777777" w:rsidR="00B342BF" w:rsidRPr="00C57C0F" w:rsidRDefault="00B342BF">
            <w:pPr>
              <w:jc w:val="center"/>
              <w:rPr>
                <w:rStyle w:val="Nenhum"/>
                <w:rFonts w:ascii="Cambria" w:hAnsi="Cambria" w:cs="Calibri Light"/>
                <w:sz w:val="18"/>
                <w:szCs w:val="18"/>
              </w:rPr>
            </w:pPr>
            <w:r w:rsidRPr="00C57C0F">
              <w:rPr>
                <w:rStyle w:val="Nenhum"/>
                <w:rFonts w:ascii="Cambria" w:hAnsi="Cambria" w:cs="Calibri Light"/>
                <w:sz w:val="18"/>
                <w:szCs w:val="18"/>
              </w:rPr>
              <w:t>Luis y Leonardo Caizales Dogenesama</w:t>
            </w:r>
          </w:p>
        </w:tc>
        <w:tc>
          <w:tcPr>
            <w:tcW w:w="957" w:type="dxa"/>
            <w:shd w:val="clear" w:color="auto" w:fill="FFFFFF" w:themeFill="background1"/>
          </w:tcPr>
          <w:p w14:paraId="017B95D6" w14:textId="77777777" w:rsidR="00B342BF" w:rsidRPr="00C57C0F" w:rsidRDefault="00B342BF">
            <w:pPr>
              <w:jc w:val="center"/>
              <w:rPr>
                <w:rFonts w:ascii="Cambria" w:eastAsia="Times New Roman" w:hAnsi="Cambria" w:cs="Calibri"/>
                <w:color w:val="000000"/>
                <w:sz w:val="18"/>
                <w:szCs w:val="18"/>
                <w:lang w:eastAsia="es-CO"/>
              </w:rPr>
            </w:pPr>
            <w:r w:rsidRPr="00C57C0F">
              <w:rPr>
                <w:rFonts w:ascii="Cambria" w:eastAsia="Times New Roman" w:hAnsi="Cambria" w:cs="Calibri"/>
                <w:color w:val="000000"/>
                <w:sz w:val="18"/>
                <w:szCs w:val="18"/>
                <w:lang w:eastAsia="es-CO"/>
              </w:rPr>
              <w:t>CO</w:t>
            </w:r>
          </w:p>
        </w:tc>
        <w:tc>
          <w:tcPr>
            <w:tcW w:w="1444" w:type="dxa"/>
            <w:shd w:val="clear" w:color="auto" w:fill="FFFFFF" w:themeFill="background1"/>
          </w:tcPr>
          <w:p w14:paraId="7D2FE2FE" w14:textId="77777777" w:rsidR="00B342BF" w:rsidRPr="00C57C0F" w:rsidRDefault="00B342BF">
            <w:pPr>
              <w:jc w:val="center"/>
              <w:rPr>
                <w:rStyle w:val="Nenhum"/>
                <w:rFonts w:ascii="Cambria" w:hAnsi="Cambria" w:cs="Calibri Light"/>
                <w:sz w:val="18"/>
                <w:szCs w:val="18"/>
              </w:rPr>
            </w:pPr>
            <w:r w:rsidRPr="00C57C0F">
              <w:rPr>
                <w:rStyle w:val="Nenhum"/>
                <w:rFonts w:ascii="Cambria" w:hAnsi="Cambria" w:cs="Calibri Light"/>
                <w:sz w:val="18"/>
                <w:szCs w:val="18"/>
              </w:rPr>
              <w:t>2022.12.21</w:t>
            </w:r>
          </w:p>
        </w:tc>
      </w:tr>
    </w:tbl>
    <w:p w14:paraId="2DE49795" w14:textId="77777777" w:rsidR="002E260B" w:rsidRPr="00B342BF" w:rsidRDefault="002E260B" w:rsidP="00B342BF">
      <w:pPr>
        <w:pBdr>
          <w:top w:val="nil"/>
          <w:left w:val="nil"/>
          <w:bottom w:val="nil"/>
          <w:right w:val="nil"/>
          <w:between w:val="nil"/>
          <w:bar w:val="nil"/>
        </w:pBdr>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p>
    <w:p w14:paraId="3597F483" w14:textId="15791FDD" w:rsidR="002E260B" w:rsidRPr="00B342BF"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342BF">
        <w:rPr>
          <w:rFonts w:eastAsia="Calibri" w:cs="Calibri"/>
          <w:bCs/>
          <w:color w:val="000000"/>
          <w:u w:color="000000"/>
          <w:bdr w:val="nil"/>
          <w14:textOutline w14:w="0" w14:cap="flat" w14:cmpd="sng" w14:algn="ctr">
            <w14:noFill/>
            <w14:prstDash w14:val="solid"/>
            <w14:bevel/>
          </w14:textOutline>
        </w:rPr>
        <w:t xml:space="preserve">The Commission commends the states of Argentina, Bolivia, Colombia, and Uruguay for their openness to engage with dialogue with the various victims and their representatives to find, together, formulas for making reparation to the victims of human rights violations in the aforementioned matters, taking account of their needs and interests by reaching a friendly settlement. </w:t>
      </w:r>
    </w:p>
    <w:p w14:paraId="218C2713" w14:textId="77777777" w:rsidR="002E260B"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27A02E3B" w14:textId="77777777" w:rsidR="00D90A3A" w:rsidRDefault="00D90A3A"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56BA2AFC" w14:textId="77777777" w:rsidR="00D90A3A" w:rsidRDefault="00D90A3A"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62638352" w14:textId="77777777" w:rsidR="00D90A3A" w:rsidRPr="00AC7438" w:rsidRDefault="00D90A3A"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18C3C372" w14:textId="562FD92B" w:rsidR="002E260B" w:rsidRPr="002703DB" w:rsidRDefault="002E260B" w:rsidP="00933F91">
      <w:pPr>
        <w:pStyle w:val="ListParagraph"/>
        <w:numPr>
          <w:ilvl w:val="0"/>
          <w:numId w:val="63"/>
        </w:numPr>
        <w:pBdr>
          <w:top w:val="nil"/>
          <w:left w:val="nil"/>
          <w:bottom w:val="nil"/>
          <w:right w:val="nil"/>
          <w:between w:val="nil"/>
          <w:bar w:val="nil"/>
        </w:pBdr>
        <w:ind w:hanging="720"/>
        <w:jc w:val="both"/>
        <w:rPr>
          <w:rFonts w:ascii="Cambria" w:eastAsia="Calibri" w:hAnsi="Cambria" w:cs="Calibri"/>
          <w:b/>
          <w:color w:val="000000"/>
          <w:sz w:val="20"/>
          <w:szCs w:val="20"/>
          <w:u w:color="000000"/>
          <w:bdr w:val="nil"/>
          <w14:textOutline w14:w="0" w14:cap="flat" w14:cmpd="sng" w14:algn="ctr">
            <w14:noFill/>
            <w14:prstDash w14:val="solid"/>
            <w14:bevel/>
          </w14:textOutline>
        </w:rPr>
      </w:pPr>
      <w:r w:rsidRPr="002703DB">
        <w:rPr>
          <w:rFonts w:ascii="Cambria" w:eastAsia="Calibri" w:hAnsi="Cambria" w:cs="Calibri"/>
          <w:b/>
          <w:color w:val="000000"/>
          <w:sz w:val="20"/>
          <w:szCs w:val="20"/>
          <w:u w:color="000000"/>
          <w:bdr w:val="nil"/>
          <w14:textOutline w14:w="0" w14:cap="flat" w14:cmpd="sng" w14:algn="ctr">
            <w14:noFill/>
            <w14:prstDash w14:val="solid"/>
            <w14:bevel/>
          </w14:textOutline>
        </w:rPr>
        <w:lastRenderedPageBreak/>
        <w:t xml:space="preserve">New </w:t>
      </w:r>
      <w:r w:rsidR="00B342BF" w:rsidRPr="002703DB">
        <w:rPr>
          <w:rFonts w:ascii="Cambria" w:eastAsia="Calibri" w:hAnsi="Cambria" w:cs="Calibri"/>
          <w:b/>
          <w:color w:val="000000"/>
          <w:sz w:val="20"/>
          <w:szCs w:val="20"/>
          <w:u w:color="000000"/>
          <w:bdr w:val="nil"/>
          <w14:textOutline w14:w="0" w14:cap="flat" w14:cmpd="sng" w14:algn="ctr">
            <w14:noFill/>
            <w14:prstDash w14:val="solid"/>
            <w14:bevel/>
          </w14:textOutline>
        </w:rPr>
        <w:t>f</w:t>
      </w:r>
      <w:r w:rsidRPr="002703DB">
        <w:rPr>
          <w:rFonts w:ascii="Cambria" w:eastAsia="Calibri" w:hAnsi="Cambria" w:cs="Calibri"/>
          <w:b/>
          <w:color w:val="000000"/>
          <w:sz w:val="20"/>
          <w:szCs w:val="20"/>
          <w:u w:color="000000"/>
          <w:bdr w:val="nil"/>
          <w14:textOutline w14:w="0" w14:cap="flat" w14:cmpd="sng" w14:algn="ctr">
            <w14:noFill/>
            <w14:prstDash w14:val="solid"/>
            <w14:bevel/>
          </w14:textOutline>
        </w:rPr>
        <w:t xml:space="preserve">riendly </w:t>
      </w:r>
      <w:r w:rsidR="00B342BF" w:rsidRPr="002703DB">
        <w:rPr>
          <w:rFonts w:ascii="Cambria" w:eastAsia="Calibri" w:hAnsi="Cambria" w:cs="Calibri"/>
          <w:b/>
          <w:color w:val="000000"/>
          <w:sz w:val="20"/>
          <w:szCs w:val="20"/>
          <w:u w:color="000000"/>
          <w:bdr w:val="nil"/>
          <w14:textOutline w14:w="0" w14:cap="flat" w14:cmpd="sng" w14:algn="ctr">
            <w14:noFill/>
            <w14:prstDash w14:val="solid"/>
            <w14:bevel/>
          </w14:textOutline>
        </w:rPr>
        <w:t>s</w:t>
      </w:r>
      <w:r w:rsidRPr="002703DB">
        <w:rPr>
          <w:rFonts w:ascii="Cambria" w:eastAsia="Calibri" w:hAnsi="Cambria" w:cs="Calibri"/>
          <w:b/>
          <w:color w:val="000000"/>
          <w:sz w:val="20"/>
          <w:szCs w:val="20"/>
          <w:u w:color="000000"/>
          <w:bdr w:val="nil"/>
          <w14:textOutline w14:w="0" w14:cap="flat" w14:cmpd="sng" w14:algn="ctr">
            <w14:noFill/>
            <w14:prstDash w14:val="solid"/>
            <w14:bevel/>
          </w14:textOutline>
        </w:rPr>
        <w:t xml:space="preserve">ettlement </w:t>
      </w:r>
      <w:r w:rsidR="00B342BF" w:rsidRPr="002703DB">
        <w:rPr>
          <w:rFonts w:ascii="Cambria" w:eastAsia="Calibri" w:hAnsi="Cambria" w:cs="Calibri"/>
          <w:b/>
          <w:color w:val="000000"/>
          <w:sz w:val="20"/>
          <w:szCs w:val="20"/>
          <w:u w:color="000000"/>
          <w:bdr w:val="nil"/>
          <w14:textOutline w14:w="0" w14:cap="flat" w14:cmpd="sng" w14:algn="ctr">
            <w14:noFill/>
            <w14:prstDash w14:val="solid"/>
            <w14:bevel/>
          </w14:textOutline>
        </w:rPr>
        <w:t>m</w:t>
      </w:r>
      <w:r w:rsidRPr="002703DB">
        <w:rPr>
          <w:rFonts w:ascii="Cambria" w:eastAsia="Calibri" w:hAnsi="Cambria" w:cs="Calibri"/>
          <w:b/>
          <w:color w:val="000000"/>
          <w:sz w:val="20"/>
          <w:szCs w:val="20"/>
          <w:u w:color="000000"/>
          <w:bdr w:val="nil"/>
          <w14:textOutline w14:w="0" w14:cap="flat" w14:cmpd="sng" w14:algn="ctr">
            <w14:noFill/>
            <w14:prstDash w14:val="solid"/>
            <w14:bevel/>
          </w14:textOutline>
        </w:rPr>
        <w:t xml:space="preserve">onitoring </w:t>
      </w:r>
      <w:r w:rsidR="00B342BF" w:rsidRPr="002703DB">
        <w:rPr>
          <w:rFonts w:ascii="Cambria" w:eastAsia="Calibri" w:hAnsi="Cambria" w:cs="Calibri"/>
          <w:b/>
          <w:color w:val="000000"/>
          <w:sz w:val="20"/>
          <w:szCs w:val="20"/>
          <w:u w:color="000000"/>
          <w:bdr w:val="nil"/>
          <w14:textOutline w14:w="0" w14:cap="flat" w14:cmpd="sng" w14:algn="ctr">
            <w14:noFill/>
            <w14:prstDash w14:val="solid"/>
            <w14:bevel/>
          </w14:textOutline>
        </w:rPr>
        <w:t>p</w:t>
      </w:r>
      <w:r w:rsidRPr="002703DB">
        <w:rPr>
          <w:rFonts w:ascii="Cambria" w:eastAsia="Calibri" w:hAnsi="Cambria" w:cs="Calibri"/>
          <w:b/>
          <w:color w:val="000000"/>
          <w:sz w:val="20"/>
          <w:szCs w:val="20"/>
          <w:u w:color="000000"/>
          <w:bdr w:val="nil"/>
          <w14:textOutline w14:w="0" w14:cap="flat" w14:cmpd="sng" w14:algn="ctr">
            <w14:noFill/>
            <w14:prstDash w14:val="solid"/>
            <w14:bevel/>
          </w14:textOutline>
        </w:rPr>
        <w:t xml:space="preserve">rocesses </w:t>
      </w:r>
    </w:p>
    <w:p w14:paraId="292DA117"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5689BD6E" w14:textId="2CE9B138" w:rsidR="002E260B" w:rsidRPr="00B342BF"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342BF">
        <w:rPr>
          <w:rFonts w:eastAsia="Calibri" w:cs="Calibri"/>
          <w:bCs/>
          <w:color w:val="000000"/>
          <w:u w:color="000000"/>
          <w:bdr w:val="nil"/>
          <w14:textOutline w14:w="0" w14:cap="flat" w14:cmpd="sng" w14:algn="ctr">
            <w14:noFill/>
            <w14:prstDash w14:val="solid"/>
            <w14:bevel/>
          </w14:textOutline>
        </w:rPr>
        <w:t xml:space="preserve">The Commission announces with satisfaction that in 2022 23 reports approving friendly settlements were published, two of which, (Report No. 287/22, Case 12.961 H, Juan González and Others; and Report No. 288/22, Case 12.961 I, Transito Eduardo Arriaga López and Others) as detailed supra, were published with total compliance, thus they will not be subject to supervision by the IACHR. Accordingly, 21 new matters came to be monitored for the first time, in the Annual Report of the IACHR on this occasion. They are listed next, in alphabetical order by the state concerned and chronological order based on the date the Commission’s decisions were issued: </w:t>
      </w:r>
    </w:p>
    <w:p w14:paraId="7D350923"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76AC7E4B"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14:textOutline w14:w="0" w14:cap="flat" w14:cmpd="sng" w14:algn="ctr">
            <w14:noFill/>
            <w14:prstDash w14:val="solid"/>
            <w14:bevel/>
          </w14:textOutline>
        </w:rPr>
        <w:tab/>
        <w:t>Report No. 168/22, Case 12.289, Guillermo Santiago Zaldívar (Argentina)</w:t>
      </w:r>
    </w:p>
    <w:p w14:paraId="527609BE"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14:textOutline w14:w="0" w14:cap="flat" w14:cmpd="sng" w14:algn="ctr">
            <w14:noFill/>
            <w14:prstDash w14:val="solid"/>
            <w14:bevel/>
          </w14:textOutline>
        </w:rPr>
        <w:tab/>
        <w:t>Report No.305/22, Petition 1256-05, Ivana Emilce Rosales (Argentina)</w:t>
      </w:r>
    </w:p>
    <w:p w14:paraId="156099AA"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14:textOutline w14:w="0" w14:cap="flat" w14:cmpd="sng" w14:algn="ctr">
            <w14:noFill/>
            <w14:prstDash w14:val="solid"/>
            <w14:bevel/>
          </w14:textOutline>
        </w:rPr>
        <w:tab/>
        <w:t>Report No. 349/22, Case 13.869 Silvia Mónica Severini (Argentina)</w:t>
      </w:r>
    </w:p>
    <w:p w14:paraId="35F3C7DB"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 xml:space="preserve">Report No. 350/22, Case 14.669, Mariano Bejarano (Argentina) </w:t>
      </w:r>
    </w:p>
    <w:p w14:paraId="6446DFC4"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170/22, Case 14.312, Juan Carlos De La Calle Jiménez y Javier De La Calle Jiménez (Colombia)</w:t>
      </w:r>
    </w:p>
    <w:p w14:paraId="0E035FC9"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169/22, Petition 1617-12, Domingo José Rivas Coronado (Colombia)</w:t>
      </w:r>
    </w:p>
    <w:p w14:paraId="327E65FB"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94/22, Petition 1391-15, Mario Antonio Cardona Varela and others (Colombia)</w:t>
      </w:r>
    </w:p>
    <w:p w14:paraId="361B1E5C"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68/22, Case 13.125, Ricardo Antonio Elías and relatives (Colombia)</w:t>
      </w:r>
    </w:p>
    <w:p w14:paraId="49687089"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67/22, Case13.436, José Oleaguer Correa Castrillón (Colombia)</w:t>
      </w:r>
    </w:p>
    <w:p w14:paraId="46B20BB0"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66/22, Case13.964, Darío Gómez Cartagena and relatives (Colombia)</w:t>
      </w:r>
    </w:p>
    <w:p w14:paraId="37774990"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65/22, Case14.306, José Ramón Ochoa Salazar and relatives (Colombia)</w:t>
      </w:r>
    </w:p>
    <w:p w14:paraId="764DDEFE"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64/22, Case13.654, Juan Simón Cantillo Raigoza, Keyla Sandrith Cantillo Vides and relatives (Colombia)</w:t>
      </w:r>
    </w:p>
    <w:p w14:paraId="2470B3A1"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63/22, Case13.775, Gabriel Angel Gómez Martínez and relatives (Colombia)</w:t>
      </w:r>
    </w:p>
    <w:p w14:paraId="12A7FCFC"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60/22, Petition 514-11, Luis Hernando Morera Garzón (Colombia)</w:t>
      </w:r>
    </w:p>
    <w:p w14:paraId="51A10CB0"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59/22, Petition 535-17, Luis Gerardo Bermudez (Colombia)</w:t>
      </w:r>
    </w:p>
    <w:p w14:paraId="2A709E2C"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58/22, Case14.291, Capitan N (Colombia)</w:t>
      </w:r>
    </w:p>
    <w:p w14:paraId="3D70B67B"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285/22, Case14.093 Ernesto Ramírez Berrios (Colombia)</w:t>
      </w:r>
    </w:p>
    <w:p w14:paraId="281564E0"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286/22, Case13.226 Dora Inés Meneses Gómez and others (Colombia)</w:t>
      </w:r>
    </w:p>
    <w:p w14:paraId="57CBB732"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lang w:val="es-AR"/>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lang w:val="es-AR"/>
          <w14:textOutline w14:w="0" w14:cap="flat" w14:cmpd="sng" w14:algn="ctr">
            <w14:noFill/>
            <w14:prstDash w14:val="solid"/>
            <w14:bevel/>
          </w14:textOutline>
        </w:rPr>
        <w:tab/>
        <w:t>Report No. 61/22, Petition 1287-19, Roberto Molina Barreto, Zury Mayte Ríos Sosa y MWR (Guatemala)</w:t>
      </w:r>
    </w:p>
    <w:p w14:paraId="3D3FE07E"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14:textOutline w14:w="0" w14:cap="flat" w14:cmpd="sng" w14:algn="ctr">
            <w14:noFill/>
            <w14:prstDash w14:val="solid"/>
            <w14:bevel/>
          </w14:textOutline>
        </w:rPr>
        <w:tab/>
        <w:t>Report No. 287/22, Case12.961 H, Juan González, and others, (Honduras)</w:t>
      </w:r>
    </w:p>
    <w:p w14:paraId="569407C1"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14:textOutline w14:w="0" w14:cap="flat" w14:cmpd="sng" w14:algn="ctr">
            <w14:noFill/>
            <w14:prstDash w14:val="solid"/>
            <w14:bevel/>
          </w14:textOutline>
        </w:rPr>
        <w:tab/>
        <w:t>Report No. 288/22, Case12.961 I, Transito Eduardo Arriaga López and others, (Honduras)</w:t>
      </w:r>
    </w:p>
    <w:p w14:paraId="07FA69FB"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14:textOutline w14:w="0" w14:cap="flat" w14:cmpd="sng" w14:algn="ctr">
            <w14:noFill/>
            <w14:prstDash w14:val="solid"/>
            <w14:bevel/>
          </w14:textOutline>
        </w:rPr>
        <w:tab/>
        <w:t>Report No. 171/22, Case13.007, José Alfredo Jiménez Mota and relatives (México)</w:t>
      </w:r>
    </w:p>
    <w:p w14:paraId="2CC0871E" w14:textId="77777777" w:rsidR="002E260B" w:rsidRPr="008A2D67" w:rsidRDefault="002E260B" w:rsidP="003A1AA9">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8A2D67">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8A2D67">
        <w:rPr>
          <w:rFonts w:ascii="Cambria" w:eastAsia="Calibri" w:hAnsi="Cambria" w:cs="Calibri"/>
          <w:bCs/>
          <w:color w:val="000000"/>
          <w:sz w:val="20"/>
          <w:szCs w:val="20"/>
          <w:u w:color="000000"/>
          <w:bdr w:val="nil"/>
          <w14:textOutline w14:w="0" w14:cap="flat" w14:cmpd="sng" w14:algn="ctr">
            <w14:noFill/>
            <w14:prstDash w14:val="solid"/>
            <w14:bevel/>
          </w14:textOutline>
        </w:rPr>
        <w:tab/>
        <w:t>Report No. 183/22, Petition 1376-19, Silvia Angelica Flores Mosquera (Uruguay)</w:t>
      </w:r>
    </w:p>
    <w:p w14:paraId="710C67EE"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03FC1418" w14:textId="6A7F2648" w:rsidR="002E260B" w:rsidRPr="008A2D67"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A2D67">
        <w:rPr>
          <w:rFonts w:eastAsia="Calibri" w:cs="Calibri"/>
          <w:bCs/>
          <w:color w:val="000000"/>
          <w:u w:color="000000"/>
          <w:bdr w:val="nil"/>
          <w14:textOutline w14:w="0" w14:cap="flat" w14:cmpd="sng" w14:algn="ctr">
            <w14:noFill/>
            <w14:prstDash w14:val="solid"/>
            <w14:bevel/>
          </w14:textOutline>
        </w:rPr>
        <w:t xml:space="preserve">Next is a summary of the factual aspects of those matters and the relevant aspects of these friendly settlement processes: </w:t>
      </w:r>
    </w:p>
    <w:p w14:paraId="789B8F4B"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02D52164" w14:textId="2BC7B5F0" w:rsidR="002E260B" w:rsidRPr="0072016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720165">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720165">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720165">
        <w:rPr>
          <w:rFonts w:ascii="Cambria" w:eastAsia="Calibri" w:hAnsi="Cambria" w:cs="Calibri"/>
          <w:b/>
          <w:i/>
          <w:iCs/>
          <w:color w:val="000000"/>
          <w:sz w:val="20"/>
          <w:szCs w:val="20"/>
          <w:u w:color="000000"/>
          <w:bdr w:val="nil"/>
          <w14:textOutline w14:w="0" w14:cap="flat" w14:cmpd="sng" w14:algn="ctr">
            <w14:noFill/>
            <w14:prstDash w14:val="solid"/>
            <w14:bevel/>
          </w14:textOutline>
        </w:rPr>
        <w:t>Case 12.289, Guillermo Santiago Zaldívar, Argentina:</w:t>
      </w:r>
      <w:r w:rsidRPr="0072016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the case relates to the international responsibility of the Argentine State due to the rejection of the appeal against the judgment that convicted Guillermo Santiago Zaldívar for manslaughter as well as the unwarranted delays in the criminal proceeding. In the friendly settlement agreement signed on March 18, 2021, the State acknowledged its international responsibility for the violation of the right enshrined in article 8 (right to a fair trial) of the American Convention on Human Rights to the detriment of Guillermo Santiago Zaldívar and undertook to adopt significant measures of reparation, which consisted of the publication of the FSA in the Official Gazette of the Argentine Republic and two national newspapers, and to constitute an ad-hoc Arbitration Tribunal, to determine the amount to be awarded as pecuniary reparation. In its Report No. 168/22, the Commission valued the Argentine State’s acknowledgment of international responsibility for the violations committed and established that all</w:t>
      </w:r>
      <w:r w:rsidR="00720165" w:rsidRPr="0072016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w:t>
      </w:r>
      <w:r w:rsidRPr="0072016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of the agreed </w:t>
      </w:r>
      <w:r w:rsidRPr="00720165">
        <w:rPr>
          <w:rFonts w:ascii="Cambria" w:eastAsia="Calibri" w:hAnsi="Cambria" w:cs="Calibri"/>
          <w:bCs/>
          <w:color w:val="000000"/>
          <w:sz w:val="20"/>
          <w:szCs w:val="20"/>
          <w:u w:color="000000"/>
          <w:bdr w:val="nil"/>
          <w14:textOutline w14:w="0" w14:cap="flat" w14:cmpd="sng" w14:algn="ctr">
            <w14:noFill/>
            <w14:prstDash w14:val="solid"/>
            <w14:bevel/>
          </w14:textOutline>
        </w:rPr>
        <w:lastRenderedPageBreak/>
        <w:t xml:space="preserve">measures were pending compliance given the decision of the parties to defer their fulfillment after the issuance of the approval report. </w:t>
      </w:r>
    </w:p>
    <w:p w14:paraId="456EB798" w14:textId="77777777" w:rsidR="002E260B" w:rsidRPr="0072016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p>
    <w:p w14:paraId="438619E3" w14:textId="77777777" w:rsidR="002E260B" w:rsidRPr="0072016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720165">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720165">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720165">
        <w:rPr>
          <w:rFonts w:ascii="Cambria" w:eastAsia="Calibri" w:hAnsi="Cambria" w:cs="Calibri"/>
          <w:b/>
          <w:i/>
          <w:iCs/>
          <w:color w:val="000000"/>
          <w:sz w:val="20"/>
          <w:szCs w:val="20"/>
          <w:u w:color="000000"/>
          <w:bdr w:val="nil"/>
          <w14:textOutline w14:w="0" w14:cap="flat" w14:cmpd="sng" w14:algn="ctr">
            <w14:noFill/>
            <w14:prstDash w14:val="solid"/>
            <w14:bevel/>
          </w14:textOutline>
        </w:rPr>
        <w:t>Report No. 305/22, Petition 1256-05, Ivana Emilce Rosales, Argentina:</w:t>
      </w:r>
      <w:r w:rsidRPr="0072016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the case relates to the international responsibility of the Argentine State due to the alleged violation of the human rights recognized in articles 5 (right to humane treatment), 8 (right to a fair trial), 11 (right to privacy), 24 (right to equal protection), and 25 (right to judicial protection) of the American Convention on Human Rights, as well as in articles 4 and 7 of the Convention of Belem do Para, to the detriment of Ivana Emilce Rosales and her daughters Mayka and Abril, by virtue of an arbitrary, discriminatory judicial decision during the criminal investigation for attempted homicide in a context of gender violence of which Ivana and her daughters, Mayka and Abril, were victims. The friendly settlement agreement signed on September 23, 2021, incorporated a commitment previously signed with the province of Neuquén on September 11, 2019; in that sense, the final friendly settlement agreement included commitments from both the province of Neuquén and the National Government, as well as applying in its design a crosscutting intersectional, gender, and human rights approach.</w:t>
      </w:r>
    </w:p>
    <w:p w14:paraId="0A9BF7E1"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1C81211F" w14:textId="77777777" w:rsidR="002E260B" w:rsidRPr="0072016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72016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The agreement contains several measures, including (a) holding an official public ceremony to acknowledge international responsibility; (b) the publication of the friendly settlement agreement; (c) the dissemination of the agreement concerning Neuquén Province; (d) the distribution and screening of the film "Ella se lo buscó” [She Asked for It] and the documentary "Gotas de Lluvia” [Raindrops]; (e) the provision of legal assistance to enable Abril to change her paternal surname; (f) the granting of a house; (g) economic compensation; (h) the creation of the Ivana and Mayka Rosales Comprehensive Protection Center for victims of gender violence; (i) measures to provide free, comprehensive, expert legal representation to victims of gender violence; (j) the publication and distribution of an information leaflet on gender violence; (k) training for public officials regarding the so-called “Micaela Law”; and (l) the implementation of a National Registry of Gender Violence. The agreement also includes major high-impact measures regarding implementing and raising awareness around the following public policies: the National Action Plan against Gender-Based Violence, the National Program for the Prevention of Gender-Based Violence, the implementation of the Program to Support People at Risk of Gender-Based Violence and the raising of awareness around this, the Interministerial Program for a Comprehensive Approach to Extreme Violence, the Program for Urgent Support and Immediate Comprehensive Assistance in Cases of Extreme Gender-Based Violence, strengthening access to justice for people in situations of gender-based violence, the strengthening of the Legal Aid Corps for Victims of Gender-Based Violence, Training for Police and Security Forces, the strengthening of the Program for Territorial Systems for the Comprehensive Protection of People in the Context of Gender-Based Violence, the production of strategic and systematized information on gender-based violence, the Integrated Gender-Based Violence Case System, and the creation of the lethal risk module for the Integrated Gender-Based Violence Case System. </w:t>
      </w:r>
    </w:p>
    <w:p w14:paraId="20E06673"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5BC7087E" w14:textId="77777777" w:rsidR="002E260B" w:rsidRPr="0072016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72016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In its Report No. 305/22, the Commission declared full compliance with the clauses of the provincial act of commitment on legal assistance to Abril Rosales; allocation of a house to Abril Rosales; pecuniary compensation; costs and expenses and dissemination of the film "Ella se lo buscó".  The Commission also decided to declare partial compliance with the clauses under the provincial act of commitment on the creation of the "Ivana Rosales and Mayka Rosales" Comprehensive Protection Center for victims of gender violence; free, comprehensive, and specialized legal representation; publication and dissemination of the information leaflet on gender violence; and training of public officials on the “Micaela Law”. Likewise, the Commission decided to declare that the clauses on a National Registry of Gender Violence and the dissemination of the provincial agreement on the provincial act of commitment were pending compliance. On the other hand, in relation to the friendly settlement agreement with the Nation, the Commission decided to declare full compliance with the clause on the public ceremony to acknowledge international responsibility; as well as partial compliance with the clauses on the publication of the FSA; the National Program for the Prevention </w:t>
      </w:r>
      <w:r w:rsidRPr="00720165">
        <w:rPr>
          <w:rFonts w:ascii="Cambria" w:eastAsia="Calibri" w:hAnsi="Cambria" w:cs="Calibri"/>
          <w:bCs/>
          <w:color w:val="000000"/>
          <w:sz w:val="20"/>
          <w:szCs w:val="20"/>
          <w:u w:color="000000"/>
          <w:bdr w:val="nil"/>
          <w14:textOutline w14:w="0" w14:cap="flat" w14:cmpd="sng" w14:algn="ctr">
            <w14:noFill/>
            <w14:prstDash w14:val="solid"/>
            <w14:bevel/>
          </w14:textOutline>
        </w:rPr>
        <w:lastRenderedPageBreak/>
        <w:t xml:space="preserve">of Gender-Based Violence; promotion and training related to the Micaela Law; implementation of the Program to Support People at Risk of Gender-based Violence; Program for Urgent Support and Immediate Comprehensive Assistance in Cases of Extreme Gender-based Violence; strengthening access to justice for people in situations of gender-based violence; strengthening of the Program for Territorial Systems for the Comprehensive Protection of People in the Context of Gender-based Violence, the Integrated Gender-based Violence Case System, and the preparation and dissemination of general guidelines for work on masculinity without violence. Finally, the Commission decided to declare pending compliance with the clauses related to the National Action Plan against Gender-based Violence, the Interministerial Program for a Comprehensive Approach to Extreme Violence, training for police and security forces, the creation of a lethal risk protocol and the dissemination of the documentary "Gotas de Lluvia" [Raindrops]. </w:t>
      </w:r>
    </w:p>
    <w:p w14:paraId="7D9DA4E2"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23CB6D83" w14:textId="77777777" w:rsidR="002E260B" w:rsidRPr="00286922"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286922">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286922">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286922">
        <w:rPr>
          <w:rFonts w:ascii="Cambria" w:eastAsia="Calibri" w:hAnsi="Cambria" w:cs="Calibri"/>
          <w:b/>
          <w:i/>
          <w:iCs/>
          <w:color w:val="000000"/>
          <w:sz w:val="20"/>
          <w:szCs w:val="20"/>
          <w:u w:color="000000"/>
          <w:bdr w:val="nil"/>
          <w14:textOutline w14:w="0" w14:cap="flat" w14:cmpd="sng" w14:algn="ctr">
            <w14:noFill/>
            <w14:prstDash w14:val="solid"/>
            <w14:bevel/>
          </w14:textOutline>
        </w:rPr>
        <w:t>Cases 13.869, Silvia Mónica Severini, and 12.669, Mariano Bejarano, Argentina:</w:t>
      </w:r>
      <w:r w:rsidRPr="00286922">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both cases relate to violations the human rights recognized in articles 8 (right to a fair trial), 24 (right to equal protection) and 25 (right to judicial protection), in relation to article 1 (obligation to respect rights) of the American Convention on Human Rights, to the detriment of the victims arising from the rejection of their applications for access to reparation under Law No. 24.043, which provided for the granting of benefits to persons who had been placed at the disposal of the P.E.N. during the state of siege, or who, as civilians, had been detained by virtue of decisions issued by military tribunals. In the friendly settlement agreements signed on February 23, 2022, the State undertook to issue ministerial resolutions granting reparation and to make the disbursals ordered in those resolutions. In its Reports No. 349/22 and 350/22, the Commission observed that the State had complied with the issuance of the resolutions but that the effective payment of said obligations was pending, which would be supervised by the Commission during the friendly settlement monitoring stage. </w:t>
      </w:r>
    </w:p>
    <w:p w14:paraId="4E34F45C"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608F48FC" w14:textId="77777777" w:rsidR="002E260B" w:rsidRPr="00236A26"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236A26">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236A26">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236A26">
        <w:rPr>
          <w:rFonts w:ascii="Cambria" w:eastAsia="Calibri" w:hAnsi="Cambria" w:cs="Calibri"/>
          <w:b/>
          <w:i/>
          <w:iCs/>
          <w:color w:val="000000"/>
          <w:sz w:val="20"/>
          <w:szCs w:val="20"/>
          <w:u w:color="000000"/>
          <w:bdr w:val="nil"/>
          <w14:textOutline w14:w="0" w14:cap="flat" w14:cmpd="sng" w14:algn="ctr">
            <w14:noFill/>
            <w14:prstDash w14:val="solid"/>
            <w14:bevel/>
          </w14:textOutline>
        </w:rPr>
        <w:t>Case 14.312, Juan Carlos De La Calle Jimenez and Javier De La Calle Jimenez, Colombia:</w:t>
      </w:r>
      <w:r w:rsidRPr="00236A26">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the case relates to the international responsibility of the Colombian State for the failure to investigate the facts surrounding the alleged murder of Juan Carlos de la Calle Jiménez in November 1986 and Javier de la Calle Jiménez in November 1988 in the municipality of Uraba, in the Department of Antioquia, by alleged members of the erstwhile Revolutionary Armed Forces of Colombia (FARC), as well as the failure to punish those responsible. In the friendly settlement agreement signed on November 26, 2021, the State acknowledged its international responsibility, by omission, for the violation of the rights recognized in articles 8 (right to a fair trial) and 25 (right to judicial protection) of the American Convention on Human Rights to the detriment of the relatives of Juan Carlos de la Calle Jiménez and Javier de la Calle Jiménez, due to the failure to conduct a diligent investigation of the facts. Likewise, the State undertook to implement reparation measures consisting of holding a virtual private ceremony of acknowledgment of responsibility; publishing the friendly settlement agreement on the website of the National Legal Defense Agency of the State; continuing the investigation of the facts within the framework of the inquiry carried out by the Special Peace Jurisdiction (JEP) in the macro-case 04, which prioritizes the humanitarian situation in the municipalities of Turbo, Apartado, Carepa, Chigorodo, Mutata, Dabeiba (Antioquia Department) and El Carmen del Darién Riosucio, Unguia and Acandi (Chocó Department); and granting pecuniary reparation under Law 288 of 1996. In its Report No. 170/22, the Commission declared full compliance with the measure relating to the ceremony of acknowledgment of responsibility. It also considered that the measures relating to the publication of the report under article 49 of the ACHR and the economic compensation to be provided after the approval were pending compliance. </w:t>
      </w:r>
    </w:p>
    <w:p w14:paraId="73EFC409"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50407AF7" w14:textId="77777777" w:rsidR="002E260B" w:rsidRPr="006D594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6D5945">
        <w:rPr>
          <w:rFonts w:ascii="Cambria" w:eastAsia="Calibri" w:hAnsi="Cambria" w:cs="Calibri"/>
          <w:b/>
          <w:i/>
          <w:iCs/>
          <w:color w:val="000000"/>
          <w:sz w:val="20"/>
          <w:szCs w:val="20"/>
          <w:u w:color="000000"/>
          <w:bdr w:val="nil"/>
          <w14:textOutline w14:w="0" w14:cap="flat" w14:cmpd="sng" w14:algn="ctr">
            <w14:noFill/>
            <w14:prstDash w14:val="solid"/>
            <w14:bevel/>
          </w14:textOutline>
        </w:rPr>
        <w:t>Petition 1617-12, Domingo José Rivas Coronado, Colombia:</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this petition concerns the international responsibility of the Colombian State for the alleged extrajudicial execution of Carlos Jeronimo Rivas Coronado, on June 11, 1988, at a place known as "La Apartada” in the jurisdiction of the Municipality of Puerto Escondido, Department of Córdoba by agents of the National Police. The homicide was allegedly the result of an order purportedly issued by his superiors apparently in co-</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lastRenderedPageBreak/>
        <w:t xml:space="preserve">authorship with persons who at the time belonged to paramilitary groups in the region, with the alleged aim of dispossessing Mr. Carlos Jeronimo Rivas Coronado of his property. In the friendly settlement agreement signed on December 20, 2021, the State acknowledged its international responsibility, by omission, for the violation of the rights recognized in articles 8 (right to a fair trial) and 25 (right to judicial protection) of the American Convention on Human Rights to the detriment of the relatives of Mr. Domingo José Rivas Coronado, due to the lack of a diligent investigation of the facts, which resulted in the failure to identify, prosecute, and sanction those responsible for his murder. The agreement reached included the following reparation measures: (a) a ceremony of acknowledgment of responsibility; (b) the unveiling of a commemorative plaque; (c) publication of the FSA; (d) educational assistance; (e) comprehensive health care; (f) justice; and (g) economic compensation. In its Report No. 169/22, the Commission declared full compliance with the measure relating to the ceremony of acknowledgment of responsibility. It also considered that the measures relating to the unveiling of the plaque, the publication of the report under article 49 of the ACHR, educational assistance, health and rehabilitation, justice, and compensation were pending compliance. </w:t>
      </w:r>
    </w:p>
    <w:p w14:paraId="54BA2C92" w14:textId="77777777" w:rsidR="002E260B" w:rsidRPr="006D594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p>
    <w:p w14:paraId="054CCAE3" w14:textId="77777777" w:rsidR="002E260B" w:rsidRPr="006D594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6D5945">
        <w:rPr>
          <w:rFonts w:ascii="Cambria" w:eastAsia="Calibri" w:hAnsi="Cambria" w:cs="Calibri"/>
          <w:b/>
          <w:i/>
          <w:iCs/>
          <w:color w:val="000000"/>
          <w:sz w:val="20"/>
          <w:szCs w:val="20"/>
          <w:u w:color="000000"/>
          <w:bdr w:val="nil"/>
          <w14:textOutline w14:w="0" w14:cap="flat" w14:cmpd="sng" w14:algn="ctr">
            <w14:noFill/>
            <w14:prstDash w14:val="solid"/>
            <w14:bevel/>
          </w14:textOutline>
        </w:rPr>
        <w:t>Petition 1391-15, Mario Antonio Cardona Varela and others, Colombia:</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the petition concerns the State's international responsibility for the forced disappearance of Mario Antonio Cardona Varela on October 31, 1988, in the municipality of Tierra Alta Córdoba (allegedly at the hands of officers of the State), as well as the subsequent failure to investigate these facts and punish the individuals responsible for them. In this friendly settlement agreement signed on July 26, 2021, the Colombian State acknowledged its international responsibility for violations of the rights recognized in articles 4 (right to life), 5 (right to humane treatment), 7 (right to personal liberty), 8 (right to a fair trial), and 25 (right to judicial protection) of the American Convention on Human Rights, in connection with article 1(1) (obligation to respect rights) of the Convention, to the detriment of Mario Antonio Cardona and his family, for lack of due diligence to establish what happened. The State committed to implementing the following redress measures: holding a virtual private event to acknowledge its responsibility; publishing the friendly settlement agreement on the National Police website; and providing financial compensation through the mechanism that was set up by Law 288 of 1996. In its Report No. 94/22, the Commission declared total compliance with the measure concerning the private event to acknowledge responsibility and noted that the measures related to the publication of the agreement and compensation remained pending. </w:t>
      </w:r>
    </w:p>
    <w:p w14:paraId="6E1024E1"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7C63B156" w14:textId="77777777" w:rsidR="002E260B" w:rsidRPr="006D594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6D5945">
        <w:rPr>
          <w:rFonts w:ascii="Cambria" w:eastAsia="Calibri" w:hAnsi="Cambria" w:cs="Calibri"/>
          <w:b/>
          <w:i/>
          <w:iCs/>
          <w:color w:val="000000"/>
          <w:sz w:val="20"/>
          <w:szCs w:val="20"/>
          <w:u w:color="000000"/>
          <w:bdr w:val="nil"/>
          <w14:textOutline w14:w="0" w14:cap="flat" w14:cmpd="sng" w14:algn="ctr">
            <w14:noFill/>
            <w14:prstDash w14:val="solid"/>
            <w14:bevel/>
          </w14:textOutline>
        </w:rPr>
        <w:t>Case 13.125, Ricardo Antonio Elías and family, Colombia:</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the case relates to the international responsibility of the Colombian State for the murder of Ricardo Antonio Elías by the so-called guerrilla group the National Liberation Army (ELN) on November 13, 1988, during a takeover by the guerrilla group in the Cocuy area of the department of Boyacá. In the friendly settlement agreement signed on March 1, 2022, the State acknowledged its international responsibility, by omission, for the violation of the rights recognized in articles 8 (right to a fair trial) and 25 (right to judicial protection) of the American Convention to the detriment of the relatives of Ricardo Antonio Elías Puente, due to the lack of a diligent investigation of the facts, which resulted in the failure to identify, and prosecute those responsible for his murder. It also undertook to implement reparation measures consisting of: (1) the presentation of a letter dignifying the victim's family; (2) the publication of the friendly settlement agreement on the website of the National Legal Defense Agency of the State, and (3) granting a pecuniary reparation under Law 288 of 1996. In its Report No. 68/22, the Commission declared full compliance with the measure relating to the presentation of the letter dignifying the family of Ricardo Antonio Elías Puente. It also considered that the measures regarding the publication of the agreement and economic compensation were pending compliance.</w:t>
      </w:r>
    </w:p>
    <w:p w14:paraId="17973C23" w14:textId="77777777" w:rsidR="002E260B" w:rsidRPr="006D594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p>
    <w:p w14:paraId="1FEAC2FD" w14:textId="77777777" w:rsidR="002E260B" w:rsidRPr="006D594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6D5945">
        <w:rPr>
          <w:rFonts w:ascii="Cambria" w:eastAsia="Calibri" w:hAnsi="Cambria" w:cs="Calibri"/>
          <w:b/>
          <w:color w:val="000000"/>
          <w:sz w:val="20"/>
          <w:szCs w:val="20"/>
          <w:u w:color="000000"/>
          <w:bdr w:val="nil"/>
          <w14:textOutline w14:w="0" w14:cap="flat" w14:cmpd="sng" w14:algn="ctr">
            <w14:noFill/>
            <w14:prstDash w14:val="solid"/>
            <w14:bevel/>
          </w14:textOutline>
        </w:rPr>
        <w:t>Case 13.436, José Oleaguer Correa Castrillón, Colombia:</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the case concerns the State's international responsibility for the lack of diligence in the investigation into the disappearance of José Oleaguer Correa, which took place on May 6, 1987, in Puerto Berrio, Antioquia, and allegedly entailed </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lastRenderedPageBreak/>
        <w:t>his being kidnapped, tortured, and murdered by the Army. In the friendly settlement agreement signed on December 21, 2021, the Colombian State acknowledged its international responsibility for violating the rights enshrined in articles 8 (the right to a fair trial) and 25 (the right to judicial protection) of the American Convention on Human Rights in relation to article 1.1. of this instrument, to the detriment of the family of Jose Oleaguer Correa Castrillón, due to the lack of diligence in the investigation into his disappearance. The State undertook to implement the following reparation measures: 1) hold an online ceremony to acknowledge responsibility; 2) publish the friendly settlement agreement on the website of the National Legal Defense Authority; 3) grant one beneficiary financial assistance to finance a university program; 4) continue to comply with the obligation to investigate, prosecute, and punish the people responsible for the forced disappearance of José Oleaguer Correa; and 5) grant financial reparation through the application of Law 288 of 1996. In its Report 67/22, the Commission declared total compliance with the measure related to the ceremony to acknowledge responsibility. It also deemed that the measures related to the publication of the agreement, scholarship, justice, and compensation remained pending.</w:t>
      </w:r>
    </w:p>
    <w:p w14:paraId="0C472733"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20B7875A" w14:textId="77777777" w:rsidR="002E260B" w:rsidRPr="006D594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6D5945">
        <w:rPr>
          <w:rFonts w:ascii="Cambria" w:eastAsia="Calibri" w:hAnsi="Cambria" w:cs="Calibri"/>
          <w:b/>
          <w:i/>
          <w:iCs/>
          <w:color w:val="000000"/>
          <w:sz w:val="20"/>
          <w:szCs w:val="20"/>
          <w:u w:color="000000"/>
          <w:bdr w:val="nil"/>
          <w14:textOutline w14:w="0" w14:cap="flat" w14:cmpd="sng" w14:algn="ctr">
            <w14:noFill/>
            <w14:prstDash w14:val="solid"/>
            <w14:bevel/>
          </w14:textOutline>
        </w:rPr>
        <w:t>Case 13.964, Darío Gómez Cartagena and relatives, Colombia:</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this case concerns the State's international responsibility for the failure to investigate the 1999 homicide (allegedly perpetrated by a paramilitary group) of Darío Gómez Cartagena in the village of Nutibara, in the municipality of Frontino, in the department of Antioquia, and to punish the people responsible for it. In the friendly settlement agreement signed on December 23, 2021, the State acknowledged its international responsibility for violations of the rights held in articles 8 (right to a fair trial) and 25 (right to judicial protection) of the American Convention on Human Rights, in accordance with article 1.1 of the Convention, to the detriment of the family of Darío Gómez Cartagena, for lack of diligence to investigate these facts. The State committed to implementing the following redress measures: (1) holding a virtual private event to acknowledge its responsibility; (2) publishing the friendly settlement agreement on the website of the National Legal Defense Agency; and (3) providing financial compensation through the mechanism that was set up by Law 288 of 1996. In its Report 66/22, the Commission valued the recognition of international responsibility of the State for the violations occurred and established that compliance with all measures held in the agreement remained pending, because of the decision of the parties to defer their execution after the emission of the approval report.</w:t>
      </w:r>
    </w:p>
    <w:p w14:paraId="3BD04789"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40552351" w14:textId="77777777" w:rsidR="002E260B" w:rsidRPr="006D594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6D5945">
        <w:rPr>
          <w:rFonts w:ascii="Cambria" w:eastAsia="Calibri" w:hAnsi="Cambria" w:cs="Calibri"/>
          <w:b/>
          <w:i/>
          <w:iCs/>
          <w:color w:val="000000"/>
          <w:sz w:val="20"/>
          <w:szCs w:val="20"/>
          <w:u w:color="000000"/>
          <w:bdr w:val="nil"/>
          <w14:textOutline w14:w="0" w14:cap="flat" w14:cmpd="sng" w14:algn="ctr">
            <w14:noFill/>
            <w14:prstDash w14:val="solid"/>
            <w14:bevel/>
          </w14:textOutline>
        </w:rPr>
        <w:t>•</w:t>
      </w:r>
      <w:r w:rsidRPr="006D5945">
        <w:rPr>
          <w:rFonts w:ascii="Cambria" w:eastAsia="Calibri" w:hAnsi="Cambria" w:cs="Calibri"/>
          <w:b/>
          <w:i/>
          <w:iCs/>
          <w:color w:val="000000"/>
          <w:sz w:val="20"/>
          <w:szCs w:val="20"/>
          <w:u w:color="000000"/>
          <w:bdr w:val="nil"/>
          <w14:textOutline w14:w="0" w14:cap="flat" w14:cmpd="sng" w14:algn="ctr">
            <w14:noFill/>
            <w14:prstDash w14:val="solid"/>
            <w14:bevel/>
          </w14:textOutline>
        </w:rPr>
        <w:tab/>
        <w:t>Case 14.306, José Ramón Ochoa Salazar and relatives, Colombia:</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the case relates to the State's international responsibility for the failure to investigate and punish those responsible for the murder of José Ramón Ochoa Salazar in 1997, which was allegedly perpetrated by members of the Revolutionary Armed Forces of Colombia (FARC) in the municipality of Puerto Rico, Meta department. In the friendly settlement agreement signed on December 21, 2021, the Colombian State acknowledged its international responsibility for the failure to comply with its duty to guarantee the rights enshrined in articles 8 (the right to a fair trial) and 25 (the right to judicial protection) of the American Convention on Human Rights in relation to article 1.1. of this instrument, to the detriment of the family of Mr. José Ramón Ochoa Salazar, due to the lack of diligence in the investigation into the facts. The State undertook to implement the following reparation measures: 1) hold a private virtual ceremony to acknowledge responsibility; 2) grant financial assistance to Alba Graciela Ochoa Salazar to fund an academic program at the technical-professional, university, or postgraduate level at a higher education establishment in Colombia that is recognized by the Ministry of Education; 3) organize working groups with the Ministry of Housing, Urban Affairs, and Territorial Development to present a proposal for access to housing programs; 4) publish the friendly settlement agreement on the website of the National Legal Defense Authority; and 5) grant monetary reparation through the application of Law 288 of 1996. In its Report 65/22, the Commission declared that full compliance had been achieved with measures relating to the private ceremony to acknowledge responsibility and the implementation of working groups involving the Ministry of Housing, Urban Affairs, and </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lastRenderedPageBreak/>
        <w:t>Territorial Development. Likewise, it deemed that the commitments related to the publication of the approval report under article 49 of the ACHR, scholarship and compensation remained pending.</w:t>
      </w:r>
    </w:p>
    <w:p w14:paraId="1D38BE62"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24EC74EB" w14:textId="31AB2CDC" w:rsidR="002E260B" w:rsidRPr="006D594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6D5945">
        <w:rPr>
          <w:rFonts w:ascii="Cambria" w:eastAsia="Calibri" w:hAnsi="Cambria" w:cs="Calibri"/>
          <w:b/>
          <w:i/>
          <w:iCs/>
          <w:color w:val="000000"/>
          <w:sz w:val="20"/>
          <w:szCs w:val="20"/>
          <w:u w:color="000000"/>
          <w:bdr w:val="nil"/>
          <w14:textOutline w14:w="0" w14:cap="flat" w14:cmpd="sng" w14:algn="ctr">
            <w14:noFill/>
            <w14:prstDash w14:val="solid"/>
            <w14:bevel/>
          </w14:textOutline>
        </w:rPr>
        <w:t>•</w:t>
      </w:r>
      <w:r w:rsidRPr="006D5945">
        <w:rPr>
          <w:rFonts w:ascii="Cambria" w:eastAsia="Calibri" w:hAnsi="Cambria" w:cs="Calibri"/>
          <w:b/>
          <w:i/>
          <w:iCs/>
          <w:color w:val="000000"/>
          <w:sz w:val="20"/>
          <w:szCs w:val="20"/>
          <w:u w:color="000000"/>
          <w:bdr w:val="nil"/>
          <w14:textOutline w14:w="0" w14:cap="flat" w14:cmpd="sng" w14:algn="ctr">
            <w14:noFill/>
            <w14:prstDash w14:val="solid"/>
            <w14:bevel/>
          </w14:textOutline>
        </w:rPr>
        <w:tab/>
        <w:t>Case 13.654, Juan Simón Cantillo Raigoza, Keyla Sandrith Cantillo Vides and relatives (Colombia):</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the case relates to the State's international responsibility for the failure to investigate and punish those responsible for the murder of Luis Gerardo Bermudez and the child Keyla Sandrith Cantillo Vides in 2002, which was allegedly perpetrated by members of the United Self-Defense Forces of Colombia (AUC). In the friendly settlement agreement signed on June 29, 2021, the Colombian State acknowledged its international responsibility for failure to comply with its duty to guarantee the rights enshrined in articles 8 (the right to a fair trial) and 25 (the right to judicial protection) of the American Convention on Human Rights in relation to article 1.1. of this instrument, to the detriment of the family of Juan Simón Cantillo Raigoza and Keyla Sandrith Cantillo Vides, due to the lack of diligence in the investigation into the facts. The State undertook to implement the following reparation measures: 1) hold a private online ceremony to acknowledge responsibility; 2) present the family with mementos as part of the acknowledgment ceremony; 3) publish the friendly settlement agreement on the website of the National Legal Defense Authority; 4) implement health-related rehabilitation measures comprising medical, psychological, and psychosocial care and assistance; 5) continue to pursue the investigation to identify and sanction those responsible; and 6) grant financial reparation through the application of Law 288 of 1996. In its Report 64/22, the IACHR declared total compliance of the measure relating to the private ceremony to acknowledge responsibility. Additionally, it declared partial compliance of the measure related to the mementos for the relatives. Lastly, the Commission considered that the measures related to the publication of the approval report under article 49 of the ACHR, health and rehabilitation, </w:t>
      </w:r>
      <w:r w:rsidR="006D5945"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justice,</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and compensation, remained pending. </w:t>
      </w:r>
    </w:p>
    <w:p w14:paraId="1E4E2182" w14:textId="77777777" w:rsidR="002E260B" w:rsidRPr="006D594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p>
    <w:p w14:paraId="36682C4D" w14:textId="77777777" w:rsidR="002E260B" w:rsidRPr="006D594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6D5945">
        <w:rPr>
          <w:rFonts w:ascii="Cambria" w:eastAsia="Calibri" w:hAnsi="Cambria" w:cs="Calibri"/>
          <w:b/>
          <w:i/>
          <w:iCs/>
          <w:color w:val="000000"/>
          <w:sz w:val="20"/>
          <w:szCs w:val="20"/>
          <w:u w:color="000000"/>
          <w:bdr w:val="nil"/>
          <w14:textOutline w14:w="0" w14:cap="flat" w14:cmpd="sng" w14:algn="ctr">
            <w14:noFill/>
            <w14:prstDash w14:val="solid"/>
            <w14:bevel/>
          </w14:textOutline>
        </w:rPr>
        <w:t>•</w:t>
      </w:r>
      <w:r w:rsidRPr="006D5945">
        <w:rPr>
          <w:rFonts w:ascii="Cambria" w:eastAsia="Calibri" w:hAnsi="Cambria" w:cs="Calibri"/>
          <w:b/>
          <w:i/>
          <w:iCs/>
          <w:color w:val="000000"/>
          <w:sz w:val="20"/>
          <w:szCs w:val="20"/>
          <w:u w:color="000000"/>
          <w:bdr w:val="nil"/>
          <w14:textOutline w14:w="0" w14:cap="flat" w14:cmpd="sng" w14:algn="ctr">
            <w14:noFill/>
            <w14:prstDash w14:val="solid"/>
            <w14:bevel/>
          </w14:textOutline>
        </w:rPr>
        <w:tab/>
        <w:t>Case 13.775, Gabriel Angel Gómez Martínez and family, Colombia:</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the case concerns the international responsibility of the Colombian State for the failure to investigate and punish those responsible for the murder of Gabriel Angel Gómez Martínez in 1999, which was allegedly perpetrated by members of an illegal self-defense group in the village of Nutivara, Municipality of Frontino, Department of Antioquia. In the friendly settlement agreement signed on September 7, 2021, the State acknowledged its international responsibility for failing in its duty to ensure the rights recognized in articles 8 (right to a fair trial) and 25 (right to judicial protection) of the American Convention on Human Rights to the detriment of the family of Gabriel Angel Gómez Martínez, due to lack of diligence in the investigation of the facts. Likewise, the State undertook to implement reparation measures consisting of holding a private ceremony of acknowledgment of responsibility and request for forgiveness; publishing the friendly settlement agreement on the website of the National Legal Defense Agency of the State; and granting a pecuniary reparation under Law 288 of 1996. In its Report No. 63/22, the Commission declared full compliance with the measure relating to the ceremony of acknowledgment of responsibility. It also considered that the measures regarding compensation and the publication of the report under article 49 of the ACHR were pending compliance.</w:t>
      </w:r>
    </w:p>
    <w:p w14:paraId="55786907"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07621055" w14:textId="77777777" w:rsidR="002E260B" w:rsidRPr="006D5945"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6D5945">
        <w:rPr>
          <w:rFonts w:ascii="Cambria" w:eastAsia="Calibri" w:hAnsi="Cambria" w:cs="Calibri"/>
          <w:b/>
          <w:i/>
          <w:iCs/>
          <w:color w:val="000000"/>
          <w:sz w:val="20"/>
          <w:szCs w:val="20"/>
          <w:u w:color="000000"/>
          <w:bdr w:val="nil"/>
          <w14:textOutline w14:w="0" w14:cap="flat" w14:cmpd="sng" w14:algn="ctr">
            <w14:noFill/>
            <w14:prstDash w14:val="solid"/>
            <w14:bevel/>
          </w14:textOutline>
        </w:rPr>
        <w:t>•</w:t>
      </w:r>
      <w:r w:rsidRPr="006D5945">
        <w:rPr>
          <w:rFonts w:ascii="Cambria" w:eastAsia="Calibri" w:hAnsi="Cambria" w:cs="Calibri"/>
          <w:b/>
          <w:i/>
          <w:iCs/>
          <w:color w:val="000000"/>
          <w:sz w:val="20"/>
          <w:szCs w:val="20"/>
          <w:u w:color="000000"/>
          <w:bdr w:val="nil"/>
          <w14:textOutline w14:w="0" w14:cap="flat" w14:cmpd="sng" w14:algn="ctr">
            <w14:noFill/>
            <w14:prstDash w14:val="solid"/>
            <w14:bevel/>
          </w14:textOutline>
        </w:rPr>
        <w:tab/>
        <w:t>Petition 514-11, Luis Hernando Morera Garzón, Colombia:</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this petition concerns the international responsibility of the Colombian State for the failure to investigate the homicide of Luis Hernando Morera Garzón on May 19, 1997—allegedly perpetrated by members of the Revolutionary Armed Forces of Colombia (FARC)—and to punish the people responsible for it. In the friendly settlement agreement signed on August 25, 2021, the State acknowledged its international responsibility, by omission, for violations of rights held in articles 8 (right to a fair trial) and 25 (right to judicial protection) of the American Convention on Human Rights, to the detriment of the family of Luis Hernando Morera Garzón, for lack of diligence to investigate these facts. Similarly, the State committed to adopting redress measures involving a private event of redress; publishing the friendly settlement report on the website of the National Legal Defense Agency; granting financial assistance </w:t>
      </w:r>
      <w:r w:rsidRPr="006D5945">
        <w:rPr>
          <w:rFonts w:ascii="Cambria" w:eastAsia="Calibri" w:hAnsi="Cambria" w:cs="Calibri"/>
          <w:bCs/>
          <w:color w:val="000000"/>
          <w:sz w:val="20"/>
          <w:szCs w:val="20"/>
          <w:u w:color="000000"/>
          <w:bdr w:val="nil"/>
          <w14:textOutline w14:w="0" w14:cap="flat" w14:cmpd="sng" w14:algn="ctr">
            <w14:noFill/>
            <w14:prstDash w14:val="solid"/>
            <w14:bevel/>
          </w14:textOutline>
        </w:rPr>
        <w:lastRenderedPageBreak/>
        <w:t xml:space="preserve">to Diana Patricia Morera Sánchez, to fund a suitable academic program; conducting three sessions involving beneficiaries of this agreement and officials of the Ministry of Housing, Cities, and Territory, to identify institutional offers concerning housing; and granting financial compensation in application of Law 288 of 1996. In its Report 60/22, the Commission declared full compliance with measures concerning the event to provide redress and the sessions involving the Ministry of Housing, Cities, and Territory. Likewise, the Commission considered that the commitments related to the publication of the report under article 49 of the ACHR, the scholarship and the compensation remained pending. </w:t>
      </w:r>
    </w:p>
    <w:p w14:paraId="581937BD"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5A7C239A" w14:textId="77777777" w:rsidR="002E260B" w:rsidRPr="003478E7"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3478E7">
        <w:rPr>
          <w:rFonts w:ascii="Cambria" w:eastAsia="Calibri" w:hAnsi="Cambria" w:cs="Calibri"/>
          <w:b/>
          <w:i/>
          <w:iCs/>
          <w:color w:val="000000"/>
          <w:sz w:val="20"/>
          <w:szCs w:val="20"/>
          <w:u w:color="000000"/>
          <w:bdr w:val="nil"/>
          <w14:textOutline w14:w="0" w14:cap="flat" w14:cmpd="sng" w14:algn="ctr">
            <w14:noFill/>
            <w14:prstDash w14:val="solid"/>
            <w14:bevel/>
          </w14:textOutline>
        </w:rPr>
        <w:t>•</w:t>
      </w:r>
      <w:r w:rsidRPr="003478E7">
        <w:rPr>
          <w:rFonts w:ascii="Cambria" w:eastAsia="Calibri" w:hAnsi="Cambria" w:cs="Calibri"/>
          <w:b/>
          <w:i/>
          <w:iCs/>
          <w:color w:val="000000"/>
          <w:sz w:val="20"/>
          <w:szCs w:val="20"/>
          <w:u w:color="000000"/>
          <w:bdr w:val="nil"/>
          <w14:textOutline w14:w="0" w14:cap="flat" w14:cmpd="sng" w14:algn="ctr">
            <w14:noFill/>
            <w14:prstDash w14:val="solid"/>
            <w14:bevel/>
          </w14:textOutline>
        </w:rPr>
        <w:tab/>
        <w:t>Petition 535-17, Luis Gerardo Bermudez, Colombia:</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this petition concerns the State's international responsibility for the failure to investigate the 1997 homicide (allegedly perpetrated by members of the Revolutionary Armed Forces of Colombia [FARC]) of Luis Gerardo Bermudez, whose body has not been found to date, and the lack of punishment of the people responsible for it. In the friendly settlement agreement signed on August 27, 2021, the State acknowledged its international responsibility for omitting to do its duty to protect the rights held in articles 8 (right to a fair trial) and 25 (right to judicial protection) of the American Convention on Human Rights, in accordance with article 1.1 of the Convention, to the detriment of the family of Luis Gerardo Bermudez, for lack of diligence to investigate these facts. The State committed to implementing measures that included holding a virtual private event to acknowledge its responsibility; publishing the friendly settlement agreement on the National Police website; continuing the investigation to ensure that the people responsible for this homicide are identified and punished; and providing financial compensation through the mechanism that was set up by Law 288 of 1996. In its Report 59/22, the Commission declared total compliance with measures concerning the private event to acknowledge responsibility and noted that the measures related with the publication of the agreement, justice and compensation remained pending.</w:t>
      </w:r>
    </w:p>
    <w:p w14:paraId="676EB1E5"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1CAB8E10" w14:textId="77777777" w:rsidR="002E260B" w:rsidRPr="003478E7"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3478E7">
        <w:rPr>
          <w:rFonts w:ascii="Cambria" w:eastAsia="Calibri" w:hAnsi="Cambria" w:cs="Calibri"/>
          <w:b/>
          <w:i/>
          <w:iCs/>
          <w:color w:val="000000"/>
          <w:sz w:val="20"/>
          <w:szCs w:val="20"/>
          <w:u w:color="000000"/>
          <w:bdr w:val="nil"/>
          <w14:textOutline w14:w="0" w14:cap="flat" w14:cmpd="sng" w14:algn="ctr">
            <w14:noFill/>
            <w14:prstDash w14:val="solid"/>
            <w14:bevel/>
          </w14:textOutline>
        </w:rPr>
        <w:t>Case 14.291, Captain N, Colombia:</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this case concerns the international responsibility of the Colombian State for the alleged exclusion and denial of promotion to Captain N in the Colombian National Army due to being diagnosed positive with human immunodeficiency virus (HIV). In the friendly settlement agreement signed on October 25, 2021, the State acknowledged its international responsibility for the infringement of the rights recognized in articles 8 (right to a fair trial) and 25 (right to judicial protection) of the American Convention, to the detriment of Captain N. It also acknowledged its international responsibility for violation of the right enshrined in article 5 (right to a humane treatment) of said international instrument to the detriment of Captain N, his wife, and their son. Based on the foregoing, the State committed to implement reparation measures consisting of the reinstatement of Captain N in the Colombian National Army; publishing a report under article 49 of the ACHR; granting pecuniary reparation under Law 288 of 1996; and promoting awareness programs for personnel of the security forces on human rights and sexual and reproductive rights as a framework to reduce stigmatization and discrimination against people with chronic diseases. In its Report No. 58/22, the Commission valued the acknowledgment of international responsibility made by the Colombian State for the violations caused and established that all of the agreed measures were pending compliance given the decision of the parties to defer their fulfillment after the issuance of the approval report.</w:t>
      </w:r>
    </w:p>
    <w:p w14:paraId="7C75B68E" w14:textId="77777777" w:rsidR="002E260B" w:rsidRPr="003478E7"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p>
    <w:p w14:paraId="4AE94F02"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3478E7">
        <w:rPr>
          <w:rFonts w:ascii="Cambria" w:eastAsia="Calibri" w:hAnsi="Cambria" w:cs="Calibri"/>
          <w:b/>
          <w:i/>
          <w:iCs/>
          <w:color w:val="000000"/>
          <w:sz w:val="20"/>
          <w:szCs w:val="20"/>
          <w:u w:color="000000"/>
          <w:bdr w:val="nil"/>
          <w14:textOutline w14:w="0" w14:cap="flat" w14:cmpd="sng" w14:algn="ctr">
            <w14:noFill/>
            <w14:prstDash w14:val="solid"/>
            <w14:bevel/>
          </w14:textOutline>
        </w:rPr>
        <w:t>Report No. 285/22, Case 14.093, Ernesto Ramírez Berrios, Colombia:</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the case concerns the international responsibility of the Colombian State for alleged violation of the human rights contemplated in articles 4 (right to life), 8 (right to a fair trial), and 25 (right to judicial protection) of the American Convention on Human Rights; to the detriment of Ernesto Ramírez Berrios, due to the failure to investigate the homicide of the alleged victim, who was the former mayor of the municipality of Puerto Rico, Meta, as well as for the alleged forced displacement of the alleged victim's family as a result of the facts in the case, and the subsequent failure to punish those responsible. In the friendly settlement agreement signed on March 1, 2022, the State acknowledged its international responsibility for the violation of the rights recognized in articles 8 (right to a fair trial) and 25 (right </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lastRenderedPageBreak/>
        <w:t>to judicial protection) of the American Convention, in relation to the obligation to respect rights contained in article 1(1) of the same instrument (obligation to respect), to the detriment of the relatives of Mr. Ernesto Ramírez Berrios, due to the lack of a diligent investigation of the facts, which resulted in the failure to identify and prosecute those responsible for his murder. Based on the foregoing, the State undertook to implement reparation measures consisting of a ceremony of acknowledgment of responsibility; granting educational assistance; the organization of round tables with the Ministry of Housing, Urban and Territorial Affairs; the publication of a report under article 49 of the ACHR; health care and rehabilitation; and granting pecuniary reparation under Law 288 of 1996. In its Report No. 285/22, the Commission declared full compliance with the measure relating to the ceremony of acknowledgment of responsibility. It also considered that the measures relating to the granting of educational assistance; the round tables with the Ministry of Housing; the publication of the report under article 49 of the ACHR; health and rehabilitation; and economic compensation were pending compliance.</w:t>
      </w:r>
    </w:p>
    <w:p w14:paraId="7388EF71"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6756BB95" w14:textId="77777777" w:rsidR="002E260B" w:rsidRPr="003478E7"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3478E7">
        <w:rPr>
          <w:rFonts w:ascii="Cambria" w:eastAsia="Calibri" w:hAnsi="Cambria" w:cs="Calibri"/>
          <w:b/>
          <w:i/>
          <w:iCs/>
          <w:color w:val="000000"/>
          <w:sz w:val="20"/>
          <w:szCs w:val="20"/>
          <w:u w:color="000000"/>
          <w:bdr w:val="nil"/>
          <w14:textOutline w14:w="0" w14:cap="flat" w14:cmpd="sng" w14:algn="ctr">
            <w14:noFill/>
            <w14:prstDash w14:val="solid"/>
            <w14:bevel/>
          </w14:textOutline>
        </w:rPr>
        <w:t>Report No. 286/22, 13.226, Dora Inés Meneses Gómez and others, Colombia:</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the case concerns the international responsibility of the Colombian State for the alleged failure to investigate the purported extrajudicial execution of Dora Inés Meneses Gómez, Luz Melida Ocampo, Gonzalo Ocampo Meneses, Faber Gil Buitrago, and Floresmiro Guasaquillo; the alleged injuries caused to Héctor Fabián Ocampo Meneses; the alleged deprivation of liberty of José Duvan Gil Vásquez; and the alleged failure to turn over the mortal remains of the victims, as well as the subsequent failure to punish those responsible for the facts. </w:t>
      </w:r>
    </w:p>
    <w:p w14:paraId="056734F3" w14:textId="77777777" w:rsidR="002E260B" w:rsidRPr="003478E7"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p>
    <w:p w14:paraId="6366FE61" w14:textId="77777777" w:rsidR="002E260B" w:rsidRPr="003478E7"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In the friendly settlement agreement signed on August 4, 2021, the State acknowledged its international responsibility, by omission, for the violation of the rights recognized in articles 8 (right to a fair trial) and 25 (right to judicial protection) of the American Convention on Human Rights to the detriment of Angel Emiro Meneses Muñoz, Waldina Gómez Ledesma, Angel Emiro Meneses Gómez, Ruth Mercedes Meneses Gómez y Miller Jacob Meneses Gómez, due to the failure to conduct a diligent investigation and punish those responsible for the facts of November 30, 2003, in the framework of the criminal proceeding. Likewise, the Colombian State acknowledged its international responsibility, by its acts, for the violation of the rights recognized in articles 4 (right to life), 5 (right to a humane treatment), 7 (right to personal liberty), 11 (right to privacy), 19 (rights of the child) and 22 (freedom of movement and residence) of the American Convention on Human Rights, to the detriment of Héctor Fabián Ocampo y de Gonzalo Ocampo Álvarez, Luz Mary Gómez, Rogerio Ocampo Ramada, Ana Rosa Álvarez Devia, Yon Jair Ocampo Álvarez, Rosa Orfilia Ocampo Álvarez, María Nelly Ocampo Álvarez, Teresa de Jesús Devia de Álvarez, Blanca Elvia Iles de Buesaquillo, Elber Fabián Buesaquillo Iles, Nulbia Buesaquillo Iles, Omar Buesaquillo Gaviria, Amanda Buesaquillo Gaviria, Peregrino Gaviria, Jesús Antonio Gaviria, Ubaldina Gaviria, Blanca Eider Buesaquillo Gaviria and José Duvan Gil Vásquez, for the facts of November 30, 2003. In the same sense, with respect to these victims, the State recognized its international responsibility by omission, for the violation of the rights recognized in articles 8 (right to a fair trial) and 25 (right to judicial protection) of the same instrument, in relation to the criminal proceedings conducted. Finally, the Colombian State acknowledged its international responsibility for the violation of the rights recognized in articles 5 (right to a humane treatment) and 7 (right to personal liberty) of the American Convention on Human Rights, to the detriment of José Duvan Gil Vásquez, due to his detention and prosecution for the crime of rebellion.  </w:t>
      </w:r>
    </w:p>
    <w:p w14:paraId="0139C09C" w14:textId="77777777" w:rsidR="002E260B" w:rsidRPr="003478E7"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p>
    <w:p w14:paraId="1F9ECD55" w14:textId="77777777" w:rsidR="002E260B" w:rsidRPr="003478E7"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Based on the foregoing, the State undertook to implement reparation measures consisting of the publication of a report under article 49 of the ACHR, a financial grant for higher education, health care, rehabilitation, and economic compensation. In its Report No. 286/22, the declared pending for compliance the publication of the report under article 49 of the ACHR, the granting of financial assistance, the health and rehabilitation measures, and the justice measures envisaged in the friendly </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lastRenderedPageBreak/>
        <w:t xml:space="preserve">settlement agreement. It also considered that the eighth clause on compensation measures had been partially complied with. </w:t>
      </w:r>
    </w:p>
    <w:p w14:paraId="2A37F33F"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3F7B9429" w14:textId="77777777" w:rsidR="002E260B" w:rsidRPr="003478E7"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3478E7">
        <w:rPr>
          <w:rFonts w:ascii="Cambria" w:eastAsia="Calibri" w:hAnsi="Cambria" w:cs="Calibri"/>
          <w:b/>
          <w:i/>
          <w:iCs/>
          <w:color w:val="000000"/>
          <w:sz w:val="20"/>
          <w:szCs w:val="20"/>
          <w:u w:color="000000"/>
          <w:bdr w:val="nil"/>
          <w14:textOutline w14:w="0" w14:cap="flat" w14:cmpd="sng" w14:algn="ctr">
            <w14:noFill/>
            <w14:prstDash w14:val="solid"/>
            <w14:bevel/>
          </w14:textOutline>
        </w:rPr>
        <w:t>Petition 1287-19, Roberto Molina Barreto, Zury Mayte Ríos Sosa and MWR, Guatemala:</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this petition concerns the State's international responsibility for the lack of safeguards for political participation regarding Roberto Molina Barreto and Zury Mayte Ríos Sosa. They both wanted to be candidates in the 2019 presidential election but could not do so because the internal bodies refused to accept their candidacies, although they both met the criteria to stand for elected positions. In the friendly settlement agreement signed on December 28, 2021, the State acknowledged its obligations concerning safeguards of the human right to political participation, held both in Guatemala's Political Constitution and in the American Convention on Human Rights and the International Covenant on Civil and Political Rights. These instruments establish that the exercise of this universal right should not be restricted, under any circumstances, and that all people have an equal right to participate and get involved in the country's political life if they meet the criteria established by the relevant authorities before standing for an elected position. Additionally, the State committed to conduct two awareness raising campaigns to foster women's equal right to political participation; and to hold two forums with the relevant educational institutions—private and public—to foster women's equal right to political participation. In its Report 61/22 the Commission commended the acknowledgment of responsibility clause and decided that all the measures agreed remained pending compliance due to the decision of the parties to defer its execution after the publication of the approval report.</w:t>
      </w:r>
    </w:p>
    <w:p w14:paraId="02EFCA0B" w14:textId="77777777" w:rsidR="002E260B" w:rsidRPr="00AC7438"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4426BB66" w14:textId="77777777" w:rsidR="002E260B" w:rsidRPr="003478E7"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3478E7">
        <w:rPr>
          <w:rFonts w:ascii="Cambria" w:eastAsia="Calibri" w:hAnsi="Cambria" w:cs="Calibri"/>
          <w:b/>
          <w:i/>
          <w:iCs/>
          <w:color w:val="000000"/>
          <w:sz w:val="20"/>
          <w:szCs w:val="20"/>
          <w:u w:color="000000"/>
          <w:bdr w:val="nil"/>
          <w14:textOutline w14:w="0" w14:cap="flat" w14:cmpd="sng" w14:algn="ctr">
            <w14:noFill/>
            <w14:prstDash w14:val="solid"/>
            <w14:bevel/>
          </w14:textOutline>
        </w:rPr>
        <w:t>Reports No. 287/22 and 288/22, Cases 12.961 H, Juan González and others and 12.961 I, Transito Arriaga Lopez, Honduras:</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the cases concerns the international responsibility of the State of Honduras for alleged violations of rights enshrined in the American Convention derived from the massive dismissal of personnel classified in different scales from National Police as part of a purge of that agency, due to the fact that the alleged victims would have been unjustifiably dismissed under Decree 58-2001 published in Official Gazette No. 29,504 of June 15, 2001, and without following the legal procedure established for such dismissals. As detailed in Section A of this Chapter, on friendly settlement agreements fully complied with, in the friendly settlement agreements signed, the State recognized its international responsibility in relation to the events that occurred and undertook to fully repair the victims through implementation of a measure of economic compensation, according to the amounts previously indicated. In its Report No. 287/22 and 288/22, the Commission assessed the progress in relation to each of the clauses and decided to declare total compliance of the friendly settlement agreements and ceased its supervision.</w:t>
      </w:r>
    </w:p>
    <w:p w14:paraId="1CF002C3" w14:textId="77777777" w:rsidR="002E260B" w:rsidRPr="003478E7"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p>
    <w:p w14:paraId="3EA6C0FE" w14:textId="77777777" w:rsidR="002E260B" w:rsidRPr="003478E7"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3478E7">
        <w:rPr>
          <w:rFonts w:ascii="Cambria" w:eastAsia="Calibri" w:hAnsi="Cambria" w:cs="Calibri"/>
          <w:b/>
          <w:i/>
          <w:iCs/>
          <w:color w:val="000000"/>
          <w:sz w:val="20"/>
          <w:szCs w:val="20"/>
          <w:u w:color="000000"/>
          <w:bdr w:val="nil"/>
          <w14:textOutline w14:w="0" w14:cap="flat" w14:cmpd="sng" w14:algn="ctr">
            <w14:noFill/>
            <w14:prstDash w14:val="solid"/>
            <w14:bevel/>
          </w14:textOutline>
        </w:rPr>
        <w:t>Case 13.007, José Alfredo Jiménez Mota and family, Mexico:</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this case relates to the international responsibility of the State of Mexico for the failure to investigate and punish those responsible for the forced disappearance of journalist José Alfredo Jiménez Mota on April 2, 2005, allegedly at the hands of state agents in the city of Hermosillo, state of Sonora, Mexico. In the friendly settlement agreement signed on September 8, 2021, the State acknowledged its international responsibility in relation to the facts and undertook to make full redress to the victims through the implementation of reparation measures, including an effective investigation and search, health and social rehabilitation, satisfaction measures (public act of acknowledgement of responsibility and the naming a street after the victim), non-repetition measures, and economic compensation measures. In its Report No. 171/22, the Commission declared total compliance with the economic compensation measure and partial substantial compliance with the clause relating to the act of acknowledgment of responsibility and its dissemination. In addition, the Commission decided to declare partial compliance with the measures as to health care, paving, and street naming. Lastly, the Commission decided to declare the measures as to an effective investigation and search, job reentry, and training courses to be pending. </w:t>
      </w:r>
    </w:p>
    <w:p w14:paraId="1E46950F" w14:textId="77777777" w:rsidR="002E260B" w:rsidRPr="003478E7"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p>
    <w:p w14:paraId="14D1308D" w14:textId="77777777" w:rsidR="002E260B" w:rsidRPr="003478E7" w:rsidRDefault="002E260B" w:rsidP="00720165">
      <w:pPr>
        <w:pStyle w:val="ListParagraph"/>
        <w:pBdr>
          <w:top w:val="nil"/>
          <w:left w:val="nil"/>
          <w:bottom w:val="nil"/>
          <w:right w:val="nil"/>
          <w:between w:val="nil"/>
          <w:bar w:val="nil"/>
        </w:pBdr>
        <w:ind w:left="810"/>
        <w:jc w:val="both"/>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lastRenderedPageBreak/>
        <w:t>•</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ab/>
      </w:r>
      <w:r w:rsidRPr="003478E7">
        <w:rPr>
          <w:rFonts w:ascii="Cambria" w:eastAsia="Calibri" w:hAnsi="Cambria" w:cs="Calibri"/>
          <w:b/>
          <w:i/>
          <w:iCs/>
          <w:color w:val="000000"/>
          <w:sz w:val="20"/>
          <w:szCs w:val="20"/>
          <w:u w:color="000000"/>
          <w:bdr w:val="nil"/>
          <w14:textOutline w14:w="0" w14:cap="flat" w14:cmpd="sng" w14:algn="ctr">
            <w14:noFill/>
            <w14:prstDash w14:val="solid"/>
            <w14:bevel/>
          </w14:textOutline>
        </w:rPr>
        <w:t>Petition 1376-19, Silvia Angelica Flores Mosquera, Uruguay:</w:t>
      </w:r>
      <w:r w:rsidRPr="003478E7">
        <w:rPr>
          <w:rFonts w:ascii="Cambria" w:eastAsia="Calibri" w:hAnsi="Cambria" w:cs="Calibri"/>
          <w:bCs/>
          <w:color w:val="000000"/>
          <w:sz w:val="20"/>
          <w:szCs w:val="20"/>
          <w:u w:color="000000"/>
          <w:bdr w:val="nil"/>
          <w14:textOutline w14:w="0" w14:cap="flat" w14:cmpd="sng" w14:algn="ctr">
            <w14:noFill/>
            <w14:prstDash w14:val="solid"/>
            <w14:bevel/>
          </w14:textOutline>
        </w:rPr>
        <w:t xml:space="preserve"> the petition concerns the State's international responsibility for failing to acknowledge the legal benefits due to Silvia Angelica Flores Mosquera as a recognized victim of State-sponsored terrorism. The petitioning party alleged that the State had violated her human rights, as per various international instruments, by not granting her access to a social benefit set up in Act 18,596 of September 18, 2009, since she had been recognized as a victim of the dictatorship that ruled the country over the period February 9, 1973–February 28, 1985. In the friendly settlement agreement signed on August 10, 2022, the State recognized the petitioner's status as a victim of State-sponsored terrorism and committed hold a private signing where it acknowledges its responsibility; to grant financial compensation and a monthly income to the petitioner. In its Report 183/22, the Commission declared full compliance with the private signing and admission of responsibility. Likewise, it declared pending compliance with the measures related to the economic compensation and monthly rent.</w:t>
      </w:r>
    </w:p>
    <w:p w14:paraId="38404B5E"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15982D31" w14:textId="68FCD01E" w:rsidR="002E260B" w:rsidRPr="003478E7"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3478E7">
        <w:rPr>
          <w:rFonts w:eastAsia="Calibri" w:cs="Calibri"/>
          <w:bCs/>
          <w:color w:val="000000"/>
          <w:u w:color="000000"/>
          <w:bdr w:val="nil"/>
          <w14:textOutline w14:w="0" w14:cap="flat" w14:cmpd="sng" w14:algn="ctr">
            <w14:noFill/>
            <w14:prstDash w14:val="solid"/>
            <w14:bevel/>
          </w14:textOutline>
        </w:rPr>
        <w:t>Consequently, the Commission commends the states of Argentina, Colombia, Guatemala, Honduras, Mexico, and Uruguay and urges them to continue taking actions to comply with those friendly settlement agreements, for the next Annual Report in 2023.</w:t>
      </w:r>
    </w:p>
    <w:p w14:paraId="0A0A74B0"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4E2B4D24" w14:textId="191AC023" w:rsidR="002E260B" w:rsidRPr="007100C0" w:rsidRDefault="002E260B" w:rsidP="00933F91">
      <w:pPr>
        <w:pStyle w:val="ListParagraph"/>
        <w:numPr>
          <w:ilvl w:val="0"/>
          <w:numId w:val="62"/>
        </w:numPr>
        <w:pBdr>
          <w:top w:val="nil"/>
          <w:left w:val="nil"/>
          <w:bottom w:val="nil"/>
          <w:right w:val="nil"/>
          <w:between w:val="nil"/>
          <w:bar w:val="nil"/>
        </w:pBdr>
        <w:ind w:left="1440" w:hanging="720"/>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r w:rsidRPr="007100C0">
        <w:rPr>
          <w:rFonts w:ascii="Cambria" w:eastAsia="Calibri" w:hAnsi="Cambria" w:cs="Calibri"/>
          <w:b/>
          <w:color w:val="000000"/>
          <w:sz w:val="22"/>
          <w:szCs w:val="22"/>
          <w:u w:color="000000"/>
          <w:bdr w:val="nil"/>
          <w14:textOutline w14:w="0" w14:cap="flat" w14:cmpd="sng" w14:algn="ctr">
            <w14:noFill/>
            <w14:prstDash w14:val="solid"/>
            <w14:bevel/>
          </w14:textOutline>
        </w:rPr>
        <w:t>Activities carried out to promote friendly settlements in 2022</w:t>
      </w:r>
    </w:p>
    <w:p w14:paraId="6E3B49AC"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73864564" w14:textId="0BC0ED93" w:rsidR="002E260B" w:rsidRPr="002737C4" w:rsidRDefault="002E260B" w:rsidP="00933F91">
      <w:pPr>
        <w:pStyle w:val="ListParagraph"/>
        <w:numPr>
          <w:ilvl w:val="0"/>
          <w:numId w:val="71"/>
        </w:numPr>
        <w:pBdr>
          <w:top w:val="nil"/>
          <w:left w:val="nil"/>
          <w:bottom w:val="nil"/>
          <w:right w:val="nil"/>
          <w:between w:val="nil"/>
          <w:bar w:val="nil"/>
        </w:pBdr>
        <w:ind w:hanging="720"/>
        <w:jc w:val="both"/>
        <w:rPr>
          <w:rFonts w:ascii="Cambria" w:eastAsia="Calibri" w:hAnsi="Cambria" w:cs="Calibri"/>
          <w:b/>
          <w:color w:val="000000"/>
          <w:sz w:val="20"/>
          <w:szCs w:val="20"/>
          <w:u w:color="000000"/>
          <w:bdr w:val="nil"/>
          <w14:textOutline w14:w="0" w14:cap="flat" w14:cmpd="sng" w14:algn="ctr">
            <w14:noFill/>
            <w14:prstDash w14:val="solid"/>
            <w14:bevel/>
          </w14:textOutline>
        </w:rPr>
      </w:pPr>
      <w:r w:rsidRPr="002737C4">
        <w:rPr>
          <w:rFonts w:ascii="Cambria" w:eastAsia="Calibri" w:hAnsi="Cambria" w:cs="Calibri"/>
          <w:b/>
          <w:color w:val="000000"/>
          <w:sz w:val="20"/>
          <w:szCs w:val="20"/>
          <w:u w:color="000000"/>
          <w:bdr w:val="nil"/>
          <w14:textOutline w14:w="0" w14:cap="flat" w14:cmpd="sng" w14:algn="ctr">
            <w14:noFill/>
            <w14:prstDash w14:val="solid"/>
            <w14:bevel/>
          </w14:textOutline>
        </w:rPr>
        <w:t>Activities to foster the negotiation and implementation of FSAs</w:t>
      </w:r>
    </w:p>
    <w:p w14:paraId="0120FB8D"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695F0B30" w14:textId="03A55D15" w:rsidR="002E260B" w:rsidRPr="007100C0"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100C0">
        <w:rPr>
          <w:rFonts w:eastAsia="Calibri" w:cs="Calibri"/>
          <w:bCs/>
          <w:color w:val="000000"/>
          <w:u w:color="000000"/>
          <w:bdr w:val="nil"/>
          <w14:textOutline w14:w="0" w14:cap="flat" w14:cmpd="sng" w14:algn="ctr">
            <w14:noFill/>
            <w14:prstDash w14:val="solid"/>
            <w14:bevel/>
          </w14:textOutline>
        </w:rPr>
        <w:t xml:space="preserve">As regards the line of work that involves actively facilitating the negotiation of and compliance with friendly settlement agreements, in 2022 the Commission held 37 working meetings to foster the negotiation and implementation of friendly settlement agreements in different matters from Argentina, Bolivia, Chile, Colombia, Guatemala, Honduras, Mexico, Panama, Paraguay, Dominican Republic and Uruguay. Moreover, the Commission facilitated 55 technical meetings to foster friendly settlement efforts and/or preparatory meetings over the year, in various matters from Argentina, Bolivia, Brazil, Chile, Colombia, Guatemala, Honduras, Mexico, Panama, Paraguay, Peru and Uruguay. Accordingly, in 2022 a total of 92 dialogues tables were facilitated with the parties to advance in friendly settlements. </w:t>
      </w:r>
    </w:p>
    <w:p w14:paraId="7E3D2EC4"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0C3803F3" w14:textId="20883B28" w:rsidR="002E260B" w:rsidRPr="007100C0"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100C0">
        <w:rPr>
          <w:rFonts w:eastAsia="Calibri" w:cs="Calibri"/>
          <w:bCs/>
          <w:color w:val="000000"/>
          <w:u w:color="000000"/>
          <w:bdr w:val="nil"/>
          <w14:textOutline w14:w="0" w14:cap="flat" w14:cmpd="sng" w14:algn="ctr">
            <w14:noFill/>
            <w14:prstDash w14:val="solid"/>
            <w14:bevel/>
          </w14:textOutline>
        </w:rPr>
        <w:t>Throughout 2022 the Commission held 10 periodic meetings to review the portfolios of negotiation and monitoring of friendly settlements with Argentina (1); Bolivia (1); Chile (3); Colombia (2); Ecuador (1); Mexico (1) and Panama (1).</w:t>
      </w:r>
    </w:p>
    <w:p w14:paraId="5BFC46BC" w14:textId="77777777" w:rsidR="002E260B" w:rsidRPr="007100C0" w:rsidRDefault="002E260B" w:rsidP="007100C0">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783282BE" w14:textId="4EE1C2F3" w:rsidR="002E260B" w:rsidRPr="007100C0"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100C0">
        <w:rPr>
          <w:rFonts w:eastAsia="Calibri" w:cs="Calibri"/>
          <w:bCs/>
          <w:color w:val="000000"/>
          <w:u w:color="000000"/>
          <w:bdr w:val="nil"/>
          <w14:textOutline w14:w="0" w14:cap="flat" w14:cmpd="sng" w14:algn="ctr">
            <w14:noFill/>
            <w14:prstDash w14:val="solid"/>
            <w14:bevel/>
          </w14:textOutline>
        </w:rPr>
        <w:t xml:space="preserve">In 2022, the Commission issued 28 press releases on friendly </w:t>
      </w:r>
      <w:r w:rsidR="007100C0" w:rsidRPr="007100C0">
        <w:rPr>
          <w:rFonts w:eastAsia="Calibri" w:cs="Calibri"/>
          <w:bCs/>
          <w:color w:val="000000"/>
          <w:u w:color="000000"/>
          <w:bdr w:val="nil"/>
          <w14:textOutline w14:w="0" w14:cap="flat" w14:cmpd="sng" w14:algn="ctr">
            <w14:noFill/>
            <w14:prstDash w14:val="solid"/>
            <w14:bevel/>
          </w14:textOutline>
        </w:rPr>
        <w:t>settlements and</w:t>
      </w:r>
      <w:r w:rsidRPr="007100C0">
        <w:rPr>
          <w:rFonts w:eastAsia="Calibri" w:cs="Calibri"/>
          <w:bCs/>
          <w:color w:val="000000"/>
          <w:u w:color="000000"/>
          <w:bdr w:val="nil"/>
          <w14:textOutline w14:w="0" w14:cap="flat" w14:cmpd="sng" w14:algn="ctr">
            <w14:noFill/>
            <w14:prstDash w14:val="solid"/>
            <w14:bevel/>
          </w14:textOutline>
        </w:rPr>
        <w:t xml:space="preserve"> maintained the practice of making visible the progress in the implementation of friendly settlement agreements in the negotiation phase, as long as both parties agree, due to the confidential nature of the negotiations of friendly settlements before issuing the respective homologation report. The Commission also maintained the practice of publishing press releases when signing and approving friendly settlement agreements and making visible the compliance with the measures in the friendly settlement agreements whose total compliance has been attained during the monitoring phase to encourage the authorities in charge of the execution of those measures to follow through on the commitments assumed by the States in friendly settlement agreements. </w:t>
      </w:r>
    </w:p>
    <w:p w14:paraId="44CEBB2B" w14:textId="77777777" w:rsidR="002E260B" w:rsidRPr="007100C0" w:rsidRDefault="002E260B" w:rsidP="007100C0">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49EF3C1C" w14:textId="5BF6A92F" w:rsidR="002E260B" w:rsidRPr="007100C0"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100C0">
        <w:rPr>
          <w:rFonts w:eastAsia="Calibri" w:cs="Calibri"/>
          <w:bCs/>
          <w:color w:val="000000"/>
          <w:u w:color="000000"/>
          <w:bdr w:val="nil"/>
          <w14:textOutline w14:w="0" w14:cap="flat" w14:cmpd="sng" w14:algn="ctr">
            <w14:noFill/>
            <w14:prstDash w14:val="solid"/>
            <w14:bevel/>
          </w14:textOutline>
        </w:rPr>
        <w:t xml:space="preserve">In 2022, the Commission published 23 reports approving friendly settlement agreements pursuant to article 49 of the American Convention. In this regard, over the year the IACHR cleared up 42 matters under the friendly settlement mechanism through 23 homologations, 12 instances of ending negotiations at the request of the parties, 6 matters archived in the negotiation phase, and 1 matter archived in the monitoring phase due to inactivity or at the request of the petitioner. The Commission also provided technical advice to the parties in 5 matters subjected to the mechanism involving Bolivia, Colombia, Honduras, and Peru, providing information and objective criteria on relevant background of friendly settlement agreements and judgments of the Inter-American Court of Human Rights, in cases of a similar nature in the region, as to satisfaction measures, </w:t>
      </w:r>
      <w:r w:rsidRPr="007100C0">
        <w:rPr>
          <w:rFonts w:eastAsia="Calibri" w:cs="Calibri"/>
          <w:bCs/>
          <w:color w:val="000000"/>
          <w:u w:color="000000"/>
          <w:bdr w:val="nil"/>
          <w14:textOutline w14:w="0" w14:cap="flat" w14:cmpd="sng" w14:algn="ctr">
            <w14:noFill/>
            <w14:prstDash w14:val="solid"/>
            <w14:bevel/>
          </w14:textOutline>
        </w:rPr>
        <w:lastRenderedPageBreak/>
        <w:t>guarantees of non-repetition, and economic compensation. In that regard, the Commission answered consultations regarding formulas for the identification of victims to be included in friendly settlement agreements, model clauses for working groups on legislation, background information, and models of measures with the component of training for public officials and dissemination of legislation, background information on amounts of economic compensation, and non-repetition measures specifically related to training of state officials.</w:t>
      </w:r>
    </w:p>
    <w:p w14:paraId="79E1CFB1" w14:textId="77777777" w:rsidR="002E260B" w:rsidRPr="007100C0" w:rsidRDefault="002E260B" w:rsidP="007100C0">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6E9AB1D" w14:textId="0EC77412" w:rsidR="002E260B" w:rsidRPr="007100C0"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100C0">
        <w:rPr>
          <w:rFonts w:eastAsia="Calibri" w:cs="Calibri"/>
          <w:bCs/>
          <w:color w:val="000000"/>
          <w:u w:color="000000"/>
          <w:bdr w:val="nil"/>
          <w14:textOutline w14:w="0" w14:cap="flat" w14:cmpd="sng" w14:algn="ctr">
            <w14:noFill/>
            <w14:prstDash w14:val="solid"/>
            <w14:bevel/>
          </w14:textOutline>
        </w:rPr>
        <w:t>It is important to highlight that, through its Report No. 167/22, the Commission decided to archive Petition P-1186-09, Adela Villamil of Bolivia, concerning alleged discrimination and lack of reparation for the murder and subsequent kidnapping and forced disappearance of the remains of the spouse of the alleged victim, former congressman Juan Carlos Flores Bedregal, on July 17, 1980, by paramilitaries, allegedly under orders from agents of the Bolivian armed forces. In its decision, the Commission reiterated the conclusions contained in its Report on Merits No. 60/18, to the effect that Juan Carlos Bedregal was the victim of forced disappearance and that to this day light has not fully been shed on what happened. In that regard, having verified the withdrawal of the petitioner and the existence of a friendly settlement agreement that could not be approved in accordance with the American Convention and the Commission's Rules of Procedure, the Commission decided to archive the petition.</w:t>
      </w:r>
    </w:p>
    <w:p w14:paraId="2D567471" w14:textId="77777777" w:rsidR="002E260B" w:rsidRPr="007100C0" w:rsidRDefault="002E260B" w:rsidP="007100C0">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8BDE505" w14:textId="325D7647" w:rsidR="002E260B" w:rsidRPr="007100C0"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100C0">
        <w:rPr>
          <w:rFonts w:eastAsia="Calibri" w:cs="Calibri"/>
          <w:bCs/>
          <w:color w:val="000000"/>
          <w:u w:color="000000"/>
          <w:bdr w:val="nil"/>
          <w14:textOutline w14:w="0" w14:cap="flat" w14:cmpd="sng" w14:algn="ctr">
            <w14:noFill/>
            <w14:prstDash w14:val="solid"/>
            <w14:bevel/>
          </w14:textOutline>
        </w:rPr>
        <w:t xml:space="preserve">The Commission also maintained its practice of highlighting the impacts of the friendly settlement </w:t>
      </w:r>
      <w:r w:rsidR="007100C0" w:rsidRPr="007100C0">
        <w:rPr>
          <w:rFonts w:eastAsia="Calibri" w:cs="Calibri"/>
          <w:bCs/>
          <w:color w:val="000000"/>
          <w:u w:color="000000"/>
          <w:bdr w:val="nil"/>
          <w14:textOutline w14:w="0" w14:cap="flat" w14:cmpd="sng" w14:algn="ctr">
            <w14:noFill/>
            <w14:prstDash w14:val="solid"/>
            <w14:bevel/>
          </w14:textOutline>
        </w:rPr>
        <w:t>mechanism, whether</w:t>
      </w:r>
      <w:r w:rsidRPr="007100C0">
        <w:rPr>
          <w:rFonts w:eastAsia="Calibri" w:cs="Calibri"/>
          <w:bCs/>
          <w:color w:val="000000"/>
          <w:u w:color="000000"/>
          <w:bdr w:val="nil"/>
          <w14:textOutline w14:w="0" w14:cap="flat" w14:cmpd="sng" w14:algn="ctr">
            <w14:noFill/>
            <w14:prstDash w14:val="solid"/>
            <w14:bevel/>
          </w14:textOutline>
        </w:rPr>
        <w:t xml:space="preserve"> those reported by the victims and their representatives, or contributions from the perspective of States on their experiences in those reparation processes, as well through the publication of press articles on the background of emblematic cases involving friendly settlements. In that sense, in 2022 a reportage on Petition P-687-11 Gabriela Blas and her daughter CBB, regarding Chile was published. </w:t>
      </w:r>
    </w:p>
    <w:p w14:paraId="5807E614" w14:textId="77777777" w:rsidR="002E260B" w:rsidRPr="007100C0" w:rsidRDefault="002E260B" w:rsidP="007100C0">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4212715F" w14:textId="3FCCEB9B" w:rsidR="002E260B" w:rsidRPr="007100C0"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100C0">
        <w:rPr>
          <w:rFonts w:eastAsia="Calibri" w:cs="Calibri"/>
          <w:bCs/>
          <w:color w:val="000000"/>
          <w:u w:color="000000"/>
          <w:bdr w:val="nil"/>
          <w14:textOutline w14:w="0" w14:cap="flat" w14:cmpd="sng" w14:algn="ctr">
            <w14:noFill/>
            <w14:prstDash w14:val="solid"/>
            <w14:bevel/>
          </w14:textOutline>
        </w:rPr>
        <w:t xml:space="preserve">Lastly, the Commission participated in 15 ceremonies for signing and/or acknowledgements of responsibility in compliance with various friendly settlement agreements involving </w:t>
      </w:r>
      <w:r w:rsidR="007100C0" w:rsidRPr="007100C0">
        <w:rPr>
          <w:rFonts w:eastAsia="Calibri" w:cs="Calibri"/>
          <w:bCs/>
          <w:color w:val="000000"/>
          <w:u w:color="000000"/>
          <w:bdr w:val="nil"/>
          <w14:textOutline w14:w="0" w14:cap="flat" w14:cmpd="sng" w14:algn="ctr">
            <w14:noFill/>
            <w14:prstDash w14:val="solid"/>
            <w14:bevel/>
          </w14:textOutline>
        </w:rPr>
        <w:t xml:space="preserve">Argentina, </w:t>
      </w:r>
      <w:r w:rsidR="00A56DCF" w:rsidRPr="007100C0">
        <w:rPr>
          <w:rFonts w:eastAsia="Calibri" w:cs="Calibri"/>
          <w:bCs/>
          <w:color w:val="000000"/>
          <w:u w:color="000000"/>
          <w:bdr w:val="nil"/>
          <w14:textOutline w14:w="0" w14:cap="flat" w14:cmpd="sng" w14:algn="ctr">
            <w14:noFill/>
            <w14:prstDash w14:val="solid"/>
            <w14:bevel/>
          </w14:textOutline>
        </w:rPr>
        <w:t xml:space="preserve">Bolivia, </w:t>
      </w:r>
      <w:r w:rsidR="00771007" w:rsidRPr="007100C0">
        <w:rPr>
          <w:rFonts w:eastAsia="Calibri" w:cs="Calibri"/>
          <w:bCs/>
          <w:color w:val="000000"/>
          <w:u w:color="000000"/>
          <w:bdr w:val="nil"/>
          <w14:textOutline w14:w="0" w14:cap="flat" w14:cmpd="sng" w14:algn="ctr">
            <w14:noFill/>
            <w14:prstDash w14:val="solid"/>
            <w14:bevel/>
          </w14:textOutline>
        </w:rPr>
        <w:t>Chile, Colombia, and</w:t>
      </w:r>
      <w:r w:rsidRPr="007100C0">
        <w:rPr>
          <w:rFonts w:eastAsia="Calibri" w:cs="Calibri"/>
          <w:bCs/>
          <w:color w:val="000000"/>
          <w:u w:color="000000"/>
          <w:bdr w:val="nil"/>
          <w14:textOutline w14:w="0" w14:cap="flat" w14:cmpd="sng" w14:algn="ctr">
            <w14:noFill/>
            <w14:prstDash w14:val="solid"/>
            <w14:bevel/>
          </w14:textOutline>
        </w:rPr>
        <w:t xml:space="preserve"> </w:t>
      </w:r>
      <w:r w:rsidR="00771007" w:rsidRPr="007100C0">
        <w:rPr>
          <w:rFonts w:eastAsia="Calibri" w:cs="Calibri"/>
          <w:bCs/>
          <w:color w:val="000000"/>
          <w:u w:color="000000"/>
          <w:bdr w:val="nil"/>
          <w14:textOutline w14:w="0" w14:cap="flat" w14:cmpd="sng" w14:algn="ctr">
            <w14:noFill/>
            <w14:prstDash w14:val="solid"/>
            <w14:bevel/>
          </w14:textOutline>
        </w:rPr>
        <w:t>Uruguay, including</w:t>
      </w:r>
      <w:r w:rsidRPr="007100C0">
        <w:rPr>
          <w:rFonts w:eastAsia="Calibri" w:cs="Calibri"/>
          <w:bCs/>
          <w:color w:val="000000"/>
          <w:u w:color="000000"/>
          <w:bdr w:val="nil"/>
          <w14:textOutline w14:w="0" w14:cap="flat" w14:cmpd="sng" w14:algn="ctr">
            <w14:noFill/>
            <w14:prstDash w14:val="solid"/>
            <w14:bevel/>
          </w14:textOutline>
        </w:rPr>
        <w:t>:</w:t>
      </w:r>
    </w:p>
    <w:p w14:paraId="589416C3" w14:textId="77777777" w:rsidR="002E260B" w:rsidRPr="007100C0" w:rsidRDefault="002E260B" w:rsidP="007100C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tbl>
      <w:tblPr>
        <w:tblW w:w="6925" w:type="dxa"/>
        <w:jc w:val="center"/>
        <w:tblCellMar>
          <w:top w:w="15" w:type="dxa"/>
          <w:bottom w:w="15" w:type="dxa"/>
        </w:tblCellMar>
        <w:tblLook w:val="04A0" w:firstRow="1" w:lastRow="0" w:firstColumn="1" w:lastColumn="0" w:noHBand="0" w:noVBand="1"/>
      </w:tblPr>
      <w:tblGrid>
        <w:gridCol w:w="1548"/>
        <w:gridCol w:w="2592"/>
        <w:gridCol w:w="1256"/>
        <w:gridCol w:w="1529"/>
      </w:tblGrid>
      <w:tr w:rsidR="00A56DCF" w:rsidRPr="00771007" w14:paraId="51220DD8" w14:textId="77777777">
        <w:trPr>
          <w:trHeight w:val="326"/>
          <w:tblHeader/>
          <w:jc w:val="center"/>
        </w:trPr>
        <w:tc>
          <w:tcPr>
            <w:tcW w:w="1548" w:type="dxa"/>
            <w:tcBorders>
              <w:top w:val="single" w:sz="4" w:space="0" w:color="auto"/>
              <w:left w:val="single" w:sz="4" w:space="0" w:color="auto"/>
              <w:bottom w:val="nil"/>
              <w:right w:val="single" w:sz="4" w:space="0" w:color="auto"/>
            </w:tcBorders>
            <w:shd w:val="clear" w:color="auto" w:fill="1F3864" w:themeFill="accent1" w:themeFillShade="80"/>
            <w:vAlign w:val="center"/>
            <w:hideMark/>
          </w:tcPr>
          <w:p w14:paraId="335D769E" w14:textId="77777777" w:rsidR="00A56DCF" w:rsidRPr="00771007" w:rsidRDefault="00A56DCF">
            <w:pPr>
              <w:jc w:val="center"/>
              <w:rPr>
                <w:rFonts w:ascii="Cambria" w:eastAsia="Times New Roman" w:hAnsi="Cambria" w:cs="Calibri"/>
                <w:b/>
                <w:bCs/>
                <w:color w:val="FFFFFF"/>
                <w:sz w:val="18"/>
                <w:szCs w:val="18"/>
              </w:rPr>
            </w:pPr>
            <w:r w:rsidRPr="00771007">
              <w:rPr>
                <w:rFonts w:ascii="Cambria" w:eastAsia="Times New Roman" w:hAnsi="Cambria" w:cs="Calibri"/>
                <w:b/>
                <w:bCs/>
                <w:color w:val="FFFFFF"/>
                <w:sz w:val="18"/>
                <w:szCs w:val="18"/>
              </w:rPr>
              <w:t>Case/</w:t>
            </w:r>
            <w:r w:rsidRPr="00771007">
              <w:rPr>
                <w:rFonts w:ascii="Cambria" w:eastAsia="Times New Roman" w:hAnsi="Cambria" w:cs="Calibri"/>
                <w:color w:val="FFFFFF"/>
                <w:sz w:val="18"/>
                <w:szCs w:val="18"/>
              </w:rPr>
              <w:br/>
            </w:r>
            <w:r w:rsidRPr="00771007">
              <w:rPr>
                <w:rFonts w:ascii="Cambria" w:eastAsia="Times New Roman" w:hAnsi="Cambria" w:cs="Calibri"/>
                <w:b/>
                <w:bCs/>
                <w:color w:val="FFFFFF"/>
                <w:sz w:val="18"/>
                <w:szCs w:val="18"/>
              </w:rPr>
              <w:t>Petition</w:t>
            </w:r>
          </w:p>
        </w:tc>
        <w:tc>
          <w:tcPr>
            <w:tcW w:w="2592" w:type="dxa"/>
            <w:tcBorders>
              <w:top w:val="single" w:sz="4" w:space="0" w:color="auto"/>
              <w:left w:val="single" w:sz="4" w:space="0" w:color="auto"/>
              <w:bottom w:val="nil"/>
              <w:right w:val="single" w:sz="4" w:space="0" w:color="auto"/>
            </w:tcBorders>
            <w:shd w:val="clear" w:color="auto" w:fill="1F3864" w:themeFill="accent1" w:themeFillShade="80"/>
            <w:vAlign w:val="center"/>
            <w:hideMark/>
          </w:tcPr>
          <w:p w14:paraId="239C5475" w14:textId="77777777" w:rsidR="00A56DCF" w:rsidRPr="00771007" w:rsidRDefault="00A56DCF">
            <w:pPr>
              <w:jc w:val="center"/>
              <w:rPr>
                <w:rFonts w:ascii="Cambria" w:eastAsia="Times New Roman" w:hAnsi="Cambria" w:cs="Calibri"/>
                <w:b/>
                <w:bCs/>
                <w:color w:val="FFFFFF"/>
                <w:sz w:val="18"/>
                <w:szCs w:val="18"/>
              </w:rPr>
            </w:pPr>
            <w:r w:rsidRPr="00771007">
              <w:rPr>
                <w:rFonts w:ascii="Cambria" w:eastAsia="Times New Roman" w:hAnsi="Cambria" w:cs="Calibri"/>
                <w:b/>
                <w:bCs/>
                <w:color w:val="FFFFFF"/>
                <w:sz w:val="18"/>
                <w:szCs w:val="18"/>
              </w:rPr>
              <w:t>Name</w:t>
            </w:r>
          </w:p>
        </w:tc>
        <w:tc>
          <w:tcPr>
            <w:tcW w:w="1256" w:type="dxa"/>
            <w:tcBorders>
              <w:top w:val="single" w:sz="4" w:space="0" w:color="auto"/>
              <w:left w:val="single" w:sz="4" w:space="0" w:color="auto"/>
              <w:bottom w:val="nil"/>
              <w:right w:val="single" w:sz="4" w:space="0" w:color="auto"/>
            </w:tcBorders>
            <w:shd w:val="clear" w:color="auto" w:fill="1F3864" w:themeFill="accent1" w:themeFillShade="80"/>
            <w:vAlign w:val="center"/>
            <w:hideMark/>
          </w:tcPr>
          <w:p w14:paraId="3F60C3CD" w14:textId="77777777" w:rsidR="00A56DCF" w:rsidRPr="00771007" w:rsidRDefault="00A56DCF">
            <w:pPr>
              <w:jc w:val="center"/>
              <w:rPr>
                <w:rFonts w:ascii="Cambria" w:eastAsia="Times New Roman" w:hAnsi="Cambria" w:cs="Calibri"/>
                <w:b/>
                <w:bCs/>
                <w:color w:val="FFFFFF"/>
                <w:sz w:val="18"/>
                <w:szCs w:val="18"/>
              </w:rPr>
            </w:pPr>
            <w:r w:rsidRPr="00771007">
              <w:rPr>
                <w:rFonts w:ascii="Cambria" w:eastAsia="Times New Roman" w:hAnsi="Cambria" w:cs="Calibri"/>
                <w:b/>
                <w:bCs/>
                <w:color w:val="FFFFFF"/>
                <w:sz w:val="18"/>
                <w:szCs w:val="18"/>
              </w:rPr>
              <w:t xml:space="preserve">Country </w:t>
            </w:r>
          </w:p>
        </w:tc>
        <w:tc>
          <w:tcPr>
            <w:tcW w:w="1529" w:type="dxa"/>
            <w:tcBorders>
              <w:top w:val="single" w:sz="4" w:space="0" w:color="auto"/>
              <w:left w:val="single" w:sz="4" w:space="0" w:color="auto"/>
              <w:bottom w:val="nil"/>
              <w:right w:val="nil"/>
            </w:tcBorders>
            <w:shd w:val="clear" w:color="auto" w:fill="1F3864" w:themeFill="accent1" w:themeFillShade="80"/>
            <w:vAlign w:val="center"/>
            <w:hideMark/>
          </w:tcPr>
          <w:p w14:paraId="7E446B42" w14:textId="77777777" w:rsidR="00A56DCF" w:rsidRPr="00771007" w:rsidRDefault="00A56DCF">
            <w:pPr>
              <w:jc w:val="center"/>
              <w:rPr>
                <w:rFonts w:ascii="Cambria" w:eastAsia="Times New Roman" w:hAnsi="Cambria" w:cs="Calibri"/>
                <w:b/>
                <w:bCs/>
                <w:color w:val="FFFFFF"/>
                <w:sz w:val="18"/>
                <w:szCs w:val="18"/>
              </w:rPr>
            </w:pPr>
            <w:r w:rsidRPr="00771007">
              <w:rPr>
                <w:rFonts w:ascii="Cambria" w:eastAsia="Times New Roman" w:hAnsi="Cambria" w:cs="Calibri"/>
                <w:b/>
                <w:bCs/>
                <w:color w:val="FFFFFF"/>
                <w:sz w:val="18"/>
                <w:szCs w:val="18"/>
              </w:rPr>
              <w:t xml:space="preserve">Date </w:t>
            </w:r>
          </w:p>
          <w:p w14:paraId="21D3B060" w14:textId="77777777" w:rsidR="00A56DCF" w:rsidRPr="00771007" w:rsidRDefault="00A56DCF">
            <w:pPr>
              <w:jc w:val="center"/>
              <w:rPr>
                <w:rFonts w:ascii="Cambria" w:eastAsia="Times New Roman" w:hAnsi="Cambria" w:cs="Calibri"/>
                <w:b/>
                <w:bCs/>
                <w:color w:val="FFFFFF"/>
                <w:sz w:val="18"/>
                <w:szCs w:val="18"/>
              </w:rPr>
            </w:pPr>
            <w:r w:rsidRPr="00771007">
              <w:rPr>
                <w:rFonts w:ascii="Cambria" w:eastAsia="Times New Roman" w:hAnsi="Cambria" w:cs="Calibri"/>
                <w:b/>
                <w:bCs/>
                <w:color w:val="FFFFFF"/>
                <w:sz w:val="18"/>
                <w:szCs w:val="18"/>
              </w:rPr>
              <w:t>(YY/MM/DD)</w:t>
            </w:r>
          </w:p>
        </w:tc>
      </w:tr>
      <w:tr w:rsidR="00A56DCF" w:rsidRPr="00771007" w14:paraId="69A410F8" w14:textId="77777777">
        <w:trPr>
          <w:trHeight w:val="353"/>
          <w:jc w:val="center"/>
        </w:trPr>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79EF70" w14:textId="77777777" w:rsidR="00A56DCF" w:rsidRPr="00771007" w:rsidRDefault="00A56DCF" w:rsidP="00933F91">
            <w:pPr>
              <w:numPr>
                <w:ilvl w:val="0"/>
                <w:numId w:val="68"/>
              </w:numPr>
              <w:tabs>
                <w:tab w:val="left" w:pos="360"/>
              </w:tabs>
              <w:ind w:left="90" w:firstLine="0"/>
              <w:rPr>
                <w:rFonts w:ascii="Cambria" w:eastAsia="Times New Roman" w:hAnsi="Cambria" w:cs="Calibri"/>
                <w:color w:val="000000"/>
                <w:sz w:val="18"/>
                <w:szCs w:val="18"/>
              </w:rPr>
            </w:pPr>
            <w:r w:rsidRPr="00771007">
              <w:rPr>
                <w:rFonts w:ascii="Cambria" w:eastAsia="Times New Roman" w:hAnsi="Cambria" w:cs="Calibri"/>
                <w:color w:val="000000"/>
                <w:sz w:val="18"/>
                <w:szCs w:val="18"/>
              </w:rPr>
              <w:t>Case 13.436</w:t>
            </w:r>
          </w:p>
        </w:tc>
        <w:tc>
          <w:tcPr>
            <w:tcW w:w="25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E3589B" w14:textId="77777777" w:rsidR="00A56DCF" w:rsidRPr="00771007" w:rsidRDefault="00A56DCF">
            <w:pPr>
              <w:rPr>
                <w:rFonts w:ascii="Cambria" w:eastAsia="Times New Roman" w:hAnsi="Cambria" w:cs="Calibri"/>
                <w:color w:val="000000"/>
                <w:sz w:val="18"/>
                <w:szCs w:val="18"/>
              </w:rPr>
            </w:pPr>
            <w:r w:rsidRPr="00771007">
              <w:rPr>
                <w:rFonts w:ascii="Cambria" w:eastAsia="Times New Roman" w:hAnsi="Cambria" w:cs="Calibri"/>
                <w:color w:val="000000"/>
                <w:sz w:val="18"/>
                <w:szCs w:val="18"/>
              </w:rPr>
              <w:t>José Oleaguer Correa</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CAFFA3"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Colombia</w:t>
            </w:r>
          </w:p>
        </w:tc>
        <w:tc>
          <w:tcPr>
            <w:tcW w:w="1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BDD514"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2022-03-03</w:t>
            </w:r>
          </w:p>
        </w:tc>
      </w:tr>
      <w:tr w:rsidR="00A56DCF" w:rsidRPr="00771007" w14:paraId="5B20F83C" w14:textId="77777777">
        <w:trPr>
          <w:trHeight w:val="407"/>
          <w:jc w:val="center"/>
        </w:trPr>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2BD67B" w14:textId="77777777" w:rsidR="00A56DCF" w:rsidRPr="00771007" w:rsidRDefault="00A56DCF" w:rsidP="00933F91">
            <w:pPr>
              <w:numPr>
                <w:ilvl w:val="0"/>
                <w:numId w:val="68"/>
              </w:numPr>
              <w:tabs>
                <w:tab w:val="left" w:pos="360"/>
              </w:tabs>
              <w:ind w:left="90" w:firstLine="0"/>
              <w:rPr>
                <w:rFonts w:ascii="Cambria" w:eastAsia="Times New Roman" w:hAnsi="Cambria" w:cs="Calibri"/>
                <w:color w:val="000000"/>
                <w:sz w:val="18"/>
                <w:szCs w:val="18"/>
              </w:rPr>
            </w:pPr>
            <w:r w:rsidRPr="00771007">
              <w:rPr>
                <w:rFonts w:ascii="Cambria" w:eastAsia="Times New Roman" w:hAnsi="Cambria" w:cs="Calibri"/>
                <w:color w:val="000000"/>
                <w:sz w:val="18"/>
                <w:szCs w:val="18"/>
              </w:rPr>
              <w:t>Case 14.312</w:t>
            </w:r>
          </w:p>
        </w:tc>
        <w:tc>
          <w:tcPr>
            <w:tcW w:w="25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D00519" w14:textId="77777777" w:rsidR="00A56DCF" w:rsidRPr="00771007" w:rsidRDefault="00A56DCF">
            <w:pPr>
              <w:rPr>
                <w:rFonts w:ascii="Cambria" w:eastAsia="Times New Roman" w:hAnsi="Cambria" w:cs="Calibri"/>
                <w:color w:val="000000"/>
                <w:sz w:val="18"/>
                <w:szCs w:val="18"/>
                <w:lang w:val="es-AR"/>
              </w:rPr>
            </w:pPr>
            <w:r w:rsidRPr="00771007">
              <w:rPr>
                <w:rFonts w:ascii="Cambria" w:eastAsia="Times New Roman" w:hAnsi="Cambria" w:cs="Calibri"/>
                <w:color w:val="000000"/>
                <w:sz w:val="18"/>
                <w:szCs w:val="18"/>
                <w:lang w:val="es-AR"/>
              </w:rPr>
              <w:t>Juan Carlos de la Calle</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6076CF"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Colombia</w:t>
            </w:r>
          </w:p>
        </w:tc>
        <w:tc>
          <w:tcPr>
            <w:tcW w:w="1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BABE3D"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2022-03-03</w:t>
            </w:r>
          </w:p>
        </w:tc>
      </w:tr>
      <w:tr w:rsidR="00A56DCF" w:rsidRPr="00771007" w14:paraId="4B25A0B1" w14:textId="77777777">
        <w:trPr>
          <w:trHeight w:val="570"/>
          <w:jc w:val="center"/>
        </w:trPr>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DFF9FB" w14:textId="77777777" w:rsidR="00A56DCF" w:rsidRPr="00771007" w:rsidRDefault="00A56DCF" w:rsidP="00933F91">
            <w:pPr>
              <w:numPr>
                <w:ilvl w:val="0"/>
                <w:numId w:val="68"/>
              </w:numPr>
              <w:tabs>
                <w:tab w:val="left" w:pos="360"/>
              </w:tabs>
              <w:ind w:left="90" w:firstLine="0"/>
              <w:rPr>
                <w:rFonts w:ascii="Cambria" w:eastAsia="Times New Roman" w:hAnsi="Cambria" w:cs="Calibri"/>
                <w:color w:val="000000"/>
                <w:sz w:val="18"/>
                <w:szCs w:val="18"/>
              </w:rPr>
            </w:pPr>
            <w:r w:rsidRPr="00771007">
              <w:rPr>
                <w:rFonts w:ascii="Cambria" w:eastAsia="Times New Roman" w:hAnsi="Cambria" w:cs="Calibri"/>
                <w:color w:val="000000"/>
                <w:sz w:val="18"/>
                <w:szCs w:val="18"/>
              </w:rPr>
              <w:t>Case 14.306</w:t>
            </w:r>
          </w:p>
        </w:tc>
        <w:tc>
          <w:tcPr>
            <w:tcW w:w="25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85C00B" w14:textId="77777777" w:rsidR="00A56DCF" w:rsidRPr="00771007" w:rsidRDefault="00A56DCF">
            <w:pPr>
              <w:rPr>
                <w:rFonts w:ascii="Cambria" w:eastAsia="Times New Roman" w:hAnsi="Cambria" w:cs="Calibri"/>
                <w:color w:val="000000"/>
                <w:sz w:val="18"/>
                <w:szCs w:val="18"/>
              </w:rPr>
            </w:pPr>
            <w:r w:rsidRPr="00771007">
              <w:rPr>
                <w:rFonts w:ascii="Cambria" w:eastAsia="Times New Roman" w:hAnsi="Cambria" w:cs="Calibri"/>
                <w:color w:val="000000"/>
                <w:sz w:val="18"/>
                <w:szCs w:val="18"/>
              </w:rPr>
              <w:t>José Ramón Ochoa Salazar</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251FC4"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Colombia</w:t>
            </w:r>
          </w:p>
        </w:tc>
        <w:tc>
          <w:tcPr>
            <w:tcW w:w="1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407DC4"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2022-03-03</w:t>
            </w:r>
          </w:p>
        </w:tc>
      </w:tr>
      <w:tr w:rsidR="00A56DCF" w:rsidRPr="00771007" w14:paraId="57C5A2A2" w14:textId="77777777">
        <w:trPr>
          <w:trHeight w:val="434"/>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7D9293FE" w14:textId="77777777" w:rsidR="00A56DCF" w:rsidRPr="00771007" w:rsidRDefault="00A56DCF" w:rsidP="00933F91">
            <w:pPr>
              <w:numPr>
                <w:ilvl w:val="0"/>
                <w:numId w:val="68"/>
              </w:numPr>
              <w:tabs>
                <w:tab w:val="left" w:pos="360"/>
              </w:tabs>
              <w:ind w:left="90" w:firstLine="0"/>
              <w:rPr>
                <w:rFonts w:ascii="Cambria" w:eastAsia="Times New Roman" w:hAnsi="Cambria" w:cs="Calibri"/>
                <w:color w:val="000000"/>
                <w:sz w:val="18"/>
                <w:szCs w:val="18"/>
              </w:rPr>
            </w:pPr>
            <w:r w:rsidRPr="00771007">
              <w:rPr>
                <w:rFonts w:ascii="Cambria" w:eastAsia="Times New Roman" w:hAnsi="Cambria" w:cs="Calibri"/>
                <w:color w:val="000000"/>
                <w:sz w:val="18"/>
                <w:szCs w:val="18"/>
              </w:rPr>
              <w:t>P-1617-12</w:t>
            </w:r>
          </w:p>
        </w:tc>
        <w:tc>
          <w:tcPr>
            <w:tcW w:w="2592" w:type="dxa"/>
            <w:tcBorders>
              <w:top w:val="single" w:sz="4" w:space="0" w:color="auto"/>
              <w:left w:val="single" w:sz="4" w:space="0" w:color="auto"/>
              <w:bottom w:val="single" w:sz="4" w:space="0" w:color="auto"/>
              <w:right w:val="single" w:sz="4" w:space="0" w:color="auto"/>
            </w:tcBorders>
            <w:vAlign w:val="center"/>
            <w:hideMark/>
          </w:tcPr>
          <w:p w14:paraId="7B44747A" w14:textId="77777777" w:rsidR="00A56DCF" w:rsidRPr="00771007" w:rsidRDefault="00A56DCF">
            <w:pPr>
              <w:rPr>
                <w:rFonts w:ascii="Cambria" w:eastAsia="Times New Roman" w:hAnsi="Cambria" w:cs="Calibri"/>
                <w:color w:val="000000"/>
                <w:sz w:val="18"/>
                <w:szCs w:val="18"/>
              </w:rPr>
            </w:pPr>
            <w:r w:rsidRPr="00771007">
              <w:rPr>
                <w:rFonts w:ascii="Cambria" w:eastAsia="Times New Roman" w:hAnsi="Cambria" w:cs="Calibri"/>
                <w:color w:val="000000"/>
                <w:sz w:val="18"/>
                <w:szCs w:val="18"/>
              </w:rPr>
              <w:t>Domingo José Rivas Coronado</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C355A3E"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Colombia</w:t>
            </w:r>
          </w:p>
        </w:tc>
        <w:tc>
          <w:tcPr>
            <w:tcW w:w="1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D3C1FB"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2022-05-02</w:t>
            </w:r>
          </w:p>
        </w:tc>
      </w:tr>
      <w:tr w:rsidR="00A56DCF" w:rsidRPr="00771007" w14:paraId="0D350C0F" w14:textId="77777777">
        <w:trPr>
          <w:trHeight w:val="281"/>
          <w:jc w:val="center"/>
        </w:trPr>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FD02C8" w14:textId="77777777" w:rsidR="00A56DCF" w:rsidRPr="00771007" w:rsidRDefault="00A56DCF" w:rsidP="00933F91">
            <w:pPr>
              <w:numPr>
                <w:ilvl w:val="0"/>
                <w:numId w:val="68"/>
              </w:numPr>
              <w:tabs>
                <w:tab w:val="left" w:pos="360"/>
              </w:tabs>
              <w:ind w:left="90" w:firstLine="0"/>
              <w:rPr>
                <w:rFonts w:ascii="Cambria" w:eastAsia="Times New Roman" w:hAnsi="Cambria" w:cs="Calibri"/>
                <w:color w:val="000000"/>
                <w:sz w:val="18"/>
                <w:szCs w:val="18"/>
              </w:rPr>
            </w:pPr>
            <w:r w:rsidRPr="00771007">
              <w:rPr>
                <w:rFonts w:ascii="Cambria" w:eastAsia="Times New Roman" w:hAnsi="Cambria" w:cs="Calibri"/>
                <w:color w:val="000000"/>
                <w:sz w:val="18"/>
                <w:szCs w:val="18"/>
              </w:rPr>
              <w:t>Case 12.956</w:t>
            </w:r>
          </w:p>
        </w:tc>
        <w:tc>
          <w:tcPr>
            <w:tcW w:w="25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609C02" w14:textId="77777777" w:rsidR="00A56DCF" w:rsidRPr="00771007" w:rsidRDefault="00A56DCF">
            <w:pPr>
              <w:rPr>
                <w:rFonts w:ascii="Cambria" w:eastAsia="Times New Roman" w:hAnsi="Cambria" w:cs="Calibri"/>
                <w:color w:val="000000"/>
                <w:sz w:val="18"/>
                <w:szCs w:val="18"/>
              </w:rPr>
            </w:pPr>
            <w:r w:rsidRPr="00771007">
              <w:rPr>
                <w:rFonts w:ascii="Cambria" w:eastAsia="Times New Roman" w:hAnsi="Cambria" w:cs="Calibri"/>
                <w:color w:val="000000"/>
                <w:sz w:val="18"/>
                <w:szCs w:val="18"/>
              </w:rPr>
              <w:t>F.S.</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4DBB0B"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Chile</w:t>
            </w:r>
          </w:p>
        </w:tc>
        <w:tc>
          <w:tcPr>
            <w:tcW w:w="1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0D3EF4"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2022-05-26</w:t>
            </w:r>
          </w:p>
        </w:tc>
      </w:tr>
      <w:tr w:rsidR="00A56DCF" w:rsidRPr="00771007" w14:paraId="4033EFD1" w14:textId="77777777">
        <w:trPr>
          <w:trHeight w:val="533"/>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471C40D7" w14:textId="77777777" w:rsidR="00A56DCF" w:rsidRPr="00771007" w:rsidRDefault="00A56DCF" w:rsidP="00933F91">
            <w:pPr>
              <w:numPr>
                <w:ilvl w:val="0"/>
                <w:numId w:val="68"/>
              </w:numPr>
              <w:tabs>
                <w:tab w:val="left" w:pos="360"/>
              </w:tabs>
              <w:ind w:left="90" w:firstLine="0"/>
              <w:rPr>
                <w:rFonts w:ascii="Cambria" w:eastAsia="Times New Roman" w:hAnsi="Cambria" w:cs="Calibri"/>
                <w:color w:val="000000"/>
                <w:sz w:val="18"/>
                <w:szCs w:val="18"/>
              </w:rPr>
            </w:pPr>
            <w:r w:rsidRPr="00771007">
              <w:rPr>
                <w:rFonts w:ascii="Cambria" w:eastAsia="Times New Roman" w:hAnsi="Cambria" w:cs="Calibri"/>
                <w:color w:val="000000"/>
                <w:sz w:val="18"/>
                <w:szCs w:val="18"/>
              </w:rPr>
              <w:t>P-268-10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21F04416" w14:textId="77777777" w:rsidR="00A56DCF" w:rsidRPr="00771007" w:rsidRDefault="00A56DCF">
            <w:pPr>
              <w:rPr>
                <w:rFonts w:ascii="Cambria" w:eastAsia="Times New Roman" w:hAnsi="Cambria" w:cs="Calibri"/>
                <w:color w:val="000000"/>
                <w:sz w:val="18"/>
                <w:szCs w:val="18"/>
                <w:lang w:val="es-AR"/>
              </w:rPr>
            </w:pPr>
            <w:r w:rsidRPr="00771007">
              <w:rPr>
                <w:rFonts w:ascii="Cambria" w:eastAsia="Times New Roman" w:hAnsi="Cambria" w:cs="Calibri"/>
                <w:color w:val="000000"/>
                <w:sz w:val="18"/>
                <w:szCs w:val="18"/>
                <w:lang w:val="es-AR"/>
              </w:rPr>
              <w:t>María del Carmen Senem de Buzzi</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970BA84"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Argentina</w:t>
            </w:r>
          </w:p>
        </w:tc>
        <w:tc>
          <w:tcPr>
            <w:tcW w:w="1529" w:type="dxa"/>
            <w:tcBorders>
              <w:top w:val="single" w:sz="4" w:space="0" w:color="auto"/>
              <w:left w:val="single" w:sz="4" w:space="0" w:color="auto"/>
              <w:bottom w:val="single" w:sz="4" w:space="0" w:color="auto"/>
              <w:right w:val="single" w:sz="4" w:space="0" w:color="auto"/>
            </w:tcBorders>
            <w:vAlign w:val="center"/>
            <w:hideMark/>
          </w:tcPr>
          <w:p w14:paraId="14B0081D"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2022-06-06</w:t>
            </w:r>
          </w:p>
        </w:tc>
      </w:tr>
      <w:tr w:rsidR="00A56DCF" w:rsidRPr="00771007" w14:paraId="3B526D06" w14:textId="77777777">
        <w:trPr>
          <w:trHeight w:val="326"/>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2383F002" w14:textId="77777777" w:rsidR="00A56DCF" w:rsidRPr="00771007" w:rsidRDefault="00A56DCF" w:rsidP="00933F91">
            <w:pPr>
              <w:numPr>
                <w:ilvl w:val="0"/>
                <w:numId w:val="68"/>
              </w:numPr>
              <w:tabs>
                <w:tab w:val="left" w:pos="360"/>
              </w:tabs>
              <w:ind w:left="90" w:firstLine="0"/>
              <w:rPr>
                <w:rFonts w:ascii="Cambria" w:eastAsia="Times New Roman" w:hAnsi="Cambria" w:cs="Calibri"/>
                <w:color w:val="000000"/>
                <w:sz w:val="18"/>
                <w:szCs w:val="18"/>
              </w:rPr>
            </w:pPr>
            <w:r w:rsidRPr="00771007">
              <w:rPr>
                <w:rFonts w:ascii="Cambria" w:eastAsia="Times New Roman" w:hAnsi="Cambria" w:cs="Calibri"/>
                <w:color w:val="000000"/>
                <w:sz w:val="18"/>
                <w:szCs w:val="18"/>
              </w:rPr>
              <w:t>P-1376-19</w:t>
            </w:r>
          </w:p>
        </w:tc>
        <w:tc>
          <w:tcPr>
            <w:tcW w:w="2592" w:type="dxa"/>
            <w:tcBorders>
              <w:top w:val="single" w:sz="4" w:space="0" w:color="auto"/>
              <w:left w:val="single" w:sz="4" w:space="0" w:color="auto"/>
              <w:bottom w:val="single" w:sz="4" w:space="0" w:color="auto"/>
              <w:right w:val="single" w:sz="4" w:space="0" w:color="auto"/>
            </w:tcBorders>
            <w:vAlign w:val="center"/>
            <w:hideMark/>
          </w:tcPr>
          <w:p w14:paraId="179B305B" w14:textId="77777777" w:rsidR="00A56DCF" w:rsidRPr="00771007" w:rsidRDefault="00A56DCF">
            <w:pPr>
              <w:rPr>
                <w:rFonts w:ascii="Cambria" w:eastAsia="Times New Roman" w:hAnsi="Cambria" w:cs="Calibri"/>
                <w:color w:val="000000"/>
                <w:sz w:val="18"/>
                <w:szCs w:val="18"/>
              </w:rPr>
            </w:pPr>
            <w:r w:rsidRPr="00771007">
              <w:rPr>
                <w:rFonts w:ascii="Cambria" w:eastAsia="Times New Roman" w:hAnsi="Cambria" w:cs="Calibri"/>
                <w:color w:val="000000"/>
                <w:sz w:val="18"/>
                <w:szCs w:val="18"/>
              </w:rPr>
              <w:t>Silvia Flores</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79ACC4E"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Uruguay</w:t>
            </w:r>
          </w:p>
        </w:tc>
        <w:tc>
          <w:tcPr>
            <w:tcW w:w="1529" w:type="dxa"/>
            <w:tcBorders>
              <w:top w:val="single" w:sz="4" w:space="0" w:color="auto"/>
              <w:left w:val="single" w:sz="4" w:space="0" w:color="auto"/>
              <w:bottom w:val="single" w:sz="4" w:space="0" w:color="auto"/>
              <w:right w:val="single" w:sz="4" w:space="0" w:color="auto"/>
            </w:tcBorders>
            <w:vAlign w:val="center"/>
            <w:hideMark/>
          </w:tcPr>
          <w:p w14:paraId="489C9D7C"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2022-08-10</w:t>
            </w:r>
          </w:p>
        </w:tc>
      </w:tr>
      <w:tr w:rsidR="00A56DCF" w:rsidRPr="00771007" w14:paraId="761DC0B9" w14:textId="77777777">
        <w:trPr>
          <w:trHeight w:val="416"/>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642D43E3" w14:textId="77777777" w:rsidR="00A56DCF" w:rsidRPr="00771007" w:rsidRDefault="00A56DCF" w:rsidP="00933F91">
            <w:pPr>
              <w:numPr>
                <w:ilvl w:val="0"/>
                <w:numId w:val="68"/>
              </w:numPr>
              <w:tabs>
                <w:tab w:val="left" w:pos="360"/>
              </w:tabs>
              <w:ind w:left="90" w:firstLine="0"/>
              <w:rPr>
                <w:rFonts w:ascii="Cambria" w:eastAsia="Times New Roman" w:hAnsi="Cambria" w:cs="Calibri"/>
                <w:color w:val="000000"/>
                <w:sz w:val="18"/>
                <w:szCs w:val="18"/>
              </w:rPr>
            </w:pPr>
            <w:r w:rsidRPr="00771007">
              <w:rPr>
                <w:rFonts w:ascii="Cambria" w:eastAsia="Times New Roman" w:hAnsi="Cambria" w:cs="Calibri"/>
                <w:color w:val="000000"/>
                <w:sz w:val="18"/>
                <w:szCs w:val="18"/>
              </w:rPr>
              <w:t>Case 11.426</w:t>
            </w:r>
          </w:p>
        </w:tc>
        <w:tc>
          <w:tcPr>
            <w:tcW w:w="2592" w:type="dxa"/>
            <w:tcBorders>
              <w:top w:val="single" w:sz="4" w:space="0" w:color="auto"/>
              <w:left w:val="single" w:sz="4" w:space="0" w:color="auto"/>
              <w:bottom w:val="single" w:sz="4" w:space="0" w:color="auto"/>
              <w:right w:val="single" w:sz="4" w:space="0" w:color="auto"/>
            </w:tcBorders>
            <w:vAlign w:val="center"/>
            <w:hideMark/>
          </w:tcPr>
          <w:p w14:paraId="37924AF5" w14:textId="77777777" w:rsidR="00A56DCF" w:rsidRPr="00771007" w:rsidRDefault="00A56DCF">
            <w:pPr>
              <w:rPr>
                <w:rFonts w:ascii="Cambria" w:eastAsia="Times New Roman" w:hAnsi="Cambria" w:cs="Calibri"/>
                <w:color w:val="000000"/>
                <w:sz w:val="18"/>
                <w:szCs w:val="18"/>
              </w:rPr>
            </w:pPr>
            <w:r w:rsidRPr="00771007">
              <w:rPr>
                <w:rFonts w:ascii="Cambria" w:eastAsia="Times New Roman" w:hAnsi="Cambria" w:cs="Calibri"/>
                <w:color w:val="000000"/>
                <w:sz w:val="18"/>
                <w:szCs w:val="18"/>
              </w:rPr>
              <w:t>Marcela Alejandra Porco</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2527DA3"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Bolivia</w:t>
            </w:r>
          </w:p>
        </w:tc>
        <w:tc>
          <w:tcPr>
            <w:tcW w:w="1529" w:type="dxa"/>
            <w:tcBorders>
              <w:top w:val="single" w:sz="4" w:space="0" w:color="auto"/>
              <w:left w:val="single" w:sz="4" w:space="0" w:color="auto"/>
              <w:bottom w:val="single" w:sz="4" w:space="0" w:color="auto"/>
              <w:right w:val="single" w:sz="4" w:space="0" w:color="auto"/>
            </w:tcBorders>
            <w:vAlign w:val="center"/>
            <w:hideMark/>
          </w:tcPr>
          <w:p w14:paraId="31AA8785"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2022-09-19</w:t>
            </w:r>
          </w:p>
        </w:tc>
      </w:tr>
      <w:tr w:rsidR="00A56DCF" w:rsidRPr="00771007" w14:paraId="1D6D6660" w14:textId="77777777">
        <w:trPr>
          <w:trHeight w:val="317"/>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6E776E05" w14:textId="77777777" w:rsidR="00A56DCF" w:rsidRPr="00771007" w:rsidRDefault="00A56DCF" w:rsidP="00933F91">
            <w:pPr>
              <w:numPr>
                <w:ilvl w:val="0"/>
                <w:numId w:val="68"/>
              </w:numPr>
              <w:tabs>
                <w:tab w:val="left" w:pos="360"/>
              </w:tabs>
              <w:ind w:left="90" w:firstLine="0"/>
              <w:rPr>
                <w:rFonts w:ascii="Cambria" w:eastAsia="Times New Roman" w:hAnsi="Cambria" w:cs="Calibri"/>
                <w:color w:val="000000"/>
                <w:sz w:val="18"/>
                <w:szCs w:val="18"/>
              </w:rPr>
            </w:pPr>
            <w:r w:rsidRPr="00771007">
              <w:rPr>
                <w:rFonts w:ascii="Cambria" w:eastAsia="Times New Roman" w:hAnsi="Cambria" w:cs="Calibri"/>
                <w:color w:val="000000"/>
                <w:sz w:val="18"/>
                <w:szCs w:val="18"/>
              </w:rPr>
              <w:t>Case 14.577</w:t>
            </w:r>
          </w:p>
        </w:tc>
        <w:tc>
          <w:tcPr>
            <w:tcW w:w="2592" w:type="dxa"/>
            <w:tcBorders>
              <w:top w:val="single" w:sz="4" w:space="0" w:color="auto"/>
              <w:left w:val="single" w:sz="4" w:space="0" w:color="auto"/>
              <w:bottom w:val="single" w:sz="4" w:space="0" w:color="auto"/>
              <w:right w:val="single" w:sz="4" w:space="0" w:color="auto"/>
            </w:tcBorders>
            <w:vAlign w:val="center"/>
            <w:hideMark/>
          </w:tcPr>
          <w:p w14:paraId="76C4968C" w14:textId="77777777" w:rsidR="00A56DCF" w:rsidRPr="00771007" w:rsidRDefault="00A56DCF">
            <w:pPr>
              <w:rPr>
                <w:rFonts w:ascii="Cambria" w:eastAsia="Times New Roman" w:hAnsi="Cambria" w:cs="Calibri"/>
                <w:color w:val="000000"/>
                <w:sz w:val="18"/>
                <w:szCs w:val="18"/>
              </w:rPr>
            </w:pPr>
            <w:r w:rsidRPr="00771007">
              <w:rPr>
                <w:rFonts w:ascii="Cambria" w:eastAsia="Times New Roman" w:hAnsi="Cambria" w:cs="Calibri"/>
                <w:color w:val="000000"/>
                <w:sz w:val="18"/>
                <w:szCs w:val="18"/>
              </w:rPr>
              <w:t>Teobaldo Martínez</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ED065E1"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Colombia</w:t>
            </w:r>
          </w:p>
        </w:tc>
        <w:tc>
          <w:tcPr>
            <w:tcW w:w="1529" w:type="dxa"/>
            <w:tcBorders>
              <w:top w:val="single" w:sz="4" w:space="0" w:color="auto"/>
              <w:left w:val="single" w:sz="4" w:space="0" w:color="auto"/>
              <w:bottom w:val="single" w:sz="4" w:space="0" w:color="auto"/>
              <w:right w:val="single" w:sz="4" w:space="0" w:color="auto"/>
            </w:tcBorders>
            <w:vAlign w:val="center"/>
            <w:hideMark/>
          </w:tcPr>
          <w:p w14:paraId="4BE14DAB"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2022-09-22</w:t>
            </w:r>
          </w:p>
        </w:tc>
      </w:tr>
      <w:tr w:rsidR="00A56DCF" w:rsidRPr="00771007" w14:paraId="12342278" w14:textId="77777777">
        <w:trPr>
          <w:trHeight w:val="416"/>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08FD2EC5" w14:textId="77777777" w:rsidR="00A56DCF" w:rsidRPr="00771007" w:rsidRDefault="00A56DCF" w:rsidP="00933F91">
            <w:pPr>
              <w:numPr>
                <w:ilvl w:val="0"/>
                <w:numId w:val="68"/>
              </w:numPr>
              <w:tabs>
                <w:tab w:val="left" w:pos="360"/>
              </w:tabs>
              <w:ind w:left="90" w:firstLine="0"/>
              <w:rPr>
                <w:rFonts w:ascii="Cambria" w:eastAsia="Times New Roman" w:hAnsi="Cambria" w:cs="Calibri"/>
                <w:color w:val="000000"/>
                <w:sz w:val="18"/>
                <w:szCs w:val="18"/>
              </w:rPr>
            </w:pPr>
            <w:r w:rsidRPr="00771007">
              <w:rPr>
                <w:rFonts w:ascii="Cambria" w:eastAsia="Times New Roman" w:hAnsi="Cambria" w:cs="Calibri"/>
                <w:color w:val="000000"/>
                <w:sz w:val="18"/>
                <w:szCs w:val="18"/>
              </w:rPr>
              <w:t>P-1478-12</w:t>
            </w:r>
          </w:p>
        </w:tc>
        <w:tc>
          <w:tcPr>
            <w:tcW w:w="2592" w:type="dxa"/>
            <w:tcBorders>
              <w:top w:val="single" w:sz="4" w:space="0" w:color="auto"/>
              <w:left w:val="single" w:sz="4" w:space="0" w:color="auto"/>
              <w:bottom w:val="single" w:sz="4" w:space="0" w:color="auto"/>
              <w:right w:val="single" w:sz="4" w:space="0" w:color="auto"/>
            </w:tcBorders>
            <w:vAlign w:val="center"/>
            <w:hideMark/>
          </w:tcPr>
          <w:p w14:paraId="73F7F063" w14:textId="77777777" w:rsidR="00A56DCF" w:rsidRPr="00771007" w:rsidRDefault="00A56DCF">
            <w:pPr>
              <w:rPr>
                <w:rFonts w:ascii="Cambria" w:eastAsia="Times New Roman" w:hAnsi="Cambria" w:cs="Calibri"/>
                <w:color w:val="000000"/>
                <w:sz w:val="18"/>
                <w:szCs w:val="18"/>
              </w:rPr>
            </w:pPr>
            <w:r w:rsidRPr="00771007">
              <w:rPr>
                <w:rFonts w:ascii="Cambria" w:eastAsia="Times New Roman" w:hAnsi="Cambria" w:cs="Calibri"/>
                <w:color w:val="000000"/>
                <w:sz w:val="18"/>
                <w:szCs w:val="18"/>
              </w:rPr>
              <w:t>José Manuel Bello</w:t>
            </w:r>
          </w:p>
        </w:tc>
        <w:tc>
          <w:tcPr>
            <w:tcW w:w="1256" w:type="dxa"/>
            <w:tcBorders>
              <w:top w:val="single" w:sz="4" w:space="0" w:color="auto"/>
              <w:left w:val="single" w:sz="4" w:space="0" w:color="auto"/>
              <w:bottom w:val="single" w:sz="4" w:space="0" w:color="auto"/>
              <w:right w:val="single" w:sz="4" w:space="0" w:color="auto"/>
            </w:tcBorders>
            <w:hideMark/>
          </w:tcPr>
          <w:p w14:paraId="09CE0858"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Colombia</w:t>
            </w:r>
          </w:p>
        </w:tc>
        <w:tc>
          <w:tcPr>
            <w:tcW w:w="1529" w:type="dxa"/>
            <w:tcBorders>
              <w:top w:val="single" w:sz="4" w:space="0" w:color="auto"/>
              <w:left w:val="single" w:sz="4" w:space="0" w:color="auto"/>
              <w:bottom w:val="single" w:sz="4" w:space="0" w:color="auto"/>
              <w:right w:val="single" w:sz="4" w:space="0" w:color="auto"/>
            </w:tcBorders>
            <w:vAlign w:val="center"/>
            <w:hideMark/>
          </w:tcPr>
          <w:p w14:paraId="4022CD8B"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2022-09-22</w:t>
            </w:r>
          </w:p>
        </w:tc>
      </w:tr>
      <w:tr w:rsidR="00A56DCF" w:rsidRPr="00771007" w14:paraId="35048AB4" w14:textId="77777777">
        <w:trPr>
          <w:trHeight w:val="218"/>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751B0851" w14:textId="77777777" w:rsidR="00A56DCF" w:rsidRPr="00771007" w:rsidRDefault="00A56DCF" w:rsidP="00933F91">
            <w:pPr>
              <w:numPr>
                <w:ilvl w:val="0"/>
                <w:numId w:val="68"/>
              </w:numPr>
              <w:tabs>
                <w:tab w:val="left" w:pos="360"/>
              </w:tabs>
              <w:ind w:left="90" w:firstLine="0"/>
              <w:rPr>
                <w:rFonts w:ascii="Cambria" w:eastAsia="Times New Roman" w:hAnsi="Cambria" w:cs="Calibri"/>
                <w:color w:val="000000"/>
                <w:sz w:val="18"/>
                <w:szCs w:val="18"/>
              </w:rPr>
            </w:pPr>
            <w:r w:rsidRPr="00771007">
              <w:rPr>
                <w:rFonts w:ascii="Cambria" w:eastAsia="Times New Roman" w:hAnsi="Cambria" w:cs="Calibri"/>
                <w:color w:val="000000"/>
                <w:sz w:val="18"/>
                <w:szCs w:val="18"/>
              </w:rPr>
              <w:t>Case 13.840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291B0A82" w14:textId="77777777" w:rsidR="00A56DCF" w:rsidRPr="00771007" w:rsidRDefault="00A56DCF">
            <w:pPr>
              <w:rPr>
                <w:rFonts w:ascii="Cambria" w:eastAsia="Times New Roman" w:hAnsi="Cambria" w:cs="Calibri"/>
                <w:color w:val="000000"/>
                <w:sz w:val="18"/>
                <w:szCs w:val="18"/>
              </w:rPr>
            </w:pPr>
            <w:r w:rsidRPr="00771007">
              <w:rPr>
                <w:rFonts w:ascii="Cambria" w:eastAsia="Times New Roman" w:hAnsi="Cambria" w:cs="Calibri"/>
                <w:color w:val="000000"/>
                <w:sz w:val="18"/>
                <w:szCs w:val="18"/>
              </w:rPr>
              <w:t>Edwin Hernán Ciro</w:t>
            </w:r>
          </w:p>
        </w:tc>
        <w:tc>
          <w:tcPr>
            <w:tcW w:w="1256" w:type="dxa"/>
            <w:tcBorders>
              <w:top w:val="single" w:sz="4" w:space="0" w:color="auto"/>
              <w:left w:val="single" w:sz="4" w:space="0" w:color="auto"/>
              <w:bottom w:val="single" w:sz="4" w:space="0" w:color="auto"/>
              <w:right w:val="single" w:sz="4" w:space="0" w:color="auto"/>
            </w:tcBorders>
            <w:hideMark/>
          </w:tcPr>
          <w:p w14:paraId="0D6ED31A"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Colombia</w:t>
            </w:r>
          </w:p>
        </w:tc>
        <w:tc>
          <w:tcPr>
            <w:tcW w:w="1529" w:type="dxa"/>
            <w:tcBorders>
              <w:top w:val="single" w:sz="4" w:space="0" w:color="auto"/>
              <w:left w:val="single" w:sz="4" w:space="0" w:color="auto"/>
              <w:bottom w:val="single" w:sz="4" w:space="0" w:color="auto"/>
              <w:right w:val="single" w:sz="4" w:space="0" w:color="auto"/>
            </w:tcBorders>
            <w:vAlign w:val="center"/>
            <w:hideMark/>
          </w:tcPr>
          <w:p w14:paraId="6FA556EC"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2022-09-27</w:t>
            </w:r>
          </w:p>
        </w:tc>
      </w:tr>
      <w:tr w:rsidR="00A56DCF" w:rsidRPr="00771007" w14:paraId="3D054D15" w14:textId="77777777">
        <w:trPr>
          <w:trHeight w:val="308"/>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0A49F5AF" w14:textId="77777777" w:rsidR="00A56DCF" w:rsidRPr="00771007" w:rsidRDefault="00A56DCF" w:rsidP="00933F91">
            <w:pPr>
              <w:numPr>
                <w:ilvl w:val="0"/>
                <w:numId w:val="68"/>
              </w:numPr>
              <w:tabs>
                <w:tab w:val="left" w:pos="360"/>
              </w:tabs>
              <w:ind w:left="90" w:firstLine="0"/>
              <w:rPr>
                <w:rFonts w:ascii="Cambria" w:eastAsia="Times New Roman" w:hAnsi="Cambria" w:cs="Calibri"/>
                <w:color w:val="000000"/>
                <w:sz w:val="18"/>
                <w:szCs w:val="18"/>
              </w:rPr>
            </w:pPr>
            <w:r w:rsidRPr="00771007">
              <w:rPr>
                <w:rFonts w:ascii="Cambria" w:eastAsia="Times New Roman" w:hAnsi="Cambria" w:cs="Calibri"/>
                <w:color w:val="000000"/>
                <w:sz w:val="18"/>
                <w:szCs w:val="18"/>
              </w:rPr>
              <w:t>Case 14.145</w:t>
            </w:r>
          </w:p>
        </w:tc>
        <w:tc>
          <w:tcPr>
            <w:tcW w:w="2592" w:type="dxa"/>
            <w:tcBorders>
              <w:top w:val="single" w:sz="4" w:space="0" w:color="auto"/>
              <w:left w:val="single" w:sz="4" w:space="0" w:color="auto"/>
              <w:bottom w:val="single" w:sz="4" w:space="0" w:color="auto"/>
              <w:right w:val="single" w:sz="4" w:space="0" w:color="auto"/>
            </w:tcBorders>
            <w:vAlign w:val="center"/>
            <w:hideMark/>
          </w:tcPr>
          <w:p w14:paraId="5262E954" w14:textId="77777777" w:rsidR="00A56DCF" w:rsidRPr="00771007" w:rsidRDefault="00A56DCF">
            <w:pPr>
              <w:rPr>
                <w:rFonts w:ascii="Cambria" w:eastAsia="Times New Roman" w:hAnsi="Cambria" w:cs="Calibri"/>
                <w:color w:val="000000"/>
                <w:sz w:val="18"/>
                <w:szCs w:val="18"/>
              </w:rPr>
            </w:pPr>
            <w:r w:rsidRPr="00771007">
              <w:rPr>
                <w:rFonts w:ascii="Cambria" w:eastAsia="Times New Roman" w:hAnsi="Cambria" w:cs="Calibri"/>
                <w:color w:val="000000"/>
                <w:sz w:val="18"/>
                <w:szCs w:val="18"/>
              </w:rPr>
              <w:t>Eleazar Vargas Ardila</w:t>
            </w:r>
          </w:p>
        </w:tc>
        <w:tc>
          <w:tcPr>
            <w:tcW w:w="1256" w:type="dxa"/>
            <w:tcBorders>
              <w:top w:val="single" w:sz="4" w:space="0" w:color="auto"/>
              <w:left w:val="single" w:sz="4" w:space="0" w:color="auto"/>
              <w:bottom w:val="single" w:sz="4" w:space="0" w:color="auto"/>
              <w:right w:val="single" w:sz="4" w:space="0" w:color="auto"/>
            </w:tcBorders>
            <w:hideMark/>
          </w:tcPr>
          <w:p w14:paraId="379E228B"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Colombia</w:t>
            </w:r>
          </w:p>
        </w:tc>
        <w:tc>
          <w:tcPr>
            <w:tcW w:w="1529" w:type="dxa"/>
            <w:tcBorders>
              <w:top w:val="single" w:sz="4" w:space="0" w:color="auto"/>
              <w:left w:val="single" w:sz="4" w:space="0" w:color="auto"/>
              <w:bottom w:val="single" w:sz="4" w:space="0" w:color="auto"/>
              <w:right w:val="single" w:sz="4" w:space="0" w:color="auto"/>
            </w:tcBorders>
            <w:vAlign w:val="center"/>
            <w:hideMark/>
          </w:tcPr>
          <w:p w14:paraId="489FFEF8"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2022-09-27</w:t>
            </w:r>
          </w:p>
        </w:tc>
      </w:tr>
      <w:tr w:rsidR="00A56DCF" w:rsidRPr="00771007" w14:paraId="0DC5E557" w14:textId="77777777">
        <w:trPr>
          <w:trHeight w:val="326"/>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0F6AE211" w14:textId="77777777" w:rsidR="00A56DCF" w:rsidRPr="00771007" w:rsidRDefault="00A56DCF" w:rsidP="00933F91">
            <w:pPr>
              <w:numPr>
                <w:ilvl w:val="0"/>
                <w:numId w:val="68"/>
              </w:numPr>
              <w:tabs>
                <w:tab w:val="left" w:pos="360"/>
              </w:tabs>
              <w:ind w:left="90" w:firstLine="0"/>
              <w:rPr>
                <w:rFonts w:ascii="Cambria" w:eastAsia="Times New Roman" w:hAnsi="Cambria" w:cs="Calibri"/>
                <w:color w:val="000000"/>
                <w:sz w:val="18"/>
                <w:szCs w:val="18"/>
              </w:rPr>
            </w:pPr>
            <w:r w:rsidRPr="00771007">
              <w:rPr>
                <w:rFonts w:ascii="Cambria" w:eastAsia="Times New Roman" w:hAnsi="Cambria" w:cs="Calibri"/>
                <w:color w:val="000000"/>
                <w:sz w:val="18"/>
                <w:szCs w:val="18"/>
              </w:rPr>
              <w:lastRenderedPageBreak/>
              <w:t>Case 14.070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126F6BF0" w14:textId="77777777" w:rsidR="00A56DCF" w:rsidRPr="00771007" w:rsidRDefault="00A56DCF">
            <w:pPr>
              <w:rPr>
                <w:rFonts w:ascii="Cambria" w:eastAsia="Times New Roman" w:hAnsi="Cambria" w:cs="Calibri"/>
                <w:color w:val="000000"/>
                <w:sz w:val="18"/>
                <w:szCs w:val="18"/>
              </w:rPr>
            </w:pPr>
            <w:r w:rsidRPr="00771007">
              <w:rPr>
                <w:rFonts w:ascii="Cambria" w:eastAsia="Times New Roman" w:hAnsi="Cambria" w:cs="Calibri"/>
                <w:color w:val="000000"/>
                <w:sz w:val="18"/>
                <w:szCs w:val="18"/>
              </w:rPr>
              <w:t>José Omar Torres</w:t>
            </w:r>
          </w:p>
        </w:tc>
        <w:tc>
          <w:tcPr>
            <w:tcW w:w="1256" w:type="dxa"/>
            <w:tcBorders>
              <w:top w:val="single" w:sz="4" w:space="0" w:color="auto"/>
              <w:left w:val="single" w:sz="4" w:space="0" w:color="auto"/>
              <w:bottom w:val="single" w:sz="4" w:space="0" w:color="auto"/>
              <w:right w:val="single" w:sz="4" w:space="0" w:color="auto"/>
            </w:tcBorders>
            <w:hideMark/>
          </w:tcPr>
          <w:p w14:paraId="578C8DC8"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Colombia</w:t>
            </w:r>
          </w:p>
        </w:tc>
        <w:tc>
          <w:tcPr>
            <w:tcW w:w="1529" w:type="dxa"/>
            <w:tcBorders>
              <w:top w:val="single" w:sz="4" w:space="0" w:color="auto"/>
              <w:left w:val="single" w:sz="4" w:space="0" w:color="auto"/>
              <w:bottom w:val="single" w:sz="4" w:space="0" w:color="auto"/>
              <w:right w:val="single" w:sz="4" w:space="0" w:color="auto"/>
            </w:tcBorders>
            <w:vAlign w:val="center"/>
            <w:hideMark/>
          </w:tcPr>
          <w:p w14:paraId="46282951" w14:textId="77777777" w:rsidR="00A56DCF" w:rsidRPr="00771007" w:rsidRDefault="00A56DCF">
            <w:pPr>
              <w:jc w:val="center"/>
              <w:rPr>
                <w:rFonts w:ascii="Cambria" w:eastAsia="Times New Roman" w:hAnsi="Cambria" w:cs="Calibri"/>
                <w:color w:val="000000"/>
                <w:sz w:val="18"/>
                <w:szCs w:val="18"/>
              </w:rPr>
            </w:pPr>
            <w:r w:rsidRPr="00771007">
              <w:rPr>
                <w:rFonts w:ascii="Cambria" w:eastAsia="Times New Roman" w:hAnsi="Cambria" w:cs="Calibri"/>
                <w:color w:val="000000"/>
                <w:sz w:val="18"/>
                <w:szCs w:val="18"/>
              </w:rPr>
              <w:t>2022-09-27</w:t>
            </w:r>
          </w:p>
        </w:tc>
      </w:tr>
      <w:tr w:rsidR="00A56DCF" w:rsidRPr="00771007" w14:paraId="72DDE8E6" w14:textId="77777777">
        <w:trPr>
          <w:trHeight w:val="308"/>
          <w:jc w:val="center"/>
        </w:trPr>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FBF712" w14:textId="77777777" w:rsidR="00A56DCF" w:rsidRPr="00771007" w:rsidRDefault="00A56DCF" w:rsidP="00933F91">
            <w:pPr>
              <w:numPr>
                <w:ilvl w:val="0"/>
                <w:numId w:val="68"/>
              </w:numPr>
              <w:tabs>
                <w:tab w:val="left" w:pos="360"/>
              </w:tabs>
              <w:ind w:left="90" w:firstLine="0"/>
              <w:rPr>
                <w:rFonts w:ascii="Cambria" w:eastAsia="Times New Roman" w:hAnsi="Cambria" w:cs="Calibri"/>
                <w:sz w:val="18"/>
                <w:szCs w:val="18"/>
              </w:rPr>
            </w:pPr>
            <w:r w:rsidRPr="00771007">
              <w:rPr>
                <w:rFonts w:ascii="Cambria" w:eastAsia="Times New Roman" w:hAnsi="Cambria" w:cs="Calibri"/>
                <w:color w:val="000000"/>
                <w:sz w:val="18"/>
                <w:szCs w:val="18"/>
              </w:rPr>
              <w:t>Case</w:t>
            </w:r>
            <w:r w:rsidRPr="00771007">
              <w:rPr>
                <w:rFonts w:ascii="Cambria" w:eastAsia="Times New Roman" w:hAnsi="Cambria" w:cs="Calibri"/>
                <w:sz w:val="18"/>
                <w:szCs w:val="18"/>
              </w:rPr>
              <w:t xml:space="preserve"> 13.710</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425DC9" w14:textId="77777777" w:rsidR="00A56DCF" w:rsidRPr="00771007" w:rsidRDefault="00A56DCF">
            <w:pPr>
              <w:rPr>
                <w:rFonts w:ascii="Cambria" w:eastAsia="Times New Roman" w:hAnsi="Cambria" w:cs="Calibri"/>
                <w:sz w:val="18"/>
                <w:szCs w:val="18"/>
              </w:rPr>
            </w:pPr>
            <w:r w:rsidRPr="00771007">
              <w:rPr>
                <w:rFonts w:ascii="Cambria" w:eastAsia="Times New Roman" w:hAnsi="Cambria" w:cs="Calibri"/>
                <w:sz w:val="18"/>
                <w:szCs w:val="18"/>
              </w:rPr>
              <w:t>Julián Toro Ortiz</w:t>
            </w:r>
          </w:p>
        </w:tc>
        <w:tc>
          <w:tcPr>
            <w:tcW w:w="12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149F64" w14:textId="77777777" w:rsidR="00A56DCF" w:rsidRPr="00771007" w:rsidRDefault="00A56DCF">
            <w:pPr>
              <w:jc w:val="center"/>
              <w:rPr>
                <w:rFonts w:ascii="Cambria" w:eastAsia="Times New Roman" w:hAnsi="Cambria" w:cs="Calibri"/>
                <w:sz w:val="18"/>
                <w:szCs w:val="18"/>
              </w:rPr>
            </w:pPr>
            <w:r w:rsidRPr="00771007">
              <w:rPr>
                <w:rFonts w:ascii="Cambria" w:eastAsia="Times New Roman" w:hAnsi="Cambria" w:cs="Calibri"/>
                <w:sz w:val="18"/>
                <w:szCs w:val="18"/>
              </w:rPr>
              <w:t>Colombia</w:t>
            </w:r>
          </w:p>
        </w:t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33A215" w14:textId="77777777" w:rsidR="00A56DCF" w:rsidRPr="00771007" w:rsidRDefault="00A56DCF">
            <w:pPr>
              <w:jc w:val="center"/>
              <w:rPr>
                <w:rFonts w:ascii="Cambria" w:eastAsia="Times New Roman" w:hAnsi="Cambria" w:cs="Calibri"/>
                <w:sz w:val="18"/>
                <w:szCs w:val="18"/>
              </w:rPr>
            </w:pPr>
            <w:r w:rsidRPr="00771007">
              <w:rPr>
                <w:rFonts w:ascii="Cambria" w:eastAsia="Times New Roman" w:hAnsi="Cambria" w:cs="Calibri"/>
                <w:sz w:val="18"/>
                <w:szCs w:val="18"/>
              </w:rPr>
              <w:t>2022-11-30</w:t>
            </w:r>
          </w:p>
        </w:tc>
      </w:tr>
      <w:tr w:rsidR="00A56DCF" w:rsidRPr="00771007" w14:paraId="2A4C3FE7" w14:textId="77777777">
        <w:trPr>
          <w:trHeight w:val="515"/>
          <w:jc w:val="center"/>
        </w:trPr>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3CC7A0" w14:textId="77777777" w:rsidR="00A56DCF" w:rsidRPr="00771007" w:rsidRDefault="00A56DCF" w:rsidP="00933F91">
            <w:pPr>
              <w:numPr>
                <w:ilvl w:val="0"/>
                <w:numId w:val="68"/>
              </w:numPr>
              <w:tabs>
                <w:tab w:val="left" w:pos="360"/>
              </w:tabs>
              <w:ind w:left="90" w:firstLine="0"/>
              <w:rPr>
                <w:rFonts w:ascii="Cambria" w:eastAsia="Times New Roman" w:hAnsi="Cambria" w:cs="Calibri"/>
                <w:sz w:val="18"/>
                <w:szCs w:val="18"/>
              </w:rPr>
            </w:pPr>
            <w:r w:rsidRPr="00771007">
              <w:rPr>
                <w:rFonts w:ascii="Cambria" w:eastAsia="Times New Roman" w:hAnsi="Cambria" w:cs="Calibri"/>
                <w:color w:val="000000"/>
                <w:sz w:val="18"/>
                <w:szCs w:val="18"/>
              </w:rPr>
              <w:t>Case</w:t>
            </w:r>
            <w:r w:rsidRPr="00771007">
              <w:rPr>
                <w:rFonts w:ascii="Cambria" w:eastAsia="Times New Roman" w:hAnsi="Cambria" w:cs="Calibri"/>
                <w:sz w:val="18"/>
                <w:szCs w:val="18"/>
              </w:rPr>
              <w:t xml:space="preserve"> 12.332</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31992" w14:textId="77777777" w:rsidR="00A56DCF" w:rsidRPr="00771007" w:rsidRDefault="00A56DCF">
            <w:pPr>
              <w:rPr>
                <w:rFonts w:ascii="Cambria" w:eastAsia="Times New Roman" w:hAnsi="Cambria" w:cs="Calibri"/>
                <w:sz w:val="18"/>
                <w:szCs w:val="18"/>
              </w:rPr>
            </w:pPr>
            <w:r w:rsidRPr="00771007">
              <w:rPr>
                <w:rFonts w:ascii="Cambria" w:eastAsia="Times New Roman" w:hAnsi="Cambria" w:cs="Calibri"/>
                <w:sz w:val="18"/>
                <w:szCs w:val="18"/>
              </w:rPr>
              <w:t>Omar Ernesto Vásquez Agudelo and relatives</w:t>
            </w:r>
          </w:p>
        </w:tc>
        <w:tc>
          <w:tcPr>
            <w:tcW w:w="12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B8C4B6" w14:textId="77777777" w:rsidR="00A56DCF" w:rsidRPr="00771007" w:rsidRDefault="00A56DCF">
            <w:pPr>
              <w:jc w:val="center"/>
              <w:rPr>
                <w:rFonts w:ascii="Cambria" w:eastAsia="Times New Roman" w:hAnsi="Cambria" w:cs="Calibri"/>
                <w:sz w:val="18"/>
                <w:szCs w:val="18"/>
              </w:rPr>
            </w:pPr>
            <w:r w:rsidRPr="00771007">
              <w:rPr>
                <w:rFonts w:ascii="Cambria" w:eastAsia="Times New Roman" w:hAnsi="Cambria" w:cs="Calibri"/>
                <w:sz w:val="18"/>
                <w:szCs w:val="18"/>
              </w:rPr>
              <w:t>Colombia</w:t>
            </w:r>
          </w:p>
        </w:t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5F6FAE" w14:textId="77777777" w:rsidR="00A56DCF" w:rsidRPr="00771007" w:rsidRDefault="00A56DCF">
            <w:pPr>
              <w:jc w:val="center"/>
              <w:rPr>
                <w:rFonts w:ascii="Cambria" w:eastAsia="Times New Roman" w:hAnsi="Cambria" w:cs="Calibri"/>
                <w:sz w:val="18"/>
                <w:szCs w:val="18"/>
              </w:rPr>
            </w:pPr>
            <w:r w:rsidRPr="00771007">
              <w:rPr>
                <w:rFonts w:ascii="Cambria" w:eastAsia="Times New Roman" w:hAnsi="Cambria" w:cs="Calibri"/>
                <w:sz w:val="18"/>
                <w:szCs w:val="18"/>
              </w:rPr>
              <w:t>2022-11-30</w:t>
            </w:r>
          </w:p>
        </w:tc>
      </w:tr>
    </w:tbl>
    <w:p w14:paraId="158A0842" w14:textId="77777777" w:rsidR="00771007" w:rsidRPr="00AC7438" w:rsidRDefault="00771007"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047479EA" w14:textId="5D90BF4D" w:rsidR="002E260B"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71007">
        <w:rPr>
          <w:rFonts w:eastAsia="Calibri" w:cs="Calibri"/>
          <w:bCs/>
          <w:color w:val="000000"/>
          <w:u w:color="000000"/>
          <w:bdr w:val="nil"/>
          <w14:textOutline w14:w="0" w14:cap="flat" w14:cmpd="sng" w14:algn="ctr">
            <w14:noFill/>
            <w14:prstDash w14:val="solid"/>
            <w14:bevel/>
          </w14:textOutline>
        </w:rPr>
        <w:t>The Commission appreciates and welcomes the good will of these States in implementing these important measures of redress—in face-to-face, virtual and hybrid modalities—and for disseminating them via various media and networks.</w:t>
      </w:r>
    </w:p>
    <w:p w14:paraId="4B350F64" w14:textId="77777777" w:rsidR="00771007" w:rsidRPr="00771007" w:rsidRDefault="00771007" w:rsidP="00771007">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0375C853" w14:textId="1AFD8AEC" w:rsidR="002E260B" w:rsidRPr="002737C4" w:rsidRDefault="002E260B" w:rsidP="00933F91">
      <w:pPr>
        <w:pStyle w:val="ListParagraph"/>
        <w:numPr>
          <w:ilvl w:val="0"/>
          <w:numId w:val="71"/>
        </w:numPr>
        <w:pBdr>
          <w:top w:val="nil"/>
          <w:left w:val="nil"/>
          <w:bottom w:val="nil"/>
          <w:right w:val="nil"/>
          <w:between w:val="nil"/>
          <w:bar w:val="nil"/>
        </w:pBdr>
        <w:ind w:left="0" w:firstLine="720"/>
        <w:jc w:val="both"/>
        <w:rPr>
          <w:rFonts w:ascii="Cambria" w:eastAsia="Calibri" w:hAnsi="Cambria" w:cs="Calibri"/>
          <w:b/>
          <w:color w:val="000000"/>
          <w:sz w:val="20"/>
          <w:szCs w:val="20"/>
          <w:u w:color="000000"/>
          <w:bdr w:val="nil"/>
          <w14:textOutline w14:w="0" w14:cap="flat" w14:cmpd="sng" w14:algn="ctr">
            <w14:noFill/>
            <w14:prstDash w14:val="solid"/>
            <w14:bevel/>
          </w14:textOutline>
        </w:rPr>
      </w:pPr>
      <w:r w:rsidRPr="002737C4">
        <w:rPr>
          <w:rFonts w:ascii="Cambria" w:eastAsia="Calibri" w:hAnsi="Cambria" w:cs="Calibri"/>
          <w:b/>
          <w:color w:val="000000"/>
          <w:sz w:val="20"/>
          <w:szCs w:val="20"/>
          <w:u w:color="000000"/>
          <w:bdr w:val="nil"/>
          <w14:textOutline w14:w="0" w14:cap="flat" w14:cmpd="sng" w14:algn="ctr">
            <w14:noFill/>
            <w14:prstDash w14:val="solid"/>
            <w14:bevel/>
          </w14:textOutline>
        </w:rPr>
        <w:t xml:space="preserve">Activities to promote the sharing and dissemination of best practices in friendly solutions and to develop tools to facilitate access to information regarding the friendly settlement procedure for users of the Inter-American </w:t>
      </w:r>
      <w:r w:rsidR="001F051B" w:rsidRPr="002737C4">
        <w:rPr>
          <w:rFonts w:ascii="Cambria" w:eastAsia="Calibri" w:hAnsi="Cambria" w:cs="Calibri"/>
          <w:b/>
          <w:color w:val="000000"/>
          <w:sz w:val="20"/>
          <w:szCs w:val="20"/>
          <w:u w:color="000000"/>
          <w:bdr w:val="nil"/>
          <w14:textOutline w14:w="0" w14:cap="flat" w14:cmpd="sng" w14:algn="ctr">
            <w14:noFill/>
            <w14:prstDash w14:val="solid"/>
            <w14:bevel/>
          </w14:textOutline>
        </w:rPr>
        <w:t>H</w:t>
      </w:r>
      <w:r w:rsidRPr="002737C4">
        <w:rPr>
          <w:rFonts w:ascii="Cambria" w:eastAsia="Calibri" w:hAnsi="Cambria" w:cs="Calibri"/>
          <w:b/>
          <w:color w:val="000000"/>
          <w:sz w:val="20"/>
          <w:szCs w:val="20"/>
          <w:u w:color="000000"/>
          <w:bdr w:val="nil"/>
          <w14:textOutline w14:w="0" w14:cap="flat" w14:cmpd="sng" w14:algn="ctr">
            <w14:noFill/>
            <w14:prstDash w14:val="solid"/>
            <w14:bevel/>
          </w14:textOutline>
        </w:rPr>
        <w:t xml:space="preserve">uman </w:t>
      </w:r>
      <w:r w:rsidR="001F051B" w:rsidRPr="002737C4">
        <w:rPr>
          <w:rFonts w:ascii="Cambria" w:eastAsia="Calibri" w:hAnsi="Cambria" w:cs="Calibri"/>
          <w:b/>
          <w:color w:val="000000"/>
          <w:sz w:val="20"/>
          <w:szCs w:val="20"/>
          <w:u w:color="000000"/>
          <w:bdr w:val="nil"/>
          <w14:textOutline w14:w="0" w14:cap="flat" w14:cmpd="sng" w14:algn="ctr">
            <w14:noFill/>
            <w14:prstDash w14:val="solid"/>
            <w14:bevel/>
          </w14:textOutline>
        </w:rPr>
        <w:t>R</w:t>
      </w:r>
      <w:r w:rsidRPr="002737C4">
        <w:rPr>
          <w:rFonts w:ascii="Cambria" w:eastAsia="Calibri" w:hAnsi="Cambria" w:cs="Calibri"/>
          <w:b/>
          <w:color w:val="000000"/>
          <w:sz w:val="20"/>
          <w:szCs w:val="20"/>
          <w:u w:color="000000"/>
          <w:bdr w:val="nil"/>
          <w14:textOutline w14:w="0" w14:cap="flat" w14:cmpd="sng" w14:algn="ctr">
            <w14:noFill/>
            <w14:prstDash w14:val="solid"/>
            <w14:bevel/>
          </w14:textOutline>
        </w:rPr>
        <w:t xml:space="preserve">ights </w:t>
      </w:r>
      <w:r w:rsidR="001F051B" w:rsidRPr="002737C4">
        <w:rPr>
          <w:rFonts w:ascii="Cambria" w:eastAsia="Calibri" w:hAnsi="Cambria" w:cs="Calibri"/>
          <w:b/>
          <w:color w:val="000000"/>
          <w:sz w:val="20"/>
          <w:szCs w:val="20"/>
          <w:u w:color="000000"/>
          <w:bdr w:val="nil"/>
          <w14:textOutline w14:w="0" w14:cap="flat" w14:cmpd="sng" w14:algn="ctr">
            <w14:noFill/>
            <w14:prstDash w14:val="solid"/>
            <w14:bevel/>
          </w14:textOutline>
        </w:rPr>
        <w:t>S</w:t>
      </w:r>
      <w:r w:rsidRPr="002737C4">
        <w:rPr>
          <w:rFonts w:ascii="Cambria" w:eastAsia="Calibri" w:hAnsi="Cambria" w:cs="Calibri"/>
          <w:b/>
          <w:color w:val="000000"/>
          <w:sz w:val="20"/>
          <w:szCs w:val="20"/>
          <w:u w:color="000000"/>
          <w:bdr w:val="nil"/>
          <w14:textOutline w14:w="0" w14:cap="flat" w14:cmpd="sng" w14:algn="ctr">
            <w14:noFill/>
            <w14:prstDash w14:val="solid"/>
            <w14:bevel/>
          </w14:textOutline>
        </w:rPr>
        <w:t>ystem</w:t>
      </w:r>
      <w:r w:rsidR="005B3840" w:rsidRPr="002737C4">
        <w:rPr>
          <w:rFonts w:ascii="Cambria" w:eastAsia="Calibri" w:hAnsi="Cambria" w:cs="Calibri"/>
          <w:b/>
          <w:color w:val="000000"/>
          <w:sz w:val="20"/>
          <w:szCs w:val="20"/>
          <w:u w:color="000000"/>
          <w:bdr w:val="nil"/>
          <w14:textOutline w14:w="0" w14:cap="flat" w14:cmpd="sng" w14:algn="ctr">
            <w14:noFill/>
            <w14:prstDash w14:val="solid"/>
            <w14:bevel/>
          </w14:textOutline>
        </w:rPr>
        <w:t xml:space="preserve"> </w:t>
      </w:r>
      <w:r w:rsidR="00C66AF6" w:rsidRPr="002737C4">
        <w:rPr>
          <w:rFonts w:ascii="Cambria" w:eastAsia="Calibri" w:hAnsi="Cambria" w:cs="Calibri"/>
          <w:b/>
          <w:color w:val="000000"/>
          <w:sz w:val="20"/>
          <w:szCs w:val="20"/>
          <w:u w:color="000000"/>
          <w:bdr w:val="nil"/>
          <w14:textOutline w14:w="0" w14:cap="flat" w14:cmpd="sng" w14:algn="ctr">
            <w14:noFill/>
            <w14:prstDash w14:val="solid"/>
            <w14:bevel/>
          </w14:textOutline>
        </w:rPr>
        <w:t>(IAHRS)</w:t>
      </w:r>
    </w:p>
    <w:p w14:paraId="5892C21C"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112DA196" w14:textId="1C914928" w:rsidR="002E260B" w:rsidRPr="00E90303"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E90303">
        <w:rPr>
          <w:rFonts w:eastAsia="Calibri" w:cs="Calibri"/>
          <w:bCs/>
          <w:color w:val="000000"/>
          <w:u w:color="000000"/>
          <w:bdr w:val="nil"/>
          <w14:textOutline w14:w="0" w14:cap="flat" w14:cmpd="sng" w14:algn="ctr">
            <w14:noFill/>
            <w14:prstDash w14:val="solid"/>
            <w14:bevel/>
          </w14:textOutline>
        </w:rPr>
        <w:t>Relating to the IACHR’s line of action on the promotion and dissemination of good practices in friendly settlements, it is worth noting that, in 2022, different training activities were carried out, as well as the dissemination of good practices regarding friendly solution.</w:t>
      </w:r>
    </w:p>
    <w:p w14:paraId="1E9CC32C" w14:textId="77777777" w:rsidR="002E260B" w:rsidRPr="00E90303" w:rsidRDefault="002E260B" w:rsidP="00E90303">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7EF833FD" w14:textId="5DC72C28" w:rsidR="002E260B" w:rsidRPr="00E90303"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E90303">
        <w:rPr>
          <w:rFonts w:eastAsia="Calibri" w:cs="Calibri"/>
          <w:bCs/>
          <w:color w:val="000000"/>
          <w:u w:color="000000"/>
          <w:bdr w:val="nil"/>
          <w14:textOutline w14:w="0" w14:cap="flat" w14:cmpd="sng" w14:algn="ctr">
            <w14:noFill/>
            <w14:prstDash w14:val="solid"/>
            <w14:bevel/>
          </w14:textOutline>
        </w:rPr>
        <w:t>In this sense, on March 29, 2022, a Roundtable of Experts was held on good practices for the negotiation and implementation of friendly settlement agreements to identify and socialize good practices that have made it possible to overcome the challenges that traditionally arise in the phases of negotiation and implementation of friendly settlements to contribute to the capacity building of the State of Guatemala for this exact purpose, by sharing the experiences of the States that are the most significant users of the friendly settlement mechanism. The workshop was aimed at public officials of the Guatemalan State in charge of the negotiation and/or execution of friendly settlement agreements, with the participation of the officials in charge of friendly settlement processes in Argentina, Colombia, and Mexico participated as speakers.</w:t>
      </w:r>
    </w:p>
    <w:p w14:paraId="12EF7C48" w14:textId="77777777" w:rsidR="002E260B" w:rsidRPr="00E90303" w:rsidRDefault="002E260B" w:rsidP="000E648B">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087F83F1" w14:textId="4D1FD2D7" w:rsidR="002E260B" w:rsidRPr="00E90303"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E90303">
        <w:rPr>
          <w:rFonts w:eastAsia="Calibri" w:cs="Calibri"/>
          <w:bCs/>
          <w:color w:val="000000"/>
          <w:u w:color="000000"/>
          <w:bdr w:val="nil"/>
          <w14:textOutline w14:w="0" w14:cap="flat" w14:cmpd="sng" w14:algn="ctr">
            <w14:noFill/>
            <w14:prstDash w14:val="solid"/>
            <w14:bevel/>
          </w14:textOutline>
        </w:rPr>
        <w:t>Accordingly, the dialogue table between States on friendly settlements was an opportunity to promote the exchange of experiences among States to enable more agile friendly settlement processes with higher levels of compliance. Some of the topics discussed at the meeting included (a) legislative mechanisms and administrative structures for the negotiation and enforcement of friendly settlement agreements in Colombia; (b) coordination formulas between the national State and the provinces, between the state institutions in charge of representing the State and the negotiation and implementation of friendly settlement agreements in Argentina; and (c) the Comprehensive Attention Model for Victims, Reparations Trust, and articulation formulas between the National State and federal states and between the State institutions in charge of the negotiations and implementation of friendly settlement agreements in Mexico.</w:t>
      </w:r>
    </w:p>
    <w:p w14:paraId="1EF5675B" w14:textId="77777777" w:rsidR="002E260B" w:rsidRPr="00E90303" w:rsidRDefault="002E260B" w:rsidP="000E648B">
      <w:pPr>
        <w:pStyle w:val="BodyText"/>
        <w:widowControl/>
        <w:ind w:left="1440"/>
        <w:jc w:val="both"/>
        <w:rPr>
          <w:rFonts w:eastAsia="Calibri" w:cs="Calibri"/>
          <w:bCs/>
          <w:color w:val="000000"/>
          <w:u w:color="000000"/>
          <w:bdr w:val="nil"/>
          <w14:textOutline w14:w="0" w14:cap="flat" w14:cmpd="sng" w14:algn="ctr">
            <w14:noFill/>
            <w14:prstDash w14:val="solid"/>
            <w14:bevel/>
          </w14:textOutline>
        </w:rPr>
      </w:pPr>
    </w:p>
    <w:p w14:paraId="478AC761" w14:textId="40FA7FD3" w:rsidR="002E260B" w:rsidRPr="00E90303"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E90303">
        <w:rPr>
          <w:rFonts w:eastAsia="Calibri" w:cs="Calibri"/>
          <w:bCs/>
          <w:color w:val="000000"/>
          <w:u w:color="000000"/>
          <w:bdr w:val="nil"/>
          <w14:textOutline w14:w="0" w14:cap="flat" w14:cmpd="sng" w14:algn="ctr">
            <w14:noFill/>
            <w14:prstDash w14:val="solid"/>
            <w14:bevel/>
          </w14:textOutline>
        </w:rPr>
        <w:t>On April 25, 2022, Executive Secretary Tania Reneaum Panszi participated in the Panel on Practical Aspects of Litigation, Implementation, and Enforcement of Judgments within the framework of the Jurisprudence Seminar of the Inter-American Court from the perspective of public defense. The conference addressed the procedural aspects of the friendly settlement procedure, its characteristics, the type of reparation measures that an FSA can include, emblematic friendly settlements, and the most frequent challenges and obstacles faced in the use of the mechanism.</w:t>
      </w:r>
    </w:p>
    <w:p w14:paraId="320FAC5B" w14:textId="77777777" w:rsidR="002E260B" w:rsidRPr="00E90303" w:rsidRDefault="002E260B" w:rsidP="001B117D">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1E53E9EA" w14:textId="3EC122AC" w:rsidR="002E260B" w:rsidRPr="00E90303"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E90303">
        <w:rPr>
          <w:rFonts w:eastAsia="Calibri" w:cs="Calibri"/>
          <w:bCs/>
          <w:color w:val="000000"/>
          <w:u w:color="000000"/>
          <w:bdr w:val="nil"/>
          <w14:textOutline w14:w="0" w14:cap="flat" w14:cmpd="sng" w14:algn="ctr">
            <w14:noFill/>
            <w14:prstDash w14:val="solid"/>
            <w14:bevel/>
          </w14:textOutline>
        </w:rPr>
        <w:t xml:space="preserve">On April 26, 2022, Commissioner Stuardo Ralón participated in the First Course on Human Rights and Control of Conventionality organized by the Paulista School of Magistracy (EPM) in partnership with the National School for Training and Improvement of the Magistracy (ENFAM), and the Decision Monitoring and Supervision Unit of the Inter-American Court of Human Rights (UMF/CNJ) of Brazil. This course was part of the actions of the Judicial Pact for Human Rights and of an agreement with the Inter-American Court for </w:t>
      </w:r>
      <w:r w:rsidRPr="00E90303">
        <w:rPr>
          <w:rFonts w:eastAsia="Calibri" w:cs="Calibri"/>
          <w:bCs/>
          <w:color w:val="000000"/>
          <w:u w:color="000000"/>
          <w:bdr w:val="nil"/>
          <w14:textOutline w14:w="0" w14:cap="flat" w14:cmpd="sng" w14:algn="ctr">
            <w14:noFill/>
            <w14:prstDash w14:val="solid"/>
            <w14:bevel/>
          </w14:textOutline>
        </w:rPr>
        <w:lastRenderedPageBreak/>
        <w:t>compliance with decisions related to the training of officials of the judiciary of Brazil. Within this framework, his presentation included concrete examples of friendly settlements with individual and structural impacts with a focus on the different areas of comprehensive reparation, including measures of satisfaction, restitution, non-repetition, and rehabilitation, and with a transversal focus on issues such as human rights defenders, rights of women, indigenous peoples, among others.</w:t>
      </w:r>
    </w:p>
    <w:p w14:paraId="14417B18" w14:textId="77777777" w:rsidR="002E260B" w:rsidRPr="00E90303" w:rsidRDefault="002E260B" w:rsidP="001B117D">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2F1C0D54" w14:textId="4C6C3F5A" w:rsidR="002E260B" w:rsidRPr="00E90303"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E90303">
        <w:rPr>
          <w:rFonts w:eastAsia="Calibri" w:cs="Calibri"/>
          <w:bCs/>
          <w:color w:val="000000"/>
          <w:u w:color="000000"/>
          <w:bdr w:val="nil"/>
          <w14:textOutline w14:w="0" w14:cap="flat" w14:cmpd="sng" w14:algn="ctr">
            <w14:noFill/>
            <w14:prstDash w14:val="solid"/>
            <w14:bevel/>
          </w14:textOutline>
        </w:rPr>
        <w:t>On May 3, 2022, a training workshop was held for public officials of Saint Lucia on standards regarding the rights of persons with disabilities to promote strengthening the capacities of government officials of Saint Lucia on the mandate and mechanisms of the Inter-American Human Rights System, particularly the IACHR, and its standards on the rights of persons with disabilities, as well as providing relevant background information on jurisprudence within the framework of the system of petitions and cases and the friendly settlement mechanism.</w:t>
      </w:r>
    </w:p>
    <w:p w14:paraId="62381F8A" w14:textId="77777777" w:rsidR="002E260B" w:rsidRPr="00E90303" w:rsidRDefault="002E260B" w:rsidP="001B117D">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1E1ECAAD" w14:textId="168794F0" w:rsidR="002E260B" w:rsidRPr="00E90303"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E90303">
        <w:rPr>
          <w:rFonts w:eastAsia="Calibri" w:cs="Calibri"/>
          <w:bCs/>
          <w:color w:val="000000"/>
          <w:u w:color="000000"/>
          <w:bdr w:val="nil"/>
          <w14:textOutline w14:w="0" w14:cap="flat" w14:cmpd="sng" w14:algn="ctr">
            <w14:noFill/>
            <w14:prstDash w14:val="solid"/>
            <w14:bevel/>
          </w14:textOutline>
        </w:rPr>
        <w:t>Lastly, on May 4, 2022, a training workshop was held for public officials in Panama to promote the strengthening of the capacities of state agents on the Inter-American Human Rights System, particularly on the use of the mechanism of friendly settlements of the IACHR, through specialized training in the technical procedure. The workshop incorporated theoretical procedural elements of the friendly settlement mechanism in light of the regulatory framework that regulates it and topics such as the role of state institutions in friendly settlements and the importance of inter-institutional coordination for compliance with friendly settlement agreements.</w:t>
      </w:r>
    </w:p>
    <w:p w14:paraId="1E5204A6"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4B8917D1" w14:textId="7507D563" w:rsidR="002E260B" w:rsidRPr="001B117D" w:rsidRDefault="002E260B" w:rsidP="00933F91">
      <w:pPr>
        <w:pStyle w:val="ListParagraph"/>
        <w:numPr>
          <w:ilvl w:val="0"/>
          <w:numId w:val="62"/>
        </w:numPr>
        <w:pBdr>
          <w:top w:val="nil"/>
          <w:left w:val="nil"/>
          <w:bottom w:val="nil"/>
          <w:right w:val="nil"/>
          <w:between w:val="nil"/>
          <w:bar w:val="nil"/>
        </w:pBdr>
        <w:ind w:left="0" w:firstLine="720"/>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r w:rsidRPr="001B117D">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Status of </w:t>
      </w:r>
      <w:r w:rsidR="001B117D">
        <w:rPr>
          <w:rFonts w:ascii="Cambria" w:eastAsia="Calibri" w:hAnsi="Cambria" w:cs="Calibri"/>
          <w:b/>
          <w:color w:val="000000"/>
          <w:sz w:val="22"/>
          <w:szCs w:val="22"/>
          <w:u w:color="000000"/>
          <w:bdr w:val="nil"/>
          <w14:textOutline w14:w="0" w14:cap="flat" w14:cmpd="sng" w14:algn="ctr">
            <w14:noFill/>
            <w14:prstDash w14:val="solid"/>
            <w14:bevel/>
          </w14:textOutline>
        </w:rPr>
        <w:t>c</w:t>
      </w:r>
      <w:r w:rsidRPr="001B117D">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ompliance with </w:t>
      </w:r>
      <w:r w:rsidR="001B117D">
        <w:rPr>
          <w:rFonts w:ascii="Cambria" w:eastAsia="Calibri" w:hAnsi="Cambria" w:cs="Calibri"/>
          <w:b/>
          <w:color w:val="000000"/>
          <w:sz w:val="22"/>
          <w:szCs w:val="22"/>
          <w:u w:color="000000"/>
          <w:bdr w:val="nil"/>
          <w14:textOutline w14:w="0" w14:cap="flat" w14:cmpd="sng" w14:algn="ctr">
            <w14:noFill/>
            <w14:prstDash w14:val="solid"/>
            <w14:bevel/>
          </w14:textOutline>
        </w:rPr>
        <w:t>r</w:t>
      </w:r>
      <w:r w:rsidRPr="001B117D">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eports on </w:t>
      </w:r>
      <w:r w:rsidR="001B117D">
        <w:rPr>
          <w:rFonts w:ascii="Cambria" w:eastAsia="Calibri" w:hAnsi="Cambria" w:cs="Calibri"/>
          <w:b/>
          <w:color w:val="000000"/>
          <w:sz w:val="22"/>
          <w:szCs w:val="22"/>
          <w:u w:color="000000"/>
          <w:bdr w:val="nil"/>
          <w14:textOutline w14:w="0" w14:cap="flat" w14:cmpd="sng" w14:algn="ctr">
            <w14:noFill/>
            <w14:prstDash w14:val="solid"/>
            <w14:bevel/>
          </w14:textOutline>
        </w:rPr>
        <w:t>f</w:t>
      </w:r>
      <w:r w:rsidRPr="001B117D">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riendly </w:t>
      </w:r>
      <w:r w:rsidR="001B117D">
        <w:rPr>
          <w:rFonts w:ascii="Cambria" w:eastAsia="Calibri" w:hAnsi="Cambria" w:cs="Calibri"/>
          <w:b/>
          <w:color w:val="000000"/>
          <w:sz w:val="22"/>
          <w:szCs w:val="22"/>
          <w:u w:color="000000"/>
          <w:bdr w:val="nil"/>
          <w14:textOutline w14:w="0" w14:cap="flat" w14:cmpd="sng" w14:algn="ctr">
            <w14:noFill/>
            <w14:prstDash w14:val="solid"/>
            <w14:bevel/>
          </w14:textOutline>
        </w:rPr>
        <w:t>s</w:t>
      </w:r>
      <w:r w:rsidRPr="001B117D">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ettlement </w:t>
      </w:r>
      <w:r w:rsidR="001B117D">
        <w:rPr>
          <w:rFonts w:ascii="Cambria" w:eastAsia="Calibri" w:hAnsi="Cambria" w:cs="Calibri"/>
          <w:b/>
          <w:color w:val="000000"/>
          <w:sz w:val="22"/>
          <w:szCs w:val="22"/>
          <w:u w:color="000000"/>
          <w:bdr w:val="nil"/>
          <w14:textOutline w14:w="0" w14:cap="flat" w14:cmpd="sng" w14:algn="ctr">
            <w14:noFill/>
            <w14:prstDash w14:val="solid"/>
            <w14:bevel/>
          </w14:textOutline>
        </w:rPr>
        <w:t>a</w:t>
      </w:r>
      <w:r w:rsidRPr="001B117D">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greements, </w:t>
      </w:r>
      <w:r w:rsidR="001B117D">
        <w:rPr>
          <w:rFonts w:ascii="Cambria" w:eastAsia="Calibri" w:hAnsi="Cambria" w:cs="Calibri"/>
          <w:b/>
          <w:color w:val="000000"/>
          <w:sz w:val="22"/>
          <w:szCs w:val="22"/>
          <w:u w:color="000000"/>
          <w:bdr w:val="nil"/>
          <w14:textOutline w14:w="0" w14:cap="flat" w14:cmpd="sng" w14:algn="ctr">
            <w14:noFill/>
            <w14:prstDash w14:val="solid"/>
            <w14:bevel/>
          </w14:textOutline>
        </w:rPr>
        <w:t>a</w:t>
      </w:r>
      <w:r w:rsidRPr="001B117D">
        <w:rPr>
          <w:rFonts w:ascii="Cambria" w:eastAsia="Calibri" w:hAnsi="Cambria" w:cs="Calibri"/>
          <w:b/>
          <w:color w:val="000000"/>
          <w:sz w:val="22"/>
          <w:szCs w:val="22"/>
          <w:u w:color="000000"/>
          <w:bdr w:val="nil"/>
          <w14:textOutline w14:w="0" w14:cap="flat" w14:cmpd="sng" w14:algn="ctr">
            <w14:noFill/>
            <w14:prstDash w14:val="solid"/>
            <w14:bevel/>
          </w14:textOutline>
        </w:rPr>
        <w:t>pproved pursuant to article 49 of the American Convention on Human Rights</w:t>
      </w:r>
    </w:p>
    <w:p w14:paraId="656379A7"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343ED582" w14:textId="497A33DC" w:rsidR="002E260B" w:rsidRPr="00514453"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514453">
        <w:rPr>
          <w:rFonts w:eastAsia="Calibri" w:cs="Calibri"/>
          <w:bCs/>
          <w:color w:val="000000"/>
          <w:u w:color="000000"/>
          <w:bdr w:val="nil"/>
          <w14:textOutline w14:w="0" w14:cap="flat" w14:cmpd="sng" w14:algn="ctr">
            <w14:noFill/>
            <w14:prstDash w14:val="solid"/>
            <w14:bevel/>
          </w14:textOutline>
        </w:rPr>
        <w:t>In compliance with its conventional and statutory attributes, and in accordance with article 48 of the Rules of Procedure, the IACHR makes the follow-up to its own decisions regarding friendly settlements. This Commission practice began in 2000 and from this moment onwards, information has been requested annually from parties of different petitions and cases to follow-up on friendly settlement reports published in light of article 49 of the American Convention and update the status of compliance of each of the matters under the supervision of the IACHR. Additionally, the IACHR receives information at hearings or working meetings held during the year, and which is also taken into consideration for the analysis of the state of compliance with friendly settlement proceedings as appropriate in each case.</w:t>
      </w:r>
    </w:p>
    <w:p w14:paraId="6991ADE5" w14:textId="77777777" w:rsidR="002E260B" w:rsidRPr="00514453" w:rsidRDefault="002E260B" w:rsidP="00514453">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14C929F2" w14:textId="0DEBE3FC" w:rsidR="002E260B" w:rsidRPr="00514453"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514453">
        <w:rPr>
          <w:rFonts w:eastAsia="Calibri" w:cs="Calibri"/>
          <w:bCs/>
          <w:color w:val="000000"/>
          <w:u w:color="000000"/>
          <w:bdr w:val="nil"/>
          <w14:textOutline w14:w="0" w14:cap="flat" w14:cmpd="sng" w14:algn="ctr">
            <w14:noFill/>
            <w14:prstDash w14:val="solid"/>
            <w14:bevel/>
          </w14:textOutline>
        </w:rPr>
        <w:t xml:space="preserve">For the elaboration of this Chapter, the Commission requested information to the users of the follow up of friendly settlement tool and considered in this report the information submitted by the parties until October 14, 2022. Any information received thereafter did not make it into the Chapter but will be taken into consideration for the 2023 Annual Report. The parties were duly advised of this information in the context of the requests for information for the preparation of this Chapter of the Annual Report. It should also be noted that the Commission took into consideration on exceptional basis information received after the closing date in those cases, where working meetings were held in the framework of the working meeting days as well as during the Period of Sessions that generated subsequent actions carried out based on the work lines developed in those meetings or in those matters in which the parties sent partial information within the term provided and after the period they added complementary or clarifying information. </w:t>
      </w:r>
    </w:p>
    <w:p w14:paraId="045AF725" w14:textId="77777777" w:rsidR="002E260B" w:rsidRPr="00514453" w:rsidRDefault="002E260B" w:rsidP="00514453">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30C7EBD5" w14:textId="38A0072E" w:rsidR="002E260B" w:rsidRPr="00514453"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514453">
        <w:rPr>
          <w:rFonts w:eastAsia="Calibri" w:cs="Calibri"/>
          <w:bCs/>
          <w:color w:val="000000"/>
          <w:u w:color="000000"/>
          <w:bdr w:val="nil"/>
          <w14:textOutline w14:w="0" w14:cap="flat" w14:cmpd="sng" w14:algn="ctr">
            <w14:noFill/>
            <w14:prstDash w14:val="solid"/>
            <w14:bevel/>
          </w14:textOutline>
        </w:rPr>
        <w:t xml:space="preserve">The Inter-American Commission on Human Rights continues to make efforts to communicate more clearly the progress made toward implementing friendly settlement agreements. To that end, the Commission prepared detailed compliance monitoring sheets on each active case, identifying both the individual and structural impacts in each case. In the table listed below the link to the record analysis of compliance with each one of the friendly settlement agreements that are currently under follow up stage can be accessed, and the level of general compliance of each case can be observed along with the percentage of execution of the agreements. This allows the parties to see the level of implementation of the agreement beyond the most categories of compliance, partial and pending. Finally, it should be pointed out that in this opportunity </w:t>
      </w:r>
      <w:r w:rsidRPr="00514453">
        <w:rPr>
          <w:rFonts w:eastAsia="Calibri" w:cs="Calibri"/>
          <w:bCs/>
          <w:color w:val="000000"/>
          <w:u w:color="000000"/>
          <w:bdr w:val="nil"/>
          <w14:textOutline w14:w="0" w14:cap="flat" w14:cmpd="sng" w14:algn="ctr">
            <w14:noFill/>
            <w14:prstDash w14:val="solid"/>
            <w14:bevel/>
          </w14:textOutline>
        </w:rPr>
        <w:lastRenderedPageBreak/>
        <w:t xml:space="preserve">the Commission maintained the categories of analysis of the information supplied by the </w:t>
      </w:r>
      <w:r w:rsidR="002C2474" w:rsidRPr="00514453">
        <w:rPr>
          <w:rFonts w:eastAsia="Calibri" w:cs="Calibri"/>
          <w:bCs/>
          <w:color w:val="000000"/>
          <w:u w:color="000000"/>
          <w:bdr w:val="nil"/>
          <w14:textOutline w14:w="0" w14:cap="flat" w14:cmpd="sng" w14:algn="ctr">
            <w14:noFill/>
            <w14:prstDash w14:val="solid"/>
            <w14:bevel/>
          </w14:textOutline>
        </w:rPr>
        <w:t>parties,</w:t>
      </w:r>
      <w:r w:rsidRPr="00514453">
        <w:rPr>
          <w:rFonts w:eastAsia="Calibri" w:cs="Calibri"/>
          <w:bCs/>
          <w:color w:val="000000"/>
          <w:u w:color="000000"/>
          <w:bdr w:val="nil"/>
          <w14:textOutline w14:w="0" w14:cap="flat" w14:cmpd="sng" w14:algn="ctr">
            <w14:noFill/>
            <w14:prstDash w14:val="solid"/>
            <w14:bevel/>
          </w14:textOutline>
        </w:rPr>
        <w:t xml:space="preserve"> as well as the categories for the individualized analysis of the clauses of the friendly </w:t>
      </w:r>
      <w:r w:rsidR="00CE2691" w:rsidRPr="00514453">
        <w:rPr>
          <w:rFonts w:eastAsia="Calibri" w:cs="Calibri"/>
          <w:bCs/>
          <w:color w:val="000000"/>
          <w:u w:color="000000"/>
          <w:bdr w:val="nil"/>
          <w14:textOutline w14:w="0" w14:cap="flat" w14:cmpd="sng" w14:algn="ctr">
            <w14:noFill/>
            <w14:prstDash w14:val="solid"/>
            <w14:bevel/>
          </w14:textOutline>
        </w:rPr>
        <w:t>settlement and</w:t>
      </w:r>
      <w:r w:rsidRPr="00514453">
        <w:rPr>
          <w:rFonts w:eastAsia="Calibri" w:cs="Calibri"/>
          <w:bCs/>
          <w:color w:val="000000"/>
          <w:u w:color="000000"/>
          <w:bdr w:val="nil"/>
          <w14:textOutline w14:w="0" w14:cap="flat" w14:cmpd="sng" w14:algn="ctr">
            <w14:noFill/>
            <w14:prstDash w14:val="solid"/>
            <w14:bevel/>
          </w14:textOutline>
        </w:rPr>
        <w:t xml:space="preserve"> the categories of the general analysis of the fulfillment of the friendly settlement agreements traditionally </w:t>
      </w:r>
      <w:r w:rsidR="002737C4" w:rsidRPr="00514453">
        <w:rPr>
          <w:rFonts w:eastAsia="Calibri" w:cs="Calibri"/>
          <w:bCs/>
          <w:color w:val="000000"/>
          <w:u w:color="000000"/>
          <w:bdr w:val="nil"/>
          <w14:textOutline w14:w="0" w14:cap="flat" w14:cmpd="sng" w14:algn="ctr">
            <w14:noFill/>
            <w14:prstDash w14:val="solid"/>
            <w14:bevel/>
          </w14:textOutline>
        </w:rPr>
        <w:t>used.</w:t>
      </w:r>
    </w:p>
    <w:p w14:paraId="00AF165C" w14:textId="77777777" w:rsidR="002E260B" w:rsidRPr="00514453" w:rsidRDefault="002E260B" w:rsidP="00514453">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57F981F1" w14:textId="5E8052CD" w:rsidR="002E260B" w:rsidRPr="00AC7438" w:rsidRDefault="002E260B" w:rsidP="00933F91">
      <w:pPr>
        <w:pStyle w:val="BodyText"/>
        <w:widowControl/>
        <w:numPr>
          <w:ilvl w:val="0"/>
          <w:numId w:val="58"/>
        </w:numPr>
        <w:ind w:left="0" w:firstLine="720"/>
        <w:jc w:val="both"/>
        <w:rPr>
          <w:rFonts w:eastAsia="Calibri" w:cs="Calibri"/>
          <w:bCs/>
          <w:color w:val="000000"/>
          <w:sz w:val="22"/>
          <w:szCs w:val="22"/>
          <w:u w:color="000000"/>
          <w:bdr w:val="nil"/>
          <w14:textOutline w14:w="0" w14:cap="flat" w14:cmpd="sng" w14:algn="ctr">
            <w14:noFill/>
            <w14:prstDash w14:val="solid"/>
            <w14:bevel/>
          </w14:textOutline>
        </w:rPr>
      </w:pPr>
      <w:r w:rsidRPr="00514453">
        <w:rPr>
          <w:rFonts w:eastAsia="Calibri" w:cs="Calibri"/>
          <w:bCs/>
          <w:color w:val="000000"/>
          <w:u w:color="000000"/>
          <w:bdr w:val="nil"/>
          <w14:textOutline w14:w="0" w14:cap="flat" w14:cmpd="sng" w14:algn="ctr">
            <w14:noFill/>
            <w14:prstDash w14:val="solid"/>
            <w14:bevel/>
          </w14:textOutline>
        </w:rPr>
        <w:t>In light of the above, the commission observes that the status of compliance with friendly settlement</w:t>
      </w:r>
      <w:r w:rsidRPr="00AC7438">
        <w:rPr>
          <w:rFonts w:eastAsia="Calibri" w:cs="Calibri"/>
          <w:bCs/>
          <w:color w:val="000000"/>
          <w:sz w:val="22"/>
          <w:szCs w:val="22"/>
          <w:u w:color="000000"/>
          <w:bdr w:val="nil"/>
          <w14:textOutline w14:w="0" w14:cap="flat" w14:cmpd="sng" w14:algn="ctr">
            <w14:noFill/>
            <w14:prstDash w14:val="solid"/>
            <w14:bevel/>
          </w14:textOutline>
        </w:rPr>
        <w:t xml:space="preserve"> agreements as of December 31, 2022, is as follows: </w:t>
      </w:r>
    </w:p>
    <w:p w14:paraId="19FACF13"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tbl>
      <w:tblPr>
        <w:tblStyle w:val="TableContemporary1"/>
        <w:tblW w:w="8910" w:type="dxa"/>
        <w:jc w:val="center"/>
        <w:tblLayout w:type="fixed"/>
        <w:tblLook w:val="0020" w:firstRow="1" w:lastRow="0" w:firstColumn="0" w:lastColumn="0" w:noHBand="0" w:noVBand="0"/>
      </w:tblPr>
      <w:tblGrid>
        <w:gridCol w:w="1620"/>
        <w:gridCol w:w="1170"/>
        <w:gridCol w:w="1350"/>
        <w:gridCol w:w="1170"/>
        <w:gridCol w:w="1170"/>
        <w:gridCol w:w="1170"/>
        <w:gridCol w:w="1260"/>
      </w:tblGrid>
      <w:tr w:rsidR="00183F07" w:rsidRPr="00C57C0F" w14:paraId="1788360C" w14:textId="77777777">
        <w:trPr>
          <w:cnfStyle w:val="100000000000" w:firstRow="1" w:lastRow="0" w:firstColumn="0" w:lastColumn="0" w:oddVBand="0" w:evenVBand="0" w:oddHBand="0" w:evenHBand="0" w:firstRowFirstColumn="0" w:firstRowLastColumn="0" w:lastRowFirstColumn="0" w:lastRowLastColumn="0"/>
          <w:trHeight w:val="810"/>
          <w:tblHeader/>
          <w:jc w:val="center"/>
        </w:trPr>
        <w:tc>
          <w:tcPr>
            <w:tcW w:w="1620" w:type="dxa"/>
            <w:vAlign w:val="center"/>
          </w:tcPr>
          <w:p w14:paraId="435509F1" w14:textId="77777777" w:rsidR="00183F07" w:rsidRPr="00C57C0F" w:rsidRDefault="00183F07">
            <w:pPr>
              <w:jc w:val="center"/>
              <w:rPr>
                <w:rFonts w:ascii="Cambria" w:hAnsi="Cambria" w:cstheme="minorHAnsi"/>
                <w:sz w:val="14"/>
                <w:szCs w:val="14"/>
              </w:rPr>
            </w:pPr>
            <w:bookmarkStart w:id="0" w:name="_Hlk90390799"/>
            <w:r w:rsidRPr="00C57C0F">
              <w:rPr>
                <w:rFonts w:ascii="Cambria" w:hAnsi="Cambria" w:cstheme="minorHAnsi"/>
                <w:sz w:val="14"/>
                <w:szCs w:val="14"/>
              </w:rPr>
              <w:t>CASE/PETITION</w:t>
            </w:r>
          </w:p>
        </w:tc>
        <w:tc>
          <w:tcPr>
            <w:tcW w:w="1170" w:type="dxa"/>
            <w:vAlign w:val="center"/>
          </w:tcPr>
          <w:p w14:paraId="306B404A" w14:textId="77777777" w:rsidR="00183F07" w:rsidRPr="00C57C0F" w:rsidRDefault="00183F07">
            <w:pPr>
              <w:jc w:val="center"/>
              <w:rPr>
                <w:rFonts w:ascii="Cambria" w:hAnsi="Cambria" w:cstheme="minorHAnsi"/>
                <w:sz w:val="14"/>
                <w:szCs w:val="14"/>
              </w:rPr>
            </w:pPr>
            <w:r w:rsidRPr="00C57C0F">
              <w:rPr>
                <w:rFonts w:ascii="Cambria" w:hAnsi="Cambria" w:cstheme="minorHAnsi"/>
                <w:sz w:val="14"/>
                <w:szCs w:val="14"/>
              </w:rPr>
              <w:t>MONITORING SHEET</w:t>
            </w:r>
          </w:p>
        </w:tc>
        <w:tc>
          <w:tcPr>
            <w:tcW w:w="1350" w:type="dxa"/>
            <w:vAlign w:val="center"/>
          </w:tcPr>
          <w:p w14:paraId="1D8E1347" w14:textId="77777777" w:rsidR="00183F07" w:rsidRPr="00C57C0F" w:rsidRDefault="00183F07">
            <w:pPr>
              <w:jc w:val="center"/>
              <w:rPr>
                <w:rFonts w:ascii="Cambria" w:hAnsi="Cambria" w:cstheme="minorHAnsi"/>
                <w:sz w:val="14"/>
                <w:szCs w:val="14"/>
              </w:rPr>
            </w:pPr>
            <w:r w:rsidRPr="00C57C0F">
              <w:rPr>
                <w:rFonts w:ascii="Cambria" w:hAnsi="Cambria" w:cstheme="minorHAnsi"/>
                <w:sz w:val="14"/>
                <w:szCs w:val="14"/>
              </w:rPr>
              <w:t>FULL COMPLIANCE</w:t>
            </w:r>
          </w:p>
        </w:tc>
        <w:tc>
          <w:tcPr>
            <w:tcW w:w="1170" w:type="dxa"/>
            <w:vAlign w:val="center"/>
          </w:tcPr>
          <w:p w14:paraId="6E864DB4" w14:textId="77777777" w:rsidR="00183F07" w:rsidRPr="00C57C0F" w:rsidRDefault="00183F07">
            <w:pPr>
              <w:jc w:val="center"/>
              <w:rPr>
                <w:rFonts w:ascii="Cambria" w:hAnsi="Cambria" w:cstheme="minorHAnsi"/>
                <w:sz w:val="14"/>
                <w:szCs w:val="14"/>
              </w:rPr>
            </w:pPr>
            <w:r w:rsidRPr="00C57C0F">
              <w:rPr>
                <w:rFonts w:ascii="Cambria" w:hAnsi="Cambria" w:cstheme="minorHAnsi"/>
                <w:sz w:val="14"/>
                <w:szCs w:val="14"/>
              </w:rPr>
              <w:t>PARTIAL COMPLIANCE</w:t>
            </w:r>
          </w:p>
        </w:tc>
        <w:tc>
          <w:tcPr>
            <w:tcW w:w="1170" w:type="dxa"/>
            <w:vAlign w:val="center"/>
          </w:tcPr>
          <w:p w14:paraId="315FD419" w14:textId="77777777" w:rsidR="00183F07" w:rsidRPr="00C57C0F" w:rsidRDefault="00183F07">
            <w:pPr>
              <w:jc w:val="center"/>
              <w:rPr>
                <w:rFonts w:ascii="Cambria" w:hAnsi="Cambria" w:cstheme="minorHAnsi"/>
                <w:sz w:val="14"/>
                <w:szCs w:val="14"/>
              </w:rPr>
            </w:pPr>
            <w:r w:rsidRPr="00C57C0F">
              <w:rPr>
                <w:rFonts w:ascii="Cambria" w:hAnsi="Cambria" w:cstheme="minorHAnsi"/>
                <w:sz w:val="14"/>
                <w:szCs w:val="14"/>
              </w:rPr>
              <w:t>PENDING COMPLIANCE</w:t>
            </w:r>
          </w:p>
        </w:tc>
        <w:tc>
          <w:tcPr>
            <w:tcW w:w="1170" w:type="dxa"/>
            <w:vAlign w:val="center"/>
          </w:tcPr>
          <w:p w14:paraId="44589787" w14:textId="77777777" w:rsidR="00183F07" w:rsidRPr="00C57C0F" w:rsidRDefault="00183F07">
            <w:pPr>
              <w:jc w:val="center"/>
              <w:rPr>
                <w:rFonts w:ascii="Cambria" w:hAnsi="Cambria" w:cstheme="minorHAnsi"/>
                <w:sz w:val="14"/>
                <w:szCs w:val="14"/>
              </w:rPr>
            </w:pPr>
            <w:r w:rsidRPr="00C57C0F">
              <w:rPr>
                <w:rFonts w:ascii="Cambria" w:hAnsi="Cambria" w:cstheme="minorHAnsi"/>
                <w:sz w:val="14"/>
                <w:szCs w:val="14"/>
              </w:rPr>
              <w:t>COMPLIANCE PERCENTAGE</w:t>
            </w:r>
            <w:r w:rsidRPr="00C57C0F">
              <w:rPr>
                <w:rFonts w:ascii="Cambria" w:hAnsi="Cambria" w:cstheme="minorHAnsi"/>
                <w:sz w:val="14"/>
                <w:szCs w:val="14"/>
                <w:vertAlign w:val="superscript"/>
              </w:rPr>
              <w:footnoteReference w:id="11"/>
            </w:r>
          </w:p>
        </w:tc>
        <w:tc>
          <w:tcPr>
            <w:tcW w:w="1260" w:type="dxa"/>
            <w:vAlign w:val="center"/>
          </w:tcPr>
          <w:p w14:paraId="15B9E4B8" w14:textId="77777777" w:rsidR="00183F07" w:rsidRPr="00C57C0F" w:rsidRDefault="00183F07">
            <w:pPr>
              <w:jc w:val="center"/>
              <w:rPr>
                <w:rFonts w:ascii="Cambria" w:hAnsi="Cambria" w:cstheme="minorHAnsi"/>
                <w:sz w:val="14"/>
                <w:szCs w:val="14"/>
              </w:rPr>
            </w:pPr>
            <w:r w:rsidRPr="00C57C0F">
              <w:rPr>
                <w:rFonts w:ascii="Cambria" w:hAnsi="Cambria" w:cstheme="minorHAnsi"/>
                <w:sz w:val="14"/>
                <w:szCs w:val="14"/>
              </w:rPr>
              <w:t>STATUS OF COMPLIANCE</w:t>
            </w:r>
          </w:p>
        </w:tc>
      </w:tr>
      <w:tr w:rsidR="00183F07" w:rsidRPr="00C57C0F" w14:paraId="768B1DEE" w14:textId="77777777">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5F8E1D9C" w14:textId="77777777" w:rsidR="00183F07" w:rsidRPr="00C57C0F" w:rsidRDefault="00183F07" w:rsidP="00933F91">
            <w:pPr>
              <w:numPr>
                <w:ilvl w:val="0"/>
                <w:numId w:val="70"/>
              </w:numPr>
              <w:tabs>
                <w:tab w:val="num" w:pos="522"/>
              </w:tabs>
              <w:ind w:firstLine="0"/>
              <w:contextualSpacing/>
              <w:jc w:val="both"/>
              <w:rPr>
                <w:rFonts w:ascii="Cambria" w:hAnsi="Cambria" w:cstheme="minorHAnsi"/>
                <w:sz w:val="18"/>
                <w:szCs w:val="18"/>
              </w:rPr>
            </w:pPr>
            <w:r w:rsidRPr="00C57C0F">
              <w:rPr>
                <w:rFonts w:ascii="Cambria" w:hAnsi="Cambria" w:cstheme="minorHAnsi"/>
                <w:sz w:val="18"/>
                <w:szCs w:val="18"/>
              </w:rPr>
              <w:t>Case 11.307, Report No. 103/01, María Merciadri de Morini (Argentina)</w:t>
            </w:r>
            <w:r w:rsidRPr="00C57C0F">
              <w:rPr>
                <w:rFonts w:ascii="Cambria" w:hAnsi="Cambria" w:cstheme="minorHAnsi"/>
                <w:sz w:val="18"/>
                <w:szCs w:val="18"/>
                <w:vertAlign w:val="superscript"/>
              </w:rPr>
              <w:footnoteReference w:id="12"/>
            </w:r>
          </w:p>
        </w:tc>
        <w:tc>
          <w:tcPr>
            <w:tcW w:w="1170" w:type="dxa"/>
            <w:vMerge w:val="restart"/>
            <w:vAlign w:val="center"/>
          </w:tcPr>
          <w:p w14:paraId="6A12CCCD" w14:textId="12A998AA" w:rsidR="00183F07" w:rsidRPr="00C57C0F" w:rsidRDefault="0071198A">
            <w:pPr>
              <w:jc w:val="center"/>
              <w:rPr>
                <w:rFonts w:ascii="Cambria" w:hAnsi="Cambria" w:cstheme="minorHAnsi"/>
                <w:sz w:val="18"/>
                <w:szCs w:val="18"/>
              </w:rPr>
            </w:pPr>
            <w:hyperlink r:id="rId29" w:history="1">
              <w:r w:rsidR="00183F07" w:rsidRPr="002A727F">
                <w:rPr>
                  <w:rStyle w:val="Hyperlink"/>
                  <w:rFonts w:ascii="Cambria" w:eastAsiaTheme="minorHAnsi" w:hAnsi="Cambria" w:cstheme="minorHAnsi"/>
                  <w:sz w:val="18"/>
                  <w:szCs w:val="18"/>
                </w:rPr>
                <w:t>Link to monitoring sheets on matters related to reports of friendly settlement agreements of Argentina that are subject to monitoring</w:t>
              </w:r>
            </w:hyperlink>
            <w:r w:rsidR="00183F07" w:rsidRPr="00C57C0F">
              <w:rPr>
                <w:rFonts w:ascii="Cambria" w:hAnsi="Cambria" w:cstheme="minorHAnsi"/>
                <w:sz w:val="18"/>
                <w:szCs w:val="18"/>
              </w:rPr>
              <w:t xml:space="preserve">  </w:t>
            </w:r>
          </w:p>
          <w:p w14:paraId="6E47BA39" w14:textId="77777777" w:rsidR="00183F07" w:rsidRPr="00C57C0F" w:rsidRDefault="00183F07">
            <w:pPr>
              <w:jc w:val="center"/>
              <w:rPr>
                <w:rFonts w:ascii="Cambria" w:hAnsi="Cambria" w:cstheme="minorHAnsi"/>
                <w:sz w:val="18"/>
                <w:szCs w:val="18"/>
              </w:rPr>
            </w:pPr>
          </w:p>
        </w:tc>
        <w:tc>
          <w:tcPr>
            <w:tcW w:w="1350" w:type="dxa"/>
            <w:vAlign w:val="center"/>
          </w:tcPr>
          <w:p w14:paraId="50C0102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3393E60"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761AD345"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7E27FB91"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5EEAF378"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0C8AA25F" w14:textId="77777777">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52081D69" w14:textId="77777777" w:rsidR="00183F07" w:rsidRPr="00C57C0F" w:rsidRDefault="00183F07" w:rsidP="00933F91">
            <w:pPr>
              <w:numPr>
                <w:ilvl w:val="0"/>
                <w:numId w:val="70"/>
              </w:numPr>
              <w:tabs>
                <w:tab w:val="num" w:pos="522"/>
              </w:tabs>
              <w:ind w:firstLine="0"/>
              <w:contextualSpacing/>
              <w:jc w:val="both"/>
              <w:rPr>
                <w:rFonts w:ascii="Cambria" w:hAnsi="Cambria" w:cstheme="minorHAnsi"/>
                <w:sz w:val="18"/>
                <w:szCs w:val="18"/>
              </w:rPr>
            </w:pPr>
            <w:r w:rsidRPr="00C57C0F">
              <w:rPr>
                <w:rFonts w:ascii="Cambria" w:hAnsi="Cambria" w:cstheme="minorHAnsi"/>
                <w:sz w:val="18"/>
                <w:szCs w:val="18"/>
              </w:rPr>
              <w:t>Case 11.804, Report No. 91/03, Juan Angel Greco (Argentina)</w:t>
            </w:r>
          </w:p>
        </w:tc>
        <w:tc>
          <w:tcPr>
            <w:tcW w:w="1170" w:type="dxa"/>
            <w:vMerge/>
            <w:vAlign w:val="center"/>
          </w:tcPr>
          <w:p w14:paraId="1C5D18FE" w14:textId="77777777" w:rsidR="00183F07" w:rsidRPr="00C57C0F" w:rsidRDefault="00183F07">
            <w:pPr>
              <w:jc w:val="center"/>
              <w:rPr>
                <w:rFonts w:ascii="Cambria" w:hAnsi="Cambria" w:cstheme="minorHAnsi"/>
                <w:sz w:val="18"/>
                <w:szCs w:val="18"/>
              </w:rPr>
            </w:pPr>
          </w:p>
        </w:tc>
        <w:tc>
          <w:tcPr>
            <w:tcW w:w="1350" w:type="dxa"/>
            <w:vAlign w:val="center"/>
          </w:tcPr>
          <w:p w14:paraId="3A948591" w14:textId="77777777" w:rsidR="00183F07" w:rsidRPr="00C57C0F" w:rsidRDefault="00183F07">
            <w:pPr>
              <w:jc w:val="center"/>
              <w:rPr>
                <w:rFonts w:ascii="Cambria" w:hAnsi="Cambria" w:cstheme="minorHAnsi"/>
                <w:sz w:val="18"/>
                <w:szCs w:val="18"/>
              </w:rPr>
            </w:pPr>
          </w:p>
        </w:tc>
        <w:tc>
          <w:tcPr>
            <w:tcW w:w="1170" w:type="dxa"/>
            <w:vAlign w:val="center"/>
          </w:tcPr>
          <w:p w14:paraId="6ED4D57A" w14:textId="77777777" w:rsidR="00183F07" w:rsidRPr="00C57C0F" w:rsidRDefault="00183F07">
            <w:pPr>
              <w:ind w:firstLine="31"/>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60EA64C"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2B0EB0EA" w14:textId="77777777" w:rsidR="00183F07" w:rsidRPr="00C57C0F" w:rsidRDefault="00183F07">
            <w:pPr>
              <w:keepNext/>
              <w:tabs>
                <w:tab w:val="left" w:pos="177"/>
              </w:tabs>
              <w:ind w:firstLine="162"/>
              <w:jc w:val="center"/>
              <w:outlineLvl w:val="2"/>
              <w:rPr>
                <w:rFonts w:ascii="Cambria" w:hAnsi="Cambria" w:cstheme="minorHAnsi"/>
                <w:sz w:val="18"/>
                <w:szCs w:val="18"/>
              </w:rPr>
            </w:pPr>
            <w:r w:rsidRPr="00C57C0F">
              <w:rPr>
                <w:rFonts w:ascii="Cambria" w:hAnsi="Cambria" w:cstheme="minorHAnsi"/>
                <w:sz w:val="18"/>
                <w:szCs w:val="18"/>
              </w:rPr>
              <w:t>63%</w:t>
            </w:r>
          </w:p>
        </w:tc>
        <w:tc>
          <w:tcPr>
            <w:tcW w:w="1260" w:type="dxa"/>
            <w:vAlign w:val="center"/>
          </w:tcPr>
          <w:p w14:paraId="6DA5CBDC"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Active</w:t>
            </w:r>
          </w:p>
        </w:tc>
      </w:tr>
      <w:tr w:rsidR="00183F07" w:rsidRPr="00C57C0F" w14:paraId="0DCC0D4A" w14:textId="77777777">
        <w:trPr>
          <w:cnfStyle w:val="000000100000" w:firstRow="0" w:lastRow="0" w:firstColumn="0" w:lastColumn="0" w:oddVBand="0" w:evenVBand="0" w:oddHBand="1" w:evenHBand="0" w:firstRowFirstColumn="0" w:firstRowLastColumn="0" w:lastRowFirstColumn="0" w:lastRowLastColumn="0"/>
          <w:trHeight w:val="1206"/>
          <w:jc w:val="center"/>
        </w:trPr>
        <w:tc>
          <w:tcPr>
            <w:tcW w:w="1620" w:type="dxa"/>
            <w:vAlign w:val="center"/>
          </w:tcPr>
          <w:p w14:paraId="3D83DC45" w14:textId="77777777" w:rsidR="00183F07" w:rsidRPr="00C57C0F" w:rsidRDefault="00183F07" w:rsidP="00933F91">
            <w:pPr>
              <w:numPr>
                <w:ilvl w:val="0"/>
                <w:numId w:val="70"/>
              </w:numPr>
              <w:tabs>
                <w:tab w:val="num" w:pos="522"/>
              </w:tabs>
              <w:ind w:firstLine="0"/>
              <w:contextualSpacing/>
              <w:jc w:val="both"/>
              <w:rPr>
                <w:rFonts w:ascii="Cambria" w:hAnsi="Cambria" w:cstheme="minorHAnsi"/>
                <w:sz w:val="18"/>
                <w:szCs w:val="18"/>
              </w:rPr>
            </w:pPr>
            <w:r w:rsidRPr="00C57C0F">
              <w:rPr>
                <w:rFonts w:ascii="Cambria" w:hAnsi="Cambria" w:cstheme="minorHAnsi"/>
                <w:sz w:val="18"/>
                <w:szCs w:val="18"/>
              </w:rPr>
              <w:t>Case 12.080, Report No. 102/05, Sergio Schiavini and María Teresa Schnack (Argentina)</w:t>
            </w:r>
          </w:p>
        </w:tc>
        <w:tc>
          <w:tcPr>
            <w:tcW w:w="1170" w:type="dxa"/>
            <w:vMerge/>
            <w:vAlign w:val="center"/>
          </w:tcPr>
          <w:p w14:paraId="06A62108" w14:textId="77777777" w:rsidR="00183F07" w:rsidRPr="00C57C0F" w:rsidRDefault="00183F07">
            <w:pPr>
              <w:jc w:val="center"/>
              <w:rPr>
                <w:rFonts w:ascii="Cambria" w:hAnsi="Cambria" w:cstheme="minorHAnsi"/>
                <w:sz w:val="18"/>
                <w:szCs w:val="18"/>
              </w:rPr>
            </w:pPr>
          </w:p>
        </w:tc>
        <w:tc>
          <w:tcPr>
            <w:tcW w:w="1350" w:type="dxa"/>
            <w:vAlign w:val="center"/>
          </w:tcPr>
          <w:p w14:paraId="2E4DDAD7" w14:textId="77777777" w:rsidR="00183F07" w:rsidRPr="00C57C0F" w:rsidRDefault="00183F07">
            <w:pPr>
              <w:jc w:val="center"/>
              <w:rPr>
                <w:rFonts w:ascii="Cambria" w:hAnsi="Cambria" w:cstheme="minorHAnsi"/>
                <w:sz w:val="18"/>
                <w:szCs w:val="18"/>
              </w:rPr>
            </w:pPr>
          </w:p>
        </w:tc>
        <w:tc>
          <w:tcPr>
            <w:tcW w:w="1170" w:type="dxa"/>
            <w:vAlign w:val="center"/>
          </w:tcPr>
          <w:p w14:paraId="7BD14703" w14:textId="77777777" w:rsidR="00183F07" w:rsidRPr="00C57C0F" w:rsidRDefault="00183F07">
            <w:pPr>
              <w:ind w:firstLine="31"/>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69E4749"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2121857A" w14:textId="77777777" w:rsidR="00183F07" w:rsidRPr="00C57C0F" w:rsidRDefault="00183F07">
            <w:pPr>
              <w:keepNext/>
              <w:tabs>
                <w:tab w:val="left" w:pos="177"/>
              </w:tabs>
              <w:ind w:firstLine="162"/>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1E0A5783"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4896E621" w14:textId="77777777">
        <w:trPr>
          <w:cnfStyle w:val="000000010000" w:firstRow="0" w:lastRow="0" w:firstColumn="0" w:lastColumn="0" w:oddVBand="0" w:evenVBand="0" w:oddHBand="0" w:evenHBand="1" w:firstRowFirstColumn="0" w:firstRowLastColumn="0" w:lastRowFirstColumn="0" w:lastRowLastColumn="0"/>
          <w:trHeight w:val="963"/>
          <w:jc w:val="center"/>
        </w:trPr>
        <w:tc>
          <w:tcPr>
            <w:tcW w:w="1620" w:type="dxa"/>
            <w:vAlign w:val="center"/>
          </w:tcPr>
          <w:p w14:paraId="68269B69" w14:textId="77777777" w:rsidR="00183F07" w:rsidRPr="00352AC9" w:rsidRDefault="00183F07" w:rsidP="00933F91">
            <w:pPr>
              <w:numPr>
                <w:ilvl w:val="0"/>
                <w:numId w:val="70"/>
              </w:numPr>
              <w:tabs>
                <w:tab w:val="num" w:pos="522"/>
              </w:tabs>
              <w:ind w:firstLine="0"/>
              <w:contextualSpacing/>
              <w:jc w:val="both"/>
              <w:rPr>
                <w:rFonts w:ascii="Cambria" w:hAnsi="Cambria" w:cstheme="minorHAnsi"/>
                <w:sz w:val="18"/>
                <w:szCs w:val="18"/>
                <w:lang w:val="pt-BR"/>
              </w:rPr>
            </w:pPr>
            <w:r w:rsidRPr="00352AC9">
              <w:rPr>
                <w:rFonts w:ascii="Cambria" w:hAnsi="Cambria" w:cstheme="minorHAnsi"/>
                <w:sz w:val="18"/>
                <w:szCs w:val="18"/>
                <w:lang w:val="pt-BR"/>
              </w:rPr>
              <w:t>Case 12.298, Report No. 81/08, Fernando Giovanelli (Argentina)</w:t>
            </w:r>
            <w:r w:rsidRPr="00C57C0F">
              <w:rPr>
                <w:rStyle w:val="FootnoteReference"/>
                <w:rFonts w:ascii="Cambria" w:hAnsi="Cambria" w:cstheme="minorHAnsi"/>
                <w:sz w:val="18"/>
                <w:szCs w:val="18"/>
              </w:rPr>
              <w:footnoteReference w:id="13"/>
            </w:r>
          </w:p>
        </w:tc>
        <w:tc>
          <w:tcPr>
            <w:tcW w:w="1170" w:type="dxa"/>
            <w:vMerge/>
            <w:vAlign w:val="center"/>
          </w:tcPr>
          <w:p w14:paraId="2C24E895" w14:textId="77777777" w:rsidR="00183F07" w:rsidRPr="00352AC9" w:rsidRDefault="00183F07">
            <w:pPr>
              <w:jc w:val="center"/>
              <w:rPr>
                <w:rFonts w:ascii="Cambria" w:hAnsi="Cambria" w:cstheme="minorHAnsi"/>
                <w:sz w:val="18"/>
                <w:szCs w:val="18"/>
                <w:lang w:val="pt-BR"/>
              </w:rPr>
            </w:pPr>
          </w:p>
        </w:tc>
        <w:tc>
          <w:tcPr>
            <w:tcW w:w="1350" w:type="dxa"/>
            <w:vAlign w:val="center"/>
          </w:tcPr>
          <w:p w14:paraId="1EFB6303" w14:textId="77777777" w:rsidR="00183F07" w:rsidRPr="00352AC9" w:rsidRDefault="00183F07">
            <w:pPr>
              <w:jc w:val="center"/>
              <w:rPr>
                <w:rFonts w:ascii="Cambria" w:hAnsi="Cambria" w:cstheme="minorHAnsi"/>
                <w:sz w:val="18"/>
                <w:szCs w:val="18"/>
                <w:lang w:val="pt-BR"/>
              </w:rPr>
            </w:pPr>
          </w:p>
        </w:tc>
        <w:tc>
          <w:tcPr>
            <w:tcW w:w="1170" w:type="dxa"/>
            <w:vAlign w:val="center"/>
          </w:tcPr>
          <w:p w14:paraId="2D123D7D" w14:textId="77777777" w:rsidR="00183F07" w:rsidRPr="00C57C0F" w:rsidRDefault="00183F07">
            <w:pPr>
              <w:ind w:firstLine="31"/>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FCD9E42"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7E3D0624"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60%</w:t>
            </w:r>
          </w:p>
        </w:tc>
        <w:tc>
          <w:tcPr>
            <w:tcW w:w="1260" w:type="dxa"/>
            <w:vAlign w:val="center"/>
          </w:tcPr>
          <w:p w14:paraId="06218DD1"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p w14:paraId="504A2C6B" w14:textId="77777777" w:rsidR="00183F07" w:rsidRPr="00C57C0F" w:rsidRDefault="00183F07">
            <w:pPr>
              <w:jc w:val="center"/>
              <w:rPr>
                <w:rFonts w:ascii="Cambria" w:hAnsi="Cambria" w:cstheme="minorHAnsi"/>
                <w:sz w:val="18"/>
                <w:szCs w:val="18"/>
              </w:rPr>
            </w:pPr>
          </w:p>
        </w:tc>
      </w:tr>
      <w:tr w:rsidR="00183F07" w:rsidRPr="00C57C0F" w14:paraId="4AA7A304" w14:textId="77777777">
        <w:trPr>
          <w:cnfStyle w:val="000000100000" w:firstRow="0" w:lastRow="0" w:firstColumn="0" w:lastColumn="0" w:oddVBand="0" w:evenVBand="0" w:oddHBand="1" w:evenHBand="0" w:firstRowFirstColumn="0" w:firstRowLastColumn="0" w:lastRowFirstColumn="0" w:lastRowLastColumn="0"/>
          <w:trHeight w:val="1116"/>
          <w:jc w:val="center"/>
        </w:trPr>
        <w:tc>
          <w:tcPr>
            <w:tcW w:w="1620" w:type="dxa"/>
            <w:vAlign w:val="center"/>
          </w:tcPr>
          <w:p w14:paraId="600750FC" w14:textId="77777777" w:rsidR="00183F07" w:rsidRPr="00C57C0F" w:rsidRDefault="00183F07" w:rsidP="00933F91">
            <w:pPr>
              <w:numPr>
                <w:ilvl w:val="0"/>
                <w:numId w:val="70"/>
              </w:numPr>
              <w:tabs>
                <w:tab w:val="num" w:pos="522"/>
              </w:tabs>
              <w:ind w:firstLine="0"/>
              <w:contextualSpacing/>
              <w:jc w:val="both"/>
              <w:rPr>
                <w:rFonts w:ascii="Cambria" w:hAnsi="Cambria" w:cstheme="minorHAnsi"/>
                <w:sz w:val="18"/>
                <w:szCs w:val="18"/>
              </w:rPr>
            </w:pPr>
            <w:r w:rsidRPr="00C57C0F">
              <w:rPr>
                <w:rFonts w:ascii="Cambria" w:hAnsi="Cambria" w:cstheme="minorHAnsi"/>
                <w:sz w:val="18"/>
                <w:szCs w:val="18"/>
              </w:rPr>
              <w:t>Case 12.159, Report No. 79/09, Gabriel Egisto Santillan Reigas (Argentina)</w:t>
            </w:r>
          </w:p>
        </w:tc>
        <w:tc>
          <w:tcPr>
            <w:tcW w:w="1170" w:type="dxa"/>
            <w:vMerge/>
            <w:vAlign w:val="center"/>
          </w:tcPr>
          <w:p w14:paraId="13BABAF3" w14:textId="77777777" w:rsidR="00183F07" w:rsidRPr="00C57C0F" w:rsidRDefault="00183F07">
            <w:pPr>
              <w:jc w:val="center"/>
              <w:rPr>
                <w:rFonts w:ascii="Cambria" w:hAnsi="Cambria" w:cstheme="minorHAnsi"/>
                <w:sz w:val="18"/>
                <w:szCs w:val="18"/>
              </w:rPr>
            </w:pPr>
          </w:p>
        </w:tc>
        <w:tc>
          <w:tcPr>
            <w:tcW w:w="1350" w:type="dxa"/>
            <w:vAlign w:val="center"/>
          </w:tcPr>
          <w:p w14:paraId="7DA2C93A"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90EA4D0"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71D5AB62"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2D1CB70E"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41A74FA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 2022</w:t>
            </w:r>
          </w:p>
        </w:tc>
      </w:tr>
      <w:tr w:rsidR="00183F07" w:rsidRPr="00C57C0F" w14:paraId="05D4E0B5" w14:textId="77777777">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1C25B921" w14:textId="77777777" w:rsidR="00183F07" w:rsidRPr="00352AC9" w:rsidRDefault="00183F07" w:rsidP="00933F91">
            <w:pPr>
              <w:numPr>
                <w:ilvl w:val="0"/>
                <w:numId w:val="70"/>
              </w:numPr>
              <w:tabs>
                <w:tab w:val="num" w:pos="522"/>
              </w:tabs>
              <w:ind w:firstLine="0"/>
              <w:contextualSpacing/>
              <w:jc w:val="both"/>
              <w:rPr>
                <w:rFonts w:ascii="Cambria" w:hAnsi="Cambria" w:cstheme="minorHAnsi"/>
                <w:sz w:val="18"/>
                <w:szCs w:val="18"/>
                <w:lang w:val="pt-BR"/>
              </w:rPr>
            </w:pPr>
            <w:r w:rsidRPr="00352AC9">
              <w:rPr>
                <w:rFonts w:ascii="Cambria" w:hAnsi="Cambria" w:cstheme="minorHAnsi"/>
                <w:sz w:val="18"/>
                <w:szCs w:val="18"/>
                <w:lang w:val="pt-BR"/>
              </w:rPr>
              <w:t xml:space="preserve">Case 11.758, Report No. 15/10, Rodolfo Correa </w:t>
            </w:r>
            <w:r w:rsidRPr="00352AC9">
              <w:rPr>
                <w:rFonts w:ascii="Cambria" w:hAnsi="Cambria" w:cstheme="minorHAnsi"/>
                <w:sz w:val="18"/>
                <w:szCs w:val="18"/>
                <w:lang w:val="pt-BR"/>
              </w:rPr>
              <w:lastRenderedPageBreak/>
              <w:t>Belisle (Argentina)</w:t>
            </w:r>
            <w:r w:rsidRPr="00C57C0F">
              <w:rPr>
                <w:rFonts w:ascii="Cambria" w:hAnsi="Cambria" w:cstheme="minorHAnsi"/>
                <w:sz w:val="18"/>
                <w:szCs w:val="18"/>
                <w:vertAlign w:val="superscript"/>
              </w:rPr>
              <w:footnoteReference w:id="14"/>
            </w:r>
          </w:p>
        </w:tc>
        <w:tc>
          <w:tcPr>
            <w:tcW w:w="1170" w:type="dxa"/>
            <w:vMerge/>
            <w:vAlign w:val="center"/>
          </w:tcPr>
          <w:p w14:paraId="6E3BF74F" w14:textId="77777777" w:rsidR="00183F07" w:rsidRPr="00352AC9" w:rsidRDefault="00183F07">
            <w:pPr>
              <w:jc w:val="center"/>
              <w:rPr>
                <w:rFonts w:ascii="Cambria" w:hAnsi="Cambria" w:cstheme="minorHAnsi"/>
                <w:sz w:val="18"/>
                <w:szCs w:val="18"/>
                <w:lang w:val="pt-BR"/>
              </w:rPr>
            </w:pPr>
          </w:p>
        </w:tc>
        <w:tc>
          <w:tcPr>
            <w:tcW w:w="1350" w:type="dxa"/>
            <w:vAlign w:val="center"/>
          </w:tcPr>
          <w:p w14:paraId="0D8B871E"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CCB2F4A"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59E1F5DC"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4CA1D9CE" w14:textId="77777777" w:rsidR="00183F07" w:rsidRPr="00C57C0F" w:rsidRDefault="00183F07">
            <w:pPr>
              <w:keepNext/>
              <w:tabs>
                <w:tab w:val="left" w:pos="177"/>
              </w:tabs>
              <w:ind w:firstLine="162"/>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82D885A"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1EC43152" w14:textId="77777777">
        <w:trPr>
          <w:cnfStyle w:val="000000100000" w:firstRow="0" w:lastRow="0" w:firstColumn="0" w:lastColumn="0" w:oddVBand="0" w:evenVBand="0" w:oddHBand="1" w:evenHBand="0" w:firstRowFirstColumn="0" w:firstRowLastColumn="0" w:lastRowFirstColumn="0" w:lastRowLastColumn="0"/>
          <w:trHeight w:val="981"/>
          <w:jc w:val="center"/>
        </w:trPr>
        <w:tc>
          <w:tcPr>
            <w:tcW w:w="1620" w:type="dxa"/>
            <w:vAlign w:val="center"/>
          </w:tcPr>
          <w:p w14:paraId="52BD248B" w14:textId="77777777" w:rsidR="00183F07" w:rsidRPr="00C57C0F" w:rsidRDefault="00183F07" w:rsidP="00933F91">
            <w:pPr>
              <w:numPr>
                <w:ilvl w:val="0"/>
                <w:numId w:val="70"/>
              </w:numPr>
              <w:tabs>
                <w:tab w:val="num" w:pos="522"/>
              </w:tabs>
              <w:ind w:firstLine="0"/>
              <w:contextualSpacing/>
              <w:jc w:val="both"/>
              <w:rPr>
                <w:rFonts w:ascii="Cambria" w:hAnsi="Cambria" w:cstheme="minorHAnsi"/>
                <w:sz w:val="18"/>
                <w:szCs w:val="18"/>
              </w:rPr>
            </w:pPr>
            <w:r w:rsidRPr="00C57C0F">
              <w:rPr>
                <w:rFonts w:ascii="Cambria" w:hAnsi="Cambria" w:cstheme="minorHAnsi"/>
                <w:sz w:val="18"/>
                <w:szCs w:val="18"/>
              </w:rPr>
              <w:t>Case 11.796, Report No. 16/10, Mario Humberto Gómez Yardez (Argentina)</w:t>
            </w:r>
            <w:bookmarkStart w:id="1" w:name="OLE_LINK8"/>
            <w:bookmarkStart w:id="2" w:name="OLE_LINK7"/>
            <w:r w:rsidRPr="00C57C0F">
              <w:rPr>
                <w:rFonts w:ascii="Cambria" w:hAnsi="Cambria" w:cstheme="minorHAnsi"/>
                <w:sz w:val="18"/>
                <w:szCs w:val="18"/>
                <w:vertAlign w:val="superscript"/>
              </w:rPr>
              <w:footnoteReference w:id="15"/>
            </w:r>
            <w:bookmarkEnd w:id="1"/>
            <w:bookmarkEnd w:id="2"/>
          </w:p>
        </w:tc>
        <w:tc>
          <w:tcPr>
            <w:tcW w:w="1170" w:type="dxa"/>
            <w:vMerge/>
            <w:vAlign w:val="center"/>
          </w:tcPr>
          <w:p w14:paraId="3D2FC974" w14:textId="77777777" w:rsidR="00183F07" w:rsidRPr="00C57C0F" w:rsidRDefault="00183F07">
            <w:pPr>
              <w:jc w:val="center"/>
              <w:rPr>
                <w:rFonts w:ascii="Cambria" w:hAnsi="Cambria" w:cstheme="minorHAnsi"/>
                <w:sz w:val="18"/>
                <w:szCs w:val="18"/>
              </w:rPr>
            </w:pPr>
          </w:p>
        </w:tc>
        <w:tc>
          <w:tcPr>
            <w:tcW w:w="1350" w:type="dxa"/>
            <w:vAlign w:val="center"/>
          </w:tcPr>
          <w:p w14:paraId="6D5042A0"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B18EC03"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4622FA8B"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46F27CF7" w14:textId="77777777" w:rsidR="00183F07" w:rsidRPr="00C57C0F" w:rsidRDefault="00183F07">
            <w:pPr>
              <w:keepNext/>
              <w:tabs>
                <w:tab w:val="left" w:pos="177"/>
              </w:tabs>
              <w:ind w:firstLine="162"/>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5FB0DABB"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6EF4EAD5" w14:textId="77777777">
        <w:trPr>
          <w:cnfStyle w:val="000000010000" w:firstRow="0" w:lastRow="0" w:firstColumn="0" w:lastColumn="0" w:oddVBand="0" w:evenVBand="0" w:oddHBand="0" w:evenHBand="1" w:firstRowFirstColumn="0" w:firstRowLastColumn="0" w:lastRowFirstColumn="0" w:lastRowLastColumn="0"/>
          <w:trHeight w:val="1377"/>
          <w:jc w:val="center"/>
        </w:trPr>
        <w:tc>
          <w:tcPr>
            <w:tcW w:w="1620" w:type="dxa"/>
            <w:vAlign w:val="center"/>
          </w:tcPr>
          <w:p w14:paraId="67A4D427" w14:textId="77777777" w:rsidR="00183F07" w:rsidRPr="00352AC9" w:rsidRDefault="00183F07" w:rsidP="00933F91">
            <w:pPr>
              <w:numPr>
                <w:ilvl w:val="0"/>
                <w:numId w:val="70"/>
              </w:numPr>
              <w:tabs>
                <w:tab w:val="num" w:pos="522"/>
              </w:tabs>
              <w:ind w:firstLine="0"/>
              <w:contextualSpacing/>
              <w:jc w:val="both"/>
              <w:rPr>
                <w:rFonts w:ascii="Cambria" w:hAnsi="Cambria" w:cstheme="minorHAnsi"/>
                <w:sz w:val="18"/>
                <w:szCs w:val="18"/>
                <w:lang w:val="es-AR"/>
              </w:rPr>
            </w:pPr>
            <w:r w:rsidRPr="00352AC9">
              <w:rPr>
                <w:rFonts w:ascii="Cambria" w:hAnsi="Cambria" w:cstheme="minorHAnsi"/>
                <w:sz w:val="18"/>
                <w:szCs w:val="18"/>
                <w:lang w:val="es-AR"/>
              </w:rPr>
              <w:t>Case 12.536, Report No. 17/10, Raquel Natalia Lagunas and Sergio Antonio Sorbellini (Argentina)</w:t>
            </w:r>
          </w:p>
        </w:tc>
        <w:tc>
          <w:tcPr>
            <w:tcW w:w="1170" w:type="dxa"/>
            <w:vMerge/>
            <w:vAlign w:val="center"/>
          </w:tcPr>
          <w:p w14:paraId="396BD34E" w14:textId="77777777" w:rsidR="00183F07" w:rsidRPr="00352AC9" w:rsidRDefault="00183F07">
            <w:pPr>
              <w:jc w:val="center"/>
              <w:rPr>
                <w:rFonts w:ascii="Cambria" w:hAnsi="Cambria" w:cstheme="minorHAnsi"/>
                <w:sz w:val="18"/>
                <w:szCs w:val="18"/>
                <w:lang w:val="es-AR"/>
              </w:rPr>
            </w:pPr>
          </w:p>
        </w:tc>
        <w:tc>
          <w:tcPr>
            <w:tcW w:w="1350" w:type="dxa"/>
            <w:vAlign w:val="center"/>
          </w:tcPr>
          <w:p w14:paraId="789629D4" w14:textId="77777777" w:rsidR="00183F07" w:rsidRPr="00352AC9" w:rsidRDefault="00183F07">
            <w:pPr>
              <w:jc w:val="center"/>
              <w:rPr>
                <w:rFonts w:ascii="Cambria" w:hAnsi="Cambria" w:cstheme="minorHAnsi"/>
                <w:sz w:val="18"/>
                <w:szCs w:val="18"/>
                <w:lang w:val="es-AR"/>
              </w:rPr>
            </w:pPr>
          </w:p>
        </w:tc>
        <w:tc>
          <w:tcPr>
            <w:tcW w:w="1170" w:type="dxa"/>
            <w:vAlign w:val="center"/>
          </w:tcPr>
          <w:p w14:paraId="33CFA9B2" w14:textId="77777777" w:rsidR="00183F07" w:rsidRPr="00C57C0F" w:rsidRDefault="00183F07">
            <w:pPr>
              <w:ind w:firstLine="31"/>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0ADD8EC"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6867A59B"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80%</w:t>
            </w:r>
          </w:p>
        </w:tc>
        <w:tc>
          <w:tcPr>
            <w:tcW w:w="1260" w:type="dxa"/>
            <w:vAlign w:val="center"/>
          </w:tcPr>
          <w:p w14:paraId="6B491D46"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0C825978" w14:textId="77777777">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44E1D681" w14:textId="77777777" w:rsidR="00183F07" w:rsidRPr="00C57C0F" w:rsidRDefault="00183F07" w:rsidP="00933F91">
            <w:pPr>
              <w:numPr>
                <w:ilvl w:val="0"/>
                <w:numId w:val="70"/>
              </w:numPr>
              <w:tabs>
                <w:tab w:val="num" w:pos="522"/>
              </w:tabs>
              <w:ind w:firstLine="0"/>
              <w:contextualSpacing/>
              <w:jc w:val="both"/>
              <w:rPr>
                <w:rFonts w:ascii="Cambria" w:hAnsi="Cambria" w:cstheme="minorHAnsi"/>
                <w:sz w:val="18"/>
                <w:szCs w:val="18"/>
              </w:rPr>
            </w:pPr>
            <w:r w:rsidRPr="00C57C0F">
              <w:rPr>
                <w:rFonts w:ascii="Cambria" w:hAnsi="Cambria" w:cstheme="minorHAnsi"/>
                <w:sz w:val="18"/>
                <w:szCs w:val="18"/>
              </w:rPr>
              <w:t>Petition 242-03, Report No. 160/10, Inocencia Luca Pegoraro (Argentina)</w:t>
            </w:r>
            <w:r w:rsidRPr="00C57C0F">
              <w:rPr>
                <w:rStyle w:val="FootnoteReference"/>
                <w:rFonts w:ascii="Cambria" w:hAnsi="Cambria" w:cstheme="minorHAnsi"/>
                <w:sz w:val="18"/>
                <w:szCs w:val="18"/>
              </w:rPr>
              <w:footnoteReference w:id="16"/>
            </w:r>
          </w:p>
        </w:tc>
        <w:tc>
          <w:tcPr>
            <w:tcW w:w="1170" w:type="dxa"/>
            <w:vMerge/>
            <w:vAlign w:val="center"/>
          </w:tcPr>
          <w:p w14:paraId="26EEE6B6" w14:textId="77777777" w:rsidR="00183F07" w:rsidRPr="00C57C0F" w:rsidRDefault="00183F07">
            <w:pPr>
              <w:jc w:val="center"/>
              <w:rPr>
                <w:rFonts w:ascii="Cambria" w:hAnsi="Cambria" w:cstheme="minorHAnsi"/>
                <w:sz w:val="18"/>
                <w:szCs w:val="18"/>
              </w:rPr>
            </w:pPr>
          </w:p>
        </w:tc>
        <w:tc>
          <w:tcPr>
            <w:tcW w:w="1350" w:type="dxa"/>
            <w:vAlign w:val="center"/>
          </w:tcPr>
          <w:p w14:paraId="36159169"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47832F2"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42476AE5"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48DCAC22"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54C45F21"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24C3C952" w14:textId="77777777">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7FAF1A52" w14:textId="77777777" w:rsidR="00183F07" w:rsidRPr="00C57C0F" w:rsidRDefault="00183F07" w:rsidP="00933F91">
            <w:pPr>
              <w:numPr>
                <w:ilvl w:val="0"/>
                <w:numId w:val="70"/>
              </w:numPr>
              <w:tabs>
                <w:tab w:val="num" w:pos="522"/>
              </w:tabs>
              <w:ind w:firstLine="0"/>
              <w:contextualSpacing/>
              <w:jc w:val="both"/>
              <w:rPr>
                <w:rFonts w:ascii="Cambria" w:hAnsi="Cambria" w:cstheme="minorHAnsi"/>
                <w:sz w:val="18"/>
                <w:szCs w:val="18"/>
              </w:rPr>
            </w:pPr>
            <w:r w:rsidRPr="00C57C0F">
              <w:rPr>
                <w:rFonts w:ascii="Cambria" w:hAnsi="Cambria" w:cstheme="minorHAnsi"/>
                <w:sz w:val="18"/>
                <w:szCs w:val="18"/>
              </w:rPr>
              <w:t>Petition 4554-02, Report No. 161/10, Valerio Castillo Báez (Argentina)</w:t>
            </w:r>
            <w:r w:rsidRPr="00C57C0F">
              <w:rPr>
                <w:rFonts w:ascii="Cambria" w:hAnsi="Cambria" w:cstheme="minorHAnsi"/>
                <w:sz w:val="18"/>
                <w:szCs w:val="18"/>
                <w:vertAlign w:val="superscript"/>
              </w:rPr>
              <w:footnoteReference w:id="17"/>
            </w:r>
          </w:p>
        </w:tc>
        <w:tc>
          <w:tcPr>
            <w:tcW w:w="1170" w:type="dxa"/>
            <w:vMerge/>
            <w:vAlign w:val="center"/>
          </w:tcPr>
          <w:p w14:paraId="7B91B1CC" w14:textId="77777777" w:rsidR="00183F07" w:rsidRPr="00C57C0F" w:rsidRDefault="00183F07">
            <w:pPr>
              <w:jc w:val="center"/>
              <w:rPr>
                <w:rFonts w:ascii="Cambria" w:hAnsi="Cambria" w:cstheme="minorHAnsi"/>
                <w:sz w:val="18"/>
                <w:szCs w:val="18"/>
              </w:rPr>
            </w:pPr>
          </w:p>
        </w:tc>
        <w:tc>
          <w:tcPr>
            <w:tcW w:w="1350" w:type="dxa"/>
            <w:vAlign w:val="center"/>
          </w:tcPr>
          <w:p w14:paraId="1F5EE29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16284C1F"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22FD05C0"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5FD24AF9"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21932373"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03848AE3" w14:textId="77777777">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060F20C4" w14:textId="77777777" w:rsidR="00183F07" w:rsidRPr="00352AC9" w:rsidRDefault="00183F07" w:rsidP="00933F91">
            <w:pPr>
              <w:numPr>
                <w:ilvl w:val="0"/>
                <w:numId w:val="70"/>
              </w:numPr>
              <w:tabs>
                <w:tab w:val="num" w:pos="522"/>
              </w:tabs>
              <w:ind w:firstLine="0"/>
              <w:contextualSpacing/>
              <w:jc w:val="both"/>
              <w:rPr>
                <w:rFonts w:ascii="Cambria" w:hAnsi="Cambria" w:cstheme="minorHAnsi"/>
                <w:sz w:val="18"/>
                <w:szCs w:val="18"/>
                <w:lang w:val="es-AR"/>
              </w:rPr>
            </w:pPr>
            <w:r w:rsidRPr="00352AC9">
              <w:rPr>
                <w:rFonts w:ascii="Cambria" w:hAnsi="Cambria" w:cstheme="minorHAnsi"/>
                <w:sz w:val="18"/>
                <w:szCs w:val="18"/>
                <w:lang w:val="es-AR"/>
              </w:rPr>
              <w:t>Petition 2829-02, Report No. 11/19, Inocencio Rodríguez (Argentina)</w:t>
            </w:r>
            <w:r w:rsidRPr="00C57C0F">
              <w:rPr>
                <w:rFonts w:ascii="Cambria" w:hAnsi="Cambria" w:cstheme="minorHAnsi"/>
                <w:sz w:val="18"/>
                <w:szCs w:val="18"/>
                <w:vertAlign w:val="superscript"/>
              </w:rPr>
              <w:footnoteReference w:id="18"/>
            </w:r>
          </w:p>
        </w:tc>
        <w:tc>
          <w:tcPr>
            <w:tcW w:w="1170" w:type="dxa"/>
            <w:vMerge/>
            <w:vAlign w:val="center"/>
          </w:tcPr>
          <w:p w14:paraId="0D68A7BE" w14:textId="77777777" w:rsidR="00183F07" w:rsidRPr="00352AC9" w:rsidRDefault="00183F07">
            <w:pPr>
              <w:jc w:val="center"/>
              <w:rPr>
                <w:rFonts w:ascii="Cambria" w:hAnsi="Cambria" w:cstheme="minorHAnsi"/>
                <w:sz w:val="18"/>
                <w:szCs w:val="18"/>
                <w:lang w:val="es-AR"/>
              </w:rPr>
            </w:pPr>
          </w:p>
        </w:tc>
        <w:tc>
          <w:tcPr>
            <w:tcW w:w="1350" w:type="dxa"/>
            <w:vAlign w:val="center"/>
          </w:tcPr>
          <w:p w14:paraId="02F7E1C5"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A9CE973"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70B4EB65"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67B773F4"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03E857FF"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016F32BD" w14:textId="77777777">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0ED0D141" w14:textId="77777777" w:rsidR="00183F07" w:rsidRPr="00C57C0F" w:rsidRDefault="00183F07" w:rsidP="00933F91">
            <w:pPr>
              <w:numPr>
                <w:ilvl w:val="0"/>
                <w:numId w:val="70"/>
              </w:numPr>
              <w:tabs>
                <w:tab w:val="num" w:pos="522"/>
              </w:tabs>
              <w:ind w:firstLine="0"/>
              <w:contextualSpacing/>
              <w:jc w:val="both"/>
              <w:rPr>
                <w:rFonts w:ascii="Cambria" w:hAnsi="Cambria" w:cstheme="minorHAnsi"/>
                <w:sz w:val="18"/>
                <w:szCs w:val="18"/>
              </w:rPr>
            </w:pPr>
            <w:r w:rsidRPr="00C57C0F">
              <w:rPr>
                <w:rFonts w:ascii="Cambria" w:hAnsi="Cambria" w:cstheme="minorHAnsi"/>
                <w:sz w:val="18"/>
                <w:szCs w:val="18"/>
              </w:rPr>
              <w:t>Case 11.708, Report No. 20/11, Anibal Acosta and L. Hirsch (Argentina)</w:t>
            </w:r>
            <w:r w:rsidRPr="00C57C0F">
              <w:rPr>
                <w:rFonts w:ascii="Cambria" w:hAnsi="Cambria" w:cstheme="minorHAnsi"/>
                <w:sz w:val="18"/>
                <w:szCs w:val="18"/>
                <w:vertAlign w:val="superscript"/>
              </w:rPr>
              <w:footnoteReference w:id="19"/>
            </w:r>
          </w:p>
        </w:tc>
        <w:tc>
          <w:tcPr>
            <w:tcW w:w="1170" w:type="dxa"/>
            <w:vMerge/>
            <w:vAlign w:val="center"/>
          </w:tcPr>
          <w:p w14:paraId="7BF85339" w14:textId="77777777" w:rsidR="00183F07" w:rsidRPr="00C57C0F" w:rsidRDefault="00183F07">
            <w:pPr>
              <w:jc w:val="center"/>
              <w:rPr>
                <w:rFonts w:ascii="Cambria" w:hAnsi="Cambria" w:cstheme="minorHAnsi"/>
                <w:sz w:val="18"/>
                <w:szCs w:val="18"/>
              </w:rPr>
            </w:pPr>
          </w:p>
        </w:tc>
        <w:tc>
          <w:tcPr>
            <w:tcW w:w="1350" w:type="dxa"/>
            <w:vAlign w:val="center"/>
          </w:tcPr>
          <w:p w14:paraId="009D9CC9"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9946DDD"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0E477C86"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6780D953"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551E2B4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5AE797C0" w14:textId="77777777">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21FA3E60"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lastRenderedPageBreak/>
              <w:t>Case 11.833, Report No. 21/11, Ricardo Monterisi (Argentina)</w:t>
            </w:r>
            <w:r w:rsidRPr="00C57C0F">
              <w:rPr>
                <w:rFonts w:ascii="Cambria" w:hAnsi="Cambria" w:cstheme="minorHAnsi"/>
                <w:sz w:val="18"/>
                <w:szCs w:val="18"/>
                <w:vertAlign w:val="superscript"/>
              </w:rPr>
              <w:footnoteReference w:id="20"/>
            </w:r>
          </w:p>
        </w:tc>
        <w:tc>
          <w:tcPr>
            <w:tcW w:w="1170" w:type="dxa"/>
            <w:vMerge/>
            <w:vAlign w:val="center"/>
          </w:tcPr>
          <w:p w14:paraId="1837A7D2" w14:textId="77777777" w:rsidR="00183F07" w:rsidRPr="00C57C0F" w:rsidRDefault="00183F07">
            <w:pPr>
              <w:jc w:val="center"/>
              <w:rPr>
                <w:rFonts w:ascii="Cambria" w:hAnsi="Cambria" w:cstheme="minorHAnsi"/>
                <w:sz w:val="18"/>
                <w:szCs w:val="18"/>
              </w:rPr>
            </w:pPr>
          </w:p>
        </w:tc>
        <w:tc>
          <w:tcPr>
            <w:tcW w:w="1350" w:type="dxa"/>
            <w:vAlign w:val="center"/>
          </w:tcPr>
          <w:p w14:paraId="2A2DD215"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AE146F5" w14:textId="77777777" w:rsidR="00183F07" w:rsidRPr="00C57C0F" w:rsidRDefault="00183F07">
            <w:pPr>
              <w:jc w:val="center"/>
              <w:rPr>
                <w:rFonts w:ascii="Cambria" w:hAnsi="Cambria" w:cstheme="minorHAnsi"/>
                <w:sz w:val="18"/>
                <w:szCs w:val="18"/>
              </w:rPr>
            </w:pPr>
          </w:p>
        </w:tc>
        <w:tc>
          <w:tcPr>
            <w:tcW w:w="1170" w:type="dxa"/>
            <w:vAlign w:val="center"/>
          </w:tcPr>
          <w:p w14:paraId="6F6C0698"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1E45F8C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D665C15"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0872BD8B" w14:textId="77777777">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01B57FFD"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12.532, Report No. 84/11, Penitentiaries of Mendoza (Argentina)</w:t>
            </w:r>
          </w:p>
        </w:tc>
        <w:tc>
          <w:tcPr>
            <w:tcW w:w="1170" w:type="dxa"/>
            <w:vMerge/>
            <w:vAlign w:val="center"/>
          </w:tcPr>
          <w:p w14:paraId="2AFBBB38" w14:textId="77777777" w:rsidR="00183F07" w:rsidRPr="00C57C0F" w:rsidRDefault="00183F07">
            <w:pPr>
              <w:jc w:val="center"/>
              <w:rPr>
                <w:rFonts w:ascii="Cambria" w:hAnsi="Cambria" w:cstheme="minorHAnsi"/>
                <w:sz w:val="18"/>
                <w:szCs w:val="18"/>
              </w:rPr>
            </w:pPr>
          </w:p>
        </w:tc>
        <w:tc>
          <w:tcPr>
            <w:tcW w:w="1350" w:type="dxa"/>
            <w:vAlign w:val="center"/>
          </w:tcPr>
          <w:p w14:paraId="164A1091" w14:textId="77777777" w:rsidR="00183F07" w:rsidRPr="00C57C0F" w:rsidRDefault="00183F07">
            <w:pPr>
              <w:jc w:val="center"/>
              <w:rPr>
                <w:rFonts w:ascii="Cambria" w:hAnsi="Cambria" w:cstheme="minorHAnsi"/>
                <w:sz w:val="18"/>
                <w:szCs w:val="18"/>
              </w:rPr>
            </w:pPr>
          </w:p>
        </w:tc>
        <w:tc>
          <w:tcPr>
            <w:tcW w:w="1170" w:type="dxa"/>
            <w:vAlign w:val="center"/>
          </w:tcPr>
          <w:p w14:paraId="326A3E2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0DF2FD7"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7D3B247E" w14:textId="77777777" w:rsidR="00183F07" w:rsidRPr="00C57C0F" w:rsidRDefault="00183F07">
            <w:pPr>
              <w:keepNext/>
              <w:tabs>
                <w:tab w:val="left" w:pos="177"/>
              </w:tabs>
              <w:ind w:left="31"/>
              <w:jc w:val="center"/>
              <w:outlineLvl w:val="2"/>
              <w:rPr>
                <w:rFonts w:ascii="Cambria" w:hAnsi="Cambria" w:cstheme="minorHAnsi"/>
                <w:sz w:val="18"/>
                <w:szCs w:val="18"/>
              </w:rPr>
            </w:pPr>
            <w:r w:rsidRPr="00C57C0F">
              <w:rPr>
                <w:rFonts w:ascii="Cambria" w:hAnsi="Cambria" w:cstheme="minorHAnsi"/>
                <w:sz w:val="18"/>
                <w:szCs w:val="18"/>
              </w:rPr>
              <w:t>73%</w:t>
            </w:r>
          </w:p>
        </w:tc>
        <w:tc>
          <w:tcPr>
            <w:tcW w:w="1260" w:type="dxa"/>
            <w:vAlign w:val="center"/>
          </w:tcPr>
          <w:p w14:paraId="60F3EA5C"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Active</w:t>
            </w:r>
          </w:p>
        </w:tc>
      </w:tr>
      <w:tr w:rsidR="00183F07" w:rsidRPr="00C57C0F" w14:paraId="6073120E" w14:textId="77777777">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34DE231C"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Case 12.306, Report No. 85/11, Juan Carlos de la Torre (Argentina)</w:t>
            </w:r>
          </w:p>
        </w:tc>
        <w:tc>
          <w:tcPr>
            <w:tcW w:w="1170" w:type="dxa"/>
            <w:vMerge/>
            <w:vAlign w:val="center"/>
          </w:tcPr>
          <w:p w14:paraId="48F5CA0E" w14:textId="77777777" w:rsidR="00183F07" w:rsidRPr="00352AC9" w:rsidRDefault="00183F07">
            <w:pPr>
              <w:jc w:val="center"/>
              <w:rPr>
                <w:rFonts w:ascii="Cambria" w:hAnsi="Cambria" w:cstheme="minorHAnsi"/>
                <w:sz w:val="18"/>
                <w:szCs w:val="18"/>
                <w:lang w:val="es-AR"/>
              </w:rPr>
            </w:pPr>
          </w:p>
        </w:tc>
        <w:tc>
          <w:tcPr>
            <w:tcW w:w="1350" w:type="dxa"/>
            <w:vAlign w:val="center"/>
          </w:tcPr>
          <w:p w14:paraId="18554F9C" w14:textId="77777777" w:rsidR="00183F07" w:rsidRPr="00352AC9" w:rsidRDefault="00183F07">
            <w:pPr>
              <w:jc w:val="center"/>
              <w:rPr>
                <w:rFonts w:ascii="Cambria" w:hAnsi="Cambria" w:cstheme="minorHAnsi"/>
                <w:sz w:val="18"/>
                <w:szCs w:val="18"/>
                <w:lang w:val="es-AR"/>
              </w:rPr>
            </w:pPr>
          </w:p>
        </w:tc>
        <w:tc>
          <w:tcPr>
            <w:tcW w:w="1170" w:type="dxa"/>
            <w:vAlign w:val="center"/>
          </w:tcPr>
          <w:p w14:paraId="1BDBC2F4"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8D2D5B8"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2B5DCDD6" w14:textId="77777777" w:rsidR="00183F07" w:rsidRPr="00C57C0F" w:rsidRDefault="00183F07">
            <w:pPr>
              <w:keepNext/>
              <w:tabs>
                <w:tab w:val="left" w:pos="177"/>
              </w:tabs>
              <w:ind w:left="31"/>
              <w:jc w:val="center"/>
              <w:outlineLvl w:val="2"/>
              <w:rPr>
                <w:rFonts w:ascii="Cambria" w:hAnsi="Cambria" w:cstheme="minorHAnsi"/>
                <w:sz w:val="18"/>
                <w:szCs w:val="18"/>
              </w:rPr>
            </w:pPr>
            <w:r w:rsidRPr="00C57C0F">
              <w:rPr>
                <w:rFonts w:ascii="Cambria" w:hAnsi="Cambria" w:cstheme="minorHAnsi"/>
                <w:sz w:val="18"/>
                <w:szCs w:val="18"/>
              </w:rPr>
              <w:t>33%</w:t>
            </w:r>
          </w:p>
        </w:tc>
        <w:tc>
          <w:tcPr>
            <w:tcW w:w="1260" w:type="dxa"/>
            <w:vAlign w:val="center"/>
          </w:tcPr>
          <w:p w14:paraId="48AE43FD"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Active</w:t>
            </w:r>
          </w:p>
        </w:tc>
      </w:tr>
      <w:tr w:rsidR="00183F07" w:rsidRPr="00C57C0F" w14:paraId="37A876A1" w14:textId="77777777">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3988986D"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11.670, Report No. 168/11, Menéndez and Caride (Argentina)</w:t>
            </w:r>
            <w:r w:rsidRPr="00C57C0F">
              <w:rPr>
                <w:rFonts w:ascii="Cambria" w:hAnsi="Cambria" w:cstheme="minorHAnsi"/>
                <w:sz w:val="18"/>
                <w:szCs w:val="18"/>
                <w:vertAlign w:val="superscript"/>
              </w:rPr>
              <w:footnoteReference w:id="21"/>
            </w:r>
          </w:p>
        </w:tc>
        <w:tc>
          <w:tcPr>
            <w:tcW w:w="1170" w:type="dxa"/>
            <w:vMerge/>
            <w:vAlign w:val="center"/>
          </w:tcPr>
          <w:p w14:paraId="484C524F" w14:textId="77777777" w:rsidR="00183F07" w:rsidRPr="00C57C0F" w:rsidRDefault="00183F07">
            <w:pPr>
              <w:jc w:val="center"/>
              <w:rPr>
                <w:rFonts w:ascii="Cambria" w:hAnsi="Cambria" w:cstheme="minorHAnsi"/>
                <w:sz w:val="18"/>
                <w:szCs w:val="18"/>
              </w:rPr>
            </w:pPr>
          </w:p>
        </w:tc>
        <w:tc>
          <w:tcPr>
            <w:tcW w:w="1350" w:type="dxa"/>
            <w:vAlign w:val="center"/>
          </w:tcPr>
          <w:p w14:paraId="32FE69D5"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52ECEA4" w14:textId="77777777" w:rsidR="00183F07" w:rsidRPr="00C57C0F" w:rsidRDefault="00183F07">
            <w:pPr>
              <w:jc w:val="center"/>
              <w:rPr>
                <w:rFonts w:ascii="Cambria" w:hAnsi="Cambria" w:cstheme="minorHAnsi"/>
                <w:sz w:val="18"/>
                <w:szCs w:val="18"/>
              </w:rPr>
            </w:pPr>
          </w:p>
        </w:tc>
        <w:tc>
          <w:tcPr>
            <w:tcW w:w="1170" w:type="dxa"/>
            <w:vAlign w:val="center"/>
          </w:tcPr>
          <w:p w14:paraId="4FBA679B"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3D259314" w14:textId="77777777" w:rsidR="00183F07" w:rsidRPr="00C57C0F" w:rsidRDefault="00183F07">
            <w:pPr>
              <w:keepNext/>
              <w:tabs>
                <w:tab w:val="left" w:pos="177"/>
              </w:tabs>
              <w:ind w:left="31"/>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65884413"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5108A43C" w14:textId="77777777">
        <w:trPr>
          <w:cnfStyle w:val="000000100000" w:firstRow="0" w:lastRow="0" w:firstColumn="0" w:lastColumn="0" w:oddVBand="0" w:evenVBand="0" w:oddHBand="1" w:evenHBand="0" w:firstRowFirstColumn="0" w:firstRowLastColumn="0" w:lastRowFirstColumn="0" w:lastRowLastColumn="0"/>
          <w:trHeight w:val="1035"/>
          <w:jc w:val="center"/>
        </w:trPr>
        <w:tc>
          <w:tcPr>
            <w:tcW w:w="1620" w:type="dxa"/>
            <w:vAlign w:val="center"/>
          </w:tcPr>
          <w:p w14:paraId="54DBBD47"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12.182, Report No. 109/13, Florentino Rojas (Argentina)</w:t>
            </w:r>
          </w:p>
        </w:tc>
        <w:tc>
          <w:tcPr>
            <w:tcW w:w="1170" w:type="dxa"/>
            <w:vMerge/>
            <w:vAlign w:val="center"/>
          </w:tcPr>
          <w:p w14:paraId="0CF92EE1" w14:textId="77777777" w:rsidR="00183F07" w:rsidRPr="00C57C0F" w:rsidRDefault="00183F07">
            <w:pPr>
              <w:jc w:val="center"/>
              <w:rPr>
                <w:rFonts w:ascii="Cambria" w:hAnsi="Cambria" w:cstheme="minorHAnsi"/>
                <w:sz w:val="18"/>
                <w:szCs w:val="18"/>
              </w:rPr>
            </w:pPr>
          </w:p>
        </w:tc>
        <w:tc>
          <w:tcPr>
            <w:tcW w:w="1350" w:type="dxa"/>
            <w:vAlign w:val="center"/>
          </w:tcPr>
          <w:p w14:paraId="4E88184C"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5618FC0B" w14:textId="77777777" w:rsidR="00183F07" w:rsidRPr="00C57C0F" w:rsidRDefault="00183F07">
            <w:pPr>
              <w:jc w:val="center"/>
              <w:rPr>
                <w:rFonts w:ascii="Cambria" w:hAnsi="Cambria" w:cstheme="minorHAnsi"/>
                <w:sz w:val="18"/>
                <w:szCs w:val="18"/>
              </w:rPr>
            </w:pPr>
          </w:p>
        </w:tc>
        <w:tc>
          <w:tcPr>
            <w:tcW w:w="1170" w:type="dxa"/>
            <w:vAlign w:val="center"/>
          </w:tcPr>
          <w:p w14:paraId="178A0312"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24A4918C" w14:textId="77777777" w:rsidR="00183F07" w:rsidRPr="00C57C0F" w:rsidRDefault="00183F07">
            <w:pPr>
              <w:keepNext/>
              <w:tabs>
                <w:tab w:val="left" w:pos="177"/>
              </w:tabs>
              <w:ind w:left="31"/>
              <w:jc w:val="center"/>
              <w:outlineLvl w:val="2"/>
              <w:rPr>
                <w:rFonts w:ascii="Cambria" w:hAnsi="Cambria" w:cstheme="minorHAnsi"/>
                <w:sz w:val="18"/>
                <w:szCs w:val="18"/>
              </w:rPr>
            </w:pPr>
            <w:r w:rsidRPr="00C57C0F">
              <w:rPr>
                <w:rFonts w:ascii="Cambria" w:hAnsi="Cambria" w:cs="Arial"/>
                <w:sz w:val="18"/>
                <w:szCs w:val="18"/>
              </w:rPr>
              <w:t>100%</w:t>
            </w:r>
          </w:p>
        </w:tc>
        <w:tc>
          <w:tcPr>
            <w:tcW w:w="1260" w:type="dxa"/>
            <w:vAlign w:val="center"/>
          </w:tcPr>
          <w:p w14:paraId="587070B0" w14:textId="77777777" w:rsidR="00183F07" w:rsidRPr="00C57C0F" w:rsidRDefault="00183F07">
            <w:pPr>
              <w:keepNext/>
              <w:jc w:val="center"/>
              <w:outlineLvl w:val="2"/>
              <w:rPr>
                <w:rFonts w:ascii="Cambria" w:hAnsi="Cambria" w:cs="Arial"/>
                <w:sz w:val="18"/>
                <w:szCs w:val="18"/>
              </w:rPr>
            </w:pPr>
            <w:r w:rsidRPr="00C57C0F">
              <w:rPr>
                <w:rFonts w:ascii="Cambria" w:hAnsi="Cambria" w:cs="Arial"/>
                <w:sz w:val="18"/>
                <w:szCs w:val="18"/>
              </w:rPr>
              <w:t xml:space="preserve">Closed </w:t>
            </w:r>
          </w:p>
          <w:p w14:paraId="6C9FFF0E" w14:textId="77777777" w:rsidR="00183F07" w:rsidRPr="00C57C0F" w:rsidRDefault="00183F07">
            <w:pPr>
              <w:keepNext/>
              <w:jc w:val="center"/>
              <w:outlineLvl w:val="2"/>
              <w:rPr>
                <w:rFonts w:ascii="Cambria" w:hAnsi="Cambria" w:cstheme="minorHAnsi"/>
                <w:sz w:val="18"/>
                <w:szCs w:val="18"/>
              </w:rPr>
            </w:pPr>
            <w:r w:rsidRPr="00C57C0F">
              <w:rPr>
                <w:rFonts w:ascii="Cambria" w:hAnsi="Cambria" w:cs="Arial"/>
                <w:sz w:val="18"/>
                <w:szCs w:val="18"/>
              </w:rPr>
              <w:t>2022</w:t>
            </w:r>
          </w:p>
        </w:tc>
      </w:tr>
      <w:tr w:rsidR="00183F07" w:rsidRPr="00C57C0F" w14:paraId="38C4D3B5" w14:textId="77777777">
        <w:trPr>
          <w:cnfStyle w:val="000000010000" w:firstRow="0" w:lastRow="0" w:firstColumn="0" w:lastColumn="0" w:oddVBand="0" w:evenVBand="0" w:oddHBand="0" w:evenHBand="1" w:firstRowFirstColumn="0" w:firstRowLastColumn="0" w:lastRowFirstColumn="0" w:lastRowLastColumn="0"/>
          <w:trHeight w:val="1035"/>
          <w:jc w:val="center"/>
        </w:trPr>
        <w:tc>
          <w:tcPr>
            <w:tcW w:w="1620" w:type="dxa"/>
            <w:vAlign w:val="center"/>
          </w:tcPr>
          <w:p w14:paraId="53917E38"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352AC9">
              <w:rPr>
                <w:rFonts w:ascii="Cambria" w:hAnsi="Cambria" w:cstheme="minorHAnsi"/>
                <w:sz w:val="18"/>
                <w:szCs w:val="18"/>
                <w:lang w:val="es-AR"/>
              </w:rPr>
              <w:t xml:space="preserve">Petition 21-05, Report No. 101/14, Ignacio Cardozo et al. </w:t>
            </w:r>
            <w:r w:rsidRPr="00C57C0F">
              <w:rPr>
                <w:rFonts w:ascii="Cambria" w:hAnsi="Cambria" w:cstheme="minorHAnsi"/>
                <w:sz w:val="18"/>
                <w:szCs w:val="18"/>
              </w:rPr>
              <w:t>(Argentina)</w:t>
            </w:r>
          </w:p>
        </w:tc>
        <w:tc>
          <w:tcPr>
            <w:tcW w:w="1170" w:type="dxa"/>
            <w:vMerge/>
            <w:vAlign w:val="center"/>
          </w:tcPr>
          <w:p w14:paraId="0FA3FDD1" w14:textId="77777777" w:rsidR="00183F07" w:rsidRPr="00C57C0F" w:rsidRDefault="00183F07">
            <w:pPr>
              <w:jc w:val="center"/>
              <w:rPr>
                <w:rFonts w:ascii="Cambria" w:hAnsi="Cambria" w:cstheme="minorHAnsi"/>
                <w:sz w:val="18"/>
                <w:szCs w:val="18"/>
              </w:rPr>
            </w:pPr>
          </w:p>
        </w:tc>
        <w:tc>
          <w:tcPr>
            <w:tcW w:w="1350" w:type="dxa"/>
            <w:vAlign w:val="center"/>
          </w:tcPr>
          <w:p w14:paraId="214CFBBE" w14:textId="77777777" w:rsidR="00183F07" w:rsidRPr="00C57C0F" w:rsidRDefault="00183F07">
            <w:pPr>
              <w:jc w:val="center"/>
              <w:rPr>
                <w:rFonts w:ascii="Cambria" w:hAnsi="Cambria" w:cstheme="minorHAnsi"/>
                <w:sz w:val="18"/>
                <w:szCs w:val="18"/>
              </w:rPr>
            </w:pPr>
          </w:p>
        </w:tc>
        <w:tc>
          <w:tcPr>
            <w:tcW w:w="1170" w:type="dxa"/>
            <w:vAlign w:val="center"/>
          </w:tcPr>
          <w:p w14:paraId="21626012"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60C6748"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34E31FB5" w14:textId="77777777" w:rsidR="00183F07" w:rsidRPr="00C57C0F" w:rsidRDefault="00183F07">
            <w:pPr>
              <w:keepNext/>
              <w:tabs>
                <w:tab w:val="left" w:pos="177"/>
              </w:tabs>
              <w:ind w:left="31"/>
              <w:jc w:val="center"/>
              <w:outlineLvl w:val="2"/>
              <w:rPr>
                <w:rFonts w:ascii="Cambria" w:hAnsi="Cambria" w:cstheme="minorHAnsi"/>
                <w:sz w:val="18"/>
                <w:szCs w:val="18"/>
              </w:rPr>
            </w:pPr>
            <w:r w:rsidRPr="00C57C0F">
              <w:rPr>
                <w:rFonts w:ascii="Cambria" w:hAnsi="Cambria" w:cstheme="minorHAnsi"/>
                <w:sz w:val="18"/>
                <w:szCs w:val="18"/>
              </w:rPr>
              <w:t>20%</w:t>
            </w:r>
          </w:p>
        </w:tc>
        <w:tc>
          <w:tcPr>
            <w:tcW w:w="1260" w:type="dxa"/>
            <w:vAlign w:val="center"/>
          </w:tcPr>
          <w:p w14:paraId="08442179"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Active</w:t>
            </w:r>
          </w:p>
        </w:tc>
      </w:tr>
      <w:tr w:rsidR="00183F07" w:rsidRPr="00C57C0F" w14:paraId="7BEF8C9B" w14:textId="77777777">
        <w:trPr>
          <w:cnfStyle w:val="000000100000" w:firstRow="0" w:lastRow="0" w:firstColumn="0" w:lastColumn="0" w:oddVBand="0" w:evenVBand="0" w:oddHBand="1" w:evenHBand="0" w:firstRowFirstColumn="0" w:firstRowLastColumn="0" w:lastRowFirstColumn="0" w:lastRowLastColumn="0"/>
          <w:trHeight w:val="1386"/>
          <w:jc w:val="center"/>
        </w:trPr>
        <w:tc>
          <w:tcPr>
            <w:tcW w:w="1620" w:type="dxa"/>
            <w:vAlign w:val="center"/>
          </w:tcPr>
          <w:p w14:paraId="71FA9BCB"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pt-BR"/>
              </w:rPr>
            </w:pPr>
            <w:r w:rsidRPr="00352AC9">
              <w:rPr>
                <w:rFonts w:ascii="Cambria" w:hAnsi="Cambria" w:cstheme="minorHAnsi"/>
                <w:sz w:val="18"/>
                <w:szCs w:val="18"/>
                <w:lang w:val="pt-BR"/>
              </w:rPr>
              <w:t>Case 12.710, Report No. 102/14, Marcos Gilberto Chaves and Sandra Beatriz Chaves (Argentina)</w:t>
            </w:r>
            <w:r w:rsidRPr="00352AC9">
              <w:rPr>
                <w:rFonts w:ascii="Cambria" w:hAnsi="Cambria" w:cstheme="minorHAnsi"/>
                <w:sz w:val="18"/>
                <w:szCs w:val="18"/>
                <w:vertAlign w:val="superscript"/>
                <w:lang w:val="pt-BR"/>
              </w:rPr>
              <w:t xml:space="preserve"> </w:t>
            </w:r>
            <w:r w:rsidRPr="00C57C0F">
              <w:rPr>
                <w:rFonts w:ascii="Cambria" w:hAnsi="Cambria" w:cstheme="minorHAnsi"/>
                <w:sz w:val="18"/>
                <w:szCs w:val="18"/>
                <w:vertAlign w:val="superscript"/>
              </w:rPr>
              <w:footnoteReference w:id="22"/>
            </w:r>
          </w:p>
        </w:tc>
        <w:tc>
          <w:tcPr>
            <w:tcW w:w="1170" w:type="dxa"/>
            <w:vMerge/>
            <w:vAlign w:val="center"/>
          </w:tcPr>
          <w:p w14:paraId="3637C12B" w14:textId="77777777" w:rsidR="00183F07" w:rsidRPr="00352AC9" w:rsidRDefault="00183F07">
            <w:pPr>
              <w:jc w:val="center"/>
              <w:rPr>
                <w:rFonts w:ascii="Cambria" w:hAnsi="Cambria" w:cstheme="minorHAnsi"/>
                <w:sz w:val="18"/>
                <w:szCs w:val="18"/>
                <w:lang w:val="pt-BR"/>
              </w:rPr>
            </w:pPr>
          </w:p>
        </w:tc>
        <w:tc>
          <w:tcPr>
            <w:tcW w:w="1350" w:type="dxa"/>
            <w:vAlign w:val="center"/>
          </w:tcPr>
          <w:p w14:paraId="13FA635E"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7C2D156" w14:textId="77777777" w:rsidR="00183F07" w:rsidRPr="00C57C0F" w:rsidRDefault="00183F07">
            <w:pPr>
              <w:jc w:val="center"/>
              <w:rPr>
                <w:rFonts w:ascii="Cambria" w:hAnsi="Cambria" w:cstheme="minorHAnsi"/>
                <w:sz w:val="18"/>
                <w:szCs w:val="18"/>
              </w:rPr>
            </w:pPr>
          </w:p>
        </w:tc>
        <w:tc>
          <w:tcPr>
            <w:tcW w:w="1170" w:type="dxa"/>
            <w:vAlign w:val="center"/>
          </w:tcPr>
          <w:p w14:paraId="57E58EF5"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1CAA281F" w14:textId="77777777" w:rsidR="00183F07" w:rsidRPr="00C57C0F" w:rsidRDefault="00183F07">
            <w:pPr>
              <w:keepNext/>
              <w:tabs>
                <w:tab w:val="left" w:pos="177"/>
              </w:tabs>
              <w:ind w:left="31"/>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46D1DBF1"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2F09EAB1" w14:textId="77777777">
        <w:trPr>
          <w:cnfStyle w:val="000000010000" w:firstRow="0" w:lastRow="0" w:firstColumn="0" w:lastColumn="0" w:oddVBand="0" w:evenVBand="0" w:oddHBand="0" w:evenHBand="1" w:firstRowFirstColumn="0" w:firstRowLastColumn="0" w:lastRowFirstColumn="0" w:lastRowLastColumn="0"/>
          <w:trHeight w:val="756"/>
          <w:jc w:val="center"/>
        </w:trPr>
        <w:tc>
          <w:tcPr>
            <w:tcW w:w="1620" w:type="dxa"/>
            <w:vAlign w:val="center"/>
          </w:tcPr>
          <w:p w14:paraId="2FF21144"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12.854, Report No. 36/17, Ricardo Javier Kaplun (Argentina)</w:t>
            </w:r>
          </w:p>
        </w:tc>
        <w:tc>
          <w:tcPr>
            <w:tcW w:w="1170" w:type="dxa"/>
            <w:vMerge/>
            <w:vAlign w:val="center"/>
          </w:tcPr>
          <w:p w14:paraId="748D3A63" w14:textId="77777777" w:rsidR="00183F07" w:rsidRPr="00C57C0F" w:rsidRDefault="00183F07">
            <w:pPr>
              <w:jc w:val="center"/>
              <w:rPr>
                <w:rFonts w:ascii="Cambria" w:hAnsi="Cambria" w:cstheme="minorHAnsi"/>
                <w:sz w:val="18"/>
                <w:szCs w:val="18"/>
              </w:rPr>
            </w:pPr>
          </w:p>
        </w:tc>
        <w:tc>
          <w:tcPr>
            <w:tcW w:w="1350" w:type="dxa"/>
            <w:vAlign w:val="center"/>
          </w:tcPr>
          <w:p w14:paraId="6905DC40" w14:textId="77777777" w:rsidR="00183F07" w:rsidRPr="00C57C0F" w:rsidRDefault="00183F07">
            <w:pPr>
              <w:jc w:val="center"/>
              <w:rPr>
                <w:rFonts w:ascii="Cambria" w:hAnsi="Cambria" w:cstheme="minorHAnsi"/>
                <w:sz w:val="18"/>
                <w:szCs w:val="18"/>
              </w:rPr>
            </w:pPr>
          </w:p>
        </w:tc>
        <w:tc>
          <w:tcPr>
            <w:tcW w:w="1170" w:type="dxa"/>
            <w:vAlign w:val="center"/>
          </w:tcPr>
          <w:p w14:paraId="20DF7FD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938D105"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53B78C33" w14:textId="77777777" w:rsidR="00183F07" w:rsidRPr="00C57C0F" w:rsidRDefault="00183F07">
            <w:pPr>
              <w:keepNext/>
              <w:tabs>
                <w:tab w:val="left" w:pos="177"/>
              </w:tabs>
              <w:ind w:left="31"/>
              <w:jc w:val="center"/>
              <w:outlineLvl w:val="2"/>
              <w:rPr>
                <w:rFonts w:ascii="Cambria" w:hAnsi="Cambria" w:cstheme="minorHAnsi"/>
                <w:sz w:val="18"/>
                <w:szCs w:val="18"/>
              </w:rPr>
            </w:pPr>
            <w:r w:rsidRPr="00C57C0F">
              <w:rPr>
                <w:rFonts w:ascii="Cambria" w:hAnsi="Cambria" w:cstheme="minorHAnsi"/>
                <w:sz w:val="18"/>
                <w:szCs w:val="18"/>
              </w:rPr>
              <w:t>40%</w:t>
            </w:r>
          </w:p>
        </w:tc>
        <w:tc>
          <w:tcPr>
            <w:tcW w:w="1260" w:type="dxa"/>
            <w:vAlign w:val="center"/>
          </w:tcPr>
          <w:p w14:paraId="438A6322"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Active</w:t>
            </w:r>
          </w:p>
        </w:tc>
      </w:tr>
      <w:tr w:rsidR="00183F07" w:rsidRPr="00C57C0F" w14:paraId="4852B832" w14:textId="77777777">
        <w:trPr>
          <w:cnfStyle w:val="000000100000" w:firstRow="0" w:lastRow="0" w:firstColumn="0" w:lastColumn="0" w:oddVBand="0" w:evenVBand="0" w:oddHBand="1" w:evenHBand="0" w:firstRowFirstColumn="0" w:firstRowLastColumn="0" w:lastRowFirstColumn="0" w:lastRowLastColumn="0"/>
          <w:trHeight w:val="1053"/>
          <w:jc w:val="center"/>
        </w:trPr>
        <w:tc>
          <w:tcPr>
            <w:tcW w:w="1620" w:type="dxa"/>
            <w:vAlign w:val="center"/>
          </w:tcPr>
          <w:p w14:paraId="2A7D4BE3"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lastRenderedPageBreak/>
              <w:t>Case 13.011, Report No. 197/20, Graciela Ramos Rocha, and family (Argentina)</w:t>
            </w:r>
            <w:r w:rsidRPr="00C57C0F">
              <w:rPr>
                <w:rStyle w:val="FootnoteReference"/>
                <w:rFonts w:ascii="Cambria" w:hAnsi="Cambria" w:cstheme="minorHAnsi"/>
                <w:sz w:val="18"/>
                <w:szCs w:val="18"/>
              </w:rPr>
              <w:t xml:space="preserve"> </w:t>
            </w:r>
            <w:r w:rsidRPr="00C57C0F">
              <w:rPr>
                <w:rStyle w:val="FootnoteReference"/>
                <w:rFonts w:ascii="Cambria" w:hAnsi="Cambria" w:cstheme="minorHAnsi"/>
                <w:sz w:val="18"/>
                <w:szCs w:val="18"/>
              </w:rPr>
              <w:footnoteReference w:id="23"/>
            </w:r>
          </w:p>
        </w:tc>
        <w:tc>
          <w:tcPr>
            <w:tcW w:w="1170" w:type="dxa"/>
            <w:vMerge/>
            <w:vAlign w:val="center"/>
          </w:tcPr>
          <w:p w14:paraId="23D51729" w14:textId="77777777" w:rsidR="00183F07" w:rsidRPr="00C57C0F" w:rsidRDefault="00183F07">
            <w:pPr>
              <w:jc w:val="center"/>
              <w:rPr>
                <w:rFonts w:ascii="Cambria" w:hAnsi="Cambria" w:cstheme="minorHAnsi"/>
                <w:sz w:val="18"/>
                <w:szCs w:val="18"/>
              </w:rPr>
            </w:pPr>
          </w:p>
        </w:tc>
        <w:tc>
          <w:tcPr>
            <w:tcW w:w="1350" w:type="dxa"/>
            <w:vAlign w:val="center"/>
          </w:tcPr>
          <w:p w14:paraId="40E6559D"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F6F3A14" w14:textId="77777777" w:rsidR="00183F07" w:rsidRPr="00C57C0F" w:rsidRDefault="00183F07">
            <w:pPr>
              <w:jc w:val="center"/>
              <w:rPr>
                <w:rFonts w:ascii="Cambria" w:hAnsi="Cambria" w:cstheme="minorHAnsi"/>
                <w:sz w:val="18"/>
                <w:szCs w:val="18"/>
              </w:rPr>
            </w:pPr>
          </w:p>
        </w:tc>
        <w:tc>
          <w:tcPr>
            <w:tcW w:w="1170" w:type="dxa"/>
            <w:vAlign w:val="center"/>
          </w:tcPr>
          <w:p w14:paraId="49140D7F"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2156A11F" w14:textId="77777777" w:rsidR="00183F07" w:rsidRPr="00C57C0F" w:rsidRDefault="00183F07">
            <w:pPr>
              <w:keepNext/>
              <w:tabs>
                <w:tab w:val="left" w:pos="177"/>
              </w:tabs>
              <w:ind w:left="31"/>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136FEFE4"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63B37FCF" w14:textId="77777777">
        <w:trPr>
          <w:cnfStyle w:val="000000010000" w:firstRow="0" w:lastRow="0" w:firstColumn="0" w:lastColumn="0" w:oddVBand="0" w:evenVBand="0" w:oddHBand="0" w:evenHBand="1" w:firstRowFirstColumn="0" w:firstRowLastColumn="0" w:lastRowFirstColumn="0" w:lastRowLastColumn="0"/>
          <w:trHeight w:val="972"/>
          <w:jc w:val="center"/>
        </w:trPr>
        <w:tc>
          <w:tcPr>
            <w:tcW w:w="1620" w:type="dxa"/>
            <w:vAlign w:val="center"/>
          </w:tcPr>
          <w:p w14:paraId="2871431D"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 xml:space="preserve">Petition 245-03, Report No. 39/21, </w:t>
            </w:r>
            <w:r w:rsidRPr="00C57C0F">
              <w:rPr>
                <w:rFonts w:ascii="Cambria" w:hAnsi="Cambria" w:cs="Arial"/>
                <w:sz w:val="18"/>
                <w:szCs w:val="18"/>
              </w:rPr>
              <w:t>Walter Mauro Yañez (Argentina)</w:t>
            </w:r>
            <w:r w:rsidRPr="00C57C0F">
              <w:rPr>
                <w:rStyle w:val="FootnoteReference"/>
                <w:rFonts w:ascii="Cambria" w:hAnsi="Cambria" w:cs="Arial"/>
                <w:sz w:val="18"/>
                <w:szCs w:val="18"/>
              </w:rPr>
              <w:footnoteReference w:id="24"/>
            </w:r>
          </w:p>
        </w:tc>
        <w:tc>
          <w:tcPr>
            <w:tcW w:w="1170" w:type="dxa"/>
            <w:vMerge/>
            <w:vAlign w:val="center"/>
          </w:tcPr>
          <w:p w14:paraId="1C28670F" w14:textId="77777777" w:rsidR="00183F07" w:rsidRPr="00C57C0F" w:rsidRDefault="00183F07">
            <w:pPr>
              <w:jc w:val="center"/>
              <w:rPr>
                <w:rFonts w:ascii="Cambria" w:hAnsi="Cambria" w:cstheme="minorHAnsi"/>
                <w:sz w:val="18"/>
                <w:szCs w:val="18"/>
              </w:rPr>
            </w:pPr>
          </w:p>
        </w:tc>
        <w:tc>
          <w:tcPr>
            <w:tcW w:w="1350" w:type="dxa"/>
            <w:vAlign w:val="center"/>
          </w:tcPr>
          <w:p w14:paraId="550674C7"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rPr>
              <w:t>X</w:t>
            </w:r>
          </w:p>
        </w:tc>
        <w:tc>
          <w:tcPr>
            <w:tcW w:w="1170" w:type="dxa"/>
            <w:vAlign w:val="center"/>
          </w:tcPr>
          <w:p w14:paraId="73BAD753" w14:textId="77777777" w:rsidR="00183F07" w:rsidRPr="00C57C0F" w:rsidRDefault="00183F07">
            <w:pPr>
              <w:jc w:val="center"/>
              <w:rPr>
                <w:rFonts w:ascii="Cambria" w:hAnsi="Cambria" w:cstheme="minorHAnsi"/>
                <w:sz w:val="18"/>
                <w:szCs w:val="18"/>
              </w:rPr>
            </w:pPr>
          </w:p>
        </w:tc>
        <w:tc>
          <w:tcPr>
            <w:tcW w:w="1170" w:type="dxa"/>
            <w:vAlign w:val="center"/>
          </w:tcPr>
          <w:p w14:paraId="61E36D9B"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6CF0C738" w14:textId="77777777" w:rsidR="00183F07" w:rsidRPr="00C57C0F" w:rsidRDefault="00183F07">
            <w:pPr>
              <w:keepNext/>
              <w:tabs>
                <w:tab w:val="left" w:pos="177"/>
              </w:tabs>
              <w:ind w:left="31"/>
              <w:jc w:val="center"/>
              <w:outlineLvl w:val="2"/>
              <w:rPr>
                <w:rFonts w:ascii="Cambria" w:hAnsi="Cambria" w:cstheme="minorHAnsi"/>
                <w:sz w:val="18"/>
                <w:szCs w:val="18"/>
              </w:rPr>
            </w:pPr>
            <w:r w:rsidRPr="00C57C0F">
              <w:rPr>
                <w:rFonts w:ascii="Cambria" w:hAnsi="Cambria" w:cs="Arial"/>
                <w:sz w:val="18"/>
                <w:szCs w:val="18"/>
              </w:rPr>
              <w:t>100%</w:t>
            </w:r>
          </w:p>
        </w:tc>
        <w:tc>
          <w:tcPr>
            <w:tcW w:w="1260" w:type="dxa"/>
            <w:vAlign w:val="center"/>
          </w:tcPr>
          <w:p w14:paraId="6C17AF78" w14:textId="77777777" w:rsidR="00183F07" w:rsidRPr="00C57C0F" w:rsidRDefault="00183F07">
            <w:pPr>
              <w:keepNext/>
              <w:jc w:val="center"/>
              <w:outlineLvl w:val="2"/>
              <w:rPr>
                <w:rFonts w:ascii="Cambria" w:hAnsi="Cambria" w:cstheme="minorHAnsi"/>
                <w:sz w:val="18"/>
                <w:szCs w:val="18"/>
              </w:rPr>
            </w:pPr>
            <w:r w:rsidRPr="00C57C0F">
              <w:rPr>
                <w:rFonts w:ascii="Cambria" w:hAnsi="Cambria" w:cs="Arial"/>
                <w:sz w:val="18"/>
                <w:szCs w:val="18"/>
              </w:rPr>
              <w:t>Closed</w:t>
            </w:r>
          </w:p>
        </w:tc>
      </w:tr>
      <w:tr w:rsidR="00183F07" w:rsidRPr="00C57C0F" w14:paraId="3CEEC7C8" w14:textId="77777777">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783B13B8"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 xml:space="preserve">Case 13.595, Report No. 207/21, </w:t>
            </w:r>
            <w:r w:rsidRPr="00C57C0F">
              <w:rPr>
                <w:rFonts w:ascii="Cambria" w:hAnsi="Cambria" w:cs="Arial"/>
                <w:sz w:val="18"/>
                <w:szCs w:val="18"/>
              </w:rPr>
              <w:t>Amanda Graciela Encaje and Family (Argentina)</w:t>
            </w:r>
          </w:p>
        </w:tc>
        <w:tc>
          <w:tcPr>
            <w:tcW w:w="1170" w:type="dxa"/>
            <w:vMerge/>
            <w:vAlign w:val="center"/>
          </w:tcPr>
          <w:p w14:paraId="0D706CCA" w14:textId="77777777" w:rsidR="00183F07" w:rsidRPr="00C57C0F" w:rsidRDefault="00183F07">
            <w:pPr>
              <w:jc w:val="center"/>
              <w:rPr>
                <w:rFonts w:ascii="Cambria" w:hAnsi="Cambria" w:cstheme="minorHAnsi"/>
                <w:sz w:val="18"/>
                <w:szCs w:val="18"/>
              </w:rPr>
            </w:pPr>
          </w:p>
        </w:tc>
        <w:tc>
          <w:tcPr>
            <w:tcW w:w="1350" w:type="dxa"/>
            <w:vAlign w:val="center"/>
          </w:tcPr>
          <w:p w14:paraId="2D0A2713" w14:textId="77777777" w:rsidR="00183F07" w:rsidRPr="00C57C0F" w:rsidRDefault="00183F07">
            <w:pPr>
              <w:jc w:val="center"/>
              <w:rPr>
                <w:rFonts w:ascii="Cambria" w:hAnsi="Cambria" w:cstheme="minorHAnsi"/>
                <w:sz w:val="18"/>
                <w:szCs w:val="18"/>
              </w:rPr>
            </w:pPr>
          </w:p>
        </w:tc>
        <w:tc>
          <w:tcPr>
            <w:tcW w:w="1170" w:type="dxa"/>
            <w:vAlign w:val="center"/>
          </w:tcPr>
          <w:p w14:paraId="7989C563"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rPr>
              <w:t>X</w:t>
            </w:r>
          </w:p>
        </w:tc>
        <w:tc>
          <w:tcPr>
            <w:tcW w:w="1170" w:type="dxa"/>
            <w:vAlign w:val="center"/>
          </w:tcPr>
          <w:p w14:paraId="35665DBA"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33267EAA" w14:textId="77777777" w:rsidR="00183F07" w:rsidRPr="00C57C0F" w:rsidRDefault="00183F07">
            <w:pPr>
              <w:keepNext/>
              <w:tabs>
                <w:tab w:val="left" w:pos="177"/>
              </w:tabs>
              <w:ind w:left="31"/>
              <w:jc w:val="center"/>
              <w:outlineLvl w:val="2"/>
              <w:rPr>
                <w:rFonts w:ascii="Cambria" w:hAnsi="Cambria" w:cstheme="minorHAnsi"/>
                <w:sz w:val="18"/>
                <w:szCs w:val="18"/>
              </w:rPr>
            </w:pPr>
            <w:r w:rsidRPr="00C57C0F">
              <w:rPr>
                <w:rFonts w:ascii="Cambria" w:hAnsi="Cambria" w:cs="Arial"/>
                <w:sz w:val="18"/>
                <w:szCs w:val="18"/>
              </w:rPr>
              <w:t>71%</w:t>
            </w:r>
          </w:p>
        </w:tc>
        <w:tc>
          <w:tcPr>
            <w:tcW w:w="1260" w:type="dxa"/>
            <w:vAlign w:val="center"/>
          </w:tcPr>
          <w:p w14:paraId="66D60E48" w14:textId="77777777" w:rsidR="00183F07" w:rsidRPr="00C57C0F" w:rsidRDefault="00183F07">
            <w:pPr>
              <w:keepNext/>
              <w:jc w:val="center"/>
              <w:outlineLvl w:val="2"/>
              <w:rPr>
                <w:rFonts w:ascii="Cambria" w:hAnsi="Cambria" w:cs="Arial"/>
                <w:sz w:val="18"/>
                <w:szCs w:val="18"/>
              </w:rPr>
            </w:pPr>
            <w:r w:rsidRPr="00C57C0F">
              <w:rPr>
                <w:rFonts w:ascii="Cambria" w:hAnsi="Cambria" w:cs="Arial"/>
                <w:sz w:val="18"/>
                <w:szCs w:val="18"/>
              </w:rPr>
              <w:t>Active</w:t>
            </w:r>
          </w:p>
        </w:tc>
      </w:tr>
      <w:tr w:rsidR="00183F07" w:rsidRPr="00C57C0F" w14:paraId="3A891099" w14:textId="77777777">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2F732584"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Arial"/>
                <w:sz w:val="18"/>
                <w:szCs w:val="18"/>
              </w:rPr>
              <w:t>Case 12.289, Report No. 168/2022, Guillermo Santiago Zaldivar (Argentina)</w:t>
            </w:r>
          </w:p>
        </w:tc>
        <w:tc>
          <w:tcPr>
            <w:tcW w:w="1170" w:type="dxa"/>
            <w:vMerge/>
            <w:vAlign w:val="center"/>
          </w:tcPr>
          <w:p w14:paraId="6F72F4F8" w14:textId="77777777" w:rsidR="00183F07" w:rsidRPr="00C57C0F" w:rsidRDefault="00183F07">
            <w:pPr>
              <w:jc w:val="center"/>
              <w:rPr>
                <w:rFonts w:ascii="Cambria" w:hAnsi="Cambria" w:cstheme="minorHAnsi"/>
                <w:sz w:val="18"/>
                <w:szCs w:val="18"/>
              </w:rPr>
            </w:pPr>
          </w:p>
        </w:tc>
        <w:tc>
          <w:tcPr>
            <w:tcW w:w="1350" w:type="dxa"/>
            <w:vAlign w:val="center"/>
          </w:tcPr>
          <w:p w14:paraId="282CBAE4" w14:textId="77777777" w:rsidR="00183F07" w:rsidRPr="00C57C0F" w:rsidRDefault="00183F07">
            <w:pPr>
              <w:jc w:val="center"/>
              <w:rPr>
                <w:rFonts w:ascii="Cambria" w:hAnsi="Cambria" w:cstheme="minorHAnsi"/>
                <w:sz w:val="18"/>
                <w:szCs w:val="18"/>
              </w:rPr>
            </w:pPr>
          </w:p>
        </w:tc>
        <w:tc>
          <w:tcPr>
            <w:tcW w:w="1170" w:type="dxa"/>
            <w:vAlign w:val="center"/>
          </w:tcPr>
          <w:p w14:paraId="570A8CC7" w14:textId="77777777" w:rsidR="00183F07" w:rsidRPr="00C57C0F" w:rsidRDefault="00183F07">
            <w:pPr>
              <w:jc w:val="center"/>
              <w:rPr>
                <w:rFonts w:ascii="Cambria" w:hAnsi="Cambria" w:cs="Arial"/>
                <w:sz w:val="18"/>
                <w:szCs w:val="18"/>
              </w:rPr>
            </w:pPr>
            <w:r w:rsidRPr="00C57C0F">
              <w:rPr>
                <w:rFonts w:ascii="Cambria" w:hAnsi="Cambria" w:cs="Arial"/>
                <w:sz w:val="18"/>
                <w:szCs w:val="18"/>
                <w:lang w:eastAsia="es-ES_tradnl"/>
              </w:rPr>
              <w:t>X</w:t>
            </w:r>
          </w:p>
        </w:tc>
        <w:tc>
          <w:tcPr>
            <w:tcW w:w="1170" w:type="dxa"/>
            <w:vAlign w:val="center"/>
          </w:tcPr>
          <w:p w14:paraId="4AC780DD"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62A77E91" w14:textId="77777777" w:rsidR="00183F07" w:rsidRPr="00C57C0F" w:rsidRDefault="00183F07">
            <w:pPr>
              <w:keepNext/>
              <w:tabs>
                <w:tab w:val="left" w:pos="177"/>
              </w:tabs>
              <w:ind w:left="31"/>
              <w:jc w:val="center"/>
              <w:outlineLvl w:val="2"/>
              <w:rPr>
                <w:rFonts w:ascii="Cambria" w:hAnsi="Cambria" w:cs="Arial"/>
                <w:sz w:val="18"/>
                <w:szCs w:val="18"/>
              </w:rPr>
            </w:pPr>
            <w:r w:rsidRPr="00C57C0F">
              <w:rPr>
                <w:rFonts w:ascii="Cambria" w:hAnsi="Cambria" w:cs="Arial"/>
                <w:sz w:val="18"/>
                <w:szCs w:val="18"/>
              </w:rPr>
              <w:t>50%</w:t>
            </w:r>
          </w:p>
        </w:tc>
        <w:tc>
          <w:tcPr>
            <w:tcW w:w="1260" w:type="dxa"/>
            <w:vAlign w:val="center"/>
          </w:tcPr>
          <w:p w14:paraId="4EAF6A2D" w14:textId="77777777" w:rsidR="00183F07" w:rsidRPr="00C57C0F" w:rsidRDefault="00183F07">
            <w:pPr>
              <w:keepNext/>
              <w:jc w:val="center"/>
              <w:outlineLvl w:val="2"/>
              <w:rPr>
                <w:rFonts w:ascii="Cambria" w:hAnsi="Cambria" w:cs="Arial"/>
                <w:sz w:val="18"/>
                <w:szCs w:val="18"/>
              </w:rPr>
            </w:pPr>
            <w:r w:rsidRPr="00C57C0F">
              <w:rPr>
                <w:rFonts w:ascii="Cambria" w:hAnsi="Cambria" w:cs="Arial"/>
                <w:sz w:val="18"/>
                <w:szCs w:val="18"/>
              </w:rPr>
              <w:t>Active</w:t>
            </w:r>
          </w:p>
        </w:tc>
      </w:tr>
      <w:tr w:rsidR="00183F07" w:rsidRPr="00C57C0F" w14:paraId="2899D67E" w14:textId="77777777">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374E85AA" w14:textId="77777777" w:rsidR="00183F07" w:rsidRPr="00C57C0F" w:rsidRDefault="00183F07" w:rsidP="00933F91">
            <w:pPr>
              <w:numPr>
                <w:ilvl w:val="0"/>
                <w:numId w:val="70"/>
              </w:numPr>
              <w:tabs>
                <w:tab w:val="num" w:pos="522"/>
              </w:tabs>
              <w:ind w:firstLine="0"/>
              <w:jc w:val="both"/>
              <w:rPr>
                <w:rFonts w:ascii="Cambria" w:hAnsi="Cambria" w:cs="Arial"/>
                <w:sz w:val="18"/>
                <w:szCs w:val="18"/>
              </w:rPr>
            </w:pPr>
            <w:r w:rsidRPr="00C57C0F">
              <w:rPr>
                <w:rFonts w:ascii="Cambria" w:hAnsi="Cambria" w:cstheme="minorHAnsi"/>
                <w:sz w:val="18"/>
                <w:szCs w:val="18"/>
              </w:rPr>
              <w:t>Petition</w:t>
            </w:r>
            <w:r w:rsidRPr="00C57C0F">
              <w:rPr>
                <w:rFonts w:ascii="Cambria" w:hAnsi="Cambria" w:cs="Arial"/>
                <w:sz w:val="18"/>
                <w:szCs w:val="18"/>
              </w:rPr>
              <w:t xml:space="preserve"> 1256-05, Report No. 305/22, Ivana Rosales (Argentina)</w:t>
            </w:r>
          </w:p>
        </w:tc>
        <w:tc>
          <w:tcPr>
            <w:tcW w:w="1170" w:type="dxa"/>
            <w:vMerge/>
            <w:vAlign w:val="center"/>
          </w:tcPr>
          <w:p w14:paraId="5A6A9A8E" w14:textId="77777777" w:rsidR="00183F07" w:rsidRPr="00C57C0F" w:rsidRDefault="00183F07">
            <w:pPr>
              <w:jc w:val="center"/>
              <w:rPr>
                <w:rFonts w:ascii="Cambria" w:hAnsi="Cambria" w:cstheme="minorHAnsi"/>
                <w:sz w:val="18"/>
                <w:szCs w:val="18"/>
              </w:rPr>
            </w:pPr>
          </w:p>
        </w:tc>
        <w:tc>
          <w:tcPr>
            <w:tcW w:w="1350" w:type="dxa"/>
            <w:vAlign w:val="center"/>
          </w:tcPr>
          <w:p w14:paraId="46B82495" w14:textId="77777777" w:rsidR="00183F07" w:rsidRPr="00C57C0F" w:rsidRDefault="00183F07">
            <w:pPr>
              <w:jc w:val="center"/>
              <w:rPr>
                <w:rFonts w:ascii="Cambria" w:hAnsi="Cambria" w:cstheme="minorHAnsi"/>
                <w:sz w:val="18"/>
                <w:szCs w:val="18"/>
              </w:rPr>
            </w:pPr>
          </w:p>
        </w:tc>
        <w:tc>
          <w:tcPr>
            <w:tcW w:w="1170" w:type="dxa"/>
            <w:vAlign w:val="center"/>
          </w:tcPr>
          <w:p w14:paraId="216050A8"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0702FF6C"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190D832A" w14:textId="77777777" w:rsidR="00183F07" w:rsidRPr="00C57C0F" w:rsidRDefault="00183F07">
            <w:pPr>
              <w:keepNext/>
              <w:tabs>
                <w:tab w:val="left" w:pos="177"/>
              </w:tabs>
              <w:ind w:left="31"/>
              <w:jc w:val="center"/>
              <w:outlineLvl w:val="2"/>
              <w:rPr>
                <w:rFonts w:ascii="Cambria" w:hAnsi="Cambria" w:cs="Arial"/>
                <w:sz w:val="18"/>
                <w:szCs w:val="18"/>
              </w:rPr>
            </w:pPr>
            <w:r w:rsidRPr="00C57C0F">
              <w:rPr>
                <w:rFonts w:ascii="Cambria" w:hAnsi="Cambria" w:cs="Arial"/>
                <w:sz w:val="18"/>
                <w:szCs w:val="18"/>
              </w:rPr>
              <w:t>22%</w:t>
            </w:r>
          </w:p>
        </w:tc>
        <w:tc>
          <w:tcPr>
            <w:tcW w:w="1260" w:type="dxa"/>
            <w:vAlign w:val="center"/>
          </w:tcPr>
          <w:p w14:paraId="366DAD30" w14:textId="77777777" w:rsidR="00183F07" w:rsidRPr="00C57C0F" w:rsidRDefault="00183F07">
            <w:pPr>
              <w:keepNext/>
              <w:jc w:val="center"/>
              <w:outlineLvl w:val="2"/>
              <w:rPr>
                <w:rFonts w:ascii="Cambria" w:hAnsi="Cambria" w:cs="Arial"/>
                <w:sz w:val="18"/>
                <w:szCs w:val="18"/>
              </w:rPr>
            </w:pPr>
            <w:r w:rsidRPr="00C57C0F">
              <w:rPr>
                <w:rFonts w:ascii="Cambria" w:hAnsi="Cambria" w:cs="Arial"/>
                <w:sz w:val="18"/>
                <w:szCs w:val="18"/>
              </w:rPr>
              <w:t>Active</w:t>
            </w:r>
          </w:p>
        </w:tc>
      </w:tr>
      <w:tr w:rsidR="00183F07" w:rsidRPr="00C57C0F" w14:paraId="45A5627B" w14:textId="77777777">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30C66143" w14:textId="77777777" w:rsidR="00183F07" w:rsidRPr="00C57C0F" w:rsidRDefault="00183F07" w:rsidP="00933F91">
            <w:pPr>
              <w:numPr>
                <w:ilvl w:val="0"/>
                <w:numId w:val="70"/>
              </w:numPr>
              <w:tabs>
                <w:tab w:val="num" w:pos="522"/>
              </w:tabs>
              <w:ind w:firstLine="0"/>
              <w:jc w:val="both"/>
              <w:rPr>
                <w:rFonts w:ascii="Cambria" w:hAnsi="Cambria" w:cs="Arial"/>
                <w:sz w:val="18"/>
                <w:szCs w:val="18"/>
              </w:rPr>
            </w:pPr>
            <w:r w:rsidRPr="00C57C0F">
              <w:rPr>
                <w:rFonts w:ascii="Cambria" w:hAnsi="Cambria" w:cs="Arial"/>
                <w:sz w:val="18"/>
                <w:szCs w:val="18"/>
              </w:rPr>
              <w:t>Case 13.869, Report No. 349/22, Silvia Mónica Severini (Argentina)</w:t>
            </w:r>
          </w:p>
        </w:tc>
        <w:tc>
          <w:tcPr>
            <w:tcW w:w="1170" w:type="dxa"/>
            <w:vMerge/>
            <w:vAlign w:val="center"/>
          </w:tcPr>
          <w:p w14:paraId="458E17BD" w14:textId="77777777" w:rsidR="00183F07" w:rsidRPr="00C57C0F" w:rsidRDefault="00183F07">
            <w:pPr>
              <w:jc w:val="center"/>
              <w:rPr>
                <w:rFonts w:ascii="Cambria" w:hAnsi="Cambria" w:cstheme="minorHAnsi"/>
                <w:sz w:val="18"/>
                <w:szCs w:val="18"/>
              </w:rPr>
            </w:pPr>
          </w:p>
        </w:tc>
        <w:tc>
          <w:tcPr>
            <w:tcW w:w="1350" w:type="dxa"/>
            <w:vAlign w:val="center"/>
          </w:tcPr>
          <w:p w14:paraId="773183AD" w14:textId="77777777" w:rsidR="00183F07" w:rsidRPr="00C57C0F" w:rsidRDefault="00183F07">
            <w:pPr>
              <w:jc w:val="center"/>
              <w:rPr>
                <w:rFonts w:ascii="Cambria" w:hAnsi="Cambria" w:cstheme="minorHAnsi"/>
                <w:sz w:val="18"/>
                <w:szCs w:val="18"/>
              </w:rPr>
            </w:pPr>
          </w:p>
        </w:tc>
        <w:tc>
          <w:tcPr>
            <w:tcW w:w="1170" w:type="dxa"/>
            <w:vAlign w:val="center"/>
          </w:tcPr>
          <w:p w14:paraId="419571C5"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1D3A5807"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624FC6A1" w14:textId="77777777" w:rsidR="00183F07" w:rsidRPr="00C57C0F" w:rsidRDefault="00183F07">
            <w:pPr>
              <w:keepNext/>
              <w:tabs>
                <w:tab w:val="left" w:pos="177"/>
              </w:tabs>
              <w:ind w:left="31"/>
              <w:jc w:val="center"/>
              <w:outlineLvl w:val="2"/>
              <w:rPr>
                <w:rFonts w:ascii="Cambria" w:hAnsi="Cambria" w:cs="Arial"/>
                <w:sz w:val="18"/>
                <w:szCs w:val="18"/>
              </w:rPr>
            </w:pPr>
            <w:r w:rsidRPr="00C57C0F">
              <w:rPr>
                <w:rFonts w:ascii="Cambria" w:hAnsi="Cambria" w:cs="Arial"/>
                <w:sz w:val="18"/>
                <w:szCs w:val="18"/>
              </w:rPr>
              <w:t>33%</w:t>
            </w:r>
          </w:p>
        </w:tc>
        <w:tc>
          <w:tcPr>
            <w:tcW w:w="1260" w:type="dxa"/>
            <w:vAlign w:val="center"/>
          </w:tcPr>
          <w:p w14:paraId="2983F045" w14:textId="77777777" w:rsidR="00183F07" w:rsidRPr="00C57C0F" w:rsidRDefault="00183F07">
            <w:pPr>
              <w:keepNext/>
              <w:jc w:val="center"/>
              <w:outlineLvl w:val="2"/>
              <w:rPr>
                <w:rFonts w:ascii="Cambria" w:hAnsi="Cambria" w:cs="Arial"/>
                <w:sz w:val="18"/>
                <w:szCs w:val="18"/>
              </w:rPr>
            </w:pPr>
            <w:r w:rsidRPr="00C57C0F">
              <w:rPr>
                <w:rFonts w:ascii="Cambria" w:hAnsi="Cambria" w:cs="Arial"/>
                <w:sz w:val="18"/>
                <w:szCs w:val="18"/>
              </w:rPr>
              <w:t>Active</w:t>
            </w:r>
          </w:p>
        </w:tc>
      </w:tr>
      <w:tr w:rsidR="00183F07" w:rsidRPr="00C57C0F" w14:paraId="2484AD45" w14:textId="77777777">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74BFD33C" w14:textId="77777777" w:rsidR="00183F07" w:rsidRPr="00C57C0F" w:rsidRDefault="00183F07" w:rsidP="00933F91">
            <w:pPr>
              <w:numPr>
                <w:ilvl w:val="0"/>
                <w:numId w:val="70"/>
              </w:numPr>
              <w:tabs>
                <w:tab w:val="num" w:pos="522"/>
              </w:tabs>
              <w:ind w:firstLine="0"/>
              <w:jc w:val="both"/>
              <w:rPr>
                <w:rFonts w:ascii="Cambria" w:hAnsi="Cambria" w:cs="Arial"/>
                <w:sz w:val="18"/>
                <w:szCs w:val="18"/>
              </w:rPr>
            </w:pPr>
            <w:r w:rsidRPr="00C57C0F">
              <w:rPr>
                <w:rFonts w:ascii="Cambria" w:hAnsi="Cambria" w:cs="Arial"/>
                <w:sz w:val="18"/>
                <w:szCs w:val="18"/>
              </w:rPr>
              <w:t>Case 14.669, Report No. 350/22, Mariano Bejarano (Argentina)</w:t>
            </w:r>
          </w:p>
        </w:tc>
        <w:tc>
          <w:tcPr>
            <w:tcW w:w="1170" w:type="dxa"/>
            <w:vMerge/>
            <w:vAlign w:val="center"/>
          </w:tcPr>
          <w:p w14:paraId="7E179ABB" w14:textId="77777777" w:rsidR="00183F07" w:rsidRPr="00C57C0F" w:rsidRDefault="00183F07">
            <w:pPr>
              <w:jc w:val="center"/>
              <w:rPr>
                <w:rFonts w:ascii="Cambria" w:hAnsi="Cambria" w:cstheme="minorHAnsi"/>
                <w:sz w:val="18"/>
                <w:szCs w:val="18"/>
              </w:rPr>
            </w:pPr>
          </w:p>
        </w:tc>
        <w:tc>
          <w:tcPr>
            <w:tcW w:w="1350" w:type="dxa"/>
            <w:vAlign w:val="center"/>
          </w:tcPr>
          <w:p w14:paraId="6A97F489" w14:textId="77777777" w:rsidR="00183F07" w:rsidRPr="00C57C0F" w:rsidRDefault="00183F07">
            <w:pPr>
              <w:jc w:val="center"/>
              <w:rPr>
                <w:rFonts w:ascii="Cambria" w:hAnsi="Cambria" w:cstheme="minorHAnsi"/>
                <w:sz w:val="18"/>
                <w:szCs w:val="18"/>
              </w:rPr>
            </w:pPr>
          </w:p>
        </w:tc>
        <w:tc>
          <w:tcPr>
            <w:tcW w:w="1170" w:type="dxa"/>
            <w:vAlign w:val="center"/>
          </w:tcPr>
          <w:p w14:paraId="628D2EAB"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5D443C79"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1DD0CC72" w14:textId="77777777" w:rsidR="00183F07" w:rsidRPr="00C57C0F" w:rsidRDefault="00183F07">
            <w:pPr>
              <w:keepNext/>
              <w:tabs>
                <w:tab w:val="left" w:pos="177"/>
              </w:tabs>
              <w:ind w:left="31"/>
              <w:jc w:val="center"/>
              <w:outlineLvl w:val="2"/>
              <w:rPr>
                <w:rFonts w:ascii="Cambria" w:hAnsi="Cambria" w:cs="Arial"/>
                <w:sz w:val="18"/>
                <w:szCs w:val="18"/>
              </w:rPr>
            </w:pPr>
            <w:r w:rsidRPr="00C57C0F">
              <w:rPr>
                <w:rFonts w:ascii="Cambria" w:hAnsi="Cambria" w:cs="Arial"/>
                <w:sz w:val="18"/>
                <w:szCs w:val="18"/>
              </w:rPr>
              <w:t>25%</w:t>
            </w:r>
          </w:p>
        </w:tc>
        <w:tc>
          <w:tcPr>
            <w:tcW w:w="1260" w:type="dxa"/>
            <w:vAlign w:val="center"/>
          </w:tcPr>
          <w:p w14:paraId="6E3FE6C3" w14:textId="77777777" w:rsidR="00183F07" w:rsidRPr="00C57C0F" w:rsidRDefault="00183F07">
            <w:pPr>
              <w:keepNext/>
              <w:jc w:val="center"/>
              <w:outlineLvl w:val="2"/>
              <w:rPr>
                <w:rFonts w:ascii="Cambria" w:hAnsi="Cambria" w:cs="Arial"/>
                <w:sz w:val="18"/>
                <w:szCs w:val="18"/>
              </w:rPr>
            </w:pPr>
            <w:r w:rsidRPr="00C57C0F">
              <w:rPr>
                <w:rFonts w:ascii="Cambria" w:hAnsi="Cambria" w:cs="Arial"/>
                <w:sz w:val="18"/>
                <w:szCs w:val="18"/>
              </w:rPr>
              <w:t>Active</w:t>
            </w:r>
          </w:p>
        </w:tc>
      </w:tr>
      <w:tr w:rsidR="00183F07" w:rsidRPr="00C57C0F" w14:paraId="038B2B34" w14:textId="77777777">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10F7EF3C"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12.475, Report No. 97/05, Alfredo Díaz Bustos (Bolivia)</w:t>
            </w:r>
            <w:r w:rsidRPr="00C57C0F">
              <w:rPr>
                <w:rFonts w:ascii="Cambria" w:hAnsi="Cambria" w:cstheme="minorHAnsi"/>
                <w:sz w:val="18"/>
                <w:szCs w:val="18"/>
                <w:vertAlign w:val="superscript"/>
              </w:rPr>
              <w:t xml:space="preserve"> </w:t>
            </w:r>
            <w:r w:rsidRPr="00C57C0F">
              <w:rPr>
                <w:rFonts w:ascii="Cambria" w:hAnsi="Cambria" w:cstheme="minorHAnsi"/>
                <w:sz w:val="18"/>
                <w:szCs w:val="18"/>
                <w:vertAlign w:val="superscript"/>
              </w:rPr>
              <w:footnoteReference w:id="25"/>
            </w:r>
          </w:p>
        </w:tc>
        <w:tc>
          <w:tcPr>
            <w:tcW w:w="1170" w:type="dxa"/>
            <w:vMerge w:val="restart"/>
            <w:vAlign w:val="center"/>
          </w:tcPr>
          <w:p w14:paraId="12A188FF" w14:textId="2B8E28BB" w:rsidR="00183F07" w:rsidRPr="00C57C0F" w:rsidRDefault="00A30EF8">
            <w:pPr>
              <w:jc w:val="center"/>
              <w:rPr>
                <w:rFonts w:ascii="Cambria" w:hAnsi="Cambria" w:cstheme="minorHAnsi"/>
                <w:sz w:val="18"/>
                <w:szCs w:val="18"/>
              </w:rPr>
            </w:pPr>
            <w:r>
              <w:rPr>
                <w:rFonts w:ascii="Cambria" w:hAnsi="Cambria" w:cstheme="minorHAnsi"/>
                <w:sz w:val="18"/>
                <w:szCs w:val="18"/>
              </w:rPr>
              <w:t>NA</w:t>
            </w:r>
          </w:p>
        </w:tc>
        <w:tc>
          <w:tcPr>
            <w:tcW w:w="1350" w:type="dxa"/>
            <w:vAlign w:val="center"/>
          </w:tcPr>
          <w:p w14:paraId="5A115AF4"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6DB24F2" w14:textId="77777777" w:rsidR="00183F07" w:rsidRPr="00C57C0F" w:rsidRDefault="00183F07">
            <w:pPr>
              <w:jc w:val="center"/>
              <w:rPr>
                <w:rFonts w:ascii="Cambria" w:hAnsi="Cambria" w:cstheme="minorHAnsi"/>
                <w:sz w:val="18"/>
                <w:szCs w:val="18"/>
              </w:rPr>
            </w:pPr>
          </w:p>
        </w:tc>
        <w:tc>
          <w:tcPr>
            <w:tcW w:w="1170" w:type="dxa"/>
            <w:vAlign w:val="center"/>
          </w:tcPr>
          <w:p w14:paraId="00253DBF"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2FBE7618" w14:textId="77777777" w:rsidR="00183F07" w:rsidRPr="00C57C0F" w:rsidRDefault="00183F07">
            <w:pPr>
              <w:keepNext/>
              <w:tabs>
                <w:tab w:val="left" w:pos="177"/>
              </w:tabs>
              <w:ind w:left="31"/>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38C548EB"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463BEB7D" w14:textId="77777777">
        <w:trPr>
          <w:cnfStyle w:val="000000100000" w:firstRow="0" w:lastRow="0" w:firstColumn="0" w:lastColumn="0" w:oddVBand="0" w:evenVBand="0" w:oddHBand="1" w:evenHBand="0" w:firstRowFirstColumn="0" w:firstRowLastColumn="0" w:lastRowFirstColumn="0" w:lastRowLastColumn="0"/>
          <w:trHeight w:val="1116"/>
          <w:jc w:val="center"/>
        </w:trPr>
        <w:tc>
          <w:tcPr>
            <w:tcW w:w="1620" w:type="dxa"/>
            <w:vAlign w:val="center"/>
          </w:tcPr>
          <w:p w14:paraId="0D05167A"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pt-BR"/>
              </w:rPr>
            </w:pPr>
            <w:r w:rsidRPr="00352AC9">
              <w:rPr>
                <w:rFonts w:ascii="Cambria" w:hAnsi="Cambria" w:cstheme="minorHAnsi"/>
                <w:sz w:val="18"/>
                <w:szCs w:val="18"/>
                <w:lang w:val="pt-BR"/>
              </w:rPr>
              <w:lastRenderedPageBreak/>
              <w:t>Case 12.516, Report No. 98/05, Raúl Zavala Málaga and Jorge Pacheco Rondón (Bolivia)</w:t>
            </w:r>
            <w:r w:rsidRPr="00C57C0F">
              <w:rPr>
                <w:rFonts w:ascii="Cambria" w:hAnsi="Cambria" w:cstheme="minorHAnsi"/>
                <w:sz w:val="18"/>
                <w:szCs w:val="18"/>
                <w:vertAlign w:val="superscript"/>
              </w:rPr>
              <w:footnoteReference w:id="26"/>
            </w:r>
          </w:p>
        </w:tc>
        <w:tc>
          <w:tcPr>
            <w:tcW w:w="1170" w:type="dxa"/>
            <w:vMerge/>
            <w:vAlign w:val="center"/>
          </w:tcPr>
          <w:p w14:paraId="173BFCB9" w14:textId="77777777" w:rsidR="00183F07" w:rsidRPr="00352AC9" w:rsidRDefault="00183F07">
            <w:pPr>
              <w:jc w:val="center"/>
              <w:rPr>
                <w:rFonts w:ascii="Cambria" w:hAnsi="Cambria" w:cstheme="minorHAnsi"/>
                <w:sz w:val="18"/>
                <w:szCs w:val="18"/>
                <w:lang w:val="pt-BR"/>
              </w:rPr>
            </w:pPr>
          </w:p>
        </w:tc>
        <w:tc>
          <w:tcPr>
            <w:tcW w:w="1350" w:type="dxa"/>
            <w:vAlign w:val="center"/>
          </w:tcPr>
          <w:p w14:paraId="735AF3B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3456BC9" w14:textId="77777777" w:rsidR="00183F07" w:rsidRPr="00C57C0F" w:rsidRDefault="00183F07">
            <w:pPr>
              <w:jc w:val="center"/>
              <w:rPr>
                <w:rFonts w:ascii="Cambria" w:hAnsi="Cambria" w:cstheme="minorHAnsi"/>
                <w:sz w:val="18"/>
                <w:szCs w:val="18"/>
              </w:rPr>
            </w:pPr>
          </w:p>
        </w:tc>
        <w:tc>
          <w:tcPr>
            <w:tcW w:w="1170" w:type="dxa"/>
            <w:vAlign w:val="center"/>
          </w:tcPr>
          <w:p w14:paraId="1944B47F"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7BCD21A2" w14:textId="77777777" w:rsidR="00183F07" w:rsidRPr="00C57C0F" w:rsidRDefault="00183F07">
            <w:pPr>
              <w:keepNext/>
              <w:tabs>
                <w:tab w:val="left" w:pos="177"/>
              </w:tabs>
              <w:ind w:left="31"/>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07904F39"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7BFFE258" w14:textId="77777777">
        <w:trPr>
          <w:cnfStyle w:val="000000010000" w:firstRow="0" w:lastRow="0" w:firstColumn="0" w:lastColumn="0" w:oddVBand="0" w:evenVBand="0" w:oddHBand="0" w:evenHBand="1" w:firstRowFirstColumn="0" w:firstRowLastColumn="0" w:lastRowFirstColumn="0" w:lastRowLastColumn="0"/>
          <w:trHeight w:val="1395"/>
          <w:jc w:val="center"/>
        </w:trPr>
        <w:tc>
          <w:tcPr>
            <w:tcW w:w="1620" w:type="dxa"/>
            <w:vAlign w:val="center"/>
          </w:tcPr>
          <w:p w14:paraId="03C5F394"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pt-BR"/>
              </w:rPr>
            </w:pPr>
            <w:r w:rsidRPr="00352AC9">
              <w:rPr>
                <w:rFonts w:ascii="Cambria" w:hAnsi="Cambria" w:cstheme="minorHAnsi"/>
                <w:sz w:val="18"/>
                <w:szCs w:val="18"/>
                <w:lang w:val="pt-BR"/>
              </w:rPr>
              <w:t>Petition 269-05, Report No. 82/07, Miguel Angel Moncada Osorio and James David Rocha Terraza (Bolivia)</w:t>
            </w:r>
            <w:r w:rsidRPr="00C57C0F">
              <w:rPr>
                <w:rFonts w:ascii="Cambria" w:hAnsi="Cambria" w:cstheme="minorHAnsi"/>
                <w:sz w:val="18"/>
                <w:szCs w:val="18"/>
                <w:vertAlign w:val="superscript"/>
              </w:rPr>
              <w:footnoteReference w:id="27"/>
            </w:r>
          </w:p>
        </w:tc>
        <w:tc>
          <w:tcPr>
            <w:tcW w:w="1170" w:type="dxa"/>
            <w:vMerge/>
            <w:vAlign w:val="center"/>
          </w:tcPr>
          <w:p w14:paraId="5C1E2E16" w14:textId="77777777" w:rsidR="00183F07" w:rsidRPr="00352AC9" w:rsidRDefault="00183F07">
            <w:pPr>
              <w:jc w:val="center"/>
              <w:rPr>
                <w:rFonts w:ascii="Cambria" w:hAnsi="Cambria" w:cstheme="minorHAnsi"/>
                <w:sz w:val="18"/>
                <w:szCs w:val="18"/>
                <w:lang w:val="pt-BR"/>
              </w:rPr>
            </w:pPr>
          </w:p>
        </w:tc>
        <w:tc>
          <w:tcPr>
            <w:tcW w:w="1350" w:type="dxa"/>
            <w:vAlign w:val="center"/>
          </w:tcPr>
          <w:p w14:paraId="0CDADA1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2EE2F06" w14:textId="77777777" w:rsidR="00183F07" w:rsidRPr="00C57C0F" w:rsidRDefault="00183F07">
            <w:pPr>
              <w:jc w:val="center"/>
              <w:rPr>
                <w:rFonts w:ascii="Cambria" w:hAnsi="Cambria" w:cstheme="minorHAnsi"/>
                <w:sz w:val="18"/>
                <w:szCs w:val="18"/>
              </w:rPr>
            </w:pPr>
          </w:p>
        </w:tc>
        <w:tc>
          <w:tcPr>
            <w:tcW w:w="1170" w:type="dxa"/>
            <w:vAlign w:val="center"/>
          </w:tcPr>
          <w:p w14:paraId="468EE4A0"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72E5BA18"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221211A"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1B9B34B6" w14:textId="77777777">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229B4C92"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788-06, Report No. 70/07, Víctor Hugo Arce Chávez (Bolivia)</w:t>
            </w:r>
            <w:r w:rsidRPr="00C57C0F">
              <w:rPr>
                <w:rFonts w:ascii="Cambria" w:hAnsi="Cambria" w:cstheme="minorHAnsi"/>
                <w:sz w:val="18"/>
                <w:szCs w:val="18"/>
                <w:vertAlign w:val="superscript"/>
              </w:rPr>
              <w:footnoteReference w:id="28"/>
            </w:r>
          </w:p>
        </w:tc>
        <w:tc>
          <w:tcPr>
            <w:tcW w:w="1170" w:type="dxa"/>
            <w:vMerge/>
            <w:vAlign w:val="center"/>
          </w:tcPr>
          <w:p w14:paraId="3AD54798" w14:textId="77777777" w:rsidR="00183F07" w:rsidRPr="00C57C0F" w:rsidRDefault="00183F07">
            <w:pPr>
              <w:jc w:val="center"/>
              <w:rPr>
                <w:rFonts w:ascii="Cambria" w:hAnsi="Cambria" w:cstheme="minorHAnsi"/>
                <w:sz w:val="18"/>
                <w:szCs w:val="18"/>
              </w:rPr>
            </w:pPr>
          </w:p>
        </w:tc>
        <w:tc>
          <w:tcPr>
            <w:tcW w:w="1350" w:type="dxa"/>
            <w:vAlign w:val="center"/>
          </w:tcPr>
          <w:p w14:paraId="232861C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F3C7ED6" w14:textId="77777777" w:rsidR="00183F07" w:rsidRPr="00C57C0F" w:rsidRDefault="00183F07">
            <w:pPr>
              <w:jc w:val="center"/>
              <w:rPr>
                <w:rFonts w:ascii="Cambria" w:hAnsi="Cambria" w:cstheme="minorHAnsi"/>
                <w:sz w:val="18"/>
                <w:szCs w:val="18"/>
              </w:rPr>
            </w:pPr>
          </w:p>
        </w:tc>
        <w:tc>
          <w:tcPr>
            <w:tcW w:w="1170" w:type="dxa"/>
            <w:vAlign w:val="center"/>
          </w:tcPr>
          <w:p w14:paraId="2EDACCA2"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1AE9241E"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D1B4E63"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7633FCE9" w14:textId="77777777">
        <w:trPr>
          <w:cnfStyle w:val="000000010000" w:firstRow="0" w:lastRow="0" w:firstColumn="0" w:lastColumn="0" w:oddVBand="0" w:evenVBand="0" w:oddHBand="0" w:evenHBand="1" w:firstRowFirstColumn="0" w:firstRowLastColumn="0" w:lastRowFirstColumn="0" w:lastRowLastColumn="0"/>
          <w:trHeight w:val="765"/>
          <w:jc w:val="center"/>
        </w:trPr>
        <w:tc>
          <w:tcPr>
            <w:tcW w:w="1620" w:type="dxa"/>
            <w:vAlign w:val="center"/>
          </w:tcPr>
          <w:p w14:paraId="2C41F0A0"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12.350, Report No. 103/14, M.Z. (Bolivia)</w:t>
            </w:r>
            <w:r w:rsidRPr="00C57C0F">
              <w:rPr>
                <w:rFonts w:ascii="Cambria" w:hAnsi="Cambria" w:cstheme="minorHAnsi"/>
                <w:sz w:val="18"/>
                <w:szCs w:val="18"/>
                <w:vertAlign w:val="superscript"/>
              </w:rPr>
              <w:footnoteReference w:id="29"/>
            </w:r>
          </w:p>
        </w:tc>
        <w:tc>
          <w:tcPr>
            <w:tcW w:w="1170" w:type="dxa"/>
            <w:vMerge/>
            <w:vAlign w:val="center"/>
          </w:tcPr>
          <w:p w14:paraId="78B9010A" w14:textId="77777777" w:rsidR="00183F07" w:rsidRPr="00C57C0F" w:rsidRDefault="00183F07">
            <w:pPr>
              <w:jc w:val="center"/>
              <w:rPr>
                <w:rFonts w:ascii="Cambria" w:hAnsi="Cambria" w:cstheme="minorHAnsi"/>
                <w:sz w:val="18"/>
                <w:szCs w:val="18"/>
              </w:rPr>
            </w:pPr>
          </w:p>
        </w:tc>
        <w:tc>
          <w:tcPr>
            <w:tcW w:w="1350" w:type="dxa"/>
            <w:vAlign w:val="center"/>
          </w:tcPr>
          <w:p w14:paraId="6C69D172"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294E326" w14:textId="77777777" w:rsidR="00183F07" w:rsidRPr="00C57C0F" w:rsidRDefault="00183F07">
            <w:pPr>
              <w:jc w:val="center"/>
              <w:rPr>
                <w:rFonts w:ascii="Cambria" w:hAnsi="Cambria" w:cstheme="minorHAnsi"/>
                <w:sz w:val="18"/>
                <w:szCs w:val="18"/>
              </w:rPr>
            </w:pPr>
          </w:p>
        </w:tc>
        <w:tc>
          <w:tcPr>
            <w:tcW w:w="1170" w:type="dxa"/>
            <w:vAlign w:val="center"/>
          </w:tcPr>
          <w:p w14:paraId="14DAEF77" w14:textId="77777777" w:rsidR="00183F07" w:rsidRPr="00C57C0F" w:rsidRDefault="00183F07">
            <w:pPr>
              <w:keepNext/>
              <w:ind w:left="31"/>
              <w:jc w:val="center"/>
              <w:outlineLvl w:val="2"/>
              <w:rPr>
                <w:rFonts w:ascii="Cambria" w:hAnsi="Cambria" w:cstheme="minorHAnsi"/>
                <w:sz w:val="18"/>
                <w:szCs w:val="18"/>
              </w:rPr>
            </w:pPr>
          </w:p>
        </w:tc>
        <w:tc>
          <w:tcPr>
            <w:tcW w:w="1170" w:type="dxa"/>
            <w:vAlign w:val="center"/>
          </w:tcPr>
          <w:p w14:paraId="2E2166B9"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526E8D6A"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49B3E356" w14:textId="77777777">
        <w:trPr>
          <w:cnfStyle w:val="000000100000" w:firstRow="0" w:lastRow="0" w:firstColumn="0" w:lastColumn="0" w:oddVBand="0" w:evenVBand="0" w:oddHBand="1" w:evenHBand="0" w:firstRowFirstColumn="0" w:firstRowLastColumn="0" w:lastRowFirstColumn="0" w:lastRowLastColumn="0"/>
          <w:trHeight w:val="756"/>
          <w:jc w:val="center"/>
        </w:trPr>
        <w:tc>
          <w:tcPr>
            <w:tcW w:w="1620" w:type="dxa"/>
            <w:vAlign w:val="center"/>
          </w:tcPr>
          <w:p w14:paraId="437A7BF1"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pt-BR"/>
              </w:rPr>
            </w:pPr>
            <w:r w:rsidRPr="00352AC9">
              <w:rPr>
                <w:rFonts w:ascii="Cambria" w:hAnsi="Cambria" w:cstheme="minorHAnsi"/>
                <w:sz w:val="18"/>
                <w:szCs w:val="18"/>
                <w:lang w:val="pt-BR"/>
              </w:rPr>
              <w:t>Case 11.289, Report No. 95/03, José Pereira (Brazil)</w:t>
            </w:r>
          </w:p>
        </w:tc>
        <w:tc>
          <w:tcPr>
            <w:tcW w:w="1170" w:type="dxa"/>
            <w:vMerge w:val="restart"/>
            <w:vAlign w:val="center"/>
          </w:tcPr>
          <w:p w14:paraId="4CF1ABC9" w14:textId="4B1B9050" w:rsidR="00183F07" w:rsidRPr="00C57C0F" w:rsidRDefault="0071198A">
            <w:pPr>
              <w:jc w:val="center"/>
              <w:rPr>
                <w:rFonts w:ascii="Cambria" w:hAnsi="Cambria" w:cstheme="minorHAnsi"/>
                <w:sz w:val="18"/>
                <w:szCs w:val="18"/>
              </w:rPr>
            </w:pPr>
            <w:hyperlink r:id="rId30" w:history="1">
              <w:r w:rsidR="00183F07" w:rsidRPr="000B72ED">
                <w:rPr>
                  <w:rStyle w:val="Hyperlink"/>
                  <w:rFonts w:ascii="Cambria" w:eastAsiaTheme="minorHAnsi" w:hAnsi="Cambria" w:cstheme="minorHAnsi"/>
                  <w:sz w:val="18"/>
                  <w:szCs w:val="18"/>
                </w:rPr>
                <w:t>Link to monitoring sheets on matters related to reports of friendly settlement agreements of Brazil that are subject to monitoring</w:t>
              </w:r>
            </w:hyperlink>
            <w:r w:rsidR="00183F07" w:rsidRPr="00C57C0F">
              <w:rPr>
                <w:rFonts w:ascii="Cambria" w:hAnsi="Cambria" w:cstheme="minorHAnsi"/>
                <w:sz w:val="18"/>
                <w:szCs w:val="18"/>
              </w:rPr>
              <w:t xml:space="preserve"> </w:t>
            </w:r>
          </w:p>
        </w:tc>
        <w:tc>
          <w:tcPr>
            <w:tcW w:w="1350" w:type="dxa"/>
            <w:vAlign w:val="center"/>
          </w:tcPr>
          <w:p w14:paraId="6E5812B0" w14:textId="77777777" w:rsidR="00183F07" w:rsidRPr="00C57C0F" w:rsidRDefault="00183F07">
            <w:pPr>
              <w:jc w:val="center"/>
              <w:rPr>
                <w:rFonts w:ascii="Cambria" w:hAnsi="Cambria" w:cstheme="minorHAnsi"/>
                <w:sz w:val="18"/>
                <w:szCs w:val="18"/>
              </w:rPr>
            </w:pPr>
          </w:p>
        </w:tc>
        <w:tc>
          <w:tcPr>
            <w:tcW w:w="1170" w:type="dxa"/>
            <w:vAlign w:val="center"/>
          </w:tcPr>
          <w:p w14:paraId="43D1CD84" w14:textId="77777777" w:rsidR="00183F07" w:rsidRPr="00C57C0F" w:rsidRDefault="00183F07">
            <w:pPr>
              <w:ind w:firstLine="31"/>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2C62A3A"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674ED4C6"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83%</w:t>
            </w:r>
          </w:p>
        </w:tc>
        <w:tc>
          <w:tcPr>
            <w:tcW w:w="1260" w:type="dxa"/>
            <w:vAlign w:val="center"/>
          </w:tcPr>
          <w:p w14:paraId="5645AABC"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Active</w:t>
            </w:r>
          </w:p>
        </w:tc>
      </w:tr>
      <w:tr w:rsidR="00183F07" w:rsidRPr="00C57C0F" w14:paraId="3DF34C52" w14:textId="77777777">
        <w:trPr>
          <w:cnfStyle w:val="000000010000" w:firstRow="0" w:lastRow="0" w:firstColumn="0" w:lastColumn="0" w:oddVBand="0" w:evenVBand="0" w:oddHBand="0" w:evenHBand="1" w:firstRowFirstColumn="0" w:firstRowLastColumn="0" w:lastRowFirstColumn="0" w:lastRowLastColumn="0"/>
          <w:trHeight w:val="1449"/>
          <w:jc w:val="center"/>
        </w:trPr>
        <w:tc>
          <w:tcPr>
            <w:tcW w:w="1620" w:type="dxa"/>
            <w:vAlign w:val="center"/>
          </w:tcPr>
          <w:p w14:paraId="15252972"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pt-BR"/>
              </w:rPr>
            </w:pPr>
            <w:r w:rsidRPr="00352AC9">
              <w:rPr>
                <w:rFonts w:ascii="Cambria" w:hAnsi="Cambria" w:cstheme="minorHAnsi"/>
                <w:sz w:val="18"/>
                <w:szCs w:val="18"/>
                <w:lang w:val="pt-BR"/>
              </w:rPr>
              <w:t>Cases 12.426 and 12.427, Report No. 43/06, Raniê Silva Cruz, Eduardo Rocha da Silva and Raimundo Nonato Conceição Filho (Brazil)</w:t>
            </w:r>
            <w:r w:rsidRPr="00C57C0F">
              <w:rPr>
                <w:rFonts w:ascii="Cambria" w:hAnsi="Cambria" w:cstheme="minorHAnsi"/>
                <w:sz w:val="18"/>
                <w:szCs w:val="18"/>
                <w:vertAlign w:val="superscript"/>
              </w:rPr>
              <w:footnoteReference w:id="30"/>
            </w:r>
          </w:p>
        </w:tc>
        <w:tc>
          <w:tcPr>
            <w:tcW w:w="1170" w:type="dxa"/>
            <w:vMerge/>
            <w:vAlign w:val="center"/>
          </w:tcPr>
          <w:p w14:paraId="4DB3ADAA" w14:textId="77777777" w:rsidR="00183F07" w:rsidRPr="00352AC9" w:rsidRDefault="00183F07">
            <w:pPr>
              <w:jc w:val="center"/>
              <w:rPr>
                <w:rFonts w:ascii="Cambria" w:hAnsi="Cambria" w:cstheme="minorHAnsi"/>
                <w:sz w:val="18"/>
                <w:szCs w:val="18"/>
                <w:lang w:val="pt-BR"/>
              </w:rPr>
            </w:pPr>
          </w:p>
        </w:tc>
        <w:tc>
          <w:tcPr>
            <w:tcW w:w="1350" w:type="dxa"/>
            <w:vAlign w:val="center"/>
          </w:tcPr>
          <w:p w14:paraId="011A35E4"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5922B37"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3390D072"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55998732"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DE46493"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384DB712" w14:textId="77777777">
        <w:trPr>
          <w:cnfStyle w:val="000000100000" w:firstRow="0" w:lastRow="0" w:firstColumn="0" w:lastColumn="0" w:oddVBand="0" w:evenVBand="0" w:oddHBand="1" w:evenHBand="0" w:firstRowFirstColumn="0" w:firstRowLastColumn="0" w:lastRowFirstColumn="0" w:lastRowLastColumn="0"/>
          <w:trHeight w:val="999"/>
          <w:jc w:val="center"/>
        </w:trPr>
        <w:tc>
          <w:tcPr>
            <w:tcW w:w="1620" w:type="dxa"/>
            <w:vAlign w:val="center"/>
          </w:tcPr>
          <w:p w14:paraId="39C3B570"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pt-BR"/>
              </w:rPr>
            </w:pPr>
            <w:r w:rsidRPr="00352AC9">
              <w:rPr>
                <w:rFonts w:ascii="Cambria" w:hAnsi="Cambria" w:cstheme="minorHAnsi"/>
                <w:sz w:val="18"/>
                <w:szCs w:val="18"/>
                <w:lang w:val="pt-BR"/>
              </w:rPr>
              <w:t>Case 12.674, Report No. 111/20, Marcio Lapoente Da Silveira (Brazil)</w:t>
            </w:r>
          </w:p>
        </w:tc>
        <w:tc>
          <w:tcPr>
            <w:tcW w:w="1170" w:type="dxa"/>
            <w:vMerge/>
            <w:vAlign w:val="center"/>
          </w:tcPr>
          <w:p w14:paraId="241466C0" w14:textId="77777777" w:rsidR="00183F07" w:rsidRPr="00352AC9" w:rsidRDefault="00183F07">
            <w:pPr>
              <w:jc w:val="center"/>
              <w:rPr>
                <w:rFonts w:ascii="Cambria" w:hAnsi="Cambria" w:cstheme="minorHAnsi"/>
                <w:sz w:val="18"/>
                <w:szCs w:val="18"/>
                <w:lang w:val="pt-BR"/>
              </w:rPr>
            </w:pPr>
          </w:p>
        </w:tc>
        <w:tc>
          <w:tcPr>
            <w:tcW w:w="1350" w:type="dxa"/>
            <w:vAlign w:val="center"/>
          </w:tcPr>
          <w:p w14:paraId="3DB69E27" w14:textId="77777777" w:rsidR="00183F07" w:rsidRPr="00352AC9" w:rsidRDefault="00183F07">
            <w:pPr>
              <w:jc w:val="center"/>
              <w:rPr>
                <w:rFonts w:ascii="Cambria" w:hAnsi="Cambria" w:cstheme="minorHAnsi"/>
                <w:sz w:val="18"/>
                <w:szCs w:val="18"/>
                <w:lang w:val="pt-BR"/>
              </w:rPr>
            </w:pPr>
          </w:p>
        </w:tc>
        <w:tc>
          <w:tcPr>
            <w:tcW w:w="1170" w:type="dxa"/>
            <w:vAlign w:val="center"/>
          </w:tcPr>
          <w:p w14:paraId="21DE262C" w14:textId="77777777" w:rsidR="00183F07" w:rsidRPr="00C57C0F" w:rsidRDefault="00183F07">
            <w:pPr>
              <w:ind w:firstLine="31"/>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26B1DF4"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42690DC8"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75%</w:t>
            </w:r>
          </w:p>
        </w:tc>
        <w:tc>
          <w:tcPr>
            <w:tcW w:w="1260" w:type="dxa"/>
            <w:vAlign w:val="center"/>
          </w:tcPr>
          <w:p w14:paraId="534279F6"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763BF270" w14:textId="77777777">
        <w:trPr>
          <w:cnfStyle w:val="000000010000" w:firstRow="0" w:lastRow="0" w:firstColumn="0" w:lastColumn="0" w:oddVBand="0" w:evenVBand="0" w:oddHBand="0" w:evenHBand="1" w:firstRowFirstColumn="0" w:firstRowLastColumn="0" w:lastRowFirstColumn="0" w:lastRowLastColumn="0"/>
          <w:trHeight w:val="765"/>
          <w:jc w:val="center"/>
        </w:trPr>
        <w:tc>
          <w:tcPr>
            <w:tcW w:w="1620" w:type="dxa"/>
            <w:vAlign w:val="center"/>
          </w:tcPr>
          <w:p w14:paraId="18750C2D"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pt-BR"/>
              </w:rPr>
            </w:pPr>
            <w:r w:rsidRPr="00352AC9">
              <w:rPr>
                <w:rFonts w:ascii="Cambria" w:hAnsi="Cambria" w:cstheme="minorHAnsi"/>
                <w:sz w:val="18"/>
                <w:szCs w:val="18"/>
                <w:lang w:val="pt-BR"/>
              </w:rPr>
              <w:lastRenderedPageBreak/>
              <w:t>Case 12.277, Report No. 136/21, Fazenda Ubá (Brazil)</w:t>
            </w:r>
          </w:p>
        </w:tc>
        <w:tc>
          <w:tcPr>
            <w:tcW w:w="1170" w:type="dxa"/>
            <w:vMerge/>
            <w:vAlign w:val="center"/>
          </w:tcPr>
          <w:p w14:paraId="5D60DDA2" w14:textId="77777777" w:rsidR="00183F07" w:rsidRPr="00352AC9" w:rsidRDefault="00183F07">
            <w:pPr>
              <w:jc w:val="center"/>
              <w:rPr>
                <w:rFonts w:ascii="Cambria" w:hAnsi="Cambria" w:cstheme="minorHAnsi"/>
                <w:sz w:val="18"/>
                <w:szCs w:val="18"/>
                <w:lang w:val="pt-BR"/>
              </w:rPr>
            </w:pPr>
          </w:p>
        </w:tc>
        <w:tc>
          <w:tcPr>
            <w:tcW w:w="1350" w:type="dxa"/>
            <w:vAlign w:val="center"/>
          </w:tcPr>
          <w:p w14:paraId="68236E09" w14:textId="77777777" w:rsidR="00183F07" w:rsidRPr="00352AC9" w:rsidRDefault="00183F07">
            <w:pPr>
              <w:jc w:val="center"/>
              <w:rPr>
                <w:rFonts w:ascii="Cambria" w:hAnsi="Cambria" w:cstheme="minorHAnsi"/>
                <w:sz w:val="18"/>
                <w:szCs w:val="18"/>
                <w:lang w:val="pt-BR"/>
              </w:rPr>
            </w:pPr>
          </w:p>
        </w:tc>
        <w:tc>
          <w:tcPr>
            <w:tcW w:w="1170" w:type="dxa"/>
            <w:vAlign w:val="center"/>
          </w:tcPr>
          <w:p w14:paraId="32413579" w14:textId="77777777" w:rsidR="00183F07" w:rsidRPr="00C57C0F" w:rsidRDefault="00183F07">
            <w:pPr>
              <w:ind w:firstLine="31"/>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0AAD3382"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319DBFD2"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rPr>
              <w:t>44%</w:t>
            </w:r>
          </w:p>
        </w:tc>
        <w:tc>
          <w:tcPr>
            <w:tcW w:w="1260" w:type="dxa"/>
            <w:vAlign w:val="center"/>
          </w:tcPr>
          <w:p w14:paraId="0BD49A9B"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rPr>
              <w:t>Active</w:t>
            </w:r>
          </w:p>
        </w:tc>
      </w:tr>
      <w:tr w:rsidR="00183F07" w:rsidRPr="00C57C0F" w14:paraId="01F221A7" w14:textId="77777777">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74D0B37D"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352AC9">
              <w:rPr>
                <w:rFonts w:ascii="Cambria" w:hAnsi="Cambria" w:cstheme="minorHAnsi"/>
                <w:sz w:val="18"/>
                <w:szCs w:val="18"/>
                <w:lang w:val="es-AR"/>
              </w:rPr>
              <w:t xml:space="preserve">Case 11.715, Report No. 32/02, Juan Manuel Contreras San Martín et al. </w:t>
            </w:r>
            <w:r w:rsidRPr="00C57C0F">
              <w:rPr>
                <w:rFonts w:ascii="Cambria" w:hAnsi="Cambria" w:cstheme="minorHAnsi"/>
                <w:sz w:val="18"/>
                <w:szCs w:val="18"/>
              </w:rPr>
              <w:t>(Chile)</w:t>
            </w:r>
            <w:r w:rsidRPr="00C57C0F">
              <w:rPr>
                <w:rFonts w:ascii="Cambria" w:hAnsi="Cambria" w:cstheme="minorHAnsi"/>
                <w:sz w:val="18"/>
                <w:szCs w:val="18"/>
                <w:vertAlign w:val="superscript"/>
              </w:rPr>
              <w:footnoteReference w:id="31"/>
            </w:r>
          </w:p>
        </w:tc>
        <w:tc>
          <w:tcPr>
            <w:tcW w:w="1170" w:type="dxa"/>
            <w:vMerge w:val="restart"/>
            <w:shd w:val="clear" w:color="auto" w:fill="BFBFBF" w:themeFill="background1" w:themeFillShade="BF"/>
            <w:vAlign w:val="center"/>
          </w:tcPr>
          <w:p w14:paraId="0582A58B" w14:textId="6EB00894" w:rsidR="00183F07" w:rsidRPr="00C57C0F" w:rsidRDefault="0071198A">
            <w:pPr>
              <w:jc w:val="center"/>
              <w:rPr>
                <w:rFonts w:ascii="Cambria" w:hAnsi="Cambria" w:cstheme="minorHAnsi"/>
                <w:sz w:val="18"/>
                <w:szCs w:val="18"/>
              </w:rPr>
            </w:pPr>
            <w:hyperlink r:id="rId31" w:history="1">
              <w:r w:rsidR="00183F07" w:rsidRPr="000B72ED">
                <w:rPr>
                  <w:rStyle w:val="Hyperlink"/>
                  <w:rFonts w:ascii="Cambria" w:eastAsiaTheme="minorHAnsi" w:hAnsi="Cambria" w:cstheme="minorHAnsi"/>
                  <w:sz w:val="18"/>
                  <w:szCs w:val="18"/>
                </w:rPr>
                <w:t>Link to monitoring sheets on matters related to reports of friendly settlement agreements of Chile that are subject to monitoring</w:t>
              </w:r>
            </w:hyperlink>
            <w:r w:rsidR="00183F07" w:rsidRPr="00C57C0F">
              <w:rPr>
                <w:rFonts w:ascii="Cambria" w:hAnsi="Cambria" w:cstheme="minorHAnsi"/>
                <w:sz w:val="18"/>
                <w:szCs w:val="18"/>
              </w:rPr>
              <w:t xml:space="preserve"> </w:t>
            </w:r>
          </w:p>
          <w:p w14:paraId="001584F7" w14:textId="77777777" w:rsidR="00183F07" w:rsidRPr="00C57C0F" w:rsidRDefault="00183F07">
            <w:pPr>
              <w:rPr>
                <w:rFonts w:ascii="Cambria" w:hAnsi="Cambria" w:cstheme="minorHAnsi"/>
                <w:sz w:val="18"/>
                <w:szCs w:val="18"/>
              </w:rPr>
            </w:pPr>
          </w:p>
          <w:p w14:paraId="549AA570" w14:textId="77777777" w:rsidR="00183F07" w:rsidRPr="00C57C0F" w:rsidRDefault="00183F07">
            <w:pPr>
              <w:rPr>
                <w:rFonts w:ascii="Cambria" w:hAnsi="Cambria" w:cstheme="minorHAnsi"/>
                <w:sz w:val="18"/>
                <w:szCs w:val="18"/>
              </w:rPr>
            </w:pPr>
          </w:p>
          <w:p w14:paraId="4BC98BE3" w14:textId="77777777" w:rsidR="00183F07" w:rsidRPr="00C57C0F" w:rsidRDefault="00183F07">
            <w:pPr>
              <w:jc w:val="center"/>
              <w:rPr>
                <w:rFonts w:ascii="Cambria" w:hAnsi="Cambria" w:cstheme="minorHAnsi"/>
                <w:sz w:val="18"/>
                <w:szCs w:val="18"/>
              </w:rPr>
            </w:pPr>
          </w:p>
        </w:tc>
        <w:tc>
          <w:tcPr>
            <w:tcW w:w="1350" w:type="dxa"/>
            <w:vAlign w:val="center"/>
          </w:tcPr>
          <w:p w14:paraId="0E084E8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FBA047B"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4E4AE8A8"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2ACC462E"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9AD21AF"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7E649486" w14:textId="77777777">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4101A683"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Case 12.046, Report No. 33/02, Mónica Carabantes Galleguillos (Chile)</w:t>
            </w:r>
            <w:r w:rsidRPr="00C57C0F">
              <w:rPr>
                <w:rFonts w:ascii="Cambria" w:hAnsi="Cambria" w:cstheme="minorHAnsi"/>
                <w:sz w:val="18"/>
                <w:szCs w:val="18"/>
                <w:vertAlign w:val="superscript"/>
              </w:rPr>
              <w:footnoteReference w:id="32"/>
            </w:r>
          </w:p>
        </w:tc>
        <w:tc>
          <w:tcPr>
            <w:tcW w:w="1170" w:type="dxa"/>
            <w:vMerge/>
            <w:shd w:val="clear" w:color="auto" w:fill="BFBFBF" w:themeFill="background1" w:themeFillShade="BF"/>
            <w:vAlign w:val="center"/>
          </w:tcPr>
          <w:p w14:paraId="775DB4D3" w14:textId="77777777" w:rsidR="00183F07" w:rsidRPr="00352AC9" w:rsidRDefault="00183F07">
            <w:pPr>
              <w:jc w:val="center"/>
              <w:rPr>
                <w:rFonts w:ascii="Cambria" w:hAnsi="Cambria" w:cstheme="minorHAnsi"/>
                <w:sz w:val="18"/>
                <w:szCs w:val="18"/>
                <w:lang w:val="es-AR"/>
              </w:rPr>
            </w:pPr>
          </w:p>
        </w:tc>
        <w:tc>
          <w:tcPr>
            <w:tcW w:w="1350" w:type="dxa"/>
            <w:vAlign w:val="center"/>
          </w:tcPr>
          <w:p w14:paraId="60EEED33"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90EA2C1"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5186AF29"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36FAAB0F"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49813F42"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2DB9CC3D" w14:textId="77777777">
        <w:trPr>
          <w:cnfStyle w:val="000000100000" w:firstRow="0" w:lastRow="0" w:firstColumn="0" w:lastColumn="0" w:oddVBand="0" w:evenVBand="0" w:oddHBand="1" w:evenHBand="0" w:firstRowFirstColumn="0" w:firstRowLastColumn="0" w:lastRowFirstColumn="0" w:lastRowLastColumn="0"/>
          <w:trHeight w:val="1134"/>
          <w:jc w:val="center"/>
        </w:trPr>
        <w:tc>
          <w:tcPr>
            <w:tcW w:w="1620" w:type="dxa"/>
            <w:vAlign w:val="center"/>
          </w:tcPr>
          <w:p w14:paraId="73A2D8CE"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352AC9">
              <w:rPr>
                <w:rFonts w:ascii="Cambria" w:hAnsi="Cambria" w:cstheme="minorHAnsi"/>
                <w:sz w:val="18"/>
                <w:szCs w:val="18"/>
                <w:lang w:val="es-AR"/>
              </w:rPr>
              <w:t xml:space="preserve">Petition 4617/02, Report No. 30/04, Mercedes Julia Huenteao Beroiza et al. </w:t>
            </w:r>
            <w:r w:rsidRPr="00C57C0F">
              <w:rPr>
                <w:rFonts w:ascii="Cambria" w:hAnsi="Cambria" w:cstheme="minorHAnsi"/>
                <w:sz w:val="18"/>
                <w:szCs w:val="18"/>
              </w:rPr>
              <w:t>(Chile)</w:t>
            </w:r>
          </w:p>
        </w:tc>
        <w:tc>
          <w:tcPr>
            <w:tcW w:w="1170" w:type="dxa"/>
            <w:vMerge/>
            <w:shd w:val="clear" w:color="auto" w:fill="BFBFBF" w:themeFill="background1" w:themeFillShade="BF"/>
            <w:vAlign w:val="center"/>
          </w:tcPr>
          <w:p w14:paraId="4964480D" w14:textId="77777777" w:rsidR="00183F07" w:rsidRPr="00C57C0F" w:rsidRDefault="00183F07">
            <w:pPr>
              <w:jc w:val="center"/>
              <w:rPr>
                <w:rFonts w:ascii="Cambria" w:hAnsi="Cambria" w:cstheme="minorHAnsi"/>
                <w:sz w:val="18"/>
                <w:szCs w:val="18"/>
              </w:rPr>
            </w:pPr>
          </w:p>
        </w:tc>
        <w:tc>
          <w:tcPr>
            <w:tcW w:w="1350" w:type="dxa"/>
            <w:vAlign w:val="center"/>
          </w:tcPr>
          <w:p w14:paraId="272D063F" w14:textId="77777777" w:rsidR="00183F07" w:rsidRPr="00C57C0F" w:rsidRDefault="00183F07">
            <w:pPr>
              <w:jc w:val="center"/>
              <w:rPr>
                <w:rFonts w:ascii="Cambria" w:hAnsi="Cambria" w:cstheme="minorHAnsi"/>
                <w:sz w:val="18"/>
                <w:szCs w:val="18"/>
              </w:rPr>
            </w:pPr>
          </w:p>
        </w:tc>
        <w:tc>
          <w:tcPr>
            <w:tcW w:w="1170" w:type="dxa"/>
            <w:vAlign w:val="center"/>
          </w:tcPr>
          <w:p w14:paraId="05556B78" w14:textId="77777777" w:rsidR="00183F07" w:rsidRPr="00C57C0F" w:rsidRDefault="00183F07">
            <w:pPr>
              <w:ind w:firstLine="31"/>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9088022"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16287245"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67%</w:t>
            </w:r>
          </w:p>
        </w:tc>
        <w:tc>
          <w:tcPr>
            <w:tcW w:w="1260" w:type="dxa"/>
            <w:vAlign w:val="center"/>
          </w:tcPr>
          <w:p w14:paraId="28B47358"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Active</w:t>
            </w:r>
          </w:p>
        </w:tc>
      </w:tr>
      <w:tr w:rsidR="00183F07" w:rsidRPr="00C57C0F" w14:paraId="5CD72483" w14:textId="77777777">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4BDD0EC2"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12.337, Report No. 80/09, Marcela Andrea Valdés Díaz (Chile)</w:t>
            </w:r>
            <w:r w:rsidRPr="00C57C0F">
              <w:rPr>
                <w:rFonts w:ascii="Cambria" w:hAnsi="Cambria" w:cstheme="minorHAnsi"/>
                <w:sz w:val="18"/>
                <w:szCs w:val="18"/>
                <w:vertAlign w:val="superscript"/>
              </w:rPr>
              <w:footnoteReference w:id="33"/>
            </w:r>
          </w:p>
        </w:tc>
        <w:tc>
          <w:tcPr>
            <w:tcW w:w="1170" w:type="dxa"/>
            <w:vMerge/>
            <w:shd w:val="clear" w:color="auto" w:fill="BFBFBF" w:themeFill="background1" w:themeFillShade="BF"/>
            <w:vAlign w:val="center"/>
          </w:tcPr>
          <w:p w14:paraId="7A8C1711" w14:textId="77777777" w:rsidR="00183F07" w:rsidRPr="00C57C0F" w:rsidRDefault="00183F07">
            <w:pPr>
              <w:jc w:val="center"/>
              <w:rPr>
                <w:rFonts w:ascii="Cambria" w:hAnsi="Cambria" w:cstheme="minorHAnsi"/>
                <w:sz w:val="18"/>
                <w:szCs w:val="18"/>
              </w:rPr>
            </w:pPr>
          </w:p>
        </w:tc>
        <w:tc>
          <w:tcPr>
            <w:tcW w:w="1350" w:type="dxa"/>
            <w:vAlign w:val="center"/>
          </w:tcPr>
          <w:p w14:paraId="6B5DEB46"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D17BF43" w14:textId="77777777" w:rsidR="00183F07" w:rsidRPr="00C57C0F" w:rsidRDefault="00183F07">
            <w:pPr>
              <w:ind w:firstLine="121"/>
              <w:jc w:val="center"/>
              <w:rPr>
                <w:rFonts w:ascii="Cambria" w:hAnsi="Cambria" w:cstheme="minorHAnsi"/>
                <w:sz w:val="18"/>
                <w:szCs w:val="18"/>
              </w:rPr>
            </w:pPr>
          </w:p>
        </w:tc>
        <w:tc>
          <w:tcPr>
            <w:tcW w:w="1170" w:type="dxa"/>
            <w:vAlign w:val="center"/>
          </w:tcPr>
          <w:p w14:paraId="6311374B"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26831CCD"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0EF4B52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6F550F7A" w14:textId="77777777">
        <w:trPr>
          <w:cnfStyle w:val="000000100000" w:firstRow="0" w:lastRow="0" w:firstColumn="0" w:lastColumn="0" w:oddVBand="0" w:evenVBand="0" w:oddHBand="1" w:evenHBand="0" w:firstRowFirstColumn="0" w:firstRowLastColumn="0" w:lastRowFirstColumn="0" w:lastRowLastColumn="0"/>
          <w:trHeight w:val="675"/>
          <w:jc w:val="center"/>
        </w:trPr>
        <w:tc>
          <w:tcPr>
            <w:tcW w:w="1620" w:type="dxa"/>
            <w:vAlign w:val="center"/>
          </w:tcPr>
          <w:p w14:paraId="44A09307"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490-03, Report No. 81/09 "X" (Chile)</w:t>
            </w:r>
            <w:r w:rsidRPr="00C57C0F">
              <w:rPr>
                <w:rFonts w:ascii="Cambria" w:hAnsi="Cambria" w:cstheme="minorHAnsi"/>
                <w:sz w:val="18"/>
                <w:szCs w:val="18"/>
                <w:vertAlign w:val="superscript"/>
              </w:rPr>
              <w:footnoteReference w:id="34"/>
            </w:r>
          </w:p>
        </w:tc>
        <w:tc>
          <w:tcPr>
            <w:tcW w:w="1170" w:type="dxa"/>
            <w:vMerge/>
            <w:shd w:val="clear" w:color="auto" w:fill="BFBFBF" w:themeFill="background1" w:themeFillShade="BF"/>
            <w:vAlign w:val="center"/>
          </w:tcPr>
          <w:p w14:paraId="5F353A6C" w14:textId="77777777" w:rsidR="00183F07" w:rsidRPr="00C57C0F" w:rsidRDefault="00183F07">
            <w:pPr>
              <w:jc w:val="center"/>
              <w:rPr>
                <w:rFonts w:ascii="Cambria" w:hAnsi="Cambria" w:cstheme="minorHAnsi"/>
                <w:sz w:val="18"/>
                <w:szCs w:val="18"/>
              </w:rPr>
            </w:pPr>
          </w:p>
        </w:tc>
        <w:tc>
          <w:tcPr>
            <w:tcW w:w="1350" w:type="dxa"/>
            <w:vAlign w:val="center"/>
          </w:tcPr>
          <w:p w14:paraId="180F3AFF"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1B57027C" w14:textId="77777777" w:rsidR="00183F07" w:rsidRPr="00C57C0F" w:rsidRDefault="00183F07">
            <w:pPr>
              <w:ind w:firstLine="121"/>
              <w:jc w:val="center"/>
              <w:rPr>
                <w:rFonts w:ascii="Cambria" w:hAnsi="Cambria" w:cstheme="minorHAnsi"/>
                <w:sz w:val="18"/>
                <w:szCs w:val="18"/>
              </w:rPr>
            </w:pPr>
          </w:p>
        </w:tc>
        <w:tc>
          <w:tcPr>
            <w:tcW w:w="1170" w:type="dxa"/>
            <w:vAlign w:val="center"/>
          </w:tcPr>
          <w:p w14:paraId="74070B36"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4D461159"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1414718E"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55E6D47F" w14:textId="77777777">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2D3FB2AF" w14:textId="77777777" w:rsidR="00183F07" w:rsidRPr="00183F07" w:rsidRDefault="00183F07" w:rsidP="00933F91">
            <w:pPr>
              <w:numPr>
                <w:ilvl w:val="0"/>
                <w:numId w:val="70"/>
              </w:numPr>
              <w:tabs>
                <w:tab w:val="num" w:pos="522"/>
              </w:tabs>
              <w:ind w:firstLine="0"/>
              <w:jc w:val="both"/>
              <w:rPr>
                <w:rFonts w:ascii="Cambria" w:hAnsi="Cambria" w:cstheme="minorHAnsi"/>
                <w:sz w:val="18"/>
                <w:szCs w:val="18"/>
                <w:lang w:val="es-AR"/>
              </w:rPr>
            </w:pPr>
            <w:r w:rsidRPr="00183F07">
              <w:rPr>
                <w:rFonts w:ascii="Cambria" w:hAnsi="Cambria" w:cstheme="minorHAnsi"/>
                <w:sz w:val="18"/>
                <w:szCs w:val="18"/>
                <w:lang w:val="es-AR"/>
              </w:rPr>
              <w:t>Case 12.281, Report No. 162/10, Gilda Rosario Pizarro et al. (Chile)</w:t>
            </w:r>
            <w:r w:rsidRPr="00C57C0F">
              <w:rPr>
                <w:rFonts w:ascii="Cambria" w:hAnsi="Cambria" w:cstheme="minorHAnsi"/>
                <w:sz w:val="18"/>
                <w:szCs w:val="18"/>
                <w:vertAlign w:val="superscript"/>
              </w:rPr>
              <w:footnoteReference w:id="35"/>
            </w:r>
          </w:p>
        </w:tc>
        <w:tc>
          <w:tcPr>
            <w:tcW w:w="1170" w:type="dxa"/>
            <w:vMerge/>
            <w:shd w:val="clear" w:color="auto" w:fill="BFBFBF" w:themeFill="background1" w:themeFillShade="BF"/>
            <w:vAlign w:val="center"/>
          </w:tcPr>
          <w:p w14:paraId="7FB6A4AF" w14:textId="77777777" w:rsidR="00183F07" w:rsidRPr="00183F07" w:rsidRDefault="00183F07">
            <w:pPr>
              <w:jc w:val="center"/>
              <w:rPr>
                <w:rFonts w:ascii="Cambria" w:hAnsi="Cambria" w:cstheme="minorHAnsi"/>
                <w:sz w:val="18"/>
                <w:szCs w:val="18"/>
                <w:lang w:val="es-AR"/>
              </w:rPr>
            </w:pPr>
          </w:p>
        </w:tc>
        <w:tc>
          <w:tcPr>
            <w:tcW w:w="1350" w:type="dxa"/>
            <w:vAlign w:val="center"/>
          </w:tcPr>
          <w:p w14:paraId="1CD8C7D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378072F" w14:textId="77777777" w:rsidR="00183F07" w:rsidRPr="00C57C0F" w:rsidRDefault="00183F07">
            <w:pPr>
              <w:ind w:firstLine="121"/>
              <w:jc w:val="center"/>
              <w:rPr>
                <w:rFonts w:ascii="Cambria" w:hAnsi="Cambria" w:cstheme="minorHAnsi"/>
                <w:sz w:val="18"/>
                <w:szCs w:val="18"/>
              </w:rPr>
            </w:pPr>
          </w:p>
        </w:tc>
        <w:tc>
          <w:tcPr>
            <w:tcW w:w="1170" w:type="dxa"/>
            <w:vAlign w:val="center"/>
          </w:tcPr>
          <w:p w14:paraId="6EB85BC1"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31A4F878"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20DCE91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4530D84D" w14:textId="77777777">
        <w:trPr>
          <w:cnfStyle w:val="000000100000" w:firstRow="0" w:lastRow="0" w:firstColumn="0" w:lastColumn="0" w:oddVBand="0" w:evenVBand="0" w:oddHBand="1" w:evenHBand="0" w:firstRowFirstColumn="0" w:firstRowLastColumn="0" w:lastRowFirstColumn="0" w:lastRowLastColumn="0"/>
          <w:trHeight w:val="1026"/>
          <w:jc w:val="center"/>
        </w:trPr>
        <w:tc>
          <w:tcPr>
            <w:tcW w:w="1620" w:type="dxa"/>
            <w:vAlign w:val="center"/>
          </w:tcPr>
          <w:p w14:paraId="1372EE5F"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12.195, Report No. 163/10, Mario Alberto Jara Oñate (Chile)</w:t>
            </w:r>
            <w:r w:rsidRPr="00C57C0F">
              <w:rPr>
                <w:rFonts w:ascii="Cambria" w:hAnsi="Cambria" w:cstheme="minorHAnsi"/>
                <w:sz w:val="18"/>
                <w:szCs w:val="18"/>
                <w:vertAlign w:val="superscript"/>
              </w:rPr>
              <w:footnoteReference w:id="36"/>
            </w:r>
          </w:p>
        </w:tc>
        <w:tc>
          <w:tcPr>
            <w:tcW w:w="1170" w:type="dxa"/>
            <w:vMerge/>
            <w:shd w:val="clear" w:color="auto" w:fill="BFBFBF" w:themeFill="background1" w:themeFillShade="BF"/>
            <w:vAlign w:val="center"/>
          </w:tcPr>
          <w:p w14:paraId="3B2F6B02" w14:textId="77777777" w:rsidR="00183F07" w:rsidRPr="00C57C0F" w:rsidRDefault="00183F07">
            <w:pPr>
              <w:jc w:val="center"/>
              <w:rPr>
                <w:rFonts w:ascii="Cambria" w:hAnsi="Cambria" w:cstheme="minorHAnsi"/>
                <w:sz w:val="18"/>
                <w:szCs w:val="18"/>
              </w:rPr>
            </w:pPr>
          </w:p>
        </w:tc>
        <w:tc>
          <w:tcPr>
            <w:tcW w:w="1350" w:type="dxa"/>
            <w:vAlign w:val="center"/>
          </w:tcPr>
          <w:p w14:paraId="252903E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1882032" w14:textId="77777777" w:rsidR="00183F07" w:rsidRPr="00C57C0F" w:rsidRDefault="00183F07">
            <w:pPr>
              <w:ind w:firstLine="121"/>
              <w:jc w:val="center"/>
              <w:rPr>
                <w:rFonts w:ascii="Cambria" w:hAnsi="Cambria" w:cstheme="minorHAnsi"/>
                <w:sz w:val="18"/>
                <w:szCs w:val="18"/>
              </w:rPr>
            </w:pPr>
          </w:p>
        </w:tc>
        <w:tc>
          <w:tcPr>
            <w:tcW w:w="1170" w:type="dxa"/>
            <w:vAlign w:val="center"/>
          </w:tcPr>
          <w:p w14:paraId="4E47DF20"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3647BAF9"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8DCAEF5"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1FEFBEFA" w14:textId="77777777">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7DE6E001"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lastRenderedPageBreak/>
              <w:t>Case 12.232, Report No. 86/11, María Soledad Cisternas (Chile)</w:t>
            </w:r>
            <w:r w:rsidRPr="00C57C0F">
              <w:rPr>
                <w:rFonts w:ascii="Cambria" w:hAnsi="Cambria" w:cstheme="minorHAnsi"/>
                <w:sz w:val="18"/>
                <w:szCs w:val="18"/>
                <w:vertAlign w:val="superscript"/>
              </w:rPr>
              <w:footnoteReference w:id="37"/>
            </w:r>
          </w:p>
        </w:tc>
        <w:tc>
          <w:tcPr>
            <w:tcW w:w="1170" w:type="dxa"/>
            <w:vMerge/>
            <w:shd w:val="clear" w:color="auto" w:fill="BFBFBF" w:themeFill="background1" w:themeFillShade="BF"/>
            <w:vAlign w:val="center"/>
          </w:tcPr>
          <w:p w14:paraId="1D2C84FF" w14:textId="77777777" w:rsidR="00183F07" w:rsidRPr="00C57C0F" w:rsidRDefault="00183F07">
            <w:pPr>
              <w:jc w:val="center"/>
              <w:rPr>
                <w:rFonts w:ascii="Cambria" w:hAnsi="Cambria" w:cstheme="minorHAnsi"/>
                <w:sz w:val="18"/>
                <w:szCs w:val="18"/>
              </w:rPr>
            </w:pPr>
          </w:p>
        </w:tc>
        <w:tc>
          <w:tcPr>
            <w:tcW w:w="1350" w:type="dxa"/>
            <w:vAlign w:val="center"/>
          </w:tcPr>
          <w:p w14:paraId="4FF6DD36"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C9151C2" w14:textId="77777777" w:rsidR="00183F07" w:rsidRPr="00C57C0F" w:rsidRDefault="00183F07">
            <w:pPr>
              <w:ind w:firstLine="121"/>
              <w:jc w:val="center"/>
              <w:rPr>
                <w:rFonts w:ascii="Cambria" w:hAnsi="Cambria" w:cstheme="minorHAnsi"/>
                <w:sz w:val="18"/>
                <w:szCs w:val="18"/>
              </w:rPr>
            </w:pPr>
          </w:p>
        </w:tc>
        <w:tc>
          <w:tcPr>
            <w:tcW w:w="1170" w:type="dxa"/>
            <w:vAlign w:val="center"/>
          </w:tcPr>
          <w:p w14:paraId="7DFA63F4"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09D977BD"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6D336F1"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1D0DA3F5" w14:textId="77777777">
        <w:trPr>
          <w:cnfStyle w:val="000000100000" w:firstRow="0" w:lastRow="0" w:firstColumn="0" w:lastColumn="0" w:oddVBand="0" w:evenVBand="0" w:oddHBand="1" w:evenHBand="0" w:firstRowFirstColumn="0" w:firstRowLastColumn="0" w:lastRowFirstColumn="0" w:lastRowLastColumn="0"/>
          <w:trHeight w:val="1035"/>
          <w:jc w:val="center"/>
        </w:trPr>
        <w:tc>
          <w:tcPr>
            <w:tcW w:w="1620" w:type="dxa"/>
            <w:vAlign w:val="center"/>
          </w:tcPr>
          <w:p w14:paraId="4B7E4760"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687-11, Report No. 138/19,</w:t>
            </w:r>
            <w:r w:rsidRPr="00C57C0F">
              <w:rPr>
                <w:rFonts w:ascii="Cambria" w:hAnsi="Cambria" w:cstheme="minorHAnsi"/>
                <w:color w:val="333333"/>
                <w:sz w:val="18"/>
                <w:szCs w:val="18"/>
                <w:shd w:val="clear" w:color="auto" w:fill="FFFFFF"/>
              </w:rPr>
              <w:t xml:space="preserve"> </w:t>
            </w:r>
            <w:r w:rsidRPr="00C57C0F">
              <w:rPr>
                <w:rFonts w:ascii="Cambria" w:hAnsi="Cambria" w:cstheme="minorHAnsi"/>
                <w:sz w:val="18"/>
                <w:szCs w:val="18"/>
              </w:rPr>
              <w:t>Gabriela Blas Blas and her daughter C.B.B. (Chile)</w:t>
            </w:r>
          </w:p>
        </w:tc>
        <w:tc>
          <w:tcPr>
            <w:tcW w:w="1170" w:type="dxa"/>
            <w:vMerge/>
            <w:shd w:val="clear" w:color="auto" w:fill="BFBFBF" w:themeFill="background1" w:themeFillShade="BF"/>
            <w:vAlign w:val="center"/>
          </w:tcPr>
          <w:p w14:paraId="4684FD73" w14:textId="77777777" w:rsidR="00183F07" w:rsidRPr="00C57C0F" w:rsidRDefault="00183F07">
            <w:pPr>
              <w:jc w:val="center"/>
              <w:rPr>
                <w:rFonts w:ascii="Cambria" w:hAnsi="Cambria" w:cstheme="minorHAnsi"/>
                <w:color w:val="1F497D"/>
                <w:sz w:val="18"/>
                <w:szCs w:val="18"/>
              </w:rPr>
            </w:pPr>
          </w:p>
        </w:tc>
        <w:tc>
          <w:tcPr>
            <w:tcW w:w="1350" w:type="dxa"/>
            <w:vAlign w:val="center"/>
          </w:tcPr>
          <w:p w14:paraId="76FBFADE" w14:textId="77777777" w:rsidR="00183F07" w:rsidRPr="00C57C0F" w:rsidRDefault="00183F07">
            <w:pPr>
              <w:jc w:val="center"/>
              <w:rPr>
                <w:rFonts w:ascii="Cambria" w:hAnsi="Cambria" w:cstheme="minorHAnsi"/>
                <w:sz w:val="18"/>
                <w:szCs w:val="18"/>
              </w:rPr>
            </w:pPr>
          </w:p>
        </w:tc>
        <w:tc>
          <w:tcPr>
            <w:tcW w:w="1170" w:type="dxa"/>
            <w:vAlign w:val="center"/>
          </w:tcPr>
          <w:p w14:paraId="3BD40B8A" w14:textId="77777777" w:rsidR="00183F07" w:rsidRPr="00C57C0F" w:rsidRDefault="00183F07">
            <w:pPr>
              <w:ind w:firstLine="121"/>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0CB6E65"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2756FA8D"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rPr>
              <w:t>83%</w:t>
            </w:r>
          </w:p>
        </w:tc>
        <w:tc>
          <w:tcPr>
            <w:tcW w:w="1260" w:type="dxa"/>
            <w:vAlign w:val="center"/>
          </w:tcPr>
          <w:p w14:paraId="4ED6AF3D"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5A5B91A8" w14:textId="77777777">
        <w:trPr>
          <w:cnfStyle w:val="000000010000" w:firstRow="0" w:lastRow="0" w:firstColumn="0" w:lastColumn="0" w:oddVBand="0" w:evenVBand="0" w:oddHBand="0" w:evenHBand="1" w:firstRowFirstColumn="0" w:firstRowLastColumn="0" w:lastRowFirstColumn="0" w:lastRowLastColumn="0"/>
          <w:trHeight w:val="1215"/>
          <w:jc w:val="center"/>
        </w:trPr>
        <w:tc>
          <w:tcPr>
            <w:tcW w:w="1620" w:type="dxa"/>
            <w:vAlign w:val="center"/>
          </w:tcPr>
          <w:p w14:paraId="2F57BDF4"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12.190; Report No. 37/19, Jose Luis Tapia, and Other Members of the Carabineros (Chile)</w:t>
            </w:r>
            <w:r w:rsidRPr="00C57C0F">
              <w:rPr>
                <w:rFonts w:ascii="Cambria" w:hAnsi="Cambria" w:cstheme="minorHAnsi"/>
                <w:sz w:val="18"/>
                <w:szCs w:val="18"/>
                <w:vertAlign w:val="superscript"/>
              </w:rPr>
              <w:footnoteReference w:id="38"/>
            </w:r>
          </w:p>
        </w:tc>
        <w:tc>
          <w:tcPr>
            <w:tcW w:w="1170" w:type="dxa"/>
            <w:vMerge/>
            <w:shd w:val="clear" w:color="auto" w:fill="BFBFBF" w:themeFill="background1" w:themeFillShade="BF"/>
            <w:vAlign w:val="center"/>
          </w:tcPr>
          <w:p w14:paraId="541F0C36" w14:textId="77777777" w:rsidR="00183F07" w:rsidRPr="00C57C0F" w:rsidRDefault="00183F07">
            <w:pPr>
              <w:jc w:val="center"/>
              <w:rPr>
                <w:rFonts w:ascii="Cambria" w:hAnsi="Cambria" w:cstheme="minorHAnsi"/>
                <w:color w:val="1F497D"/>
                <w:sz w:val="18"/>
                <w:szCs w:val="18"/>
              </w:rPr>
            </w:pPr>
          </w:p>
        </w:tc>
        <w:tc>
          <w:tcPr>
            <w:tcW w:w="1350" w:type="dxa"/>
            <w:vAlign w:val="center"/>
          </w:tcPr>
          <w:p w14:paraId="462453E6"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AB3880D" w14:textId="77777777" w:rsidR="00183F07" w:rsidRPr="00C57C0F" w:rsidRDefault="00183F07">
            <w:pPr>
              <w:ind w:firstLine="121"/>
              <w:jc w:val="center"/>
              <w:rPr>
                <w:rFonts w:ascii="Cambria" w:hAnsi="Cambria" w:cstheme="minorHAnsi"/>
                <w:sz w:val="18"/>
                <w:szCs w:val="18"/>
              </w:rPr>
            </w:pPr>
          </w:p>
        </w:tc>
        <w:tc>
          <w:tcPr>
            <w:tcW w:w="1170" w:type="dxa"/>
            <w:vAlign w:val="center"/>
          </w:tcPr>
          <w:p w14:paraId="54775155"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0078186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1A4CD7D3"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p w14:paraId="11007A2C" w14:textId="77777777" w:rsidR="00183F07" w:rsidRPr="00C57C0F" w:rsidRDefault="00183F07">
            <w:pPr>
              <w:jc w:val="center"/>
              <w:rPr>
                <w:rFonts w:ascii="Cambria" w:hAnsi="Cambria" w:cstheme="minorHAnsi"/>
                <w:sz w:val="18"/>
                <w:szCs w:val="18"/>
              </w:rPr>
            </w:pPr>
          </w:p>
        </w:tc>
      </w:tr>
      <w:tr w:rsidR="00183F07" w:rsidRPr="00C57C0F" w14:paraId="6AB7D0E0" w14:textId="77777777">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05EFCDE9"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Case12.233, Report No. 137/19, Víctor Amestica Moreno and Others (Chile)</w:t>
            </w:r>
            <w:r w:rsidRPr="00C57C0F">
              <w:rPr>
                <w:rStyle w:val="FootnoteReference"/>
                <w:rFonts w:ascii="Cambria" w:hAnsi="Cambria" w:cstheme="minorHAnsi"/>
                <w:sz w:val="18"/>
                <w:szCs w:val="18"/>
              </w:rPr>
              <w:footnoteReference w:id="39"/>
            </w:r>
          </w:p>
        </w:tc>
        <w:tc>
          <w:tcPr>
            <w:tcW w:w="1170" w:type="dxa"/>
            <w:vMerge/>
            <w:shd w:val="clear" w:color="auto" w:fill="BFBFBF" w:themeFill="background1" w:themeFillShade="BF"/>
            <w:vAlign w:val="center"/>
          </w:tcPr>
          <w:p w14:paraId="5BBB26C7" w14:textId="77777777" w:rsidR="00183F07" w:rsidRPr="00C57C0F" w:rsidRDefault="00183F07">
            <w:pPr>
              <w:jc w:val="center"/>
              <w:rPr>
                <w:rFonts w:ascii="Cambria" w:hAnsi="Cambria" w:cstheme="minorHAnsi"/>
                <w:color w:val="1F497D"/>
                <w:sz w:val="18"/>
                <w:szCs w:val="18"/>
              </w:rPr>
            </w:pPr>
          </w:p>
        </w:tc>
        <w:tc>
          <w:tcPr>
            <w:tcW w:w="1350" w:type="dxa"/>
            <w:vAlign w:val="center"/>
          </w:tcPr>
          <w:p w14:paraId="35CB96E8"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E690A5C" w14:textId="77777777" w:rsidR="00183F07" w:rsidRPr="00C57C0F" w:rsidRDefault="00183F07">
            <w:pPr>
              <w:ind w:firstLine="121"/>
              <w:jc w:val="center"/>
              <w:rPr>
                <w:rFonts w:ascii="Cambria" w:hAnsi="Cambria" w:cstheme="minorHAnsi"/>
                <w:sz w:val="18"/>
                <w:szCs w:val="18"/>
              </w:rPr>
            </w:pPr>
          </w:p>
        </w:tc>
        <w:tc>
          <w:tcPr>
            <w:tcW w:w="1170" w:type="dxa"/>
            <w:vAlign w:val="center"/>
          </w:tcPr>
          <w:p w14:paraId="7EBF6195"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0F0F7C21"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6019C026"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p w14:paraId="56ED5A8E" w14:textId="77777777" w:rsidR="00183F07" w:rsidRPr="00C57C0F" w:rsidRDefault="00183F07">
            <w:pPr>
              <w:jc w:val="center"/>
              <w:rPr>
                <w:rFonts w:ascii="Cambria" w:hAnsi="Cambria" w:cstheme="minorHAnsi"/>
                <w:sz w:val="18"/>
                <w:szCs w:val="18"/>
              </w:rPr>
            </w:pPr>
          </w:p>
        </w:tc>
      </w:tr>
      <w:tr w:rsidR="00183F07" w:rsidRPr="00C57C0F" w14:paraId="20E57F0E" w14:textId="77777777">
        <w:trPr>
          <w:cnfStyle w:val="000000010000" w:firstRow="0" w:lastRow="0" w:firstColumn="0" w:lastColumn="0" w:oddVBand="0" w:evenVBand="0" w:oddHBand="0" w:evenHBand="1" w:firstRowFirstColumn="0" w:firstRowLastColumn="0" w:lastRowFirstColumn="0" w:lastRowLastColumn="0"/>
          <w:trHeight w:val="972"/>
          <w:jc w:val="center"/>
        </w:trPr>
        <w:tc>
          <w:tcPr>
            <w:tcW w:w="1620" w:type="dxa"/>
            <w:vAlign w:val="center"/>
          </w:tcPr>
          <w:p w14:paraId="28D512AB"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1275-04 A, Report No. 23/20, Juan Luis Rivera Matus (Chile)</w:t>
            </w:r>
            <w:r w:rsidRPr="00C57C0F">
              <w:rPr>
                <w:rStyle w:val="FootnoteReference"/>
                <w:rFonts w:ascii="Cambria" w:hAnsi="Cambria" w:cstheme="minorHAnsi"/>
                <w:sz w:val="18"/>
                <w:szCs w:val="18"/>
              </w:rPr>
              <w:footnoteReference w:id="40"/>
            </w:r>
          </w:p>
        </w:tc>
        <w:tc>
          <w:tcPr>
            <w:tcW w:w="1170" w:type="dxa"/>
            <w:vMerge/>
            <w:shd w:val="clear" w:color="auto" w:fill="BFBFBF" w:themeFill="background1" w:themeFillShade="BF"/>
            <w:vAlign w:val="center"/>
          </w:tcPr>
          <w:p w14:paraId="1139F62D" w14:textId="77777777" w:rsidR="00183F07" w:rsidRPr="00C57C0F" w:rsidRDefault="00183F07">
            <w:pPr>
              <w:jc w:val="center"/>
              <w:rPr>
                <w:rFonts w:ascii="Cambria" w:hAnsi="Cambria" w:cstheme="minorHAnsi"/>
                <w:color w:val="1F497D"/>
                <w:sz w:val="18"/>
                <w:szCs w:val="18"/>
              </w:rPr>
            </w:pPr>
          </w:p>
        </w:tc>
        <w:tc>
          <w:tcPr>
            <w:tcW w:w="1350" w:type="dxa"/>
            <w:vAlign w:val="center"/>
          </w:tcPr>
          <w:p w14:paraId="77A5DDD5"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13C2B24" w14:textId="77777777" w:rsidR="00183F07" w:rsidRPr="00C57C0F" w:rsidRDefault="00183F07">
            <w:pPr>
              <w:ind w:firstLine="121"/>
              <w:jc w:val="center"/>
              <w:rPr>
                <w:rFonts w:ascii="Cambria" w:hAnsi="Cambria" w:cstheme="minorHAnsi"/>
                <w:sz w:val="18"/>
                <w:szCs w:val="18"/>
              </w:rPr>
            </w:pPr>
          </w:p>
        </w:tc>
        <w:tc>
          <w:tcPr>
            <w:tcW w:w="1170" w:type="dxa"/>
            <w:vAlign w:val="center"/>
          </w:tcPr>
          <w:p w14:paraId="6C4FDA2B"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4E719882"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6F49AD9"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78DE9F4C" w14:textId="77777777">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1F47F841"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32" w:anchor="11.141">
              <w:r w:rsidR="00183F07" w:rsidRPr="00C57C0F">
                <w:rPr>
                  <w:rFonts w:ascii="Cambria" w:hAnsi="Cambria" w:cstheme="minorHAnsi"/>
                  <w:sz w:val="18"/>
                  <w:szCs w:val="18"/>
                </w:rPr>
                <w:t>Case 11.141</w:t>
              </w:r>
            </w:hyperlink>
            <w:r w:rsidR="00183F07" w:rsidRPr="00C57C0F">
              <w:rPr>
                <w:rFonts w:ascii="Cambria" w:hAnsi="Cambria" w:cstheme="minorHAnsi"/>
                <w:sz w:val="18"/>
                <w:szCs w:val="18"/>
              </w:rPr>
              <w:t>, Report No. 105/05, Massacre of Villatina (Colombia)</w:t>
            </w:r>
            <w:r w:rsidR="00183F07" w:rsidRPr="00C57C0F">
              <w:rPr>
                <w:rStyle w:val="FootnoteReference"/>
                <w:rFonts w:ascii="Cambria" w:hAnsi="Cambria" w:cstheme="minorHAnsi"/>
                <w:sz w:val="18"/>
                <w:szCs w:val="18"/>
              </w:rPr>
              <w:footnoteReference w:id="41"/>
            </w:r>
          </w:p>
        </w:tc>
        <w:tc>
          <w:tcPr>
            <w:tcW w:w="1170" w:type="dxa"/>
            <w:vMerge w:val="restart"/>
            <w:vAlign w:val="center"/>
          </w:tcPr>
          <w:p w14:paraId="270BA9FC" w14:textId="6355C494" w:rsidR="00183F07" w:rsidRPr="00C57C0F" w:rsidRDefault="0071198A">
            <w:pPr>
              <w:jc w:val="center"/>
              <w:rPr>
                <w:rFonts w:ascii="Cambria" w:hAnsi="Cambria" w:cstheme="minorHAnsi"/>
                <w:sz w:val="18"/>
                <w:szCs w:val="18"/>
              </w:rPr>
            </w:pPr>
            <w:hyperlink r:id="rId33" w:history="1">
              <w:r w:rsidR="00183F07" w:rsidRPr="000B72ED">
                <w:rPr>
                  <w:rStyle w:val="Hyperlink"/>
                  <w:rFonts w:ascii="Cambria" w:eastAsiaTheme="minorHAnsi" w:hAnsi="Cambria" w:cstheme="minorHAnsi"/>
                  <w:sz w:val="18"/>
                  <w:szCs w:val="18"/>
                </w:rPr>
                <w:t xml:space="preserve">Link to monitoring sheets on matters related to reports of friendly settlement agreements of Colombia that are </w:t>
              </w:r>
              <w:r w:rsidR="00183F07" w:rsidRPr="000B72ED">
                <w:rPr>
                  <w:rStyle w:val="Hyperlink"/>
                  <w:rFonts w:ascii="Cambria" w:eastAsiaTheme="minorHAnsi" w:hAnsi="Cambria" w:cstheme="minorHAnsi"/>
                  <w:sz w:val="18"/>
                  <w:szCs w:val="18"/>
                </w:rPr>
                <w:lastRenderedPageBreak/>
                <w:t>subject to monitoring</w:t>
              </w:r>
            </w:hyperlink>
            <w:r w:rsidR="00183F07" w:rsidRPr="00C57C0F">
              <w:rPr>
                <w:rFonts w:ascii="Cambria" w:hAnsi="Cambria" w:cstheme="minorHAnsi"/>
                <w:sz w:val="18"/>
                <w:szCs w:val="18"/>
              </w:rPr>
              <w:t xml:space="preserve"> </w:t>
            </w:r>
          </w:p>
        </w:tc>
        <w:tc>
          <w:tcPr>
            <w:tcW w:w="1350" w:type="dxa"/>
            <w:vAlign w:val="center"/>
          </w:tcPr>
          <w:p w14:paraId="0584F042"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lastRenderedPageBreak/>
              <w:t>X</w:t>
            </w:r>
          </w:p>
        </w:tc>
        <w:tc>
          <w:tcPr>
            <w:tcW w:w="1170" w:type="dxa"/>
            <w:vAlign w:val="center"/>
          </w:tcPr>
          <w:p w14:paraId="5801C0EF" w14:textId="77777777" w:rsidR="00183F07" w:rsidRPr="00C57C0F" w:rsidRDefault="00183F07">
            <w:pPr>
              <w:ind w:firstLine="121"/>
              <w:jc w:val="center"/>
              <w:rPr>
                <w:rFonts w:ascii="Cambria" w:hAnsi="Cambria" w:cstheme="minorHAnsi"/>
                <w:sz w:val="18"/>
                <w:szCs w:val="18"/>
              </w:rPr>
            </w:pPr>
          </w:p>
        </w:tc>
        <w:tc>
          <w:tcPr>
            <w:tcW w:w="1170" w:type="dxa"/>
            <w:vAlign w:val="center"/>
          </w:tcPr>
          <w:p w14:paraId="56536A10"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5918CE77"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27B57F3A"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7B672046" w14:textId="77777777">
        <w:trPr>
          <w:cnfStyle w:val="000000010000" w:firstRow="0" w:lastRow="0" w:firstColumn="0" w:lastColumn="0" w:oddVBand="0" w:evenVBand="0" w:oddHBand="0" w:evenHBand="1" w:firstRowFirstColumn="0" w:firstRowLastColumn="0" w:lastRowFirstColumn="0" w:lastRowLastColumn="0"/>
          <w:trHeight w:val="1116"/>
          <w:jc w:val="center"/>
        </w:trPr>
        <w:tc>
          <w:tcPr>
            <w:tcW w:w="1620" w:type="dxa"/>
            <w:vAlign w:val="center"/>
          </w:tcPr>
          <w:p w14:paraId="0F920E8A"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34" w:anchor="10.205">
              <w:r w:rsidR="00183F07" w:rsidRPr="00C57C0F">
                <w:rPr>
                  <w:rFonts w:ascii="Cambria" w:hAnsi="Cambria" w:cstheme="minorHAnsi"/>
                  <w:sz w:val="18"/>
                  <w:szCs w:val="18"/>
                </w:rPr>
                <w:t>Case 10.205</w:t>
              </w:r>
            </w:hyperlink>
            <w:r w:rsidR="00183F07" w:rsidRPr="00C57C0F">
              <w:rPr>
                <w:rFonts w:ascii="Cambria" w:hAnsi="Cambria" w:cstheme="minorHAnsi"/>
                <w:sz w:val="18"/>
                <w:szCs w:val="18"/>
              </w:rPr>
              <w:t>, Report No. 53/06, Germán Enrique Guerra Achuri (Colombia)</w:t>
            </w:r>
            <w:r w:rsidR="00183F07" w:rsidRPr="00C57C0F">
              <w:rPr>
                <w:rFonts w:ascii="Cambria" w:hAnsi="Cambria" w:cstheme="minorHAnsi"/>
                <w:sz w:val="18"/>
                <w:szCs w:val="18"/>
                <w:vertAlign w:val="superscript"/>
              </w:rPr>
              <w:footnoteReference w:id="42"/>
            </w:r>
          </w:p>
        </w:tc>
        <w:tc>
          <w:tcPr>
            <w:tcW w:w="1170" w:type="dxa"/>
            <w:vMerge/>
            <w:vAlign w:val="center"/>
          </w:tcPr>
          <w:p w14:paraId="71447535" w14:textId="77777777" w:rsidR="00183F07" w:rsidRPr="00C57C0F" w:rsidRDefault="00183F07">
            <w:pPr>
              <w:jc w:val="center"/>
              <w:rPr>
                <w:rFonts w:ascii="Cambria" w:hAnsi="Cambria" w:cstheme="minorHAnsi"/>
                <w:sz w:val="18"/>
                <w:szCs w:val="18"/>
              </w:rPr>
            </w:pPr>
          </w:p>
        </w:tc>
        <w:tc>
          <w:tcPr>
            <w:tcW w:w="1350" w:type="dxa"/>
            <w:vAlign w:val="center"/>
          </w:tcPr>
          <w:p w14:paraId="6A51717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17B6602" w14:textId="77777777" w:rsidR="00183F07" w:rsidRPr="00C57C0F" w:rsidRDefault="00183F07">
            <w:pPr>
              <w:ind w:firstLine="121"/>
              <w:jc w:val="center"/>
              <w:rPr>
                <w:rFonts w:ascii="Cambria" w:hAnsi="Cambria" w:cstheme="minorHAnsi"/>
                <w:sz w:val="18"/>
                <w:szCs w:val="18"/>
              </w:rPr>
            </w:pPr>
          </w:p>
        </w:tc>
        <w:tc>
          <w:tcPr>
            <w:tcW w:w="1170" w:type="dxa"/>
            <w:vAlign w:val="center"/>
          </w:tcPr>
          <w:p w14:paraId="06052AE7"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0F4BA109"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636D83D3"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6B2E65B0" w14:textId="77777777">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3E4E097A"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lastRenderedPageBreak/>
              <w:t>Petition 477-05, Report No. 82/08 X and relatives (Colombia)</w:t>
            </w:r>
            <w:r w:rsidRPr="00C57C0F">
              <w:rPr>
                <w:rFonts w:ascii="Cambria" w:hAnsi="Cambria" w:cstheme="minorHAnsi"/>
                <w:sz w:val="18"/>
                <w:szCs w:val="18"/>
                <w:vertAlign w:val="superscript"/>
              </w:rPr>
              <w:footnoteReference w:id="43"/>
            </w:r>
          </w:p>
        </w:tc>
        <w:tc>
          <w:tcPr>
            <w:tcW w:w="1170" w:type="dxa"/>
            <w:vMerge/>
            <w:vAlign w:val="center"/>
          </w:tcPr>
          <w:p w14:paraId="52CE6476" w14:textId="77777777" w:rsidR="00183F07" w:rsidRPr="00C57C0F" w:rsidRDefault="00183F07">
            <w:pPr>
              <w:jc w:val="center"/>
              <w:rPr>
                <w:rFonts w:ascii="Cambria" w:hAnsi="Cambria" w:cstheme="minorHAnsi"/>
                <w:sz w:val="18"/>
                <w:szCs w:val="18"/>
              </w:rPr>
            </w:pPr>
          </w:p>
        </w:tc>
        <w:tc>
          <w:tcPr>
            <w:tcW w:w="1350" w:type="dxa"/>
            <w:vAlign w:val="center"/>
          </w:tcPr>
          <w:p w14:paraId="52F0E639"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EBCECFF" w14:textId="77777777" w:rsidR="00183F07" w:rsidRPr="00C57C0F" w:rsidRDefault="00183F07">
            <w:pPr>
              <w:ind w:firstLine="121"/>
              <w:jc w:val="center"/>
              <w:rPr>
                <w:rFonts w:ascii="Cambria" w:hAnsi="Cambria" w:cstheme="minorHAnsi"/>
                <w:sz w:val="18"/>
                <w:szCs w:val="18"/>
              </w:rPr>
            </w:pPr>
          </w:p>
        </w:tc>
        <w:tc>
          <w:tcPr>
            <w:tcW w:w="1170" w:type="dxa"/>
            <w:vAlign w:val="center"/>
          </w:tcPr>
          <w:p w14:paraId="30DD001A"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2959BCE3"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2B02954"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6D7C9A90" w14:textId="77777777">
        <w:trPr>
          <w:cnfStyle w:val="000000010000" w:firstRow="0" w:lastRow="0" w:firstColumn="0" w:lastColumn="0" w:oddVBand="0" w:evenVBand="0" w:oddHBand="0" w:evenHBand="1" w:firstRowFirstColumn="0" w:firstRowLastColumn="0" w:lastRowFirstColumn="0" w:lastRowLastColumn="0"/>
          <w:trHeight w:val="1134"/>
          <w:jc w:val="center"/>
        </w:trPr>
        <w:tc>
          <w:tcPr>
            <w:tcW w:w="1620" w:type="dxa"/>
            <w:vAlign w:val="center"/>
          </w:tcPr>
          <w:p w14:paraId="6DFFF99C"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 xml:space="preserve">Petition 401-05, Report No. 83/08 Jorge Antonio Barbosa Tarazona </w:t>
            </w:r>
            <w:r w:rsidRPr="00C57C0F">
              <w:rPr>
                <w:rFonts w:ascii="Cambria" w:hAnsi="Cambria" w:cstheme="minorHAnsi"/>
                <w:i/>
                <w:sz w:val="18"/>
                <w:szCs w:val="18"/>
              </w:rPr>
              <w:t xml:space="preserve">et al. </w:t>
            </w:r>
            <w:r w:rsidRPr="00C57C0F">
              <w:rPr>
                <w:rFonts w:ascii="Cambria" w:hAnsi="Cambria" w:cstheme="minorHAnsi"/>
                <w:sz w:val="18"/>
                <w:szCs w:val="18"/>
              </w:rPr>
              <w:t>(Colombia)</w:t>
            </w:r>
          </w:p>
        </w:tc>
        <w:tc>
          <w:tcPr>
            <w:tcW w:w="1170" w:type="dxa"/>
            <w:vMerge/>
            <w:vAlign w:val="center"/>
          </w:tcPr>
          <w:p w14:paraId="1017CC70" w14:textId="77777777" w:rsidR="00183F07" w:rsidRPr="00C57C0F" w:rsidRDefault="00183F07">
            <w:pPr>
              <w:jc w:val="center"/>
              <w:rPr>
                <w:rFonts w:ascii="Cambria" w:hAnsi="Cambria" w:cstheme="minorHAnsi"/>
                <w:sz w:val="18"/>
                <w:szCs w:val="18"/>
              </w:rPr>
            </w:pPr>
          </w:p>
        </w:tc>
        <w:tc>
          <w:tcPr>
            <w:tcW w:w="1350" w:type="dxa"/>
            <w:vAlign w:val="center"/>
          </w:tcPr>
          <w:p w14:paraId="7C0A946A" w14:textId="77777777" w:rsidR="00183F07" w:rsidRPr="00C57C0F" w:rsidRDefault="00183F07">
            <w:pPr>
              <w:jc w:val="center"/>
              <w:rPr>
                <w:rFonts w:ascii="Cambria" w:hAnsi="Cambria" w:cstheme="minorHAnsi"/>
                <w:sz w:val="18"/>
                <w:szCs w:val="18"/>
              </w:rPr>
            </w:pPr>
          </w:p>
        </w:tc>
        <w:tc>
          <w:tcPr>
            <w:tcW w:w="1170" w:type="dxa"/>
            <w:vAlign w:val="center"/>
          </w:tcPr>
          <w:p w14:paraId="3CEC9B65" w14:textId="77777777" w:rsidR="00183F07" w:rsidRPr="00C57C0F" w:rsidRDefault="00183F07">
            <w:pPr>
              <w:ind w:firstLine="41"/>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C125951"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46F95A48"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67%</w:t>
            </w:r>
          </w:p>
        </w:tc>
        <w:tc>
          <w:tcPr>
            <w:tcW w:w="1260" w:type="dxa"/>
            <w:vAlign w:val="center"/>
          </w:tcPr>
          <w:p w14:paraId="67095E89"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5DB60B0E" w14:textId="77777777">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60427C9F"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Case 12.376, Report No. 59/14, Alba Lucía, Rodríguez (Colombia)</w:t>
            </w:r>
          </w:p>
        </w:tc>
        <w:tc>
          <w:tcPr>
            <w:tcW w:w="1170" w:type="dxa"/>
            <w:vMerge/>
            <w:vAlign w:val="center"/>
          </w:tcPr>
          <w:p w14:paraId="71B3D8C5" w14:textId="77777777" w:rsidR="00183F07" w:rsidRPr="00352AC9" w:rsidRDefault="00183F07">
            <w:pPr>
              <w:jc w:val="center"/>
              <w:rPr>
                <w:rFonts w:ascii="Cambria" w:hAnsi="Cambria" w:cstheme="minorHAnsi"/>
                <w:sz w:val="18"/>
                <w:szCs w:val="18"/>
                <w:lang w:val="es-AR"/>
              </w:rPr>
            </w:pPr>
          </w:p>
        </w:tc>
        <w:tc>
          <w:tcPr>
            <w:tcW w:w="1350" w:type="dxa"/>
            <w:vAlign w:val="center"/>
          </w:tcPr>
          <w:p w14:paraId="1B8FE4D2" w14:textId="77777777" w:rsidR="00183F07" w:rsidRPr="00352AC9" w:rsidRDefault="00183F07">
            <w:pPr>
              <w:jc w:val="center"/>
              <w:rPr>
                <w:rFonts w:ascii="Cambria" w:hAnsi="Cambria" w:cstheme="minorHAnsi"/>
                <w:sz w:val="18"/>
                <w:szCs w:val="18"/>
                <w:lang w:val="es-AR"/>
              </w:rPr>
            </w:pPr>
          </w:p>
        </w:tc>
        <w:tc>
          <w:tcPr>
            <w:tcW w:w="1170" w:type="dxa"/>
            <w:vAlign w:val="center"/>
          </w:tcPr>
          <w:p w14:paraId="7A4A0B73"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5A63FB4"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55E698DB"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29%</w:t>
            </w:r>
          </w:p>
        </w:tc>
        <w:tc>
          <w:tcPr>
            <w:tcW w:w="1260" w:type="dxa"/>
            <w:vAlign w:val="center"/>
          </w:tcPr>
          <w:p w14:paraId="0A82F9CE"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21B55683" w14:textId="77777777">
        <w:trPr>
          <w:cnfStyle w:val="000000010000" w:firstRow="0" w:lastRow="0" w:firstColumn="0" w:lastColumn="0" w:oddVBand="0" w:evenVBand="0" w:oddHBand="0" w:evenHBand="1" w:firstRowFirstColumn="0" w:firstRowLastColumn="0" w:lastRowFirstColumn="0" w:lastRowLastColumn="0"/>
          <w:trHeight w:val="1116"/>
          <w:jc w:val="center"/>
        </w:trPr>
        <w:tc>
          <w:tcPr>
            <w:tcW w:w="1620" w:type="dxa"/>
            <w:vAlign w:val="center"/>
          </w:tcPr>
          <w:p w14:paraId="2BD31345"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12.756, Report No. 10/15, Massacre El Aracatazzo Bar (Colombia)</w:t>
            </w:r>
          </w:p>
        </w:tc>
        <w:tc>
          <w:tcPr>
            <w:tcW w:w="1170" w:type="dxa"/>
            <w:vMerge/>
            <w:vAlign w:val="center"/>
          </w:tcPr>
          <w:p w14:paraId="5B970938" w14:textId="77777777" w:rsidR="00183F07" w:rsidRPr="00C57C0F" w:rsidRDefault="00183F07">
            <w:pPr>
              <w:jc w:val="center"/>
              <w:rPr>
                <w:rFonts w:ascii="Cambria" w:hAnsi="Cambria" w:cstheme="minorHAnsi"/>
                <w:sz w:val="18"/>
                <w:szCs w:val="18"/>
              </w:rPr>
            </w:pPr>
          </w:p>
        </w:tc>
        <w:tc>
          <w:tcPr>
            <w:tcW w:w="1350" w:type="dxa"/>
            <w:vAlign w:val="center"/>
          </w:tcPr>
          <w:p w14:paraId="4C498A4D"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3C4B8776" w14:textId="77777777" w:rsidR="00183F07" w:rsidRPr="00C57C0F" w:rsidRDefault="00183F07">
            <w:pPr>
              <w:jc w:val="center"/>
              <w:rPr>
                <w:rFonts w:ascii="Cambria" w:hAnsi="Cambria" w:cstheme="minorHAnsi"/>
                <w:sz w:val="18"/>
                <w:szCs w:val="18"/>
              </w:rPr>
            </w:pPr>
          </w:p>
        </w:tc>
        <w:tc>
          <w:tcPr>
            <w:tcW w:w="1170" w:type="dxa"/>
            <w:vAlign w:val="center"/>
          </w:tcPr>
          <w:p w14:paraId="38988B64"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4F2846C8"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100%</w:t>
            </w:r>
          </w:p>
        </w:tc>
        <w:tc>
          <w:tcPr>
            <w:tcW w:w="1260" w:type="dxa"/>
            <w:vAlign w:val="center"/>
          </w:tcPr>
          <w:p w14:paraId="57303D1F" w14:textId="77777777" w:rsidR="00183F07" w:rsidRPr="00C57C0F" w:rsidRDefault="00183F07">
            <w:pPr>
              <w:jc w:val="center"/>
              <w:rPr>
                <w:rFonts w:ascii="Cambria" w:hAnsi="Cambria" w:cs="Arial"/>
                <w:sz w:val="18"/>
                <w:szCs w:val="18"/>
              </w:rPr>
            </w:pPr>
            <w:r w:rsidRPr="00C57C0F">
              <w:rPr>
                <w:rFonts w:ascii="Cambria" w:hAnsi="Cambria" w:cs="Arial"/>
                <w:sz w:val="18"/>
                <w:szCs w:val="18"/>
              </w:rPr>
              <w:t xml:space="preserve">Closed </w:t>
            </w:r>
          </w:p>
          <w:p w14:paraId="70A5BFA0"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rPr>
              <w:t>2022</w:t>
            </w:r>
          </w:p>
        </w:tc>
      </w:tr>
      <w:tr w:rsidR="00183F07" w:rsidRPr="00C57C0F" w14:paraId="0B4E10B2" w14:textId="77777777">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44C49CF5"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108-00, Report No. 38/15, Massacre of Segovia (28 family groups) (Colombia)</w:t>
            </w:r>
          </w:p>
        </w:tc>
        <w:tc>
          <w:tcPr>
            <w:tcW w:w="1170" w:type="dxa"/>
            <w:vMerge/>
            <w:vAlign w:val="center"/>
          </w:tcPr>
          <w:p w14:paraId="45C633C7" w14:textId="77777777" w:rsidR="00183F07" w:rsidRPr="00C57C0F" w:rsidRDefault="00183F07">
            <w:pPr>
              <w:jc w:val="center"/>
              <w:rPr>
                <w:rFonts w:ascii="Cambria" w:hAnsi="Cambria" w:cstheme="minorHAnsi"/>
                <w:sz w:val="18"/>
                <w:szCs w:val="18"/>
              </w:rPr>
            </w:pPr>
          </w:p>
        </w:tc>
        <w:tc>
          <w:tcPr>
            <w:tcW w:w="1350" w:type="dxa"/>
            <w:vAlign w:val="center"/>
          </w:tcPr>
          <w:p w14:paraId="5FBD2BCA" w14:textId="77777777" w:rsidR="00183F07" w:rsidRPr="00C57C0F" w:rsidRDefault="00183F07">
            <w:pPr>
              <w:jc w:val="center"/>
              <w:rPr>
                <w:rFonts w:ascii="Cambria" w:hAnsi="Cambria" w:cstheme="minorHAnsi"/>
                <w:sz w:val="18"/>
                <w:szCs w:val="18"/>
              </w:rPr>
            </w:pPr>
          </w:p>
        </w:tc>
        <w:tc>
          <w:tcPr>
            <w:tcW w:w="1170" w:type="dxa"/>
            <w:vAlign w:val="center"/>
          </w:tcPr>
          <w:p w14:paraId="7745BDB2"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98B4349"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7EA11777"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80%</w:t>
            </w:r>
          </w:p>
        </w:tc>
        <w:tc>
          <w:tcPr>
            <w:tcW w:w="1260" w:type="dxa"/>
            <w:vAlign w:val="center"/>
          </w:tcPr>
          <w:p w14:paraId="050E292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4C44345B" w14:textId="77777777">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4CE3275F"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577-06, Report No. 82/15, Gloria González, and family (Colombia)</w:t>
            </w:r>
          </w:p>
        </w:tc>
        <w:tc>
          <w:tcPr>
            <w:tcW w:w="1170" w:type="dxa"/>
            <w:vMerge/>
            <w:vAlign w:val="center"/>
          </w:tcPr>
          <w:p w14:paraId="416A55E2" w14:textId="77777777" w:rsidR="00183F07" w:rsidRPr="00C57C0F" w:rsidRDefault="00183F07">
            <w:pPr>
              <w:jc w:val="center"/>
              <w:rPr>
                <w:rFonts w:ascii="Cambria" w:hAnsi="Cambria" w:cstheme="minorHAnsi"/>
                <w:sz w:val="18"/>
                <w:szCs w:val="18"/>
              </w:rPr>
            </w:pPr>
          </w:p>
        </w:tc>
        <w:tc>
          <w:tcPr>
            <w:tcW w:w="1350" w:type="dxa"/>
            <w:vAlign w:val="center"/>
          </w:tcPr>
          <w:p w14:paraId="276D87EF" w14:textId="77777777" w:rsidR="00183F07" w:rsidRPr="00C57C0F" w:rsidRDefault="00183F07">
            <w:pPr>
              <w:jc w:val="center"/>
              <w:rPr>
                <w:rFonts w:ascii="Cambria" w:hAnsi="Cambria" w:cstheme="minorHAnsi"/>
                <w:sz w:val="18"/>
                <w:szCs w:val="18"/>
              </w:rPr>
            </w:pPr>
          </w:p>
        </w:tc>
        <w:tc>
          <w:tcPr>
            <w:tcW w:w="1170" w:type="dxa"/>
            <w:vAlign w:val="center"/>
          </w:tcPr>
          <w:p w14:paraId="3004A495"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D2AA9EB"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28C56248"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50%</w:t>
            </w:r>
          </w:p>
        </w:tc>
        <w:tc>
          <w:tcPr>
            <w:tcW w:w="1260" w:type="dxa"/>
            <w:vAlign w:val="center"/>
          </w:tcPr>
          <w:p w14:paraId="375829B1"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66CF4CEA" w14:textId="77777777">
        <w:trPr>
          <w:cnfStyle w:val="000000100000" w:firstRow="0" w:lastRow="0" w:firstColumn="0" w:lastColumn="0" w:oddVBand="0" w:evenVBand="0" w:oddHBand="1" w:evenHBand="0" w:firstRowFirstColumn="0" w:firstRowLastColumn="0" w:lastRowFirstColumn="0" w:lastRowLastColumn="0"/>
          <w:trHeight w:val="855"/>
          <w:jc w:val="center"/>
        </w:trPr>
        <w:tc>
          <w:tcPr>
            <w:tcW w:w="1620" w:type="dxa"/>
            <w:vAlign w:val="center"/>
          </w:tcPr>
          <w:p w14:paraId="6F9964B7"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Case 11.538, Report No. 43/16, Herson Javier Caro (Colombia)</w:t>
            </w:r>
          </w:p>
        </w:tc>
        <w:tc>
          <w:tcPr>
            <w:tcW w:w="1170" w:type="dxa"/>
            <w:vMerge/>
            <w:vAlign w:val="center"/>
          </w:tcPr>
          <w:p w14:paraId="6AB9C2A1" w14:textId="77777777" w:rsidR="00183F07" w:rsidRPr="00352AC9" w:rsidRDefault="00183F07">
            <w:pPr>
              <w:jc w:val="center"/>
              <w:rPr>
                <w:rFonts w:ascii="Cambria" w:hAnsi="Cambria" w:cstheme="minorHAnsi"/>
                <w:sz w:val="18"/>
                <w:szCs w:val="18"/>
                <w:lang w:val="es-AR"/>
              </w:rPr>
            </w:pPr>
          </w:p>
        </w:tc>
        <w:tc>
          <w:tcPr>
            <w:tcW w:w="1350" w:type="dxa"/>
            <w:vAlign w:val="center"/>
          </w:tcPr>
          <w:p w14:paraId="736C87F5"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25A8AA4E" w14:textId="77777777" w:rsidR="00183F07" w:rsidRPr="00C57C0F" w:rsidRDefault="00183F07">
            <w:pPr>
              <w:jc w:val="center"/>
              <w:rPr>
                <w:rFonts w:ascii="Cambria" w:hAnsi="Cambria" w:cstheme="minorHAnsi"/>
                <w:sz w:val="18"/>
                <w:szCs w:val="18"/>
              </w:rPr>
            </w:pPr>
          </w:p>
        </w:tc>
        <w:tc>
          <w:tcPr>
            <w:tcW w:w="1170" w:type="dxa"/>
            <w:vAlign w:val="center"/>
          </w:tcPr>
          <w:p w14:paraId="529A462E"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0383365F"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100%</w:t>
            </w:r>
          </w:p>
        </w:tc>
        <w:tc>
          <w:tcPr>
            <w:tcW w:w="1260" w:type="dxa"/>
            <w:vAlign w:val="center"/>
          </w:tcPr>
          <w:p w14:paraId="5BC97DF4" w14:textId="77777777" w:rsidR="00183F07" w:rsidRPr="00C57C0F" w:rsidRDefault="00183F07">
            <w:pPr>
              <w:jc w:val="center"/>
              <w:rPr>
                <w:rFonts w:ascii="Cambria" w:hAnsi="Cambria" w:cs="Arial"/>
                <w:sz w:val="18"/>
                <w:szCs w:val="18"/>
              </w:rPr>
            </w:pPr>
            <w:r w:rsidRPr="00C57C0F">
              <w:rPr>
                <w:rFonts w:ascii="Cambria" w:hAnsi="Cambria" w:cs="Arial"/>
                <w:sz w:val="18"/>
                <w:szCs w:val="18"/>
              </w:rPr>
              <w:t xml:space="preserve">Closed </w:t>
            </w:r>
          </w:p>
          <w:p w14:paraId="5BF1D042"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rPr>
              <w:t>2022</w:t>
            </w:r>
          </w:p>
        </w:tc>
      </w:tr>
      <w:tr w:rsidR="00183F07" w:rsidRPr="00C57C0F" w14:paraId="3861474B" w14:textId="77777777">
        <w:trPr>
          <w:cnfStyle w:val="000000010000" w:firstRow="0" w:lastRow="0" w:firstColumn="0" w:lastColumn="0" w:oddVBand="0" w:evenVBand="0" w:oddHBand="0" w:evenHBand="1" w:firstRowFirstColumn="0" w:firstRowLastColumn="0" w:lastRowFirstColumn="0" w:lastRowLastColumn="0"/>
          <w:trHeight w:val="1350"/>
          <w:jc w:val="center"/>
        </w:trPr>
        <w:tc>
          <w:tcPr>
            <w:tcW w:w="1620" w:type="dxa"/>
            <w:vAlign w:val="center"/>
          </w:tcPr>
          <w:p w14:paraId="39C69E26"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12.541, Report No. 67/16, Omar Zuñiga Vásquez and Amira Isabel Vásquez de Zuñiga (Colombia)</w:t>
            </w:r>
          </w:p>
        </w:tc>
        <w:tc>
          <w:tcPr>
            <w:tcW w:w="1170" w:type="dxa"/>
            <w:vMerge/>
            <w:vAlign w:val="center"/>
          </w:tcPr>
          <w:p w14:paraId="13ADFC49" w14:textId="77777777" w:rsidR="00183F07" w:rsidRPr="00C57C0F" w:rsidRDefault="00183F07">
            <w:pPr>
              <w:jc w:val="center"/>
              <w:rPr>
                <w:rFonts w:ascii="Cambria" w:hAnsi="Cambria" w:cstheme="minorHAnsi"/>
                <w:sz w:val="18"/>
                <w:szCs w:val="18"/>
              </w:rPr>
            </w:pPr>
          </w:p>
        </w:tc>
        <w:tc>
          <w:tcPr>
            <w:tcW w:w="1350" w:type="dxa"/>
            <w:vAlign w:val="center"/>
          </w:tcPr>
          <w:p w14:paraId="14B44640" w14:textId="77777777" w:rsidR="00183F07" w:rsidRPr="00C57C0F" w:rsidRDefault="00183F07">
            <w:pPr>
              <w:jc w:val="center"/>
              <w:rPr>
                <w:rFonts w:ascii="Cambria" w:hAnsi="Cambria" w:cstheme="minorHAnsi"/>
                <w:sz w:val="18"/>
                <w:szCs w:val="18"/>
              </w:rPr>
            </w:pPr>
          </w:p>
        </w:tc>
        <w:tc>
          <w:tcPr>
            <w:tcW w:w="1170" w:type="dxa"/>
            <w:vAlign w:val="center"/>
          </w:tcPr>
          <w:p w14:paraId="62F7D4E6"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8AF589D"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59E76FCD"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22%</w:t>
            </w:r>
          </w:p>
        </w:tc>
        <w:tc>
          <w:tcPr>
            <w:tcW w:w="1260" w:type="dxa"/>
            <w:vAlign w:val="center"/>
          </w:tcPr>
          <w:p w14:paraId="1EB8F37A"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1643C298" w14:textId="77777777">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06F8D607"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lastRenderedPageBreak/>
              <w:t>Case 11.007, Report No. 68/16, Massacre of Trujillo (Colombia)</w:t>
            </w:r>
          </w:p>
        </w:tc>
        <w:tc>
          <w:tcPr>
            <w:tcW w:w="1170" w:type="dxa"/>
            <w:vMerge/>
            <w:vAlign w:val="center"/>
          </w:tcPr>
          <w:p w14:paraId="13376C7D" w14:textId="77777777" w:rsidR="00183F07" w:rsidRPr="00C57C0F" w:rsidRDefault="00183F07">
            <w:pPr>
              <w:jc w:val="center"/>
              <w:rPr>
                <w:rFonts w:ascii="Cambria" w:hAnsi="Cambria" w:cstheme="minorHAnsi"/>
                <w:sz w:val="18"/>
                <w:szCs w:val="18"/>
              </w:rPr>
            </w:pPr>
          </w:p>
        </w:tc>
        <w:tc>
          <w:tcPr>
            <w:tcW w:w="1350" w:type="dxa"/>
            <w:vAlign w:val="center"/>
          </w:tcPr>
          <w:p w14:paraId="5049B5C0" w14:textId="77777777" w:rsidR="00183F07" w:rsidRPr="00C57C0F" w:rsidRDefault="00183F07">
            <w:pPr>
              <w:jc w:val="center"/>
              <w:rPr>
                <w:rFonts w:ascii="Cambria" w:hAnsi="Cambria" w:cstheme="minorHAnsi"/>
                <w:sz w:val="18"/>
                <w:szCs w:val="18"/>
              </w:rPr>
            </w:pPr>
          </w:p>
        </w:tc>
        <w:tc>
          <w:tcPr>
            <w:tcW w:w="1170" w:type="dxa"/>
            <w:vAlign w:val="center"/>
          </w:tcPr>
          <w:p w14:paraId="36CE6563"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7144A41"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5071576F"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50%</w:t>
            </w:r>
          </w:p>
        </w:tc>
        <w:tc>
          <w:tcPr>
            <w:tcW w:w="1260" w:type="dxa"/>
            <w:vAlign w:val="center"/>
          </w:tcPr>
          <w:p w14:paraId="2734238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749EA77B" w14:textId="77777777">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408CFECF"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12.712, Report No. 135/17,</w:t>
            </w:r>
          </w:p>
          <w:p w14:paraId="7C1830E0" w14:textId="77777777" w:rsidR="00183F07" w:rsidRPr="00C57C0F" w:rsidRDefault="00183F07">
            <w:pPr>
              <w:tabs>
                <w:tab w:val="num" w:pos="522"/>
              </w:tabs>
              <w:jc w:val="both"/>
              <w:rPr>
                <w:rFonts w:ascii="Cambria" w:hAnsi="Cambria" w:cstheme="minorHAnsi"/>
                <w:sz w:val="18"/>
                <w:szCs w:val="18"/>
              </w:rPr>
            </w:pPr>
            <w:r w:rsidRPr="00C57C0F">
              <w:rPr>
                <w:rFonts w:ascii="Cambria" w:hAnsi="Cambria" w:cstheme="minorHAnsi"/>
                <w:sz w:val="18"/>
                <w:szCs w:val="18"/>
              </w:rPr>
              <w:t>Rubén Darío Arroyave (Colombia)</w:t>
            </w:r>
          </w:p>
        </w:tc>
        <w:tc>
          <w:tcPr>
            <w:tcW w:w="1170" w:type="dxa"/>
            <w:vMerge/>
            <w:vAlign w:val="center"/>
          </w:tcPr>
          <w:p w14:paraId="4717EDDF" w14:textId="77777777" w:rsidR="00183F07" w:rsidRPr="00C57C0F" w:rsidRDefault="00183F07">
            <w:pPr>
              <w:jc w:val="center"/>
              <w:rPr>
                <w:rFonts w:ascii="Cambria" w:hAnsi="Cambria" w:cstheme="minorHAnsi"/>
                <w:sz w:val="18"/>
                <w:szCs w:val="18"/>
              </w:rPr>
            </w:pPr>
          </w:p>
        </w:tc>
        <w:tc>
          <w:tcPr>
            <w:tcW w:w="1350" w:type="dxa"/>
            <w:vAlign w:val="center"/>
          </w:tcPr>
          <w:p w14:paraId="7C0D5E72" w14:textId="77777777" w:rsidR="00183F07" w:rsidRPr="00C57C0F" w:rsidRDefault="00183F07">
            <w:pPr>
              <w:jc w:val="center"/>
              <w:rPr>
                <w:rFonts w:ascii="Cambria" w:hAnsi="Cambria" w:cstheme="minorHAnsi"/>
                <w:sz w:val="18"/>
                <w:szCs w:val="18"/>
              </w:rPr>
            </w:pPr>
          </w:p>
        </w:tc>
        <w:tc>
          <w:tcPr>
            <w:tcW w:w="1170" w:type="dxa"/>
            <w:vAlign w:val="center"/>
          </w:tcPr>
          <w:p w14:paraId="27ED44D6"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4767E50"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60D8A238"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50%</w:t>
            </w:r>
          </w:p>
        </w:tc>
        <w:tc>
          <w:tcPr>
            <w:tcW w:w="1260" w:type="dxa"/>
            <w:vAlign w:val="center"/>
          </w:tcPr>
          <w:p w14:paraId="71D43268"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3E62078E" w14:textId="77777777">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058C0283"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12.714, Report No. 136/17,</w:t>
            </w:r>
          </w:p>
          <w:p w14:paraId="6749138F" w14:textId="77777777" w:rsidR="00183F07" w:rsidRPr="00C57C0F" w:rsidRDefault="00183F07">
            <w:pPr>
              <w:tabs>
                <w:tab w:val="num" w:pos="522"/>
              </w:tabs>
              <w:jc w:val="both"/>
              <w:rPr>
                <w:rFonts w:ascii="Cambria" w:hAnsi="Cambria" w:cstheme="minorHAnsi"/>
                <w:sz w:val="18"/>
                <w:szCs w:val="18"/>
              </w:rPr>
            </w:pPr>
            <w:r w:rsidRPr="00C57C0F">
              <w:rPr>
                <w:rFonts w:ascii="Cambria" w:hAnsi="Cambria" w:cstheme="minorHAnsi"/>
                <w:sz w:val="18"/>
                <w:szCs w:val="18"/>
              </w:rPr>
              <w:t>Belen Altavista Massacre (Colombia)</w:t>
            </w:r>
          </w:p>
        </w:tc>
        <w:tc>
          <w:tcPr>
            <w:tcW w:w="1170" w:type="dxa"/>
            <w:vMerge/>
            <w:vAlign w:val="center"/>
          </w:tcPr>
          <w:p w14:paraId="79804916" w14:textId="77777777" w:rsidR="00183F07" w:rsidRPr="00C57C0F" w:rsidRDefault="00183F07">
            <w:pPr>
              <w:jc w:val="center"/>
              <w:rPr>
                <w:rFonts w:ascii="Cambria" w:hAnsi="Cambria" w:cstheme="minorHAnsi"/>
                <w:sz w:val="18"/>
                <w:szCs w:val="18"/>
              </w:rPr>
            </w:pPr>
          </w:p>
        </w:tc>
        <w:tc>
          <w:tcPr>
            <w:tcW w:w="1350" w:type="dxa"/>
            <w:vAlign w:val="center"/>
          </w:tcPr>
          <w:p w14:paraId="4980BFA9" w14:textId="77777777" w:rsidR="00183F07" w:rsidRPr="00C57C0F" w:rsidRDefault="00183F07">
            <w:pPr>
              <w:jc w:val="center"/>
              <w:rPr>
                <w:rFonts w:ascii="Cambria" w:hAnsi="Cambria" w:cstheme="minorHAnsi"/>
                <w:sz w:val="18"/>
                <w:szCs w:val="18"/>
              </w:rPr>
            </w:pPr>
          </w:p>
        </w:tc>
        <w:tc>
          <w:tcPr>
            <w:tcW w:w="1170" w:type="dxa"/>
            <w:vAlign w:val="center"/>
          </w:tcPr>
          <w:p w14:paraId="6B459B2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85ECC96"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17DB7C06"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60%</w:t>
            </w:r>
          </w:p>
        </w:tc>
        <w:tc>
          <w:tcPr>
            <w:tcW w:w="1260" w:type="dxa"/>
            <w:vAlign w:val="center"/>
          </w:tcPr>
          <w:p w14:paraId="5A31AA60"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Active</w:t>
            </w:r>
          </w:p>
        </w:tc>
      </w:tr>
      <w:tr w:rsidR="00183F07" w:rsidRPr="00C57C0F" w14:paraId="4A0749A8" w14:textId="77777777">
        <w:trPr>
          <w:cnfStyle w:val="000000010000" w:firstRow="0" w:lastRow="0" w:firstColumn="0" w:lastColumn="0" w:oddVBand="0" w:evenVBand="0" w:oddHBand="0" w:evenHBand="1" w:firstRowFirstColumn="0" w:firstRowLastColumn="0" w:lastRowFirstColumn="0" w:lastRowLastColumn="0"/>
          <w:trHeight w:hRule="exact" w:val="1386"/>
          <w:jc w:val="center"/>
        </w:trPr>
        <w:tc>
          <w:tcPr>
            <w:tcW w:w="1620" w:type="dxa"/>
            <w:vAlign w:val="center"/>
          </w:tcPr>
          <w:p w14:paraId="51C8B4E4"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12.941, Report No. 92/18, Nicolasa, and Family (Colombia)</w:t>
            </w:r>
          </w:p>
        </w:tc>
        <w:tc>
          <w:tcPr>
            <w:tcW w:w="1170" w:type="dxa"/>
            <w:vMerge/>
            <w:vAlign w:val="center"/>
          </w:tcPr>
          <w:p w14:paraId="1BD074A9" w14:textId="77777777" w:rsidR="00183F07" w:rsidRPr="00C57C0F" w:rsidRDefault="00183F07">
            <w:pPr>
              <w:jc w:val="center"/>
              <w:rPr>
                <w:rFonts w:ascii="Cambria" w:hAnsi="Cambria" w:cstheme="minorHAnsi"/>
                <w:color w:val="1F497D"/>
                <w:sz w:val="18"/>
                <w:szCs w:val="18"/>
              </w:rPr>
            </w:pPr>
          </w:p>
        </w:tc>
        <w:tc>
          <w:tcPr>
            <w:tcW w:w="1350" w:type="dxa"/>
            <w:vAlign w:val="center"/>
          </w:tcPr>
          <w:p w14:paraId="2718251A" w14:textId="77777777" w:rsidR="00183F07" w:rsidRPr="00C57C0F" w:rsidRDefault="00183F07">
            <w:pPr>
              <w:jc w:val="center"/>
              <w:rPr>
                <w:rFonts w:ascii="Cambria" w:hAnsi="Cambria" w:cstheme="minorHAnsi"/>
                <w:sz w:val="18"/>
                <w:szCs w:val="18"/>
              </w:rPr>
            </w:pPr>
          </w:p>
        </w:tc>
        <w:tc>
          <w:tcPr>
            <w:tcW w:w="1170" w:type="dxa"/>
            <w:vAlign w:val="center"/>
          </w:tcPr>
          <w:p w14:paraId="645428A4"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BA7FF63"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46FD2A58"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rPr>
              <w:t>14%</w:t>
            </w:r>
          </w:p>
        </w:tc>
        <w:tc>
          <w:tcPr>
            <w:tcW w:w="1260" w:type="dxa"/>
            <w:vAlign w:val="center"/>
          </w:tcPr>
          <w:p w14:paraId="794E405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6C15A32D" w14:textId="77777777">
        <w:trPr>
          <w:cnfStyle w:val="000000100000" w:firstRow="0" w:lastRow="0" w:firstColumn="0" w:lastColumn="0" w:oddVBand="0" w:evenVBand="0" w:oddHBand="1" w:evenHBand="0" w:firstRowFirstColumn="0" w:firstRowLastColumn="0" w:lastRowFirstColumn="0" w:lastRowLastColumn="0"/>
          <w:trHeight w:hRule="exact" w:val="2484"/>
          <w:jc w:val="center"/>
        </w:trPr>
        <w:tc>
          <w:tcPr>
            <w:tcW w:w="1620" w:type="dxa"/>
            <w:vAlign w:val="center"/>
          </w:tcPr>
          <w:p w14:paraId="14A19C35"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799-06, Report No. 93/18, Isidoro León Ramírez, Pompilio De Jesús Cardona Escobar, Luis Fernando Velasquez Londoño and Others (Colombia)</w:t>
            </w:r>
          </w:p>
        </w:tc>
        <w:tc>
          <w:tcPr>
            <w:tcW w:w="1170" w:type="dxa"/>
            <w:vMerge/>
            <w:vAlign w:val="center"/>
          </w:tcPr>
          <w:p w14:paraId="16F25F7E" w14:textId="77777777" w:rsidR="00183F07" w:rsidRPr="00C57C0F" w:rsidRDefault="00183F07">
            <w:pPr>
              <w:jc w:val="center"/>
              <w:rPr>
                <w:rFonts w:ascii="Cambria" w:hAnsi="Cambria" w:cstheme="minorHAnsi"/>
                <w:color w:val="1F497D"/>
                <w:sz w:val="18"/>
                <w:szCs w:val="18"/>
              </w:rPr>
            </w:pPr>
          </w:p>
        </w:tc>
        <w:tc>
          <w:tcPr>
            <w:tcW w:w="1350" w:type="dxa"/>
            <w:vAlign w:val="center"/>
          </w:tcPr>
          <w:p w14:paraId="6B462E20" w14:textId="77777777" w:rsidR="00183F07" w:rsidRPr="00C57C0F" w:rsidRDefault="00183F07">
            <w:pPr>
              <w:jc w:val="center"/>
              <w:rPr>
                <w:rFonts w:ascii="Cambria" w:hAnsi="Cambria" w:cstheme="minorHAnsi"/>
                <w:sz w:val="18"/>
                <w:szCs w:val="18"/>
              </w:rPr>
            </w:pPr>
          </w:p>
        </w:tc>
        <w:tc>
          <w:tcPr>
            <w:tcW w:w="1170" w:type="dxa"/>
            <w:vAlign w:val="center"/>
          </w:tcPr>
          <w:p w14:paraId="7E647B28"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FD59F58"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714EEFDF"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33%</w:t>
            </w:r>
          </w:p>
        </w:tc>
        <w:tc>
          <w:tcPr>
            <w:tcW w:w="1260" w:type="dxa"/>
            <w:vAlign w:val="center"/>
          </w:tcPr>
          <w:p w14:paraId="7C55366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62819EF6" w14:textId="77777777">
        <w:trPr>
          <w:cnfStyle w:val="000000010000" w:firstRow="0" w:lastRow="0" w:firstColumn="0" w:lastColumn="0" w:oddVBand="0" w:evenVBand="0" w:oddHBand="0" w:evenHBand="1" w:firstRowFirstColumn="0" w:firstRowLastColumn="0" w:lastRowFirstColumn="0" w:lastRowLastColumn="0"/>
          <w:trHeight w:hRule="exact" w:val="1305"/>
          <w:jc w:val="center"/>
        </w:trPr>
        <w:tc>
          <w:tcPr>
            <w:tcW w:w="1620" w:type="dxa"/>
            <w:vAlign w:val="center"/>
          </w:tcPr>
          <w:p w14:paraId="1521DC61" w14:textId="77777777" w:rsidR="00183F07" w:rsidRPr="00183F07" w:rsidRDefault="00183F07" w:rsidP="00933F91">
            <w:pPr>
              <w:numPr>
                <w:ilvl w:val="0"/>
                <w:numId w:val="70"/>
              </w:numPr>
              <w:tabs>
                <w:tab w:val="num" w:pos="522"/>
              </w:tabs>
              <w:ind w:firstLine="0"/>
              <w:jc w:val="both"/>
              <w:rPr>
                <w:rFonts w:ascii="Cambria" w:hAnsi="Cambria" w:cstheme="minorHAnsi"/>
                <w:sz w:val="18"/>
                <w:szCs w:val="18"/>
                <w:lang w:val="es-AR"/>
              </w:rPr>
            </w:pPr>
            <w:r w:rsidRPr="00183F07">
              <w:rPr>
                <w:rFonts w:ascii="Cambria" w:hAnsi="Cambria" w:cstheme="minorHAnsi"/>
                <w:sz w:val="18"/>
                <w:szCs w:val="18"/>
                <w:lang w:val="es-AR"/>
              </w:rPr>
              <w:t>Case 11.990 A, Report No. 34/19, Oscar Orlando Bueno Bonnet et al. (Colombia)</w:t>
            </w:r>
          </w:p>
        </w:tc>
        <w:tc>
          <w:tcPr>
            <w:tcW w:w="1170" w:type="dxa"/>
            <w:vMerge/>
            <w:vAlign w:val="center"/>
          </w:tcPr>
          <w:p w14:paraId="4F101F6C" w14:textId="77777777" w:rsidR="00183F07" w:rsidRPr="00183F07" w:rsidRDefault="00183F07">
            <w:pPr>
              <w:jc w:val="center"/>
              <w:rPr>
                <w:rFonts w:ascii="Cambria" w:hAnsi="Cambria" w:cstheme="minorHAnsi"/>
                <w:color w:val="1F497D"/>
                <w:sz w:val="18"/>
                <w:szCs w:val="18"/>
                <w:lang w:val="es-AR"/>
              </w:rPr>
            </w:pPr>
          </w:p>
        </w:tc>
        <w:tc>
          <w:tcPr>
            <w:tcW w:w="1350" w:type="dxa"/>
            <w:vAlign w:val="center"/>
          </w:tcPr>
          <w:p w14:paraId="38925631" w14:textId="77777777" w:rsidR="00183F07" w:rsidRPr="00183F07" w:rsidRDefault="00183F07">
            <w:pPr>
              <w:jc w:val="center"/>
              <w:rPr>
                <w:rFonts w:ascii="Cambria" w:hAnsi="Cambria" w:cstheme="minorHAnsi"/>
                <w:sz w:val="18"/>
                <w:szCs w:val="18"/>
                <w:lang w:val="es-AR"/>
              </w:rPr>
            </w:pPr>
          </w:p>
        </w:tc>
        <w:tc>
          <w:tcPr>
            <w:tcW w:w="1170" w:type="dxa"/>
            <w:vAlign w:val="center"/>
          </w:tcPr>
          <w:p w14:paraId="6101551D"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B2B2609"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115EDB59"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31%</w:t>
            </w:r>
          </w:p>
        </w:tc>
        <w:tc>
          <w:tcPr>
            <w:tcW w:w="1260" w:type="dxa"/>
            <w:vAlign w:val="center"/>
          </w:tcPr>
          <w:p w14:paraId="7F11A205"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7BD9658D" w14:textId="77777777">
        <w:trPr>
          <w:cnfStyle w:val="000000100000" w:firstRow="0" w:lastRow="0" w:firstColumn="0" w:lastColumn="0" w:oddVBand="0" w:evenVBand="0" w:oddHBand="1" w:evenHBand="0" w:firstRowFirstColumn="0" w:firstRowLastColumn="0" w:lastRowFirstColumn="0" w:lastRowLastColumn="0"/>
          <w:trHeight w:hRule="exact" w:val="1359"/>
          <w:jc w:val="center"/>
        </w:trPr>
        <w:tc>
          <w:tcPr>
            <w:tcW w:w="1620" w:type="dxa"/>
            <w:vAlign w:val="center"/>
          </w:tcPr>
          <w:p w14:paraId="21BC3B08"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Case 11.144, Report No. 109/19, Gerson Jairzinho González Arroyo (Colombia)</w:t>
            </w:r>
          </w:p>
        </w:tc>
        <w:tc>
          <w:tcPr>
            <w:tcW w:w="1170" w:type="dxa"/>
            <w:vMerge/>
            <w:vAlign w:val="center"/>
          </w:tcPr>
          <w:p w14:paraId="4D315874" w14:textId="77777777" w:rsidR="00183F07" w:rsidRPr="00352AC9" w:rsidRDefault="00183F07">
            <w:pPr>
              <w:jc w:val="center"/>
              <w:rPr>
                <w:rFonts w:ascii="Cambria" w:hAnsi="Cambria" w:cstheme="minorHAnsi"/>
                <w:color w:val="1F497D"/>
                <w:sz w:val="18"/>
                <w:szCs w:val="18"/>
                <w:lang w:val="es-AR"/>
              </w:rPr>
            </w:pPr>
          </w:p>
        </w:tc>
        <w:tc>
          <w:tcPr>
            <w:tcW w:w="1350" w:type="dxa"/>
            <w:vAlign w:val="center"/>
          </w:tcPr>
          <w:p w14:paraId="791B3CF8" w14:textId="77777777" w:rsidR="00183F07" w:rsidRPr="00352AC9" w:rsidRDefault="00183F07">
            <w:pPr>
              <w:jc w:val="center"/>
              <w:rPr>
                <w:rFonts w:ascii="Cambria" w:hAnsi="Cambria" w:cstheme="minorHAnsi"/>
                <w:sz w:val="18"/>
                <w:szCs w:val="18"/>
                <w:lang w:val="es-AR"/>
              </w:rPr>
            </w:pPr>
          </w:p>
        </w:tc>
        <w:tc>
          <w:tcPr>
            <w:tcW w:w="1170" w:type="dxa"/>
            <w:vAlign w:val="center"/>
          </w:tcPr>
          <w:p w14:paraId="24FEE65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1D74EFA"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1BFDAF94"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56%</w:t>
            </w:r>
          </w:p>
        </w:tc>
        <w:tc>
          <w:tcPr>
            <w:tcW w:w="1260" w:type="dxa"/>
            <w:vAlign w:val="center"/>
          </w:tcPr>
          <w:p w14:paraId="6E4583AD"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142A310B" w14:textId="77777777">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5E19CD07"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lastRenderedPageBreak/>
              <w:t>Case 13.776, Report No. 1/20, German Eduardo Giraldo, and family (Colombia)</w:t>
            </w:r>
          </w:p>
        </w:tc>
        <w:tc>
          <w:tcPr>
            <w:tcW w:w="1170" w:type="dxa"/>
            <w:vMerge/>
            <w:vAlign w:val="center"/>
          </w:tcPr>
          <w:p w14:paraId="1EDB7AA9" w14:textId="77777777" w:rsidR="00183F07" w:rsidRPr="00C57C0F" w:rsidRDefault="00183F07">
            <w:pPr>
              <w:jc w:val="center"/>
              <w:rPr>
                <w:rFonts w:ascii="Cambria" w:hAnsi="Cambria" w:cstheme="minorHAnsi"/>
                <w:sz w:val="18"/>
                <w:szCs w:val="18"/>
              </w:rPr>
            </w:pPr>
          </w:p>
        </w:tc>
        <w:tc>
          <w:tcPr>
            <w:tcW w:w="1350" w:type="dxa"/>
            <w:vAlign w:val="center"/>
          </w:tcPr>
          <w:p w14:paraId="64FD5532" w14:textId="77777777" w:rsidR="00183F07" w:rsidRPr="00C57C0F" w:rsidRDefault="00183F07">
            <w:pPr>
              <w:jc w:val="center"/>
              <w:rPr>
                <w:rFonts w:ascii="Cambria" w:hAnsi="Cambria" w:cstheme="minorHAnsi"/>
                <w:sz w:val="18"/>
                <w:szCs w:val="18"/>
              </w:rPr>
            </w:pPr>
          </w:p>
        </w:tc>
        <w:tc>
          <w:tcPr>
            <w:tcW w:w="1170" w:type="dxa"/>
            <w:vAlign w:val="center"/>
          </w:tcPr>
          <w:p w14:paraId="65BA5B05"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942B252"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4EBFD605"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33%</w:t>
            </w:r>
          </w:p>
        </w:tc>
        <w:tc>
          <w:tcPr>
            <w:tcW w:w="1260" w:type="dxa"/>
            <w:vAlign w:val="center"/>
          </w:tcPr>
          <w:p w14:paraId="30825CAD"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6821B964" w14:textId="77777777">
        <w:trPr>
          <w:cnfStyle w:val="000000100000" w:firstRow="0" w:lastRow="0" w:firstColumn="0" w:lastColumn="0" w:oddVBand="0" w:evenVBand="0" w:oddHBand="1" w:evenHBand="0" w:firstRowFirstColumn="0" w:firstRowLastColumn="0" w:lastRowFirstColumn="0" w:lastRowLastColumn="0"/>
          <w:trHeight w:hRule="exact" w:val="1089"/>
          <w:jc w:val="center"/>
        </w:trPr>
        <w:tc>
          <w:tcPr>
            <w:tcW w:w="1620" w:type="dxa"/>
            <w:vAlign w:val="center"/>
          </w:tcPr>
          <w:p w14:paraId="31A81E75"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Case 13.728, Report No. 21/20, Amira Guzmán Alonso (Colombia)</w:t>
            </w:r>
          </w:p>
        </w:tc>
        <w:tc>
          <w:tcPr>
            <w:tcW w:w="1170" w:type="dxa"/>
            <w:vMerge/>
            <w:vAlign w:val="center"/>
          </w:tcPr>
          <w:p w14:paraId="19A52F78" w14:textId="77777777" w:rsidR="00183F07" w:rsidRPr="00352AC9" w:rsidRDefault="00183F07">
            <w:pPr>
              <w:jc w:val="center"/>
              <w:rPr>
                <w:rFonts w:ascii="Cambria" w:hAnsi="Cambria" w:cstheme="minorHAnsi"/>
                <w:sz w:val="18"/>
                <w:szCs w:val="18"/>
                <w:lang w:val="es-AR"/>
              </w:rPr>
            </w:pPr>
          </w:p>
        </w:tc>
        <w:tc>
          <w:tcPr>
            <w:tcW w:w="1350" w:type="dxa"/>
            <w:vAlign w:val="center"/>
          </w:tcPr>
          <w:p w14:paraId="711AD493"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2D59FE45" w14:textId="77777777" w:rsidR="00183F07" w:rsidRPr="00C57C0F" w:rsidRDefault="00183F07">
            <w:pPr>
              <w:jc w:val="center"/>
              <w:rPr>
                <w:rFonts w:ascii="Cambria" w:hAnsi="Cambria" w:cstheme="minorHAnsi"/>
                <w:sz w:val="18"/>
                <w:szCs w:val="18"/>
              </w:rPr>
            </w:pPr>
          </w:p>
        </w:tc>
        <w:tc>
          <w:tcPr>
            <w:tcW w:w="1170" w:type="dxa"/>
            <w:vAlign w:val="center"/>
          </w:tcPr>
          <w:p w14:paraId="707C6213"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6ECB57E7"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100%</w:t>
            </w:r>
          </w:p>
        </w:tc>
        <w:tc>
          <w:tcPr>
            <w:tcW w:w="1260" w:type="dxa"/>
            <w:vAlign w:val="center"/>
          </w:tcPr>
          <w:p w14:paraId="09F8336E" w14:textId="77777777" w:rsidR="00183F07" w:rsidRPr="00C57C0F" w:rsidRDefault="00183F07">
            <w:pPr>
              <w:jc w:val="center"/>
              <w:rPr>
                <w:rFonts w:ascii="Cambria" w:hAnsi="Cambria" w:cs="Arial"/>
                <w:sz w:val="18"/>
                <w:szCs w:val="18"/>
              </w:rPr>
            </w:pPr>
            <w:r w:rsidRPr="00C57C0F">
              <w:rPr>
                <w:rFonts w:ascii="Cambria" w:hAnsi="Cambria" w:cs="Arial"/>
                <w:sz w:val="18"/>
                <w:szCs w:val="18"/>
              </w:rPr>
              <w:t>Closed</w:t>
            </w:r>
          </w:p>
          <w:p w14:paraId="11D9B5D7"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rPr>
              <w:t xml:space="preserve"> 2022</w:t>
            </w:r>
          </w:p>
        </w:tc>
      </w:tr>
      <w:tr w:rsidR="00183F07" w:rsidRPr="00C57C0F" w14:paraId="13F9CF53" w14:textId="77777777">
        <w:trPr>
          <w:cnfStyle w:val="000000010000" w:firstRow="0" w:lastRow="0" w:firstColumn="0" w:lastColumn="0" w:oddVBand="0" w:evenVBand="0" w:oddHBand="0" w:evenHBand="1" w:firstRowFirstColumn="0" w:firstRowLastColumn="0" w:lastRowFirstColumn="0" w:lastRowLastColumn="0"/>
          <w:trHeight w:hRule="exact" w:val="1323"/>
          <w:jc w:val="center"/>
        </w:trPr>
        <w:tc>
          <w:tcPr>
            <w:tcW w:w="1620" w:type="dxa"/>
            <w:vAlign w:val="center"/>
          </w:tcPr>
          <w:p w14:paraId="70D22BAF"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12.909, Report No. 22/20, Gerardo Bedoya Borrero (Colombia)</w:t>
            </w:r>
          </w:p>
        </w:tc>
        <w:tc>
          <w:tcPr>
            <w:tcW w:w="1170" w:type="dxa"/>
            <w:vMerge/>
            <w:vAlign w:val="center"/>
          </w:tcPr>
          <w:p w14:paraId="49E2CA2A" w14:textId="77777777" w:rsidR="00183F07" w:rsidRPr="00C57C0F" w:rsidRDefault="00183F07">
            <w:pPr>
              <w:jc w:val="center"/>
              <w:rPr>
                <w:rFonts w:ascii="Cambria" w:hAnsi="Cambria" w:cstheme="minorHAnsi"/>
                <w:sz w:val="18"/>
                <w:szCs w:val="18"/>
              </w:rPr>
            </w:pPr>
          </w:p>
        </w:tc>
        <w:tc>
          <w:tcPr>
            <w:tcW w:w="1350" w:type="dxa"/>
            <w:vAlign w:val="center"/>
          </w:tcPr>
          <w:p w14:paraId="1C729530" w14:textId="77777777" w:rsidR="00183F07" w:rsidRPr="00C57C0F" w:rsidRDefault="00183F07">
            <w:pPr>
              <w:jc w:val="center"/>
              <w:rPr>
                <w:rFonts w:ascii="Cambria" w:hAnsi="Cambria" w:cstheme="minorHAnsi"/>
                <w:sz w:val="18"/>
                <w:szCs w:val="18"/>
              </w:rPr>
            </w:pPr>
          </w:p>
        </w:tc>
        <w:tc>
          <w:tcPr>
            <w:tcW w:w="1170" w:type="dxa"/>
            <w:vAlign w:val="center"/>
          </w:tcPr>
          <w:p w14:paraId="72D20370"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DDAD7F2"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4F9B4D48"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60%</w:t>
            </w:r>
          </w:p>
        </w:tc>
        <w:tc>
          <w:tcPr>
            <w:tcW w:w="1260" w:type="dxa"/>
            <w:vAlign w:val="center"/>
          </w:tcPr>
          <w:p w14:paraId="13F0B26E"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2D625B0B" w14:textId="77777777">
        <w:trPr>
          <w:cnfStyle w:val="000000100000" w:firstRow="0" w:lastRow="0" w:firstColumn="0" w:lastColumn="0" w:oddVBand="0" w:evenVBand="0" w:oddHBand="1" w:evenHBand="0" w:firstRowFirstColumn="0" w:firstRowLastColumn="0" w:lastRowFirstColumn="0" w:lastRowLastColumn="0"/>
          <w:trHeight w:hRule="exact" w:val="1350"/>
          <w:jc w:val="center"/>
        </w:trPr>
        <w:tc>
          <w:tcPr>
            <w:tcW w:w="1620" w:type="dxa"/>
            <w:vAlign w:val="center"/>
          </w:tcPr>
          <w:p w14:paraId="719360D1"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13.370, Report No. 8/20, Luis Horacio Patiño and family (Colombia)</w:t>
            </w:r>
          </w:p>
        </w:tc>
        <w:tc>
          <w:tcPr>
            <w:tcW w:w="1170" w:type="dxa"/>
            <w:vMerge/>
            <w:vAlign w:val="center"/>
          </w:tcPr>
          <w:p w14:paraId="3DF61E93" w14:textId="77777777" w:rsidR="00183F07" w:rsidRPr="00C57C0F" w:rsidRDefault="00183F07">
            <w:pPr>
              <w:jc w:val="center"/>
              <w:rPr>
                <w:rFonts w:ascii="Cambria" w:hAnsi="Cambria" w:cstheme="minorHAnsi"/>
                <w:sz w:val="18"/>
                <w:szCs w:val="18"/>
              </w:rPr>
            </w:pPr>
          </w:p>
        </w:tc>
        <w:tc>
          <w:tcPr>
            <w:tcW w:w="1350" w:type="dxa"/>
            <w:vAlign w:val="center"/>
          </w:tcPr>
          <w:p w14:paraId="25FFAF91" w14:textId="77777777" w:rsidR="00183F07" w:rsidRPr="00C57C0F" w:rsidRDefault="00183F07">
            <w:pPr>
              <w:jc w:val="center"/>
              <w:rPr>
                <w:rFonts w:ascii="Cambria" w:hAnsi="Cambria" w:cstheme="minorHAnsi"/>
                <w:sz w:val="18"/>
                <w:szCs w:val="18"/>
              </w:rPr>
            </w:pPr>
          </w:p>
        </w:tc>
        <w:tc>
          <w:tcPr>
            <w:tcW w:w="1170" w:type="dxa"/>
            <w:vAlign w:val="center"/>
          </w:tcPr>
          <w:p w14:paraId="5CFF1010"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0180D1B"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75BB8FBC"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80%</w:t>
            </w:r>
          </w:p>
        </w:tc>
        <w:tc>
          <w:tcPr>
            <w:tcW w:w="1260" w:type="dxa"/>
            <w:vAlign w:val="center"/>
          </w:tcPr>
          <w:p w14:paraId="378611B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3A31A480" w14:textId="77777777">
        <w:trPr>
          <w:cnfStyle w:val="000000010000" w:firstRow="0" w:lastRow="0" w:firstColumn="0" w:lastColumn="0" w:oddVBand="0" w:evenVBand="0" w:oddHBand="0" w:evenHBand="1" w:firstRowFirstColumn="0" w:firstRowLastColumn="0" w:lastRowFirstColumn="0" w:lastRowLastColumn="0"/>
          <w:trHeight w:hRule="exact" w:val="1368"/>
          <w:jc w:val="center"/>
        </w:trPr>
        <w:tc>
          <w:tcPr>
            <w:tcW w:w="1620" w:type="dxa"/>
            <w:vAlign w:val="center"/>
          </w:tcPr>
          <w:p w14:paraId="314B8C5D"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595-09, Report No. 84/20, Jorge Alberto Montes Gallego, and family (Colombia)</w:t>
            </w:r>
          </w:p>
        </w:tc>
        <w:tc>
          <w:tcPr>
            <w:tcW w:w="1170" w:type="dxa"/>
            <w:vMerge/>
            <w:vAlign w:val="center"/>
          </w:tcPr>
          <w:p w14:paraId="3A549DAF" w14:textId="77777777" w:rsidR="00183F07" w:rsidRPr="00C57C0F" w:rsidRDefault="00183F07">
            <w:pPr>
              <w:jc w:val="center"/>
              <w:rPr>
                <w:rFonts w:ascii="Cambria" w:hAnsi="Cambria" w:cstheme="minorHAnsi"/>
                <w:sz w:val="18"/>
                <w:szCs w:val="18"/>
              </w:rPr>
            </w:pPr>
          </w:p>
        </w:tc>
        <w:tc>
          <w:tcPr>
            <w:tcW w:w="1350" w:type="dxa"/>
            <w:vAlign w:val="center"/>
          </w:tcPr>
          <w:p w14:paraId="5B320A81" w14:textId="77777777" w:rsidR="00183F07" w:rsidRPr="00C57C0F" w:rsidRDefault="00183F07">
            <w:pPr>
              <w:jc w:val="center"/>
              <w:rPr>
                <w:rFonts w:ascii="Cambria" w:hAnsi="Cambria" w:cstheme="minorHAnsi"/>
                <w:sz w:val="18"/>
                <w:szCs w:val="18"/>
              </w:rPr>
            </w:pPr>
          </w:p>
        </w:tc>
        <w:tc>
          <w:tcPr>
            <w:tcW w:w="1170" w:type="dxa"/>
            <w:vAlign w:val="center"/>
          </w:tcPr>
          <w:p w14:paraId="29C9DF1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080423B" w14:textId="77777777" w:rsidR="00183F07" w:rsidRPr="00C57C0F" w:rsidRDefault="00183F07">
            <w:pPr>
              <w:jc w:val="center"/>
              <w:rPr>
                <w:rFonts w:ascii="Cambria" w:hAnsi="Cambria" w:cstheme="minorHAnsi"/>
                <w:sz w:val="18"/>
                <w:szCs w:val="18"/>
              </w:rPr>
            </w:pPr>
          </w:p>
        </w:tc>
        <w:tc>
          <w:tcPr>
            <w:tcW w:w="1170" w:type="dxa"/>
            <w:vAlign w:val="center"/>
          </w:tcPr>
          <w:p w14:paraId="1379B936"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rPr>
              <w:t>67%</w:t>
            </w:r>
          </w:p>
        </w:tc>
        <w:tc>
          <w:tcPr>
            <w:tcW w:w="1260" w:type="dxa"/>
            <w:vAlign w:val="center"/>
          </w:tcPr>
          <w:p w14:paraId="3FC3160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0DFCA7B1" w14:textId="77777777">
        <w:trPr>
          <w:cnfStyle w:val="000000100000" w:firstRow="0" w:lastRow="0" w:firstColumn="0" w:lastColumn="0" w:oddVBand="0" w:evenVBand="0" w:oddHBand="1" w:evenHBand="0" w:firstRowFirstColumn="0" w:firstRowLastColumn="0" w:lastRowFirstColumn="0" w:lastRowLastColumn="0"/>
          <w:trHeight w:hRule="exact" w:val="1521"/>
          <w:jc w:val="center"/>
        </w:trPr>
        <w:tc>
          <w:tcPr>
            <w:tcW w:w="1620" w:type="dxa"/>
            <w:vAlign w:val="center"/>
          </w:tcPr>
          <w:p w14:paraId="1D8089AF"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13.319. Report No. 213/20, William Fernández Becerra, and family (Colombia)</w:t>
            </w:r>
          </w:p>
        </w:tc>
        <w:tc>
          <w:tcPr>
            <w:tcW w:w="1170" w:type="dxa"/>
            <w:vMerge/>
            <w:vAlign w:val="center"/>
          </w:tcPr>
          <w:p w14:paraId="672EC77A" w14:textId="77777777" w:rsidR="00183F07" w:rsidRPr="00C57C0F" w:rsidRDefault="00183F07">
            <w:pPr>
              <w:jc w:val="center"/>
              <w:rPr>
                <w:rFonts w:ascii="Cambria" w:hAnsi="Cambria" w:cstheme="minorHAnsi"/>
                <w:sz w:val="18"/>
                <w:szCs w:val="18"/>
              </w:rPr>
            </w:pPr>
          </w:p>
        </w:tc>
        <w:tc>
          <w:tcPr>
            <w:tcW w:w="1350" w:type="dxa"/>
            <w:vAlign w:val="center"/>
          </w:tcPr>
          <w:p w14:paraId="08A78969" w14:textId="77777777" w:rsidR="00183F07" w:rsidRPr="00C57C0F" w:rsidRDefault="00183F07">
            <w:pPr>
              <w:jc w:val="center"/>
              <w:rPr>
                <w:rFonts w:ascii="Cambria" w:hAnsi="Cambria" w:cstheme="minorHAnsi"/>
                <w:sz w:val="18"/>
                <w:szCs w:val="18"/>
              </w:rPr>
            </w:pPr>
          </w:p>
        </w:tc>
        <w:tc>
          <w:tcPr>
            <w:tcW w:w="1170" w:type="dxa"/>
            <w:vAlign w:val="center"/>
          </w:tcPr>
          <w:p w14:paraId="1E4F3ED0"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12977D8" w14:textId="77777777" w:rsidR="00183F07" w:rsidRPr="00C57C0F" w:rsidRDefault="00183F07">
            <w:pPr>
              <w:jc w:val="center"/>
              <w:rPr>
                <w:rFonts w:ascii="Cambria" w:hAnsi="Cambria" w:cstheme="minorHAnsi"/>
                <w:sz w:val="18"/>
                <w:szCs w:val="18"/>
              </w:rPr>
            </w:pPr>
          </w:p>
        </w:tc>
        <w:tc>
          <w:tcPr>
            <w:tcW w:w="1170" w:type="dxa"/>
            <w:vAlign w:val="center"/>
          </w:tcPr>
          <w:p w14:paraId="0EE781D9"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rPr>
              <w:t>27%</w:t>
            </w:r>
          </w:p>
        </w:tc>
        <w:tc>
          <w:tcPr>
            <w:tcW w:w="1260" w:type="dxa"/>
            <w:vAlign w:val="center"/>
          </w:tcPr>
          <w:p w14:paraId="626D1648"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542356A2" w14:textId="77777777" w:rsidTr="007A458B">
        <w:trPr>
          <w:cnfStyle w:val="000000010000" w:firstRow="0" w:lastRow="0" w:firstColumn="0" w:lastColumn="0" w:oddVBand="0" w:evenVBand="0" w:oddHBand="0" w:evenHBand="1" w:firstRowFirstColumn="0" w:firstRowLastColumn="0" w:lastRowFirstColumn="0" w:lastRowLastColumn="0"/>
          <w:trHeight w:hRule="exact" w:val="1440"/>
          <w:jc w:val="center"/>
        </w:trPr>
        <w:tc>
          <w:tcPr>
            <w:tcW w:w="1620" w:type="dxa"/>
            <w:vAlign w:val="center"/>
          </w:tcPr>
          <w:p w14:paraId="30B9FB7B"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13.421, Report No. 333/20, Geminiano Gil Martinez and family (Colombia)</w:t>
            </w:r>
          </w:p>
        </w:tc>
        <w:tc>
          <w:tcPr>
            <w:tcW w:w="1170" w:type="dxa"/>
            <w:vMerge/>
            <w:vAlign w:val="center"/>
          </w:tcPr>
          <w:p w14:paraId="69F170C7" w14:textId="77777777" w:rsidR="00183F07" w:rsidRPr="00C57C0F" w:rsidRDefault="00183F07">
            <w:pPr>
              <w:jc w:val="center"/>
              <w:rPr>
                <w:rFonts w:ascii="Cambria" w:hAnsi="Cambria" w:cstheme="minorHAnsi"/>
                <w:sz w:val="18"/>
                <w:szCs w:val="18"/>
              </w:rPr>
            </w:pPr>
          </w:p>
        </w:tc>
        <w:tc>
          <w:tcPr>
            <w:tcW w:w="1350" w:type="dxa"/>
            <w:vAlign w:val="center"/>
          </w:tcPr>
          <w:p w14:paraId="6E806CFD" w14:textId="77777777" w:rsidR="00183F07" w:rsidRPr="00C57C0F" w:rsidRDefault="00183F07">
            <w:pPr>
              <w:jc w:val="center"/>
              <w:rPr>
                <w:rFonts w:ascii="Cambria" w:hAnsi="Cambria" w:cstheme="minorHAnsi"/>
                <w:sz w:val="18"/>
                <w:szCs w:val="18"/>
              </w:rPr>
            </w:pPr>
          </w:p>
        </w:tc>
        <w:tc>
          <w:tcPr>
            <w:tcW w:w="1170" w:type="dxa"/>
            <w:vAlign w:val="center"/>
          </w:tcPr>
          <w:p w14:paraId="4FE218ED"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FE30F0B" w14:textId="77777777" w:rsidR="00183F07" w:rsidRPr="00C57C0F" w:rsidRDefault="00183F07">
            <w:pPr>
              <w:jc w:val="center"/>
              <w:rPr>
                <w:rFonts w:ascii="Cambria" w:hAnsi="Cambria" w:cstheme="minorHAnsi"/>
                <w:sz w:val="18"/>
                <w:szCs w:val="18"/>
              </w:rPr>
            </w:pPr>
          </w:p>
        </w:tc>
        <w:tc>
          <w:tcPr>
            <w:tcW w:w="1170" w:type="dxa"/>
            <w:vAlign w:val="center"/>
          </w:tcPr>
          <w:p w14:paraId="34C4F5C2"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75%</w:t>
            </w:r>
          </w:p>
        </w:tc>
        <w:tc>
          <w:tcPr>
            <w:tcW w:w="1260" w:type="dxa"/>
            <w:vAlign w:val="center"/>
          </w:tcPr>
          <w:p w14:paraId="0314E860"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2FB10545" w14:textId="77777777">
        <w:trPr>
          <w:cnfStyle w:val="000000100000" w:firstRow="0" w:lastRow="0" w:firstColumn="0" w:lastColumn="0" w:oddVBand="0" w:evenVBand="0" w:oddHBand="1" w:evenHBand="0" w:firstRowFirstColumn="0" w:firstRowLastColumn="0" w:lastRowFirstColumn="0" w:lastRowLastColumn="0"/>
          <w:trHeight w:hRule="exact" w:val="1305"/>
          <w:jc w:val="center"/>
        </w:trPr>
        <w:tc>
          <w:tcPr>
            <w:tcW w:w="1620" w:type="dxa"/>
            <w:vAlign w:val="center"/>
          </w:tcPr>
          <w:p w14:paraId="6ABF61B0"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 xml:space="preserve">Case 13.642, Report No. 41/21, </w:t>
            </w:r>
            <w:r w:rsidRPr="00C57C0F">
              <w:rPr>
                <w:rFonts w:ascii="Cambria" w:hAnsi="Cambria"/>
                <w:sz w:val="18"/>
                <w:szCs w:val="18"/>
              </w:rPr>
              <w:t>Edgar José Sánchez Duarte, and Family (Colombia)</w:t>
            </w:r>
          </w:p>
        </w:tc>
        <w:tc>
          <w:tcPr>
            <w:tcW w:w="1170" w:type="dxa"/>
            <w:vMerge/>
            <w:vAlign w:val="center"/>
          </w:tcPr>
          <w:p w14:paraId="4B138FCD" w14:textId="77777777" w:rsidR="00183F07" w:rsidRPr="00C57C0F" w:rsidRDefault="00183F07">
            <w:pPr>
              <w:jc w:val="center"/>
              <w:rPr>
                <w:rFonts w:ascii="Cambria" w:hAnsi="Cambria" w:cstheme="minorHAnsi"/>
                <w:sz w:val="18"/>
                <w:szCs w:val="18"/>
              </w:rPr>
            </w:pPr>
          </w:p>
        </w:tc>
        <w:tc>
          <w:tcPr>
            <w:tcW w:w="1350" w:type="dxa"/>
            <w:vAlign w:val="center"/>
          </w:tcPr>
          <w:p w14:paraId="488096C5" w14:textId="77777777" w:rsidR="00183F07" w:rsidRPr="00C57C0F" w:rsidRDefault="00183F07">
            <w:pPr>
              <w:jc w:val="center"/>
              <w:rPr>
                <w:rFonts w:ascii="Cambria" w:hAnsi="Cambria" w:cstheme="minorHAnsi"/>
                <w:sz w:val="18"/>
                <w:szCs w:val="18"/>
              </w:rPr>
            </w:pPr>
          </w:p>
        </w:tc>
        <w:tc>
          <w:tcPr>
            <w:tcW w:w="1170" w:type="dxa"/>
            <w:vAlign w:val="center"/>
          </w:tcPr>
          <w:p w14:paraId="0824E19B"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09EFA937" w14:textId="77777777" w:rsidR="00183F07" w:rsidRPr="00C57C0F" w:rsidRDefault="00183F07">
            <w:pPr>
              <w:jc w:val="center"/>
              <w:rPr>
                <w:rFonts w:ascii="Cambria" w:hAnsi="Cambria" w:cstheme="minorHAnsi"/>
                <w:sz w:val="18"/>
                <w:szCs w:val="18"/>
              </w:rPr>
            </w:pPr>
          </w:p>
        </w:tc>
        <w:tc>
          <w:tcPr>
            <w:tcW w:w="1170" w:type="dxa"/>
            <w:vAlign w:val="center"/>
          </w:tcPr>
          <w:p w14:paraId="4A3B5568"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25%</w:t>
            </w:r>
          </w:p>
        </w:tc>
        <w:tc>
          <w:tcPr>
            <w:tcW w:w="1260" w:type="dxa"/>
            <w:vAlign w:val="center"/>
          </w:tcPr>
          <w:p w14:paraId="614859FC"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rPr>
              <w:t>Active</w:t>
            </w:r>
          </w:p>
        </w:tc>
      </w:tr>
      <w:tr w:rsidR="00183F07" w:rsidRPr="00C57C0F" w14:paraId="75B3F1BC" w14:textId="77777777">
        <w:trPr>
          <w:cnfStyle w:val="000000010000" w:firstRow="0" w:lastRow="0" w:firstColumn="0" w:lastColumn="0" w:oddVBand="0" w:evenVBand="0" w:oddHBand="0" w:evenHBand="1" w:firstRowFirstColumn="0" w:firstRowLastColumn="0" w:lastRowFirstColumn="0" w:lastRowLastColumn="0"/>
          <w:trHeight w:hRule="exact" w:val="1359"/>
          <w:jc w:val="center"/>
        </w:trPr>
        <w:tc>
          <w:tcPr>
            <w:tcW w:w="1620" w:type="dxa"/>
            <w:vAlign w:val="center"/>
          </w:tcPr>
          <w:p w14:paraId="3523F10C"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lastRenderedPageBreak/>
              <w:t xml:space="preserve">Case 13.171, Report No. 115/21, </w:t>
            </w:r>
            <w:r w:rsidRPr="00C57C0F">
              <w:rPr>
                <w:rFonts w:ascii="Cambria" w:hAnsi="Cambria"/>
                <w:sz w:val="18"/>
                <w:szCs w:val="18"/>
              </w:rPr>
              <w:t>Luis Argemiro Gómez Atehortua (Colombia)</w:t>
            </w:r>
          </w:p>
        </w:tc>
        <w:tc>
          <w:tcPr>
            <w:tcW w:w="1170" w:type="dxa"/>
            <w:vMerge/>
            <w:vAlign w:val="center"/>
          </w:tcPr>
          <w:p w14:paraId="3EE3300D" w14:textId="77777777" w:rsidR="00183F07" w:rsidRPr="00C57C0F" w:rsidRDefault="00183F07">
            <w:pPr>
              <w:jc w:val="center"/>
              <w:rPr>
                <w:rFonts w:ascii="Cambria" w:hAnsi="Cambria" w:cstheme="minorHAnsi"/>
                <w:sz w:val="18"/>
                <w:szCs w:val="18"/>
              </w:rPr>
            </w:pPr>
          </w:p>
        </w:tc>
        <w:tc>
          <w:tcPr>
            <w:tcW w:w="1350" w:type="dxa"/>
            <w:vAlign w:val="center"/>
          </w:tcPr>
          <w:p w14:paraId="2CB742A2" w14:textId="77777777" w:rsidR="00183F07" w:rsidRPr="00C57C0F" w:rsidRDefault="00183F07">
            <w:pPr>
              <w:jc w:val="center"/>
              <w:rPr>
                <w:rFonts w:ascii="Cambria" w:hAnsi="Cambria" w:cstheme="minorHAnsi"/>
                <w:sz w:val="18"/>
                <w:szCs w:val="18"/>
              </w:rPr>
            </w:pPr>
          </w:p>
        </w:tc>
        <w:tc>
          <w:tcPr>
            <w:tcW w:w="1170" w:type="dxa"/>
            <w:vAlign w:val="center"/>
          </w:tcPr>
          <w:p w14:paraId="0D840783"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1D20EB15" w14:textId="77777777" w:rsidR="00183F07" w:rsidRPr="00C57C0F" w:rsidRDefault="00183F07">
            <w:pPr>
              <w:jc w:val="center"/>
              <w:rPr>
                <w:rFonts w:ascii="Cambria" w:hAnsi="Cambria" w:cstheme="minorHAnsi"/>
                <w:sz w:val="18"/>
                <w:szCs w:val="18"/>
              </w:rPr>
            </w:pPr>
          </w:p>
        </w:tc>
        <w:tc>
          <w:tcPr>
            <w:tcW w:w="1170" w:type="dxa"/>
            <w:vAlign w:val="center"/>
          </w:tcPr>
          <w:p w14:paraId="12E74AD7"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80%</w:t>
            </w:r>
          </w:p>
        </w:tc>
        <w:tc>
          <w:tcPr>
            <w:tcW w:w="1260" w:type="dxa"/>
            <w:vAlign w:val="center"/>
          </w:tcPr>
          <w:p w14:paraId="4E2ED526"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rPr>
              <w:t>Active</w:t>
            </w:r>
          </w:p>
        </w:tc>
      </w:tr>
      <w:tr w:rsidR="00183F07" w:rsidRPr="00C57C0F" w14:paraId="73143A9F" w14:textId="77777777">
        <w:trPr>
          <w:cnfStyle w:val="000000100000" w:firstRow="0" w:lastRow="0" w:firstColumn="0" w:lastColumn="0" w:oddVBand="0" w:evenVBand="0" w:oddHBand="1" w:evenHBand="0" w:firstRowFirstColumn="0" w:firstRowLastColumn="0" w:lastRowFirstColumn="0" w:lastRowLastColumn="0"/>
          <w:trHeight w:hRule="exact" w:val="1350"/>
          <w:jc w:val="center"/>
        </w:trPr>
        <w:tc>
          <w:tcPr>
            <w:tcW w:w="1620" w:type="dxa"/>
            <w:vAlign w:val="center"/>
          </w:tcPr>
          <w:p w14:paraId="134DBED2"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sz w:val="18"/>
                <w:szCs w:val="18"/>
                <w:lang w:val="es-AR"/>
              </w:rPr>
              <w:t xml:space="preserve">Case 13.571, Report 336/21, Carlos Mario Muñoz Gómez, (Colombia) </w:t>
            </w:r>
          </w:p>
        </w:tc>
        <w:tc>
          <w:tcPr>
            <w:tcW w:w="1170" w:type="dxa"/>
            <w:vMerge/>
            <w:vAlign w:val="center"/>
          </w:tcPr>
          <w:p w14:paraId="289E4C24" w14:textId="77777777" w:rsidR="00183F07" w:rsidRPr="00352AC9" w:rsidRDefault="00183F07">
            <w:pPr>
              <w:jc w:val="center"/>
              <w:rPr>
                <w:rFonts w:ascii="Cambria" w:hAnsi="Cambria" w:cstheme="minorHAnsi"/>
                <w:sz w:val="18"/>
                <w:szCs w:val="18"/>
                <w:lang w:val="es-AR"/>
              </w:rPr>
            </w:pPr>
          </w:p>
        </w:tc>
        <w:tc>
          <w:tcPr>
            <w:tcW w:w="1350" w:type="dxa"/>
            <w:vAlign w:val="center"/>
          </w:tcPr>
          <w:p w14:paraId="5BDBD05A" w14:textId="77777777" w:rsidR="00183F07" w:rsidRPr="00352AC9" w:rsidRDefault="00183F07">
            <w:pPr>
              <w:jc w:val="center"/>
              <w:rPr>
                <w:rFonts w:ascii="Cambria" w:hAnsi="Cambria" w:cstheme="minorHAnsi"/>
                <w:sz w:val="18"/>
                <w:szCs w:val="18"/>
                <w:lang w:val="es-AR"/>
              </w:rPr>
            </w:pPr>
          </w:p>
        </w:tc>
        <w:tc>
          <w:tcPr>
            <w:tcW w:w="1170" w:type="dxa"/>
            <w:vAlign w:val="center"/>
          </w:tcPr>
          <w:p w14:paraId="1AD4ED48"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759F9BCD" w14:textId="77777777" w:rsidR="00183F07" w:rsidRPr="00C57C0F" w:rsidRDefault="00183F07">
            <w:pPr>
              <w:jc w:val="center"/>
              <w:rPr>
                <w:rFonts w:ascii="Cambria" w:hAnsi="Cambria" w:cstheme="minorHAnsi"/>
                <w:sz w:val="18"/>
                <w:szCs w:val="18"/>
              </w:rPr>
            </w:pPr>
          </w:p>
        </w:tc>
        <w:tc>
          <w:tcPr>
            <w:tcW w:w="1170" w:type="dxa"/>
            <w:vAlign w:val="center"/>
          </w:tcPr>
          <w:p w14:paraId="0728ED9B"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25%</w:t>
            </w:r>
          </w:p>
        </w:tc>
        <w:tc>
          <w:tcPr>
            <w:tcW w:w="1260" w:type="dxa"/>
            <w:vAlign w:val="center"/>
          </w:tcPr>
          <w:p w14:paraId="482FF69A"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2A290A12" w14:textId="77777777">
        <w:trPr>
          <w:cnfStyle w:val="000000010000" w:firstRow="0" w:lastRow="0" w:firstColumn="0" w:lastColumn="0" w:oddVBand="0" w:evenVBand="0" w:oddHBand="0" w:evenHBand="1" w:firstRowFirstColumn="0" w:firstRowLastColumn="0" w:lastRowFirstColumn="0" w:lastRowLastColumn="0"/>
          <w:trHeight w:hRule="exact" w:val="1341"/>
          <w:jc w:val="center"/>
        </w:trPr>
        <w:tc>
          <w:tcPr>
            <w:tcW w:w="1620" w:type="dxa"/>
            <w:vAlign w:val="center"/>
          </w:tcPr>
          <w:p w14:paraId="6A19ED4E" w14:textId="77777777" w:rsidR="00183F07" w:rsidRPr="00C57C0F" w:rsidRDefault="00183F07" w:rsidP="00933F91">
            <w:pPr>
              <w:numPr>
                <w:ilvl w:val="0"/>
                <w:numId w:val="70"/>
              </w:numPr>
              <w:tabs>
                <w:tab w:val="num" w:pos="522"/>
              </w:tabs>
              <w:ind w:firstLine="0"/>
              <w:jc w:val="both"/>
              <w:rPr>
                <w:rFonts w:ascii="Cambria" w:hAnsi="Cambria"/>
                <w:sz w:val="18"/>
                <w:szCs w:val="18"/>
              </w:rPr>
            </w:pPr>
            <w:r w:rsidRPr="00C57C0F">
              <w:rPr>
                <w:rFonts w:ascii="Cambria" w:hAnsi="Cambria"/>
                <w:sz w:val="18"/>
                <w:szCs w:val="18"/>
              </w:rPr>
              <w:t>Case 13.758, Report 337/21, Franklin Bustamante Restrepo (Colombia)</w:t>
            </w:r>
          </w:p>
        </w:tc>
        <w:tc>
          <w:tcPr>
            <w:tcW w:w="1170" w:type="dxa"/>
            <w:vMerge/>
            <w:vAlign w:val="center"/>
          </w:tcPr>
          <w:p w14:paraId="7FB1B9CD" w14:textId="77777777" w:rsidR="00183F07" w:rsidRPr="00C57C0F" w:rsidRDefault="00183F07">
            <w:pPr>
              <w:jc w:val="center"/>
              <w:rPr>
                <w:rFonts w:ascii="Cambria" w:hAnsi="Cambria" w:cstheme="minorHAnsi"/>
                <w:sz w:val="18"/>
                <w:szCs w:val="18"/>
              </w:rPr>
            </w:pPr>
          </w:p>
        </w:tc>
        <w:tc>
          <w:tcPr>
            <w:tcW w:w="1350" w:type="dxa"/>
            <w:vAlign w:val="center"/>
          </w:tcPr>
          <w:p w14:paraId="6031DFF6" w14:textId="77777777" w:rsidR="00183F07" w:rsidRPr="00C57C0F" w:rsidRDefault="00183F07">
            <w:pPr>
              <w:jc w:val="center"/>
              <w:rPr>
                <w:rFonts w:ascii="Cambria" w:hAnsi="Cambria" w:cstheme="minorHAnsi"/>
                <w:sz w:val="18"/>
                <w:szCs w:val="18"/>
              </w:rPr>
            </w:pPr>
          </w:p>
        </w:tc>
        <w:tc>
          <w:tcPr>
            <w:tcW w:w="1170" w:type="dxa"/>
            <w:vAlign w:val="center"/>
          </w:tcPr>
          <w:p w14:paraId="7469CF2F"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1A3E30B8" w14:textId="77777777" w:rsidR="00183F07" w:rsidRPr="00C57C0F" w:rsidRDefault="00183F07">
            <w:pPr>
              <w:jc w:val="center"/>
              <w:rPr>
                <w:rFonts w:ascii="Cambria" w:hAnsi="Cambria" w:cstheme="minorHAnsi"/>
                <w:sz w:val="18"/>
                <w:szCs w:val="18"/>
              </w:rPr>
            </w:pPr>
          </w:p>
        </w:tc>
        <w:tc>
          <w:tcPr>
            <w:tcW w:w="1170" w:type="dxa"/>
            <w:vAlign w:val="center"/>
          </w:tcPr>
          <w:p w14:paraId="5EDFB305"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67%</w:t>
            </w:r>
          </w:p>
        </w:tc>
        <w:tc>
          <w:tcPr>
            <w:tcW w:w="1260" w:type="dxa"/>
            <w:vAlign w:val="center"/>
          </w:tcPr>
          <w:p w14:paraId="46E3BF27"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42519C59" w14:textId="77777777">
        <w:trPr>
          <w:cnfStyle w:val="000000100000" w:firstRow="0" w:lastRow="0" w:firstColumn="0" w:lastColumn="0" w:oddVBand="0" w:evenVBand="0" w:oddHBand="1" w:evenHBand="0" w:firstRowFirstColumn="0" w:firstRowLastColumn="0" w:lastRowFirstColumn="0" w:lastRowLastColumn="0"/>
          <w:trHeight w:hRule="exact" w:val="1170"/>
          <w:jc w:val="center"/>
        </w:trPr>
        <w:tc>
          <w:tcPr>
            <w:tcW w:w="1620" w:type="dxa"/>
            <w:vAlign w:val="center"/>
          </w:tcPr>
          <w:p w14:paraId="03741249"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sz w:val="18"/>
                <w:szCs w:val="18"/>
              </w:rPr>
              <w:t>Case 14.291, Report No. 58/22, Captain N (Colombia)</w:t>
            </w:r>
          </w:p>
        </w:tc>
        <w:tc>
          <w:tcPr>
            <w:tcW w:w="1170" w:type="dxa"/>
            <w:vMerge/>
            <w:vAlign w:val="center"/>
          </w:tcPr>
          <w:p w14:paraId="16EE2169" w14:textId="77777777" w:rsidR="00183F07" w:rsidRPr="00C57C0F" w:rsidRDefault="00183F07">
            <w:pPr>
              <w:jc w:val="center"/>
              <w:rPr>
                <w:rFonts w:ascii="Cambria" w:hAnsi="Cambria" w:cstheme="minorHAnsi"/>
                <w:sz w:val="18"/>
                <w:szCs w:val="18"/>
              </w:rPr>
            </w:pPr>
          </w:p>
        </w:tc>
        <w:tc>
          <w:tcPr>
            <w:tcW w:w="1350" w:type="dxa"/>
            <w:vAlign w:val="center"/>
          </w:tcPr>
          <w:p w14:paraId="48847709" w14:textId="77777777" w:rsidR="00183F07" w:rsidRPr="00C57C0F" w:rsidRDefault="00183F07">
            <w:pPr>
              <w:jc w:val="center"/>
              <w:rPr>
                <w:rFonts w:ascii="Cambria" w:hAnsi="Cambria" w:cstheme="minorHAnsi"/>
                <w:sz w:val="18"/>
                <w:szCs w:val="18"/>
              </w:rPr>
            </w:pPr>
          </w:p>
        </w:tc>
        <w:tc>
          <w:tcPr>
            <w:tcW w:w="1170" w:type="dxa"/>
            <w:vAlign w:val="center"/>
          </w:tcPr>
          <w:p w14:paraId="1CD76F76"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0FDBB785" w14:textId="77777777" w:rsidR="00183F07" w:rsidRPr="00C57C0F" w:rsidRDefault="00183F07">
            <w:pPr>
              <w:jc w:val="center"/>
              <w:rPr>
                <w:rFonts w:ascii="Cambria" w:hAnsi="Cambria" w:cstheme="minorHAnsi"/>
                <w:sz w:val="18"/>
                <w:szCs w:val="18"/>
              </w:rPr>
            </w:pPr>
          </w:p>
        </w:tc>
        <w:tc>
          <w:tcPr>
            <w:tcW w:w="1170" w:type="dxa"/>
            <w:vAlign w:val="center"/>
          </w:tcPr>
          <w:p w14:paraId="7B1C1EE3"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25%</w:t>
            </w:r>
          </w:p>
        </w:tc>
        <w:tc>
          <w:tcPr>
            <w:tcW w:w="1260" w:type="dxa"/>
            <w:vAlign w:val="center"/>
          </w:tcPr>
          <w:p w14:paraId="00D9E5CD"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49C62A7F" w14:textId="77777777">
        <w:trPr>
          <w:cnfStyle w:val="000000010000" w:firstRow="0" w:lastRow="0" w:firstColumn="0" w:lastColumn="0" w:oddVBand="0" w:evenVBand="0" w:oddHBand="0" w:evenHBand="1" w:firstRowFirstColumn="0" w:firstRowLastColumn="0" w:lastRowFirstColumn="0" w:lastRowLastColumn="0"/>
          <w:trHeight w:hRule="exact" w:val="1341"/>
          <w:jc w:val="center"/>
        </w:trPr>
        <w:tc>
          <w:tcPr>
            <w:tcW w:w="1620" w:type="dxa"/>
            <w:vAlign w:val="center"/>
          </w:tcPr>
          <w:p w14:paraId="4FE7E8FC"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sz w:val="18"/>
                <w:szCs w:val="18"/>
              </w:rPr>
              <w:t>Petition535-17, Report No. 59/22, Luis Gerardo Bermudez (Colombia)</w:t>
            </w:r>
          </w:p>
        </w:tc>
        <w:tc>
          <w:tcPr>
            <w:tcW w:w="1170" w:type="dxa"/>
            <w:vMerge/>
            <w:vAlign w:val="center"/>
          </w:tcPr>
          <w:p w14:paraId="0EE1EB02" w14:textId="77777777" w:rsidR="00183F07" w:rsidRPr="00C57C0F" w:rsidRDefault="00183F07">
            <w:pPr>
              <w:jc w:val="center"/>
              <w:rPr>
                <w:rFonts w:ascii="Cambria" w:hAnsi="Cambria" w:cstheme="minorHAnsi"/>
                <w:sz w:val="18"/>
                <w:szCs w:val="18"/>
              </w:rPr>
            </w:pPr>
          </w:p>
        </w:tc>
        <w:tc>
          <w:tcPr>
            <w:tcW w:w="1350" w:type="dxa"/>
            <w:vAlign w:val="center"/>
          </w:tcPr>
          <w:p w14:paraId="0C016EF1" w14:textId="77777777" w:rsidR="00183F07" w:rsidRPr="00C57C0F" w:rsidRDefault="00183F07">
            <w:pPr>
              <w:jc w:val="center"/>
              <w:rPr>
                <w:rFonts w:ascii="Cambria" w:hAnsi="Cambria" w:cstheme="minorHAnsi"/>
                <w:sz w:val="18"/>
                <w:szCs w:val="18"/>
              </w:rPr>
            </w:pPr>
          </w:p>
        </w:tc>
        <w:tc>
          <w:tcPr>
            <w:tcW w:w="1170" w:type="dxa"/>
            <w:vAlign w:val="center"/>
          </w:tcPr>
          <w:p w14:paraId="2E09C468"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47C08DBE" w14:textId="77777777" w:rsidR="00183F07" w:rsidRPr="00C57C0F" w:rsidRDefault="00183F07">
            <w:pPr>
              <w:jc w:val="center"/>
              <w:rPr>
                <w:rFonts w:ascii="Cambria" w:hAnsi="Cambria" w:cstheme="minorHAnsi"/>
                <w:sz w:val="18"/>
                <w:szCs w:val="18"/>
              </w:rPr>
            </w:pPr>
          </w:p>
        </w:tc>
        <w:tc>
          <w:tcPr>
            <w:tcW w:w="1170" w:type="dxa"/>
            <w:vAlign w:val="center"/>
          </w:tcPr>
          <w:p w14:paraId="410A8232"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50%</w:t>
            </w:r>
          </w:p>
        </w:tc>
        <w:tc>
          <w:tcPr>
            <w:tcW w:w="1260" w:type="dxa"/>
            <w:vAlign w:val="center"/>
          </w:tcPr>
          <w:p w14:paraId="4B319FA4"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5217556E" w14:textId="77777777">
        <w:trPr>
          <w:cnfStyle w:val="000000100000" w:firstRow="0" w:lastRow="0" w:firstColumn="0" w:lastColumn="0" w:oddVBand="0" w:evenVBand="0" w:oddHBand="1" w:evenHBand="0" w:firstRowFirstColumn="0" w:firstRowLastColumn="0" w:lastRowFirstColumn="0" w:lastRowLastColumn="0"/>
          <w:trHeight w:hRule="exact" w:val="1350"/>
          <w:jc w:val="center"/>
        </w:trPr>
        <w:tc>
          <w:tcPr>
            <w:tcW w:w="1620" w:type="dxa"/>
            <w:vAlign w:val="center"/>
          </w:tcPr>
          <w:p w14:paraId="525934C2"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sz w:val="18"/>
                <w:szCs w:val="18"/>
                <w:lang w:val="es-AR"/>
              </w:rPr>
              <w:t>Petition514-11, Report No. 60/22, Luis Hernando Morera Garzón (Colombia)</w:t>
            </w:r>
          </w:p>
        </w:tc>
        <w:tc>
          <w:tcPr>
            <w:tcW w:w="1170" w:type="dxa"/>
            <w:vMerge/>
            <w:vAlign w:val="center"/>
          </w:tcPr>
          <w:p w14:paraId="4349E286" w14:textId="77777777" w:rsidR="00183F07" w:rsidRPr="00352AC9" w:rsidRDefault="00183F07">
            <w:pPr>
              <w:jc w:val="center"/>
              <w:rPr>
                <w:rFonts w:ascii="Cambria" w:hAnsi="Cambria" w:cstheme="minorHAnsi"/>
                <w:sz w:val="18"/>
                <w:szCs w:val="18"/>
                <w:lang w:val="es-AR"/>
              </w:rPr>
            </w:pPr>
          </w:p>
        </w:tc>
        <w:tc>
          <w:tcPr>
            <w:tcW w:w="1350" w:type="dxa"/>
            <w:vAlign w:val="center"/>
          </w:tcPr>
          <w:p w14:paraId="048405AD" w14:textId="77777777" w:rsidR="00183F07" w:rsidRPr="00352AC9" w:rsidRDefault="00183F07">
            <w:pPr>
              <w:jc w:val="center"/>
              <w:rPr>
                <w:rFonts w:ascii="Cambria" w:hAnsi="Cambria" w:cstheme="minorHAnsi"/>
                <w:sz w:val="18"/>
                <w:szCs w:val="18"/>
                <w:lang w:val="es-AR"/>
              </w:rPr>
            </w:pPr>
          </w:p>
        </w:tc>
        <w:tc>
          <w:tcPr>
            <w:tcW w:w="1170" w:type="dxa"/>
            <w:vAlign w:val="center"/>
          </w:tcPr>
          <w:p w14:paraId="57DA6CE7"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7190B674" w14:textId="77777777" w:rsidR="00183F07" w:rsidRPr="00C57C0F" w:rsidRDefault="00183F07">
            <w:pPr>
              <w:jc w:val="center"/>
              <w:rPr>
                <w:rFonts w:ascii="Cambria" w:hAnsi="Cambria" w:cstheme="minorHAnsi"/>
                <w:sz w:val="18"/>
                <w:szCs w:val="18"/>
              </w:rPr>
            </w:pPr>
          </w:p>
        </w:tc>
        <w:tc>
          <w:tcPr>
            <w:tcW w:w="1170" w:type="dxa"/>
            <w:vAlign w:val="center"/>
          </w:tcPr>
          <w:p w14:paraId="57B4667E"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60%</w:t>
            </w:r>
          </w:p>
        </w:tc>
        <w:tc>
          <w:tcPr>
            <w:tcW w:w="1260" w:type="dxa"/>
            <w:vAlign w:val="center"/>
          </w:tcPr>
          <w:p w14:paraId="3ECCCE69"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3B441CC3" w14:textId="77777777">
        <w:trPr>
          <w:cnfStyle w:val="000000010000" w:firstRow="0" w:lastRow="0" w:firstColumn="0" w:lastColumn="0" w:oddVBand="0" w:evenVBand="0" w:oddHBand="0" w:evenHBand="1" w:firstRowFirstColumn="0" w:firstRowLastColumn="0" w:lastRowFirstColumn="0" w:lastRowLastColumn="0"/>
          <w:trHeight w:hRule="exact" w:val="1638"/>
          <w:jc w:val="center"/>
        </w:trPr>
        <w:tc>
          <w:tcPr>
            <w:tcW w:w="1620" w:type="dxa"/>
            <w:vAlign w:val="center"/>
          </w:tcPr>
          <w:p w14:paraId="64353B25"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sz w:val="18"/>
                <w:szCs w:val="18"/>
              </w:rPr>
              <w:t>Case 13.775, Report No. 63/22, Gabriel Angel Gómez Martínez and Family (Colombia)</w:t>
            </w:r>
          </w:p>
        </w:tc>
        <w:tc>
          <w:tcPr>
            <w:tcW w:w="1170" w:type="dxa"/>
            <w:vMerge/>
            <w:vAlign w:val="center"/>
          </w:tcPr>
          <w:p w14:paraId="692AE0A4" w14:textId="77777777" w:rsidR="00183F07" w:rsidRPr="00C57C0F" w:rsidRDefault="00183F07">
            <w:pPr>
              <w:jc w:val="center"/>
              <w:rPr>
                <w:rFonts w:ascii="Cambria" w:hAnsi="Cambria" w:cstheme="minorHAnsi"/>
                <w:sz w:val="18"/>
                <w:szCs w:val="18"/>
              </w:rPr>
            </w:pPr>
          </w:p>
        </w:tc>
        <w:tc>
          <w:tcPr>
            <w:tcW w:w="1350" w:type="dxa"/>
            <w:vAlign w:val="center"/>
          </w:tcPr>
          <w:p w14:paraId="2CF8EA7E" w14:textId="77777777" w:rsidR="00183F07" w:rsidRPr="00C57C0F" w:rsidRDefault="00183F07">
            <w:pPr>
              <w:jc w:val="center"/>
              <w:rPr>
                <w:rFonts w:ascii="Cambria" w:hAnsi="Cambria" w:cstheme="minorHAnsi"/>
                <w:sz w:val="18"/>
                <w:szCs w:val="18"/>
              </w:rPr>
            </w:pPr>
          </w:p>
        </w:tc>
        <w:tc>
          <w:tcPr>
            <w:tcW w:w="1170" w:type="dxa"/>
            <w:vAlign w:val="center"/>
          </w:tcPr>
          <w:p w14:paraId="6448A15D"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51635276" w14:textId="77777777" w:rsidR="00183F07" w:rsidRPr="00C57C0F" w:rsidRDefault="00183F07">
            <w:pPr>
              <w:jc w:val="center"/>
              <w:rPr>
                <w:rFonts w:ascii="Cambria" w:hAnsi="Cambria" w:cstheme="minorHAnsi"/>
                <w:sz w:val="18"/>
                <w:szCs w:val="18"/>
              </w:rPr>
            </w:pPr>
          </w:p>
        </w:tc>
        <w:tc>
          <w:tcPr>
            <w:tcW w:w="1170" w:type="dxa"/>
            <w:vAlign w:val="center"/>
          </w:tcPr>
          <w:p w14:paraId="6A5F655C"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67%</w:t>
            </w:r>
          </w:p>
        </w:tc>
        <w:tc>
          <w:tcPr>
            <w:tcW w:w="1260" w:type="dxa"/>
            <w:vAlign w:val="center"/>
          </w:tcPr>
          <w:p w14:paraId="68C07B39"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10DB2A12" w14:textId="77777777">
        <w:trPr>
          <w:cnfStyle w:val="000000100000" w:firstRow="0" w:lastRow="0" w:firstColumn="0" w:lastColumn="0" w:oddVBand="0" w:evenVBand="0" w:oddHBand="1" w:evenHBand="0" w:firstRowFirstColumn="0" w:firstRowLastColumn="0" w:lastRowFirstColumn="0" w:lastRowLastColumn="0"/>
          <w:trHeight w:hRule="exact" w:val="1701"/>
          <w:jc w:val="center"/>
        </w:trPr>
        <w:tc>
          <w:tcPr>
            <w:tcW w:w="1620" w:type="dxa"/>
            <w:vAlign w:val="center"/>
          </w:tcPr>
          <w:p w14:paraId="3F1043A0"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sz w:val="18"/>
                <w:szCs w:val="18"/>
              </w:rPr>
              <w:t>Case 13.654, Report No. 64/22, Juan Simón Cantillo Raigoza and Family (Colombia)</w:t>
            </w:r>
          </w:p>
        </w:tc>
        <w:tc>
          <w:tcPr>
            <w:tcW w:w="1170" w:type="dxa"/>
            <w:vMerge/>
            <w:vAlign w:val="center"/>
          </w:tcPr>
          <w:p w14:paraId="6DFF2258" w14:textId="77777777" w:rsidR="00183F07" w:rsidRPr="00C57C0F" w:rsidRDefault="00183F07">
            <w:pPr>
              <w:jc w:val="center"/>
              <w:rPr>
                <w:rFonts w:ascii="Cambria" w:hAnsi="Cambria" w:cstheme="minorHAnsi"/>
                <w:sz w:val="18"/>
                <w:szCs w:val="18"/>
              </w:rPr>
            </w:pPr>
          </w:p>
        </w:tc>
        <w:tc>
          <w:tcPr>
            <w:tcW w:w="1350" w:type="dxa"/>
            <w:vAlign w:val="center"/>
          </w:tcPr>
          <w:p w14:paraId="6FD58646" w14:textId="77777777" w:rsidR="00183F07" w:rsidRPr="00C57C0F" w:rsidRDefault="00183F07">
            <w:pPr>
              <w:jc w:val="center"/>
              <w:rPr>
                <w:rFonts w:ascii="Cambria" w:hAnsi="Cambria" w:cstheme="minorHAnsi"/>
                <w:sz w:val="18"/>
                <w:szCs w:val="18"/>
              </w:rPr>
            </w:pPr>
          </w:p>
        </w:tc>
        <w:tc>
          <w:tcPr>
            <w:tcW w:w="1170" w:type="dxa"/>
            <w:vAlign w:val="center"/>
          </w:tcPr>
          <w:p w14:paraId="6D8D1274"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5809E30D" w14:textId="77777777" w:rsidR="00183F07" w:rsidRPr="00C57C0F" w:rsidRDefault="00183F07">
            <w:pPr>
              <w:jc w:val="center"/>
              <w:rPr>
                <w:rFonts w:ascii="Cambria" w:hAnsi="Cambria" w:cstheme="minorHAnsi"/>
                <w:sz w:val="18"/>
                <w:szCs w:val="18"/>
              </w:rPr>
            </w:pPr>
          </w:p>
        </w:tc>
        <w:tc>
          <w:tcPr>
            <w:tcW w:w="1170" w:type="dxa"/>
            <w:vAlign w:val="center"/>
          </w:tcPr>
          <w:p w14:paraId="0E584DC1"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50%</w:t>
            </w:r>
          </w:p>
        </w:tc>
        <w:tc>
          <w:tcPr>
            <w:tcW w:w="1260" w:type="dxa"/>
            <w:vAlign w:val="center"/>
          </w:tcPr>
          <w:p w14:paraId="6CABAB65"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32CFBDA9" w14:textId="77777777">
        <w:trPr>
          <w:cnfStyle w:val="000000010000" w:firstRow="0" w:lastRow="0" w:firstColumn="0" w:lastColumn="0" w:oddVBand="0" w:evenVBand="0" w:oddHBand="0" w:evenHBand="1" w:firstRowFirstColumn="0" w:firstRowLastColumn="0" w:lastRowFirstColumn="0" w:lastRowLastColumn="0"/>
          <w:trHeight w:hRule="exact" w:val="1665"/>
          <w:jc w:val="center"/>
        </w:trPr>
        <w:tc>
          <w:tcPr>
            <w:tcW w:w="1620" w:type="dxa"/>
            <w:vAlign w:val="center"/>
          </w:tcPr>
          <w:p w14:paraId="42E9A910"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sz w:val="18"/>
                <w:szCs w:val="18"/>
              </w:rPr>
              <w:lastRenderedPageBreak/>
              <w:t>Case 14.306, Report No. 65/22, José Ramón Ochoa Salazar, and Family (Colombia)</w:t>
            </w:r>
          </w:p>
        </w:tc>
        <w:tc>
          <w:tcPr>
            <w:tcW w:w="1170" w:type="dxa"/>
            <w:vMerge/>
            <w:vAlign w:val="center"/>
          </w:tcPr>
          <w:p w14:paraId="1907B151" w14:textId="77777777" w:rsidR="00183F07" w:rsidRPr="00C57C0F" w:rsidRDefault="00183F07">
            <w:pPr>
              <w:jc w:val="center"/>
              <w:rPr>
                <w:rFonts w:ascii="Cambria" w:hAnsi="Cambria" w:cstheme="minorHAnsi"/>
                <w:sz w:val="18"/>
                <w:szCs w:val="18"/>
              </w:rPr>
            </w:pPr>
          </w:p>
        </w:tc>
        <w:tc>
          <w:tcPr>
            <w:tcW w:w="1350" w:type="dxa"/>
            <w:vAlign w:val="center"/>
          </w:tcPr>
          <w:p w14:paraId="572A367C" w14:textId="77777777" w:rsidR="00183F07" w:rsidRPr="00C57C0F" w:rsidRDefault="00183F07">
            <w:pPr>
              <w:jc w:val="center"/>
              <w:rPr>
                <w:rFonts w:ascii="Cambria" w:hAnsi="Cambria" w:cstheme="minorHAnsi"/>
                <w:sz w:val="18"/>
                <w:szCs w:val="18"/>
              </w:rPr>
            </w:pPr>
          </w:p>
        </w:tc>
        <w:tc>
          <w:tcPr>
            <w:tcW w:w="1170" w:type="dxa"/>
            <w:vAlign w:val="center"/>
          </w:tcPr>
          <w:p w14:paraId="09790685"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02FBDD22" w14:textId="77777777" w:rsidR="00183F07" w:rsidRPr="00C57C0F" w:rsidRDefault="00183F07">
            <w:pPr>
              <w:jc w:val="center"/>
              <w:rPr>
                <w:rFonts w:ascii="Cambria" w:hAnsi="Cambria" w:cstheme="minorHAnsi"/>
                <w:sz w:val="18"/>
                <w:szCs w:val="18"/>
              </w:rPr>
            </w:pPr>
          </w:p>
        </w:tc>
        <w:tc>
          <w:tcPr>
            <w:tcW w:w="1170" w:type="dxa"/>
            <w:vAlign w:val="center"/>
          </w:tcPr>
          <w:p w14:paraId="135F1967"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60%</w:t>
            </w:r>
          </w:p>
        </w:tc>
        <w:tc>
          <w:tcPr>
            <w:tcW w:w="1260" w:type="dxa"/>
            <w:vAlign w:val="center"/>
          </w:tcPr>
          <w:p w14:paraId="425E32CD"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07EBDB1A" w14:textId="77777777">
        <w:trPr>
          <w:cnfStyle w:val="000000100000" w:firstRow="0" w:lastRow="0" w:firstColumn="0" w:lastColumn="0" w:oddVBand="0" w:evenVBand="0" w:oddHBand="1" w:evenHBand="0" w:firstRowFirstColumn="0" w:firstRowLastColumn="0" w:lastRowFirstColumn="0" w:lastRowLastColumn="0"/>
          <w:trHeight w:hRule="exact" w:val="1530"/>
          <w:jc w:val="center"/>
        </w:trPr>
        <w:tc>
          <w:tcPr>
            <w:tcW w:w="1620" w:type="dxa"/>
            <w:vAlign w:val="center"/>
          </w:tcPr>
          <w:p w14:paraId="66ABD868"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sz w:val="18"/>
                <w:szCs w:val="18"/>
              </w:rPr>
              <w:t>Case 13.964, Report No. 66/22, Darío Gómez Cartagena, and Family (Colombia)</w:t>
            </w:r>
          </w:p>
        </w:tc>
        <w:tc>
          <w:tcPr>
            <w:tcW w:w="1170" w:type="dxa"/>
            <w:vMerge/>
            <w:vAlign w:val="center"/>
          </w:tcPr>
          <w:p w14:paraId="6999E9B7" w14:textId="77777777" w:rsidR="00183F07" w:rsidRPr="00C57C0F" w:rsidRDefault="00183F07">
            <w:pPr>
              <w:jc w:val="center"/>
              <w:rPr>
                <w:rFonts w:ascii="Cambria" w:hAnsi="Cambria" w:cstheme="minorHAnsi"/>
                <w:sz w:val="18"/>
                <w:szCs w:val="18"/>
              </w:rPr>
            </w:pPr>
          </w:p>
        </w:tc>
        <w:tc>
          <w:tcPr>
            <w:tcW w:w="1350" w:type="dxa"/>
            <w:vAlign w:val="center"/>
          </w:tcPr>
          <w:p w14:paraId="50A80CD0" w14:textId="77777777" w:rsidR="00183F07" w:rsidRPr="00C57C0F" w:rsidRDefault="00183F07">
            <w:pPr>
              <w:jc w:val="center"/>
              <w:rPr>
                <w:rFonts w:ascii="Cambria" w:hAnsi="Cambria" w:cstheme="minorHAnsi"/>
                <w:sz w:val="18"/>
                <w:szCs w:val="18"/>
              </w:rPr>
            </w:pPr>
          </w:p>
        </w:tc>
        <w:tc>
          <w:tcPr>
            <w:tcW w:w="1170" w:type="dxa"/>
            <w:vAlign w:val="center"/>
          </w:tcPr>
          <w:p w14:paraId="5A0060A7"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5B88BF62" w14:textId="77777777" w:rsidR="00183F07" w:rsidRPr="00C57C0F" w:rsidRDefault="00183F07">
            <w:pPr>
              <w:jc w:val="center"/>
              <w:rPr>
                <w:rFonts w:ascii="Cambria" w:hAnsi="Cambria" w:cstheme="minorHAnsi"/>
                <w:sz w:val="18"/>
                <w:szCs w:val="18"/>
              </w:rPr>
            </w:pPr>
          </w:p>
        </w:tc>
        <w:tc>
          <w:tcPr>
            <w:tcW w:w="1170" w:type="dxa"/>
            <w:vAlign w:val="center"/>
          </w:tcPr>
          <w:p w14:paraId="2822EED7"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67%</w:t>
            </w:r>
          </w:p>
        </w:tc>
        <w:tc>
          <w:tcPr>
            <w:tcW w:w="1260" w:type="dxa"/>
            <w:vAlign w:val="center"/>
          </w:tcPr>
          <w:p w14:paraId="5F317895"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524EEB49" w14:textId="77777777">
        <w:trPr>
          <w:cnfStyle w:val="000000010000" w:firstRow="0" w:lastRow="0" w:firstColumn="0" w:lastColumn="0" w:oddVBand="0" w:evenVBand="0" w:oddHBand="0" w:evenHBand="1" w:firstRowFirstColumn="0" w:firstRowLastColumn="0" w:lastRowFirstColumn="0" w:lastRowLastColumn="0"/>
          <w:trHeight w:hRule="exact" w:val="1431"/>
          <w:jc w:val="center"/>
        </w:trPr>
        <w:tc>
          <w:tcPr>
            <w:tcW w:w="1620" w:type="dxa"/>
            <w:vAlign w:val="center"/>
          </w:tcPr>
          <w:p w14:paraId="7E41284B"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sz w:val="18"/>
                <w:szCs w:val="18"/>
              </w:rPr>
              <w:t>Case 13.436, Report No. 67/22, José Oleaguer Correa Castrillón (Colombia)</w:t>
            </w:r>
          </w:p>
        </w:tc>
        <w:tc>
          <w:tcPr>
            <w:tcW w:w="1170" w:type="dxa"/>
            <w:vMerge/>
            <w:vAlign w:val="center"/>
          </w:tcPr>
          <w:p w14:paraId="24B3B9C3" w14:textId="77777777" w:rsidR="00183F07" w:rsidRPr="00C57C0F" w:rsidRDefault="00183F07">
            <w:pPr>
              <w:jc w:val="center"/>
              <w:rPr>
                <w:rFonts w:ascii="Cambria" w:hAnsi="Cambria" w:cstheme="minorHAnsi"/>
                <w:sz w:val="18"/>
                <w:szCs w:val="18"/>
              </w:rPr>
            </w:pPr>
          </w:p>
        </w:tc>
        <w:tc>
          <w:tcPr>
            <w:tcW w:w="1350" w:type="dxa"/>
            <w:vAlign w:val="center"/>
          </w:tcPr>
          <w:p w14:paraId="1DEA32B4" w14:textId="77777777" w:rsidR="00183F07" w:rsidRPr="00C57C0F" w:rsidRDefault="00183F07">
            <w:pPr>
              <w:jc w:val="center"/>
              <w:rPr>
                <w:rFonts w:ascii="Cambria" w:hAnsi="Cambria" w:cstheme="minorHAnsi"/>
                <w:sz w:val="18"/>
                <w:szCs w:val="18"/>
              </w:rPr>
            </w:pPr>
          </w:p>
        </w:tc>
        <w:tc>
          <w:tcPr>
            <w:tcW w:w="1170" w:type="dxa"/>
            <w:vAlign w:val="center"/>
          </w:tcPr>
          <w:p w14:paraId="3CA7D418"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0D80791C" w14:textId="77777777" w:rsidR="00183F07" w:rsidRPr="00C57C0F" w:rsidRDefault="00183F07">
            <w:pPr>
              <w:jc w:val="center"/>
              <w:rPr>
                <w:rFonts w:ascii="Cambria" w:hAnsi="Cambria" w:cstheme="minorHAnsi"/>
                <w:sz w:val="18"/>
                <w:szCs w:val="18"/>
              </w:rPr>
            </w:pPr>
          </w:p>
        </w:tc>
        <w:tc>
          <w:tcPr>
            <w:tcW w:w="1170" w:type="dxa"/>
            <w:vAlign w:val="center"/>
          </w:tcPr>
          <w:p w14:paraId="14B2D93A"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40%</w:t>
            </w:r>
          </w:p>
        </w:tc>
        <w:tc>
          <w:tcPr>
            <w:tcW w:w="1260" w:type="dxa"/>
            <w:vAlign w:val="center"/>
          </w:tcPr>
          <w:p w14:paraId="2C44466F"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334AEFCF" w14:textId="77777777">
        <w:trPr>
          <w:cnfStyle w:val="000000100000" w:firstRow="0" w:lastRow="0" w:firstColumn="0" w:lastColumn="0" w:oddVBand="0" w:evenVBand="0" w:oddHBand="1" w:evenHBand="0" w:firstRowFirstColumn="0" w:firstRowLastColumn="0" w:lastRowFirstColumn="0" w:lastRowLastColumn="0"/>
          <w:trHeight w:hRule="exact" w:val="1359"/>
          <w:jc w:val="center"/>
        </w:trPr>
        <w:tc>
          <w:tcPr>
            <w:tcW w:w="1620" w:type="dxa"/>
            <w:vAlign w:val="center"/>
          </w:tcPr>
          <w:p w14:paraId="38A53CFE"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sz w:val="18"/>
                <w:szCs w:val="18"/>
              </w:rPr>
              <w:t>Case 13.125, Report No. 68/22, Ricardo Antonio Elías and Family (Colombia)</w:t>
            </w:r>
          </w:p>
        </w:tc>
        <w:tc>
          <w:tcPr>
            <w:tcW w:w="1170" w:type="dxa"/>
            <w:vMerge/>
            <w:vAlign w:val="center"/>
          </w:tcPr>
          <w:p w14:paraId="36219E36" w14:textId="77777777" w:rsidR="00183F07" w:rsidRPr="00C57C0F" w:rsidRDefault="00183F07">
            <w:pPr>
              <w:jc w:val="center"/>
              <w:rPr>
                <w:rFonts w:ascii="Cambria" w:hAnsi="Cambria" w:cstheme="minorHAnsi"/>
                <w:sz w:val="18"/>
                <w:szCs w:val="18"/>
              </w:rPr>
            </w:pPr>
          </w:p>
        </w:tc>
        <w:tc>
          <w:tcPr>
            <w:tcW w:w="1350" w:type="dxa"/>
            <w:vAlign w:val="center"/>
          </w:tcPr>
          <w:p w14:paraId="42BF5176" w14:textId="77777777" w:rsidR="00183F07" w:rsidRPr="00C57C0F" w:rsidRDefault="00183F07">
            <w:pPr>
              <w:jc w:val="center"/>
              <w:rPr>
                <w:rFonts w:ascii="Cambria" w:hAnsi="Cambria" w:cstheme="minorHAnsi"/>
                <w:sz w:val="18"/>
                <w:szCs w:val="18"/>
              </w:rPr>
            </w:pPr>
          </w:p>
        </w:tc>
        <w:tc>
          <w:tcPr>
            <w:tcW w:w="1170" w:type="dxa"/>
            <w:vAlign w:val="center"/>
          </w:tcPr>
          <w:p w14:paraId="40A4FF86"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14EB817D" w14:textId="77777777" w:rsidR="00183F07" w:rsidRPr="00C57C0F" w:rsidRDefault="00183F07">
            <w:pPr>
              <w:jc w:val="center"/>
              <w:rPr>
                <w:rFonts w:ascii="Cambria" w:hAnsi="Cambria" w:cstheme="minorHAnsi"/>
                <w:sz w:val="18"/>
                <w:szCs w:val="18"/>
              </w:rPr>
            </w:pPr>
          </w:p>
        </w:tc>
        <w:tc>
          <w:tcPr>
            <w:tcW w:w="1170" w:type="dxa"/>
            <w:vAlign w:val="center"/>
          </w:tcPr>
          <w:p w14:paraId="29D348AA"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67%</w:t>
            </w:r>
          </w:p>
        </w:tc>
        <w:tc>
          <w:tcPr>
            <w:tcW w:w="1260" w:type="dxa"/>
            <w:vAlign w:val="center"/>
          </w:tcPr>
          <w:p w14:paraId="29977AB3"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537DF0AD" w14:textId="77777777">
        <w:trPr>
          <w:cnfStyle w:val="000000010000" w:firstRow="0" w:lastRow="0" w:firstColumn="0" w:lastColumn="0" w:oddVBand="0" w:evenVBand="0" w:oddHBand="0" w:evenHBand="1" w:firstRowFirstColumn="0" w:firstRowLastColumn="0" w:lastRowFirstColumn="0" w:lastRowLastColumn="0"/>
          <w:trHeight w:hRule="exact" w:val="1170"/>
          <w:jc w:val="center"/>
        </w:trPr>
        <w:tc>
          <w:tcPr>
            <w:tcW w:w="1620" w:type="dxa"/>
            <w:vAlign w:val="center"/>
          </w:tcPr>
          <w:p w14:paraId="5CDE9650"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352AC9">
              <w:rPr>
                <w:rFonts w:ascii="Cambria" w:hAnsi="Cambria"/>
                <w:sz w:val="18"/>
                <w:szCs w:val="18"/>
                <w:lang w:val="es-AR"/>
              </w:rPr>
              <w:t xml:space="preserve">Petition1391-15, Report No. 94/22, Mario Antonio Cardona et al. </w:t>
            </w:r>
            <w:r w:rsidRPr="00C57C0F">
              <w:rPr>
                <w:rFonts w:ascii="Cambria" w:hAnsi="Cambria"/>
                <w:sz w:val="18"/>
                <w:szCs w:val="18"/>
              </w:rPr>
              <w:t>(Colombia)</w:t>
            </w:r>
          </w:p>
        </w:tc>
        <w:tc>
          <w:tcPr>
            <w:tcW w:w="1170" w:type="dxa"/>
            <w:vMerge/>
            <w:vAlign w:val="center"/>
          </w:tcPr>
          <w:p w14:paraId="62396B27" w14:textId="77777777" w:rsidR="00183F07" w:rsidRPr="00C57C0F" w:rsidRDefault="00183F07">
            <w:pPr>
              <w:jc w:val="center"/>
              <w:rPr>
                <w:rFonts w:ascii="Cambria" w:hAnsi="Cambria" w:cstheme="minorHAnsi"/>
                <w:sz w:val="18"/>
                <w:szCs w:val="18"/>
              </w:rPr>
            </w:pPr>
          </w:p>
        </w:tc>
        <w:tc>
          <w:tcPr>
            <w:tcW w:w="1350" w:type="dxa"/>
            <w:vAlign w:val="center"/>
          </w:tcPr>
          <w:p w14:paraId="4FD0AD2E" w14:textId="77777777" w:rsidR="00183F07" w:rsidRPr="00C57C0F" w:rsidRDefault="00183F07">
            <w:pPr>
              <w:jc w:val="center"/>
              <w:rPr>
                <w:rFonts w:ascii="Cambria" w:hAnsi="Cambria" w:cstheme="minorHAnsi"/>
                <w:sz w:val="18"/>
                <w:szCs w:val="18"/>
              </w:rPr>
            </w:pPr>
          </w:p>
        </w:tc>
        <w:tc>
          <w:tcPr>
            <w:tcW w:w="1170" w:type="dxa"/>
            <w:vAlign w:val="center"/>
          </w:tcPr>
          <w:p w14:paraId="13909AC6"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2D8E6856" w14:textId="77777777" w:rsidR="00183F07" w:rsidRPr="00C57C0F" w:rsidRDefault="00183F07">
            <w:pPr>
              <w:jc w:val="center"/>
              <w:rPr>
                <w:rFonts w:ascii="Cambria" w:hAnsi="Cambria" w:cstheme="minorHAnsi"/>
                <w:sz w:val="18"/>
                <w:szCs w:val="18"/>
              </w:rPr>
            </w:pPr>
          </w:p>
        </w:tc>
        <w:tc>
          <w:tcPr>
            <w:tcW w:w="1170" w:type="dxa"/>
            <w:vAlign w:val="center"/>
          </w:tcPr>
          <w:p w14:paraId="4B456CE1"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67%</w:t>
            </w:r>
          </w:p>
        </w:tc>
        <w:tc>
          <w:tcPr>
            <w:tcW w:w="1260" w:type="dxa"/>
            <w:vAlign w:val="center"/>
          </w:tcPr>
          <w:p w14:paraId="416ED213"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4B28828A" w14:textId="77777777">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21870B85"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sz w:val="18"/>
                <w:szCs w:val="18"/>
              </w:rPr>
              <w:t>Petition1617-12, Report No. 169/22, Domingo José Rivas Coronado (Colombia)</w:t>
            </w:r>
          </w:p>
        </w:tc>
        <w:tc>
          <w:tcPr>
            <w:tcW w:w="1170" w:type="dxa"/>
            <w:vMerge/>
            <w:vAlign w:val="center"/>
          </w:tcPr>
          <w:p w14:paraId="54D1ABA8" w14:textId="77777777" w:rsidR="00183F07" w:rsidRPr="00C57C0F" w:rsidRDefault="00183F07">
            <w:pPr>
              <w:jc w:val="center"/>
              <w:rPr>
                <w:rFonts w:ascii="Cambria" w:hAnsi="Cambria" w:cstheme="minorHAnsi"/>
                <w:sz w:val="18"/>
                <w:szCs w:val="18"/>
              </w:rPr>
            </w:pPr>
          </w:p>
        </w:tc>
        <w:tc>
          <w:tcPr>
            <w:tcW w:w="1350" w:type="dxa"/>
            <w:vAlign w:val="center"/>
          </w:tcPr>
          <w:p w14:paraId="0AB32AAB" w14:textId="77777777" w:rsidR="00183F07" w:rsidRPr="00C57C0F" w:rsidRDefault="00183F07">
            <w:pPr>
              <w:jc w:val="center"/>
              <w:rPr>
                <w:rFonts w:ascii="Cambria" w:hAnsi="Cambria" w:cstheme="minorHAnsi"/>
                <w:sz w:val="18"/>
                <w:szCs w:val="18"/>
              </w:rPr>
            </w:pPr>
          </w:p>
        </w:tc>
        <w:tc>
          <w:tcPr>
            <w:tcW w:w="1170" w:type="dxa"/>
            <w:vAlign w:val="center"/>
          </w:tcPr>
          <w:p w14:paraId="1678A569"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2D6E64F8" w14:textId="77777777" w:rsidR="00183F07" w:rsidRPr="00C57C0F" w:rsidRDefault="00183F07">
            <w:pPr>
              <w:jc w:val="center"/>
              <w:rPr>
                <w:rFonts w:ascii="Cambria" w:hAnsi="Cambria" w:cstheme="minorHAnsi"/>
                <w:sz w:val="18"/>
                <w:szCs w:val="18"/>
              </w:rPr>
            </w:pPr>
          </w:p>
        </w:tc>
        <w:tc>
          <w:tcPr>
            <w:tcW w:w="1170" w:type="dxa"/>
            <w:vAlign w:val="center"/>
          </w:tcPr>
          <w:p w14:paraId="7F243DEE"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14%</w:t>
            </w:r>
          </w:p>
        </w:tc>
        <w:tc>
          <w:tcPr>
            <w:tcW w:w="1260" w:type="dxa"/>
            <w:vAlign w:val="center"/>
          </w:tcPr>
          <w:p w14:paraId="2C68CA60"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3D5B2654" w14:textId="77777777">
        <w:trPr>
          <w:cnfStyle w:val="000000010000" w:firstRow="0" w:lastRow="0" w:firstColumn="0" w:lastColumn="0" w:oddVBand="0" w:evenVBand="0" w:oddHBand="0" w:evenHBand="1" w:firstRowFirstColumn="0" w:firstRowLastColumn="0" w:lastRowFirstColumn="0" w:lastRowLastColumn="0"/>
          <w:trHeight w:hRule="exact" w:val="1809"/>
          <w:jc w:val="center"/>
        </w:trPr>
        <w:tc>
          <w:tcPr>
            <w:tcW w:w="1620" w:type="dxa"/>
            <w:vAlign w:val="center"/>
          </w:tcPr>
          <w:p w14:paraId="6C24D4C7"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sz w:val="18"/>
                <w:szCs w:val="18"/>
                <w:lang w:val="es-AR"/>
              </w:rPr>
              <w:t>Case 14.312, Report No. 170/22, Juan Carlos De La Calle Jiménez y Javier De La Calle Jiménez (Colombia)</w:t>
            </w:r>
          </w:p>
        </w:tc>
        <w:tc>
          <w:tcPr>
            <w:tcW w:w="1170" w:type="dxa"/>
            <w:vMerge/>
            <w:vAlign w:val="center"/>
          </w:tcPr>
          <w:p w14:paraId="5C03BEAB" w14:textId="77777777" w:rsidR="00183F07" w:rsidRPr="00352AC9" w:rsidRDefault="00183F07">
            <w:pPr>
              <w:jc w:val="center"/>
              <w:rPr>
                <w:rFonts w:ascii="Cambria" w:hAnsi="Cambria" w:cstheme="minorHAnsi"/>
                <w:sz w:val="18"/>
                <w:szCs w:val="18"/>
                <w:lang w:val="es-AR"/>
              </w:rPr>
            </w:pPr>
          </w:p>
        </w:tc>
        <w:tc>
          <w:tcPr>
            <w:tcW w:w="1350" w:type="dxa"/>
            <w:vAlign w:val="center"/>
          </w:tcPr>
          <w:p w14:paraId="16B68103" w14:textId="77777777" w:rsidR="00183F07" w:rsidRPr="00352AC9" w:rsidRDefault="00183F07">
            <w:pPr>
              <w:jc w:val="center"/>
              <w:rPr>
                <w:rFonts w:ascii="Cambria" w:hAnsi="Cambria" w:cstheme="minorHAnsi"/>
                <w:sz w:val="18"/>
                <w:szCs w:val="18"/>
                <w:lang w:val="es-AR"/>
              </w:rPr>
            </w:pPr>
          </w:p>
        </w:tc>
        <w:tc>
          <w:tcPr>
            <w:tcW w:w="1170" w:type="dxa"/>
            <w:vAlign w:val="center"/>
          </w:tcPr>
          <w:p w14:paraId="7280103A"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35FB6D7E" w14:textId="77777777" w:rsidR="00183F07" w:rsidRPr="00C57C0F" w:rsidRDefault="00183F07">
            <w:pPr>
              <w:jc w:val="center"/>
              <w:rPr>
                <w:rFonts w:ascii="Cambria" w:hAnsi="Cambria" w:cstheme="minorHAnsi"/>
                <w:sz w:val="18"/>
                <w:szCs w:val="18"/>
              </w:rPr>
            </w:pPr>
          </w:p>
        </w:tc>
        <w:tc>
          <w:tcPr>
            <w:tcW w:w="1170" w:type="dxa"/>
            <w:vAlign w:val="center"/>
          </w:tcPr>
          <w:p w14:paraId="09A44E52"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25%</w:t>
            </w:r>
          </w:p>
        </w:tc>
        <w:tc>
          <w:tcPr>
            <w:tcW w:w="1260" w:type="dxa"/>
            <w:vAlign w:val="center"/>
          </w:tcPr>
          <w:p w14:paraId="7F5D6791"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33C97EA4" w14:textId="77777777">
        <w:trPr>
          <w:cnfStyle w:val="000000100000" w:firstRow="0" w:lastRow="0" w:firstColumn="0" w:lastColumn="0" w:oddVBand="0" w:evenVBand="0" w:oddHBand="1" w:evenHBand="0" w:firstRowFirstColumn="0" w:firstRowLastColumn="0" w:lastRowFirstColumn="0" w:lastRowLastColumn="0"/>
          <w:trHeight w:hRule="exact" w:val="1449"/>
          <w:jc w:val="center"/>
        </w:trPr>
        <w:tc>
          <w:tcPr>
            <w:tcW w:w="1620" w:type="dxa"/>
            <w:vAlign w:val="center"/>
          </w:tcPr>
          <w:p w14:paraId="6CDA39B5"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sz w:val="18"/>
                <w:szCs w:val="18"/>
              </w:rPr>
              <w:lastRenderedPageBreak/>
              <w:t>Case 14.093, Report No. 285/22, Ernesto Ramírez Berrios (Colombia)</w:t>
            </w:r>
          </w:p>
        </w:tc>
        <w:tc>
          <w:tcPr>
            <w:tcW w:w="1170" w:type="dxa"/>
            <w:vMerge/>
            <w:vAlign w:val="center"/>
          </w:tcPr>
          <w:p w14:paraId="0AE4C2C1" w14:textId="77777777" w:rsidR="00183F07" w:rsidRPr="00C57C0F" w:rsidRDefault="00183F07">
            <w:pPr>
              <w:jc w:val="center"/>
              <w:rPr>
                <w:rFonts w:ascii="Cambria" w:hAnsi="Cambria" w:cstheme="minorHAnsi"/>
                <w:sz w:val="18"/>
                <w:szCs w:val="18"/>
              </w:rPr>
            </w:pPr>
          </w:p>
        </w:tc>
        <w:tc>
          <w:tcPr>
            <w:tcW w:w="1350" w:type="dxa"/>
            <w:vAlign w:val="center"/>
          </w:tcPr>
          <w:p w14:paraId="05100C1B" w14:textId="77777777" w:rsidR="00183F07" w:rsidRPr="00C57C0F" w:rsidRDefault="00183F07">
            <w:pPr>
              <w:jc w:val="center"/>
              <w:rPr>
                <w:rFonts w:ascii="Cambria" w:hAnsi="Cambria" w:cstheme="minorHAnsi"/>
                <w:sz w:val="18"/>
                <w:szCs w:val="18"/>
              </w:rPr>
            </w:pPr>
          </w:p>
        </w:tc>
        <w:tc>
          <w:tcPr>
            <w:tcW w:w="1170" w:type="dxa"/>
            <w:vAlign w:val="center"/>
          </w:tcPr>
          <w:p w14:paraId="53AD1ECE"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3383AB1D" w14:textId="77777777" w:rsidR="00183F07" w:rsidRPr="00C57C0F" w:rsidRDefault="00183F07">
            <w:pPr>
              <w:jc w:val="center"/>
              <w:rPr>
                <w:rFonts w:ascii="Cambria" w:hAnsi="Cambria" w:cstheme="minorHAnsi"/>
                <w:sz w:val="18"/>
                <w:szCs w:val="18"/>
              </w:rPr>
            </w:pPr>
          </w:p>
        </w:tc>
        <w:tc>
          <w:tcPr>
            <w:tcW w:w="1170" w:type="dxa"/>
            <w:vAlign w:val="center"/>
          </w:tcPr>
          <w:p w14:paraId="5D484F0D"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17%</w:t>
            </w:r>
          </w:p>
        </w:tc>
        <w:tc>
          <w:tcPr>
            <w:tcW w:w="1260" w:type="dxa"/>
            <w:vAlign w:val="center"/>
          </w:tcPr>
          <w:p w14:paraId="3A0D858E"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7CF3DB64" w14:textId="77777777">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540C1C30"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352AC9">
              <w:rPr>
                <w:rFonts w:ascii="Cambria" w:hAnsi="Cambria"/>
                <w:sz w:val="18"/>
                <w:szCs w:val="18"/>
                <w:lang w:val="es-AR"/>
              </w:rPr>
              <w:t xml:space="preserve">Case 13.226, Report No. 286/22, Dora Inés Meneses Gómez et al. </w:t>
            </w:r>
            <w:r w:rsidRPr="00C57C0F">
              <w:rPr>
                <w:rFonts w:ascii="Cambria" w:hAnsi="Cambria"/>
                <w:sz w:val="18"/>
                <w:szCs w:val="18"/>
              </w:rPr>
              <w:t>(Colombia)</w:t>
            </w:r>
          </w:p>
        </w:tc>
        <w:tc>
          <w:tcPr>
            <w:tcW w:w="1170" w:type="dxa"/>
            <w:vMerge/>
            <w:vAlign w:val="center"/>
          </w:tcPr>
          <w:p w14:paraId="6FA249A2" w14:textId="77777777" w:rsidR="00183F07" w:rsidRPr="00C57C0F" w:rsidRDefault="00183F07">
            <w:pPr>
              <w:jc w:val="center"/>
              <w:rPr>
                <w:rFonts w:ascii="Cambria" w:hAnsi="Cambria" w:cstheme="minorHAnsi"/>
                <w:sz w:val="18"/>
                <w:szCs w:val="18"/>
              </w:rPr>
            </w:pPr>
          </w:p>
        </w:tc>
        <w:tc>
          <w:tcPr>
            <w:tcW w:w="1350" w:type="dxa"/>
            <w:vAlign w:val="center"/>
          </w:tcPr>
          <w:p w14:paraId="3FEFB0C8" w14:textId="77777777" w:rsidR="00183F07" w:rsidRPr="00C57C0F" w:rsidRDefault="00183F07">
            <w:pPr>
              <w:jc w:val="center"/>
              <w:rPr>
                <w:rFonts w:ascii="Cambria" w:hAnsi="Cambria" w:cstheme="minorHAnsi"/>
                <w:sz w:val="18"/>
                <w:szCs w:val="18"/>
              </w:rPr>
            </w:pPr>
          </w:p>
        </w:tc>
        <w:tc>
          <w:tcPr>
            <w:tcW w:w="1170" w:type="dxa"/>
            <w:vAlign w:val="center"/>
          </w:tcPr>
          <w:p w14:paraId="695DB5E8" w14:textId="77777777" w:rsidR="00183F07" w:rsidRPr="00C57C0F" w:rsidRDefault="00183F07">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4B186989" w14:textId="77777777" w:rsidR="00183F07" w:rsidRPr="00C57C0F" w:rsidRDefault="00183F07">
            <w:pPr>
              <w:jc w:val="center"/>
              <w:rPr>
                <w:rFonts w:ascii="Cambria" w:hAnsi="Cambria" w:cstheme="minorHAnsi"/>
                <w:sz w:val="18"/>
                <w:szCs w:val="18"/>
              </w:rPr>
            </w:pPr>
          </w:p>
        </w:tc>
        <w:tc>
          <w:tcPr>
            <w:tcW w:w="1170" w:type="dxa"/>
            <w:vAlign w:val="center"/>
          </w:tcPr>
          <w:p w14:paraId="029587F6"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0%</w:t>
            </w:r>
          </w:p>
        </w:tc>
        <w:tc>
          <w:tcPr>
            <w:tcW w:w="1260" w:type="dxa"/>
            <w:vAlign w:val="center"/>
          </w:tcPr>
          <w:p w14:paraId="3D8D9E04"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40AA617C" w14:textId="77777777">
        <w:trPr>
          <w:cnfStyle w:val="000000100000" w:firstRow="0" w:lastRow="0" w:firstColumn="0" w:lastColumn="0" w:oddVBand="0" w:evenVBand="0" w:oddHBand="1" w:evenHBand="0" w:firstRowFirstColumn="0" w:firstRowLastColumn="0" w:lastRowFirstColumn="0" w:lastRowLastColumn="0"/>
          <w:trHeight w:hRule="exact" w:val="2547"/>
          <w:jc w:val="center"/>
        </w:trPr>
        <w:tc>
          <w:tcPr>
            <w:tcW w:w="1620" w:type="dxa"/>
            <w:vAlign w:val="center"/>
          </w:tcPr>
          <w:p w14:paraId="3234774D"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12.942, Report No. 71/19, Emilia Morales Campos (Costa Rica)</w:t>
            </w:r>
            <w:r w:rsidRPr="00C57C0F">
              <w:rPr>
                <w:rFonts w:ascii="Cambria" w:hAnsi="Cambria" w:cstheme="minorHAnsi"/>
                <w:sz w:val="18"/>
                <w:szCs w:val="18"/>
                <w:vertAlign w:val="superscript"/>
              </w:rPr>
              <w:t xml:space="preserve"> </w:t>
            </w:r>
            <w:r w:rsidRPr="00C57C0F">
              <w:rPr>
                <w:rFonts w:ascii="Cambria" w:hAnsi="Cambria" w:cstheme="minorHAnsi"/>
                <w:sz w:val="18"/>
                <w:szCs w:val="18"/>
                <w:vertAlign w:val="superscript"/>
              </w:rPr>
              <w:footnoteReference w:id="44"/>
            </w:r>
          </w:p>
        </w:tc>
        <w:tc>
          <w:tcPr>
            <w:tcW w:w="1170" w:type="dxa"/>
            <w:shd w:val="clear" w:color="auto" w:fill="BFBFBF" w:themeFill="background1" w:themeFillShade="BF"/>
            <w:vAlign w:val="center"/>
          </w:tcPr>
          <w:p w14:paraId="21D19513" w14:textId="1E7C383F" w:rsidR="00183F07" w:rsidRPr="00C57C0F" w:rsidRDefault="00A30EF8">
            <w:pPr>
              <w:jc w:val="center"/>
              <w:rPr>
                <w:rFonts w:ascii="Cambria" w:hAnsi="Cambria" w:cstheme="minorHAnsi"/>
                <w:color w:val="1F497D"/>
                <w:sz w:val="18"/>
                <w:szCs w:val="18"/>
              </w:rPr>
            </w:pPr>
            <w:r>
              <w:rPr>
                <w:rFonts w:ascii="Cambria" w:hAnsi="Cambria" w:cstheme="minorHAnsi"/>
                <w:sz w:val="18"/>
                <w:szCs w:val="18"/>
              </w:rPr>
              <w:t>NA</w:t>
            </w:r>
          </w:p>
        </w:tc>
        <w:tc>
          <w:tcPr>
            <w:tcW w:w="1350" w:type="dxa"/>
            <w:vAlign w:val="center"/>
          </w:tcPr>
          <w:p w14:paraId="0050B40D"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3180867" w14:textId="77777777" w:rsidR="00183F07" w:rsidRPr="00C57C0F" w:rsidRDefault="00183F07">
            <w:pPr>
              <w:jc w:val="center"/>
              <w:rPr>
                <w:rFonts w:ascii="Cambria" w:hAnsi="Cambria" w:cstheme="minorHAnsi"/>
                <w:sz w:val="18"/>
                <w:szCs w:val="18"/>
              </w:rPr>
            </w:pPr>
          </w:p>
        </w:tc>
        <w:tc>
          <w:tcPr>
            <w:tcW w:w="1170" w:type="dxa"/>
            <w:vAlign w:val="center"/>
          </w:tcPr>
          <w:p w14:paraId="3C071B4E"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77AF56ED"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1CA6A8E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6E34774F" w14:textId="77777777">
        <w:trPr>
          <w:cnfStyle w:val="000000010000" w:firstRow="0" w:lastRow="0" w:firstColumn="0" w:lastColumn="0" w:oddVBand="0" w:evenVBand="0" w:oddHBand="0" w:evenHBand="1" w:firstRowFirstColumn="0" w:firstRowLastColumn="0" w:lastRowFirstColumn="0" w:lastRowLastColumn="0"/>
          <w:trHeight w:hRule="exact" w:val="1332"/>
          <w:jc w:val="center"/>
        </w:trPr>
        <w:tc>
          <w:tcPr>
            <w:tcW w:w="1620" w:type="dxa"/>
            <w:vAlign w:val="center"/>
          </w:tcPr>
          <w:p w14:paraId="636ABB65" w14:textId="77777777" w:rsidR="00183F07" w:rsidRPr="00352AC9" w:rsidRDefault="0071198A" w:rsidP="00933F91">
            <w:pPr>
              <w:numPr>
                <w:ilvl w:val="0"/>
                <w:numId w:val="70"/>
              </w:numPr>
              <w:tabs>
                <w:tab w:val="num" w:pos="522"/>
              </w:tabs>
              <w:ind w:firstLine="0"/>
              <w:jc w:val="both"/>
              <w:rPr>
                <w:rFonts w:ascii="Cambria" w:hAnsi="Cambria" w:cstheme="minorHAnsi"/>
                <w:sz w:val="18"/>
                <w:szCs w:val="18"/>
                <w:lang w:val="es-AR"/>
              </w:rPr>
            </w:pPr>
            <w:hyperlink r:id="rId35" w:anchor="11.421">
              <w:r w:rsidR="00183F07" w:rsidRPr="00352AC9">
                <w:rPr>
                  <w:rFonts w:ascii="Cambria" w:hAnsi="Cambria" w:cstheme="minorHAnsi"/>
                  <w:sz w:val="18"/>
                  <w:szCs w:val="18"/>
                  <w:lang w:val="es-AR"/>
                </w:rPr>
                <w:t>Case 11.421</w:t>
              </w:r>
            </w:hyperlink>
            <w:r w:rsidR="00183F07" w:rsidRPr="00352AC9">
              <w:rPr>
                <w:rFonts w:ascii="Cambria" w:hAnsi="Cambria" w:cstheme="minorHAnsi"/>
                <w:sz w:val="18"/>
                <w:szCs w:val="18"/>
                <w:lang w:val="es-AR"/>
              </w:rPr>
              <w:t xml:space="preserve">, Report No. 93/00, Edison Patricio Quishpe Alcivar (Ecuador) </w:t>
            </w:r>
            <w:r w:rsidR="00183F07" w:rsidRPr="00C57C0F">
              <w:rPr>
                <w:rFonts w:ascii="Cambria" w:hAnsi="Cambria" w:cstheme="minorHAnsi"/>
                <w:sz w:val="18"/>
                <w:szCs w:val="18"/>
                <w:vertAlign w:val="superscript"/>
              </w:rPr>
              <w:footnoteReference w:id="45"/>
            </w:r>
          </w:p>
        </w:tc>
        <w:tc>
          <w:tcPr>
            <w:tcW w:w="1170" w:type="dxa"/>
            <w:vMerge w:val="restart"/>
            <w:shd w:val="clear" w:color="auto" w:fill="F2F2F2" w:themeFill="background1" w:themeFillShade="F2"/>
            <w:vAlign w:val="center"/>
          </w:tcPr>
          <w:p w14:paraId="10A3FA5F" w14:textId="30DD37F0" w:rsidR="00183F07" w:rsidRPr="00C57C0F" w:rsidRDefault="0071198A">
            <w:pPr>
              <w:jc w:val="center"/>
              <w:rPr>
                <w:rFonts w:ascii="Cambria" w:hAnsi="Cambria" w:cstheme="minorHAnsi"/>
                <w:sz w:val="18"/>
                <w:szCs w:val="18"/>
              </w:rPr>
            </w:pPr>
            <w:hyperlink r:id="rId36" w:history="1">
              <w:r w:rsidR="00183F07" w:rsidRPr="007A458B">
                <w:rPr>
                  <w:rStyle w:val="Hyperlink"/>
                  <w:rFonts w:ascii="Cambria" w:eastAsiaTheme="minorHAnsi" w:hAnsi="Cambria" w:cstheme="minorHAnsi"/>
                  <w:sz w:val="18"/>
                  <w:szCs w:val="18"/>
                </w:rPr>
                <w:t xml:space="preserve">Link to monitoring sheets on </w:t>
              </w:r>
              <w:r w:rsidR="00183F07" w:rsidRPr="007A458B">
                <w:rPr>
                  <w:rStyle w:val="Hyperlink"/>
                  <w:rFonts w:ascii="Cambria" w:hAnsi="Cambria" w:cstheme="minorHAnsi"/>
                  <w:sz w:val="18"/>
                  <w:szCs w:val="18"/>
                  <w:shd w:val="clear" w:color="auto" w:fill="F2F2F2" w:themeFill="background1" w:themeFillShade="F2"/>
                </w:rPr>
                <w:t>matters</w:t>
              </w:r>
              <w:r w:rsidR="00183F07" w:rsidRPr="007A458B">
                <w:rPr>
                  <w:rStyle w:val="Hyperlink"/>
                  <w:rFonts w:ascii="Cambria" w:hAnsi="Cambria" w:cstheme="minorHAnsi"/>
                  <w:sz w:val="18"/>
                  <w:szCs w:val="18"/>
                </w:rPr>
                <w:t xml:space="preserve"> related to reports of friendly settlement agreements of Ecuador that are </w:t>
              </w:r>
              <w:r w:rsidR="00183F07" w:rsidRPr="007A458B">
                <w:rPr>
                  <w:rStyle w:val="Hyperlink"/>
                  <w:rFonts w:ascii="Cambria" w:hAnsi="Cambria" w:cstheme="minorHAnsi"/>
                  <w:sz w:val="18"/>
                  <w:szCs w:val="18"/>
                </w:rPr>
                <w:lastRenderedPageBreak/>
                <w:t>subject to monitoring</w:t>
              </w:r>
            </w:hyperlink>
            <w:r w:rsidR="00183F07" w:rsidRPr="00C57C0F">
              <w:rPr>
                <w:rFonts w:ascii="Cambria" w:hAnsi="Cambria" w:cstheme="minorHAnsi"/>
                <w:sz w:val="18"/>
                <w:szCs w:val="18"/>
              </w:rPr>
              <w:t xml:space="preserve"> </w:t>
            </w:r>
          </w:p>
        </w:tc>
        <w:tc>
          <w:tcPr>
            <w:tcW w:w="1350" w:type="dxa"/>
            <w:vAlign w:val="center"/>
          </w:tcPr>
          <w:p w14:paraId="7DC8B878" w14:textId="77777777" w:rsidR="00183F07" w:rsidRPr="00C57C0F" w:rsidRDefault="00183F07">
            <w:pPr>
              <w:jc w:val="center"/>
              <w:rPr>
                <w:rFonts w:ascii="Cambria" w:hAnsi="Cambria" w:cstheme="minorHAnsi"/>
                <w:sz w:val="18"/>
                <w:szCs w:val="18"/>
              </w:rPr>
            </w:pPr>
          </w:p>
        </w:tc>
        <w:tc>
          <w:tcPr>
            <w:tcW w:w="1170" w:type="dxa"/>
            <w:vAlign w:val="center"/>
          </w:tcPr>
          <w:p w14:paraId="1859C902"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7811D7B"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3F54C3A9"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67%</w:t>
            </w:r>
          </w:p>
        </w:tc>
        <w:tc>
          <w:tcPr>
            <w:tcW w:w="1260" w:type="dxa"/>
            <w:vAlign w:val="center"/>
          </w:tcPr>
          <w:p w14:paraId="31E30B4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7A3F1DB8" w14:textId="77777777">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6DD20DB4"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37" w:anchor="11.439">
              <w:r w:rsidR="00183F07" w:rsidRPr="00C57C0F">
                <w:rPr>
                  <w:rFonts w:ascii="Cambria" w:hAnsi="Cambria" w:cstheme="minorHAnsi"/>
                  <w:sz w:val="18"/>
                  <w:szCs w:val="18"/>
                </w:rPr>
                <w:t>Case 11.439</w:t>
              </w:r>
            </w:hyperlink>
            <w:r w:rsidR="00183F07" w:rsidRPr="00C57C0F">
              <w:rPr>
                <w:rFonts w:ascii="Cambria" w:hAnsi="Cambria" w:cstheme="minorHAnsi"/>
                <w:sz w:val="18"/>
                <w:szCs w:val="18"/>
              </w:rPr>
              <w:t>, Report No. 94/00, Byron Roberto Cañaveral (Ecuador)</w:t>
            </w:r>
            <w:r w:rsidR="00183F07" w:rsidRPr="00C57C0F">
              <w:rPr>
                <w:rFonts w:ascii="Cambria" w:hAnsi="Cambria" w:cstheme="minorHAnsi"/>
                <w:sz w:val="18"/>
                <w:szCs w:val="18"/>
                <w:vertAlign w:val="superscript"/>
              </w:rPr>
              <w:footnoteReference w:id="46"/>
            </w:r>
          </w:p>
        </w:tc>
        <w:tc>
          <w:tcPr>
            <w:tcW w:w="1170" w:type="dxa"/>
            <w:vMerge/>
            <w:shd w:val="clear" w:color="auto" w:fill="F2F2F2" w:themeFill="background1" w:themeFillShade="F2"/>
            <w:vAlign w:val="center"/>
          </w:tcPr>
          <w:p w14:paraId="2E64A3E9" w14:textId="77777777" w:rsidR="00183F07" w:rsidRPr="00C57C0F" w:rsidRDefault="00183F07">
            <w:pPr>
              <w:jc w:val="center"/>
              <w:rPr>
                <w:rFonts w:ascii="Cambria" w:hAnsi="Cambria" w:cstheme="minorHAnsi"/>
                <w:sz w:val="18"/>
                <w:szCs w:val="18"/>
              </w:rPr>
            </w:pPr>
          </w:p>
        </w:tc>
        <w:tc>
          <w:tcPr>
            <w:tcW w:w="1350" w:type="dxa"/>
            <w:vAlign w:val="center"/>
          </w:tcPr>
          <w:p w14:paraId="65F0DC50" w14:textId="77777777" w:rsidR="00183F07" w:rsidRPr="00C57C0F" w:rsidRDefault="00183F07">
            <w:pPr>
              <w:jc w:val="center"/>
              <w:rPr>
                <w:rFonts w:ascii="Cambria" w:hAnsi="Cambria" w:cstheme="minorHAnsi"/>
                <w:sz w:val="18"/>
                <w:szCs w:val="18"/>
              </w:rPr>
            </w:pPr>
          </w:p>
        </w:tc>
        <w:tc>
          <w:tcPr>
            <w:tcW w:w="1170" w:type="dxa"/>
            <w:vAlign w:val="center"/>
          </w:tcPr>
          <w:p w14:paraId="6440CB84"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4CC7AB8"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538CB0AC"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67%</w:t>
            </w:r>
          </w:p>
        </w:tc>
        <w:tc>
          <w:tcPr>
            <w:tcW w:w="1260" w:type="dxa"/>
            <w:vAlign w:val="center"/>
          </w:tcPr>
          <w:p w14:paraId="5762896E"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63D8599E" w14:textId="77777777">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62641719"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38" w:anchor="11.445">
              <w:r w:rsidR="00183F07" w:rsidRPr="00C57C0F">
                <w:rPr>
                  <w:rFonts w:ascii="Cambria" w:hAnsi="Cambria" w:cstheme="minorHAnsi"/>
                  <w:sz w:val="18"/>
                  <w:szCs w:val="18"/>
                </w:rPr>
                <w:t>Case 11.445</w:t>
              </w:r>
            </w:hyperlink>
            <w:r w:rsidR="00183F07" w:rsidRPr="00C57C0F">
              <w:rPr>
                <w:rFonts w:ascii="Cambria" w:hAnsi="Cambria" w:cstheme="minorHAnsi"/>
                <w:sz w:val="18"/>
                <w:szCs w:val="18"/>
              </w:rPr>
              <w:t>, Report No. 95/00, Angelo Javier Ruales Paredes (Ecuador)</w:t>
            </w:r>
            <w:r w:rsidR="00183F07" w:rsidRPr="00C57C0F">
              <w:rPr>
                <w:rFonts w:ascii="Cambria" w:hAnsi="Cambria" w:cstheme="minorHAnsi"/>
                <w:sz w:val="18"/>
                <w:szCs w:val="18"/>
                <w:vertAlign w:val="superscript"/>
              </w:rPr>
              <w:footnoteReference w:id="47"/>
            </w:r>
          </w:p>
        </w:tc>
        <w:tc>
          <w:tcPr>
            <w:tcW w:w="1170" w:type="dxa"/>
            <w:vMerge/>
            <w:shd w:val="clear" w:color="auto" w:fill="F2F2F2" w:themeFill="background1" w:themeFillShade="F2"/>
            <w:vAlign w:val="center"/>
          </w:tcPr>
          <w:p w14:paraId="34D712A5" w14:textId="77777777" w:rsidR="00183F07" w:rsidRPr="00C57C0F" w:rsidRDefault="00183F07">
            <w:pPr>
              <w:jc w:val="center"/>
              <w:rPr>
                <w:rFonts w:ascii="Cambria" w:hAnsi="Cambria" w:cstheme="minorHAnsi"/>
                <w:sz w:val="18"/>
                <w:szCs w:val="18"/>
              </w:rPr>
            </w:pPr>
          </w:p>
        </w:tc>
        <w:tc>
          <w:tcPr>
            <w:tcW w:w="1350" w:type="dxa"/>
            <w:vAlign w:val="center"/>
          </w:tcPr>
          <w:p w14:paraId="39F30162"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A88E458" w14:textId="77777777" w:rsidR="00183F07" w:rsidRPr="00C57C0F" w:rsidRDefault="00183F07">
            <w:pPr>
              <w:jc w:val="center"/>
              <w:rPr>
                <w:rFonts w:ascii="Cambria" w:hAnsi="Cambria" w:cstheme="minorHAnsi"/>
                <w:sz w:val="18"/>
                <w:szCs w:val="18"/>
              </w:rPr>
            </w:pPr>
          </w:p>
        </w:tc>
        <w:tc>
          <w:tcPr>
            <w:tcW w:w="1170" w:type="dxa"/>
            <w:vAlign w:val="center"/>
          </w:tcPr>
          <w:p w14:paraId="30ACD258"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710E53A8"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4DAC3E21"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50104C2D" w14:textId="77777777">
        <w:trPr>
          <w:cnfStyle w:val="000000100000" w:firstRow="0" w:lastRow="0" w:firstColumn="0" w:lastColumn="0" w:oddVBand="0" w:evenVBand="0" w:oddHBand="1" w:evenHBand="0" w:firstRowFirstColumn="0" w:firstRowLastColumn="0" w:lastRowFirstColumn="0" w:lastRowLastColumn="0"/>
          <w:trHeight w:hRule="exact" w:val="1458"/>
          <w:jc w:val="center"/>
        </w:trPr>
        <w:tc>
          <w:tcPr>
            <w:tcW w:w="1620" w:type="dxa"/>
            <w:vAlign w:val="center"/>
          </w:tcPr>
          <w:p w14:paraId="7DF2F63C" w14:textId="77777777" w:rsidR="00183F07" w:rsidRPr="00352AC9" w:rsidRDefault="0071198A" w:rsidP="00933F91">
            <w:pPr>
              <w:numPr>
                <w:ilvl w:val="0"/>
                <w:numId w:val="70"/>
              </w:numPr>
              <w:tabs>
                <w:tab w:val="num" w:pos="522"/>
              </w:tabs>
              <w:ind w:firstLine="0"/>
              <w:jc w:val="both"/>
              <w:rPr>
                <w:rFonts w:ascii="Cambria" w:hAnsi="Cambria" w:cstheme="minorHAnsi"/>
                <w:sz w:val="18"/>
                <w:szCs w:val="18"/>
                <w:lang w:val="es-AR"/>
              </w:rPr>
            </w:pPr>
            <w:hyperlink r:id="rId39" w:anchor="11.466">
              <w:r w:rsidR="00183F07" w:rsidRPr="00352AC9">
                <w:rPr>
                  <w:rFonts w:ascii="Cambria" w:hAnsi="Cambria" w:cstheme="minorHAnsi"/>
                  <w:sz w:val="18"/>
                  <w:szCs w:val="18"/>
                  <w:lang w:val="es-AR"/>
                </w:rPr>
                <w:t>Case 11.466</w:t>
              </w:r>
            </w:hyperlink>
            <w:r w:rsidR="00183F07" w:rsidRPr="00352AC9">
              <w:rPr>
                <w:rFonts w:ascii="Cambria" w:hAnsi="Cambria" w:cstheme="minorHAnsi"/>
                <w:sz w:val="18"/>
                <w:szCs w:val="18"/>
                <w:lang w:val="es-AR"/>
              </w:rPr>
              <w:t>, Report No. 96/00, Manuel Inocencio Lalvay Guzman (Ecuador)</w:t>
            </w:r>
            <w:r w:rsidR="00183F07" w:rsidRPr="00C57C0F">
              <w:rPr>
                <w:rFonts w:ascii="Cambria" w:hAnsi="Cambria" w:cstheme="minorHAnsi"/>
                <w:sz w:val="18"/>
                <w:szCs w:val="18"/>
                <w:vertAlign w:val="superscript"/>
              </w:rPr>
              <w:footnoteReference w:id="48"/>
            </w:r>
          </w:p>
        </w:tc>
        <w:tc>
          <w:tcPr>
            <w:tcW w:w="1170" w:type="dxa"/>
            <w:vMerge/>
            <w:shd w:val="clear" w:color="auto" w:fill="F2F2F2" w:themeFill="background1" w:themeFillShade="F2"/>
            <w:vAlign w:val="center"/>
          </w:tcPr>
          <w:p w14:paraId="6CDD54F4" w14:textId="77777777" w:rsidR="00183F07" w:rsidRPr="00352AC9" w:rsidRDefault="00183F07">
            <w:pPr>
              <w:jc w:val="center"/>
              <w:rPr>
                <w:rFonts w:ascii="Cambria" w:hAnsi="Cambria" w:cstheme="minorHAnsi"/>
                <w:sz w:val="18"/>
                <w:szCs w:val="18"/>
                <w:lang w:val="es-AR"/>
              </w:rPr>
            </w:pPr>
          </w:p>
        </w:tc>
        <w:tc>
          <w:tcPr>
            <w:tcW w:w="1350" w:type="dxa"/>
            <w:vAlign w:val="center"/>
          </w:tcPr>
          <w:p w14:paraId="021109E8" w14:textId="77777777" w:rsidR="00183F07" w:rsidRPr="00352AC9" w:rsidRDefault="00183F07">
            <w:pPr>
              <w:jc w:val="center"/>
              <w:rPr>
                <w:rFonts w:ascii="Cambria" w:hAnsi="Cambria" w:cstheme="minorHAnsi"/>
                <w:sz w:val="18"/>
                <w:szCs w:val="18"/>
                <w:lang w:val="es-AR"/>
              </w:rPr>
            </w:pPr>
          </w:p>
        </w:tc>
        <w:tc>
          <w:tcPr>
            <w:tcW w:w="1170" w:type="dxa"/>
            <w:vAlign w:val="center"/>
          </w:tcPr>
          <w:p w14:paraId="62B5C718"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2A3DE4D"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1394271D"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75%</w:t>
            </w:r>
          </w:p>
        </w:tc>
        <w:tc>
          <w:tcPr>
            <w:tcW w:w="1260" w:type="dxa"/>
            <w:vAlign w:val="center"/>
          </w:tcPr>
          <w:p w14:paraId="35AD2FD2"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1AF402D2" w14:textId="77777777">
        <w:trPr>
          <w:cnfStyle w:val="000000010000" w:firstRow="0" w:lastRow="0" w:firstColumn="0" w:lastColumn="0" w:oddVBand="0" w:evenVBand="0" w:oddHBand="0" w:evenHBand="1" w:firstRowFirstColumn="0" w:firstRowLastColumn="0" w:lastRowFirstColumn="0" w:lastRowLastColumn="0"/>
          <w:trHeight w:hRule="exact" w:val="1215"/>
          <w:jc w:val="center"/>
        </w:trPr>
        <w:tc>
          <w:tcPr>
            <w:tcW w:w="1620" w:type="dxa"/>
            <w:vAlign w:val="center"/>
          </w:tcPr>
          <w:p w14:paraId="1C473FBA"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40" w:anchor="11.584">
              <w:r w:rsidR="00183F07" w:rsidRPr="00C57C0F">
                <w:rPr>
                  <w:rFonts w:ascii="Cambria" w:hAnsi="Cambria" w:cstheme="minorHAnsi"/>
                  <w:sz w:val="18"/>
                  <w:szCs w:val="18"/>
                </w:rPr>
                <w:t>Case 11.584</w:t>
              </w:r>
            </w:hyperlink>
            <w:r w:rsidR="00183F07" w:rsidRPr="00C57C0F">
              <w:rPr>
                <w:rFonts w:ascii="Cambria" w:hAnsi="Cambria" w:cstheme="minorHAnsi"/>
                <w:sz w:val="18"/>
                <w:szCs w:val="18"/>
              </w:rPr>
              <w:t>, Report No. 97/00, Carlos Juela Molina (Ecuador)</w:t>
            </w:r>
            <w:r w:rsidR="00183F07" w:rsidRPr="00C57C0F">
              <w:rPr>
                <w:rFonts w:ascii="Cambria" w:hAnsi="Cambria" w:cstheme="minorHAnsi"/>
                <w:sz w:val="18"/>
                <w:szCs w:val="18"/>
                <w:vertAlign w:val="superscript"/>
              </w:rPr>
              <w:footnoteReference w:id="49"/>
            </w:r>
          </w:p>
        </w:tc>
        <w:tc>
          <w:tcPr>
            <w:tcW w:w="1170" w:type="dxa"/>
            <w:vMerge/>
            <w:shd w:val="clear" w:color="auto" w:fill="F2F2F2" w:themeFill="background1" w:themeFillShade="F2"/>
            <w:vAlign w:val="center"/>
          </w:tcPr>
          <w:p w14:paraId="74649331" w14:textId="77777777" w:rsidR="00183F07" w:rsidRPr="00C57C0F" w:rsidRDefault="00183F07">
            <w:pPr>
              <w:jc w:val="center"/>
              <w:rPr>
                <w:rFonts w:ascii="Cambria" w:hAnsi="Cambria" w:cstheme="minorHAnsi"/>
                <w:sz w:val="18"/>
                <w:szCs w:val="18"/>
              </w:rPr>
            </w:pPr>
          </w:p>
        </w:tc>
        <w:tc>
          <w:tcPr>
            <w:tcW w:w="1350" w:type="dxa"/>
            <w:vAlign w:val="center"/>
          </w:tcPr>
          <w:p w14:paraId="516FA9B9" w14:textId="77777777" w:rsidR="00183F07" w:rsidRPr="00C57C0F" w:rsidRDefault="00183F07">
            <w:pPr>
              <w:jc w:val="center"/>
              <w:rPr>
                <w:rFonts w:ascii="Cambria" w:hAnsi="Cambria" w:cstheme="minorHAnsi"/>
                <w:sz w:val="18"/>
                <w:szCs w:val="18"/>
              </w:rPr>
            </w:pPr>
          </w:p>
        </w:tc>
        <w:tc>
          <w:tcPr>
            <w:tcW w:w="1170" w:type="dxa"/>
            <w:vAlign w:val="center"/>
          </w:tcPr>
          <w:p w14:paraId="43CEFFD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739A894"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7A052EEC"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67%</w:t>
            </w:r>
          </w:p>
        </w:tc>
        <w:tc>
          <w:tcPr>
            <w:tcW w:w="1260" w:type="dxa"/>
            <w:vAlign w:val="center"/>
          </w:tcPr>
          <w:p w14:paraId="33E60900"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059ED941" w14:textId="77777777">
        <w:trPr>
          <w:cnfStyle w:val="000000100000" w:firstRow="0" w:lastRow="0" w:firstColumn="0" w:lastColumn="0" w:oddVBand="0" w:evenVBand="0" w:oddHBand="1" w:evenHBand="0" w:firstRowFirstColumn="0" w:firstRowLastColumn="0" w:lastRowFirstColumn="0" w:lastRowLastColumn="0"/>
          <w:trHeight w:hRule="exact" w:val="1350"/>
          <w:jc w:val="center"/>
        </w:trPr>
        <w:tc>
          <w:tcPr>
            <w:tcW w:w="1620" w:type="dxa"/>
            <w:vAlign w:val="center"/>
          </w:tcPr>
          <w:p w14:paraId="1E1CE026"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41" w:anchor="11.783">
              <w:r w:rsidR="00183F07" w:rsidRPr="00C57C0F">
                <w:rPr>
                  <w:rFonts w:ascii="Cambria" w:hAnsi="Cambria" w:cstheme="minorHAnsi"/>
                  <w:sz w:val="18"/>
                  <w:szCs w:val="18"/>
                </w:rPr>
                <w:t>Case 11.783</w:t>
              </w:r>
            </w:hyperlink>
            <w:r w:rsidR="00183F07" w:rsidRPr="00C57C0F">
              <w:rPr>
                <w:rFonts w:ascii="Cambria" w:hAnsi="Cambria" w:cstheme="minorHAnsi"/>
                <w:sz w:val="18"/>
                <w:szCs w:val="18"/>
              </w:rPr>
              <w:t>, Report No. 98/00, Marcia Irene Clavijo Tapia, (Ecuador)</w:t>
            </w:r>
            <w:r w:rsidR="00183F07" w:rsidRPr="00C57C0F">
              <w:rPr>
                <w:rFonts w:ascii="Cambria" w:hAnsi="Cambria" w:cstheme="minorHAnsi"/>
                <w:sz w:val="18"/>
                <w:szCs w:val="18"/>
                <w:vertAlign w:val="superscript"/>
              </w:rPr>
              <w:footnoteReference w:id="50"/>
            </w:r>
          </w:p>
        </w:tc>
        <w:tc>
          <w:tcPr>
            <w:tcW w:w="1170" w:type="dxa"/>
            <w:vMerge/>
            <w:shd w:val="clear" w:color="auto" w:fill="F2F2F2" w:themeFill="background1" w:themeFillShade="F2"/>
            <w:vAlign w:val="center"/>
          </w:tcPr>
          <w:p w14:paraId="54CFCB93" w14:textId="77777777" w:rsidR="00183F07" w:rsidRPr="00C57C0F" w:rsidRDefault="00183F07">
            <w:pPr>
              <w:jc w:val="center"/>
              <w:rPr>
                <w:rFonts w:ascii="Cambria" w:hAnsi="Cambria" w:cstheme="minorHAnsi"/>
                <w:sz w:val="18"/>
                <w:szCs w:val="18"/>
              </w:rPr>
            </w:pPr>
          </w:p>
        </w:tc>
        <w:tc>
          <w:tcPr>
            <w:tcW w:w="1350" w:type="dxa"/>
            <w:vAlign w:val="center"/>
          </w:tcPr>
          <w:p w14:paraId="42C1A1F7" w14:textId="77777777" w:rsidR="00183F07" w:rsidRPr="00C57C0F" w:rsidRDefault="00183F07">
            <w:pPr>
              <w:jc w:val="center"/>
              <w:rPr>
                <w:rFonts w:ascii="Cambria" w:hAnsi="Cambria" w:cstheme="minorHAnsi"/>
                <w:sz w:val="18"/>
                <w:szCs w:val="18"/>
              </w:rPr>
            </w:pPr>
          </w:p>
        </w:tc>
        <w:tc>
          <w:tcPr>
            <w:tcW w:w="1170" w:type="dxa"/>
            <w:vAlign w:val="center"/>
          </w:tcPr>
          <w:p w14:paraId="196F5939"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FBEA70A"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301B017A"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67%</w:t>
            </w:r>
          </w:p>
        </w:tc>
        <w:tc>
          <w:tcPr>
            <w:tcW w:w="1260" w:type="dxa"/>
            <w:vAlign w:val="center"/>
          </w:tcPr>
          <w:p w14:paraId="17146CCE"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43C91338" w14:textId="77777777">
        <w:trPr>
          <w:cnfStyle w:val="000000010000" w:firstRow="0" w:lastRow="0" w:firstColumn="0" w:lastColumn="0" w:oddVBand="0" w:evenVBand="0" w:oddHBand="0" w:evenHBand="1" w:firstRowFirstColumn="0" w:firstRowLastColumn="0" w:lastRowFirstColumn="0" w:lastRowLastColumn="0"/>
          <w:trHeight w:hRule="exact" w:val="1809"/>
          <w:jc w:val="center"/>
        </w:trPr>
        <w:tc>
          <w:tcPr>
            <w:tcW w:w="1620" w:type="dxa"/>
            <w:vAlign w:val="center"/>
          </w:tcPr>
          <w:p w14:paraId="3A0151DA"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42" w:anchor="11.868">
              <w:r w:rsidR="00183F07" w:rsidRPr="00C57C0F">
                <w:rPr>
                  <w:rFonts w:ascii="Cambria" w:hAnsi="Cambria" w:cstheme="minorHAnsi"/>
                  <w:sz w:val="18"/>
                  <w:szCs w:val="18"/>
                </w:rPr>
                <w:t>Case 11.868</w:t>
              </w:r>
            </w:hyperlink>
            <w:r w:rsidR="00183F07" w:rsidRPr="00C57C0F">
              <w:rPr>
                <w:rFonts w:ascii="Cambria" w:hAnsi="Cambria" w:cstheme="minorHAnsi"/>
                <w:sz w:val="18"/>
                <w:szCs w:val="18"/>
              </w:rPr>
              <w:t>, Report No. 99/00, Carlos Santiago, and Pedro Andrés Restrepo Arismendy (Ecuador)</w:t>
            </w:r>
            <w:r w:rsidR="00183F07" w:rsidRPr="00C57C0F">
              <w:rPr>
                <w:rStyle w:val="FootnoteReference"/>
                <w:rFonts w:ascii="Cambria" w:hAnsi="Cambria" w:cstheme="minorHAnsi"/>
                <w:sz w:val="18"/>
                <w:szCs w:val="18"/>
              </w:rPr>
              <w:footnoteReference w:id="51"/>
            </w:r>
          </w:p>
        </w:tc>
        <w:tc>
          <w:tcPr>
            <w:tcW w:w="1170" w:type="dxa"/>
            <w:vMerge/>
            <w:shd w:val="clear" w:color="auto" w:fill="F2F2F2" w:themeFill="background1" w:themeFillShade="F2"/>
            <w:vAlign w:val="center"/>
          </w:tcPr>
          <w:p w14:paraId="5FADFDB9" w14:textId="77777777" w:rsidR="00183F07" w:rsidRPr="00C57C0F" w:rsidRDefault="00183F07">
            <w:pPr>
              <w:jc w:val="center"/>
              <w:rPr>
                <w:rFonts w:ascii="Cambria" w:hAnsi="Cambria" w:cstheme="minorHAnsi"/>
                <w:sz w:val="18"/>
                <w:szCs w:val="18"/>
              </w:rPr>
            </w:pPr>
          </w:p>
        </w:tc>
        <w:tc>
          <w:tcPr>
            <w:tcW w:w="1350" w:type="dxa"/>
            <w:vAlign w:val="center"/>
          </w:tcPr>
          <w:p w14:paraId="30EB80C5" w14:textId="77777777" w:rsidR="00183F07" w:rsidRPr="00C57C0F" w:rsidRDefault="00183F07">
            <w:pPr>
              <w:jc w:val="center"/>
              <w:rPr>
                <w:rFonts w:ascii="Cambria" w:hAnsi="Cambria" w:cstheme="minorHAnsi"/>
                <w:sz w:val="18"/>
                <w:szCs w:val="18"/>
              </w:rPr>
            </w:pPr>
          </w:p>
        </w:tc>
        <w:tc>
          <w:tcPr>
            <w:tcW w:w="1170" w:type="dxa"/>
            <w:vAlign w:val="center"/>
          </w:tcPr>
          <w:p w14:paraId="55B7C1E2"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595DD69"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615BC49B"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67%</w:t>
            </w:r>
          </w:p>
        </w:tc>
        <w:tc>
          <w:tcPr>
            <w:tcW w:w="1260" w:type="dxa"/>
            <w:vAlign w:val="center"/>
          </w:tcPr>
          <w:p w14:paraId="189268BF"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338E90FA" w14:textId="77777777">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13F32F27" w14:textId="77777777" w:rsidR="00183F07" w:rsidRPr="00352AC9" w:rsidRDefault="0071198A" w:rsidP="00933F91">
            <w:pPr>
              <w:numPr>
                <w:ilvl w:val="0"/>
                <w:numId w:val="70"/>
              </w:numPr>
              <w:tabs>
                <w:tab w:val="num" w:pos="522"/>
              </w:tabs>
              <w:ind w:firstLine="0"/>
              <w:jc w:val="both"/>
              <w:rPr>
                <w:rFonts w:ascii="Cambria" w:hAnsi="Cambria" w:cstheme="minorHAnsi"/>
                <w:sz w:val="18"/>
                <w:szCs w:val="18"/>
                <w:lang w:val="es-AR"/>
              </w:rPr>
            </w:pPr>
            <w:hyperlink r:id="rId43" w:anchor="11.991">
              <w:r w:rsidR="00183F07" w:rsidRPr="00352AC9">
                <w:rPr>
                  <w:rFonts w:ascii="Cambria" w:hAnsi="Cambria" w:cstheme="minorHAnsi"/>
                  <w:sz w:val="18"/>
                  <w:szCs w:val="18"/>
                  <w:lang w:val="es-AR"/>
                </w:rPr>
                <w:t>Case 11.991</w:t>
              </w:r>
            </w:hyperlink>
            <w:r w:rsidR="00183F07" w:rsidRPr="00352AC9">
              <w:rPr>
                <w:rFonts w:ascii="Cambria" w:hAnsi="Cambria" w:cstheme="minorHAnsi"/>
                <w:sz w:val="18"/>
                <w:szCs w:val="18"/>
                <w:lang w:val="es-AR"/>
              </w:rPr>
              <w:t>, Report No. 100/00, Kelvin Vicente Torres Cueva (Ecuador)</w:t>
            </w:r>
            <w:r w:rsidR="00183F07" w:rsidRPr="00C57C0F">
              <w:rPr>
                <w:rFonts w:ascii="Cambria" w:hAnsi="Cambria" w:cstheme="minorHAnsi"/>
                <w:sz w:val="18"/>
                <w:szCs w:val="18"/>
                <w:vertAlign w:val="superscript"/>
              </w:rPr>
              <w:footnoteReference w:id="52"/>
            </w:r>
          </w:p>
        </w:tc>
        <w:tc>
          <w:tcPr>
            <w:tcW w:w="1170" w:type="dxa"/>
            <w:vMerge/>
            <w:shd w:val="clear" w:color="auto" w:fill="F2F2F2" w:themeFill="background1" w:themeFillShade="F2"/>
            <w:vAlign w:val="center"/>
          </w:tcPr>
          <w:p w14:paraId="73649C8B" w14:textId="77777777" w:rsidR="00183F07" w:rsidRPr="00352AC9" w:rsidRDefault="00183F07">
            <w:pPr>
              <w:jc w:val="center"/>
              <w:rPr>
                <w:rFonts w:ascii="Cambria" w:hAnsi="Cambria" w:cstheme="minorHAnsi"/>
                <w:sz w:val="18"/>
                <w:szCs w:val="18"/>
                <w:lang w:val="es-AR"/>
              </w:rPr>
            </w:pPr>
          </w:p>
        </w:tc>
        <w:tc>
          <w:tcPr>
            <w:tcW w:w="1350" w:type="dxa"/>
            <w:vAlign w:val="center"/>
          </w:tcPr>
          <w:p w14:paraId="75D6753B" w14:textId="77777777" w:rsidR="00183F07" w:rsidRPr="00352AC9" w:rsidRDefault="00183F07">
            <w:pPr>
              <w:jc w:val="center"/>
              <w:rPr>
                <w:rFonts w:ascii="Cambria" w:hAnsi="Cambria" w:cstheme="minorHAnsi"/>
                <w:sz w:val="18"/>
                <w:szCs w:val="18"/>
                <w:lang w:val="es-AR"/>
              </w:rPr>
            </w:pPr>
          </w:p>
        </w:tc>
        <w:tc>
          <w:tcPr>
            <w:tcW w:w="1170" w:type="dxa"/>
            <w:vAlign w:val="center"/>
          </w:tcPr>
          <w:p w14:paraId="3F5C58A3"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4C136F6"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13665BBA"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67%</w:t>
            </w:r>
          </w:p>
        </w:tc>
        <w:tc>
          <w:tcPr>
            <w:tcW w:w="1260" w:type="dxa"/>
            <w:vAlign w:val="center"/>
          </w:tcPr>
          <w:p w14:paraId="58D9B8A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58D3B211" w14:textId="77777777">
        <w:trPr>
          <w:cnfStyle w:val="000000010000" w:firstRow="0" w:lastRow="0" w:firstColumn="0" w:lastColumn="0" w:oddVBand="0" w:evenVBand="0" w:oddHBand="0" w:evenHBand="1" w:firstRowFirstColumn="0" w:firstRowLastColumn="0" w:lastRowFirstColumn="0" w:lastRowLastColumn="0"/>
          <w:trHeight w:hRule="exact" w:val="1179"/>
          <w:jc w:val="center"/>
        </w:trPr>
        <w:tc>
          <w:tcPr>
            <w:tcW w:w="1620" w:type="dxa"/>
            <w:vAlign w:val="center"/>
          </w:tcPr>
          <w:p w14:paraId="7F5C8F46"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44" w:anchor="11.478">
              <w:r w:rsidR="00183F07" w:rsidRPr="00352AC9">
                <w:rPr>
                  <w:rFonts w:ascii="Cambria" w:hAnsi="Cambria" w:cstheme="minorHAnsi"/>
                  <w:sz w:val="18"/>
                  <w:szCs w:val="18"/>
                  <w:lang w:val="es-AR"/>
                </w:rPr>
                <w:t>Case 11.478</w:t>
              </w:r>
            </w:hyperlink>
            <w:r w:rsidR="00183F07" w:rsidRPr="00352AC9">
              <w:rPr>
                <w:rFonts w:ascii="Cambria" w:hAnsi="Cambria" w:cstheme="minorHAnsi"/>
                <w:sz w:val="18"/>
                <w:szCs w:val="18"/>
                <w:lang w:val="es-AR"/>
              </w:rPr>
              <w:t xml:space="preserve">, Report No. 19/01, Juan Climaco Cuellar et al. </w:t>
            </w:r>
            <w:r w:rsidR="00183F07" w:rsidRPr="00C57C0F">
              <w:rPr>
                <w:rFonts w:ascii="Cambria" w:hAnsi="Cambria" w:cstheme="minorHAnsi"/>
                <w:sz w:val="18"/>
                <w:szCs w:val="18"/>
              </w:rPr>
              <w:t>(Ecuador)</w:t>
            </w:r>
          </w:p>
        </w:tc>
        <w:tc>
          <w:tcPr>
            <w:tcW w:w="1170" w:type="dxa"/>
            <w:vMerge/>
            <w:shd w:val="clear" w:color="auto" w:fill="F2F2F2" w:themeFill="background1" w:themeFillShade="F2"/>
            <w:vAlign w:val="center"/>
          </w:tcPr>
          <w:p w14:paraId="1CF16313" w14:textId="77777777" w:rsidR="00183F07" w:rsidRPr="00C57C0F" w:rsidRDefault="00183F07">
            <w:pPr>
              <w:jc w:val="center"/>
              <w:rPr>
                <w:rFonts w:ascii="Cambria" w:hAnsi="Cambria" w:cstheme="minorHAnsi"/>
                <w:sz w:val="18"/>
                <w:szCs w:val="18"/>
              </w:rPr>
            </w:pPr>
          </w:p>
        </w:tc>
        <w:tc>
          <w:tcPr>
            <w:tcW w:w="1350" w:type="dxa"/>
            <w:vAlign w:val="center"/>
          </w:tcPr>
          <w:p w14:paraId="73728014" w14:textId="77777777" w:rsidR="00183F07" w:rsidRPr="00C57C0F" w:rsidRDefault="00183F07">
            <w:pPr>
              <w:jc w:val="center"/>
              <w:rPr>
                <w:rFonts w:ascii="Cambria" w:hAnsi="Cambria" w:cstheme="minorHAnsi"/>
                <w:sz w:val="18"/>
                <w:szCs w:val="18"/>
              </w:rPr>
            </w:pPr>
          </w:p>
        </w:tc>
        <w:tc>
          <w:tcPr>
            <w:tcW w:w="1170" w:type="dxa"/>
            <w:vAlign w:val="center"/>
          </w:tcPr>
          <w:p w14:paraId="0AA8779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C011DFE"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51E88B50"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61356795"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6BF7EEBD" w14:textId="77777777">
        <w:trPr>
          <w:cnfStyle w:val="000000100000" w:firstRow="0" w:lastRow="0" w:firstColumn="0" w:lastColumn="0" w:oddVBand="0" w:evenVBand="0" w:oddHBand="1" w:evenHBand="0" w:firstRowFirstColumn="0" w:firstRowLastColumn="0" w:lastRowFirstColumn="0" w:lastRowLastColumn="0"/>
          <w:trHeight w:hRule="exact" w:val="1035"/>
          <w:jc w:val="center"/>
        </w:trPr>
        <w:tc>
          <w:tcPr>
            <w:tcW w:w="1620" w:type="dxa"/>
            <w:vAlign w:val="center"/>
          </w:tcPr>
          <w:p w14:paraId="4C632871"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11.512, Report No. 20/01, Lida Angela Riera Rodríguez (Ecuador)</w:t>
            </w:r>
            <w:r w:rsidRPr="00C57C0F">
              <w:rPr>
                <w:rFonts w:ascii="Cambria" w:hAnsi="Cambria" w:cstheme="minorHAnsi"/>
                <w:sz w:val="18"/>
                <w:szCs w:val="18"/>
                <w:vertAlign w:val="superscript"/>
              </w:rPr>
              <w:t xml:space="preserve"> </w:t>
            </w:r>
            <w:r w:rsidRPr="00C57C0F">
              <w:rPr>
                <w:rFonts w:ascii="Cambria" w:hAnsi="Cambria" w:cstheme="minorHAnsi"/>
                <w:sz w:val="18"/>
                <w:szCs w:val="18"/>
                <w:vertAlign w:val="superscript"/>
              </w:rPr>
              <w:footnoteReference w:id="53"/>
            </w:r>
          </w:p>
        </w:tc>
        <w:tc>
          <w:tcPr>
            <w:tcW w:w="1170" w:type="dxa"/>
            <w:vMerge/>
            <w:shd w:val="clear" w:color="auto" w:fill="F2F2F2" w:themeFill="background1" w:themeFillShade="F2"/>
            <w:vAlign w:val="center"/>
          </w:tcPr>
          <w:p w14:paraId="131350F8" w14:textId="77777777" w:rsidR="00183F07" w:rsidRPr="00C57C0F" w:rsidRDefault="00183F07">
            <w:pPr>
              <w:jc w:val="center"/>
              <w:rPr>
                <w:rFonts w:ascii="Cambria" w:hAnsi="Cambria" w:cstheme="minorHAnsi"/>
                <w:sz w:val="18"/>
                <w:szCs w:val="18"/>
              </w:rPr>
            </w:pPr>
          </w:p>
        </w:tc>
        <w:tc>
          <w:tcPr>
            <w:tcW w:w="1350" w:type="dxa"/>
            <w:vAlign w:val="center"/>
          </w:tcPr>
          <w:p w14:paraId="6715EC5E" w14:textId="77777777" w:rsidR="00183F07" w:rsidRPr="00C57C0F" w:rsidRDefault="00183F07">
            <w:pPr>
              <w:jc w:val="center"/>
              <w:rPr>
                <w:rFonts w:ascii="Cambria" w:hAnsi="Cambria" w:cstheme="minorHAnsi"/>
                <w:sz w:val="18"/>
                <w:szCs w:val="18"/>
              </w:rPr>
            </w:pPr>
          </w:p>
        </w:tc>
        <w:tc>
          <w:tcPr>
            <w:tcW w:w="1170" w:type="dxa"/>
            <w:vAlign w:val="center"/>
          </w:tcPr>
          <w:p w14:paraId="4F19CDC8"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BF84042"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6DC5EC34"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5D038AFD"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0D8328F7" w14:textId="77777777">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218EB8E8"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45" w:anchor="11.605">
              <w:r w:rsidR="00183F07" w:rsidRPr="00C57C0F">
                <w:rPr>
                  <w:rFonts w:ascii="Cambria" w:hAnsi="Cambria" w:cstheme="minorHAnsi"/>
                  <w:sz w:val="18"/>
                  <w:szCs w:val="18"/>
                </w:rPr>
                <w:t>Case 11.605</w:t>
              </w:r>
            </w:hyperlink>
            <w:r w:rsidR="00183F07" w:rsidRPr="00C57C0F">
              <w:rPr>
                <w:rFonts w:ascii="Cambria" w:hAnsi="Cambria" w:cstheme="minorHAnsi"/>
                <w:sz w:val="18"/>
                <w:szCs w:val="18"/>
              </w:rPr>
              <w:t>, Report No. 21/01, René Gonzalo Cruz Pazmiño (Ecuador)</w:t>
            </w:r>
            <w:r w:rsidR="00183F07" w:rsidRPr="00C57C0F">
              <w:rPr>
                <w:rFonts w:ascii="Cambria" w:hAnsi="Cambria" w:cstheme="minorHAnsi"/>
                <w:sz w:val="18"/>
                <w:szCs w:val="18"/>
                <w:vertAlign w:val="superscript"/>
              </w:rPr>
              <w:footnoteReference w:id="54"/>
            </w:r>
          </w:p>
        </w:tc>
        <w:tc>
          <w:tcPr>
            <w:tcW w:w="1170" w:type="dxa"/>
            <w:vMerge/>
            <w:shd w:val="clear" w:color="auto" w:fill="F2F2F2" w:themeFill="background1" w:themeFillShade="F2"/>
            <w:vAlign w:val="center"/>
          </w:tcPr>
          <w:p w14:paraId="7B5853A6" w14:textId="77777777" w:rsidR="00183F07" w:rsidRPr="00C57C0F" w:rsidRDefault="00183F07">
            <w:pPr>
              <w:jc w:val="center"/>
              <w:rPr>
                <w:rFonts w:ascii="Cambria" w:hAnsi="Cambria" w:cstheme="minorHAnsi"/>
                <w:sz w:val="18"/>
                <w:szCs w:val="18"/>
              </w:rPr>
            </w:pPr>
          </w:p>
        </w:tc>
        <w:tc>
          <w:tcPr>
            <w:tcW w:w="1350" w:type="dxa"/>
            <w:vAlign w:val="center"/>
          </w:tcPr>
          <w:p w14:paraId="068E106D" w14:textId="77777777" w:rsidR="00183F07" w:rsidRPr="00C57C0F" w:rsidRDefault="00183F07">
            <w:pPr>
              <w:jc w:val="center"/>
              <w:rPr>
                <w:rFonts w:ascii="Cambria" w:hAnsi="Cambria" w:cstheme="minorHAnsi"/>
                <w:sz w:val="18"/>
                <w:szCs w:val="18"/>
              </w:rPr>
            </w:pPr>
          </w:p>
        </w:tc>
        <w:tc>
          <w:tcPr>
            <w:tcW w:w="1170" w:type="dxa"/>
            <w:vAlign w:val="center"/>
          </w:tcPr>
          <w:p w14:paraId="1318E8A9"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DA264AD"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19FD0D0D"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1BEA7B26"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4673B2B4" w14:textId="77777777">
        <w:trPr>
          <w:cnfStyle w:val="000000100000" w:firstRow="0" w:lastRow="0" w:firstColumn="0" w:lastColumn="0" w:oddVBand="0" w:evenVBand="0" w:oddHBand="1" w:evenHBand="0" w:firstRowFirstColumn="0" w:firstRowLastColumn="0" w:lastRowFirstColumn="0" w:lastRowLastColumn="0"/>
          <w:trHeight w:hRule="exact" w:val="1251"/>
          <w:jc w:val="center"/>
        </w:trPr>
        <w:tc>
          <w:tcPr>
            <w:tcW w:w="1620" w:type="dxa"/>
            <w:vAlign w:val="center"/>
          </w:tcPr>
          <w:p w14:paraId="7BC73C21"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46" w:anchor="11.779">
              <w:r w:rsidR="00183F07" w:rsidRPr="00C57C0F">
                <w:rPr>
                  <w:rFonts w:ascii="Cambria" w:hAnsi="Cambria" w:cstheme="minorHAnsi"/>
                  <w:sz w:val="18"/>
                  <w:szCs w:val="18"/>
                </w:rPr>
                <w:t>Case 11.779</w:t>
              </w:r>
            </w:hyperlink>
            <w:r w:rsidR="00183F07" w:rsidRPr="00C57C0F">
              <w:rPr>
                <w:rFonts w:ascii="Cambria" w:hAnsi="Cambria" w:cstheme="minorHAnsi"/>
                <w:sz w:val="18"/>
                <w:szCs w:val="18"/>
              </w:rPr>
              <w:t>, Report No. 22/01, José Patricio Reascos (Ecuador)</w:t>
            </w:r>
            <w:r w:rsidR="00183F07" w:rsidRPr="00C57C0F">
              <w:rPr>
                <w:rFonts w:ascii="Cambria" w:hAnsi="Cambria" w:cstheme="minorHAnsi"/>
                <w:sz w:val="18"/>
                <w:szCs w:val="18"/>
                <w:vertAlign w:val="superscript"/>
              </w:rPr>
              <w:t xml:space="preserve"> </w:t>
            </w:r>
            <w:r w:rsidR="00183F07" w:rsidRPr="00C57C0F">
              <w:rPr>
                <w:rFonts w:ascii="Cambria" w:hAnsi="Cambria" w:cstheme="minorHAnsi"/>
                <w:sz w:val="18"/>
                <w:szCs w:val="18"/>
                <w:vertAlign w:val="superscript"/>
              </w:rPr>
              <w:footnoteReference w:id="55"/>
            </w:r>
          </w:p>
        </w:tc>
        <w:tc>
          <w:tcPr>
            <w:tcW w:w="1170" w:type="dxa"/>
            <w:vMerge/>
            <w:shd w:val="clear" w:color="auto" w:fill="F2F2F2" w:themeFill="background1" w:themeFillShade="F2"/>
            <w:vAlign w:val="center"/>
          </w:tcPr>
          <w:p w14:paraId="255ACB3B" w14:textId="77777777" w:rsidR="00183F07" w:rsidRPr="00C57C0F" w:rsidRDefault="00183F07">
            <w:pPr>
              <w:jc w:val="center"/>
              <w:rPr>
                <w:rFonts w:ascii="Cambria" w:hAnsi="Cambria" w:cstheme="minorHAnsi"/>
                <w:sz w:val="18"/>
                <w:szCs w:val="18"/>
              </w:rPr>
            </w:pPr>
          </w:p>
        </w:tc>
        <w:tc>
          <w:tcPr>
            <w:tcW w:w="1350" w:type="dxa"/>
            <w:vAlign w:val="center"/>
          </w:tcPr>
          <w:p w14:paraId="2733590C" w14:textId="77777777" w:rsidR="00183F07" w:rsidRPr="00C57C0F" w:rsidRDefault="00183F07">
            <w:pPr>
              <w:jc w:val="center"/>
              <w:rPr>
                <w:rFonts w:ascii="Cambria" w:hAnsi="Cambria" w:cstheme="minorHAnsi"/>
                <w:sz w:val="18"/>
                <w:szCs w:val="18"/>
              </w:rPr>
            </w:pPr>
          </w:p>
        </w:tc>
        <w:tc>
          <w:tcPr>
            <w:tcW w:w="1170" w:type="dxa"/>
            <w:vAlign w:val="center"/>
          </w:tcPr>
          <w:p w14:paraId="77EBE731"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01127BB"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1D2DFE30"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087D3555"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4BDEEDC1" w14:textId="77777777">
        <w:trPr>
          <w:cnfStyle w:val="000000010000" w:firstRow="0" w:lastRow="0" w:firstColumn="0" w:lastColumn="0" w:oddVBand="0" w:evenVBand="0" w:oddHBand="0" w:evenHBand="1" w:firstRowFirstColumn="0" w:firstRowLastColumn="0" w:lastRowFirstColumn="0" w:lastRowLastColumn="0"/>
          <w:trHeight w:hRule="exact" w:val="1368"/>
          <w:jc w:val="center"/>
        </w:trPr>
        <w:tc>
          <w:tcPr>
            <w:tcW w:w="1620" w:type="dxa"/>
            <w:vAlign w:val="center"/>
          </w:tcPr>
          <w:p w14:paraId="5F9B7F67"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47" w:anchor="11.441">
              <w:r w:rsidR="00183F07" w:rsidRPr="00C57C0F">
                <w:rPr>
                  <w:rFonts w:ascii="Cambria" w:hAnsi="Cambria" w:cstheme="minorHAnsi"/>
                  <w:sz w:val="18"/>
                  <w:szCs w:val="18"/>
                </w:rPr>
                <w:t>Case 11.441</w:t>
              </w:r>
            </w:hyperlink>
            <w:r w:rsidR="00183F07" w:rsidRPr="00C57C0F">
              <w:rPr>
                <w:rFonts w:ascii="Cambria" w:hAnsi="Cambria" w:cstheme="minorHAnsi"/>
                <w:sz w:val="18"/>
                <w:szCs w:val="18"/>
              </w:rPr>
              <w:t>, Report No. 104/01, Rodrigo Elicio Muñoz Arcos et al. (Ecuador)</w:t>
            </w:r>
            <w:r w:rsidR="00183F07" w:rsidRPr="00C57C0F">
              <w:rPr>
                <w:rFonts w:ascii="Cambria" w:hAnsi="Cambria" w:cstheme="minorHAnsi"/>
                <w:sz w:val="18"/>
                <w:szCs w:val="18"/>
                <w:vertAlign w:val="superscript"/>
              </w:rPr>
              <w:footnoteReference w:id="56"/>
            </w:r>
          </w:p>
        </w:tc>
        <w:tc>
          <w:tcPr>
            <w:tcW w:w="1170" w:type="dxa"/>
            <w:vMerge/>
            <w:shd w:val="clear" w:color="auto" w:fill="F2F2F2" w:themeFill="background1" w:themeFillShade="F2"/>
            <w:vAlign w:val="center"/>
          </w:tcPr>
          <w:p w14:paraId="6B736E5A" w14:textId="77777777" w:rsidR="00183F07" w:rsidRPr="00C57C0F" w:rsidRDefault="00183F07">
            <w:pPr>
              <w:jc w:val="center"/>
              <w:rPr>
                <w:rFonts w:ascii="Cambria" w:hAnsi="Cambria" w:cstheme="minorHAnsi"/>
                <w:sz w:val="18"/>
                <w:szCs w:val="18"/>
              </w:rPr>
            </w:pPr>
          </w:p>
        </w:tc>
        <w:tc>
          <w:tcPr>
            <w:tcW w:w="1350" w:type="dxa"/>
            <w:vAlign w:val="center"/>
          </w:tcPr>
          <w:p w14:paraId="465D6E07" w14:textId="77777777" w:rsidR="00183F07" w:rsidRPr="00C57C0F" w:rsidRDefault="00183F07">
            <w:pPr>
              <w:jc w:val="center"/>
              <w:rPr>
                <w:rFonts w:ascii="Cambria" w:hAnsi="Cambria" w:cstheme="minorHAnsi"/>
                <w:sz w:val="18"/>
                <w:szCs w:val="18"/>
              </w:rPr>
            </w:pPr>
          </w:p>
        </w:tc>
        <w:tc>
          <w:tcPr>
            <w:tcW w:w="1170" w:type="dxa"/>
            <w:vAlign w:val="center"/>
          </w:tcPr>
          <w:p w14:paraId="0952DBC9"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AC66E4F"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3982A0B2"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635B97E4"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6A264CBD" w14:textId="77777777">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4253DC7B" w14:textId="77777777" w:rsidR="00183F07" w:rsidRPr="00352AC9" w:rsidRDefault="0071198A" w:rsidP="00933F91">
            <w:pPr>
              <w:numPr>
                <w:ilvl w:val="0"/>
                <w:numId w:val="70"/>
              </w:numPr>
              <w:tabs>
                <w:tab w:val="num" w:pos="522"/>
              </w:tabs>
              <w:ind w:firstLine="0"/>
              <w:jc w:val="both"/>
              <w:rPr>
                <w:rFonts w:ascii="Cambria" w:hAnsi="Cambria" w:cstheme="minorHAnsi"/>
                <w:sz w:val="18"/>
                <w:szCs w:val="18"/>
                <w:lang w:val="es-AR"/>
              </w:rPr>
            </w:pPr>
            <w:hyperlink r:id="rId48" w:anchor="11.443">
              <w:r w:rsidR="00183F07" w:rsidRPr="00352AC9">
                <w:rPr>
                  <w:rFonts w:ascii="Cambria" w:hAnsi="Cambria" w:cstheme="minorHAnsi"/>
                  <w:sz w:val="18"/>
                  <w:szCs w:val="18"/>
                  <w:lang w:val="es-AR"/>
                </w:rPr>
                <w:t>Case 11.443</w:t>
              </w:r>
            </w:hyperlink>
            <w:r w:rsidR="00183F07" w:rsidRPr="00352AC9">
              <w:rPr>
                <w:rFonts w:ascii="Cambria" w:hAnsi="Cambria" w:cstheme="minorHAnsi"/>
                <w:sz w:val="18"/>
                <w:szCs w:val="18"/>
                <w:lang w:val="es-AR"/>
              </w:rPr>
              <w:t>, Report No. 105/01, Washington Ayora Rodríguez (Ecuador)</w:t>
            </w:r>
            <w:r w:rsidR="00183F07" w:rsidRPr="00C57C0F">
              <w:rPr>
                <w:rFonts w:ascii="Cambria" w:hAnsi="Cambria" w:cstheme="minorHAnsi"/>
                <w:sz w:val="18"/>
                <w:szCs w:val="18"/>
                <w:vertAlign w:val="superscript"/>
              </w:rPr>
              <w:footnoteReference w:id="57"/>
            </w:r>
          </w:p>
        </w:tc>
        <w:tc>
          <w:tcPr>
            <w:tcW w:w="1170" w:type="dxa"/>
            <w:vMerge/>
            <w:shd w:val="clear" w:color="auto" w:fill="F2F2F2" w:themeFill="background1" w:themeFillShade="F2"/>
            <w:vAlign w:val="center"/>
          </w:tcPr>
          <w:p w14:paraId="263E2C95" w14:textId="77777777" w:rsidR="00183F07" w:rsidRPr="00352AC9" w:rsidRDefault="00183F07">
            <w:pPr>
              <w:jc w:val="center"/>
              <w:rPr>
                <w:rFonts w:ascii="Cambria" w:hAnsi="Cambria" w:cstheme="minorHAnsi"/>
                <w:sz w:val="18"/>
                <w:szCs w:val="18"/>
                <w:lang w:val="es-AR"/>
              </w:rPr>
            </w:pPr>
          </w:p>
        </w:tc>
        <w:tc>
          <w:tcPr>
            <w:tcW w:w="1350" w:type="dxa"/>
            <w:vAlign w:val="center"/>
          </w:tcPr>
          <w:p w14:paraId="3A411810" w14:textId="77777777" w:rsidR="00183F07" w:rsidRPr="00352AC9" w:rsidRDefault="00183F07">
            <w:pPr>
              <w:jc w:val="center"/>
              <w:rPr>
                <w:rFonts w:ascii="Cambria" w:hAnsi="Cambria" w:cstheme="minorHAnsi"/>
                <w:sz w:val="18"/>
                <w:szCs w:val="18"/>
                <w:lang w:val="es-AR"/>
              </w:rPr>
            </w:pPr>
          </w:p>
        </w:tc>
        <w:tc>
          <w:tcPr>
            <w:tcW w:w="1170" w:type="dxa"/>
            <w:vAlign w:val="center"/>
          </w:tcPr>
          <w:p w14:paraId="6E44DFA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345BCB9"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0565ED23"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324708B8"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238786DB" w14:textId="77777777">
        <w:trPr>
          <w:cnfStyle w:val="000000010000" w:firstRow="0" w:lastRow="0" w:firstColumn="0" w:lastColumn="0" w:oddVBand="0" w:evenVBand="0" w:oddHBand="0" w:evenHBand="1" w:firstRowFirstColumn="0" w:firstRowLastColumn="0" w:lastRowFirstColumn="0" w:lastRowLastColumn="0"/>
          <w:trHeight w:hRule="exact" w:val="1008"/>
          <w:jc w:val="center"/>
        </w:trPr>
        <w:tc>
          <w:tcPr>
            <w:tcW w:w="1620" w:type="dxa"/>
            <w:vAlign w:val="center"/>
          </w:tcPr>
          <w:p w14:paraId="5A5ADCF4" w14:textId="77777777" w:rsidR="00183F07" w:rsidRPr="00C57C0F" w:rsidRDefault="0071198A" w:rsidP="00933F91">
            <w:pPr>
              <w:numPr>
                <w:ilvl w:val="0"/>
                <w:numId w:val="70"/>
              </w:numPr>
              <w:tabs>
                <w:tab w:val="num" w:pos="522"/>
              </w:tabs>
              <w:ind w:firstLine="0"/>
              <w:jc w:val="both"/>
              <w:rPr>
                <w:rFonts w:ascii="Cambria" w:hAnsi="Cambria" w:cstheme="minorHAnsi"/>
                <w:sz w:val="16"/>
                <w:szCs w:val="16"/>
              </w:rPr>
            </w:pPr>
            <w:hyperlink r:id="rId49" w:anchor="11.450">
              <w:r w:rsidR="00183F07" w:rsidRPr="00C57C0F">
                <w:rPr>
                  <w:rFonts w:ascii="Cambria" w:hAnsi="Cambria" w:cstheme="minorHAnsi"/>
                  <w:sz w:val="16"/>
                  <w:szCs w:val="16"/>
                </w:rPr>
                <w:t>Case 11.450</w:t>
              </w:r>
            </w:hyperlink>
            <w:r w:rsidR="00183F07" w:rsidRPr="00C57C0F">
              <w:rPr>
                <w:rFonts w:ascii="Cambria" w:hAnsi="Cambria" w:cstheme="minorHAnsi"/>
                <w:sz w:val="16"/>
                <w:szCs w:val="16"/>
              </w:rPr>
              <w:t>, Report No. 106/01, Marco Vinicio Almeida Calispa (Ecuador)</w:t>
            </w:r>
            <w:r w:rsidR="00183F07" w:rsidRPr="00C57C0F">
              <w:rPr>
                <w:rFonts w:ascii="Cambria" w:hAnsi="Cambria" w:cstheme="minorHAnsi"/>
                <w:sz w:val="16"/>
                <w:szCs w:val="16"/>
                <w:vertAlign w:val="superscript"/>
              </w:rPr>
              <w:footnoteReference w:id="58"/>
            </w:r>
          </w:p>
        </w:tc>
        <w:tc>
          <w:tcPr>
            <w:tcW w:w="1170" w:type="dxa"/>
            <w:vMerge/>
            <w:shd w:val="clear" w:color="auto" w:fill="F2F2F2" w:themeFill="background1" w:themeFillShade="F2"/>
            <w:vAlign w:val="center"/>
          </w:tcPr>
          <w:p w14:paraId="6ADB64DD" w14:textId="77777777" w:rsidR="00183F07" w:rsidRPr="00C57C0F" w:rsidRDefault="00183F07">
            <w:pPr>
              <w:jc w:val="center"/>
              <w:rPr>
                <w:rFonts w:ascii="Cambria" w:hAnsi="Cambria" w:cstheme="minorHAnsi"/>
                <w:sz w:val="18"/>
                <w:szCs w:val="18"/>
              </w:rPr>
            </w:pPr>
          </w:p>
        </w:tc>
        <w:tc>
          <w:tcPr>
            <w:tcW w:w="1350" w:type="dxa"/>
            <w:vAlign w:val="center"/>
          </w:tcPr>
          <w:p w14:paraId="7DB96585" w14:textId="77777777" w:rsidR="00183F07" w:rsidRPr="00C57C0F" w:rsidRDefault="00183F07">
            <w:pPr>
              <w:jc w:val="center"/>
              <w:rPr>
                <w:rFonts w:ascii="Cambria" w:hAnsi="Cambria" w:cstheme="minorHAnsi"/>
                <w:sz w:val="18"/>
                <w:szCs w:val="18"/>
              </w:rPr>
            </w:pPr>
          </w:p>
        </w:tc>
        <w:tc>
          <w:tcPr>
            <w:tcW w:w="1170" w:type="dxa"/>
            <w:vAlign w:val="center"/>
          </w:tcPr>
          <w:p w14:paraId="4C78AD9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CA8EAC0"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0742A09E"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22189136"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2C0EECFC" w14:textId="77777777">
        <w:trPr>
          <w:cnfStyle w:val="000000100000" w:firstRow="0" w:lastRow="0" w:firstColumn="0" w:lastColumn="0" w:oddVBand="0" w:evenVBand="0" w:oddHBand="1" w:evenHBand="0" w:firstRowFirstColumn="0" w:firstRowLastColumn="0" w:lastRowFirstColumn="0" w:lastRowLastColumn="0"/>
          <w:trHeight w:hRule="exact" w:val="1476"/>
          <w:jc w:val="center"/>
        </w:trPr>
        <w:tc>
          <w:tcPr>
            <w:tcW w:w="1620" w:type="dxa"/>
            <w:vAlign w:val="center"/>
          </w:tcPr>
          <w:p w14:paraId="214D48EA" w14:textId="77777777" w:rsidR="00183F07" w:rsidRPr="00352AC9" w:rsidRDefault="0071198A" w:rsidP="00933F91">
            <w:pPr>
              <w:numPr>
                <w:ilvl w:val="0"/>
                <w:numId w:val="70"/>
              </w:numPr>
              <w:tabs>
                <w:tab w:val="num" w:pos="522"/>
              </w:tabs>
              <w:ind w:firstLine="0"/>
              <w:jc w:val="both"/>
              <w:rPr>
                <w:rFonts w:ascii="Cambria" w:hAnsi="Cambria" w:cstheme="minorHAnsi"/>
                <w:sz w:val="18"/>
                <w:szCs w:val="18"/>
                <w:lang w:val="es-AR"/>
              </w:rPr>
            </w:pPr>
            <w:hyperlink r:id="rId50" w:anchor="11.542">
              <w:r w:rsidR="00183F07" w:rsidRPr="00352AC9">
                <w:rPr>
                  <w:rFonts w:ascii="Cambria" w:hAnsi="Cambria" w:cstheme="minorHAnsi"/>
                  <w:sz w:val="18"/>
                  <w:szCs w:val="18"/>
                  <w:lang w:val="es-AR"/>
                </w:rPr>
                <w:t>Case 11.542</w:t>
              </w:r>
            </w:hyperlink>
            <w:r w:rsidR="00183F07" w:rsidRPr="00352AC9">
              <w:rPr>
                <w:rFonts w:ascii="Cambria" w:hAnsi="Cambria" w:cstheme="minorHAnsi"/>
                <w:sz w:val="18"/>
                <w:szCs w:val="18"/>
                <w:lang w:val="es-AR"/>
              </w:rPr>
              <w:t>, Report No. 107/01, Angel Reiniero Vega Jiménez (Ecuador)</w:t>
            </w:r>
            <w:r w:rsidR="00183F07" w:rsidRPr="00C57C0F">
              <w:rPr>
                <w:rFonts w:ascii="Cambria" w:hAnsi="Cambria" w:cstheme="minorHAnsi"/>
                <w:sz w:val="18"/>
                <w:szCs w:val="18"/>
                <w:vertAlign w:val="superscript"/>
              </w:rPr>
              <w:footnoteReference w:id="59"/>
            </w:r>
          </w:p>
        </w:tc>
        <w:tc>
          <w:tcPr>
            <w:tcW w:w="1170" w:type="dxa"/>
            <w:vMerge/>
            <w:shd w:val="clear" w:color="auto" w:fill="F2F2F2" w:themeFill="background1" w:themeFillShade="F2"/>
            <w:vAlign w:val="center"/>
          </w:tcPr>
          <w:p w14:paraId="2CF30C2E" w14:textId="77777777" w:rsidR="00183F07" w:rsidRPr="00352AC9" w:rsidRDefault="00183F07">
            <w:pPr>
              <w:jc w:val="center"/>
              <w:rPr>
                <w:rFonts w:ascii="Cambria" w:hAnsi="Cambria" w:cstheme="minorHAnsi"/>
                <w:sz w:val="18"/>
                <w:szCs w:val="18"/>
                <w:lang w:val="es-AR"/>
              </w:rPr>
            </w:pPr>
          </w:p>
        </w:tc>
        <w:tc>
          <w:tcPr>
            <w:tcW w:w="1350" w:type="dxa"/>
            <w:vAlign w:val="center"/>
          </w:tcPr>
          <w:p w14:paraId="03270C05" w14:textId="77777777" w:rsidR="00183F07" w:rsidRPr="00352AC9" w:rsidRDefault="00183F07">
            <w:pPr>
              <w:jc w:val="center"/>
              <w:rPr>
                <w:rFonts w:ascii="Cambria" w:hAnsi="Cambria" w:cstheme="minorHAnsi"/>
                <w:sz w:val="18"/>
                <w:szCs w:val="18"/>
                <w:lang w:val="es-AR"/>
              </w:rPr>
            </w:pPr>
          </w:p>
        </w:tc>
        <w:tc>
          <w:tcPr>
            <w:tcW w:w="1170" w:type="dxa"/>
            <w:vAlign w:val="center"/>
          </w:tcPr>
          <w:p w14:paraId="0C04BDFD"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CF93FCC"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71113802"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3C9E9D8D"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58B558C1" w14:textId="77777777">
        <w:trPr>
          <w:cnfStyle w:val="000000010000" w:firstRow="0" w:lastRow="0" w:firstColumn="0" w:lastColumn="0" w:oddVBand="0" w:evenVBand="0" w:oddHBand="0" w:evenHBand="1" w:firstRowFirstColumn="0" w:firstRowLastColumn="0" w:lastRowFirstColumn="0" w:lastRowLastColumn="0"/>
          <w:trHeight w:hRule="exact" w:val="1440"/>
          <w:jc w:val="center"/>
        </w:trPr>
        <w:tc>
          <w:tcPr>
            <w:tcW w:w="1620" w:type="dxa"/>
            <w:vAlign w:val="center"/>
          </w:tcPr>
          <w:p w14:paraId="53A65351"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51" w:anchor="11.574">
              <w:r w:rsidR="00183F07" w:rsidRPr="00C57C0F">
                <w:rPr>
                  <w:rFonts w:ascii="Cambria" w:hAnsi="Cambria" w:cstheme="minorHAnsi"/>
                  <w:sz w:val="18"/>
                  <w:szCs w:val="18"/>
                </w:rPr>
                <w:t>Case 11.574</w:t>
              </w:r>
            </w:hyperlink>
            <w:r w:rsidR="00183F07" w:rsidRPr="00C57C0F">
              <w:rPr>
                <w:rFonts w:ascii="Cambria" w:hAnsi="Cambria" w:cstheme="minorHAnsi"/>
                <w:sz w:val="18"/>
                <w:szCs w:val="18"/>
              </w:rPr>
              <w:t>, Report No. 108/01, Wilberto Samuel Manzano</w:t>
            </w:r>
            <w:hyperlink r:id="rId52">
              <w:r w:rsidR="00183F07" w:rsidRPr="00C57C0F">
                <w:rPr>
                  <w:rFonts w:ascii="Cambria" w:hAnsi="Cambria" w:cstheme="minorHAnsi"/>
                  <w:sz w:val="18"/>
                  <w:szCs w:val="18"/>
                </w:rPr>
                <w:t xml:space="preserve"> </w:t>
              </w:r>
            </w:hyperlink>
            <w:r w:rsidR="00183F07" w:rsidRPr="00C57C0F">
              <w:rPr>
                <w:rFonts w:ascii="Cambria" w:hAnsi="Cambria" w:cstheme="minorHAnsi"/>
                <w:sz w:val="18"/>
                <w:szCs w:val="18"/>
              </w:rPr>
              <w:t>(Ecuador)</w:t>
            </w:r>
            <w:r w:rsidR="00183F07" w:rsidRPr="00C57C0F">
              <w:rPr>
                <w:rFonts w:ascii="Cambria" w:hAnsi="Cambria" w:cstheme="minorHAnsi"/>
                <w:sz w:val="18"/>
                <w:szCs w:val="18"/>
                <w:vertAlign w:val="superscript"/>
              </w:rPr>
              <w:footnoteReference w:id="60"/>
            </w:r>
          </w:p>
        </w:tc>
        <w:tc>
          <w:tcPr>
            <w:tcW w:w="1170" w:type="dxa"/>
            <w:vMerge/>
            <w:shd w:val="clear" w:color="auto" w:fill="F2F2F2" w:themeFill="background1" w:themeFillShade="F2"/>
            <w:vAlign w:val="center"/>
          </w:tcPr>
          <w:p w14:paraId="2ED7271D" w14:textId="77777777" w:rsidR="00183F07" w:rsidRPr="00C57C0F" w:rsidRDefault="00183F07">
            <w:pPr>
              <w:jc w:val="center"/>
              <w:rPr>
                <w:rFonts w:ascii="Cambria" w:hAnsi="Cambria" w:cstheme="minorHAnsi"/>
                <w:sz w:val="18"/>
                <w:szCs w:val="18"/>
              </w:rPr>
            </w:pPr>
          </w:p>
        </w:tc>
        <w:tc>
          <w:tcPr>
            <w:tcW w:w="1350" w:type="dxa"/>
            <w:vAlign w:val="center"/>
          </w:tcPr>
          <w:p w14:paraId="0F045177" w14:textId="77777777" w:rsidR="00183F07" w:rsidRPr="00C57C0F" w:rsidRDefault="00183F07">
            <w:pPr>
              <w:jc w:val="center"/>
              <w:rPr>
                <w:rFonts w:ascii="Cambria" w:hAnsi="Cambria" w:cstheme="minorHAnsi"/>
                <w:sz w:val="18"/>
                <w:szCs w:val="18"/>
              </w:rPr>
            </w:pPr>
          </w:p>
        </w:tc>
        <w:tc>
          <w:tcPr>
            <w:tcW w:w="1170" w:type="dxa"/>
            <w:vAlign w:val="center"/>
          </w:tcPr>
          <w:p w14:paraId="33B5F21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615F8A2"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73F03E3C"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6290666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335B4553" w14:textId="77777777">
        <w:trPr>
          <w:cnfStyle w:val="000000100000" w:firstRow="0" w:lastRow="0" w:firstColumn="0" w:lastColumn="0" w:oddVBand="0" w:evenVBand="0" w:oddHBand="1" w:evenHBand="0" w:firstRowFirstColumn="0" w:firstRowLastColumn="0" w:lastRowFirstColumn="0" w:lastRowLastColumn="0"/>
          <w:trHeight w:hRule="exact" w:val="1161"/>
          <w:jc w:val="center"/>
        </w:trPr>
        <w:tc>
          <w:tcPr>
            <w:tcW w:w="1620" w:type="dxa"/>
            <w:vAlign w:val="center"/>
          </w:tcPr>
          <w:p w14:paraId="401ACE10"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53" w:anchor="11.632">
              <w:r w:rsidR="00183F07" w:rsidRPr="00C57C0F">
                <w:rPr>
                  <w:rFonts w:ascii="Cambria" w:hAnsi="Cambria" w:cstheme="minorHAnsi"/>
                  <w:sz w:val="18"/>
                  <w:szCs w:val="18"/>
                </w:rPr>
                <w:t>Case 11.632</w:t>
              </w:r>
            </w:hyperlink>
            <w:r w:rsidR="00183F07" w:rsidRPr="00C57C0F">
              <w:rPr>
                <w:rFonts w:ascii="Cambria" w:hAnsi="Cambria" w:cstheme="minorHAnsi"/>
                <w:sz w:val="18"/>
                <w:szCs w:val="18"/>
              </w:rPr>
              <w:t>, Report No. 109/01, Vidal Segura Hurtado (Ecuador)</w:t>
            </w:r>
            <w:r w:rsidR="00183F07" w:rsidRPr="00C57C0F">
              <w:rPr>
                <w:rFonts w:ascii="Cambria" w:hAnsi="Cambria" w:cstheme="minorHAnsi"/>
                <w:sz w:val="18"/>
                <w:szCs w:val="18"/>
                <w:vertAlign w:val="superscript"/>
              </w:rPr>
              <w:footnoteReference w:id="61"/>
            </w:r>
          </w:p>
        </w:tc>
        <w:tc>
          <w:tcPr>
            <w:tcW w:w="1170" w:type="dxa"/>
            <w:vMerge/>
            <w:shd w:val="clear" w:color="auto" w:fill="F2F2F2" w:themeFill="background1" w:themeFillShade="F2"/>
            <w:vAlign w:val="center"/>
          </w:tcPr>
          <w:p w14:paraId="5F600F81" w14:textId="77777777" w:rsidR="00183F07" w:rsidRPr="00C57C0F" w:rsidRDefault="00183F07">
            <w:pPr>
              <w:jc w:val="center"/>
              <w:rPr>
                <w:rFonts w:ascii="Cambria" w:hAnsi="Cambria" w:cstheme="minorHAnsi"/>
                <w:sz w:val="18"/>
                <w:szCs w:val="18"/>
              </w:rPr>
            </w:pPr>
          </w:p>
        </w:tc>
        <w:tc>
          <w:tcPr>
            <w:tcW w:w="1350" w:type="dxa"/>
            <w:vAlign w:val="center"/>
          </w:tcPr>
          <w:p w14:paraId="033FC3F3" w14:textId="77777777" w:rsidR="00183F07" w:rsidRPr="00C57C0F" w:rsidRDefault="00183F07">
            <w:pPr>
              <w:jc w:val="center"/>
              <w:rPr>
                <w:rFonts w:ascii="Cambria" w:hAnsi="Cambria" w:cstheme="minorHAnsi"/>
                <w:sz w:val="18"/>
                <w:szCs w:val="18"/>
              </w:rPr>
            </w:pPr>
          </w:p>
        </w:tc>
        <w:tc>
          <w:tcPr>
            <w:tcW w:w="1170" w:type="dxa"/>
            <w:vAlign w:val="center"/>
          </w:tcPr>
          <w:p w14:paraId="404CECF6"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22B6F3C"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375747C9"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2A69AE95"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2889CA61" w14:textId="77777777">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4F7F47A9"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54" w:anchor="12.007">
              <w:r w:rsidR="00183F07" w:rsidRPr="00C57C0F">
                <w:rPr>
                  <w:rFonts w:ascii="Cambria" w:hAnsi="Cambria" w:cstheme="minorHAnsi"/>
                  <w:sz w:val="18"/>
                  <w:szCs w:val="18"/>
                </w:rPr>
                <w:t>Case 12.007</w:t>
              </w:r>
            </w:hyperlink>
            <w:r w:rsidR="00183F07" w:rsidRPr="00C57C0F">
              <w:rPr>
                <w:rFonts w:ascii="Cambria" w:hAnsi="Cambria" w:cstheme="minorHAnsi"/>
                <w:sz w:val="18"/>
                <w:szCs w:val="18"/>
              </w:rPr>
              <w:t>, Report No. 110/01, Pompeyo Carlos Andrade Benítez (Ecuador)</w:t>
            </w:r>
            <w:r w:rsidR="00183F07" w:rsidRPr="00C57C0F">
              <w:rPr>
                <w:rStyle w:val="FootnoteReference"/>
                <w:rFonts w:ascii="Cambria" w:hAnsi="Cambria" w:cstheme="minorHAnsi"/>
                <w:sz w:val="18"/>
                <w:szCs w:val="18"/>
              </w:rPr>
              <w:footnoteReference w:id="62"/>
            </w:r>
          </w:p>
        </w:tc>
        <w:tc>
          <w:tcPr>
            <w:tcW w:w="1170" w:type="dxa"/>
            <w:vMerge/>
            <w:shd w:val="clear" w:color="auto" w:fill="F2F2F2" w:themeFill="background1" w:themeFillShade="F2"/>
            <w:vAlign w:val="center"/>
          </w:tcPr>
          <w:p w14:paraId="60ECF54F" w14:textId="77777777" w:rsidR="00183F07" w:rsidRPr="00C57C0F" w:rsidRDefault="00183F07">
            <w:pPr>
              <w:jc w:val="center"/>
              <w:rPr>
                <w:rFonts w:ascii="Cambria" w:hAnsi="Cambria" w:cstheme="minorHAnsi"/>
                <w:sz w:val="18"/>
                <w:szCs w:val="18"/>
              </w:rPr>
            </w:pPr>
          </w:p>
        </w:tc>
        <w:tc>
          <w:tcPr>
            <w:tcW w:w="1350" w:type="dxa"/>
            <w:vAlign w:val="center"/>
          </w:tcPr>
          <w:p w14:paraId="7D8BCC82" w14:textId="77777777" w:rsidR="00183F07" w:rsidRPr="00C57C0F" w:rsidRDefault="00183F07">
            <w:pPr>
              <w:jc w:val="center"/>
              <w:rPr>
                <w:rFonts w:ascii="Cambria" w:hAnsi="Cambria" w:cstheme="minorHAnsi"/>
                <w:sz w:val="18"/>
                <w:szCs w:val="18"/>
              </w:rPr>
            </w:pPr>
          </w:p>
        </w:tc>
        <w:tc>
          <w:tcPr>
            <w:tcW w:w="1170" w:type="dxa"/>
            <w:vAlign w:val="center"/>
          </w:tcPr>
          <w:p w14:paraId="77319E3F"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590BD04"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5CB00C1B"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68CD56DA"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61EEFD45" w14:textId="77777777">
        <w:trPr>
          <w:cnfStyle w:val="000000100000" w:firstRow="0" w:lastRow="0" w:firstColumn="0" w:lastColumn="0" w:oddVBand="0" w:evenVBand="0" w:oddHBand="1" w:evenHBand="0" w:firstRowFirstColumn="0" w:firstRowLastColumn="0" w:lastRowFirstColumn="0" w:lastRowLastColumn="0"/>
          <w:trHeight w:hRule="exact" w:val="1161"/>
          <w:jc w:val="center"/>
        </w:trPr>
        <w:tc>
          <w:tcPr>
            <w:tcW w:w="1620" w:type="dxa"/>
            <w:vAlign w:val="center"/>
          </w:tcPr>
          <w:p w14:paraId="4925B544"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55" w:anchor="11.515">
              <w:r w:rsidR="00183F07" w:rsidRPr="00C57C0F">
                <w:rPr>
                  <w:rFonts w:ascii="Cambria" w:hAnsi="Cambria" w:cstheme="minorHAnsi"/>
                  <w:sz w:val="18"/>
                  <w:szCs w:val="18"/>
                </w:rPr>
                <w:t>Case 11.515</w:t>
              </w:r>
            </w:hyperlink>
            <w:r w:rsidR="00183F07" w:rsidRPr="00C57C0F">
              <w:rPr>
                <w:rFonts w:ascii="Cambria" w:hAnsi="Cambria" w:cstheme="minorHAnsi"/>
                <w:sz w:val="18"/>
                <w:szCs w:val="18"/>
              </w:rPr>
              <w:t>, Report No. 63/03, Bolívar Franco Camacho Arboleda (Ecuador)</w:t>
            </w:r>
            <w:r w:rsidR="00183F07" w:rsidRPr="00C57C0F">
              <w:rPr>
                <w:rFonts w:ascii="Cambria" w:hAnsi="Cambria" w:cstheme="minorHAnsi"/>
                <w:sz w:val="18"/>
                <w:szCs w:val="18"/>
                <w:vertAlign w:val="superscript"/>
              </w:rPr>
              <w:t xml:space="preserve"> </w:t>
            </w:r>
            <w:r w:rsidR="00183F07" w:rsidRPr="00C57C0F">
              <w:rPr>
                <w:rFonts w:ascii="Cambria" w:hAnsi="Cambria" w:cstheme="minorHAnsi"/>
                <w:sz w:val="18"/>
                <w:szCs w:val="18"/>
                <w:vertAlign w:val="superscript"/>
              </w:rPr>
              <w:footnoteReference w:id="63"/>
            </w:r>
          </w:p>
        </w:tc>
        <w:tc>
          <w:tcPr>
            <w:tcW w:w="1170" w:type="dxa"/>
            <w:vMerge/>
            <w:shd w:val="clear" w:color="auto" w:fill="F2F2F2" w:themeFill="background1" w:themeFillShade="F2"/>
            <w:vAlign w:val="center"/>
          </w:tcPr>
          <w:p w14:paraId="46A7DD3A" w14:textId="77777777" w:rsidR="00183F07" w:rsidRPr="00C57C0F" w:rsidRDefault="00183F07">
            <w:pPr>
              <w:jc w:val="center"/>
              <w:rPr>
                <w:rFonts w:ascii="Cambria" w:hAnsi="Cambria" w:cstheme="minorHAnsi"/>
                <w:sz w:val="18"/>
                <w:szCs w:val="18"/>
              </w:rPr>
            </w:pPr>
          </w:p>
        </w:tc>
        <w:tc>
          <w:tcPr>
            <w:tcW w:w="1350" w:type="dxa"/>
            <w:vAlign w:val="center"/>
          </w:tcPr>
          <w:p w14:paraId="30DEC6A6"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6D779A34" w14:textId="77777777" w:rsidR="00183F07" w:rsidRPr="00C57C0F" w:rsidRDefault="00183F07">
            <w:pPr>
              <w:ind w:firstLine="31"/>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063BD2C"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2D5CF343"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61ED269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2A7883A9" w14:textId="77777777">
        <w:trPr>
          <w:cnfStyle w:val="000000010000" w:firstRow="0" w:lastRow="0" w:firstColumn="0" w:lastColumn="0" w:oddVBand="0" w:evenVBand="0" w:oddHBand="0" w:evenHBand="1" w:firstRowFirstColumn="0" w:firstRowLastColumn="0" w:lastRowFirstColumn="0" w:lastRowLastColumn="0"/>
          <w:trHeight w:hRule="exact" w:val="2205"/>
          <w:jc w:val="center"/>
        </w:trPr>
        <w:tc>
          <w:tcPr>
            <w:tcW w:w="1620" w:type="dxa"/>
            <w:vAlign w:val="center"/>
          </w:tcPr>
          <w:p w14:paraId="28772EAA"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56" w:anchor="12.188">
              <w:r w:rsidR="00183F07" w:rsidRPr="00C57C0F">
                <w:rPr>
                  <w:rFonts w:ascii="Cambria" w:hAnsi="Cambria" w:cstheme="minorHAnsi"/>
                  <w:sz w:val="18"/>
                  <w:szCs w:val="18"/>
                </w:rPr>
                <w:t>Case 12.188,</w:t>
              </w:r>
            </w:hyperlink>
            <w:r w:rsidR="00183F07" w:rsidRPr="00C57C0F">
              <w:rPr>
                <w:rFonts w:ascii="Cambria" w:hAnsi="Cambria" w:cstheme="minorHAnsi"/>
                <w:sz w:val="18"/>
                <w:szCs w:val="18"/>
              </w:rPr>
              <w:t xml:space="preserve"> Report No. 64/03, Joffre José Valencia Mero, Priscila Fierro, Zoreida Valencia Sánchez, Rocío Valencia Sánchez (Ecuador)</w:t>
            </w:r>
            <w:r w:rsidR="00183F07" w:rsidRPr="00C57C0F">
              <w:rPr>
                <w:rFonts w:ascii="Cambria" w:hAnsi="Cambria" w:cstheme="minorHAnsi"/>
                <w:sz w:val="18"/>
                <w:szCs w:val="18"/>
                <w:vertAlign w:val="superscript"/>
              </w:rPr>
              <w:t xml:space="preserve"> </w:t>
            </w:r>
            <w:r w:rsidR="00183F07" w:rsidRPr="00C57C0F">
              <w:rPr>
                <w:rFonts w:ascii="Cambria" w:hAnsi="Cambria" w:cstheme="minorHAnsi"/>
                <w:sz w:val="18"/>
                <w:szCs w:val="18"/>
                <w:vertAlign w:val="superscript"/>
              </w:rPr>
              <w:footnoteReference w:id="64"/>
            </w:r>
          </w:p>
        </w:tc>
        <w:tc>
          <w:tcPr>
            <w:tcW w:w="1170" w:type="dxa"/>
            <w:vMerge/>
            <w:shd w:val="clear" w:color="auto" w:fill="F2F2F2" w:themeFill="background1" w:themeFillShade="F2"/>
            <w:vAlign w:val="center"/>
          </w:tcPr>
          <w:p w14:paraId="7F45E720" w14:textId="77777777" w:rsidR="00183F07" w:rsidRPr="00C57C0F" w:rsidRDefault="00183F07">
            <w:pPr>
              <w:jc w:val="center"/>
              <w:rPr>
                <w:rFonts w:ascii="Cambria" w:hAnsi="Cambria" w:cstheme="minorHAnsi"/>
                <w:sz w:val="18"/>
                <w:szCs w:val="18"/>
              </w:rPr>
            </w:pPr>
          </w:p>
        </w:tc>
        <w:tc>
          <w:tcPr>
            <w:tcW w:w="1350" w:type="dxa"/>
            <w:vAlign w:val="center"/>
          </w:tcPr>
          <w:p w14:paraId="37C0BFBF"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7888C572" w14:textId="77777777" w:rsidR="00183F07" w:rsidRPr="00C57C0F" w:rsidRDefault="00183F07">
            <w:pPr>
              <w:ind w:firstLine="31"/>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20B960F"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018889CE"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6E1B5AD5"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52643A0D" w14:textId="77777777">
        <w:trPr>
          <w:cnfStyle w:val="000000100000" w:firstRow="0" w:lastRow="0" w:firstColumn="0" w:lastColumn="0" w:oddVBand="0" w:evenVBand="0" w:oddHBand="1" w:evenHBand="0" w:firstRowFirstColumn="0" w:firstRowLastColumn="0" w:lastRowFirstColumn="0" w:lastRowLastColumn="0"/>
          <w:trHeight w:hRule="exact" w:val="2151"/>
          <w:jc w:val="center"/>
        </w:trPr>
        <w:tc>
          <w:tcPr>
            <w:tcW w:w="1620" w:type="dxa"/>
            <w:vAlign w:val="center"/>
          </w:tcPr>
          <w:p w14:paraId="6C5FA729"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57" w:anchor="12.394">
              <w:r w:rsidR="00183F07" w:rsidRPr="00C57C0F">
                <w:rPr>
                  <w:rFonts w:ascii="Cambria" w:hAnsi="Cambria" w:cstheme="minorHAnsi"/>
                  <w:sz w:val="18"/>
                  <w:szCs w:val="18"/>
                </w:rPr>
                <w:t>Case 12.394</w:t>
              </w:r>
            </w:hyperlink>
            <w:r w:rsidR="00183F07" w:rsidRPr="00C57C0F">
              <w:rPr>
                <w:rFonts w:ascii="Cambria" w:hAnsi="Cambria" w:cstheme="minorHAnsi"/>
                <w:sz w:val="18"/>
                <w:szCs w:val="18"/>
              </w:rPr>
              <w:t>, Report No. 65/03, Joaquín Hernández Alvarado, Marlon Loor Argote and Hugo Lara Pinos (Ecuador)</w:t>
            </w:r>
            <w:r w:rsidR="00183F07" w:rsidRPr="00C57C0F">
              <w:rPr>
                <w:rStyle w:val="FootnoteReference"/>
                <w:rFonts w:ascii="Cambria" w:hAnsi="Cambria" w:cstheme="minorHAnsi"/>
                <w:sz w:val="18"/>
                <w:szCs w:val="18"/>
              </w:rPr>
              <w:footnoteReference w:id="65"/>
            </w:r>
          </w:p>
        </w:tc>
        <w:tc>
          <w:tcPr>
            <w:tcW w:w="1170" w:type="dxa"/>
            <w:vMerge/>
            <w:shd w:val="clear" w:color="auto" w:fill="F2F2F2" w:themeFill="background1" w:themeFillShade="F2"/>
            <w:vAlign w:val="center"/>
          </w:tcPr>
          <w:p w14:paraId="2C9CB5A6" w14:textId="77777777" w:rsidR="00183F07" w:rsidRPr="00C57C0F" w:rsidRDefault="00183F07">
            <w:pPr>
              <w:jc w:val="center"/>
              <w:rPr>
                <w:rFonts w:ascii="Cambria" w:hAnsi="Cambria" w:cstheme="minorHAnsi"/>
                <w:sz w:val="18"/>
                <w:szCs w:val="18"/>
              </w:rPr>
            </w:pPr>
          </w:p>
        </w:tc>
        <w:tc>
          <w:tcPr>
            <w:tcW w:w="1350" w:type="dxa"/>
            <w:vAlign w:val="center"/>
          </w:tcPr>
          <w:p w14:paraId="12F16E8F"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532B21D7" w14:textId="77777777" w:rsidR="00183F07" w:rsidRPr="00C57C0F" w:rsidRDefault="00183F07">
            <w:pPr>
              <w:ind w:firstLine="31"/>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8BE104B"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6E83E941"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559864EA"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5D57CFC8" w14:textId="77777777">
        <w:trPr>
          <w:cnfStyle w:val="000000010000" w:firstRow="0" w:lastRow="0" w:firstColumn="0" w:lastColumn="0" w:oddVBand="0" w:evenVBand="0" w:oddHBand="0" w:evenHBand="1" w:firstRowFirstColumn="0" w:firstRowLastColumn="0" w:lastRowFirstColumn="0" w:lastRowLastColumn="0"/>
          <w:trHeight w:hRule="exact" w:val="1260"/>
          <w:jc w:val="center"/>
        </w:trPr>
        <w:tc>
          <w:tcPr>
            <w:tcW w:w="1620" w:type="dxa"/>
            <w:vAlign w:val="center"/>
          </w:tcPr>
          <w:p w14:paraId="6A13E4C7"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58" w:anchor="12.205">
              <w:r w:rsidR="00183F07" w:rsidRPr="00C57C0F">
                <w:rPr>
                  <w:rFonts w:ascii="Cambria" w:hAnsi="Cambria" w:cstheme="minorHAnsi"/>
                  <w:sz w:val="18"/>
                  <w:szCs w:val="18"/>
                </w:rPr>
                <w:t>Case 12.205</w:t>
              </w:r>
            </w:hyperlink>
            <w:r w:rsidR="00183F07" w:rsidRPr="00C57C0F">
              <w:rPr>
                <w:rFonts w:ascii="Cambria" w:hAnsi="Cambria" w:cstheme="minorHAnsi"/>
                <w:sz w:val="18"/>
                <w:szCs w:val="18"/>
              </w:rPr>
              <w:t>, Report No. 44/06, José René Castro Galarza (Ecuador)</w:t>
            </w:r>
          </w:p>
        </w:tc>
        <w:tc>
          <w:tcPr>
            <w:tcW w:w="1170" w:type="dxa"/>
            <w:vMerge/>
            <w:shd w:val="clear" w:color="auto" w:fill="F2F2F2" w:themeFill="background1" w:themeFillShade="F2"/>
            <w:vAlign w:val="center"/>
          </w:tcPr>
          <w:p w14:paraId="183CA141" w14:textId="77777777" w:rsidR="00183F07" w:rsidRPr="00C57C0F" w:rsidRDefault="00183F07">
            <w:pPr>
              <w:jc w:val="center"/>
              <w:rPr>
                <w:rFonts w:ascii="Cambria" w:hAnsi="Cambria" w:cstheme="minorHAnsi"/>
                <w:sz w:val="18"/>
                <w:szCs w:val="18"/>
              </w:rPr>
            </w:pPr>
          </w:p>
        </w:tc>
        <w:tc>
          <w:tcPr>
            <w:tcW w:w="1350" w:type="dxa"/>
            <w:vAlign w:val="center"/>
          </w:tcPr>
          <w:p w14:paraId="6902F0DC"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30DF153E" w14:textId="77777777" w:rsidR="00183F07" w:rsidRPr="00C57C0F" w:rsidRDefault="00183F07">
            <w:pPr>
              <w:ind w:firstLine="31"/>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93EC5E2"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783A718C"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75231133"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227D295C" w14:textId="77777777">
        <w:trPr>
          <w:cnfStyle w:val="000000100000" w:firstRow="0" w:lastRow="0" w:firstColumn="0" w:lastColumn="0" w:oddVBand="0" w:evenVBand="0" w:oddHBand="1" w:evenHBand="0" w:firstRowFirstColumn="0" w:firstRowLastColumn="0" w:lastRowFirstColumn="0" w:lastRowLastColumn="0"/>
          <w:trHeight w:hRule="exact" w:val="1539"/>
          <w:jc w:val="center"/>
        </w:trPr>
        <w:tc>
          <w:tcPr>
            <w:tcW w:w="1620" w:type="dxa"/>
            <w:vAlign w:val="center"/>
          </w:tcPr>
          <w:p w14:paraId="0CCB080C"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59" w:anchor="12.207">
              <w:r w:rsidR="00183F07" w:rsidRPr="00C57C0F">
                <w:rPr>
                  <w:rFonts w:ascii="Cambria" w:hAnsi="Cambria" w:cstheme="minorHAnsi"/>
                  <w:sz w:val="18"/>
                  <w:szCs w:val="18"/>
                </w:rPr>
                <w:t>Case 12.207</w:t>
              </w:r>
            </w:hyperlink>
            <w:r w:rsidR="00183F07" w:rsidRPr="00C57C0F">
              <w:rPr>
                <w:rFonts w:ascii="Cambria" w:hAnsi="Cambria" w:cstheme="minorHAnsi"/>
                <w:sz w:val="18"/>
                <w:szCs w:val="18"/>
              </w:rPr>
              <w:t>, Report No. 45/06, Lizandro Ramiro Montero Masache (Ecuador)</w:t>
            </w:r>
            <w:r w:rsidR="00183F07" w:rsidRPr="00C57C0F">
              <w:rPr>
                <w:rFonts w:ascii="Cambria" w:hAnsi="Cambria" w:cstheme="minorHAnsi"/>
                <w:sz w:val="18"/>
                <w:szCs w:val="18"/>
                <w:vertAlign w:val="superscript"/>
              </w:rPr>
              <w:t xml:space="preserve"> </w:t>
            </w:r>
            <w:r w:rsidR="00183F07" w:rsidRPr="00C57C0F">
              <w:rPr>
                <w:rFonts w:ascii="Cambria" w:hAnsi="Cambria" w:cstheme="minorHAnsi"/>
                <w:sz w:val="18"/>
                <w:szCs w:val="18"/>
                <w:vertAlign w:val="superscript"/>
              </w:rPr>
              <w:footnoteReference w:id="66"/>
            </w:r>
          </w:p>
        </w:tc>
        <w:tc>
          <w:tcPr>
            <w:tcW w:w="1170" w:type="dxa"/>
            <w:vMerge/>
            <w:shd w:val="clear" w:color="auto" w:fill="F2F2F2" w:themeFill="background1" w:themeFillShade="F2"/>
            <w:vAlign w:val="center"/>
          </w:tcPr>
          <w:p w14:paraId="64006669" w14:textId="77777777" w:rsidR="00183F07" w:rsidRPr="00C57C0F" w:rsidRDefault="00183F07">
            <w:pPr>
              <w:jc w:val="center"/>
              <w:rPr>
                <w:rFonts w:ascii="Cambria" w:hAnsi="Cambria" w:cstheme="minorHAnsi"/>
                <w:sz w:val="18"/>
                <w:szCs w:val="18"/>
              </w:rPr>
            </w:pPr>
          </w:p>
        </w:tc>
        <w:tc>
          <w:tcPr>
            <w:tcW w:w="1350" w:type="dxa"/>
            <w:vAlign w:val="center"/>
          </w:tcPr>
          <w:p w14:paraId="7E65B0DE"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1E3F35FA"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A067F13"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6645F223"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24671AD5"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2B58856A" w14:textId="77777777">
        <w:trPr>
          <w:cnfStyle w:val="000000010000" w:firstRow="0" w:lastRow="0" w:firstColumn="0" w:lastColumn="0" w:oddVBand="0" w:evenVBand="0" w:oddHBand="0" w:evenHBand="1" w:firstRowFirstColumn="0" w:firstRowLastColumn="0" w:lastRowFirstColumn="0" w:lastRowLastColumn="0"/>
          <w:trHeight w:hRule="exact" w:val="981"/>
          <w:jc w:val="center"/>
        </w:trPr>
        <w:tc>
          <w:tcPr>
            <w:tcW w:w="1620" w:type="dxa"/>
            <w:vAlign w:val="center"/>
          </w:tcPr>
          <w:p w14:paraId="36A868F1" w14:textId="77777777" w:rsidR="00183F07" w:rsidRPr="00C57C0F" w:rsidRDefault="0071198A" w:rsidP="00933F91">
            <w:pPr>
              <w:numPr>
                <w:ilvl w:val="0"/>
                <w:numId w:val="70"/>
              </w:numPr>
              <w:tabs>
                <w:tab w:val="num" w:pos="522"/>
              </w:tabs>
              <w:ind w:firstLine="0"/>
              <w:jc w:val="both"/>
              <w:rPr>
                <w:rFonts w:ascii="Cambria" w:hAnsi="Cambria" w:cstheme="minorHAnsi"/>
                <w:sz w:val="18"/>
                <w:szCs w:val="18"/>
              </w:rPr>
            </w:pPr>
            <w:hyperlink r:id="rId60" w:anchor="12.238">
              <w:r w:rsidR="00183F07" w:rsidRPr="00C57C0F">
                <w:rPr>
                  <w:rFonts w:ascii="Cambria" w:hAnsi="Cambria" w:cstheme="minorHAnsi"/>
                  <w:sz w:val="18"/>
                  <w:szCs w:val="18"/>
                </w:rPr>
                <w:t>Case 12.238</w:t>
              </w:r>
            </w:hyperlink>
            <w:r w:rsidR="00183F07" w:rsidRPr="00C57C0F">
              <w:rPr>
                <w:rFonts w:ascii="Cambria" w:hAnsi="Cambria" w:cstheme="minorHAnsi"/>
                <w:sz w:val="18"/>
                <w:szCs w:val="18"/>
              </w:rPr>
              <w:t>, Report No. 46/06, Myriam Larrea Pintado (Ecuador)</w:t>
            </w:r>
            <w:r w:rsidR="00183F07" w:rsidRPr="00C57C0F">
              <w:rPr>
                <w:rStyle w:val="FootnoteReference"/>
                <w:rFonts w:ascii="Cambria" w:hAnsi="Cambria" w:cstheme="minorHAnsi"/>
                <w:sz w:val="18"/>
                <w:szCs w:val="18"/>
              </w:rPr>
              <w:footnoteReference w:id="67"/>
            </w:r>
          </w:p>
        </w:tc>
        <w:tc>
          <w:tcPr>
            <w:tcW w:w="1170" w:type="dxa"/>
            <w:vMerge/>
            <w:shd w:val="clear" w:color="auto" w:fill="F2F2F2" w:themeFill="background1" w:themeFillShade="F2"/>
            <w:vAlign w:val="center"/>
          </w:tcPr>
          <w:p w14:paraId="75CEBA11" w14:textId="77777777" w:rsidR="00183F07" w:rsidRPr="00C57C0F" w:rsidRDefault="00183F07">
            <w:pPr>
              <w:jc w:val="center"/>
              <w:rPr>
                <w:rFonts w:ascii="Cambria" w:hAnsi="Cambria" w:cstheme="minorHAnsi"/>
                <w:sz w:val="18"/>
                <w:szCs w:val="18"/>
              </w:rPr>
            </w:pPr>
          </w:p>
        </w:tc>
        <w:tc>
          <w:tcPr>
            <w:tcW w:w="1350" w:type="dxa"/>
            <w:vAlign w:val="center"/>
          </w:tcPr>
          <w:p w14:paraId="16C51A2F" w14:textId="77777777" w:rsidR="00183F07" w:rsidRPr="00C57C0F" w:rsidRDefault="00183F07">
            <w:pPr>
              <w:ind w:firstLine="31"/>
              <w:jc w:val="center"/>
              <w:rPr>
                <w:rFonts w:ascii="Cambria" w:hAnsi="Cambria" w:cstheme="minorHAnsi"/>
                <w:sz w:val="18"/>
                <w:szCs w:val="18"/>
              </w:rPr>
            </w:pPr>
          </w:p>
        </w:tc>
        <w:tc>
          <w:tcPr>
            <w:tcW w:w="1170" w:type="dxa"/>
            <w:vAlign w:val="center"/>
          </w:tcPr>
          <w:p w14:paraId="228A483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E01BA07"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134A7A09"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60%</w:t>
            </w:r>
          </w:p>
        </w:tc>
        <w:tc>
          <w:tcPr>
            <w:tcW w:w="1260" w:type="dxa"/>
            <w:vAlign w:val="center"/>
          </w:tcPr>
          <w:p w14:paraId="2B38566E"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25739A13" w14:textId="77777777">
        <w:trPr>
          <w:cnfStyle w:val="000000100000" w:firstRow="0" w:lastRow="0" w:firstColumn="0" w:lastColumn="0" w:oddVBand="0" w:evenVBand="0" w:oddHBand="1" w:evenHBand="0" w:firstRowFirstColumn="0" w:firstRowLastColumn="0" w:lastRowFirstColumn="0" w:lastRowLastColumn="0"/>
          <w:trHeight w:hRule="exact" w:val="1755"/>
          <w:jc w:val="center"/>
        </w:trPr>
        <w:tc>
          <w:tcPr>
            <w:tcW w:w="1620" w:type="dxa"/>
            <w:vAlign w:val="center"/>
          </w:tcPr>
          <w:p w14:paraId="7E0309F9" w14:textId="77777777" w:rsidR="00183F07" w:rsidRPr="00352AC9" w:rsidRDefault="0071198A" w:rsidP="00933F91">
            <w:pPr>
              <w:numPr>
                <w:ilvl w:val="0"/>
                <w:numId w:val="70"/>
              </w:numPr>
              <w:tabs>
                <w:tab w:val="num" w:pos="522"/>
              </w:tabs>
              <w:ind w:firstLine="0"/>
              <w:jc w:val="both"/>
              <w:rPr>
                <w:rFonts w:ascii="Cambria" w:hAnsi="Cambria" w:cstheme="minorHAnsi"/>
                <w:sz w:val="18"/>
                <w:szCs w:val="18"/>
                <w:lang w:val="es-AR"/>
              </w:rPr>
            </w:pPr>
            <w:hyperlink r:id="rId61" w:anchor="533-01">
              <w:r w:rsidR="00183F07" w:rsidRPr="00352AC9">
                <w:rPr>
                  <w:rFonts w:ascii="Cambria" w:hAnsi="Cambria" w:cstheme="minorHAnsi"/>
                  <w:sz w:val="18"/>
                  <w:szCs w:val="18"/>
                  <w:lang w:val="es-AR"/>
                </w:rPr>
                <w:t>Case 12.558</w:t>
              </w:r>
            </w:hyperlink>
            <w:r w:rsidR="00183F07" w:rsidRPr="00352AC9">
              <w:rPr>
                <w:rFonts w:ascii="Cambria" w:hAnsi="Cambria" w:cstheme="minorHAnsi"/>
                <w:sz w:val="18"/>
                <w:szCs w:val="18"/>
                <w:lang w:val="es-AR"/>
              </w:rPr>
              <w:t>, Report No. 47/06, Fausto Mendoza Giler and Diogenes Mendoza Bravo (Ecuador)</w:t>
            </w:r>
            <w:r w:rsidR="00183F07" w:rsidRPr="00C57C0F">
              <w:rPr>
                <w:rFonts w:ascii="Cambria" w:hAnsi="Cambria" w:cstheme="minorHAnsi"/>
                <w:sz w:val="18"/>
                <w:szCs w:val="18"/>
                <w:vertAlign w:val="superscript"/>
              </w:rPr>
              <w:footnoteReference w:id="68"/>
            </w:r>
          </w:p>
        </w:tc>
        <w:tc>
          <w:tcPr>
            <w:tcW w:w="1170" w:type="dxa"/>
            <w:vMerge/>
            <w:shd w:val="clear" w:color="auto" w:fill="F2F2F2" w:themeFill="background1" w:themeFillShade="F2"/>
            <w:vAlign w:val="center"/>
          </w:tcPr>
          <w:p w14:paraId="55A286D3" w14:textId="77777777" w:rsidR="00183F07" w:rsidRPr="00352AC9" w:rsidRDefault="00183F07">
            <w:pPr>
              <w:jc w:val="center"/>
              <w:rPr>
                <w:rFonts w:ascii="Cambria" w:hAnsi="Cambria" w:cstheme="minorHAnsi"/>
                <w:sz w:val="18"/>
                <w:szCs w:val="18"/>
                <w:lang w:val="es-AR"/>
              </w:rPr>
            </w:pPr>
          </w:p>
        </w:tc>
        <w:tc>
          <w:tcPr>
            <w:tcW w:w="1350" w:type="dxa"/>
            <w:vAlign w:val="center"/>
          </w:tcPr>
          <w:p w14:paraId="571B1FBF" w14:textId="77777777" w:rsidR="00183F07" w:rsidRPr="00352AC9" w:rsidRDefault="00183F07">
            <w:pPr>
              <w:jc w:val="center"/>
              <w:rPr>
                <w:rFonts w:ascii="Cambria" w:hAnsi="Cambria" w:cstheme="minorHAnsi"/>
                <w:sz w:val="18"/>
                <w:szCs w:val="18"/>
                <w:lang w:val="es-AR"/>
              </w:rPr>
            </w:pPr>
          </w:p>
        </w:tc>
        <w:tc>
          <w:tcPr>
            <w:tcW w:w="1170" w:type="dxa"/>
            <w:vAlign w:val="center"/>
          </w:tcPr>
          <w:p w14:paraId="469DCD16"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ED191A5" w14:textId="77777777" w:rsidR="00183F07" w:rsidRPr="00C57C0F" w:rsidRDefault="00183F07">
            <w:pPr>
              <w:keepNext/>
              <w:ind w:firstLine="31"/>
              <w:jc w:val="center"/>
              <w:outlineLvl w:val="2"/>
              <w:rPr>
                <w:rFonts w:ascii="Cambria" w:hAnsi="Cambria" w:cstheme="minorHAnsi"/>
                <w:sz w:val="18"/>
                <w:szCs w:val="18"/>
              </w:rPr>
            </w:pPr>
          </w:p>
        </w:tc>
        <w:tc>
          <w:tcPr>
            <w:tcW w:w="1170" w:type="dxa"/>
            <w:vAlign w:val="center"/>
          </w:tcPr>
          <w:p w14:paraId="38CD39D0" w14:textId="77777777" w:rsidR="00183F07" w:rsidRPr="00C57C0F" w:rsidRDefault="00183F07">
            <w:pPr>
              <w:keepNext/>
              <w:tabs>
                <w:tab w:val="left" w:pos="177"/>
              </w:tabs>
              <w:ind w:firstLine="31"/>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342FB65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2E696AC3" w14:textId="77777777">
        <w:trPr>
          <w:cnfStyle w:val="000000010000" w:firstRow="0" w:lastRow="0" w:firstColumn="0" w:lastColumn="0" w:oddVBand="0" w:evenVBand="0" w:oddHBand="0" w:evenHBand="1" w:firstRowFirstColumn="0" w:firstRowLastColumn="0" w:lastRowFirstColumn="0" w:lastRowLastColumn="0"/>
          <w:trHeight w:hRule="exact" w:val="1341"/>
          <w:jc w:val="center"/>
        </w:trPr>
        <w:tc>
          <w:tcPr>
            <w:tcW w:w="1620" w:type="dxa"/>
            <w:vAlign w:val="center"/>
          </w:tcPr>
          <w:p w14:paraId="5EEA9CA6"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lastRenderedPageBreak/>
              <w:t>Petition 533-05, Report No. 122/12, Julio Rubén Robles Eras (Ecuador)</w:t>
            </w:r>
            <w:r w:rsidRPr="00C57C0F">
              <w:rPr>
                <w:rFonts w:ascii="Cambria" w:hAnsi="Cambria" w:cstheme="minorHAnsi"/>
                <w:sz w:val="18"/>
                <w:szCs w:val="18"/>
                <w:vertAlign w:val="superscript"/>
              </w:rPr>
              <w:footnoteReference w:id="69"/>
            </w:r>
          </w:p>
        </w:tc>
        <w:tc>
          <w:tcPr>
            <w:tcW w:w="1170" w:type="dxa"/>
            <w:vMerge/>
            <w:shd w:val="clear" w:color="auto" w:fill="F2F2F2" w:themeFill="background1" w:themeFillShade="F2"/>
            <w:vAlign w:val="center"/>
          </w:tcPr>
          <w:p w14:paraId="69886CA9" w14:textId="77777777" w:rsidR="00183F07" w:rsidRPr="00352AC9" w:rsidRDefault="00183F07">
            <w:pPr>
              <w:jc w:val="center"/>
              <w:rPr>
                <w:rFonts w:ascii="Cambria" w:hAnsi="Cambria" w:cstheme="minorHAnsi"/>
                <w:sz w:val="18"/>
                <w:szCs w:val="18"/>
                <w:lang w:val="es-AR"/>
              </w:rPr>
            </w:pPr>
          </w:p>
        </w:tc>
        <w:tc>
          <w:tcPr>
            <w:tcW w:w="1350" w:type="dxa"/>
            <w:vAlign w:val="center"/>
          </w:tcPr>
          <w:p w14:paraId="31BD7FDD" w14:textId="77777777" w:rsidR="00183F07" w:rsidRPr="00352AC9" w:rsidRDefault="00183F07">
            <w:pPr>
              <w:jc w:val="center"/>
              <w:rPr>
                <w:rFonts w:ascii="Cambria" w:hAnsi="Cambria" w:cstheme="minorHAnsi"/>
                <w:sz w:val="18"/>
                <w:szCs w:val="18"/>
                <w:lang w:val="es-AR"/>
              </w:rPr>
            </w:pPr>
          </w:p>
        </w:tc>
        <w:tc>
          <w:tcPr>
            <w:tcW w:w="1170" w:type="dxa"/>
            <w:vAlign w:val="center"/>
          </w:tcPr>
          <w:p w14:paraId="4DDF0D69"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11263F8" w14:textId="77777777" w:rsidR="00183F07" w:rsidRPr="00C57C0F" w:rsidRDefault="00183F07">
            <w:pPr>
              <w:keepNext/>
              <w:ind w:firstLine="31"/>
              <w:jc w:val="center"/>
              <w:outlineLvl w:val="2"/>
              <w:rPr>
                <w:rFonts w:ascii="Cambria" w:hAnsi="Cambria" w:cstheme="minorHAnsi"/>
                <w:sz w:val="18"/>
                <w:szCs w:val="18"/>
              </w:rPr>
            </w:pPr>
          </w:p>
        </w:tc>
        <w:tc>
          <w:tcPr>
            <w:tcW w:w="1170" w:type="dxa"/>
            <w:vAlign w:val="center"/>
          </w:tcPr>
          <w:p w14:paraId="3991C702" w14:textId="77777777" w:rsidR="00183F07" w:rsidRPr="00C57C0F" w:rsidRDefault="00183F07">
            <w:pPr>
              <w:keepNext/>
              <w:tabs>
                <w:tab w:val="left" w:pos="177"/>
              </w:tabs>
              <w:ind w:firstLine="31"/>
              <w:jc w:val="center"/>
              <w:outlineLvl w:val="2"/>
              <w:rPr>
                <w:rFonts w:ascii="Cambria" w:hAnsi="Cambria" w:cstheme="minorHAnsi"/>
                <w:sz w:val="18"/>
                <w:szCs w:val="18"/>
              </w:rPr>
            </w:pPr>
            <w:r w:rsidRPr="00C57C0F">
              <w:rPr>
                <w:rFonts w:ascii="Cambria" w:hAnsi="Cambria" w:cstheme="minorHAnsi"/>
                <w:sz w:val="18"/>
                <w:szCs w:val="18"/>
              </w:rPr>
              <w:t>67%</w:t>
            </w:r>
          </w:p>
        </w:tc>
        <w:tc>
          <w:tcPr>
            <w:tcW w:w="1260" w:type="dxa"/>
            <w:vAlign w:val="center"/>
          </w:tcPr>
          <w:p w14:paraId="288C6E1F"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552F8202" w14:textId="77777777">
        <w:trPr>
          <w:cnfStyle w:val="000000100000" w:firstRow="0" w:lastRow="0" w:firstColumn="0" w:lastColumn="0" w:oddVBand="0" w:evenVBand="0" w:oddHBand="1" w:evenHBand="0" w:firstRowFirstColumn="0" w:firstRowLastColumn="0" w:lastRowFirstColumn="0" w:lastRowLastColumn="0"/>
          <w:trHeight w:hRule="exact" w:val="1260"/>
          <w:jc w:val="center"/>
        </w:trPr>
        <w:tc>
          <w:tcPr>
            <w:tcW w:w="1620" w:type="dxa"/>
            <w:vAlign w:val="center"/>
          </w:tcPr>
          <w:p w14:paraId="1D3189F7" w14:textId="77777777" w:rsidR="00183F07" w:rsidRPr="00183F07" w:rsidRDefault="00183F07" w:rsidP="00933F91">
            <w:pPr>
              <w:numPr>
                <w:ilvl w:val="0"/>
                <w:numId w:val="70"/>
              </w:numPr>
              <w:tabs>
                <w:tab w:val="num" w:pos="522"/>
              </w:tabs>
              <w:ind w:firstLine="0"/>
              <w:jc w:val="both"/>
              <w:rPr>
                <w:rFonts w:ascii="Cambria" w:hAnsi="Cambria" w:cstheme="minorHAnsi"/>
                <w:sz w:val="18"/>
                <w:szCs w:val="18"/>
                <w:lang w:val="es-AR"/>
              </w:rPr>
            </w:pPr>
            <w:r w:rsidRPr="00183F07">
              <w:rPr>
                <w:rFonts w:ascii="Cambria" w:hAnsi="Cambria" w:cstheme="minorHAnsi"/>
                <w:sz w:val="18"/>
                <w:szCs w:val="18"/>
                <w:lang w:val="es-AR"/>
              </w:rPr>
              <w:t>Case 12.631, Report No. 61/13, Karina Montenegro et al. (Ecuador)</w:t>
            </w:r>
          </w:p>
        </w:tc>
        <w:tc>
          <w:tcPr>
            <w:tcW w:w="1170" w:type="dxa"/>
            <w:vMerge/>
            <w:shd w:val="clear" w:color="auto" w:fill="F2F2F2" w:themeFill="background1" w:themeFillShade="F2"/>
            <w:vAlign w:val="center"/>
          </w:tcPr>
          <w:p w14:paraId="10869B61" w14:textId="77777777" w:rsidR="00183F07" w:rsidRPr="00183F07" w:rsidRDefault="00183F07">
            <w:pPr>
              <w:jc w:val="center"/>
              <w:rPr>
                <w:rFonts w:ascii="Cambria" w:hAnsi="Cambria" w:cstheme="minorHAnsi"/>
                <w:sz w:val="18"/>
                <w:szCs w:val="18"/>
                <w:lang w:val="es-AR"/>
              </w:rPr>
            </w:pPr>
          </w:p>
        </w:tc>
        <w:tc>
          <w:tcPr>
            <w:tcW w:w="1350" w:type="dxa"/>
            <w:vAlign w:val="center"/>
          </w:tcPr>
          <w:p w14:paraId="17039921" w14:textId="77777777" w:rsidR="00183F07" w:rsidRPr="00183F07" w:rsidRDefault="00183F07">
            <w:pPr>
              <w:jc w:val="center"/>
              <w:rPr>
                <w:rFonts w:ascii="Cambria" w:hAnsi="Cambria" w:cstheme="minorHAnsi"/>
                <w:sz w:val="18"/>
                <w:szCs w:val="18"/>
                <w:lang w:val="es-AR"/>
              </w:rPr>
            </w:pPr>
          </w:p>
        </w:tc>
        <w:tc>
          <w:tcPr>
            <w:tcW w:w="1170" w:type="dxa"/>
            <w:vAlign w:val="center"/>
          </w:tcPr>
          <w:p w14:paraId="00164602"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18864FC" w14:textId="77777777" w:rsidR="00183F07" w:rsidRPr="00C57C0F" w:rsidRDefault="00183F07">
            <w:pPr>
              <w:keepNext/>
              <w:ind w:firstLine="31"/>
              <w:jc w:val="center"/>
              <w:outlineLvl w:val="2"/>
              <w:rPr>
                <w:rFonts w:ascii="Cambria" w:hAnsi="Cambria" w:cstheme="minorHAnsi"/>
                <w:sz w:val="18"/>
                <w:szCs w:val="18"/>
              </w:rPr>
            </w:pPr>
          </w:p>
        </w:tc>
        <w:tc>
          <w:tcPr>
            <w:tcW w:w="1170" w:type="dxa"/>
            <w:vAlign w:val="center"/>
          </w:tcPr>
          <w:p w14:paraId="18970279" w14:textId="77777777" w:rsidR="00183F07" w:rsidRPr="00C57C0F" w:rsidRDefault="00183F07">
            <w:pPr>
              <w:keepNext/>
              <w:tabs>
                <w:tab w:val="left" w:pos="177"/>
              </w:tabs>
              <w:ind w:firstLine="31"/>
              <w:jc w:val="center"/>
              <w:outlineLvl w:val="2"/>
              <w:rPr>
                <w:rFonts w:ascii="Cambria" w:hAnsi="Cambria" w:cstheme="minorHAnsi"/>
                <w:sz w:val="18"/>
                <w:szCs w:val="18"/>
              </w:rPr>
            </w:pPr>
            <w:r w:rsidRPr="00C57C0F">
              <w:rPr>
                <w:rFonts w:ascii="Cambria" w:hAnsi="Cambria" w:cstheme="minorHAnsi"/>
                <w:sz w:val="18"/>
                <w:szCs w:val="18"/>
              </w:rPr>
              <w:t>45%</w:t>
            </w:r>
          </w:p>
        </w:tc>
        <w:tc>
          <w:tcPr>
            <w:tcW w:w="1260" w:type="dxa"/>
            <w:vAlign w:val="center"/>
          </w:tcPr>
          <w:p w14:paraId="7446A4D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5D4FB5D7" w14:textId="77777777">
        <w:trPr>
          <w:cnfStyle w:val="000000010000" w:firstRow="0" w:lastRow="0" w:firstColumn="0" w:lastColumn="0" w:oddVBand="0" w:evenVBand="0" w:oddHBand="0" w:evenHBand="1" w:firstRowFirstColumn="0" w:firstRowLastColumn="0" w:lastRowFirstColumn="0" w:lastRowLastColumn="0"/>
          <w:trHeight w:val="1377"/>
          <w:jc w:val="center"/>
        </w:trPr>
        <w:tc>
          <w:tcPr>
            <w:tcW w:w="1620" w:type="dxa"/>
            <w:vAlign w:val="center"/>
          </w:tcPr>
          <w:p w14:paraId="1A9B6AC2" w14:textId="77777777" w:rsidR="00183F07" w:rsidRPr="00352AC9" w:rsidRDefault="00183F07" w:rsidP="00933F91">
            <w:pPr>
              <w:numPr>
                <w:ilvl w:val="0"/>
                <w:numId w:val="70"/>
              </w:numPr>
              <w:tabs>
                <w:tab w:val="num" w:pos="522"/>
              </w:tabs>
              <w:snapToGrid w:val="0"/>
              <w:ind w:firstLine="0"/>
              <w:jc w:val="both"/>
              <w:rPr>
                <w:rFonts w:ascii="Cambria" w:hAnsi="Cambria" w:cstheme="minorHAnsi"/>
                <w:sz w:val="18"/>
                <w:szCs w:val="18"/>
                <w:lang w:val="es-AR"/>
              </w:rPr>
            </w:pPr>
            <w:r w:rsidRPr="00352AC9">
              <w:rPr>
                <w:rFonts w:ascii="Cambria" w:hAnsi="Cambria" w:cstheme="minorHAnsi"/>
                <w:sz w:val="18"/>
                <w:szCs w:val="18"/>
                <w:lang w:val="es-AR"/>
              </w:rPr>
              <w:t>Case 12.957, Report No. 167/18, Luis Bolívar Hernández Peñaherrera (Ecuador)</w:t>
            </w:r>
            <w:r w:rsidRPr="00C57C0F">
              <w:rPr>
                <w:rStyle w:val="FootnoteReference"/>
                <w:rFonts w:ascii="Cambria" w:hAnsi="Cambria" w:cstheme="minorHAnsi"/>
                <w:sz w:val="18"/>
                <w:szCs w:val="18"/>
              </w:rPr>
              <w:footnoteReference w:id="70"/>
            </w:r>
          </w:p>
        </w:tc>
        <w:tc>
          <w:tcPr>
            <w:tcW w:w="1170" w:type="dxa"/>
            <w:vMerge/>
            <w:shd w:val="clear" w:color="auto" w:fill="F2F2F2" w:themeFill="background1" w:themeFillShade="F2"/>
            <w:vAlign w:val="center"/>
          </w:tcPr>
          <w:p w14:paraId="575B5AC2" w14:textId="77777777" w:rsidR="00183F07" w:rsidRPr="00352AC9" w:rsidRDefault="00183F07">
            <w:pPr>
              <w:jc w:val="center"/>
              <w:rPr>
                <w:rFonts w:ascii="Cambria" w:hAnsi="Cambria" w:cstheme="minorHAnsi"/>
                <w:color w:val="1F497D"/>
                <w:sz w:val="18"/>
                <w:szCs w:val="18"/>
                <w:lang w:val="es-AR"/>
              </w:rPr>
            </w:pPr>
          </w:p>
        </w:tc>
        <w:tc>
          <w:tcPr>
            <w:tcW w:w="1350" w:type="dxa"/>
            <w:vAlign w:val="center"/>
          </w:tcPr>
          <w:p w14:paraId="66B5ACDA" w14:textId="77777777" w:rsidR="00183F07" w:rsidRPr="00C57C0F" w:rsidRDefault="00183F07">
            <w:pPr>
              <w:ind w:firstLine="720"/>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2B50202" w14:textId="77777777" w:rsidR="00183F07" w:rsidRPr="00C57C0F" w:rsidRDefault="00183F07">
            <w:pPr>
              <w:jc w:val="center"/>
              <w:rPr>
                <w:rFonts w:ascii="Cambria" w:hAnsi="Cambria" w:cstheme="minorHAnsi"/>
                <w:sz w:val="18"/>
                <w:szCs w:val="18"/>
              </w:rPr>
            </w:pPr>
          </w:p>
        </w:tc>
        <w:tc>
          <w:tcPr>
            <w:tcW w:w="1170" w:type="dxa"/>
            <w:vAlign w:val="center"/>
          </w:tcPr>
          <w:p w14:paraId="551AE642"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04006286"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1DD05B6A"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183F07" w:rsidRPr="00C57C0F" w14:paraId="199DDF2A" w14:textId="77777777">
        <w:trPr>
          <w:cnfStyle w:val="000000100000" w:firstRow="0" w:lastRow="0" w:firstColumn="0" w:lastColumn="0" w:oddVBand="0" w:evenVBand="0" w:oddHBand="1" w:evenHBand="0" w:firstRowFirstColumn="0" w:firstRowLastColumn="0" w:lastRowFirstColumn="0" w:lastRowLastColumn="0"/>
          <w:trHeight w:val="639"/>
          <w:jc w:val="center"/>
        </w:trPr>
        <w:tc>
          <w:tcPr>
            <w:tcW w:w="1620" w:type="dxa"/>
            <w:vAlign w:val="center"/>
          </w:tcPr>
          <w:p w14:paraId="55FFEC1F" w14:textId="77777777" w:rsidR="00183F07" w:rsidRPr="00352AC9" w:rsidRDefault="00183F07" w:rsidP="00933F91">
            <w:pPr>
              <w:numPr>
                <w:ilvl w:val="0"/>
                <w:numId w:val="70"/>
              </w:numPr>
              <w:tabs>
                <w:tab w:val="num" w:pos="522"/>
              </w:tabs>
              <w:snapToGrid w:val="0"/>
              <w:ind w:firstLine="0"/>
              <w:jc w:val="both"/>
              <w:rPr>
                <w:rFonts w:ascii="Cambria" w:hAnsi="Cambria" w:cstheme="minorHAnsi"/>
                <w:sz w:val="18"/>
                <w:szCs w:val="18"/>
                <w:lang w:val="es-AR"/>
              </w:rPr>
            </w:pPr>
            <w:r w:rsidRPr="00352AC9">
              <w:rPr>
                <w:rFonts w:ascii="Cambria" w:hAnsi="Cambria" w:cstheme="minorHAnsi"/>
                <w:sz w:val="18"/>
                <w:szCs w:val="18"/>
                <w:lang w:val="es-AR"/>
              </w:rPr>
              <w:t>Case 11.626 A, Report No. 81/20, Fredy Oreste Cañola Valencia (Ecuador)</w:t>
            </w:r>
            <w:r w:rsidRPr="00C57C0F">
              <w:rPr>
                <w:rFonts w:ascii="Cambria" w:hAnsi="Cambria" w:cstheme="minorHAnsi"/>
                <w:sz w:val="18"/>
                <w:szCs w:val="18"/>
                <w:vertAlign w:val="superscript"/>
              </w:rPr>
              <w:footnoteReference w:id="71"/>
            </w:r>
          </w:p>
        </w:tc>
        <w:tc>
          <w:tcPr>
            <w:tcW w:w="1170" w:type="dxa"/>
            <w:vMerge/>
            <w:shd w:val="clear" w:color="auto" w:fill="F2F2F2" w:themeFill="background1" w:themeFillShade="F2"/>
            <w:vAlign w:val="center"/>
          </w:tcPr>
          <w:p w14:paraId="56123422" w14:textId="77777777" w:rsidR="00183F07" w:rsidRPr="00352AC9" w:rsidRDefault="00183F07">
            <w:pPr>
              <w:jc w:val="center"/>
              <w:rPr>
                <w:rFonts w:ascii="Cambria" w:hAnsi="Cambria" w:cstheme="minorHAnsi"/>
                <w:color w:val="1F497D"/>
                <w:sz w:val="18"/>
                <w:szCs w:val="18"/>
                <w:lang w:val="es-AR"/>
              </w:rPr>
            </w:pPr>
          </w:p>
        </w:tc>
        <w:tc>
          <w:tcPr>
            <w:tcW w:w="1350" w:type="dxa"/>
            <w:vAlign w:val="center"/>
          </w:tcPr>
          <w:p w14:paraId="1366D226" w14:textId="77777777" w:rsidR="00183F07" w:rsidRPr="00352AC9" w:rsidRDefault="00183F07">
            <w:pPr>
              <w:ind w:firstLine="720"/>
              <w:jc w:val="center"/>
              <w:rPr>
                <w:rFonts w:ascii="Cambria" w:hAnsi="Cambria" w:cstheme="minorHAnsi"/>
                <w:sz w:val="18"/>
                <w:szCs w:val="18"/>
                <w:lang w:val="es-AR"/>
              </w:rPr>
            </w:pPr>
          </w:p>
        </w:tc>
        <w:tc>
          <w:tcPr>
            <w:tcW w:w="1170" w:type="dxa"/>
            <w:vAlign w:val="center"/>
          </w:tcPr>
          <w:p w14:paraId="6A98AE74"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E69903F"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32CFC79C"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67%</w:t>
            </w:r>
          </w:p>
        </w:tc>
        <w:tc>
          <w:tcPr>
            <w:tcW w:w="1260" w:type="dxa"/>
            <w:vAlign w:val="center"/>
          </w:tcPr>
          <w:p w14:paraId="682975E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073B94A6" w14:textId="77777777">
        <w:trPr>
          <w:cnfStyle w:val="000000010000" w:firstRow="0" w:lastRow="0" w:firstColumn="0" w:lastColumn="0" w:oddVBand="0" w:evenVBand="0" w:oddHBand="0" w:evenHBand="1" w:firstRowFirstColumn="0" w:firstRowLastColumn="0" w:lastRowFirstColumn="0" w:lastRowLastColumn="0"/>
          <w:trHeight w:val="585"/>
          <w:jc w:val="center"/>
        </w:trPr>
        <w:tc>
          <w:tcPr>
            <w:tcW w:w="1620" w:type="dxa"/>
            <w:vAlign w:val="center"/>
          </w:tcPr>
          <w:p w14:paraId="58870E78" w14:textId="77777777" w:rsidR="00183F07" w:rsidRPr="00352AC9" w:rsidRDefault="00183F07" w:rsidP="00933F91">
            <w:pPr>
              <w:numPr>
                <w:ilvl w:val="0"/>
                <w:numId w:val="70"/>
              </w:numPr>
              <w:tabs>
                <w:tab w:val="num" w:pos="522"/>
              </w:tabs>
              <w:snapToGrid w:val="0"/>
              <w:ind w:firstLine="0"/>
              <w:jc w:val="both"/>
              <w:rPr>
                <w:rFonts w:ascii="Cambria" w:hAnsi="Cambria" w:cstheme="minorHAnsi"/>
                <w:sz w:val="18"/>
                <w:szCs w:val="18"/>
                <w:lang w:val="es-AR"/>
              </w:rPr>
            </w:pPr>
            <w:r w:rsidRPr="00352AC9">
              <w:rPr>
                <w:rFonts w:ascii="Cambria" w:hAnsi="Cambria" w:cstheme="minorHAnsi"/>
                <w:sz w:val="18"/>
                <w:szCs w:val="18"/>
                <w:lang w:val="es-AR"/>
              </w:rPr>
              <w:t>Case 11.626 B, Report No. 82/20, Luis Enrique Cañola Valencia (Ecuador)</w:t>
            </w:r>
            <w:r w:rsidRPr="00352AC9">
              <w:rPr>
                <w:rFonts w:ascii="Cambria" w:hAnsi="Cambria" w:cstheme="minorHAnsi"/>
                <w:sz w:val="18"/>
                <w:szCs w:val="18"/>
                <w:vertAlign w:val="superscript"/>
                <w:lang w:val="es-AR"/>
              </w:rPr>
              <w:t xml:space="preserve"> </w:t>
            </w:r>
            <w:r w:rsidRPr="00C57C0F">
              <w:rPr>
                <w:rFonts w:ascii="Cambria" w:hAnsi="Cambria" w:cstheme="minorHAnsi"/>
                <w:sz w:val="18"/>
                <w:szCs w:val="18"/>
                <w:vertAlign w:val="superscript"/>
              </w:rPr>
              <w:footnoteReference w:id="72"/>
            </w:r>
          </w:p>
        </w:tc>
        <w:tc>
          <w:tcPr>
            <w:tcW w:w="1170" w:type="dxa"/>
            <w:vMerge/>
            <w:shd w:val="clear" w:color="auto" w:fill="F2F2F2" w:themeFill="background1" w:themeFillShade="F2"/>
            <w:vAlign w:val="center"/>
          </w:tcPr>
          <w:p w14:paraId="504304FC" w14:textId="77777777" w:rsidR="00183F07" w:rsidRPr="00352AC9" w:rsidRDefault="00183F07">
            <w:pPr>
              <w:jc w:val="center"/>
              <w:rPr>
                <w:rFonts w:ascii="Cambria" w:hAnsi="Cambria" w:cstheme="minorHAnsi"/>
                <w:color w:val="1F497D"/>
                <w:sz w:val="18"/>
                <w:szCs w:val="18"/>
                <w:lang w:val="es-AR"/>
              </w:rPr>
            </w:pPr>
          </w:p>
        </w:tc>
        <w:tc>
          <w:tcPr>
            <w:tcW w:w="1350" w:type="dxa"/>
            <w:vAlign w:val="center"/>
          </w:tcPr>
          <w:p w14:paraId="362306E6" w14:textId="77777777" w:rsidR="00183F07" w:rsidRPr="00352AC9" w:rsidRDefault="00183F07">
            <w:pPr>
              <w:ind w:firstLine="720"/>
              <w:jc w:val="center"/>
              <w:rPr>
                <w:rFonts w:ascii="Cambria" w:hAnsi="Cambria" w:cstheme="minorHAnsi"/>
                <w:sz w:val="18"/>
                <w:szCs w:val="18"/>
                <w:lang w:val="es-AR"/>
              </w:rPr>
            </w:pPr>
          </w:p>
        </w:tc>
        <w:tc>
          <w:tcPr>
            <w:tcW w:w="1170" w:type="dxa"/>
            <w:vAlign w:val="center"/>
          </w:tcPr>
          <w:p w14:paraId="78CC66BD"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48E61E9"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754F0E38"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67%</w:t>
            </w:r>
          </w:p>
        </w:tc>
        <w:tc>
          <w:tcPr>
            <w:tcW w:w="1260" w:type="dxa"/>
            <w:vAlign w:val="center"/>
          </w:tcPr>
          <w:p w14:paraId="74E16DB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513C62AA" w14:textId="77777777">
        <w:trPr>
          <w:cnfStyle w:val="000000100000" w:firstRow="0" w:lastRow="0" w:firstColumn="0" w:lastColumn="0" w:oddVBand="0" w:evenVBand="0" w:oddHBand="1" w:evenHBand="0" w:firstRowFirstColumn="0" w:firstRowLastColumn="0" w:lastRowFirstColumn="0" w:lastRowLastColumn="0"/>
          <w:trHeight w:val="936"/>
          <w:jc w:val="center"/>
        </w:trPr>
        <w:tc>
          <w:tcPr>
            <w:tcW w:w="1620" w:type="dxa"/>
            <w:vAlign w:val="center"/>
          </w:tcPr>
          <w:p w14:paraId="13C26592" w14:textId="77777777" w:rsidR="00183F07" w:rsidRPr="00352AC9" w:rsidRDefault="00183F07" w:rsidP="00933F91">
            <w:pPr>
              <w:numPr>
                <w:ilvl w:val="0"/>
                <w:numId w:val="70"/>
              </w:numPr>
              <w:tabs>
                <w:tab w:val="num" w:pos="522"/>
              </w:tabs>
              <w:snapToGrid w:val="0"/>
              <w:ind w:firstLine="0"/>
              <w:jc w:val="both"/>
              <w:rPr>
                <w:rFonts w:ascii="Cambria" w:hAnsi="Cambria" w:cstheme="minorHAnsi"/>
                <w:sz w:val="18"/>
                <w:szCs w:val="18"/>
                <w:lang w:val="es-AR"/>
              </w:rPr>
            </w:pPr>
            <w:r w:rsidRPr="00352AC9">
              <w:rPr>
                <w:rFonts w:ascii="Cambria" w:hAnsi="Cambria" w:cstheme="minorHAnsi"/>
                <w:sz w:val="18"/>
                <w:szCs w:val="18"/>
                <w:lang w:val="es-AR"/>
              </w:rPr>
              <w:t xml:space="preserve">Case 11.626 C, Report No. 83/20, Santo Enrique Cañola </w:t>
            </w:r>
            <w:r w:rsidRPr="00352AC9">
              <w:rPr>
                <w:rFonts w:ascii="Cambria" w:hAnsi="Cambria" w:cstheme="minorHAnsi"/>
                <w:sz w:val="18"/>
                <w:szCs w:val="18"/>
                <w:lang w:val="es-AR"/>
              </w:rPr>
              <w:lastRenderedPageBreak/>
              <w:t>González (Ecuador)</w:t>
            </w:r>
            <w:r w:rsidRPr="00352AC9">
              <w:rPr>
                <w:rFonts w:ascii="Cambria" w:hAnsi="Cambria" w:cstheme="minorHAnsi"/>
                <w:sz w:val="18"/>
                <w:szCs w:val="18"/>
                <w:vertAlign w:val="superscript"/>
                <w:lang w:val="es-AR"/>
              </w:rPr>
              <w:t xml:space="preserve"> </w:t>
            </w:r>
            <w:r w:rsidRPr="00C57C0F">
              <w:rPr>
                <w:rFonts w:ascii="Cambria" w:hAnsi="Cambria" w:cstheme="minorHAnsi"/>
                <w:sz w:val="18"/>
                <w:szCs w:val="18"/>
                <w:vertAlign w:val="superscript"/>
              </w:rPr>
              <w:footnoteReference w:id="73"/>
            </w:r>
          </w:p>
        </w:tc>
        <w:tc>
          <w:tcPr>
            <w:tcW w:w="1170" w:type="dxa"/>
            <w:vMerge/>
            <w:shd w:val="clear" w:color="auto" w:fill="F2F2F2" w:themeFill="background1" w:themeFillShade="F2"/>
            <w:vAlign w:val="center"/>
          </w:tcPr>
          <w:p w14:paraId="23BF4D89" w14:textId="77777777" w:rsidR="00183F07" w:rsidRPr="00352AC9" w:rsidRDefault="00183F07">
            <w:pPr>
              <w:jc w:val="center"/>
              <w:rPr>
                <w:rFonts w:ascii="Cambria" w:hAnsi="Cambria" w:cstheme="minorHAnsi"/>
                <w:color w:val="1F497D"/>
                <w:sz w:val="18"/>
                <w:szCs w:val="18"/>
                <w:lang w:val="es-AR"/>
              </w:rPr>
            </w:pPr>
          </w:p>
        </w:tc>
        <w:tc>
          <w:tcPr>
            <w:tcW w:w="1350" w:type="dxa"/>
            <w:vAlign w:val="center"/>
          </w:tcPr>
          <w:p w14:paraId="7D0E3CC9" w14:textId="77777777" w:rsidR="00183F07" w:rsidRPr="00352AC9" w:rsidRDefault="00183F07">
            <w:pPr>
              <w:ind w:firstLine="720"/>
              <w:jc w:val="center"/>
              <w:rPr>
                <w:rFonts w:ascii="Cambria" w:hAnsi="Cambria" w:cstheme="minorHAnsi"/>
                <w:sz w:val="18"/>
                <w:szCs w:val="18"/>
                <w:lang w:val="es-AR"/>
              </w:rPr>
            </w:pPr>
          </w:p>
        </w:tc>
        <w:tc>
          <w:tcPr>
            <w:tcW w:w="1170" w:type="dxa"/>
            <w:vAlign w:val="center"/>
          </w:tcPr>
          <w:p w14:paraId="263ED7D1"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3EA3CE0"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5C2E2FF2"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67%</w:t>
            </w:r>
          </w:p>
        </w:tc>
        <w:tc>
          <w:tcPr>
            <w:tcW w:w="1260" w:type="dxa"/>
            <w:vAlign w:val="center"/>
          </w:tcPr>
          <w:p w14:paraId="72F23732"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49346BCD" w14:textId="77777777">
        <w:trPr>
          <w:cnfStyle w:val="000000010000" w:firstRow="0" w:lastRow="0" w:firstColumn="0" w:lastColumn="0" w:oddVBand="0" w:evenVBand="0" w:oddHBand="0" w:evenHBand="1" w:firstRowFirstColumn="0" w:firstRowLastColumn="0" w:lastRowFirstColumn="0" w:lastRowLastColumn="0"/>
          <w:trHeight w:val="1215"/>
          <w:jc w:val="center"/>
        </w:trPr>
        <w:tc>
          <w:tcPr>
            <w:tcW w:w="1620" w:type="dxa"/>
            <w:vAlign w:val="center"/>
          </w:tcPr>
          <w:p w14:paraId="14A1E402" w14:textId="77777777" w:rsidR="00183F07" w:rsidRPr="00C57C0F" w:rsidRDefault="00183F07" w:rsidP="00933F91">
            <w:pPr>
              <w:numPr>
                <w:ilvl w:val="0"/>
                <w:numId w:val="70"/>
              </w:numPr>
              <w:tabs>
                <w:tab w:val="num" w:pos="522"/>
              </w:tabs>
              <w:snapToGrid w:val="0"/>
              <w:ind w:firstLine="0"/>
              <w:jc w:val="both"/>
              <w:rPr>
                <w:rFonts w:ascii="Cambria" w:hAnsi="Cambria" w:cstheme="minorHAnsi"/>
                <w:sz w:val="18"/>
                <w:szCs w:val="18"/>
              </w:rPr>
            </w:pPr>
            <w:r w:rsidRPr="00C57C0F">
              <w:rPr>
                <w:rFonts w:ascii="Cambria" w:hAnsi="Cambria" w:cstheme="minorHAnsi"/>
                <w:sz w:val="18"/>
                <w:szCs w:val="18"/>
              </w:rPr>
              <w:t>Case 11.312, Report No. 66/03, Emilio Tec Pop (Guatemala)</w:t>
            </w:r>
          </w:p>
        </w:tc>
        <w:tc>
          <w:tcPr>
            <w:tcW w:w="1170" w:type="dxa"/>
            <w:vMerge w:val="restart"/>
            <w:vAlign w:val="center"/>
          </w:tcPr>
          <w:p w14:paraId="21B4E8CF" w14:textId="578972BE" w:rsidR="00183F07" w:rsidRPr="00C57C0F" w:rsidRDefault="0071198A">
            <w:pPr>
              <w:jc w:val="center"/>
              <w:rPr>
                <w:rFonts w:ascii="Cambria" w:hAnsi="Cambria" w:cstheme="minorHAnsi"/>
                <w:sz w:val="18"/>
                <w:szCs w:val="18"/>
              </w:rPr>
            </w:pPr>
            <w:hyperlink r:id="rId62" w:history="1">
              <w:r w:rsidR="00183F07" w:rsidRPr="000D208A">
                <w:rPr>
                  <w:rStyle w:val="Hyperlink"/>
                  <w:rFonts w:ascii="Cambria" w:eastAsiaTheme="minorHAnsi" w:hAnsi="Cambria" w:cstheme="minorHAnsi"/>
                  <w:sz w:val="18"/>
                  <w:szCs w:val="18"/>
                </w:rPr>
                <w:t>Link to monitoring sheets on matters related to reports of friendly settlement agreements of Guatemala that are subject to monitoring</w:t>
              </w:r>
            </w:hyperlink>
            <w:r w:rsidR="00183F07" w:rsidRPr="00C57C0F">
              <w:rPr>
                <w:rFonts w:ascii="Cambria" w:hAnsi="Cambria" w:cstheme="minorHAnsi"/>
                <w:sz w:val="18"/>
                <w:szCs w:val="18"/>
              </w:rPr>
              <w:t xml:space="preserve"> </w:t>
            </w:r>
          </w:p>
        </w:tc>
        <w:tc>
          <w:tcPr>
            <w:tcW w:w="1350" w:type="dxa"/>
            <w:vAlign w:val="center"/>
          </w:tcPr>
          <w:p w14:paraId="34541D00" w14:textId="77777777" w:rsidR="00183F07" w:rsidRPr="00C57C0F" w:rsidRDefault="00183F07">
            <w:pPr>
              <w:ind w:firstLine="720"/>
              <w:jc w:val="center"/>
              <w:rPr>
                <w:rFonts w:ascii="Cambria" w:hAnsi="Cambria" w:cstheme="minorHAnsi"/>
                <w:sz w:val="18"/>
                <w:szCs w:val="18"/>
              </w:rPr>
            </w:pPr>
          </w:p>
        </w:tc>
        <w:tc>
          <w:tcPr>
            <w:tcW w:w="1170" w:type="dxa"/>
            <w:vAlign w:val="center"/>
          </w:tcPr>
          <w:p w14:paraId="19E94DA3"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6542861" w14:textId="77777777" w:rsidR="00183F07" w:rsidRPr="00C57C0F" w:rsidRDefault="00183F07">
            <w:pPr>
              <w:keepNext/>
              <w:ind w:firstLine="720"/>
              <w:jc w:val="center"/>
              <w:outlineLvl w:val="2"/>
              <w:rPr>
                <w:rFonts w:ascii="Cambria" w:hAnsi="Cambria" w:cstheme="minorHAnsi"/>
                <w:sz w:val="18"/>
                <w:szCs w:val="18"/>
              </w:rPr>
            </w:pPr>
          </w:p>
        </w:tc>
        <w:tc>
          <w:tcPr>
            <w:tcW w:w="1170" w:type="dxa"/>
            <w:vAlign w:val="center"/>
          </w:tcPr>
          <w:p w14:paraId="059DD3A1"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67%</w:t>
            </w:r>
          </w:p>
        </w:tc>
        <w:tc>
          <w:tcPr>
            <w:tcW w:w="1260" w:type="dxa"/>
            <w:vAlign w:val="center"/>
          </w:tcPr>
          <w:p w14:paraId="12CC786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1A123C4D" w14:textId="77777777">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7B186386"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11.766, Report No. 67/03, Irma Flaquer (Guatemala)</w:t>
            </w:r>
          </w:p>
        </w:tc>
        <w:tc>
          <w:tcPr>
            <w:tcW w:w="1170" w:type="dxa"/>
            <w:vMerge/>
            <w:vAlign w:val="center"/>
          </w:tcPr>
          <w:p w14:paraId="71AEF387" w14:textId="77777777" w:rsidR="00183F07" w:rsidRPr="00C57C0F" w:rsidRDefault="00183F07">
            <w:pPr>
              <w:jc w:val="center"/>
              <w:rPr>
                <w:rFonts w:ascii="Cambria" w:hAnsi="Cambria" w:cstheme="minorHAnsi"/>
                <w:sz w:val="18"/>
                <w:szCs w:val="18"/>
              </w:rPr>
            </w:pPr>
          </w:p>
        </w:tc>
        <w:tc>
          <w:tcPr>
            <w:tcW w:w="1350" w:type="dxa"/>
            <w:vAlign w:val="center"/>
          </w:tcPr>
          <w:p w14:paraId="5FC178F4" w14:textId="77777777" w:rsidR="00183F07" w:rsidRPr="00C57C0F" w:rsidRDefault="00183F07">
            <w:pPr>
              <w:jc w:val="center"/>
              <w:rPr>
                <w:rFonts w:ascii="Cambria" w:hAnsi="Cambria" w:cstheme="minorHAnsi"/>
                <w:sz w:val="18"/>
                <w:szCs w:val="18"/>
              </w:rPr>
            </w:pPr>
          </w:p>
        </w:tc>
        <w:tc>
          <w:tcPr>
            <w:tcW w:w="1170" w:type="dxa"/>
            <w:vAlign w:val="center"/>
          </w:tcPr>
          <w:p w14:paraId="1C4A0CA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FD4E8C4"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05F28F95"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92%</w:t>
            </w:r>
          </w:p>
        </w:tc>
        <w:tc>
          <w:tcPr>
            <w:tcW w:w="1260" w:type="dxa"/>
            <w:vAlign w:val="center"/>
          </w:tcPr>
          <w:p w14:paraId="457AFB94"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2E091C8B" w14:textId="77777777">
        <w:trPr>
          <w:cnfStyle w:val="000000010000" w:firstRow="0" w:lastRow="0" w:firstColumn="0" w:lastColumn="0" w:oddVBand="0" w:evenVBand="0" w:oddHBand="0" w:evenHBand="1" w:firstRowFirstColumn="0" w:firstRowLastColumn="0" w:lastRowFirstColumn="0" w:lastRowLastColumn="0"/>
          <w:trHeight w:val="1224"/>
          <w:jc w:val="center"/>
        </w:trPr>
        <w:tc>
          <w:tcPr>
            <w:tcW w:w="1620" w:type="dxa"/>
            <w:vAlign w:val="center"/>
          </w:tcPr>
          <w:p w14:paraId="48A02027" w14:textId="77777777" w:rsidR="00183F07" w:rsidRPr="00C57C0F" w:rsidRDefault="00183F07" w:rsidP="00933F91">
            <w:pPr>
              <w:numPr>
                <w:ilvl w:val="0"/>
                <w:numId w:val="70"/>
              </w:numPr>
              <w:tabs>
                <w:tab w:val="num" w:pos="522"/>
              </w:tabs>
              <w:snapToGrid w:val="0"/>
              <w:ind w:firstLine="0"/>
              <w:jc w:val="both"/>
              <w:rPr>
                <w:rFonts w:ascii="Cambria" w:hAnsi="Cambria" w:cstheme="minorHAnsi"/>
                <w:sz w:val="18"/>
                <w:szCs w:val="18"/>
              </w:rPr>
            </w:pPr>
            <w:r w:rsidRPr="00C57C0F">
              <w:rPr>
                <w:rFonts w:ascii="Cambria" w:hAnsi="Cambria" w:cstheme="minorHAnsi"/>
                <w:sz w:val="18"/>
                <w:szCs w:val="18"/>
              </w:rPr>
              <w:t>Case 11.197, Report No. 68/03, Community of San Vicente de los Cimientos (Guatemala)</w:t>
            </w:r>
          </w:p>
        </w:tc>
        <w:tc>
          <w:tcPr>
            <w:tcW w:w="1170" w:type="dxa"/>
            <w:vMerge/>
            <w:vAlign w:val="center"/>
          </w:tcPr>
          <w:p w14:paraId="41FE4B43" w14:textId="77777777" w:rsidR="00183F07" w:rsidRPr="00C57C0F" w:rsidRDefault="00183F07">
            <w:pPr>
              <w:jc w:val="center"/>
              <w:rPr>
                <w:rFonts w:ascii="Cambria" w:hAnsi="Cambria" w:cstheme="minorHAnsi"/>
                <w:sz w:val="18"/>
                <w:szCs w:val="18"/>
              </w:rPr>
            </w:pPr>
          </w:p>
        </w:tc>
        <w:tc>
          <w:tcPr>
            <w:tcW w:w="1350" w:type="dxa"/>
            <w:vAlign w:val="center"/>
          </w:tcPr>
          <w:p w14:paraId="539A3409" w14:textId="77777777" w:rsidR="00183F07" w:rsidRPr="00C57C0F" w:rsidRDefault="00183F07">
            <w:pPr>
              <w:jc w:val="center"/>
              <w:rPr>
                <w:rFonts w:ascii="Cambria" w:hAnsi="Cambria" w:cstheme="minorHAnsi"/>
                <w:sz w:val="18"/>
                <w:szCs w:val="18"/>
              </w:rPr>
            </w:pPr>
          </w:p>
        </w:tc>
        <w:tc>
          <w:tcPr>
            <w:tcW w:w="1170" w:type="dxa"/>
            <w:vAlign w:val="center"/>
          </w:tcPr>
          <w:p w14:paraId="5DCB3048"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7083364"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70A8591E"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57%</w:t>
            </w:r>
          </w:p>
        </w:tc>
        <w:tc>
          <w:tcPr>
            <w:tcW w:w="1260" w:type="dxa"/>
            <w:vAlign w:val="center"/>
          </w:tcPr>
          <w:p w14:paraId="056FD348"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2BD48C25" w14:textId="77777777">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2E98BA7E"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pt-BR"/>
              </w:rPr>
            </w:pPr>
            <w:r w:rsidRPr="00352AC9">
              <w:rPr>
                <w:rFonts w:ascii="Cambria" w:hAnsi="Cambria" w:cstheme="minorHAnsi"/>
                <w:sz w:val="18"/>
                <w:szCs w:val="18"/>
                <w:lang w:val="pt-BR"/>
              </w:rPr>
              <w:t>Case 9.168, Report No. 29/04, Jorge Alberto Rosal Paz (Guatemala)</w:t>
            </w:r>
          </w:p>
        </w:tc>
        <w:tc>
          <w:tcPr>
            <w:tcW w:w="1170" w:type="dxa"/>
            <w:vMerge/>
            <w:vAlign w:val="center"/>
          </w:tcPr>
          <w:p w14:paraId="34373DE1" w14:textId="77777777" w:rsidR="00183F07" w:rsidRPr="00352AC9" w:rsidRDefault="00183F07">
            <w:pPr>
              <w:jc w:val="center"/>
              <w:rPr>
                <w:rFonts w:ascii="Cambria" w:hAnsi="Cambria" w:cstheme="minorHAnsi"/>
                <w:sz w:val="18"/>
                <w:szCs w:val="18"/>
                <w:lang w:val="pt-BR"/>
              </w:rPr>
            </w:pPr>
          </w:p>
        </w:tc>
        <w:tc>
          <w:tcPr>
            <w:tcW w:w="1350" w:type="dxa"/>
            <w:vAlign w:val="center"/>
          </w:tcPr>
          <w:p w14:paraId="464DACDE" w14:textId="77777777" w:rsidR="00183F07" w:rsidRPr="00352AC9" w:rsidRDefault="00183F07">
            <w:pPr>
              <w:jc w:val="center"/>
              <w:rPr>
                <w:rFonts w:ascii="Cambria" w:hAnsi="Cambria" w:cstheme="minorHAnsi"/>
                <w:sz w:val="18"/>
                <w:szCs w:val="18"/>
                <w:lang w:val="pt-BR"/>
              </w:rPr>
            </w:pPr>
          </w:p>
        </w:tc>
        <w:tc>
          <w:tcPr>
            <w:tcW w:w="1170" w:type="dxa"/>
            <w:vAlign w:val="center"/>
          </w:tcPr>
          <w:p w14:paraId="2CED891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FB19D16"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4BE42B62"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80%</w:t>
            </w:r>
          </w:p>
        </w:tc>
        <w:tc>
          <w:tcPr>
            <w:tcW w:w="1260" w:type="dxa"/>
            <w:vAlign w:val="center"/>
          </w:tcPr>
          <w:p w14:paraId="0B613901"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787984B2" w14:textId="77777777">
        <w:trPr>
          <w:cnfStyle w:val="000000010000" w:firstRow="0" w:lastRow="0" w:firstColumn="0" w:lastColumn="0" w:oddVBand="0" w:evenVBand="0" w:oddHBand="0" w:evenHBand="1" w:firstRowFirstColumn="0" w:firstRowLastColumn="0" w:lastRowFirstColumn="0" w:lastRowLastColumn="0"/>
          <w:trHeight w:val="882"/>
          <w:jc w:val="center"/>
        </w:trPr>
        <w:tc>
          <w:tcPr>
            <w:tcW w:w="1620" w:type="dxa"/>
            <w:vAlign w:val="center"/>
          </w:tcPr>
          <w:p w14:paraId="14112470" w14:textId="77777777" w:rsidR="00183F07" w:rsidRPr="00352AC9" w:rsidRDefault="00183F07" w:rsidP="00933F91">
            <w:pPr>
              <w:numPr>
                <w:ilvl w:val="0"/>
                <w:numId w:val="70"/>
              </w:numPr>
              <w:tabs>
                <w:tab w:val="num" w:pos="522"/>
              </w:tabs>
              <w:ind w:firstLine="0"/>
              <w:jc w:val="both"/>
              <w:rPr>
                <w:rFonts w:ascii="Cambria" w:hAnsi="Cambria" w:cstheme="minorHAnsi"/>
                <w:sz w:val="18"/>
                <w:szCs w:val="18"/>
                <w:lang w:val="pt-BR"/>
              </w:rPr>
            </w:pPr>
            <w:r w:rsidRPr="00352AC9">
              <w:rPr>
                <w:rFonts w:ascii="Cambria" w:hAnsi="Cambria" w:cstheme="minorHAnsi"/>
                <w:sz w:val="18"/>
                <w:szCs w:val="18"/>
                <w:lang w:val="pt-BR"/>
              </w:rPr>
              <w:t>Petition 133-04, Report No. 99/05, José Miguel Mérida Escobar (Guatemala)</w:t>
            </w:r>
            <w:r w:rsidRPr="00C57C0F">
              <w:rPr>
                <w:rStyle w:val="FootnoteReference"/>
                <w:rFonts w:ascii="Cambria" w:hAnsi="Cambria" w:cstheme="minorHAnsi"/>
                <w:sz w:val="18"/>
                <w:szCs w:val="18"/>
              </w:rPr>
              <w:footnoteReference w:id="74"/>
            </w:r>
          </w:p>
        </w:tc>
        <w:tc>
          <w:tcPr>
            <w:tcW w:w="1170" w:type="dxa"/>
            <w:vMerge/>
            <w:vAlign w:val="center"/>
          </w:tcPr>
          <w:p w14:paraId="70AF8A9E" w14:textId="77777777" w:rsidR="00183F07" w:rsidRPr="00352AC9" w:rsidRDefault="00183F07">
            <w:pPr>
              <w:jc w:val="center"/>
              <w:rPr>
                <w:rFonts w:ascii="Cambria" w:hAnsi="Cambria" w:cstheme="minorHAnsi"/>
                <w:sz w:val="18"/>
                <w:szCs w:val="18"/>
                <w:lang w:val="pt-BR"/>
              </w:rPr>
            </w:pPr>
          </w:p>
        </w:tc>
        <w:tc>
          <w:tcPr>
            <w:tcW w:w="1350" w:type="dxa"/>
            <w:vAlign w:val="center"/>
          </w:tcPr>
          <w:p w14:paraId="1965B681" w14:textId="77777777" w:rsidR="00183F07" w:rsidRPr="00352AC9" w:rsidRDefault="00183F07">
            <w:pPr>
              <w:jc w:val="center"/>
              <w:rPr>
                <w:rFonts w:ascii="Cambria" w:hAnsi="Cambria" w:cstheme="minorHAnsi"/>
                <w:sz w:val="18"/>
                <w:szCs w:val="18"/>
                <w:lang w:val="pt-BR"/>
              </w:rPr>
            </w:pPr>
          </w:p>
        </w:tc>
        <w:tc>
          <w:tcPr>
            <w:tcW w:w="1170" w:type="dxa"/>
            <w:vAlign w:val="center"/>
          </w:tcPr>
          <w:p w14:paraId="6E1723F0"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8CAAD6B"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626BA5D4"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89%</w:t>
            </w:r>
          </w:p>
        </w:tc>
        <w:tc>
          <w:tcPr>
            <w:tcW w:w="1260" w:type="dxa"/>
            <w:vAlign w:val="center"/>
          </w:tcPr>
          <w:p w14:paraId="56C5AC8D"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18125604" w14:textId="77777777">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68E49AF2"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11.422, Report No. 1/12, Mario Alioto López Sánchez (Guatemala)</w:t>
            </w:r>
          </w:p>
        </w:tc>
        <w:tc>
          <w:tcPr>
            <w:tcW w:w="1170" w:type="dxa"/>
            <w:vMerge/>
            <w:vAlign w:val="center"/>
          </w:tcPr>
          <w:p w14:paraId="2519208A" w14:textId="77777777" w:rsidR="00183F07" w:rsidRPr="00C57C0F" w:rsidRDefault="00183F07">
            <w:pPr>
              <w:jc w:val="center"/>
              <w:rPr>
                <w:rFonts w:ascii="Cambria" w:hAnsi="Cambria" w:cstheme="minorHAnsi"/>
                <w:sz w:val="18"/>
                <w:szCs w:val="18"/>
              </w:rPr>
            </w:pPr>
          </w:p>
        </w:tc>
        <w:tc>
          <w:tcPr>
            <w:tcW w:w="1350" w:type="dxa"/>
            <w:vAlign w:val="center"/>
          </w:tcPr>
          <w:p w14:paraId="500213D1"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7ABF0FEA" w14:textId="77777777" w:rsidR="00183F07" w:rsidRPr="00C57C0F" w:rsidRDefault="00183F07">
            <w:pPr>
              <w:jc w:val="center"/>
              <w:rPr>
                <w:rFonts w:ascii="Cambria" w:hAnsi="Cambria" w:cstheme="minorHAnsi"/>
                <w:sz w:val="18"/>
                <w:szCs w:val="18"/>
              </w:rPr>
            </w:pPr>
          </w:p>
        </w:tc>
        <w:tc>
          <w:tcPr>
            <w:tcW w:w="1170" w:type="dxa"/>
            <w:vAlign w:val="center"/>
          </w:tcPr>
          <w:p w14:paraId="0ED27FCB"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3C7D44EB"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100%</w:t>
            </w:r>
          </w:p>
        </w:tc>
        <w:tc>
          <w:tcPr>
            <w:tcW w:w="1260" w:type="dxa"/>
            <w:vAlign w:val="center"/>
          </w:tcPr>
          <w:p w14:paraId="2CC9D1BA" w14:textId="77777777" w:rsidR="00183F07" w:rsidRPr="00C57C0F" w:rsidRDefault="00183F07">
            <w:pPr>
              <w:ind w:hanging="18"/>
              <w:jc w:val="center"/>
              <w:rPr>
                <w:rFonts w:ascii="Cambria" w:hAnsi="Cambria"/>
                <w:sz w:val="18"/>
                <w:szCs w:val="18"/>
              </w:rPr>
            </w:pPr>
            <w:r w:rsidRPr="00C57C0F">
              <w:rPr>
                <w:rFonts w:ascii="Cambria" w:hAnsi="Cambria"/>
                <w:sz w:val="18"/>
                <w:szCs w:val="18"/>
              </w:rPr>
              <w:t>Closed</w:t>
            </w:r>
          </w:p>
          <w:p w14:paraId="557F84B1" w14:textId="77777777" w:rsidR="00183F07" w:rsidRPr="00C57C0F" w:rsidRDefault="00183F07">
            <w:pPr>
              <w:jc w:val="center"/>
              <w:rPr>
                <w:rFonts w:ascii="Cambria" w:hAnsi="Cambria" w:cstheme="minorHAnsi"/>
                <w:sz w:val="18"/>
                <w:szCs w:val="18"/>
              </w:rPr>
            </w:pPr>
            <w:r w:rsidRPr="00C57C0F">
              <w:rPr>
                <w:rFonts w:ascii="Cambria" w:hAnsi="Cambria"/>
                <w:sz w:val="18"/>
                <w:szCs w:val="18"/>
              </w:rPr>
              <w:t>2022</w:t>
            </w:r>
          </w:p>
        </w:tc>
      </w:tr>
      <w:tr w:rsidR="00183F07" w:rsidRPr="00C57C0F" w14:paraId="06269704" w14:textId="77777777">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127A9785"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 xml:space="preserve">Case 12,546, Report No. 30/12, Juan Jacobo Arbenz </w:t>
            </w:r>
            <w:r w:rsidRPr="00C57C0F">
              <w:rPr>
                <w:rFonts w:ascii="Cambria" w:hAnsi="Cambria" w:cstheme="minorHAnsi"/>
                <w:sz w:val="18"/>
                <w:szCs w:val="18"/>
              </w:rPr>
              <w:lastRenderedPageBreak/>
              <w:t>Guzmán (Guatemala)</w:t>
            </w:r>
            <w:r w:rsidRPr="00C57C0F">
              <w:rPr>
                <w:rStyle w:val="FootnoteReference"/>
                <w:rFonts w:ascii="Cambria" w:hAnsi="Cambria" w:cstheme="minorHAnsi"/>
                <w:sz w:val="18"/>
                <w:szCs w:val="18"/>
              </w:rPr>
              <w:footnoteReference w:id="75"/>
            </w:r>
          </w:p>
        </w:tc>
        <w:tc>
          <w:tcPr>
            <w:tcW w:w="1170" w:type="dxa"/>
            <w:vMerge/>
            <w:vAlign w:val="center"/>
          </w:tcPr>
          <w:p w14:paraId="04138869" w14:textId="77777777" w:rsidR="00183F07" w:rsidRPr="00C57C0F" w:rsidRDefault="00183F07">
            <w:pPr>
              <w:jc w:val="center"/>
              <w:rPr>
                <w:rFonts w:ascii="Cambria" w:hAnsi="Cambria" w:cstheme="minorHAnsi"/>
                <w:sz w:val="18"/>
                <w:szCs w:val="18"/>
              </w:rPr>
            </w:pPr>
          </w:p>
        </w:tc>
        <w:tc>
          <w:tcPr>
            <w:tcW w:w="1350" w:type="dxa"/>
            <w:vAlign w:val="center"/>
          </w:tcPr>
          <w:p w14:paraId="7C64D55E" w14:textId="77777777" w:rsidR="00183F07" w:rsidRPr="00C57C0F" w:rsidRDefault="00183F07">
            <w:pPr>
              <w:jc w:val="center"/>
              <w:rPr>
                <w:rFonts w:ascii="Cambria" w:hAnsi="Cambria" w:cstheme="minorHAnsi"/>
                <w:sz w:val="18"/>
                <w:szCs w:val="18"/>
              </w:rPr>
            </w:pPr>
          </w:p>
        </w:tc>
        <w:tc>
          <w:tcPr>
            <w:tcW w:w="1170" w:type="dxa"/>
            <w:vAlign w:val="center"/>
          </w:tcPr>
          <w:p w14:paraId="435A8450"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292D2FF"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55B5439F"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88%</w:t>
            </w:r>
          </w:p>
        </w:tc>
        <w:tc>
          <w:tcPr>
            <w:tcW w:w="1260" w:type="dxa"/>
            <w:vAlign w:val="center"/>
          </w:tcPr>
          <w:p w14:paraId="25F01371"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771E91B7" w14:textId="77777777">
        <w:trPr>
          <w:cnfStyle w:val="000000100000" w:firstRow="0" w:lastRow="0" w:firstColumn="0" w:lastColumn="0" w:oddVBand="0" w:evenVBand="0" w:oddHBand="1" w:evenHBand="0" w:firstRowFirstColumn="0" w:firstRowLastColumn="0" w:lastRowFirstColumn="0" w:lastRowLastColumn="0"/>
          <w:trHeight w:val="990"/>
          <w:jc w:val="center"/>
        </w:trPr>
        <w:tc>
          <w:tcPr>
            <w:tcW w:w="1620" w:type="dxa"/>
            <w:vAlign w:val="center"/>
          </w:tcPr>
          <w:p w14:paraId="117C3A70"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12.591, Report No. 123/12, Angelica Jeronimo Juárez (Guatemala)</w:t>
            </w:r>
            <w:r w:rsidRPr="00C57C0F">
              <w:rPr>
                <w:rFonts w:ascii="Cambria" w:hAnsi="Cambria" w:cstheme="minorHAnsi"/>
                <w:sz w:val="18"/>
                <w:szCs w:val="18"/>
                <w:vertAlign w:val="superscript"/>
              </w:rPr>
              <w:footnoteReference w:id="76"/>
            </w:r>
          </w:p>
        </w:tc>
        <w:tc>
          <w:tcPr>
            <w:tcW w:w="1170" w:type="dxa"/>
            <w:vMerge/>
            <w:vAlign w:val="center"/>
          </w:tcPr>
          <w:p w14:paraId="65DAA730" w14:textId="77777777" w:rsidR="00183F07" w:rsidRPr="00C57C0F" w:rsidRDefault="00183F07">
            <w:pPr>
              <w:jc w:val="center"/>
              <w:rPr>
                <w:rFonts w:ascii="Cambria" w:hAnsi="Cambria" w:cstheme="minorHAnsi"/>
                <w:sz w:val="18"/>
                <w:szCs w:val="18"/>
              </w:rPr>
            </w:pPr>
          </w:p>
        </w:tc>
        <w:tc>
          <w:tcPr>
            <w:tcW w:w="1350" w:type="dxa"/>
            <w:vAlign w:val="center"/>
          </w:tcPr>
          <w:p w14:paraId="104CC7BD"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C975554" w14:textId="77777777" w:rsidR="00183F07" w:rsidRPr="00C57C0F" w:rsidRDefault="00183F07">
            <w:pPr>
              <w:jc w:val="center"/>
              <w:rPr>
                <w:rFonts w:ascii="Cambria" w:hAnsi="Cambria" w:cstheme="minorHAnsi"/>
                <w:sz w:val="18"/>
                <w:szCs w:val="18"/>
              </w:rPr>
            </w:pPr>
          </w:p>
        </w:tc>
        <w:tc>
          <w:tcPr>
            <w:tcW w:w="1170" w:type="dxa"/>
            <w:vAlign w:val="center"/>
          </w:tcPr>
          <w:p w14:paraId="04B17626"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270E4262"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69157461"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83F07" w:rsidRPr="00C57C0F" w14:paraId="48185234" w14:textId="77777777">
        <w:trPr>
          <w:cnfStyle w:val="000000010000" w:firstRow="0" w:lastRow="0" w:firstColumn="0" w:lastColumn="0" w:oddVBand="0" w:evenVBand="0" w:oddHBand="0" w:evenHBand="1" w:firstRowFirstColumn="0" w:firstRowLastColumn="0" w:lastRowFirstColumn="0" w:lastRowLastColumn="0"/>
          <w:trHeight w:val="1116"/>
          <w:jc w:val="center"/>
        </w:trPr>
        <w:tc>
          <w:tcPr>
            <w:tcW w:w="1620" w:type="dxa"/>
            <w:vAlign w:val="center"/>
          </w:tcPr>
          <w:p w14:paraId="6AC90992" w14:textId="77777777" w:rsidR="00183F07" w:rsidRPr="00C57C0F" w:rsidRDefault="00183F07" w:rsidP="00933F91">
            <w:pPr>
              <w:numPr>
                <w:ilvl w:val="0"/>
                <w:numId w:val="70"/>
              </w:numPr>
              <w:tabs>
                <w:tab w:val="num" w:pos="522"/>
              </w:tabs>
              <w:ind w:firstLine="0"/>
              <w:jc w:val="both"/>
              <w:rPr>
                <w:rFonts w:ascii="Cambria" w:hAnsi="Cambria" w:cstheme="minorHAnsi"/>
                <w:sz w:val="18"/>
                <w:szCs w:val="18"/>
              </w:rPr>
            </w:pPr>
            <w:r w:rsidRPr="00352AC9">
              <w:rPr>
                <w:rFonts w:ascii="Cambria" w:hAnsi="Cambria" w:cstheme="minorHAnsi"/>
                <w:sz w:val="18"/>
                <w:szCs w:val="18"/>
                <w:lang w:val="es-AR"/>
              </w:rPr>
              <w:t xml:space="preserve">Petition 279-03, Report No. 39/15. Fredy Rolando Hernández Rodríguez et al. </w:t>
            </w:r>
            <w:r w:rsidRPr="00C57C0F">
              <w:rPr>
                <w:rFonts w:ascii="Cambria" w:hAnsi="Cambria" w:cstheme="minorHAnsi"/>
                <w:sz w:val="18"/>
                <w:szCs w:val="18"/>
              </w:rPr>
              <w:t>(Guatemala)</w:t>
            </w:r>
            <w:r w:rsidRPr="00C57C0F">
              <w:rPr>
                <w:rStyle w:val="FootnoteReference"/>
                <w:rFonts w:ascii="Cambria" w:hAnsi="Cambria" w:cstheme="minorHAnsi"/>
                <w:sz w:val="18"/>
                <w:szCs w:val="18"/>
              </w:rPr>
              <w:footnoteReference w:id="77"/>
            </w:r>
          </w:p>
        </w:tc>
        <w:tc>
          <w:tcPr>
            <w:tcW w:w="1170" w:type="dxa"/>
            <w:vMerge/>
            <w:vAlign w:val="center"/>
          </w:tcPr>
          <w:p w14:paraId="3D811C0D" w14:textId="77777777" w:rsidR="00183F07" w:rsidRPr="00C57C0F" w:rsidRDefault="00183F07">
            <w:pPr>
              <w:jc w:val="center"/>
              <w:rPr>
                <w:rFonts w:ascii="Cambria" w:hAnsi="Cambria" w:cstheme="minorHAnsi"/>
                <w:sz w:val="18"/>
                <w:szCs w:val="18"/>
              </w:rPr>
            </w:pPr>
          </w:p>
        </w:tc>
        <w:tc>
          <w:tcPr>
            <w:tcW w:w="1350" w:type="dxa"/>
            <w:vAlign w:val="center"/>
          </w:tcPr>
          <w:p w14:paraId="1D1DFBDC"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253F84C" w14:textId="77777777" w:rsidR="00183F07" w:rsidRPr="00C57C0F" w:rsidRDefault="00183F07">
            <w:pPr>
              <w:jc w:val="center"/>
              <w:rPr>
                <w:rFonts w:ascii="Cambria" w:hAnsi="Cambria" w:cstheme="minorHAnsi"/>
                <w:sz w:val="18"/>
                <w:szCs w:val="18"/>
              </w:rPr>
            </w:pPr>
          </w:p>
        </w:tc>
        <w:tc>
          <w:tcPr>
            <w:tcW w:w="1170" w:type="dxa"/>
            <w:vAlign w:val="center"/>
          </w:tcPr>
          <w:p w14:paraId="0A693921"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01C15F57"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273307E" w14:textId="77777777" w:rsidR="00183F07" w:rsidRPr="00C57C0F" w:rsidRDefault="00183F07">
            <w:pPr>
              <w:keepNext/>
              <w:jc w:val="center"/>
              <w:outlineLvl w:val="2"/>
              <w:rPr>
                <w:rFonts w:ascii="Cambria" w:hAnsi="Cambria" w:cstheme="minorHAnsi"/>
                <w:sz w:val="18"/>
                <w:szCs w:val="18"/>
              </w:rPr>
            </w:pPr>
            <w:r w:rsidRPr="00C57C0F">
              <w:rPr>
                <w:rFonts w:ascii="Cambria" w:hAnsi="Cambria" w:cstheme="minorHAnsi"/>
                <w:sz w:val="18"/>
                <w:szCs w:val="18"/>
              </w:rPr>
              <w:t xml:space="preserve">Closed </w:t>
            </w:r>
          </w:p>
        </w:tc>
      </w:tr>
      <w:tr w:rsidR="00183F07" w:rsidRPr="00C57C0F" w14:paraId="16A74A20" w14:textId="77777777">
        <w:trPr>
          <w:cnfStyle w:val="000000100000" w:firstRow="0" w:lastRow="0" w:firstColumn="0" w:lastColumn="0" w:oddVBand="0" w:evenVBand="0" w:oddHBand="1" w:evenHBand="0" w:firstRowFirstColumn="0" w:firstRowLastColumn="0" w:lastRowFirstColumn="0" w:lastRowLastColumn="0"/>
          <w:trHeight w:val="1179"/>
          <w:jc w:val="center"/>
        </w:trPr>
        <w:tc>
          <w:tcPr>
            <w:tcW w:w="1620" w:type="dxa"/>
            <w:vAlign w:val="center"/>
          </w:tcPr>
          <w:p w14:paraId="68166C2E" w14:textId="77777777" w:rsidR="00183F07" w:rsidRPr="00C57C0F" w:rsidRDefault="00183F07" w:rsidP="00933F91">
            <w:pPr>
              <w:numPr>
                <w:ilvl w:val="0"/>
                <w:numId w:val="70"/>
              </w:numPr>
              <w:ind w:firstLine="0"/>
              <w:rPr>
                <w:rFonts w:ascii="Cambria" w:hAnsi="Cambria" w:cstheme="minorHAnsi"/>
                <w:sz w:val="18"/>
                <w:szCs w:val="18"/>
              </w:rPr>
            </w:pPr>
            <w:r w:rsidRPr="00C57C0F">
              <w:rPr>
                <w:rFonts w:ascii="Cambria" w:hAnsi="Cambria" w:cstheme="minorHAnsi"/>
                <w:sz w:val="18"/>
                <w:szCs w:val="18"/>
              </w:rPr>
              <w:t>Case 12.732, Report No. 86/20, Richard Conrad Solórzano Contreras (Guatemala)</w:t>
            </w:r>
          </w:p>
        </w:tc>
        <w:tc>
          <w:tcPr>
            <w:tcW w:w="1170" w:type="dxa"/>
            <w:vMerge/>
            <w:vAlign w:val="center"/>
          </w:tcPr>
          <w:p w14:paraId="3F411201" w14:textId="77777777" w:rsidR="00183F07" w:rsidRPr="00C57C0F" w:rsidRDefault="00183F07">
            <w:pPr>
              <w:jc w:val="center"/>
              <w:rPr>
                <w:rFonts w:ascii="Cambria" w:hAnsi="Cambria" w:cstheme="minorHAnsi"/>
                <w:sz w:val="18"/>
                <w:szCs w:val="18"/>
              </w:rPr>
            </w:pPr>
          </w:p>
        </w:tc>
        <w:tc>
          <w:tcPr>
            <w:tcW w:w="1350" w:type="dxa"/>
            <w:vAlign w:val="center"/>
          </w:tcPr>
          <w:p w14:paraId="3E5C7C6A" w14:textId="77777777" w:rsidR="00183F07" w:rsidRPr="00C57C0F" w:rsidRDefault="00183F07">
            <w:pPr>
              <w:jc w:val="center"/>
              <w:rPr>
                <w:rFonts w:ascii="Cambria" w:hAnsi="Cambria" w:cstheme="minorHAnsi"/>
                <w:sz w:val="18"/>
                <w:szCs w:val="18"/>
              </w:rPr>
            </w:pPr>
          </w:p>
        </w:tc>
        <w:tc>
          <w:tcPr>
            <w:tcW w:w="1170" w:type="dxa"/>
            <w:vAlign w:val="center"/>
          </w:tcPr>
          <w:p w14:paraId="7D1DD65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CB557D1"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53F6E961"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42642334"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0E6D4A8B" w14:textId="77777777">
        <w:trPr>
          <w:cnfStyle w:val="000000010000" w:firstRow="0" w:lastRow="0" w:firstColumn="0" w:lastColumn="0" w:oddVBand="0" w:evenVBand="0" w:oddHBand="0" w:evenHBand="1" w:firstRowFirstColumn="0" w:firstRowLastColumn="0" w:lastRowFirstColumn="0" w:lastRowLastColumn="0"/>
          <w:trHeight w:val="1080"/>
          <w:jc w:val="center"/>
        </w:trPr>
        <w:tc>
          <w:tcPr>
            <w:tcW w:w="1620" w:type="dxa"/>
            <w:vAlign w:val="center"/>
          </w:tcPr>
          <w:p w14:paraId="2AD36500" w14:textId="77777777" w:rsidR="00183F07" w:rsidRPr="00C57C0F" w:rsidRDefault="00183F07" w:rsidP="00933F91">
            <w:pPr>
              <w:numPr>
                <w:ilvl w:val="0"/>
                <w:numId w:val="70"/>
              </w:numPr>
              <w:ind w:firstLine="0"/>
              <w:rPr>
                <w:rFonts w:ascii="Cambria" w:hAnsi="Cambria" w:cstheme="minorHAnsi"/>
                <w:sz w:val="18"/>
                <w:szCs w:val="18"/>
              </w:rPr>
            </w:pPr>
            <w:r w:rsidRPr="00C57C0F">
              <w:rPr>
                <w:rFonts w:ascii="Cambria" w:hAnsi="Cambria" w:cstheme="minorHAnsi"/>
                <w:sz w:val="18"/>
                <w:szCs w:val="18"/>
              </w:rPr>
              <w:t>Case 10.441 A, Report No. 214/20, Silvia María Azurdia Utrera and Others (Guatemala)</w:t>
            </w:r>
          </w:p>
        </w:tc>
        <w:tc>
          <w:tcPr>
            <w:tcW w:w="1170" w:type="dxa"/>
            <w:vMerge/>
            <w:vAlign w:val="center"/>
          </w:tcPr>
          <w:p w14:paraId="0AD66D65" w14:textId="77777777" w:rsidR="00183F07" w:rsidRPr="00C57C0F" w:rsidRDefault="00183F07">
            <w:pPr>
              <w:jc w:val="center"/>
              <w:rPr>
                <w:rFonts w:ascii="Cambria" w:hAnsi="Cambria" w:cstheme="minorHAnsi"/>
                <w:sz w:val="18"/>
                <w:szCs w:val="18"/>
              </w:rPr>
            </w:pPr>
          </w:p>
        </w:tc>
        <w:tc>
          <w:tcPr>
            <w:tcW w:w="1350" w:type="dxa"/>
            <w:vAlign w:val="center"/>
          </w:tcPr>
          <w:p w14:paraId="5F2F7E9A" w14:textId="77777777" w:rsidR="00183F07" w:rsidRPr="00C57C0F" w:rsidRDefault="00183F07">
            <w:pPr>
              <w:jc w:val="center"/>
              <w:rPr>
                <w:rFonts w:ascii="Cambria" w:hAnsi="Cambria" w:cstheme="minorHAnsi"/>
                <w:sz w:val="18"/>
                <w:szCs w:val="18"/>
              </w:rPr>
            </w:pPr>
          </w:p>
        </w:tc>
        <w:tc>
          <w:tcPr>
            <w:tcW w:w="1170" w:type="dxa"/>
            <w:vAlign w:val="center"/>
          </w:tcPr>
          <w:p w14:paraId="3C18BBA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1BE3CA1D"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0CCD8937"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80%</w:t>
            </w:r>
          </w:p>
        </w:tc>
        <w:tc>
          <w:tcPr>
            <w:tcW w:w="1260" w:type="dxa"/>
            <w:vAlign w:val="center"/>
          </w:tcPr>
          <w:p w14:paraId="4415ABD1"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28E97860" w14:textId="77777777">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11D17344" w14:textId="77777777" w:rsidR="00183F07" w:rsidRPr="00C57C0F" w:rsidRDefault="00183F07" w:rsidP="00933F91">
            <w:pPr>
              <w:numPr>
                <w:ilvl w:val="0"/>
                <w:numId w:val="70"/>
              </w:numPr>
              <w:ind w:firstLine="0"/>
              <w:rPr>
                <w:rFonts w:ascii="Cambria" w:hAnsi="Cambria" w:cstheme="minorHAnsi"/>
                <w:sz w:val="18"/>
                <w:szCs w:val="18"/>
              </w:rPr>
            </w:pPr>
            <w:r w:rsidRPr="00C57C0F">
              <w:rPr>
                <w:rFonts w:ascii="Cambria" w:hAnsi="Cambria" w:cstheme="minorHAnsi"/>
                <w:sz w:val="18"/>
                <w:szCs w:val="18"/>
              </w:rPr>
              <w:t>Case 10.441 B, Report No. 215/20, Carlos Humberto Cabrera                                                                 Rivera (Guatemala)</w:t>
            </w:r>
          </w:p>
        </w:tc>
        <w:tc>
          <w:tcPr>
            <w:tcW w:w="1170" w:type="dxa"/>
            <w:vMerge/>
            <w:vAlign w:val="center"/>
          </w:tcPr>
          <w:p w14:paraId="2B3FB718" w14:textId="77777777" w:rsidR="00183F07" w:rsidRPr="00C57C0F" w:rsidRDefault="00183F07">
            <w:pPr>
              <w:jc w:val="center"/>
              <w:rPr>
                <w:rFonts w:ascii="Cambria" w:hAnsi="Cambria" w:cstheme="minorHAnsi"/>
                <w:sz w:val="18"/>
                <w:szCs w:val="18"/>
              </w:rPr>
            </w:pPr>
          </w:p>
        </w:tc>
        <w:tc>
          <w:tcPr>
            <w:tcW w:w="1350" w:type="dxa"/>
            <w:vAlign w:val="center"/>
          </w:tcPr>
          <w:p w14:paraId="465FE0D2" w14:textId="77777777" w:rsidR="00183F07" w:rsidRPr="00C57C0F" w:rsidRDefault="00183F07">
            <w:pPr>
              <w:jc w:val="center"/>
              <w:rPr>
                <w:rFonts w:ascii="Cambria" w:hAnsi="Cambria" w:cstheme="minorHAnsi"/>
                <w:sz w:val="18"/>
                <w:szCs w:val="18"/>
              </w:rPr>
            </w:pPr>
          </w:p>
        </w:tc>
        <w:tc>
          <w:tcPr>
            <w:tcW w:w="1170" w:type="dxa"/>
            <w:vAlign w:val="center"/>
          </w:tcPr>
          <w:p w14:paraId="6740AE9B"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77753BD"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77D454EB"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80%</w:t>
            </w:r>
          </w:p>
        </w:tc>
        <w:tc>
          <w:tcPr>
            <w:tcW w:w="1260" w:type="dxa"/>
            <w:vAlign w:val="center"/>
          </w:tcPr>
          <w:p w14:paraId="27CAC4B7"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Active</w:t>
            </w:r>
          </w:p>
        </w:tc>
      </w:tr>
      <w:tr w:rsidR="00183F07" w:rsidRPr="00C57C0F" w14:paraId="0CF70DC6" w14:textId="77777777">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1FBBB0D3" w14:textId="77777777" w:rsidR="00183F07" w:rsidRPr="00C57C0F" w:rsidRDefault="00183F07" w:rsidP="00933F91">
            <w:pPr>
              <w:numPr>
                <w:ilvl w:val="0"/>
                <w:numId w:val="70"/>
              </w:numPr>
              <w:ind w:firstLine="0"/>
              <w:rPr>
                <w:rFonts w:ascii="Cambria" w:hAnsi="Cambria" w:cstheme="minorHAnsi"/>
                <w:sz w:val="18"/>
                <w:szCs w:val="18"/>
              </w:rPr>
            </w:pPr>
            <w:r w:rsidRPr="00C57C0F">
              <w:rPr>
                <w:rFonts w:ascii="Cambria" w:hAnsi="Cambria" w:cs="Arial"/>
                <w:sz w:val="18"/>
                <w:szCs w:val="18"/>
                <w:lang w:eastAsia="es-ES_tradnl"/>
              </w:rPr>
              <w:t>Case 12.737, Report No. 114/21, Carlos Raúl Morales Catalan (Guatemala)</w:t>
            </w:r>
          </w:p>
        </w:tc>
        <w:tc>
          <w:tcPr>
            <w:tcW w:w="1170" w:type="dxa"/>
            <w:vMerge/>
            <w:vAlign w:val="center"/>
          </w:tcPr>
          <w:p w14:paraId="7E7B6019" w14:textId="77777777" w:rsidR="00183F07" w:rsidRPr="00C57C0F" w:rsidRDefault="00183F07">
            <w:pPr>
              <w:jc w:val="center"/>
              <w:rPr>
                <w:rFonts w:ascii="Cambria" w:hAnsi="Cambria" w:cstheme="minorHAnsi"/>
                <w:sz w:val="18"/>
                <w:szCs w:val="18"/>
              </w:rPr>
            </w:pPr>
          </w:p>
        </w:tc>
        <w:tc>
          <w:tcPr>
            <w:tcW w:w="1350" w:type="dxa"/>
            <w:vAlign w:val="center"/>
          </w:tcPr>
          <w:p w14:paraId="5E2289EE" w14:textId="77777777" w:rsidR="00183F07" w:rsidRPr="00C57C0F" w:rsidRDefault="00183F07">
            <w:pPr>
              <w:jc w:val="center"/>
              <w:rPr>
                <w:rFonts w:ascii="Cambria" w:hAnsi="Cambria" w:cstheme="minorHAnsi"/>
                <w:sz w:val="18"/>
                <w:szCs w:val="18"/>
              </w:rPr>
            </w:pPr>
          </w:p>
        </w:tc>
        <w:tc>
          <w:tcPr>
            <w:tcW w:w="1170" w:type="dxa"/>
            <w:vAlign w:val="center"/>
          </w:tcPr>
          <w:p w14:paraId="6E124A32"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4EB55F18" w14:textId="77777777" w:rsidR="00183F07" w:rsidRPr="00C57C0F" w:rsidRDefault="00183F07">
            <w:pPr>
              <w:keepNext/>
              <w:jc w:val="center"/>
              <w:outlineLvl w:val="2"/>
              <w:rPr>
                <w:rFonts w:ascii="Cambria" w:hAnsi="Cambria" w:cstheme="minorHAnsi"/>
                <w:sz w:val="18"/>
                <w:szCs w:val="18"/>
              </w:rPr>
            </w:pPr>
          </w:p>
        </w:tc>
        <w:tc>
          <w:tcPr>
            <w:tcW w:w="1170" w:type="dxa"/>
            <w:vAlign w:val="center"/>
          </w:tcPr>
          <w:p w14:paraId="1F0DEA2C" w14:textId="77777777" w:rsidR="00183F07" w:rsidRPr="00C57C0F" w:rsidRDefault="00183F07">
            <w:pPr>
              <w:keepNext/>
              <w:tabs>
                <w:tab w:val="left" w:pos="177"/>
              </w:tabs>
              <w:jc w:val="center"/>
              <w:outlineLvl w:val="2"/>
              <w:rPr>
                <w:rFonts w:ascii="Cambria" w:hAnsi="Cambria" w:cstheme="minorHAnsi"/>
                <w:sz w:val="18"/>
                <w:szCs w:val="18"/>
              </w:rPr>
            </w:pPr>
            <w:r w:rsidRPr="00C57C0F">
              <w:rPr>
                <w:rFonts w:ascii="Cambria" w:hAnsi="Cambria" w:cs="Arial"/>
                <w:sz w:val="18"/>
                <w:szCs w:val="18"/>
              </w:rPr>
              <w:t>50%</w:t>
            </w:r>
          </w:p>
        </w:tc>
        <w:tc>
          <w:tcPr>
            <w:tcW w:w="1260" w:type="dxa"/>
            <w:vAlign w:val="center"/>
          </w:tcPr>
          <w:p w14:paraId="73DD5447" w14:textId="77777777" w:rsidR="00183F07" w:rsidRPr="00C57C0F" w:rsidRDefault="00183F07">
            <w:pPr>
              <w:jc w:val="center"/>
              <w:rPr>
                <w:rFonts w:ascii="Cambria" w:hAnsi="Cambria" w:cstheme="minorHAnsi"/>
                <w:sz w:val="18"/>
                <w:szCs w:val="18"/>
              </w:rPr>
            </w:pPr>
            <w:r w:rsidRPr="00C57C0F">
              <w:rPr>
                <w:rFonts w:ascii="Cambria" w:hAnsi="Cambria" w:cs="Arial"/>
                <w:sz w:val="18"/>
                <w:szCs w:val="18"/>
              </w:rPr>
              <w:t>Active</w:t>
            </w:r>
          </w:p>
        </w:tc>
      </w:tr>
      <w:tr w:rsidR="00183F07" w:rsidRPr="00C57C0F" w14:paraId="67610BC6" w14:textId="77777777">
        <w:trPr>
          <w:cnfStyle w:val="000000100000" w:firstRow="0" w:lastRow="0" w:firstColumn="0" w:lastColumn="0" w:oddVBand="0" w:evenVBand="0" w:oddHBand="1" w:evenHBand="0" w:firstRowFirstColumn="0" w:firstRowLastColumn="0" w:lastRowFirstColumn="0" w:lastRowLastColumn="0"/>
          <w:trHeight w:val="675"/>
          <w:jc w:val="center"/>
        </w:trPr>
        <w:tc>
          <w:tcPr>
            <w:tcW w:w="1620" w:type="dxa"/>
            <w:vAlign w:val="center"/>
          </w:tcPr>
          <w:p w14:paraId="7CD820A5" w14:textId="77777777" w:rsidR="00183F07" w:rsidRPr="00C57C0F" w:rsidRDefault="00183F07" w:rsidP="00933F91">
            <w:pPr>
              <w:numPr>
                <w:ilvl w:val="0"/>
                <w:numId w:val="70"/>
              </w:numPr>
              <w:ind w:firstLine="0"/>
              <w:rPr>
                <w:rFonts w:ascii="Cambria" w:hAnsi="Cambria" w:cs="Arial"/>
                <w:sz w:val="18"/>
                <w:szCs w:val="18"/>
                <w:lang w:eastAsia="es-ES_tradnl"/>
              </w:rPr>
            </w:pPr>
            <w:r w:rsidRPr="00C57C0F">
              <w:rPr>
                <w:rFonts w:ascii="Cambria" w:hAnsi="Cambria" w:cs="Arial"/>
                <w:sz w:val="18"/>
                <w:szCs w:val="18"/>
                <w:lang w:eastAsia="es-ES_tradnl"/>
              </w:rPr>
              <w:t xml:space="preserve">Petition 1287-19, Report No. 61/22, </w:t>
            </w:r>
            <w:r w:rsidRPr="00C57C0F">
              <w:rPr>
                <w:rFonts w:ascii="Cambria" w:hAnsi="Cambria" w:cs="Arial"/>
                <w:sz w:val="18"/>
                <w:szCs w:val="18"/>
                <w:lang w:eastAsia="es-ES_tradnl"/>
              </w:rPr>
              <w:lastRenderedPageBreak/>
              <w:t>Roberto Molina Barreto, Zury Mayte Ríos Sosa and MWR (Guatemala)</w:t>
            </w:r>
          </w:p>
        </w:tc>
        <w:tc>
          <w:tcPr>
            <w:tcW w:w="1170" w:type="dxa"/>
            <w:vMerge/>
            <w:vAlign w:val="center"/>
          </w:tcPr>
          <w:p w14:paraId="0A69513B" w14:textId="77777777" w:rsidR="00183F07" w:rsidRPr="00C57C0F" w:rsidRDefault="00183F07">
            <w:pPr>
              <w:jc w:val="center"/>
              <w:rPr>
                <w:rFonts w:ascii="Cambria" w:hAnsi="Cambria" w:cstheme="minorHAnsi"/>
                <w:sz w:val="18"/>
                <w:szCs w:val="18"/>
              </w:rPr>
            </w:pPr>
          </w:p>
        </w:tc>
        <w:tc>
          <w:tcPr>
            <w:tcW w:w="1350" w:type="dxa"/>
            <w:vAlign w:val="center"/>
          </w:tcPr>
          <w:p w14:paraId="055DFE82" w14:textId="77777777" w:rsidR="00183F07" w:rsidRPr="00C57C0F" w:rsidRDefault="00183F07">
            <w:pPr>
              <w:jc w:val="center"/>
              <w:rPr>
                <w:rFonts w:ascii="Cambria" w:hAnsi="Cambria" w:cstheme="minorHAnsi"/>
                <w:sz w:val="18"/>
                <w:szCs w:val="18"/>
              </w:rPr>
            </w:pPr>
          </w:p>
        </w:tc>
        <w:tc>
          <w:tcPr>
            <w:tcW w:w="1170" w:type="dxa"/>
            <w:vAlign w:val="center"/>
          </w:tcPr>
          <w:p w14:paraId="01F96BF1" w14:textId="77777777" w:rsidR="00183F07" w:rsidRPr="00C57C0F" w:rsidRDefault="00183F07">
            <w:pPr>
              <w:jc w:val="center"/>
              <w:rPr>
                <w:rFonts w:ascii="Cambria" w:hAnsi="Cambria" w:cs="Arial"/>
                <w:sz w:val="18"/>
                <w:szCs w:val="18"/>
                <w:lang w:eastAsia="es-ES_tradnl"/>
              </w:rPr>
            </w:pPr>
          </w:p>
        </w:tc>
        <w:tc>
          <w:tcPr>
            <w:tcW w:w="1170" w:type="dxa"/>
            <w:vAlign w:val="center"/>
          </w:tcPr>
          <w:p w14:paraId="58AE9E31" w14:textId="77777777" w:rsidR="00183F07" w:rsidRPr="00C57C0F" w:rsidRDefault="00183F07">
            <w:pPr>
              <w:keepNext/>
              <w:jc w:val="center"/>
              <w:outlineLvl w:val="2"/>
              <w:rPr>
                <w:rFonts w:ascii="Cambria" w:hAnsi="Cambria" w:cstheme="minorHAnsi"/>
                <w:sz w:val="18"/>
                <w:szCs w:val="18"/>
              </w:rPr>
            </w:pPr>
            <w:r w:rsidRPr="00C57C0F">
              <w:rPr>
                <w:rFonts w:ascii="Cambria" w:hAnsi="Cambria" w:cs="Arial"/>
                <w:sz w:val="18"/>
                <w:szCs w:val="18"/>
              </w:rPr>
              <w:t>X</w:t>
            </w:r>
          </w:p>
        </w:tc>
        <w:tc>
          <w:tcPr>
            <w:tcW w:w="1170" w:type="dxa"/>
            <w:vAlign w:val="center"/>
          </w:tcPr>
          <w:p w14:paraId="3DF7ACFF" w14:textId="77777777" w:rsidR="00183F07" w:rsidRPr="00C57C0F" w:rsidRDefault="00183F07">
            <w:pPr>
              <w:keepNext/>
              <w:tabs>
                <w:tab w:val="left" w:pos="177"/>
              </w:tabs>
              <w:jc w:val="center"/>
              <w:outlineLvl w:val="2"/>
              <w:rPr>
                <w:rFonts w:ascii="Cambria" w:hAnsi="Cambria" w:cs="Arial"/>
                <w:sz w:val="18"/>
                <w:szCs w:val="18"/>
              </w:rPr>
            </w:pPr>
            <w:r w:rsidRPr="00C57C0F">
              <w:rPr>
                <w:rFonts w:ascii="Cambria" w:hAnsi="Cambria" w:cs="Arial"/>
                <w:sz w:val="18"/>
                <w:szCs w:val="18"/>
              </w:rPr>
              <w:t>0%</w:t>
            </w:r>
          </w:p>
        </w:tc>
        <w:tc>
          <w:tcPr>
            <w:tcW w:w="1260" w:type="dxa"/>
            <w:vAlign w:val="center"/>
          </w:tcPr>
          <w:p w14:paraId="61B49265" w14:textId="77777777" w:rsidR="00183F07" w:rsidRPr="00C57C0F" w:rsidRDefault="00183F07">
            <w:pPr>
              <w:jc w:val="center"/>
              <w:rPr>
                <w:rFonts w:ascii="Cambria" w:hAnsi="Cambria" w:cs="Arial"/>
                <w:sz w:val="18"/>
                <w:szCs w:val="18"/>
              </w:rPr>
            </w:pPr>
            <w:r w:rsidRPr="00C57C0F">
              <w:rPr>
                <w:rFonts w:ascii="Cambria" w:hAnsi="Cambria" w:cs="Arial"/>
                <w:sz w:val="18"/>
                <w:szCs w:val="18"/>
              </w:rPr>
              <w:t>Active</w:t>
            </w:r>
          </w:p>
        </w:tc>
      </w:tr>
      <w:tr w:rsidR="00183F07" w:rsidRPr="00C57C0F" w14:paraId="364175CE" w14:textId="77777777">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110D9807" w14:textId="77777777" w:rsidR="00183F07" w:rsidRPr="00C57C0F" w:rsidRDefault="00183F07" w:rsidP="00933F91">
            <w:pPr>
              <w:widowControl w:val="0"/>
              <w:numPr>
                <w:ilvl w:val="0"/>
                <w:numId w:val="70"/>
              </w:numPr>
              <w:tabs>
                <w:tab w:val="num" w:pos="522"/>
              </w:tabs>
              <w:ind w:firstLine="0"/>
              <w:jc w:val="both"/>
              <w:outlineLvl w:val="0"/>
              <w:rPr>
                <w:rFonts w:ascii="Cambria" w:hAnsi="Cambria" w:cstheme="minorHAnsi"/>
                <w:sz w:val="18"/>
                <w:szCs w:val="18"/>
              </w:rPr>
            </w:pPr>
            <w:r w:rsidRPr="00C57C0F">
              <w:rPr>
                <w:rFonts w:ascii="Cambria" w:hAnsi="Cambria" w:cstheme="minorHAnsi"/>
                <w:sz w:val="18"/>
                <w:szCs w:val="18"/>
              </w:rPr>
              <w:t>Case 11.805, Report No. 124/12, Carlos Enrique Jaco (Honduras)</w:t>
            </w:r>
            <w:r w:rsidRPr="00C57C0F">
              <w:rPr>
                <w:rFonts w:ascii="Cambria" w:hAnsi="Cambria" w:cstheme="minorHAnsi"/>
                <w:sz w:val="18"/>
                <w:szCs w:val="18"/>
                <w:vertAlign w:val="superscript"/>
              </w:rPr>
              <w:footnoteReference w:id="78"/>
            </w:r>
          </w:p>
        </w:tc>
        <w:tc>
          <w:tcPr>
            <w:tcW w:w="1170" w:type="dxa"/>
            <w:vMerge w:val="restart"/>
            <w:shd w:val="clear" w:color="auto" w:fill="F2F2F2" w:themeFill="background1" w:themeFillShade="F2"/>
            <w:vAlign w:val="center"/>
          </w:tcPr>
          <w:p w14:paraId="518E0A00" w14:textId="36B2AFC6" w:rsidR="00183F07" w:rsidRPr="00C57C0F" w:rsidRDefault="0071198A">
            <w:pPr>
              <w:jc w:val="center"/>
              <w:rPr>
                <w:rFonts w:ascii="Cambria" w:hAnsi="Cambria" w:cstheme="minorHAnsi"/>
                <w:sz w:val="18"/>
                <w:szCs w:val="18"/>
              </w:rPr>
            </w:pPr>
            <w:hyperlink r:id="rId63" w:history="1">
              <w:r w:rsidR="00183F07" w:rsidRPr="007F4EF8">
                <w:rPr>
                  <w:rStyle w:val="Hyperlink"/>
                  <w:rFonts w:ascii="Cambria" w:eastAsiaTheme="minorHAnsi" w:hAnsi="Cambria" w:cstheme="minorHAnsi"/>
                  <w:sz w:val="18"/>
                  <w:szCs w:val="18"/>
                </w:rPr>
                <w:t>Link to monitoring sheets on matters related to reports of friendly settlement agreements (Honduras).</w:t>
              </w:r>
            </w:hyperlink>
          </w:p>
        </w:tc>
        <w:tc>
          <w:tcPr>
            <w:tcW w:w="1350" w:type="dxa"/>
            <w:vAlign w:val="center"/>
          </w:tcPr>
          <w:p w14:paraId="51228A73" w14:textId="77777777" w:rsidR="00183F07" w:rsidRPr="00C57C0F" w:rsidRDefault="00183F07">
            <w:pPr>
              <w:widowControl w:val="0"/>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5263F8F" w14:textId="77777777" w:rsidR="00183F07" w:rsidRPr="00C57C0F" w:rsidRDefault="00183F07">
            <w:pPr>
              <w:widowControl w:val="0"/>
              <w:jc w:val="center"/>
              <w:rPr>
                <w:rFonts w:ascii="Cambria" w:hAnsi="Cambria" w:cstheme="minorHAnsi"/>
                <w:sz w:val="18"/>
                <w:szCs w:val="18"/>
              </w:rPr>
            </w:pPr>
          </w:p>
        </w:tc>
        <w:tc>
          <w:tcPr>
            <w:tcW w:w="1170" w:type="dxa"/>
            <w:vAlign w:val="center"/>
          </w:tcPr>
          <w:p w14:paraId="17612C5D" w14:textId="77777777" w:rsidR="00183F07" w:rsidRPr="00C57C0F" w:rsidRDefault="00183F07">
            <w:pPr>
              <w:widowControl w:val="0"/>
              <w:jc w:val="center"/>
              <w:outlineLvl w:val="2"/>
              <w:rPr>
                <w:rFonts w:ascii="Cambria" w:hAnsi="Cambria" w:cstheme="minorHAnsi"/>
                <w:sz w:val="18"/>
                <w:szCs w:val="18"/>
              </w:rPr>
            </w:pPr>
          </w:p>
        </w:tc>
        <w:tc>
          <w:tcPr>
            <w:tcW w:w="1170" w:type="dxa"/>
            <w:vAlign w:val="center"/>
          </w:tcPr>
          <w:p w14:paraId="05EFB658"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5832F72E" w14:textId="77777777" w:rsidR="00183F07" w:rsidRPr="00C57C0F" w:rsidRDefault="00183F07">
            <w:pPr>
              <w:jc w:val="center"/>
              <w:rPr>
                <w:rFonts w:ascii="Cambria" w:hAnsi="Cambria" w:cstheme="minorHAnsi"/>
                <w:sz w:val="18"/>
                <w:szCs w:val="18"/>
              </w:rPr>
            </w:pPr>
            <w:r w:rsidRPr="00C57C0F">
              <w:rPr>
                <w:rFonts w:ascii="Cambria" w:hAnsi="Cambria" w:cstheme="minorHAnsi"/>
                <w:sz w:val="18"/>
                <w:szCs w:val="18"/>
              </w:rPr>
              <w:t>Closed</w:t>
            </w:r>
          </w:p>
        </w:tc>
      </w:tr>
      <w:tr w:rsidR="00AC4F96" w:rsidRPr="00C57C0F" w14:paraId="3BCDBB26" w14:textId="77777777">
        <w:trPr>
          <w:cnfStyle w:val="000000100000" w:firstRow="0" w:lastRow="0" w:firstColumn="0" w:lastColumn="0" w:oddVBand="0" w:evenVBand="0" w:oddHBand="1" w:evenHBand="0" w:firstRowFirstColumn="0" w:firstRowLastColumn="0" w:lastRowFirstColumn="0" w:lastRowLastColumn="0"/>
          <w:trHeight w:val="495"/>
          <w:jc w:val="center"/>
        </w:trPr>
        <w:tc>
          <w:tcPr>
            <w:tcW w:w="1620" w:type="dxa"/>
            <w:vAlign w:val="center"/>
          </w:tcPr>
          <w:p w14:paraId="521F2868" w14:textId="095777DD" w:rsidR="00AC4F96" w:rsidRPr="00C57C0F" w:rsidRDefault="00AC4F96" w:rsidP="00933F91">
            <w:pPr>
              <w:widowControl w:val="0"/>
              <w:numPr>
                <w:ilvl w:val="0"/>
                <w:numId w:val="70"/>
              </w:numPr>
              <w:tabs>
                <w:tab w:val="num" w:pos="522"/>
              </w:tabs>
              <w:ind w:firstLine="0"/>
              <w:jc w:val="both"/>
              <w:outlineLvl w:val="0"/>
              <w:rPr>
                <w:rFonts w:ascii="Cambria" w:hAnsi="Cambria" w:cstheme="minorHAnsi"/>
                <w:sz w:val="18"/>
                <w:szCs w:val="18"/>
              </w:rPr>
            </w:pPr>
            <w:r w:rsidRPr="00C57C0F">
              <w:rPr>
                <w:rFonts w:ascii="Cambria" w:hAnsi="Cambria" w:cstheme="minorHAnsi"/>
                <w:sz w:val="18"/>
                <w:szCs w:val="18"/>
              </w:rPr>
              <w:t>Case 12.547, Report No. 62/13, Rigoberto Cacho Reyes (Honduras)</w:t>
            </w:r>
            <w:r w:rsidRPr="00C57C0F">
              <w:rPr>
                <w:rFonts w:ascii="Cambria" w:hAnsi="Cambria" w:cstheme="minorHAnsi"/>
                <w:sz w:val="18"/>
                <w:szCs w:val="18"/>
                <w:vertAlign w:val="superscript"/>
              </w:rPr>
              <w:footnoteReference w:id="79"/>
            </w:r>
          </w:p>
        </w:tc>
        <w:tc>
          <w:tcPr>
            <w:tcW w:w="1170" w:type="dxa"/>
            <w:vMerge/>
            <w:shd w:val="clear" w:color="auto" w:fill="F2F2F2" w:themeFill="background1" w:themeFillShade="F2"/>
            <w:vAlign w:val="center"/>
          </w:tcPr>
          <w:p w14:paraId="105E033D" w14:textId="77777777" w:rsidR="00AC4F96" w:rsidRDefault="00AC4F96" w:rsidP="00AC4F96">
            <w:pPr>
              <w:jc w:val="center"/>
            </w:pPr>
          </w:p>
        </w:tc>
        <w:tc>
          <w:tcPr>
            <w:tcW w:w="1350" w:type="dxa"/>
            <w:vAlign w:val="center"/>
          </w:tcPr>
          <w:p w14:paraId="01AEEC64" w14:textId="29262AEB" w:rsidR="00AC4F96" w:rsidRPr="00C57C0F" w:rsidRDefault="00AC4F96" w:rsidP="00AC4F96">
            <w:pPr>
              <w:widowControl w:val="0"/>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EAF78C5" w14:textId="77777777" w:rsidR="00AC4F96" w:rsidRPr="00C57C0F" w:rsidRDefault="00AC4F96" w:rsidP="00AC4F96">
            <w:pPr>
              <w:widowControl w:val="0"/>
              <w:jc w:val="center"/>
              <w:rPr>
                <w:rFonts w:ascii="Cambria" w:hAnsi="Cambria" w:cstheme="minorHAnsi"/>
                <w:sz w:val="18"/>
                <w:szCs w:val="18"/>
              </w:rPr>
            </w:pPr>
          </w:p>
        </w:tc>
        <w:tc>
          <w:tcPr>
            <w:tcW w:w="1170" w:type="dxa"/>
            <w:vAlign w:val="center"/>
          </w:tcPr>
          <w:p w14:paraId="1CB8D924" w14:textId="77777777" w:rsidR="00AC4F96" w:rsidRPr="00C57C0F" w:rsidRDefault="00AC4F96" w:rsidP="00AC4F96">
            <w:pPr>
              <w:widowControl w:val="0"/>
              <w:jc w:val="center"/>
              <w:outlineLvl w:val="2"/>
              <w:rPr>
                <w:rFonts w:ascii="Cambria" w:hAnsi="Cambria" w:cstheme="minorHAnsi"/>
                <w:sz w:val="18"/>
                <w:szCs w:val="18"/>
              </w:rPr>
            </w:pPr>
          </w:p>
        </w:tc>
        <w:tc>
          <w:tcPr>
            <w:tcW w:w="1170" w:type="dxa"/>
            <w:vAlign w:val="center"/>
          </w:tcPr>
          <w:p w14:paraId="7A6EEDB3" w14:textId="38494653" w:rsidR="00AC4F96" w:rsidRPr="00C57C0F" w:rsidRDefault="00AC4F96" w:rsidP="00AC4F96">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0CA1F201" w14:textId="6E1BA688" w:rsidR="00AC4F96" w:rsidRPr="00C57C0F" w:rsidRDefault="00AC4F96" w:rsidP="00AC4F96">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41ECB29C" w14:textId="77777777">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29F02BE2" w14:textId="0668935E" w:rsidR="001C6944" w:rsidRPr="00C57C0F" w:rsidRDefault="001C6944" w:rsidP="00933F91">
            <w:pPr>
              <w:widowControl w:val="0"/>
              <w:numPr>
                <w:ilvl w:val="0"/>
                <w:numId w:val="70"/>
              </w:numPr>
              <w:tabs>
                <w:tab w:val="num" w:pos="522"/>
              </w:tabs>
              <w:ind w:firstLine="0"/>
              <w:jc w:val="both"/>
              <w:outlineLvl w:val="0"/>
              <w:rPr>
                <w:rFonts w:ascii="Cambria" w:hAnsi="Cambria" w:cstheme="minorHAnsi"/>
                <w:sz w:val="18"/>
                <w:szCs w:val="18"/>
              </w:rPr>
            </w:pPr>
            <w:r w:rsidRPr="00C57C0F">
              <w:rPr>
                <w:rFonts w:ascii="Cambria" w:hAnsi="Cambria" w:cstheme="minorHAnsi"/>
                <w:sz w:val="18"/>
                <w:szCs w:val="18"/>
              </w:rPr>
              <w:t>Case 12.961 C, Report No. 101/19, Marcial Coello Medina, and Others (Honduras)</w:t>
            </w:r>
            <w:r w:rsidRPr="00C57C0F">
              <w:rPr>
                <w:rFonts w:ascii="Cambria" w:hAnsi="Cambria" w:cstheme="minorHAnsi"/>
                <w:sz w:val="18"/>
                <w:szCs w:val="18"/>
                <w:vertAlign w:val="superscript"/>
              </w:rPr>
              <w:t xml:space="preserve"> </w:t>
            </w:r>
            <w:r w:rsidRPr="00C57C0F">
              <w:rPr>
                <w:rFonts w:ascii="Cambria" w:hAnsi="Cambria" w:cstheme="minorHAnsi"/>
                <w:sz w:val="18"/>
                <w:szCs w:val="18"/>
                <w:vertAlign w:val="superscript"/>
              </w:rPr>
              <w:footnoteReference w:id="80"/>
            </w:r>
          </w:p>
        </w:tc>
        <w:tc>
          <w:tcPr>
            <w:tcW w:w="1170" w:type="dxa"/>
            <w:vMerge/>
            <w:shd w:val="clear" w:color="auto" w:fill="F2F2F2" w:themeFill="background1" w:themeFillShade="F2"/>
            <w:vAlign w:val="center"/>
          </w:tcPr>
          <w:p w14:paraId="7DD03A8A" w14:textId="77777777" w:rsidR="001C6944" w:rsidRDefault="001C6944" w:rsidP="001C6944">
            <w:pPr>
              <w:jc w:val="center"/>
            </w:pPr>
          </w:p>
        </w:tc>
        <w:tc>
          <w:tcPr>
            <w:tcW w:w="1350" w:type="dxa"/>
            <w:vAlign w:val="center"/>
          </w:tcPr>
          <w:p w14:paraId="3862BE3D" w14:textId="7BCC039B" w:rsidR="001C6944" w:rsidRPr="00C57C0F" w:rsidRDefault="001C6944" w:rsidP="001C6944">
            <w:pPr>
              <w:widowControl w:val="0"/>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F28F89C" w14:textId="77777777" w:rsidR="001C6944" w:rsidRPr="00C57C0F" w:rsidRDefault="001C6944" w:rsidP="001C6944">
            <w:pPr>
              <w:widowControl w:val="0"/>
              <w:jc w:val="center"/>
              <w:rPr>
                <w:rFonts w:ascii="Cambria" w:hAnsi="Cambria" w:cstheme="minorHAnsi"/>
                <w:sz w:val="18"/>
                <w:szCs w:val="18"/>
              </w:rPr>
            </w:pPr>
          </w:p>
        </w:tc>
        <w:tc>
          <w:tcPr>
            <w:tcW w:w="1170" w:type="dxa"/>
            <w:vAlign w:val="center"/>
          </w:tcPr>
          <w:p w14:paraId="21D65955" w14:textId="77777777" w:rsidR="001C6944" w:rsidRPr="00C57C0F" w:rsidRDefault="001C6944" w:rsidP="001C6944">
            <w:pPr>
              <w:widowControl w:val="0"/>
              <w:jc w:val="center"/>
              <w:outlineLvl w:val="2"/>
              <w:rPr>
                <w:rFonts w:ascii="Cambria" w:hAnsi="Cambria" w:cstheme="minorHAnsi"/>
                <w:sz w:val="18"/>
                <w:szCs w:val="18"/>
              </w:rPr>
            </w:pPr>
          </w:p>
        </w:tc>
        <w:tc>
          <w:tcPr>
            <w:tcW w:w="1170" w:type="dxa"/>
            <w:vAlign w:val="center"/>
          </w:tcPr>
          <w:p w14:paraId="372DD17E" w14:textId="5CB33B55"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62F8069E"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p w14:paraId="73CAB0C7" w14:textId="77777777" w:rsidR="001C6944" w:rsidRPr="00C57C0F" w:rsidRDefault="001C6944" w:rsidP="001C6944">
            <w:pPr>
              <w:jc w:val="center"/>
              <w:rPr>
                <w:rFonts w:ascii="Cambria" w:hAnsi="Cambria" w:cstheme="minorHAnsi"/>
                <w:sz w:val="18"/>
                <w:szCs w:val="18"/>
              </w:rPr>
            </w:pPr>
          </w:p>
        </w:tc>
      </w:tr>
      <w:tr w:rsidR="001C6944" w:rsidRPr="00C57C0F" w14:paraId="083A61D9" w14:textId="77777777">
        <w:trPr>
          <w:cnfStyle w:val="000000100000" w:firstRow="0" w:lastRow="0" w:firstColumn="0" w:lastColumn="0" w:oddVBand="0" w:evenVBand="0" w:oddHBand="1" w:evenHBand="0" w:firstRowFirstColumn="0" w:firstRowLastColumn="0" w:lastRowFirstColumn="0" w:lastRowLastColumn="0"/>
          <w:trHeight w:val="495"/>
          <w:jc w:val="center"/>
        </w:trPr>
        <w:tc>
          <w:tcPr>
            <w:tcW w:w="1620" w:type="dxa"/>
            <w:vAlign w:val="center"/>
          </w:tcPr>
          <w:p w14:paraId="7E622D2C" w14:textId="42C87E86" w:rsidR="001C6944" w:rsidRPr="00C57C0F" w:rsidRDefault="001C6944" w:rsidP="00933F91">
            <w:pPr>
              <w:widowControl w:val="0"/>
              <w:numPr>
                <w:ilvl w:val="0"/>
                <w:numId w:val="70"/>
              </w:numPr>
              <w:tabs>
                <w:tab w:val="num" w:pos="522"/>
              </w:tabs>
              <w:ind w:firstLine="0"/>
              <w:jc w:val="both"/>
              <w:outlineLvl w:val="0"/>
              <w:rPr>
                <w:rFonts w:ascii="Cambria" w:hAnsi="Cambria" w:cstheme="minorHAnsi"/>
                <w:sz w:val="18"/>
                <w:szCs w:val="18"/>
              </w:rPr>
            </w:pPr>
            <w:r w:rsidRPr="00C57C0F">
              <w:rPr>
                <w:rFonts w:ascii="Cambria" w:hAnsi="Cambria" w:cstheme="minorHAnsi"/>
                <w:sz w:val="18"/>
                <w:szCs w:val="18"/>
              </w:rPr>
              <w:t>Case 12.961 D, Report No. 104/19, Jorge Enrique Valladares Argueñal and Others (Honduras)</w:t>
            </w:r>
            <w:r w:rsidRPr="00C57C0F">
              <w:rPr>
                <w:rFonts w:ascii="Cambria" w:hAnsi="Cambria" w:cstheme="minorHAnsi"/>
                <w:sz w:val="18"/>
                <w:szCs w:val="18"/>
                <w:vertAlign w:val="superscript"/>
              </w:rPr>
              <w:t xml:space="preserve"> </w:t>
            </w:r>
            <w:r w:rsidRPr="00C57C0F">
              <w:rPr>
                <w:rFonts w:ascii="Cambria" w:hAnsi="Cambria" w:cstheme="minorHAnsi"/>
                <w:sz w:val="18"/>
                <w:szCs w:val="18"/>
                <w:vertAlign w:val="superscript"/>
              </w:rPr>
              <w:footnoteReference w:id="81"/>
            </w:r>
          </w:p>
        </w:tc>
        <w:tc>
          <w:tcPr>
            <w:tcW w:w="1170" w:type="dxa"/>
            <w:vMerge/>
            <w:shd w:val="clear" w:color="auto" w:fill="F2F2F2" w:themeFill="background1" w:themeFillShade="F2"/>
            <w:vAlign w:val="center"/>
          </w:tcPr>
          <w:p w14:paraId="176BF41D" w14:textId="77777777" w:rsidR="001C6944" w:rsidRDefault="001C6944" w:rsidP="001C6944">
            <w:pPr>
              <w:jc w:val="center"/>
            </w:pPr>
          </w:p>
        </w:tc>
        <w:tc>
          <w:tcPr>
            <w:tcW w:w="1350" w:type="dxa"/>
            <w:vAlign w:val="center"/>
          </w:tcPr>
          <w:p w14:paraId="2380AB38" w14:textId="39E9D3F5" w:rsidR="001C6944" w:rsidRPr="00C57C0F" w:rsidRDefault="001C6944" w:rsidP="001C6944">
            <w:pPr>
              <w:widowControl w:val="0"/>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1A353D0B" w14:textId="77777777" w:rsidR="001C6944" w:rsidRPr="00C57C0F" w:rsidRDefault="001C6944" w:rsidP="001C6944">
            <w:pPr>
              <w:widowControl w:val="0"/>
              <w:jc w:val="center"/>
              <w:rPr>
                <w:rFonts w:ascii="Cambria" w:hAnsi="Cambria" w:cstheme="minorHAnsi"/>
                <w:sz w:val="18"/>
                <w:szCs w:val="18"/>
              </w:rPr>
            </w:pPr>
          </w:p>
        </w:tc>
        <w:tc>
          <w:tcPr>
            <w:tcW w:w="1170" w:type="dxa"/>
            <w:vAlign w:val="center"/>
          </w:tcPr>
          <w:p w14:paraId="07737D3B" w14:textId="77777777" w:rsidR="001C6944" w:rsidRPr="00C57C0F" w:rsidRDefault="001C6944" w:rsidP="001C6944">
            <w:pPr>
              <w:widowControl w:val="0"/>
              <w:jc w:val="center"/>
              <w:outlineLvl w:val="2"/>
              <w:rPr>
                <w:rFonts w:ascii="Cambria" w:hAnsi="Cambria" w:cstheme="minorHAnsi"/>
                <w:sz w:val="18"/>
                <w:szCs w:val="18"/>
              </w:rPr>
            </w:pPr>
          </w:p>
        </w:tc>
        <w:tc>
          <w:tcPr>
            <w:tcW w:w="1170" w:type="dxa"/>
            <w:vAlign w:val="center"/>
          </w:tcPr>
          <w:p w14:paraId="7497F6AE" w14:textId="5A752ABB"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5BF521C5"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p w14:paraId="04DF5E89" w14:textId="77777777" w:rsidR="001C6944" w:rsidRPr="00C57C0F" w:rsidRDefault="001C6944" w:rsidP="001C6944">
            <w:pPr>
              <w:jc w:val="center"/>
              <w:rPr>
                <w:rFonts w:ascii="Cambria" w:hAnsi="Cambria" w:cstheme="minorHAnsi"/>
                <w:sz w:val="18"/>
                <w:szCs w:val="18"/>
              </w:rPr>
            </w:pPr>
          </w:p>
        </w:tc>
      </w:tr>
      <w:tr w:rsidR="001C6944" w:rsidRPr="00C57C0F" w14:paraId="3F5DC5C7" w14:textId="77777777">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1ACDC3DC" w14:textId="0B792737" w:rsidR="001C6944" w:rsidRPr="00C57C0F" w:rsidRDefault="001C6944" w:rsidP="00933F91">
            <w:pPr>
              <w:widowControl w:val="0"/>
              <w:numPr>
                <w:ilvl w:val="0"/>
                <w:numId w:val="70"/>
              </w:numPr>
              <w:tabs>
                <w:tab w:val="num" w:pos="522"/>
              </w:tabs>
              <w:ind w:firstLine="0"/>
              <w:jc w:val="both"/>
              <w:outlineLvl w:val="0"/>
              <w:rPr>
                <w:rFonts w:ascii="Cambria" w:hAnsi="Cambria" w:cstheme="minorHAnsi"/>
                <w:sz w:val="18"/>
                <w:szCs w:val="18"/>
              </w:rPr>
            </w:pPr>
            <w:r w:rsidRPr="00C57C0F">
              <w:rPr>
                <w:rFonts w:ascii="Cambria" w:hAnsi="Cambria" w:cstheme="minorHAnsi"/>
                <w:sz w:val="18"/>
                <w:szCs w:val="18"/>
              </w:rPr>
              <w:t>Case 12.961 A, Report No. 105/19, Bolívar Salgado Welban and Others (Honduras)</w:t>
            </w:r>
            <w:r w:rsidRPr="00C57C0F">
              <w:rPr>
                <w:rFonts w:ascii="Cambria" w:hAnsi="Cambria" w:cstheme="minorHAnsi"/>
                <w:sz w:val="18"/>
                <w:szCs w:val="18"/>
                <w:vertAlign w:val="superscript"/>
              </w:rPr>
              <w:t xml:space="preserve"> </w:t>
            </w:r>
            <w:r w:rsidRPr="00C57C0F">
              <w:rPr>
                <w:rFonts w:ascii="Cambria" w:hAnsi="Cambria" w:cstheme="minorHAnsi"/>
                <w:sz w:val="18"/>
                <w:szCs w:val="18"/>
                <w:vertAlign w:val="superscript"/>
              </w:rPr>
              <w:footnoteReference w:id="82"/>
            </w:r>
          </w:p>
        </w:tc>
        <w:tc>
          <w:tcPr>
            <w:tcW w:w="1170" w:type="dxa"/>
            <w:vMerge/>
            <w:shd w:val="clear" w:color="auto" w:fill="F2F2F2" w:themeFill="background1" w:themeFillShade="F2"/>
            <w:vAlign w:val="center"/>
          </w:tcPr>
          <w:p w14:paraId="62DF92CE" w14:textId="77777777" w:rsidR="001C6944" w:rsidRDefault="001C6944" w:rsidP="001C6944">
            <w:pPr>
              <w:jc w:val="center"/>
            </w:pPr>
          </w:p>
        </w:tc>
        <w:tc>
          <w:tcPr>
            <w:tcW w:w="1350" w:type="dxa"/>
            <w:vAlign w:val="center"/>
          </w:tcPr>
          <w:p w14:paraId="360FD868" w14:textId="4D407B9B" w:rsidR="001C6944" w:rsidRPr="00C57C0F" w:rsidRDefault="001C6944" w:rsidP="001C6944">
            <w:pPr>
              <w:widowControl w:val="0"/>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18EDD305" w14:textId="77777777" w:rsidR="001C6944" w:rsidRPr="00C57C0F" w:rsidRDefault="001C6944" w:rsidP="001C6944">
            <w:pPr>
              <w:widowControl w:val="0"/>
              <w:jc w:val="center"/>
              <w:rPr>
                <w:rFonts w:ascii="Cambria" w:hAnsi="Cambria" w:cstheme="minorHAnsi"/>
                <w:sz w:val="18"/>
                <w:szCs w:val="18"/>
              </w:rPr>
            </w:pPr>
          </w:p>
        </w:tc>
        <w:tc>
          <w:tcPr>
            <w:tcW w:w="1170" w:type="dxa"/>
            <w:vAlign w:val="center"/>
          </w:tcPr>
          <w:p w14:paraId="76C513FF" w14:textId="77777777" w:rsidR="001C6944" w:rsidRPr="00C57C0F" w:rsidRDefault="001C6944" w:rsidP="001C6944">
            <w:pPr>
              <w:widowControl w:val="0"/>
              <w:jc w:val="center"/>
              <w:outlineLvl w:val="2"/>
              <w:rPr>
                <w:rFonts w:ascii="Cambria" w:hAnsi="Cambria" w:cstheme="minorHAnsi"/>
                <w:sz w:val="18"/>
                <w:szCs w:val="18"/>
              </w:rPr>
            </w:pPr>
          </w:p>
        </w:tc>
        <w:tc>
          <w:tcPr>
            <w:tcW w:w="1170" w:type="dxa"/>
            <w:vAlign w:val="center"/>
          </w:tcPr>
          <w:p w14:paraId="019D0BC9" w14:textId="3DD2B7FC"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57E90DBF"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p w14:paraId="00D9D219" w14:textId="77777777" w:rsidR="001C6944" w:rsidRPr="00C57C0F" w:rsidRDefault="001C6944" w:rsidP="001C6944">
            <w:pPr>
              <w:jc w:val="center"/>
              <w:rPr>
                <w:rFonts w:ascii="Cambria" w:hAnsi="Cambria" w:cstheme="minorHAnsi"/>
                <w:sz w:val="18"/>
                <w:szCs w:val="18"/>
              </w:rPr>
            </w:pPr>
          </w:p>
        </w:tc>
      </w:tr>
      <w:tr w:rsidR="001C6944" w:rsidRPr="00C57C0F" w14:paraId="3545B4AD" w14:textId="77777777">
        <w:trPr>
          <w:cnfStyle w:val="000000100000" w:firstRow="0" w:lastRow="0" w:firstColumn="0" w:lastColumn="0" w:oddVBand="0" w:evenVBand="0" w:oddHBand="1" w:evenHBand="0" w:firstRowFirstColumn="0" w:firstRowLastColumn="0" w:lastRowFirstColumn="0" w:lastRowLastColumn="0"/>
          <w:trHeight w:val="495"/>
          <w:jc w:val="center"/>
        </w:trPr>
        <w:tc>
          <w:tcPr>
            <w:tcW w:w="1620" w:type="dxa"/>
            <w:vAlign w:val="center"/>
          </w:tcPr>
          <w:p w14:paraId="45043468" w14:textId="4E311B1A" w:rsidR="001C6944" w:rsidRPr="00C57C0F" w:rsidRDefault="001C6944" w:rsidP="00933F91">
            <w:pPr>
              <w:widowControl w:val="0"/>
              <w:numPr>
                <w:ilvl w:val="0"/>
                <w:numId w:val="70"/>
              </w:numPr>
              <w:tabs>
                <w:tab w:val="num" w:pos="522"/>
              </w:tabs>
              <w:ind w:firstLine="0"/>
              <w:jc w:val="both"/>
              <w:outlineLvl w:val="0"/>
              <w:rPr>
                <w:rFonts w:ascii="Cambria" w:hAnsi="Cambria" w:cstheme="minorHAnsi"/>
                <w:sz w:val="18"/>
                <w:szCs w:val="18"/>
              </w:rPr>
            </w:pPr>
            <w:r w:rsidRPr="00C57C0F">
              <w:rPr>
                <w:rFonts w:ascii="Cambria" w:hAnsi="Cambria" w:cstheme="minorHAnsi"/>
                <w:sz w:val="18"/>
                <w:szCs w:val="18"/>
              </w:rPr>
              <w:t xml:space="preserve">Case 12.961 F, Report 20/20, Miguel Angel Chinchilla Erazo, and others </w:t>
            </w:r>
            <w:r w:rsidRPr="00C57C0F">
              <w:rPr>
                <w:rFonts w:ascii="Cambria" w:hAnsi="Cambria" w:cstheme="minorHAnsi"/>
                <w:sz w:val="18"/>
                <w:szCs w:val="18"/>
              </w:rPr>
              <w:lastRenderedPageBreak/>
              <w:t>(Honduras)</w:t>
            </w:r>
            <w:r w:rsidRPr="00C57C0F">
              <w:rPr>
                <w:rStyle w:val="FootnoteReference"/>
                <w:rFonts w:ascii="Cambria" w:hAnsi="Cambria" w:cstheme="minorHAnsi"/>
                <w:sz w:val="18"/>
                <w:szCs w:val="18"/>
              </w:rPr>
              <w:footnoteReference w:id="83"/>
            </w:r>
          </w:p>
        </w:tc>
        <w:tc>
          <w:tcPr>
            <w:tcW w:w="1170" w:type="dxa"/>
            <w:vMerge/>
            <w:shd w:val="clear" w:color="auto" w:fill="F2F2F2" w:themeFill="background1" w:themeFillShade="F2"/>
            <w:vAlign w:val="center"/>
          </w:tcPr>
          <w:p w14:paraId="4D5B5E1D" w14:textId="77777777" w:rsidR="001C6944" w:rsidRDefault="001C6944" w:rsidP="001C6944">
            <w:pPr>
              <w:jc w:val="center"/>
            </w:pPr>
          </w:p>
        </w:tc>
        <w:tc>
          <w:tcPr>
            <w:tcW w:w="1350" w:type="dxa"/>
            <w:vAlign w:val="center"/>
          </w:tcPr>
          <w:p w14:paraId="45365155" w14:textId="43F557BF" w:rsidR="001C6944" w:rsidRPr="00C57C0F" w:rsidRDefault="001C6944" w:rsidP="001C6944">
            <w:pPr>
              <w:widowControl w:val="0"/>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FDAF8B4" w14:textId="77777777" w:rsidR="001C6944" w:rsidRPr="00C57C0F" w:rsidRDefault="001C6944" w:rsidP="001C6944">
            <w:pPr>
              <w:widowControl w:val="0"/>
              <w:jc w:val="center"/>
              <w:rPr>
                <w:rFonts w:ascii="Cambria" w:hAnsi="Cambria" w:cstheme="minorHAnsi"/>
                <w:sz w:val="18"/>
                <w:szCs w:val="18"/>
              </w:rPr>
            </w:pPr>
          </w:p>
        </w:tc>
        <w:tc>
          <w:tcPr>
            <w:tcW w:w="1170" w:type="dxa"/>
            <w:vAlign w:val="center"/>
          </w:tcPr>
          <w:p w14:paraId="1E83EE87" w14:textId="77777777" w:rsidR="001C6944" w:rsidRPr="00C57C0F" w:rsidRDefault="001C6944" w:rsidP="001C6944">
            <w:pPr>
              <w:widowControl w:val="0"/>
              <w:jc w:val="center"/>
              <w:outlineLvl w:val="2"/>
              <w:rPr>
                <w:rFonts w:ascii="Cambria" w:hAnsi="Cambria" w:cstheme="minorHAnsi"/>
                <w:sz w:val="18"/>
                <w:szCs w:val="18"/>
              </w:rPr>
            </w:pPr>
          </w:p>
        </w:tc>
        <w:tc>
          <w:tcPr>
            <w:tcW w:w="1170" w:type="dxa"/>
            <w:vAlign w:val="center"/>
          </w:tcPr>
          <w:p w14:paraId="4662826A" w14:textId="36342443"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4C320063" w14:textId="095FEB12"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C6944" w:rsidRPr="00C57C0F" w14:paraId="18E97D02" w14:textId="77777777">
        <w:trPr>
          <w:cnfStyle w:val="000000010000" w:firstRow="0" w:lastRow="0" w:firstColumn="0" w:lastColumn="0" w:oddVBand="0" w:evenVBand="0" w:oddHBand="0" w:evenHBand="1" w:firstRowFirstColumn="0" w:firstRowLastColumn="0" w:lastRowFirstColumn="0" w:lastRowLastColumn="0"/>
          <w:trHeight w:val="918"/>
          <w:jc w:val="center"/>
        </w:trPr>
        <w:tc>
          <w:tcPr>
            <w:tcW w:w="1620" w:type="dxa"/>
            <w:vAlign w:val="center"/>
          </w:tcPr>
          <w:p w14:paraId="404D5056" w14:textId="77777777" w:rsidR="001C6944" w:rsidRPr="00183F07" w:rsidRDefault="001C6944" w:rsidP="00933F91">
            <w:pPr>
              <w:keepNext/>
              <w:numPr>
                <w:ilvl w:val="0"/>
                <w:numId w:val="70"/>
              </w:numPr>
              <w:tabs>
                <w:tab w:val="num" w:pos="522"/>
              </w:tabs>
              <w:ind w:firstLine="0"/>
              <w:jc w:val="both"/>
              <w:outlineLvl w:val="0"/>
              <w:rPr>
                <w:rFonts w:ascii="Cambria" w:hAnsi="Cambria" w:cstheme="minorHAnsi"/>
                <w:sz w:val="18"/>
                <w:szCs w:val="18"/>
                <w:lang w:val="es-AR"/>
              </w:rPr>
            </w:pPr>
            <w:r w:rsidRPr="00183F07">
              <w:rPr>
                <w:rFonts w:ascii="Cambria" w:hAnsi="Cambria" w:cstheme="minorHAnsi"/>
                <w:sz w:val="18"/>
                <w:szCs w:val="18"/>
                <w:lang w:val="es-AR"/>
              </w:rPr>
              <w:t>Case 12.891, Report No. 212/20, Adan Guillermo López Lone et al. (Honduras)</w:t>
            </w:r>
          </w:p>
        </w:tc>
        <w:tc>
          <w:tcPr>
            <w:tcW w:w="1170" w:type="dxa"/>
            <w:vMerge/>
            <w:shd w:val="clear" w:color="auto" w:fill="F2F2F2" w:themeFill="background1" w:themeFillShade="F2"/>
            <w:vAlign w:val="center"/>
          </w:tcPr>
          <w:p w14:paraId="710FBC72" w14:textId="77777777" w:rsidR="001C6944" w:rsidRPr="00183F07" w:rsidRDefault="001C6944" w:rsidP="001C6944">
            <w:pPr>
              <w:jc w:val="center"/>
              <w:rPr>
                <w:rFonts w:ascii="Cambria" w:hAnsi="Cambria" w:cstheme="minorHAnsi"/>
                <w:sz w:val="18"/>
                <w:szCs w:val="18"/>
                <w:lang w:val="es-AR"/>
              </w:rPr>
            </w:pPr>
          </w:p>
        </w:tc>
        <w:tc>
          <w:tcPr>
            <w:tcW w:w="1350" w:type="dxa"/>
            <w:vAlign w:val="center"/>
          </w:tcPr>
          <w:p w14:paraId="03BD4D04" w14:textId="77777777" w:rsidR="001C6944" w:rsidRPr="00183F07" w:rsidRDefault="001C6944" w:rsidP="001C6944">
            <w:pPr>
              <w:jc w:val="center"/>
              <w:rPr>
                <w:rFonts w:ascii="Cambria" w:hAnsi="Cambria" w:cstheme="minorHAnsi"/>
                <w:sz w:val="18"/>
                <w:szCs w:val="18"/>
                <w:lang w:val="es-AR"/>
              </w:rPr>
            </w:pPr>
          </w:p>
        </w:tc>
        <w:tc>
          <w:tcPr>
            <w:tcW w:w="1170" w:type="dxa"/>
            <w:vAlign w:val="center"/>
          </w:tcPr>
          <w:p w14:paraId="10403FA3"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BD61800"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2F636BED"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68%</w:t>
            </w:r>
          </w:p>
        </w:tc>
        <w:tc>
          <w:tcPr>
            <w:tcW w:w="1260" w:type="dxa"/>
            <w:vAlign w:val="center"/>
          </w:tcPr>
          <w:p w14:paraId="14303838"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206553DC"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tcW w:w="1620" w:type="dxa"/>
            <w:vAlign w:val="center"/>
          </w:tcPr>
          <w:p w14:paraId="506D8633"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12.972, Report No. 334/20, Marcelo Ramón Aguilera Aguilar (Honduras)</w:t>
            </w:r>
            <w:r w:rsidRPr="00C57C0F">
              <w:rPr>
                <w:rStyle w:val="FootnoteReference"/>
                <w:rFonts w:ascii="Cambria" w:hAnsi="Cambria" w:cstheme="minorHAnsi"/>
                <w:sz w:val="18"/>
                <w:szCs w:val="18"/>
              </w:rPr>
              <w:t xml:space="preserve"> </w:t>
            </w:r>
            <w:r w:rsidRPr="00C57C0F">
              <w:rPr>
                <w:rStyle w:val="FootnoteReference"/>
                <w:rFonts w:ascii="Cambria" w:hAnsi="Cambria" w:cstheme="minorHAnsi"/>
                <w:sz w:val="18"/>
                <w:szCs w:val="18"/>
              </w:rPr>
              <w:footnoteReference w:id="84"/>
            </w:r>
          </w:p>
        </w:tc>
        <w:tc>
          <w:tcPr>
            <w:tcW w:w="1170" w:type="dxa"/>
            <w:vMerge/>
            <w:shd w:val="clear" w:color="auto" w:fill="F2F2F2" w:themeFill="background1" w:themeFillShade="F2"/>
            <w:vAlign w:val="center"/>
          </w:tcPr>
          <w:p w14:paraId="14C22F84" w14:textId="77777777" w:rsidR="001C6944" w:rsidRPr="00C57C0F" w:rsidRDefault="001C6944" w:rsidP="001C6944">
            <w:pPr>
              <w:jc w:val="center"/>
              <w:rPr>
                <w:rFonts w:ascii="Cambria" w:hAnsi="Cambria" w:cstheme="minorHAnsi"/>
                <w:sz w:val="18"/>
                <w:szCs w:val="18"/>
              </w:rPr>
            </w:pPr>
          </w:p>
        </w:tc>
        <w:tc>
          <w:tcPr>
            <w:tcW w:w="1350" w:type="dxa"/>
            <w:vAlign w:val="center"/>
          </w:tcPr>
          <w:p w14:paraId="78A59E63"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4BA2817" w14:textId="77777777" w:rsidR="001C6944" w:rsidRPr="00C57C0F" w:rsidRDefault="001C6944" w:rsidP="001C6944">
            <w:pPr>
              <w:jc w:val="center"/>
              <w:rPr>
                <w:rFonts w:ascii="Cambria" w:hAnsi="Cambria" w:cstheme="minorHAnsi"/>
                <w:sz w:val="18"/>
                <w:szCs w:val="18"/>
              </w:rPr>
            </w:pPr>
          </w:p>
        </w:tc>
        <w:tc>
          <w:tcPr>
            <w:tcW w:w="1170" w:type="dxa"/>
            <w:vAlign w:val="center"/>
          </w:tcPr>
          <w:p w14:paraId="74A0B206"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53DA8ECF"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02A57425"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C6944" w:rsidRPr="00C57C0F" w14:paraId="382AF303" w14:textId="77777777">
        <w:trPr>
          <w:cnfStyle w:val="000000010000" w:firstRow="0" w:lastRow="0" w:firstColumn="0" w:lastColumn="0" w:oddVBand="0" w:evenVBand="0" w:oddHBand="0" w:evenHBand="1" w:firstRowFirstColumn="0" w:firstRowLastColumn="0" w:lastRowFirstColumn="0" w:lastRowLastColumn="0"/>
          <w:trHeight w:val="963"/>
          <w:jc w:val="center"/>
        </w:trPr>
        <w:tc>
          <w:tcPr>
            <w:tcW w:w="1620" w:type="dxa"/>
            <w:vAlign w:val="center"/>
          </w:tcPr>
          <w:p w14:paraId="6A4EDD0A"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Arial"/>
                <w:sz w:val="18"/>
                <w:szCs w:val="18"/>
                <w:lang w:eastAsia="es-ES_tradnl"/>
              </w:rPr>
              <w:t>Case 11.562, Report No. 40/21, Dixie Miguel Urbina Rosales (Honduras)</w:t>
            </w:r>
          </w:p>
        </w:tc>
        <w:tc>
          <w:tcPr>
            <w:tcW w:w="1170" w:type="dxa"/>
            <w:vMerge/>
            <w:shd w:val="clear" w:color="auto" w:fill="F2F2F2" w:themeFill="background1" w:themeFillShade="F2"/>
            <w:vAlign w:val="center"/>
          </w:tcPr>
          <w:p w14:paraId="6E82A95D" w14:textId="77777777" w:rsidR="001C6944" w:rsidRPr="00C57C0F" w:rsidRDefault="001C6944" w:rsidP="001C6944">
            <w:pPr>
              <w:jc w:val="center"/>
              <w:rPr>
                <w:rFonts w:ascii="Cambria" w:hAnsi="Cambria" w:cstheme="minorHAnsi"/>
                <w:sz w:val="18"/>
                <w:szCs w:val="18"/>
              </w:rPr>
            </w:pPr>
          </w:p>
        </w:tc>
        <w:tc>
          <w:tcPr>
            <w:tcW w:w="1350" w:type="dxa"/>
            <w:vAlign w:val="center"/>
          </w:tcPr>
          <w:p w14:paraId="25A841BC" w14:textId="77777777" w:rsidR="001C6944" w:rsidRPr="00C57C0F" w:rsidRDefault="001C6944" w:rsidP="001C6944">
            <w:pPr>
              <w:jc w:val="center"/>
              <w:rPr>
                <w:rFonts w:ascii="Cambria" w:hAnsi="Cambria" w:cstheme="minorHAnsi"/>
                <w:sz w:val="18"/>
                <w:szCs w:val="18"/>
              </w:rPr>
            </w:pPr>
          </w:p>
        </w:tc>
        <w:tc>
          <w:tcPr>
            <w:tcW w:w="1170" w:type="dxa"/>
            <w:vAlign w:val="center"/>
          </w:tcPr>
          <w:p w14:paraId="42EE80F8"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52D6825C"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0A53DC37"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rPr>
              <w:t>50%</w:t>
            </w:r>
          </w:p>
        </w:tc>
        <w:tc>
          <w:tcPr>
            <w:tcW w:w="1260" w:type="dxa"/>
            <w:vAlign w:val="center"/>
          </w:tcPr>
          <w:p w14:paraId="4E33E6D2"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rPr>
              <w:t>Active</w:t>
            </w:r>
          </w:p>
        </w:tc>
      </w:tr>
      <w:tr w:rsidR="001C6944" w:rsidRPr="00C57C0F" w14:paraId="36D35E5F" w14:textId="77777777">
        <w:trPr>
          <w:cnfStyle w:val="000000100000" w:firstRow="0" w:lastRow="0" w:firstColumn="0" w:lastColumn="0" w:oddVBand="0" w:evenVBand="0" w:oddHBand="1" w:evenHBand="0" w:firstRowFirstColumn="0" w:firstRowLastColumn="0" w:lastRowFirstColumn="0" w:lastRowLastColumn="0"/>
          <w:jc w:val="center"/>
        </w:trPr>
        <w:tc>
          <w:tcPr>
            <w:tcW w:w="1620" w:type="dxa"/>
            <w:vAlign w:val="center"/>
          </w:tcPr>
          <w:p w14:paraId="62B98311" w14:textId="77777777" w:rsidR="001C6944" w:rsidRPr="00C57C0F" w:rsidRDefault="001C6944" w:rsidP="00933F91">
            <w:pPr>
              <w:numPr>
                <w:ilvl w:val="0"/>
                <w:numId w:val="70"/>
              </w:numPr>
              <w:tabs>
                <w:tab w:val="num" w:pos="522"/>
              </w:tabs>
              <w:ind w:firstLine="0"/>
              <w:jc w:val="both"/>
              <w:rPr>
                <w:rFonts w:ascii="Cambria" w:hAnsi="Cambria" w:cs="Arial"/>
                <w:sz w:val="18"/>
                <w:szCs w:val="18"/>
                <w:lang w:eastAsia="es-ES_tradnl"/>
              </w:rPr>
            </w:pPr>
            <w:r w:rsidRPr="00C57C0F">
              <w:rPr>
                <w:rFonts w:ascii="Cambria" w:hAnsi="Cambria" w:cs="Arial"/>
                <w:sz w:val="18"/>
                <w:szCs w:val="18"/>
                <w:lang w:eastAsia="es-ES_tradnl"/>
              </w:rPr>
              <w:t>Case 12.961E, Report No. 42/21, Ecar Fernando Zavala Valladares and Others (Honduras)</w:t>
            </w:r>
            <w:r w:rsidRPr="00C57C0F">
              <w:rPr>
                <w:rStyle w:val="FootnoteReference"/>
                <w:rFonts w:ascii="Cambria" w:hAnsi="Cambria" w:cs="Arial"/>
                <w:sz w:val="18"/>
                <w:szCs w:val="18"/>
                <w:lang w:eastAsia="es-ES_tradnl"/>
              </w:rPr>
              <w:footnoteReference w:id="85"/>
            </w:r>
          </w:p>
        </w:tc>
        <w:tc>
          <w:tcPr>
            <w:tcW w:w="1170" w:type="dxa"/>
            <w:vMerge/>
            <w:shd w:val="clear" w:color="auto" w:fill="F2F2F2" w:themeFill="background1" w:themeFillShade="F2"/>
            <w:vAlign w:val="center"/>
          </w:tcPr>
          <w:p w14:paraId="01E6203C" w14:textId="77777777" w:rsidR="001C6944" w:rsidRPr="00C57C0F" w:rsidRDefault="001C6944" w:rsidP="001C6944">
            <w:pPr>
              <w:jc w:val="center"/>
              <w:rPr>
                <w:rFonts w:ascii="Cambria" w:hAnsi="Cambria" w:cstheme="minorHAnsi"/>
                <w:sz w:val="18"/>
                <w:szCs w:val="18"/>
              </w:rPr>
            </w:pPr>
          </w:p>
        </w:tc>
        <w:tc>
          <w:tcPr>
            <w:tcW w:w="1350" w:type="dxa"/>
            <w:vAlign w:val="center"/>
          </w:tcPr>
          <w:p w14:paraId="746F5757"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6E7691A0" w14:textId="77777777" w:rsidR="001C6944" w:rsidRPr="00C57C0F" w:rsidRDefault="001C6944" w:rsidP="001C6944">
            <w:pPr>
              <w:jc w:val="center"/>
              <w:rPr>
                <w:rFonts w:ascii="Cambria" w:hAnsi="Cambria" w:cs="Arial"/>
                <w:sz w:val="18"/>
                <w:szCs w:val="18"/>
                <w:lang w:eastAsia="es-ES_tradnl"/>
              </w:rPr>
            </w:pPr>
          </w:p>
        </w:tc>
        <w:tc>
          <w:tcPr>
            <w:tcW w:w="1170" w:type="dxa"/>
            <w:vAlign w:val="center"/>
          </w:tcPr>
          <w:p w14:paraId="55BDA2FB"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67225AC3" w14:textId="77777777" w:rsidR="001C6944" w:rsidRPr="00C57C0F" w:rsidRDefault="001C6944" w:rsidP="001C6944">
            <w:pPr>
              <w:jc w:val="center"/>
              <w:rPr>
                <w:rFonts w:ascii="Cambria" w:hAnsi="Cambria" w:cs="Arial"/>
                <w:sz w:val="18"/>
                <w:szCs w:val="18"/>
              </w:rPr>
            </w:pPr>
            <w:r w:rsidRPr="00C57C0F">
              <w:rPr>
                <w:rFonts w:ascii="Cambria" w:hAnsi="Cambria" w:cs="Arial"/>
                <w:sz w:val="18"/>
                <w:szCs w:val="18"/>
              </w:rPr>
              <w:t>100%</w:t>
            </w:r>
          </w:p>
        </w:tc>
        <w:tc>
          <w:tcPr>
            <w:tcW w:w="1260" w:type="dxa"/>
            <w:vAlign w:val="center"/>
          </w:tcPr>
          <w:p w14:paraId="2C00D40A" w14:textId="77777777" w:rsidR="001C6944" w:rsidRPr="00C57C0F" w:rsidRDefault="001C6944" w:rsidP="001C6944">
            <w:pPr>
              <w:jc w:val="center"/>
              <w:rPr>
                <w:rFonts w:ascii="Cambria" w:hAnsi="Cambria" w:cs="Arial"/>
                <w:sz w:val="18"/>
                <w:szCs w:val="18"/>
              </w:rPr>
            </w:pPr>
            <w:r w:rsidRPr="00C57C0F">
              <w:rPr>
                <w:rFonts w:ascii="Cambria" w:hAnsi="Cambria" w:cs="Arial"/>
                <w:sz w:val="18"/>
                <w:szCs w:val="18"/>
              </w:rPr>
              <w:t>Closed</w:t>
            </w:r>
          </w:p>
        </w:tc>
      </w:tr>
      <w:tr w:rsidR="001C6944" w:rsidRPr="00C57C0F" w14:paraId="0BFFF70E" w14:textId="77777777">
        <w:trPr>
          <w:cnfStyle w:val="000000010000" w:firstRow="0" w:lastRow="0" w:firstColumn="0" w:lastColumn="0" w:oddVBand="0" w:evenVBand="0" w:oddHBand="0" w:evenHBand="1" w:firstRowFirstColumn="0" w:firstRowLastColumn="0" w:lastRowFirstColumn="0" w:lastRowLastColumn="0"/>
          <w:trHeight w:val="999"/>
          <w:jc w:val="center"/>
        </w:trPr>
        <w:tc>
          <w:tcPr>
            <w:tcW w:w="1620" w:type="dxa"/>
            <w:vAlign w:val="center"/>
          </w:tcPr>
          <w:p w14:paraId="65D83B13" w14:textId="77777777" w:rsidR="001C6944" w:rsidRPr="00C57C0F" w:rsidRDefault="001C6944" w:rsidP="00933F91">
            <w:pPr>
              <w:numPr>
                <w:ilvl w:val="0"/>
                <w:numId w:val="70"/>
              </w:numPr>
              <w:tabs>
                <w:tab w:val="num" w:pos="522"/>
              </w:tabs>
              <w:ind w:firstLine="0"/>
              <w:jc w:val="both"/>
              <w:rPr>
                <w:rFonts w:ascii="Cambria" w:hAnsi="Cambria" w:cs="Arial"/>
                <w:sz w:val="18"/>
                <w:szCs w:val="18"/>
                <w:lang w:eastAsia="es-ES_tradnl"/>
              </w:rPr>
            </w:pPr>
            <w:r w:rsidRPr="00C57C0F">
              <w:rPr>
                <w:rFonts w:ascii="Cambria" w:hAnsi="Cambria" w:cs="Arial"/>
                <w:sz w:val="18"/>
                <w:szCs w:val="18"/>
                <w:lang w:eastAsia="es-ES_tradnl"/>
              </w:rPr>
              <w:t>Case 11.545, Report No. 204/21, Martha María Saire (Honduras)</w:t>
            </w:r>
          </w:p>
        </w:tc>
        <w:tc>
          <w:tcPr>
            <w:tcW w:w="1170" w:type="dxa"/>
            <w:vMerge/>
            <w:shd w:val="clear" w:color="auto" w:fill="F2F2F2" w:themeFill="background1" w:themeFillShade="F2"/>
            <w:vAlign w:val="center"/>
          </w:tcPr>
          <w:p w14:paraId="335F3C91" w14:textId="77777777" w:rsidR="001C6944" w:rsidRPr="00C57C0F" w:rsidRDefault="001C6944" w:rsidP="001C6944">
            <w:pPr>
              <w:jc w:val="center"/>
              <w:rPr>
                <w:rFonts w:ascii="Cambria" w:hAnsi="Cambria" w:cstheme="minorHAnsi"/>
                <w:sz w:val="18"/>
                <w:szCs w:val="18"/>
              </w:rPr>
            </w:pPr>
          </w:p>
        </w:tc>
        <w:tc>
          <w:tcPr>
            <w:tcW w:w="1350" w:type="dxa"/>
            <w:vAlign w:val="center"/>
          </w:tcPr>
          <w:p w14:paraId="67A35965" w14:textId="77777777" w:rsidR="001C6944" w:rsidRPr="00C57C0F" w:rsidRDefault="001C6944" w:rsidP="001C6944">
            <w:pPr>
              <w:jc w:val="center"/>
              <w:rPr>
                <w:rFonts w:ascii="Cambria" w:hAnsi="Cambria" w:cstheme="minorHAnsi"/>
                <w:sz w:val="18"/>
                <w:szCs w:val="18"/>
              </w:rPr>
            </w:pPr>
          </w:p>
        </w:tc>
        <w:tc>
          <w:tcPr>
            <w:tcW w:w="1170" w:type="dxa"/>
            <w:vAlign w:val="center"/>
          </w:tcPr>
          <w:p w14:paraId="00A965EA" w14:textId="77777777" w:rsidR="001C6944" w:rsidRPr="00C57C0F" w:rsidRDefault="001C6944" w:rsidP="001C6944">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7DB77CE6"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033F7AEC" w14:textId="77777777" w:rsidR="001C6944" w:rsidRPr="00C57C0F" w:rsidRDefault="001C6944" w:rsidP="001C6944">
            <w:pPr>
              <w:jc w:val="center"/>
              <w:rPr>
                <w:rFonts w:ascii="Cambria" w:hAnsi="Cambria" w:cs="Arial"/>
                <w:sz w:val="18"/>
                <w:szCs w:val="18"/>
              </w:rPr>
            </w:pPr>
            <w:r w:rsidRPr="00C57C0F">
              <w:rPr>
                <w:rFonts w:ascii="Cambria" w:hAnsi="Cambria" w:cs="Arial"/>
                <w:sz w:val="18"/>
                <w:szCs w:val="18"/>
              </w:rPr>
              <w:t>60%</w:t>
            </w:r>
          </w:p>
        </w:tc>
        <w:tc>
          <w:tcPr>
            <w:tcW w:w="1260" w:type="dxa"/>
            <w:vAlign w:val="center"/>
          </w:tcPr>
          <w:p w14:paraId="355B5606" w14:textId="77777777" w:rsidR="001C6944" w:rsidRPr="00C57C0F" w:rsidRDefault="001C6944" w:rsidP="001C6944">
            <w:pPr>
              <w:jc w:val="center"/>
              <w:rPr>
                <w:rFonts w:ascii="Cambria" w:hAnsi="Cambria" w:cs="Arial"/>
                <w:sz w:val="18"/>
                <w:szCs w:val="18"/>
              </w:rPr>
            </w:pPr>
            <w:r w:rsidRPr="00C57C0F">
              <w:rPr>
                <w:rFonts w:ascii="Cambria" w:hAnsi="Cambria" w:cs="Arial"/>
                <w:sz w:val="18"/>
                <w:szCs w:val="18"/>
              </w:rPr>
              <w:t>Active</w:t>
            </w:r>
          </w:p>
        </w:tc>
      </w:tr>
      <w:tr w:rsidR="001C6944" w:rsidRPr="00C57C0F" w14:paraId="558DE4AB" w14:textId="77777777">
        <w:trPr>
          <w:cnfStyle w:val="000000100000" w:firstRow="0" w:lastRow="0" w:firstColumn="0" w:lastColumn="0" w:oddVBand="0" w:evenVBand="0" w:oddHBand="1" w:evenHBand="0" w:firstRowFirstColumn="0" w:firstRowLastColumn="0" w:lastRowFirstColumn="0" w:lastRowLastColumn="0"/>
          <w:trHeight w:val="990"/>
          <w:jc w:val="center"/>
        </w:trPr>
        <w:tc>
          <w:tcPr>
            <w:tcW w:w="1620" w:type="dxa"/>
            <w:vAlign w:val="center"/>
          </w:tcPr>
          <w:p w14:paraId="75B59A84" w14:textId="77777777" w:rsidR="001C6944" w:rsidRPr="00C57C0F" w:rsidRDefault="001C6944" w:rsidP="00933F91">
            <w:pPr>
              <w:numPr>
                <w:ilvl w:val="0"/>
                <w:numId w:val="70"/>
              </w:numPr>
              <w:tabs>
                <w:tab w:val="num" w:pos="522"/>
              </w:tabs>
              <w:ind w:firstLine="0"/>
              <w:jc w:val="both"/>
              <w:rPr>
                <w:rFonts w:ascii="Cambria" w:hAnsi="Cambria" w:cs="Arial"/>
                <w:sz w:val="18"/>
                <w:szCs w:val="18"/>
                <w:lang w:eastAsia="es-ES_tradnl"/>
              </w:rPr>
            </w:pPr>
            <w:r w:rsidRPr="00C57C0F">
              <w:rPr>
                <w:rFonts w:ascii="Cambria" w:hAnsi="Cambria" w:cs="Arial"/>
                <w:sz w:val="18"/>
                <w:szCs w:val="18"/>
                <w:lang w:eastAsia="es-ES_tradnl"/>
              </w:rPr>
              <w:t>Case 12.961J, Report No. 205/21, Faustino Garcia Cárdenas and Other (Honduras)</w:t>
            </w:r>
            <w:r w:rsidRPr="00C57C0F">
              <w:rPr>
                <w:rStyle w:val="FootnoteReference"/>
                <w:rFonts w:ascii="Cambria" w:hAnsi="Cambria" w:cs="Arial"/>
                <w:sz w:val="18"/>
                <w:szCs w:val="18"/>
                <w:lang w:eastAsia="es-ES_tradnl"/>
              </w:rPr>
              <w:footnoteReference w:id="86"/>
            </w:r>
          </w:p>
        </w:tc>
        <w:tc>
          <w:tcPr>
            <w:tcW w:w="1170" w:type="dxa"/>
            <w:vMerge/>
            <w:shd w:val="clear" w:color="auto" w:fill="F2F2F2" w:themeFill="background1" w:themeFillShade="F2"/>
            <w:vAlign w:val="center"/>
          </w:tcPr>
          <w:p w14:paraId="52F5B044" w14:textId="77777777" w:rsidR="001C6944" w:rsidRPr="00C57C0F" w:rsidRDefault="001C6944" w:rsidP="001C6944">
            <w:pPr>
              <w:jc w:val="center"/>
              <w:rPr>
                <w:rFonts w:ascii="Cambria" w:hAnsi="Cambria" w:cstheme="minorHAnsi"/>
                <w:sz w:val="18"/>
                <w:szCs w:val="18"/>
              </w:rPr>
            </w:pPr>
          </w:p>
        </w:tc>
        <w:tc>
          <w:tcPr>
            <w:tcW w:w="1350" w:type="dxa"/>
            <w:vAlign w:val="center"/>
          </w:tcPr>
          <w:p w14:paraId="3677F35A"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32BF8496" w14:textId="77777777" w:rsidR="001C6944" w:rsidRPr="00C57C0F" w:rsidRDefault="001C6944" w:rsidP="001C6944">
            <w:pPr>
              <w:jc w:val="center"/>
              <w:rPr>
                <w:rFonts w:ascii="Cambria" w:hAnsi="Cambria" w:cs="Arial"/>
                <w:sz w:val="18"/>
                <w:szCs w:val="18"/>
                <w:lang w:eastAsia="es-ES_tradnl"/>
              </w:rPr>
            </w:pPr>
          </w:p>
        </w:tc>
        <w:tc>
          <w:tcPr>
            <w:tcW w:w="1170" w:type="dxa"/>
            <w:vAlign w:val="center"/>
          </w:tcPr>
          <w:p w14:paraId="784E2D81"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6A34A4D9" w14:textId="77777777" w:rsidR="001C6944" w:rsidRPr="00C57C0F" w:rsidRDefault="001C6944" w:rsidP="001C6944">
            <w:pPr>
              <w:jc w:val="center"/>
              <w:rPr>
                <w:rFonts w:ascii="Cambria" w:hAnsi="Cambria" w:cs="Arial"/>
                <w:sz w:val="18"/>
                <w:szCs w:val="18"/>
              </w:rPr>
            </w:pPr>
            <w:r w:rsidRPr="00C57C0F">
              <w:rPr>
                <w:rFonts w:ascii="Cambria" w:hAnsi="Cambria" w:cs="Arial"/>
                <w:sz w:val="18"/>
                <w:szCs w:val="18"/>
              </w:rPr>
              <w:t>100%</w:t>
            </w:r>
          </w:p>
        </w:tc>
        <w:tc>
          <w:tcPr>
            <w:tcW w:w="1260" w:type="dxa"/>
            <w:vAlign w:val="center"/>
          </w:tcPr>
          <w:p w14:paraId="00A503C2" w14:textId="77777777" w:rsidR="001C6944" w:rsidRPr="00C57C0F" w:rsidRDefault="001C6944" w:rsidP="001C6944">
            <w:pPr>
              <w:jc w:val="center"/>
              <w:rPr>
                <w:rFonts w:ascii="Cambria" w:hAnsi="Cambria" w:cs="Arial"/>
                <w:sz w:val="18"/>
                <w:szCs w:val="18"/>
              </w:rPr>
            </w:pPr>
            <w:r w:rsidRPr="00C57C0F">
              <w:rPr>
                <w:rFonts w:ascii="Cambria" w:hAnsi="Cambria" w:cs="Arial"/>
                <w:sz w:val="18"/>
                <w:szCs w:val="18"/>
              </w:rPr>
              <w:t>Closed</w:t>
            </w:r>
          </w:p>
        </w:tc>
      </w:tr>
      <w:tr w:rsidR="001C6944" w:rsidRPr="00C57C0F" w14:paraId="284EC68F" w14:textId="77777777" w:rsidTr="00393C72">
        <w:trPr>
          <w:cnfStyle w:val="000000010000" w:firstRow="0" w:lastRow="0" w:firstColumn="0" w:lastColumn="0" w:oddVBand="0" w:evenVBand="0" w:oddHBand="0" w:evenHBand="1" w:firstRowFirstColumn="0" w:firstRowLastColumn="0" w:lastRowFirstColumn="0" w:lastRowLastColumn="0"/>
          <w:trHeight w:val="567"/>
          <w:jc w:val="center"/>
        </w:trPr>
        <w:tc>
          <w:tcPr>
            <w:tcW w:w="1620" w:type="dxa"/>
            <w:vAlign w:val="center"/>
          </w:tcPr>
          <w:p w14:paraId="3F8A60FE" w14:textId="77777777" w:rsidR="001C6944" w:rsidRPr="00C57C0F" w:rsidRDefault="001C6944" w:rsidP="00933F91">
            <w:pPr>
              <w:numPr>
                <w:ilvl w:val="0"/>
                <w:numId w:val="70"/>
              </w:numPr>
              <w:tabs>
                <w:tab w:val="num" w:pos="522"/>
              </w:tabs>
              <w:ind w:firstLine="0"/>
              <w:jc w:val="both"/>
              <w:rPr>
                <w:rFonts w:ascii="Cambria" w:hAnsi="Cambria" w:cs="Arial"/>
                <w:sz w:val="18"/>
                <w:szCs w:val="18"/>
                <w:lang w:eastAsia="es-ES_tradnl"/>
              </w:rPr>
            </w:pPr>
            <w:r w:rsidRPr="00C57C0F">
              <w:rPr>
                <w:rFonts w:ascii="Cambria" w:hAnsi="Cambria" w:cs="Arial"/>
                <w:sz w:val="18"/>
                <w:szCs w:val="18"/>
                <w:lang w:eastAsia="es-ES_tradnl"/>
              </w:rPr>
              <w:t xml:space="preserve">Case 12.960, Report No. 269/21, Ronald Jared </w:t>
            </w:r>
            <w:r w:rsidRPr="00C57C0F">
              <w:rPr>
                <w:rFonts w:ascii="Cambria" w:hAnsi="Cambria" w:cs="Arial"/>
                <w:sz w:val="18"/>
                <w:szCs w:val="18"/>
                <w:lang w:eastAsia="es-ES_tradnl"/>
              </w:rPr>
              <w:lastRenderedPageBreak/>
              <w:t>Martínez (Honduras)</w:t>
            </w:r>
            <w:r w:rsidRPr="00C57C0F">
              <w:rPr>
                <w:rStyle w:val="FootnoteReference"/>
                <w:rFonts w:ascii="Cambria" w:hAnsi="Cambria" w:cs="Arial"/>
                <w:sz w:val="18"/>
                <w:szCs w:val="18"/>
                <w:lang w:eastAsia="es-ES_tradnl"/>
              </w:rPr>
              <w:footnoteReference w:id="87"/>
            </w:r>
          </w:p>
        </w:tc>
        <w:tc>
          <w:tcPr>
            <w:tcW w:w="1170" w:type="dxa"/>
            <w:vMerge/>
            <w:shd w:val="clear" w:color="auto" w:fill="F2F2F2" w:themeFill="background1" w:themeFillShade="F2"/>
            <w:vAlign w:val="center"/>
          </w:tcPr>
          <w:p w14:paraId="3AB7D2A8" w14:textId="77777777" w:rsidR="001C6944" w:rsidRPr="00C57C0F" w:rsidRDefault="001C6944" w:rsidP="001C6944">
            <w:pPr>
              <w:jc w:val="center"/>
              <w:rPr>
                <w:rFonts w:ascii="Cambria" w:hAnsi="Cambria" w:cstheme="minorHAnsi"/>
                <w:sz w:val="18"/>
                <w:szCs w:val="18"/>
              </w:rPr>
            </w:pPr>
          </w:p>
        </w:tc>
        <w:tc>
          <w:tcPr>
            <w:tcW w:w="1350" w:type="dxa"/>
            <w:vAlign w:val="center"/>
          </w:tcPr>
          <w:p w14:paraId="39193D77" w14:textId="77777777" w:rsidR="001C6944" w:rsidRPr="00C57C0F" w:rsidRDefault="001C6944" w:rsidP="001C6944">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1857CE2F" w14:textId="77777777" w:rsidR="001C6944" w:rsidRPr="00C57C0F" w:rsidRDefault="001C6944" w:rsidP="001C6944">
            <w:pPr>
              <w:jc w:val="center"/>
              <w:rPr>
                <w:rFonts w:ascii="Cambria" w:hAnsi="Cambria" w:cs="Arial"/>
                <w:sz w:val="18"/>
                <w:szCs w:val="18"/>
                <w:lang w:eastAsia="es-ES_tradnl"/>
              </w:rPr>
            </w:pPr>
          </w:p>
        </w:tc>
        <w:tc>
          <w:tcPr>
            <w:tcW w:w="1170" w:type="dxa"/>
            <w:vAlign w:val="center"/>
          </w:tcPr>
          <w:p w14:paraId="7B8D8D47"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0071E371" w14:textId="77777777" w:rsidR="001C6944" w:rsidRPr="00C57C0F" w:rsidRDefault="001C6944" w:rsidP="001C6944">
            <w:pPr>
              <w:jc w:val="center"/>
              <w:rPr>
                <w:rFonts w:ascii="Cambria" w:hAnsi="Cambria" w:cs="Arial"/>
                <w:sz w:val="18"/>
                <w:szCs w:val="18"/>
              </w:rPr>
            </w:pPr>
            <w:r w:rsidRPr="00C57C0F">
              <w:rPr>
                <w:rFonts w:ascii="Cambria" w:hAnsi="Cambria" w:cs="Arial"/>
                <w:sz w:val="18"/>
                <w:szCs w:val="18"/>
              </w:rPr>
              <w:t>100%</w:t>
            </w:r>
          </w:p>
        </w:tc>
        <w:tc>
          <w:tcPr>
            <w:tcW w:w="1260" w:type="dxa"/>
            <w:vAlign w:val="center"/>
          </w:tcPr>
          <w:p w14:paraId="2C2F2943" w14:textId="77777777" w:rsidR="001C6944" w:rsidRPr="00C57C0F" w:rsidRDefault="001C6944" w:rsidP="001C6944">
            <w:pPr>
              <w:jc w:val="center"/>
              <w:rPr>
                <w:rFonts w:ascii="Cambria" w:hAnsi="Cambria" w:cs="Arial"/>
                <w:sz w:val="18"/>
                <w:szCs w:val="18"/>
              </w:rPr>
            </w:pPr>
            <w:r w:rsidRPr="00C57C0F">
              <w:rPr>
                <w:rFonts w:ascii="Cambria" w:hAnsi="Cambria" w:cs="Arial"/>
                <w:sz w:val="18"/>
                <w:szCs w:val="18"/>
              </w:rPr>
              <w:t>Closed</w:t>
            </w:r>
          </w:p>
        </w:tc>
      </w:tr>
      <w:tr w:rsidR="001C6944" w:rsidRPr="00C57C0F" w14:paraId="55BA0094" w14:textId="77777777">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71242B68" w14:textId="77777777" w:rsidR="001C6944" w:rsidRPr="00C57C0F" w:rsidRDefault="001C6944" w:rsidP="00933F91">
            <w:pPr>
              <w:numPr>
                <w:ilvl w:val="0"/>
                <w:numId w:val="70"/>
              </w:numPr>
              <w:tabs>
                <w:tab w:val="num" w:pos="522"/>
              </w:tabs>
              <w:ind w:firstLine="0"/>
              <w:jc w:val="both"/>
              <w:rPr>
                <w:rFonts w:ascii="Cambria" w:hAnsi="Cambria" w:cs="Arial"/>
                <w:sz w:val="18"/>
                <w:szCs w:val="18"/>
                <w:lang w:eastAsia="es-ES_tradnl"/>
              </w:rPr>
            </w:pPr>
            <w:r w:rsidRPr="00C57C0F">
              <w:rPr>
                <w:rFonts w:ascii="Cambria" w:hAnsi="Cambria" w:cs="Arial"/>
                <w:sz w:val="18"/>
                <w:szCs w:val="18"/>
                <w:lang w:eastAsia="es-ES_tradnl"/>
              </w:rPr>
              <w:t>Case 12.960 H, Report No. 287/22, Juan González, and others. (Honduras)</w:t>
            </w:r>
            <w:r w:rsidRPr="00C57C0F">
              <w:rPr>
                <w:rStyle w:val="FootnoteReference"/>
                <w:rFonts w:ascii="Cambria" w:hAnsi="Cambria" w:cs="Arial"/>
                <w:sz w:val="18"/>
                <w:szCs w:val="18"/>
                <w:lang w:eastAsia="es-ES_tradnl"/>
              </w:rPr>
              <w:footnoteReference w:id="88"/>
            </w:r>
          </w:p>
        </w:tc>
        <w:tc>
          <w:tcPr>
            <w:tcW w:w="1170" w:type="dxa"/>
            <w:vMerge/>
            <w:shd w:val="clear" w:color="auto" w:fill="F2F2F2" w:themeFill="background1" w:themeFillShade="F2"/>
            <w:vAlign w:val="center"/>
          </w:tcPr>
          <w:p w14:paraId="13A239F8" w14:textId="77777777" w:rsidR="001C6944" w:rsidRPr="00C57C0F" w:rsidRDefault="001C6944" w:rsidP="001C6944">
            <w:pPr>
              <w:jc w:val="center"/>
              <w:rPr>
                <w:rFonts w:ascii="Cambria" w:hAnsi="Cambria" w:cstheme="minorHAnsi"/>
                <w:sz w:val="18"/>
                <w:szCs w:val="18"/>
              </w:rPr>
            </w:pPr>
          </w:p>
        </w:tc>
        <w:tc>
          <w:tcPr>
            <w:tcW w:w="1350" w:type="dxa"/>
            <w:vAlign w:val="center"/>
          </w:tcPr>
          <w:p w14:paraId="5196A0A8" w14:textId="77777777" w:rsidR="001C6944" w:rsidRPr="00C57C0F" w:rsidRDefault="001C6944" w:rsidP="001C6944">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1A9E2466" w14:textId="77777777" w:rsidR="001C6944" w:rsidRPr="00C57C0F" w:rsidRDefault="001C6944" w:rsidP="001C6944">
            <w:pPr>
              <w:jc w:val="center"/>
              <w:rPr>
                <w:rFonts w:ascii="Cambria" w:hAnsi="Cambria" w:cs="Arial"/>
                <w:sz w:val="18"/>
                <w:szCs w:val="18"/>
                <w:lang w:eastAsia="es-ES_tradnl"/>
              </w:rPr>
            </w:pPr>
          </w:p>
        </w:tc>
        <w:tc>
          <w:tcPr>
            <w:tcW w:w="1170" w:type="dxa"/>
            <w:vAlign w:val="center"/>
          </w:tcPr>
          <w:p w14:paraId="3FE72EF4"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23010E93" w14:textId="77777777" w:rsidR="001C6944" w:rsidRPr="00C57C0F" w:rsidRDefault="001C6944" w:rsidP="001C6944">
            <w:pPr>
              <w:jc w:val="center"/>
              <w:rPr>
                <w:rFonts w:ascii="Cambria" w:hAnsi="Cambria" w:cs="Arial"/>
                <w:sz w:val="18"/>
                <w:szCs w:val="18"/>
              </w:rPr>
            </w:pPr>
            <w:r w:rsidRPr="00C57C0F">
              <w:rPr>
                <w:rFonts w:ascii="Cambria" w:hAnsi="Cambria" w:cs="Arial"/>
                <w:sz w:val="18"/>
                <w:szCs w:val="18"/>
              </w:rPr>
              <w:t>100%</w:t>
            </w:r>
          </w:p>
        </w:tc>
        <w:tc>
          <w:tcPr>
            <w:tcW w:w="1260" w:type="dxa"/>
            <w:vAlign w:val="center"/>
          </w:tcPr>
          <w:p w14:paraId="7A98DF43" w14:textId="77777777" w:rsidR="001C6944" w:rsidRPr="00C57C0F" w:rsidRDefault="001C6944" w:rsidP="001C6944">
            <w:pPr>
              <w:jc w:val="center"/>
              <w:rPr>
                <w:rFonts w:ascii="Cambria" w:hAnsi="Cambria" w:cs="Arial"/>
                <w:sz w:val="18"/>
                <w:szCs w:val="18"/>
              </w:rPr>
            </w:pPr>
            <w:r w:rsidRPr="00C57C0F">
              <w:rPr>
                <w:rFonts w:ascii="Cambria" w:hAnsi="Cambria" w:cs="Arial"/>
                <w:sz w:val="18"/>
                <w:szCs w:val="18"/>
              </w:rPr>
              <w:t>Closed 2022</w:t>
            </w:r>
          </w:p>
        </w:tc>
      </w:tr>
      <w:tr w:rsidR="001C6944" w:rsidRPr="00C57C0F" w14:paraId="7D2B5F67" w14:textId="77777777">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5BB515B1" w14:textId="77777777" w:rsidR="001C6944" w:rsidRPr="00C57C0F" w:rsidRDefault="001C6944" w:rsidP="00933F91">
            <w:pPr>
              <w:numPr>
                <w:ilvl w:val="0"/>
                <w:numId w:val="70"/>
              </w:numPr>
              <w:tabs>
                <w:tab w:val="num" w:pos="522"/>
              </w:tabs>
              <w:ind w:firstLine="0"/>
              <w:jc w:val="both"/>
              <w:rPr>
                <w:rFonts w:ascii="Cambria" w:hAnsi="Cambria" w:cs="Arial"/>
                <w:sz w:val="18"/>
                <w:szCs w:val="18"/>
                <w:lang w:eastAsia="es-ES_tradnl"/>
              </w:rPr>
            </w:pPr>
            <w:r w:rsidRPr="00C57C0F">
              <w:rPr>
                <w:rFonts w:ascii="Cambria" w:hAnsi="Cambria" w:cs="Arial"/>
                <w:sz w:val="18"/>
                <w:szCs w:val="18"/>
                <w:lang w:eastAsia="es-ES_tradnl"/>
              </w:rPr>
              <w:t>Case 12.960 I, Report No. 288/22, Transito Edgardo Arriaga López and others. (Honduras)</w:t>
            </w:r>
            <w:r w:rsidRPr="00C57C0F">
              <w:rPr>
                <w:rStyle w:val="FootnoteReference"/>
                <w:rFonts w:ascii="Cambria" w:hAnsi="Cambria" w:cs="Arial"/>
                <w:sz w:val="18"/>
                <w:szCs w:val="18"/>
                <w:lang w:eastAsia="es-ES_tradnl"/>
              </w:rPr>
              <w:footnoteReference w:id="89"/>
            </w:r>
          </w:p>
        </w:tc>
        <w:tc>
          <w:tcPr>
            <w:tcW w:w="1170" w:type="dxa"/>
            <w:vMerge/>
            <w:shd w:val="clear" w:color="auto" w:fill="F2F2F2" w:themeFill="background1" w:themeFillShade="F2"/>
            <w:vAlign w:val="center"/>
          </w:tcPr>
          <w:p w14:paraId="4D0DFEAB" w14:textId="77777777" w:rsidR="001C6944" w:rsidRPr="00C57C0F" w:rsidRDefault="001C6944" w:rsidP="001C6944">
            <w:pPr>
              <w:jc w:val="center"/>
              <w:rPr>
                <w:rFonts w:ascii="Cambria" w:hAnsi="Cambria" w:cstheme="minorHAnsi"/>
                <w:sz w:val="18"/>
                <w:szCs w:val="18"/>
              </w:rPr>
            </w:pPr>
          </w:p>
        </w:tc>
        <w:tc>
          <w:tcPr>
            <w:tcW w:w="1350" w:type="dxa"/>
            <w:vAlign w:val="center"/>
          </w:tcPr>
          <w:p w14:paraId="2CEFB805"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03735FC0" w14:textId="77777777" w:rsidR="001C6944" w:rsidRPr="00C57C0F" w:rsidRDefault="001C6944" w:rsidP="001C6944">
            <w:pPr>
              <w:jc w:val="center"/>
              <w:rPr>
                <w:rFonts w:ascii="Cambria" w:hAnsi="Cambria" w:cs="Arial"/>
                <w:sz w:val="18"/>
                <w:szCs w:val="18"/>
                <w:lang w:eastAsia="es-ES_tradnl"/>
              </w:rPr>
            </w:pPr>
          </w:p>
        </w:tc>
        <w:tc>
          <w:tcPr>
            <w:tcW w:w="1170" w:type="dxa"/>
            <w:vAlign w:val="center"/>
          </w:tcPr>
          <w:p w14:paraId="7C2D0A9C"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66FCF5E9" w14:textId="77777777" w:rsidR="001C6944" w:rsidRPr="00C57C0F" w:rsidRDefault="001C6944" w:rsidP="001C6944">
            <w:pPr>
              <w:jc w:val="center"/>
              <w:rPr>
                <w:rFonts w:ascii="Cambria" w:hAnsi="Cambria" w:cs="Arial"/>
                <w:sz w:val="18"/>
                <w:szCs w:val="18"/>
              </w:rPr>
            </w:pPr>
            <w:r w:rsidRPr="00C57C0F">
              <w:rPr>
                <w:rFonts w:ascii="Cambria" w:hAnsi="Cambria" w:cs="Arial"/>
                <w:sz w:val="18"/>
                <w:szCs w:val="18"/>
              </w:rPr>
              <w:t>100%</w:t>
            </w:r>
          </w:p>
        </w:tc>
        <w:tc>
          <w:tcPr>
            <w:tcW w:w="1260" w:type="dxa"/>
            <w:vAlign w:val="center"/>
          </w:tcPr>
          <w:p w14:paraId="1172D393" w14:textId="77777777" w:rsidR="001C6944" w:rsidRPr="00C57C0F" w:rsidRDefault="001C6944" w:rsidP="001C6944">
            <w:pPr>
              <w:jc w:val="center"/>
              <w:rPr>
                <w:rFonts w:ascii="Cambria" w:hAnsi="Cambria" w:cs="Arial"/>
                <w:sz w:val="18"/>
                <w:szCs w:val="18"/>
              </w:rPr>
            </w:pPr>
            <w:r w:rsidRPr="00C57C0F">
              <w:rPr>
                <w:rFonts w:ascii="Cambria" w:hAnsi="Cambria" w:cs="Arial"/>
                <w:sz w:val="18"/>
                <w:szCs w:val="18"/>
              </w:rPr>
              <w:t>Closed 2022</w:t>
            </w:r>
          </w:p>
        </w:tc>
      </w:tr>
      <w:tr w:rsidR="001C6944" w:rsidRPr="00C57C0F" w14:paraId="618F5BC6" w14:textId="77777777">
        <w:trPr>
          <w:cnfStyle w:val="000000100000" w:firstRow="0" w:lastRow="0" w:firstColumn="0" w:lastColumn="0" w:oddVBand="0" w:evenVBand="0" w:oddHBand="1" w:evenHBand="0" w:firstRowFirstColumn="0" w:firstRowLastColumn="0" w:lastRowFirstColumn="0" w:lastRowLastColumn="0"/>
          <w:trHeight w:val="963"/>
          <w:jc w:val="center"/>
        </w:trPr>
        <w:tc>
          <w:tcPr>
            <w:tcW w:w="1620" w:type="dxa"/>
            <w:vAlign w:val="center"/>
          </w:tcPr>
          <w:p w14:paraId="03F7EAAF" w14:textId="77777777" w:rsidR="001C6944" w:rsidRPr="00352AC9" w:rsidRDefault="001C6944" w:rsidP="00933F91">
            <w:pPr>
              <w:numPr>
                <w:ilvl w:val="0"/>
                <w:numId w:val="70"/>
              </w:numPr>
              <w:tabs>
                <w:tab w:val="num" w:pos="522"/>
              </w:tabs>
              <w:ind w:firstLine="0"/>
              <w:jc w:val="both"/>
              <w:rPr>
                <w:rFonts w:ascii="Cambria" w:hAnsi="Cambria" w:cstheme="minorHAnsi"/>
                <w:sz w:val="18"/>
                <w:szCs w:val="18"/>
                <w:lang w:val="pt-BR"/>
              </w:rPr>
            </w:pPr>
            <w:r w:rsidRPr="00352AC9">
              <w:rPr>
                <w:rFonts w:ascii="Cambria" w:hAnsi="Cambria" w:cstheme="minorHAnsi"/>
                <w:sz w:val="18"/>
                <w:szCs w:val="18"/>
                <w:lang w:val="pt-BR"/>
              </w:rPr>
              <w:t>Case 11.807, Report No. 69/03, José Guadarrama (Mexico)</w:t>
            </w:r>
            <w:r w:rsidRPr="00C57C0F">
              <w:rPr>
                <w:rFonts w:ascii="Cambria" w:hAnsi="Cambria" w:cstheme="minorHAnsi"/>
                <w:sz w:val="18"/>
                <w:szCs w:val="18"/>
                <w:vertAlign w:val="superscript"/>
              </w:rPr>
              <w:footnoteReference w:id="90"/>
            </w:r>
          </w:p>
        </w:tc>
        <w:tc>
          <w:tcPr>
            <w:tcW w:w="1170" w:type="dxa"/>
            <w:vMerge w:val="restart"/>
            <w:shd w:val="clear" w:color="auto" w:fill="BFBFBF" w:themeFill="background1" w:themeFillShade="BF"/>
            <w:vAlign w:val="center"/>
          </w:tcPr>
          <w:p w14:paraId="58F2DD37" w14:textId="2274D4A6" w:rsidR="001C6944" w:rsidRPr="00C57C0F" w:rsidRDefault="0071198A" w:rsidP="001C6944">
            <w:pPr>
              <w:jc w:val="center"/>
              <w:rPr>
                <w:rFonts w:ascii="Cambria" w:hAnsi="Cambria" w:cstheme="minorHAnsi"/>
                <w:sz w:val="18"/>
                <w:szCs w:val="18"/>
              </w:rPr>
            </w:pPr>
            <w:hyperlink r:id="rId64" w:history="1">
              <w:r w:rsidR="001C6944" w:rsidRPr="00C74157">
                <w:rPr>
                  <w:rStyle w:val="Hyperlink"/>
                  <w:rFonts w:ascii="Cambria" w:eastAsiaTheme="minorHAnsi" w:hAnsi="Cambria" w:cstheme="minorHAnsi"/>
                  <w:sz w:val="18"/>
                  <w:szCs w:val="18"/>
                </w:rPr>
                <w:t>Link to monitoring sheets on matters related to reports of friendly settlement agreements of Mexico that are subject to monitoring</w:t>
              </w:r>
            </w:hyperlink>
            <w:r w:rsidR="001C6944" w:rsidRPr="00C57C0F">
              <w:rPr>
                <w:rFonts w:ascii="Cambria" w:hAnsi="Cambria" w:cstheme="minorHAnsi"/>
                <w:sz w:val="18"/>
                <w:szCs w:val="18"/>
              </w:rPr>
              <w:t xml:space="preserve"> </w:t>
            </w:r>
          </w:p>
        </w:tc>
        <w:tc>
          <w:tcPr>
            <w:tcW w:w="1350" w:type="dxa"/>
            <w:vAlign w:val="center"/>
          </w:tcPr>
          <w:p w14:paraId="781D762C"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1D4B651B" w14:textId="77777777" w:rsidR="001C6944" w:rsidRPr="00C57C0F" w:rsidRDefault="001C6944" w:rsidP="001C6944">
            <w:pPr>
              <w:jc w:val="center"/>
              <w:rPr>
                <w:rFonts w:ascii="Cambria" w:hAnsi="Cambria" w:cstheme="minorHAnsi"/>
                <w:sz w:val="18"/>
                <w:szCs w:val="18"/>
              </w:rPr>
            </w:pPr>
          </w:p>
        </w:tc>
        <w:tc>
          <w:tcPr>
            <w:tcW w:w="1170" w:type="dxa"/>
            <w:vAlign w:val="center"/>
          </w:tcPr>
          <w:p w14:paraId="70727EAB"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7372595C"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04DB065A"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46596491" w14:textId="77777777">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53C093CB" w14:textId="77777777" w:rsidR="001C6944" w:rsidRPr="00352AC9" w:rsidRDefault="001C6944"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Petition 388-01, Report 101/05 Alejandro Ortiz Ramírez (Mexico)</w:t>
            </w:r>
            <w:r w:rsidRPr="00C57C0F">
              <w:rPr>
                <w:rFonts w:ascii="Cambria" w:hAnsi="Cambria" w:cstheme="minorHAnsi"/>
                <w:sz w:val="18"/>
                <w:szCs w:val="18"/>
                <w:vertAlign w:val="superscript"/>
              </w:rPr>
              <w:footnoteReference w:id="91"/>
            </w:r>
          </w:p>
        </w:tc>
        <w:tc>
          <w:tcPr>
            <w:tcW w:w="1170" w:type="dxa"/>
            <w:vMerge/>
            <w:shd w:val="clear" w:color="auto" w:fill="BFBFBF" w:themeFill="background1" w:themeFillShade="BF"/>
            <w:vAlign w:val="center"/>
          </w:tcPr>
          <w:p w14:paraId="1DF2BCEC" w14:textId="77777777" w:rsidR="001C6944" w:rsidRPr="00352AC9" w:rsidRDefault="001C6944" w:rsidP="001C6944">
            <w:pPr>
              <w:jc w:val="center"/>
              <w:rPr>
                <w:rFonts w:ascii="Cambria" w:hAnsi="Cambria" w:cstheme="minorHAnsi"/>
                <w:sz w:val="18"/>
                <w:szCs w:val="18"/>
                <w:lang w:val="es-AR"/>
              </w:rPr>
            </w:pPr>
          </w:p>
        </w:tc>
        <w:tc>
          <w:tcPr>
            <w:tcW w:w="1350" w:type="dxa"/>
            <w:vAlign w:val="center"/>
          </w:tcPr>
          <w:p w14:paraId="04466BFA"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1CA8F8D0" w14:textId="77777777" w:rsidR="001C6944" w:rsidRPr="00C57C0F" w:rsidRDefault="001C6944" w:rsidP="001C6944">
            <w:pPr>
              <w:jc w:val="center"/>
              <w:rPr>
                <w:rFonts w:ascii="Cambria" w:hAnsi="Cambria" w:cstheme="minorHAnsi"/>
                <w:sz w:val="18"/>
                <w:szCs w:val="18"/>
              </w:rPr>
            </w:pPr>
          </w:p>
        </w:tc>
        <w:tc>
          <w:tcPr>
            <w:tcW w:w="1170" w:type="dxa"/>
            <w:vAlign w:val="center"/>
          </w:tcPr>
          <w:p w14:paraId="195E16BC"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499AF599"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58CCDD7A"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460DBD26" w14:textId="77777777">
        <w:trPr>
          <w:cnfStyle w:val="000000100000" w:firstRow="0" w:lastRow="0" w:firstColumn="0" w:lastColumn="0" w:oddVBand="0" w:evenVBand="0" w:oddHBand="1" w:evenHBand="0" w:firstRowFirstColumn="0" w:firstRowLastColumn="0" w:lastRowFirstColumn="0" w:lastRowLastColumn="0"/>
          <w:trHeight w:val="1134"/>
          <w:jc w:val="center"/>
        </w:trPr>
        <w:tc>
          <w:tcPr>
            <w:tcW w:w="1620" w:type="dxa"/>
            <w:vAlign w:val="center"/>
          </w:tcPr>
          <w:p w14:paraId="6E73E0F2" w14:textId="77777777" w:rsidR="001C6944" w:rsidRPr="00352AC9" w:rsidRDefault="001C6944"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Petition 161-02, Report No. 21/07, Paulina del Carmen Ramírez Jacinto (Mexico)</w:t>
            </w:r>
            <w:r w:rsidRPr="00C57C0F">
              <w:rPr>
                <w:rFonts w:ascii="Cambria" w:hAnsi="Cambria" w:cstheme="minorHAnsi"/>
                <w:sz w:val="18"/>
                <w:szCs w:val="18"/>
                <w:vertAlign w:val="superscript"/>
              </w:rPr>
              <w:footnoteReference w:id="92"/>
            </w:r>
          </w:p>
        </w:tc>
        <w:tc>
          <w:tcPr>
            <w:tcW w:w="1170" w:type="dxa"/>
            <w:vMerge/>
            <w:shd w:val="clear" w:color="auto" w:fill="BFBFBF" w:themeFill="background1" w:themeFillShade="BF"/>
            <w:vAlign w:val="center"/>
          </w:tcPr>
          <w:p w14:paraId="6E898EAF" w14:textId="77777777" w:rsidR="001C6944" w:rsidRPr="00352AC9" w:rsidRDefault="001C6944" w:rsidP="001C6944">
            <w:pPr>
              <w:jc w:val="center"/>
              <w:rPr>
                <w:rFonts w:ascii="Cambria" w:hAnsi="Cambria" w:cstheme="minorHAnsi"/>
                <w:sz w:val="18"/>
                <w:szCs w:val="18"/>
                <w:lang w:val="es-AR"/>
              </w:rPr>
            </w:pPr>
          </w:p>
        </w:tc>
        <w:tc>
          <w:tcPr>
            <w:tcW w:w="1350" w:type="dxa"/>
            <w:vAlign w:val="center"/>
          </w:tcPr>
          <w:p w14:paraId="2E33C9A2"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13CB21A6" w14:textId="77777777" w:rsidR="001C6944" w:rsidRPr="00C57C0F" w:rsidRDefault="001C6944" w:rsidP="001C6944">
            <w:pPr>
              <w:jc w:val="center"/>
              <w:rPr>
                <w:rFonts w:ascii="Cambria" w:hAnsi="Cambria" w:cstheme="minorHAnsi"/>
                <w:sz w:val="18"/>
                <w:szCs w:val="18"/>
              </w:rPr>
            </w:pPr>
          </w:p>
        </w:tc>
        <w:tc>
          <w:tcPr>
            <w:tcW w:w="1170" w:type="dxa"/>
            <w:vAlign w:val="center"/>
          </w:tcPr>
          <w:p w14:paraId="72D68FF4"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2C5D7BC1"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1961552F"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0BDD1023" w14:textId="77777777">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181E22D0" w14:textId="77777777" w:rsidR="001C6944" w:rsidRPr="00AC4F96" w:rsidRDefault="001C6944"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 xml:space="preserve">Case 11.822, Report No. 24/09, Reyes Penagos Martínez et al. </w:t>
            </w:r>
            <w:r w:rsidRPr="00AC4F96">
              <w:rPr>
                <w:rFonts w:ascii="Cambria" w:hAnsi="Cambria" w:cstheme="minorHAnsi"/>
                <w:sz w:val="18"/>
                <w:szCs w:val="18"/>
                <w:lang w:val="es-AR"/>
              </w:rPr>
              <w:t>(Mexico)</w:t>
            </w:r>
          </w:p>
        </w:tc>
        <w:tc>
          <w:tcPr>
            <w:tcW w:w="1170" w:type="dxa"/>
            <w:vMerge/>
            <w:shd w:val="clear" w:color="auto" w:fill="BFBFBF" w:themeFill="background1" w:themeFillShade="BF"/>
            <w:vAlign w:val="center"/>
          </w:tcPr>
          <w:p w14:paraId="572A4E64" w14:textId="77777777" w:rsidR="001C6944" w:rsidRPr="00AC4F96" w:rsidRDefault="001C6944" w:rsidP="001C6944">
            <w:pPr>
              <w:jc w:val="center"/>
              <w:rPr>
                <w:rFonts w:ascii="Cambria" w:hAnsi="Cambria" w:cstheme="minorHAnsi"/>
                <w:sz w:val="18"/>
                <w:szCs w:val="18"/>
                <w:lang w:val="es-AR"/>
              </w:rPr>
            </w:pPr>
          </w:p>
        </w:tc>
        <w:tc>
          <w:tcPr>
            <w:tcW w:w="1350" w:type="dxa"/>
            <w:vAlign w:val="center"/>
          </w:tcPr>
          <w:p w14:paraId="0D0E4173"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76F19A90" w14:textId="77777777" w:rsidR="001C6944" w:rsidRPr="00C57C0F" w:rsidRDefault="001C6944" w:rsidP="001C6944">
            <w:pPr>
              <w:jc w:val="center"/>
              <w:rPr>
                <w:rFonts w:ascii="Cambria" w:hAnsi="Cambria" w:cstheme="minorHAnsi"/>
                <w:sz w:val="18"/>
                <w:szCs w:val="18"/>
              </w:rPr>
            </w:pPr>
          </w:p>
        </w:tc>
        <w:tc>
          <w:tcPr>
            <w:tcW w:w="1170" w:type="dxa"/>
            <w:vAlign w:val="center"/>
          </w:tcPr>
          <w:p w14:paraId="2DC37296"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3E0FAA1A"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Arial"/>
                <w:sz w:val="18"/>
                <w:szCs w:val="18"/>
              </w:rPr>
              <w:t>100%</w:t>
            </w:r>
          </w:p>
        </w:tc>
        <w:tc>
          <w:tcPr>
            <w:tcW w:w="1260" w:type="dxa"/>
            <w:vAlign w:val="center"/>
          </w:tcPr>
          <w:p w14:paraId="79FD7777"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rPr>
              <w:t>Closed 2022</w:t>
            </w:r>
          </w:p>
        </w:tc>
      </w:tr>
      <w:tr w:rsidR="001C6944" w:rsidRPr="00C57C0F" w14:paraId="5F50CA8D" w14:textId="77777777">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3AC0C497"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12.642, Report No. 90/10, José Iván Correa Arevalo (Mexico)</w:t>
            </w:r>
            <w:r w:rsidRPr="00C57C0F">
              <w:rPr>
                <w:rStyle w:val="FootnoteReference"/>
                <w:rFonts w:ascii="Cambria" w:hAnsi="Cambria" w:cstheme="minorHAnsi"/>
                <w:sz w:val="18"/>
                <w:szCs w:val="18"/>
              </w:rPr>
              <w:footnoteReference w:id="93"/>
            </w:r>
          </w:p>
        </w:tc>
        <w:tc>
          <w:tcPr>
            <w:tcW w:w="1170" w:type="dxa"/>
            <w:vMerge/>
            <w:shd w:val="clear" w:color="auto" w:fill="BFBFBF" w:themeFill="background1" w:themeFillShade="BF"/>
            <w:vAlign w:val="center"/>
          </w:tcPr>
          <w:p w14:paraId="10429F56" w14:textId="77777777" w:rsidR="001C6944" w:rsidRPr="00C57C0F" w:rsidRDefault="001C6944" w:rsidP="001C6944">
            <w:pPr>
              <w:jc w:val="center"/>
              <w:rPr>
                <w:rFonts w:ascii="Cambria" w:hAnsi="Cambria" w:cstheme="minorHAnsi"/>
                <w:sz w:val="18"/>
                <w:szCs w:val="18"/>
              </w:rPr>
            </w:pPr>
          </w:p>
        </w:tc>
        <w:tc>
          <w:tcPr>
            <w:tcW w:w="1350" w:type="dxa"/>
            <w:vAlign w:val="center"/>
          </w:tcPr>
          <w:p w14:paraId="66E76ED8"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794550B" w14:textId="77777777" w:rsidR="001C6944" w:rsidRPr="00C57C0F" w:rsidRDefault="001C6944" w:rsidP="001C6944">
            <w:pPr>
              <w:jc w:val="center"/>
              <w:rPr>
                <w:rFonts w:ascii="Cambria" w:hAnsi="Cambria" w:cstheme="minorHAnsi"/>
                <w:sz w:val="18"/>
                <w:szCs w:val="18"/>
              </w:rPr>
            </w:pPr>
          </w:p>
        </w:tc>
        <w:tc>
          <w:tcPr>
            <w:tcW w:w="1170" w:type="dxa"/>
            <w:vAlign w:val="center"/>
          </w:tcPr>
          <w:p w14:paraId="708F7B82"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4B821560"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587AD41F"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p w14:paraId="7B2897B4" w14:textId="77777777" w:rsidR="001C6944" w:rsidRPr="00C57C0F" w:rsidRDefault="001C6944" w:rsidP="001C6944">
            <w:pPr>
              <w:jc w:val="center"/>
              <w:rPr>
                <w:rFonts w:ascii="Cambria" w:hAnsi="Cambria" w:cstheme="minorHAnsi"/>
                <w:sz w:val="18"/>
                <w:szCs w:val="18"/>
              </w:rPr>
            </w:pPr>
          </w:p>
        </w:tc>
      </w:tr>
      <w:tr w:rsidR="001C6944" w:rsidRPr="00C57C0F" w14:paraId="6E881C08" w14:textId="77777777">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39776E4C" w14:textId="77777777" w:rsidR="001C6944" w:rsidRPr="00352AC9" w:rsidRDefault="001C6944"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lastRenderedPageBreak/>
              <w:t>Case 12.660, Report No. 91/10, Ricardo Ucán Seca (Mexico)</w:t>
            </w:r>
            <w:r w:rsidRPr="00C57C0F">
              <w:rPr>
                <w:rFonts w:ascii="Cambria" w:hAnsi="Cambria" w:cstheme="minorHAnsi"/>
                <w:sz w:val="18"/>
                <w:szCs w:val="18"/>
                <w:vertAlign w:val="superscript"/>
              </w:rPr>
              <w:footnoteReference w:id="94"/>
            </w:r>
          </w:p>
        </w:tc>
        <w:tc>
          <w:tcPr>
            <w:tcW w:w="1170" w:type="dxa"/>
            <w:vMerge/>
            <w:shd w:val="clear" w:color="auto" w:fill="BFBFBF" w:themeFill="background1" w:themeFillShade="BF"/>
            <w:vAlign w:val="center"/>
          </w:tcPr>
          <w:p w14:paraId="35CF22BE" w14:textId="77777777" w:rsidR="001C6944" w:rsidRPr="00352AC9" w:rsidRDefault="001C6944" w:rsidP="001C6944">
            <w:pPr>
              <w:jc w:val="center"/>
              <w:rPr>
                <w:rFonts w:ascii="Cambria" w:hAnsi="Cambria" w:cstheme="minorHAnsi"/>
                <w:sz w:val="18"/>
                <w:szCs w:val="18"/>
                <w:lang w:val="es-AR"/>
              </w:rPr>
            </w:pPr>
          </w:p>
        </w:tc>
        <w:tc>
          <w:tcPr>
            <w:tcW w:w="1350" w:type="dxa"/>
            <w:vAlign w:val="center"/>
          </w:tcPr>
          <w:p w14:paraId="66749149"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0F69B8D" w14:textId="77777777" w:rsidR="001C6944" w:rsidRPr="00C57C0F" w:rsidRDefault="001C6944" w:rsidP="001C6944">
            <w:pPr>
              <w:jc w:val="center"/>
              <w:rPr>
                <w:rFonts w:ascii="Cambria" w:hAnsi="Cambria" w:cstheme="minorHAnsi"/>
                <w:sz w:val="18"/>
                <w:szCs w:val="18"/>
              </w:rPr>
            </w:pPr>
          </w:p>
        </w:tc>
        <w:tc>
          <w:tcPr>
            <w:tcW w:w="1170" w:type="dxa"/>
            <w:vAlign w:val="center"/>
          </w:tcPr>
          <w:p w14:paraId="2FBA37A1"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15F4F94D"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20CC255" w14:textId="77777777" w:rsidR="001C6944" w:rsidRPr="00C57C0F" w:rsidRDefault="001C6944" w:rsidP="001C6944">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C6944" w:rsidRPr="00C57C0F" w14:paraId="4E876CF5" w14:textId="77777777">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76A84122" w14:textId="77777777" w:rsidR="001C6944" w:rsidRPr="00352AC9" w:rsidRDefault="001C6944"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Case 12.623, Report No. 164/10, Luis Rey García (Mexico)</w:t>
            </w:r>
            <w:r w:rsidRPr="00C57C0F">
              <w:rPr>
                <w:rFonts w:ascii="Cambria" w:hAnsi="Cambria" w:cstheme="minorHAnsi"/>
                <w:sz w:val="18"/>
                <w:szCs w:val="18"/>
                <w:vertAlign w:val="superscript"/>
              </w:rPr>
              <w:footnoteReference w:id="95"/>
            </w:r>
          </w:p>
        </w:tc>
        <w:tc>
          <w:tcPr>
            <w:tcW w:w="1170" w:type="dxa"/>
            <w:vMerge/>
            <w:shd w:val="clear" w:color="auto" w:fill="BFBFBF" w:themeFill="background1" w:themeFillShade="BF"/>
            <w:vAlign w:val="center"/>
          </w:tcPr>
          <w:p w14:paraId="2FD7BAA6" w14:textId="77777777" w:rsidR="001C6944" w:rsidRPr="00352AC9" w:rsidRDefault="001C6944" w:rsidP="001C6944">
            <w:pPr>
              <w:jc w:val="center"/>
              <w:rPr>
                <w:rFonts w:ascii="Cambria" w:hAnsi="Cambria" w:cstheme="minorHAnsi"/>
                <w:sz w:val="18"/>
                <w:szCs w:val="18"/>
                <w:lang w:val="es-AR"/>
              </w:rPr>
            </w:pPr>
          </w:p>
        </w:tc>
        <w:tc>
          <w:tcPr>
            <w:tcW w:w="1350" w:type="dxa"/>
            <w:vAlign w:val="center"/>
          </w:tcPr>
          <w:p w14:paraId="0220518B"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CE4EFCE" w14:textId="77777777" w:rsidR="001C6944" w:rsidRPr="00C57C0F" w:rsidRDefault="001C6944" w:rsidP="001C6944">
            <w:pPr>
              <w:jc w:val="center"/>
              <w:rPr>
                <w:rFonts w:ascii="Cambria" w:hAnsi="Cambria" w:cstheme="minorHAnsi"/>
                <w:sz w:val="18"/>
                <w:szCs w:val="18"/>
              </w:rPr>
            </w:pPr>
          </w:p>
        </w:tc>
        <w:tc>
          <w:tcPr>
            <w:tcW w:w="1170" w:type="dxa"/>
            <w:vAlign w:val="center"/>
          </w:tcPr>
          <w:p w14:paraId="65D06F0D"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084145EE"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4B2466C5"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2480F00C" w14:textId="77777777">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3C6BC13B"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318-05, Report No. 68/12, Geronimo Gomez Lopez (Mexico)</w:t>
            </w:r>
            <w:r w:rsidRPr="00C57C0F">
              <w:rPr>
                <w:rFonts w:ascii="Cambria" w:hAnsi="Cambria" w:cstheme="minorHAnsi"/>
                <w:sz w:val="18"/>
                <w:szCs w:val="18"/>
                <w:vertAlign w:val="superscript"/>
              </w:rPr>
              <w:footnoteReference w:id="96"/>
            </w:r>
          </w:p>
        </w:tc>
        <w:tc>
          <w:tcPr>
            <w:tcW w:w="1170" w:type="dxa"/>
            <w:vMerge/>
            <w:shd w:val="clear" w:color="auto" w:fill="BFBFBF" w:themeFill="background1" w:themeFillShade="BF"/>
            <w:vAlign w:val="center"/>
          </w:tcPr>
          <w:p w14:paraId="0CE0C031" w14:textId="77777777" w:rsidR="001C6944" w:rsidRPr="00C57C0F" w:rsidRDefault="001C6944" w:rsidP="001C6944">
            <w:pPr>
              <w:jc w:val="center"/>
              <w:rPr>
                <w:rFonts w:ascii="Cambria" w:hAnsi="Cambria" w:cstheme="minorHAnsi"/>
                <w:sz w:val="18"/>
                <w:szCs w:val="18"/>
              </w:rPr>
            </w:pPr>
          </w:p>
        </w:tc>
        <w:tc>
          <w:tcPr>
            <w:tcW w:w="1350" w:type="dxa"/>
            <w:vAlign w:val="center"/>
          </w:tcPr>
          <w:p w14:paraId="2539BD6B"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3246C64" w14:textId="77777777" w:rsidR="001C6944" w:rsidRPr="00C57C0F" w:rsidRDefault="001C6944" w:rsidP="001C6944">
            <w:pPr>
              <w:jc w:val="center"/>
              <w:rPr>
                <w:rFonts w:ascii="Cambria" w:hAnsi="Cambria" w:cstheme="minorHAnsi"/>
                <w:sz w:val="18"/>
                <w:szCs w:val="18"/>
              </w:rPr>
            </w:pPr>
          </w:p>
        </w:tc>
        <w:tc>
          <w:tcPr>
            <w:tcW w:w="1170" w:type="dxa"/>
            <w:vAlign w:val="center"/>
          </w:tcPr>
          <w:p w14:paraId="175F0CDA"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347CB67A"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2F713166"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4674C408" w14:textId="77777777">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0185B59C"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12.769, Report No. 65/14, Irineo Martínez Torres and Other (Mexico)</w:t>
            </w:r>
            <w:r w:rsidRPr="00C57C0F">
              <w:rPr>
                <w:rFonts w:ascii="Cambria" w:hAnsi="Cambria" w:cstheme="minorHAnsi"/>
                <w:sz w:val="18"/>
                <w:szCs w:val="18"/>
                <w:vertAlign w:val="superscript"/>
              </w:rPr>
              <w:t xml:space="preserve"> </w:t>
            </w:r>
            <w:r w:rsidRPr="00C57C0F">
              <w:rPr>
                <w:rFonts w:ascii="Cambria" w:hAnsi="Cambria" w:cstheme="minorHAnsi"/>
                <w:sz w:val="18"/>
                <w:szCs w:val="18"/>
                <w:vertAlign w:val="superscript"/>
              </w:rPr>
              <w:footnoteReference w:id="97"/>
            </w:r>
          </w:p>
        </w:tc>
        <w:tc>
          <w:tcPr>
            <w:tcW w:w="1170" w:type="dxa"/>
            <w:vMerge/>
            <w:shd w:val="clear" w:color="auto" w:fill="BFBFBF" w:themeFill="background1" w:themeFillShade="BF"/>
            <w:vAlign w:val="center"/>
          </w:tcPr>
          <w:p w14:paraId="0194CC76" w14:textId="77777777" w:rsidR="001C6944" w:rsidRPr="00C57C0F" w:rsidRDefault="001C6944" w:rsidP="001C6944">
            <w:pPr>
              <w:jc w:val="center"/>
              <w:rPr>
                <w:rFonts w:ascii="Cambria" w:hAnsi="Cambria" w:cstheme="minorHAnsi"/>
                <w:sz w:val="18"/>
                <w:szCs w:val="18"/>
              </w:rPr>
            </w:pPr>
          </w:p>
        </w:tc>
        <w:tc>
          <w:tcPr>
            <w:tcW w:w="1350" w:type="dxa"/>
            <w:vAlign w:val="center"/>
          </w:tcPr>
          <w:p w14:paraId="4474737B"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27F05E4" w14:textId="77777777" w:rsidR="001C6944" w:rsidRPr="00C57C0F" w:rsidRDefault="001C6944" w:rsidP="001C6944">
            <w:pPr>
              <w:jc w:val="center"/>
              <w:rPr>
                <w:rFonts w:ascii="Cambria" w:hAnsi="Cambria" w:cstheme="minorHAnsi"/>
                <w:sz w:val="18"/>
                <w:szCs w:val="18"/>
              </w:rPr>
            </w:pPr>
          </w:p>
        </w:tc>
        <w:tc>
          <w:tcPr>
            <w:tcW w:w="1170" w:type="dxa"/>
            <w:vAlign w:val="center"/>
          </w:tcPr>
          <w:p w14:paraId="1E11E302"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2F3E7BC6"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0B1F2FAD"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591D60F2" w14:textId="77777777">
        <w:trPr>
          <w:cnfStyle w:val="000000010000" w:firstRow="0" w:lastRow="0" w:firstColumn="0" w:lastColumn="0" w:oddVBand="0" w:evenVBand="0" w:oddHBand="0" w:evenHBand="1" w:firstRowFirstColumn="0" w:firstRowLastColumn="0" w:lastRowFirstColumn="0" w:lastRowLastColumn="0"/>
          <w:trHeight w:val="1170"/>
          <w:jc w:val="center"/>
        </w:trPr>
        <w:tc>
          <w:tcPr>
            <w:tcW w:w="1620" w:type="dxa"/>
            <w:vAlign w:val="center"/>
          </w:tcPr>
          <w:p w14:paraId="08914BFD" w14:textId="77777777" w:rsidR="001C6944" w:rsidRPr="00AC4F96" w:rsidRDefault="001C6944"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 xml:space="preserve">Case 12.813, Report No. 81/15, Blanca Olivia Contreras Vital et al. </w:t>
            </w:r>
            <w:r w:rsidRPr="00AC4F96">
              <w:rPr>
                <w:rFonts w:ascii="Cambria" w:hAnsi="Cambria" w:cstheme="minorHAnsi"/>
                <w:sz w:val="18"/>
                <w:szCs w:val="18"/>
                <w:lang w:val="es-AR"/>
              </w:rPr>
              <w:t>(Mexico)</w:t>
            </w:r>
            <w:r w:rsidRPr="00AC4F96">
              <w:rPr>
                <w:rStyle w:val="FootnoteReference"/>
                <w:rFonts w:ascii="Cambria" w:hAnsi="Cambria" w:cstheme="minorHAnsi"/>
                <w:sz w:val="18"/>
                <w:szCs w:val="18"/>
                <w:lang w:val="es-AR"/>
              </w:rPr>
              <w:t xml:space="preserve"> </w:t>
            </w:r>
            <w:r w:rsidRPr="00C57C0F">
              <w:rPr>
                <w:rStyle w:val="FootnoteReference"/>
                <w:rFonts w:ascii="Cambria" w:hAnsi="Cambria" w:cstheme="minorHAnsi"/>
                <w:sz w:val="18"/>
                <w:szCs w:val="18"/>
              </w:rPr>
              <w:footnoteReference w:id="98"/>
            </w:r>
          </w:p>
        </w:tc>
        <w:tc>
          <w:tcPr>
            <w:tcW w:w="1170" w:type="dxa"/>
            <w:vMerge/>
            <w:shd w:val="clear" w:color="auto" w:fill="BFBFBF" w:themeFill="background1" w:themeFillShade="BF"/>
            <w:vAlign w:val="center"/>
          </w:tcPr>
          <w:p w14:paraId="491CDDA9" w14:textId="77777777" w:rsidR="001C6944" w:rsidRPr="00AC4F96" w:rsidRDefault="001C6944" w:rsidP="001C6944">
            <w:pPr>
              <w:jc w:val="center"/>
              <w:rPr>
                <w:rFonts w:ascii="Cambria" w:hAnsi="Cambria" w:cstheme="minorHAnsi"/>
                <w:sz w:val="18"/>
                <w:szCs w:val="18"/>
                <w:lang w:val="es-AR"/>
              </w:rPr>
            </w:pPr>
          </w:p>
        </w:tc>
        <w:tc>
          <w:tcPr>
            <w:tcW w:w="1350" w:type="dxa"/>
            <w:vAlign w:val="center"/>
          </w:tcPr>
          <w:p w14:paraId="7370716F"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BBCB5BF" w14:textId="77777777" w:rsidR="001C6944" w:rsidRPr="00C57C0F" w:rsidRDefault="001C6944" w:rsidP="001C6944">
            <w:pPr>
              <w:jc w:val="center"/>
              <w:rPr>
                <w:rFonts w:ascii="Cambria" w:hAnsi="Cambria" w:cstheme="minorHAnsi"/>
                <w:sz w:val="18"/>
                <w:szCs w:val="18"/>
              </w:rPr>
            </w:pPr>
          </w:p>
        </w:tc>
        <w:tc>
          <w:tcPr>
            <w:tcW w:w="1170" w:type="dxa"/>
            <w:vAlign w:val="center"/>
          </w:tcPr>
          <w:p w14:paraId="51953521"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64241D89"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588DF5D9"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C6944" w:rsidRPr="00C57C0F" w14:paraId="773A11E6" w14:textId="77777777">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571CF8F5"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1171-09, Report No. 15/16, Ananias Laparra, and relatives (Mexico)</w:t>
            </w:r>
          </w:p>
        </w:tc>
        <w:tc>
          <w:tcPr>
            <w:tcW w:w="1170" w:type="dxa"/>
            <w:vMerge/>
            <w:shd w:val="clear" w:color="auto" w:fill="BFBFBF" w:themeFill="background1" w:themeFillShade="BF"/>
            <w:vAlign w:val="center"/>
          </w:tcPr>
          <w:p w14:paraId="0D87AF11" w14:textId="77777777" w:rsidR="001C6944" w:rsidRPr="00C57C0F" w:rsidRDefault="001C6944" w:rsidP="001C6944">
            <w:pPr>
              <w:jc w:val="center"/>
              <w:rPr>
                <w:rFonts w:ascii="Cambria" w:hAnsi="Cambria" w:cstheme="minorHAnsi"/>
                <w:sz w:val="18"/>
                <w:szCs w:val="18"/>
              </w:rPr>
            </w:pPr>
          </w:p>
        </w:tc>
        <w:tc>
          <w:tcPr>
            <w:tcW w:w="1350" w:type="dxa"/>
            <w:vAlign w:val="center"/>
          </w:tcPr>
          <w:p w14:paraId="2953CD69" w14:textId="77777777" w:rsidR="001C6944" w:rsidRPr="00C57C0F" w:rsidRDefault="001C6944" w:rsidP="001C6944">
            <w:pPr>
              <w:jc w:val="center"/>
              <w:rPr>
                <w:rFonts w:ascii="Cambria" w:hAnsi="Cambria" w:cstheme="minorHAnsi"/>
                <w:sz w:val="18"/>
                <w:szCs w:val="18"/>
              </w:rPr>
            </w:pPr>
          </w:p>
        </w:tc>
        <w:tc>
          <w:tcPr>
            <w:tcW w:w="1170" w:type="dxa"/>
            <w:vAlign w:val="center"/>
          </w:tcPr>
          <w:p w14:paraId="0EFBEB65"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18248A5"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2E29E2AB"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64%</w:t>
            </w:r>
          </w:p>
        </w:tc>
        <w:tc>
          <w:tcPr>
            <w:tcW w:w="1260" w:type="dxa"/>
            <w:vAlign w:val="center"/>
          </w:tcPr>
          <w:p w14:paraId="17E9965C"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1EF2435E" w14:textId="77777777">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09CD9387"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12.847, Report No. 16/16, Vicenta Sanchez Valdivieso (Mexico)</w:t>
            </w:r>
            <w:r w:rsidRPr="00C57C0F">
              <w:rPr>
                <w:rStyle w:val="FootnoteReference"/>
                <w:rFonts w:ascii="Cambria" w:hAnsi="Cambria" w:cstheme="minorHAnsi"/>
                <w:sz w:val="18"/>
                <w:szCs w:val="18"/>
              </w:rPr>
              <w:footnoteReference w:id="99"/>
            </w:r>
          </w:p>
        </w:tc>
        <w:tc>
          <w:tcPr>
            <w:tcW w:w="1170" w:type="dxa"/>
            <w:vMerge/>
            <w:shd w:val="clear" w:color="auto" w:fill="BFBFBF" w:themeFill="background1" w:themeFillShade="BF"/>
            <w:vAlign w:val="center"/>
          </w:tcPr>
          <w:p w14:paraId="2EA155F8" w14:textId="77777777" w:rsidR="001C6944" w:rsidRPr="00C57C0F" w:rsidRDefault="001C6944" w:rsidP="001C6944">
            <w:pPr>
              <w:jc w:val="center"/>
              <w:rPr>
                <w:rFonts w:ascii="Cambria" w:hAnsi="Cambria" w:cstheme="minorHAnsi"/>
                <w:sz w:val="18"/>
                <w:szCs w:val="18"/>
              </w:rPr>
            </w:pPr>
          </w:p>
        </w:tc>
        <w:tc>
          <w:tcPr>
            <w:tcW w:w="1350" w:type="dxa"/>
            <w:vAlign w:val="center"/>
          </w:tcPr>
          <w:p w14:paraId="7E6BE035"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B855EA6" w14:textId="77777777" w:rsidR="001C6944" w:rsidRPr="00C57C0F" w:rsidRDefault="001C6944" w:rsidP="001C6944">
            <w:pPr>
              <w:jc w:val="center"/>
              <w:rPr>
                <w:rFonts w:ascii="Cambria" w:hAnsi="Cambria" w:cstheme="minorHAnsi"/>
                <w:sz w:val="18"/>
                <w:szCs w:val="18"/>
              </w:rPr>
            </w:pPr>
          </w:p>
        </w:tc>
        <w:tc>
          <w:tcPr>
            <w:tcW w:w="1170" w:type="dxa"/>
            <w:vAlign w:val="center"/>
          </w:tcPr>
          <w:p w14:paraId="168CB07E"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2E5B8F5E"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0997C877"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49BCA1EA" w14:textId="77777777">
        <w:trPr>
          <w:cnfStyle w:val="000000100000" w:firstRow="0" w:lastRow="0" w:firstColumn="0" w:lastColumn="0" w:oddVBand="0" w:evenVBand="0" w:oddHBand="1" w:evenHBand="0" w:firstRowFirstColumn="0" w:firstRowLastColumn="0" w:lastRowFirstColumn="0" w:lastRowLastColumn="0"/>
          <w:trHeight w:val="585"/>
          <w:jc w:val="center"/>
        </w:trPr>
        <w:tc>
          <w:tcPr>
            <w:tcW w:w="1620" w:type="dxa"/>
            <w:vAlign w:val="center"/>
          </w:tcPr>
          <w:p w14:paraId="4F0F2139"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 xml:space="preserve">Case 12.627, Report No. 92/17, Maria Nicolasa Garcia </w:t>
            </w:r>
            <w:r w:rsidRPr="00C57C0F">
              <w:rPr>
                <w:rFonts w:ascii="Cambria" w:hAnsi="Cambria" w:cstheme="minorHAnsi"/>
                <w:sz w:val="18"/>
                <w:szCs w:val="18"/>
              </w:rPr>
              <w:lastRenderedPageBreak/>
              <w:t>Reynoso (Mexico)</w:t>
            </w:r>
            <w:r w:rsidRPr="00C57C0F">
              <w:rPr>
                <w:rStyle w:val="FootnoteReference"/>
                <w:rFonts w:ascii="Cambria" w:hAnsi="Cambria" w:cstheme="minorHAnsi"/>
                <w:sz w:val="18"/>
                <w:szCs w:val="18"/>
              </w:rPr>
              <w:footnoteReference w:id="100"/>
            </w:r>
          </w:p>
        </w:tc>
        <w:tc>
          <w:tcPr>
            <w:tcW w:w="1170" w:type="dxa"/>
            <w:vMerge/>
            <w:shd w:val="clear" w:color="auto" w:fill="BFBFBF" w:themeFill="background1" w:themeFillShade="BF"/>
            <w:vAlign w:val="center"/>
          </w:tcPr>
          <w:p w14:paraId="127A6AC4" w14:textId="77777777" w:rsidR="001C6944" w:rsidRPr="00C57C0F" w:rsidRDefault="001C6944" w:rsidP="001C6944">
            <w:pPr>
              <w:jc w:val="center"/>
              <w:rPr>
                <w:rFonts w:ascii="Cambria" w:hAnsi="Cambria" w:cstheme="minorHAnsi"/>
                <w:sz w:val="18"/>
                <w:szCs w:val="18"/>
              </w:rPr>
            </w:pPr>
          </w:p>
        </w:tc>
        <w:tc>
          <w:tcPr>
            <w:tcW w:w="1350" w:type="dxa"/>
            <w:vAlign w:val="center"/>
          </w:tcPr>
          <w:p w14:paraId="7D5E999F"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1386059" w14:textId="77777777" w:rsidR="001C6944" w:rsidRPr="00C57C0F" w:rsidRDefault="001C6944" w:rsidP="001C6944">
            <w:pPr>
              <w:jc w:val="center"/>
              <w:rPr>
                <w:rFonts w:ascii="Cambria" w:hAnsi="Cambria" w:cstheme="minorHAnsi"/>
                <w:sz w:val="18"/>
                <w:szCs w:val="18"/>
              </w:rPr>
            </w:pPr>
          </w:p>
        </w:tc>
        <w:tc>
          <w:tcPr>
            <w:tcW w:w="1170" w:type="dxa"/>
            <w:vAlign w:val="center"/>
          </w:tcPr>
          <w:p w14:paraId="5AD50C46"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3A44C062"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A95391A"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7753931A" w14:textId="77777777">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649C776E"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1014-06, Report No. 35/19, Antonio Jacinto Lopez (Mexico)</w:t>
            </w:r>
          </w:p>
        </w:tc>
        <w:tc>
          <w:tcPr>
            <w:tcW w:w="1170" w:type="dxa"/>
            <w:vMerge/>
            <w:shd w:val="clear" w:color="auto" w:fill="BFBFBF" w:themeFill="background1" w:themeFillShade="BF"/>
            <w:vAlign w:val="center"/>
          </w:tcPr>
          <w:p w14:paraId="619EA69A" w14:textId="77777777" w:rsidR="001C6944" w:rsidRPr="00C57C0F" w:rsidRDefault="001C6944" w:rsidP="001C6944">
            <w:pPr>
              <w:jc w:val="center"/>
              <w:rPr>
                <w:rFonts w:ascii="Cambria" w:hAnsi="Cambria" w:cstheme="minorHAnsi"/>
                <w:sz w:val="18"/>
                <w:szCs w:val="18"/>
              </w:rPr>
            </w:pPr>
          </w:p>
        </w:tc>
        <w:tc>
          <w:tcPr>
            <w:tcW w:w="1350" w:type="dxa"/>
            <w:vAlign w:val="center"/>
          </w:tcPr>
          <w:p w14:paraId="1E6A5483" w14:textId="77777777" w:rsidR="001C6944" w:rsidRPr="00C57C0F" w:rsidRDefault="001C6944" w:rsidP="001C6944">
            <w:pPr>
              <w:jc w:val="center"/>
              <w:rPr>
                <w:rFonts w:ascii="Cambria" w:hAnsi="Cambria" w:cstheme="minorHAnsi"/>
                <w:sz w:val="18"/>
                <w:szCs w:val="18"/>
              </w:rPr>
            </w:pPr>
          </w:p>
        </w:tc>
        <w:tc>
          <w:tcPr>
            <w:tcW w:w="1170" w:type="dxa"/>
            <w:vAlign w:val="center"/>
          </w:tcPr>
          <w:p w14:paraId="7038F503"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41C629C"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5FFFD183"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74%</w:t>
            </w:r>
          </w:p>
        </w:tc>
        <w:tc>
          <w:tcPr>
            <w:tcW w:w="1260" w:type="dxa"/>
            <w:vAlign w:val="center"/>
          </w:tcPr>
          <w:p w14:paraId="74157C6F"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7DC30C7D" w14:textId="77777777">
        <w:trPr>
          <w:cnfStyle w:val="000000100000" w:firstRow="0" w:lastRow="0" w:firstColumn="0" w:lastColumn="0" w:oddVBand="0" w:evenVBand="0" w:oddHBand="1" w:evenHBand="0" w:firstRowFirstColumn="0" w:firstRowLastColumn="0" w:lastRowFirstColumn="0" w:lastRowLastColumn="0"/>
          <w:trHeight w:val="936"/>
          <w:jc w:val="center"/>
        </w:trPr>
        <w:tc>
          <w:tcPr>
            <w:tcW w:w="1620" w:type="dxa"/>
            <w:vAlign w:val="center"/>
          </w:tcPr>
          <w:p w14:paraId="5C3F321F"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13.408, Report No. 43/19, Alberto Patishtán Gómez (Mexico)</w:t>
            </w:r>
            <w:r w:rsidRPr="00C57C0F">
              <w:rPr>
                <w:rFonts w:ascii="Cambria" w:hAnsi="Cambria" w:cstheme="minorHAnsi"/>
                <w:sz w:val="18"/>
                <w:szCs w:val="18"/>
                <w:vertAlign w:val="superscript"/>
              </w:rPr>
              <w:footnoteReference w:id="101"/>
            </w:r>
          </w:p>
        </w:tc>
        <w:tc>
          <w:tcPr>
            <w:tcW w:w="1170" w:type="dxa"/>
            <w:vMerge/>
            <w:shd w:val="clear" w:color="auto" w:fill="BFBFBF" w:themeFill="background1" w:themeFillShade="BF"/>
            <w:vAlign w:val="center"/>
          </w:tcPr>
          <w:p w14:paraId="7F72BBD4" w14:textId="77777777" w:rsidR="001C6944" w:rsidRPr="00C57C0F" w:rsidRDefault="001C6944" w:rsidP="001C6944">
            <w:pPr>
              <w:jc w:val="center"/>
              <w:rPr>
                <w:rFonts w:ascii="Cambria" w:hAnsi="Cambria" w:cstheme="minorHAnsi"/>
                <w:sz w:val="18"/>
                <w:szCs w:val="18"/>
              </w:rPr>
            </w:pPr>
          </w:p>
        </w:tc>
        <w:tc>
          <w:tcPr>
            <w:tcW w:w="1350" w:type="dxa"/>
            <w:vAlign w:val="center"/>
          </w:tcPr>
          <w:p w14:paraId="6F9CBBC8"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ADCECF4" w14:textId="77777777" w:rsidR="001C6944" w:rsidRPr="00C57C0F" w:rsidRDefault="001C6944" w:rsidP="001C6944">
            <w:pPr>
              <w:jc w:val="center"/>
              <w:rPr>
                <w:rFonts w:ascii="Cambria" w:hAnsi="Cambria" w:cstheme="minorHAnsi"/>
                <w:sz w:val="18"/>
                <w:szCs w:val="18"/>
              </w:rPr>
            </w:pPr>
          </w:p>
        </w:tc>
        <w:tc>
          <w:tcPr>
            <w:tcW w:w="1170" w:type="dxa"/>
            <w:vAlign w:val="center"/>
          </w:tcPr>
          <w:p w14:paraId="387B2BE0"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684F051E"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3A843A72"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C6944" w:rsidRPr="00C57C0F" w14:paraId="23C50C21" w14:textId="77777777">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3EC318E3" w14:textId="77777777" w:rsidR="001C6944" w:rsidRPr="00352AC9" w:rsidRDefault="001C6944"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Case 12.986, Report No. 106/19, José Antonio Bolaños Juárez (Mexico)</w:t>
            </w:r>
            <w:r w:rsidRPr="00C57C0F">
              <w:rPr>
                <w:rStyle w:val="FootnoteReference"/>
                <w:rFonts w:ascii="Cambria" w:hAnsi="Cambria" w:cstheme="minorHAnsi"/>
                <w:sz w:val="18"/>
                <w:szCs w:val="18"/>
              </w:rPr>
              <w:footnoteReference w:id="102"/>
            </w:r>
          </w:p>
        </w:tc>
        <w:tc>
          <w:tcPr>
            <w:tcW w:w="1170" w:type="dxa"/>
            <w:vMerge/>
            <w:shd w:val="clear" w:color="auto" w:fill="BFBFBF" w:themeFill="background1" w:themeFillShade="BF"/>
            <w:vAlign w:val="center"/>
          </w:tcPr>
          <w:p w14:paraId="5D9E9182" w14:textId="77777777" w:rsidR="001C6944" w:rsidRPr="00352AC9" w:rsidRDefault="001C6944" w:rsidP="001C6944">
            <w:pPr>
              <w:jc w:val="center"/>
              <w:rPr>
                <w:rFonts w:ascii="Cambria" w:hAnsi="Cambria" w:cstheme="minorHAnsi"/>
                <w:sz w:val="18"/>
                <w:szCs w:val="18"/>
                <w:lang w:val="es-AR"/>
              </w:rPr>
            </w:pPr>
          </w:p>
        </w:tc>
        <w:tc>
          <w:tcPr>
            <w:tcW w:w="1350" w:type="dxa"/>
            <w:vAlign w:val="center"/>
          </w:tcPr>
          <w:p w14:paraId="27410849"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4E7AD1E" w14:textId="77777777" w:rsidR="001C6944" w:rsidRPr="00C57C0F" w:rsidRDefault="001C6944" w:rsidP="001C6944">
            <w:pPr>
              <w:jc w:val="center"/>
              <w:rPr>
                <w:rFonts w:ascii="Cambria" w:hAnsi="Cambria" w:cstheme="minorHAnsi"/>
                <w:sz w:val="18"/>
                <w:szCs w:val="18"/>
              </w:rPr>
            </w:pPr>
          </w:p>
        </w:tc>
        <w:tc>
          <w:tcPr>
            <w:tcW w:w="1170" w:type="dxa"/>
            <w:vAlign w:val="center"/>
          </w:tcPr>
          <w:p w14:paraId="46E90E25"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75D08EC2"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5D01A934"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C6944" w:rsidRPr="00C57C0F" w14:paraId="3FCB6490" w14:textId="77777777">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596F1877" w14:textId="77777777" w:rsidR="001C6944" w:rsidRPr="00C57C0F" w:rsidRDefault="001C6944" w:rsidP="00933F91">
            <w:pPr>
              <w:numPr>
                <w:ilvl w:val="0"/>
                <w:numId w:val="70"/>
              </w:numPr>
              <w:ind w:firstLine="0"/>
              <w:jc w:val="both"/>
              <w:rPr>
                <w:rFonts w:ascii="Cambria" w:hAnsi="Cambria" w:cstheme="minorHAnsi"/>
                <w:sz w:val="18"/>
                <w:szCs w:val="18"/>
              </w:rPr>
            </w:pPr>
            <w:r w:rsidRPr="00C57C0F">
              <w:rPr>
                <w:rFonts w:ascii="Cambria" w:hAnsi="Cambria" w:cstheme="minorHAnsi"/>
                <w:sz w:val="18"/>
                <w:szCs w:val="18"/>
              </w:rPr>
              <w:t>Case 12.915, Report No. 2/20, Angel Díaz Cruz et al. (Mexico)</w:t>
            </w:r>
            <w:r w:rsidRPr="00C57C0F">
              <w:rPr>
                <w:rStyle w:val="FootnoteReference"/>
                <w:rFonts w:ascii="Cambria" w:hAnsi="Cambria" w:cstheme="minorHAnsi"/>
                <w:sz w:val="18"/>
                <w:szCs w:val="18"/>
              </w:rPr>
              <w:t xml:space="preserve"> </w:t>
            </w:r>
            <w:r w:rsidRPr="00C57C0F">
              <w:rPr>
                <w:rStyle w:val="FootnoteReference"/>
                <w:rFonts w:ascii="Cambria" w:hAnsi="Cambria" w:cstheme="minorHAnsi"/>
                <w:sz w:val="18"/>
                <w:szCs w:val="18"/>
              </w:rPr>
              <w:footnoteReference w:id="103"/>
            </w:r>
          </w:p>
        </w:tc>
        <w:tc>
          <w:tcPr>
            <w:tcW w:w="1170" w:type="dxa"/>
            <w:vMerge/>
            <w:shd w:val="clear" w:color="auto" w:fill="BFBFBF" w:themeFill="background1" w:themeFillShade="BF"/>
            <w:vAlign w:val="center"/>
          </w:tcPr>
          <w:p w14:paraId="160A7C34" w14:textId="77777777" w:rsidR="001C6944" w:rsidRPr="00C57C0F" w:rsidRDefault="001C6944" w:rsidP="001C6944">
            <w:pPr>
              <w:jc w:val="center"/>
              <w:rPr>
                <w:rFonts w:ascii="Cambria" w:hAnsi="Cambria" w:cstheme="minorHAnsi"/>
                <w:sz w:val="18"/>
                <w:szCs w:val="18"/>
              </w:rPr>
            </w:pPr>
          </w:p>
        </w:tc>
        <w:tc>
          <w:tcPr>
            <w:tcW w:w="1350" w:type="dxa"/>
            <w:vAlign w:val="center"/>
          </w:tcPr>
          <w:p w14:paraId="2B4B8ABE"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C16692D" w14:textId="77777777" w:rsidR="001C6944" w:rsidRPr="00C57C0F" w:rsidRDefault="001C6944" w:rsidP="001C6944">
            <w:pPr>
              <w:jc w:val="center"/>
              <w:rPr>
                <w:rFonts w:ascii="Cambria" w:hAnsi="Cambria" w:cstheme="minorHAnsi"/>
                <w:sz w:val="18"/>
                <w:szCs w:val="18"/>
              </w:rPr>
            </w:pPr>
          </w:p>
        </w:tc>
        <w:tc>
          <w:tcPr>
            <w:tcW w:w="1170" w:type="dxa"/>
            <w:vAlign w:val="center"/>
          </w:tcPr>
          <w:p w14:paraId="52CDA822"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36B7F073"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49904C49"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6BA15369" w14:textId="77777777">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78DDAC32" w14:textId="77777777" w:rsidR="001C6944" w:rsidRPr="00352AC9" w:rsidRDefault="001C6944" w:rsidP="00933F91">
            <w:pPr>
              <w:numPr>
                <w:ilvl w:val="0"/>
                <w:numId w:val="70"/>
              </w:numPr>
              <w:ind w:firstLine="0"/>
              <w:jc w:val="both"/>
              <w:rPr>
                <w:rFonts w:ascii="Cambria" w:hAnsi="Cambria" w:cstheme="minorHAnsi"/>
                <w:sz w:val="18"/>
                <w:szCs w:val="18"/>
                <w:lang w:val="es-AR"/>
              </w:rPr>
            </w:pPr>
            <w:r w:rsidRPr="00352AC9">
              <w:rPr>
                <w:rFonts w:ascii="Cambria" w:hAnsi="Cambria" w:cstheme="minorHAnsi"/>
                <w:sz w:val="18"/>
                <w:szCs w:val="18"/>
                <w:lang w:val="es-AR"/>
              </w:rPr>
              <w:t>Petition 735-07, Report No. 110/20, Ismael Mondragon Molina (Mexico)</w:t>
            </w:r>
          </w:p>
        </w:tc>
        <w:tc>
          <w:tcPr>
            <w:tcW w:w="1170" w:type="dxa"/>
            <w:vMerge/>
            <w:shd w:val="clear" w:color="auto" w:fill="BFBFBF" w:themeFill="background1" w:themeFillShade="BF"/>
            <w:vAlign w:val="center"/>
          </w:tcPr>
          <w:p w14:paraId="6B23E9BB" w14:textId="77777777" w:rsidR="001C6944" w:rsidRPr="00352AC9" w:rsidRDefault="001C6944" w:rsidP="001C6944">
            <w:pPr>
              <w:jc w:val="center"/>
              <w:rPr>
                <w:rFonts w:ascii="Cambria" w:hAnsi="Cambria" w:cstheme="minorHAnsi"/>
                <w:sz w:val="18"/>
                <w:szCs w:val="18"/>
                <w:lang w:val="es-AR"/>
              </w:rPr>
            </w:pPr>
          </w:p>
        </w:tc>
        <w:tc>
          <w:tcPr>
            <w:tcW w:w="1350" w:type="dxa"/>
            <w:vAlign w:val="center"/>
          </w:tcPr>
          <w:p w14:paraId="5BCA969B" w14:textId="77777777" w:rsidR="001C6944" w:rsidRPr="00352AC9" w:rsidRDefault="001C6944" w:rsidP="001C6944">
            <w:pPr>
              <w:jc w:val="center"/>
              <w:rPr>
                <w:rFonts w:ascii="Cambria" w:hAnsi="Cambria" w:cstheme="minorHAnsi"/>
                <w:sz w:val="18"/>
                <w:szCs w:val="18"/>
                <w:lang w:val="es-AR"/>
              </w:rPr>
            </w:pPr>
          </w:p>
        </w:tc>
        <w:tc>
          <w:tcPr>
            <w:tcW w:w="1170" w:type="dxa"/>
            <w:vAlign w:val="center"/>
          </w:tcPr>
          <w:p w14:paraId="060092E7"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F104C2F"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0F477D9F"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73%</w:t>
            </w:r>
          </w:p>
        </w:tc>
        <w:tc>
          <w:tcPr>
            <w:tcW w:w="1260" w:type="dxa"/>
            <w:vAlign w:val="center"/>
          </w:tcPr>
          <w:p w14:paraId="44AAE85F"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1471FC8C" w14:textId="77777777">
        <w:trPr>
          <w:cnfStyle w:val="000000100000" w:firstRow="0" w:lastRow="0" w:firstColumn="0" w:lastColumn="0" w:oddVBand="0" w:evenVBand="0" w:oddHBand="1" w:evenHBand="0" w:firstRowFirstColumn="0" w:firstRowLastColumn="0" w:lastRowFirstColumn="0" w:lastRowLastColumn="0"/>
          <w:trHeight w:val="495"/>
          <w:jc w:val="center"/>
        </w:trPr>
        <w:tc>
          <w:tcPr>
            <w:tcW w:w="1620" w:type="dxa"/>
            <w:vAlign w:val="center"/>
          </w:tcPr>
          <w:p w14:paraId="2709C740"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11.824, Report No. 216/20, Sabino Diaz Osorio and Rodrigo Gomez Zamorano, (Mexico)</w:t>
            </w:r>
            <w:r w:rsidRPr="00C57C0F">
              <w:rPr>
                <w:rStyle w:val="FootnoteReference"/>
                <w:rFonts w:ascii="Cambria" w:hAnsi="Cambria" w:cstheme="minorHAnsi"/>
                <w:sz w:val="18"/>
                <w:szCs w:val="18"/>
              </w:rPr>
              <w:footnoteReference w:id="104"/>
            </w:r>
          </w:p>
        </w:tc>
        <w:tc>
          <w:tcPr>
            <w:tcW w:w="1170" w:type="dxa"/>
            <w:vMerge/>
            <w:shd w:val="clear" w:color="auto" w:fill="BFBFBF" w:themeFill="background1" w:themeFillShade="BF"/>
            <w:vAlign w:val="center"/>
          </w:tcPr>
          <w:p w14:paraId="3D2DAF80" w14:textId="77777777" w:rsidR="001C6944" w:rsidRPr="00C57C0F" w:rsidRDefault="001C6944" w:rsidP="001C6944">
            <w:pPr>
              <w:jc w:val="center"/>
              <w:rPr>
                <w:rFonts w:ascii="Cambria" w:hAnsi="Cambria" w:cstheme="minorHAnsi"/>
                <w:sz w:val="18"/>
                <w:szCs w:val="18"/>
              </w:rPr>
            </w:pPr>
          </w:p>
        </w:tc>
        <w:tc>
          <w:tcPr>
            <w:tcW w:w="1350" w:type="dxa"/>
            <w:vAlign w:val="center"/>
          </w:tcPr>
          <w:p w14:paraId="1CB2A5C2"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0C8DB84E" w14:textId="77777777" w:rsidR="001C6944" w:rsidRPr="00C57C0F" w:rsidRDefault="001C6944" w:rsidP="001C6944">
            <w:pPr>
              <w:jc w:val="center"/>
              <w:rPr>
                <w:rFonts w:ascii="Cambria" w:hAnsi="Cambria" w:cstheme="minorHAnsi"/>
                <w:sz w:val="18"/>
                <w:szCs w:val="18"/>
              </w:rPr>
            </w:pPr>
          </w:p>
        </w:tc>
        <w:tc>
          <w:tcPr>
            <w:tcW w:w="1170" w:type="dxa"/>
            <w:vAlign w:val="center"/>
          </w:tcPr>
          <w:p w14:paraId="33E43DFC"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562AC87C"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425A1204" w14:textId="77777777" w:rsidR="001C6944" w:rsidRPr="00C57C0F" w:rsidRDefault="001C6944" w:rsidP="001C6944">
            <w:pPr>
              <w:keepNext/>
              <w:jc w:val="center"/>
              <w:outlineLvl w:val="2"/>
              <w:rPr>
                <w:rFonts w:ascii="Cambria" w:hAnsi="Cambria" w:cstheme="minorHAnsi"/>
                <w:sz w:val="18"/>
                <w:szCs w:val="18"/>
              </w:rPr>
            </w:pPr>
            <w:r w:rsidRPr="00C57C0F">
              <w:rPr>
                <w:rFonts w:ascii="Cambria" w:hAnsi="Cambria" w:cstheme="minorHAnsi"/>
                <w:sz w:val="18"/>
                <w:szCs w:val="18"/>
              </w:rPr>
              <w:t xml:space="preserve">Closed </w:t>
            </w:r>
          </w:p>
        </w:tc>
      </w:tr>
      <w:tr w:rsidR="001C6944" w:rsidRPr="00C57C0F" w14:paraId="76E341EC" w14:textId="77777777">
        <w:trPr>
          <w:cnfStyle w:val="000000010000" w:firstRow="0" w:lastRow="0" w:firstColumn="0" w:lastColumn="0" w:oddVBand="0" w:evenVBand="0" w:oddHBand="0" w:evenHBand="1" w:firstRowFirstColumn="0" w:firstRowLastColumn="0" w:lastRowFirstColumn="0" w:lastRowLastColumn="0"/>
          <w:trHeight w:val="963"/>
          <w:jc w:val="center"/>
        </w:trPr>
        <w:tc>
          <w:tcPr>
            <w:tcW w:w="1620" w:type="dxa"/>
            <w:vAlign w:val="center"/>
          </w:tcPr>
          <w:p w14:paraId="73F23935" w14:textId="77777777" w:rsidR="001C6944" w:rsidRPr="00C57C0F" w:rsidRDefault="001C6944" w:rsidP="00933F91">
            <w:pPr>
              <w:numPr>
                <w:ilvl w:val="0"/>
                <w:numId w:val="70"/>
              </w:numPr>
              <w:tabs>
                <w:tab w:val="num" w:pos="522"/>
              </w:tabs>
              <w:ind w:firstLine="0"/>
              <w:jc w:val="both"/>
              <w:rPr>
                <w:rFonts w:ascii="Cambria" w:hAnsi="Cambria" w:cs="Arial"/>
                <w:sz w:val="18"/>
                <w:szCs w:val="18"/>
                <w:lang w:eastAsia="es-ES_tradnl"/>
              </w:rPr>
            </w:pPr>
            <w:r w:rsidRPr="00C57C0F">
              <w:rPr>
                <w:rFonts w:ascii="Cambria" w:hAnsi="Cambria" w:cs="Arial"/>
                <w:sz w:val="18"/>
                <w:szCs w:val="18"/>
                <w:lang w:eastAsia="es-ES_tradnl"/>
              </w:rPr>
              <w:t>Case 12.610, Report No. 208/21, Faustino Jiménez Álvarez (Mexico)</w:t>
            </w:r>
          </w:p>
        </w:tc>
        <w:tc>
          <w:tcPr>
            <w:tcW w:w="1170" w:type="dxa"/>
            <w:vMerge/>
            <w:shd w:val="clear" w:color="auto" w:fill="BFBFBF" w:themeFill="background1" w:themeFillShade="BF"/>
            <w:vAlign w:val="center"/>
          </w:tcPr>
          <w:p w14:paraId="2E89A8DB" w14:textId="77777777" w:rsidR="001C6944" w:rsidRPr="00C57C0F" w:rsidRDefault="001C6944" w:rsidP="001C6944">
            <w:pPr>
              <w:jc w:val="center"/>
              <w:rPr>
                <w:rFonts w:ascii="Cambria" w:hAnsi="Cambria" w:cstheme="minorHAnsi"/>
                <w:sz w:val="18"/>
                <w:szCs w:val="18"/>
              </w:rPr>
            </w:pPr>
          </w:p>
        </w:tc>
        <w:tc>
          <w:tcPr>
            <w:tcW w:w="1350" w:type="dxa"/>
            <w:vAlign w:val="center"/>
          </w:tcPr>
          <w:p w14:paraId="721FA41C" w14:textId="77777777" w:rsidR="001C6944" w:rsidRPr="00C57C0F" w:rsidRDefault="001C6944" w:rsidP="001C6944">
            <w:pPr>
              <w:jc w:val="center"/>
              <w:rPr>
                <w:rFonts w:ascii="Cambria" w:hAnsi="Cambria" w:cstheme="minorHAnsi"/>
                <w:sz w:val="18"/>
                <w:szCs w:val="18"/>
              </w:rPr>
            </w:pPr>
          </w:p>
        </w:tc>
        <w:tc>
          <w:tcPr>
            <w:tcW w:w="1170" w:type="dxa"/>
            <w:vAlign w:val="center"/>
          </w:tcPr>
          <w:p w14:paraId="42E7BC1C" w14:textId="77777777" w:rsidR="001C6944" w:rsidRPr="00C57C0F" w:rsidRDefault="001C6944" w:rsidP="001C6944">
            <w:pPr>
              <w:jc w:val="center"/>
              <w:rPr>
                <w:rFonts w:ascii="Cambria" w:hAnsi="Cambria" w:cs="Arial"/>
                <w:sz w:val="18"/>
                <w:szCs w:val="18"/>
                <w:lang w:eastAsia="es-ES_tradnl"/>
              </w:rPr>
            </w:pPr>
            <w:r w:rsidRPr="00C57C0F">
              <w:rPr>
                <w:rFonts w:ascii="Cambria" w:hAnsi="Cambria" w:cs="Arial"/>
                <w:sz w:val="18"/>
                <w:szCs w:val="18"/>
                <w:lang w:eastAsia="es-ES_tradnl"/>
              </w:rPr>
              <w:t>X</w:t>
            </w:r>
          </w:p>
        </w:tc>
        <w:tc>
          <w:tcPr>
            <w:tcW w:w="1170" w:type="dxa"/>
            <w:vAlign w:val="center"/>
          </w:tcPr>
          <w:p w14:paraId="4F28546A"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593B42F8" w14:textId="77777777" w:rsidR="001C6944" w:rsidRPr="00C57C0F" w:rsidRDefault="001C6944" w:rsidP="001C6944">
            <w:pPr>
              <w:keepNext/>
              <w:tabs>
                <w:tab w:val="left" w:pos="177"/>
              </w:tabs>
              <w:jc w:val="center"/>
              <w:outlineLvl w:val="2"/>
              <w:rPr>
                <w:rFonts w:ascii="Cambria" w:hAnsi="Cambria" w:cs="Arial"/>
                <w:sz w:val="18"/>
                <w:szCs w:val="18"/>
              </w:rPr>
            </w:pPr>
            <w:r w:rsidRPr="00C57C0F">
              <w:rPr>
                <w:rFonts w:ascii="Cambria" w:hAnsi="Cambria" w:cs="Arial"/>
                <w:sz w:val="18"/>
                <w:szCs w:val="18"/>
              </w:rPr>
              <w:t>88%</w:t>
            </w:r>
          </w:p>
        </w:tc>
        <w:tc>
          <w:tcPr>
            <w:tcW w:w="1260" w:type="dxa"/>
            <w:vAlign w:val="center"/>
          </w:tcPr>
          <w:p w14:paraId="5185037A" w14:textId="77777777" w:rsidR="001C6944" w:rsidRPr="00C57C0F" w:rsidRDefault="001C6944" w:rsidP="001C6944">
            <w:pPr>
              <w:keepNext/>
              <w:jc w:val="center"/>
              <w:outlineLvl w:val="2"/>
              <w:rPr>
                <w:rFonts w:ascii="Cambria" w:hAnsi="Cambria" w:cs="Arial"/>
                <w:sz w:val="18"/>
                <w:szCs w:val="18"/>
              </w:rPr>
            </w:pPr>
            <w:r w:rsidRPr="00C57C0F">
              <w:rPr>
                <w:rFonts w:ascii="Cambria" w:hAnsi="Cambria" w:cs="Arial"/>
                <w:sz w:val="18"/>
                <w:szCs w:val="18"/>
              </w:rPr>
              <w:t>Active</w:t>
            </w:r>
          </w:p>
        </w:tc>
      </w:tr>
      <w:tr w:rsidR="001C6944" w:rsidRPr="00C57C0F" w14:paraId="5EF715B5" w14:textId="77777777">
        <w:trPr>
          <w:cnfStyle w:val="000000100000" w:firstRow="0" w:lastRow="0" w:firstColumn="0" w:lastColumn="0" w:oddVBand="0" w:evenVBand="0" w:oddHBand="1" w:evenHBand="0" w:firstRowFirstColumn="0" w:firstRowLastColumn="0" w:lastRowFirstColumn="0" w:lastRowLastColumn="0"/>
          <w:trHeight w:val="963"/>
          <w:jc w:val="center"/>
        </w:trPr>
        <w:tc>
          <w:tcPr>
            <w:tcW w:w="1620" w:type="dxa"/>
            <w:vAlign w:val="center"/>
          </w:tcPr>
          <w:p w14:paraId="0764FC70"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Arial"/>
                <w:sz w:val="18"/>
                <w:szCs w:val="18"/>
                <w:lang w:eastAsia="es-ES_tradnl"/>
              </w:rPr>
              <w:lastRenderedPageBreak/>
              <w:t>Case 13.007, Report No. 171/22, José Alfredo Jiménez Mota, and Family. (Mexico)</w:t>
            </w:r>
          </w:p>
        </w:tc>
        <w:tc>
          <w:tcPr>
            <w:tcW w:w="1170" w:type="dxa"/>
            <w:vMerge/>
            <w:shd w:val="clear" w:color="auto" w:fill="BFBFBF" w:themeFill="background1" w:themeFillShade="BF"/>
            <w:vAlign w:val="center"/>
          </w:tcPr>
          <w:p w14:paraId="48351859" w14:textId="77777777" w:rsidR="001C6944" w:rsidRPr="00C57C0F" w:rsidRDefault="001C6944" w:rsidP="001C6944">
            <w:pPr>
              <w:jc w:val="center"/>
              <w:rPr>
                <w:rFonts w:ascii="Cambria" w:hAnsi="Cambria" w:cstheme="minorHAnsi"/>
                <w:sz w:val="18"/>
                <w:szCs w:val="18"/>
              </w:rPr>
            </w:pPr>
          </w:p>
        </w:tc>
        <w:tc>
          <w:tcPr>
            <w:tcW w:w="1350" w:type="dxa"/>
            <w:vAlign w:val="center"/>
          </w:tcPr>
          <w:p w14:paraId="37F3E8FF" w14:textId="77777777" w:rsidR="001C6944" w:rsidRPr="00C57C0F" w:rsidRDefault="001C6944" w:rsidP="001C6944">
            <w:pPr>
              <w:jc w:val="center"/>
              <w:rPr>
                <w:rFonts w:ascii="Cambria" w:hAnsi="Cambria" w:cstheme="minorHAnsi"/>
                <w:sz w:val="18"/>
                <w:szCs w:val="18"/>
              </w:rPr>
            </w:pPr>
          </w:p>
        </w:tc>
        <w:tc>
          <w:tcPr>
            <w:tcW w:w="1170" w:type="dxa"/>
            <w:vAlign w:val="center"/>
          </w:tcPr>
          <w:p w14:paraId="233E503C"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2898E038"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0BDE96B2"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Arial"/>
                <w:sz w:val="18"/>
                <w:szCs w:val="18"/>
              </w:rPr>
              <w:t>29%</w:t>
            </w:r>
          </w:p>
        </w:tc>
        <w:tc>
          <w:tcPr>
            <w:tcW w:w="1260" w:type="dxa"/>
            <w:vAlign w:val="center"/>
          </w:tcPr>
          <w:p w14:paraId="7547CFAD" w14:textId="77777777" w:rsidR="001C6944" w:rsidRPr="00C57C0F" w:rsidRDefault="001C6944" w:rsidP="001C6944">
            <w:pPr>
              <w:keepNext/>
              <w:jc w:val="center"/>
              <w:outlineLvl w:val="2"/>
              <w:rPr>
                <w:rFonts w:ascii="Cambria" w:hAnsi="Cambria" w:cstheme="minorHAnsi"/>
                <w:sz w:val="18"/>
                <w:szCs w:val="18"/>
              </w:rPr>
            </w:pPr>
            <w:r w:rsidRPr="00C57C0F">
              <w:rPr>
                <w:rFonts w:ascii="Cambria" w:hAnsi="Cambria" w:cs="Arial"/>
                <w:sz w:val="18"/>
                <w:szCs w:val="18"/>
              </w:rPr>
              <w:t>Active</w:t>
            </w:r>
          </w:p>
        </w:tc>
      </w:tr>
      <w:tr w:rsidR="001C6944" w:rsidRPr="00C57C0F" w14:paraId="119A51D5" w14:textId="77777777">
        <w:trPr>
          <w:cnfStyle w:val="000000010000" w:firstRow="0" w:lastRow="0" w:firstColumn="0" w:lastColumn="0" w:oddVBand="0" w:evenVBand="0" w:oddHBand="0" w:evenHBand="1" w:firstRowFirstColumn="0" w:firstRowLastColumn="0" w:lastRowFirstColumn="0" w:lastRowLastColumn="0"/>
          <w:trHeight w:val="1395"/>
          <w:jc w:val="center"/>
        </w:trPr>
        <w:tc>
          <w:tcPr>
            <w:tcW w:w="1620" w:type="dxa"/>
            <w:vAlign w:val="center"/>
          </w:tcPr>
          <w:p w14:paraId="4808B651"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12.848, Report No. 42/16, Mrs. N, (Panama)</w:t>
            </w:r>
            <w:r w:rsidRPr="00C57C0F">
              <w:rPr>
                <w:rFonts w:ascii="Cambria" w:hAnsi="Cambria" w:cstheme="minorHAnsi"/>
                <w:sz w:val="18"/>
                <w:szCs w:val="18"/>
                <w:vertAlign w:val="superscript"/>
              </w:rPr>
              <w:footnoteReference w:id="105"/>
            </w:r>
          </w:p>
        </w:tc>
        <w:tc>
          <w:tcPr>
            <w:tcW w:w="1170" w:type="dxa"/>
            <w:vMerge w:val="restart"/>
            <w:shd w:val="clear" w:color="auto" w:fill="F2F2F2" w:themeFill="background1" w:themeFillShade="F2"/>
            <w:vAlign w:val="center"/>
          </w:tcPr>
          <w:p w14:paraId="11471B0B" w14:textId="2813D3DA" w:rsidR="001C6944" w:rsidRPr="00C57C0F" w:rsidRDefault="0071198A" w:rsidP="001C6944">
            <w:pPr>
              <w:jc w:val="center"/>
              <w:rPr>
                <w:rFonts w:ascii="Cambria" w:hAnsi="Cambria" w:cstheme="minorHAnsi"/>
                <w:sz w:val="18"/>
                <w:szCs w:val="18"/>
              </w:rPr>
            </w:pPr>
            <w:hyperlink r:id="rId65" w:history="1">
              <w:r w:rsidR="001C6944" w:rsidRPr="00334E2B">
                <w:rPr>
                  <w:rStyle w:val="Hyperlink"/>
                  <w:rFonts w:ascii="Cambria" w:eastAsiaTheme="minorHAnsi" w:hAnsi="Cambria" w:cstheme="minorHAnsi"/>
                  <w:sz w:val="18"/>
                  <w:szCs w:val="18"/>
                </w:rPr>
                <w:t>Link to monitoring sheets on matters related to reports of friendly settlement agreements (Panama)</w:t>
              </w:r>
            </w:hyperlink>
          </w:p>
        </w:tc>
        <w:tc>
          <w:tcPr>
            <w:tcW w:w="1350" w:type="dxa"/>
            <w:vAlign w:val="center"/>
          </w:tcPr>
          <w:p w14:paraId="6FE531C3" w14:textId="77777777" w:rsidR="001C6944" w:rsidRPr="00C57C0F" w:rsidRDefault="001C6944" w:rsidP="001C6944">
            <w:pPr>
              <w:jc w:val="center"/>
              <w:rPr>
                <w:rFonts w:ascii="Cambria" w:hAnsi="Cambria" w:cstheme="minorHAnsi"/>
                <w:sz w:val="18"/>
                <w:szCs w:val="18"/>
              </w:rPr>
            </w:pPr>
          </w:p>
        </w:tc>
        <w:tc>
          <w:tcPr>
            <w:tcW w:w="1170" w:type="dxa"/>
            <w:vAlign w:val="center"/>
          </w:tcPr>
          <w:p w14:paraId="46B2EB98" w14:textId="77777777" w:rsidR="001C6944" w:rsidRPr="00C57C0F" w:rsidRDefault="001C6944" w:rsidP="001C6944">
            <w:pPr>
              <w:jc w:val="center"/>
              <w:rPr>
                <w:rFonts w:ascii="Cambria" w:hAnsi="Cambria" w:cstheme="minorHAnsi"/>
                <w:sz w:val="18"/>
                <w:szCs w:val="18"/>
              </w:rPr>
            </w:pPr>
          </w:p>
        </w:tc>
        <w:tc>
          <w:tcPr>
            <w:tcW w:w="1170" w:type="dxa"/>
            <w:vAlign w:val="center"/>
          </w:tcPr>
          <w:p w14:paraId="5904F378"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2DFD26D9"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63C82E05" w14:textId="77777777" w:rsidR="001C6944" w:rsidRPr="00C57C0F" w:rsidRDefault="001C6944" w:rsidP="001C6944">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C6944" w:rsidRPr="00C57C0F" w14:paraId="7F406508" w14:textId="77777777">
        <w:trPr>
          <w:cnfStyle w:val="000000100000" w:firstRow="0" w:lastRow="0" w:firstColumn="0" w:lastColumn="0" w:oddVBand="0" w:evenVBand="0" w:oddHBand="1" w:evenHBand="0" w:firstRowFirstColumn="0" w:firstRowLastColumn="0" w:lastRowFirstColumn="0" w:lastRowLastColumn="0"/>
          <w:trHeight w:val="495"/>
          <w:jc w:val="center"/>
        </w:trPr>
        <w:tc>
          <w:tcPr>
            <w:tcW w:w="1620" w:type="dxa"/>
            <w:vAlign w:val="center"/>
          </w:tcPr>
          <w:p w14:paraId="68420DF3"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13.017 C, Report No. 91/19, Relatives of Victims of the Military Dictatorship in Panama, October 1968 to December 1989 (Panama)</w:t>
            </w:r>
          </w:p>
        </w:tc>
        <w:tc>
          <w:tcPr>
            <w:tcW w:w="1170" w:type="dxa"/>
            <w:vMerge/>
            <w:shd w:val="clear" w:color="auto" w:fill="F2F2F2" w:themeFill="background1" w:themeFillShade="F2"/>
            <w:vAlign w:val="center"/>
          </w:tcPr>
          <w:p w14:paraId="491E1E9C" w14:textId="77777777" w:rsidR="001C6944" w:rsidRPr="00C57C0F" w:rsidRDefault="001C6944" w:rsidP="001C6944">
            <w:pPr>
              <w:jc w:val="center"/>
              <w:rPr>
                <w:rFonts w:ascii="Cambria" w:hAnsi="Cambria" w:cstheme="minorHAnsi"/>
                <w:sz w:val="18"/>
                <w:szCs w:val="18"/>
              </w:rPr>
            </w:pPr>
          </w:p>
        </w:tc>
        <w:tc>
          <w:tcPr>
            <w:tcW w:w="1350" w:type="dxa"/>
            <w:vAlign w:val="center"/>
          </w:tcPr>
          <w:p w14:paraId="23891FC4" w14:textId="77777777" w:rsidR="001C6944" w:rsidRPr="00C57C0F" w:rsidRDefault="001C6944" w:rsidP="001C6944">
            <w:pPr>
              <w:jc w:val="center"/>
              <w:rPr>
                <w:rFonts w:ascii="Cambria" w:hAnsi="Cambria" w:cstheme="minorHAnsi"/>
                <w:sz w:val="18"/>
                <w:szCs w:val="18"/>
              </w:rPr>
            </w:pPr>
          </w:p>
        </w:tc>
        <w:tc>
          <w:tcPr>
            <w:tcW w:w="1170" w:type="dxa"/>
            <w:vAlign w:val="center"/>
          </w:tcPr>
          <w:p w14:paraId="5E94548E"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B7CA7D2"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783F1421"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rPr>
              <w:t>0%</w:t>
            </w:r>
          </w:p>
        </w:tc>
        <w:tc>
          <w:tcPr>
            <w:tcW w:w="1260" w:type="dxa"/>
            <w:vAlign w:val="center"/>
          </w:tcPr>
          <w:p w14:paraId="26F4251C"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34292C51" w14:textId="77777777">
        <w:trPr>
          <w:cnfStyle w:val="000000010000" w:firstRow="0" w:lastRow="0" w:firstColumn="0" w:lastColumn="0" w:oddVBand="0" w:evenVBand="0" w:oddHBand="0" w:evenHBand="1" w:firstRowFirstColumn="0" w:firstRowLastColumn="0" w:lastRowFirstColumn="0" w:lastRowLastColumn="0"/>
          <w:trHeight w:val="1377"/>
          <w:jc w:val="center"/>
        </w:trPr>
        <w:tc>
          <w:tcPr>
            <w:tcW w:w="1620" w:type="dxa"/>
            <w:vAlign w:val="center"/>
          </w:tcPr>
          <w:p w14:paraId="6470D725"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13.017 A, Report No. 102/19, Relatives of Victims of the Military Dictatorship in Panama, October 1968 to December 1989 (Panama)</w:t>
            </w:r>
          </w:p>
        </w:tc>
        <w:tc>
          <w:tcPr>
            <w:tcW w:w="1170" w:type="dxa"/>
            <w:vMerge/>
            <w:shd w:val="clear" w:color="auto" w:fill="F2F2F2" w:themeFill="background1" w:themeFillShade="F2"/>
            <w:vAlign w:val="center"/>
          </w:tcPr>
          <w:p w14:paraId="57FA8E5E" w14:textId="77777777" w:rsidR="001C6944" w:rsidRPr="00C57C0F" w:rsidRDefault="001C6944" w:rsidP="001C6944">
            <w:pPr>
              <w:jc w:val="center"/>
              <w:rPr>
                <w:rFonts w:ascii="Cambria" w:hAnsi="Cambria" w:cstheme="minorHAnsi"/>
                <w:sz w:val="18"/>
                <w:szCs w:val="18"/>
              </w:rPr>
            </w:pPr>
          </w:p>
        </w:tc>
        <w:tc>
          <w:tcPr>
            <w:tcW w:w="1350" w:type="dxa"/>
            <w:vAlign w:val="center"/>
          </w:tcPr>
          <w:p w14:paraId="42348384" w14:textId="77777777" w:rsidR="001C6944" w:rsidRPr="00C57C0F" w:rsidRDefault="001C6944" w:rsidP="001C6944">
            <w:pPr>
              <w:jc w:val="center"/>
              <w:rPr>
                <w:rFonts w:ascii="Cambria" w:hAnsi="Cambria" w:cstheme="minorHAnsi"/>
                <w:sz w:val="18"/>
                <w:szCs w:val="18"/>
              </w:rPr>
            </w:pPr>
          </w:p>
        </w:tc>
        <w:tc>
          <w:tcPr>
            <w:tcW w:w="1170" w:type="dxa"/>
            <w:vAlign w:val="center"/>
          </w:tcPr>
          <w:p w14:paraId="73A630D9"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9ACE320" w14:textId="77777777" w:rsidR="001C6944" w:rsidRPr="00C57C0F" w:rsidRDefault="001C6944" w:rsidP="001C6944">
            <w:pPr>
              <w:jc w:val="center"/>
              <w:rPr>
                <w:rFonts w:ascii="Cambria" w:hAnsi="Cambria" w:cstheme="minorHAnsi"/>
                <w:sz w:val="18"/>
                <w:szCs w:val="18"/>
              </w:rPr>
            </w:pPr>
          </w:p>
        </w:tc>
        <w:tc>
          <w:tcPr>
            <w:tcW w:w="1170" w:type="dxa"/>
            <w:vAlign w:val="center"/>
          </w:tcPr>
          <w:p w14:paraId="08922ADB"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0%</w:t>
            </w:r>
          </w:p>
        </w:tc>
        <w:tc>
          <w:tcPr>
            <w:tcW w:w="1260" w:type="dxa"/>
            <w:vAlign w:val="center"/>
          </w:tcPr>
          <w:p w14:paraId="6A82BA12"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730CFE06" w14:textId="77777777">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2A95E8DB" w14:textId="77777777" w:rsidR="001C6944" w:rsidRPr="00352AC9" w:rsidRDefault="001C6944"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Case 12.358, Report No. 24/13, Octavio Rubén González Acosta (Paraguay)</w:t>
            </w:r>
          </w:p>
        </w:tc>
        <w:tc>
          <w:tcPr>
            <w:tcW w:w="1170" w:type="dxa"/>
            <w:vMerge w:val="restart"/>
            <w:shd w:val="clear" w:color="auto" w:fill="BFBFBF" w:themeFill="background1" w:themeFillShade="BF"/>
            <w:vAlign w:val="center"/>
          </w:tcPr>
          <w:p w14:paraId="5412F3B2" w14:textId="65955749" w:rsidR="001C6944" w:rsidRPr="00C57C0F" w:rsidRDefault="0071198A" w:rsidP="001C6944">
            <w:pPr>
              <w:jc w:val="center"/>
              <w:rPr>
                <w:rFonts w:ascii="Cambria" w:hAnsi="Cambria" w:cstheme="minorHAnsi"/>
                <w:sz w:val="18"/>
                <w:szCs w:val="18"/>
              </w:rPr>
            </w:pPr>
            <w:hyperlink r:id="rId66" w:history="1">
              <w:r w:rsidR="001C6944" w:rsidRPr="00641663">
                <w:rPr>
                  <w:rStyle w:val="Hyperlink"/>
                  <w:rFonts w:ascii="Cambria" w:eastAsiaTheme="minorHAnsi" w:hAnsi="Cambria" w:cstheme="minorHAnsi"/>
                  <w:sz w:val="18"/>
                  <w:szCs w:val="18"/>
                </w:rPr>
                <w:t xml:space="preserve">Link to monitoring sheets on matters related to reports of friendly settlement agreements of Paraguay that are </w:t>
              </w:r>
              <w:r w:rsidR="001C6944" w:rsidRPr="00641663">
                <w:rPr>
                  <w:rStyle w:val="Hyperlink"/>
                  <w:rFonts w:ascii="Cambria" w:eastAsiaTheme="minorHAnsi" w:hAnsi="Cambria" w:cstheme="minorHAnsi"/>
                  <w:sz w:val="18"/>
                  <w:szCs w:val="18"/>
                </w:rPr>
                <w:lastRenderedPageBreak/>
                <w:t>subject to monitoring</w:t>
              </w:r>
            </w:hyperlink>
            <w:r w:rsidR="001C6944" w:rsidRPr="00C57C0F">
              <w:rPr>
                <w:rFonts w:ascii="Cambria" w:hAnsi="Cambria" w:cstheme="minorHAnsi"/>
                <w:sz w:val="18"/>
                <w:szCs w:val="18"/>
              </w:rPr>
              <w:t xml:space="preserve"> </w:t>
            </w:r>
          </w:p>
        </w:tc>
        <w:tc>
          <w:tcPr>
            <w:tcW w:w="1350" w:type="dxa"/>
            <w:vAlign w:val="center"/>
          </w:tcPr>
          <w:p w14:paraId="761BE135" w14:textId="77777777" w:rsidR="001C6944" w:rsidRPr="00C57C0F" w:rsidRDefault="001C6944" w:rsidP="001C6944">
            <w:pPr>
              <w:jc w:val="center"/>
              <w:rPr>
                <w:rFonts w:ascii="Cambria" w:hAnsi="Cambria" w:cstheme="minorHAnsi"/>
                <w:sz w:val="18"/>
                <w:szCs w:val="18"/>
              </w:rPr>
            </w:pPr>
          </w:p>
        </w:tc>
        <w:tc>
          <w:tcPr>
            <w:tcW w:w="1170" w:type="dxa"/>
            <w:vAlign w:val="center"/>
          </w:tcPr>
          <w:p w14:paraId="269B9D86"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AF6ED7B"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2E014C52"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86%</w:t>
            </w:r>
          </w:p>
        </w:tc>
        <w:tc>
          <w:tcPr>
            <w:tcW w:w="1260" w:type="dxa"/>
            <w:vAlign w:val="center"/>
          </w:tcPr>
          <w:p w14:paraId="02D9A7F4" w14:textId="77777777" w:rsidR="001C6944" w:rsidRPr="00C57C0F" w:rsidRDefault="001C6944" w:rsidP="001C6944">
            <w:pPr>
              <w:keepNext/>
              <w:jc w:val="center"/>
              <w:outlineLvl w:val="2"/>
              <w:rPr>
                <w:rFonts w:ascii="Cambria" w:hAnsi="Cambria" w:cstheme="minorHAnsi"/>
                <w:sz w:val="18"/>
                <w:szCs w:val="18"/>
              </w:rPr>
            </w:pPr>
            <w:r w:rsidRPr="00C57C0F">
              <w:rPr>
                <w:rFonts w:ascii="Cambria" w:hAnsi="Cambria" w:cstheme="minorHAnsi"/>
                <w:sz w:val="18"/>
                <w:szCs w:val="18"/>
              </w:rPr>
              <w:t>Active</w:t>
            </w:r>
          </w:p>
        </w:tc>
      </w:tr>
      <w:tr w:rsidR="001C6944" w:rsidRPr="00C57C0F" w14:paraId="0DB73638" w14:textId="77777777">
        <w:trPr>
          <w:cnfStyle w:val="000000010000" w:firstRow="0" w:lastRow="0" w:firstColumn="0" w:lastColumn="0" w:oddVBand="0" w:evenVBand="0" w:oddHBand="0" w:evenHBand="1" w:firstRowFirstColumn="0" w:firstRowLastColumn="0" w:lastRowFirstColumn="0" w:lastRowLastColumn="0"/>
          <w:trHeight w:val="1224"/>
          <w:jc w:val="center"/>
        </w:trPr>
        <w:tc>
          <w:tcPr>
            <w:tcW w:w="1620" w:type="dxa"/>
            <w:vAlign w:val="center"/>
          </w:tcPr>
          <w:p w14:paraId="547A29D6" w14:textId="77777777" w:rsidR="001C6944" w:rsidRPr="00352AC9" w:rsidRDefault="001C6944" w:rsidP="00933F91">
            <w:pPr>
              <w:numPr>
                <w:ilvl w:val="0"/>
                <w:numId w:val="70"/>
              </w:numPr>
              <w:tabs>
                <w:tab w:val="num" w:pos="522"/>
              </w:tabs>
              <w:ind w:firstLine="0"/>
              <w:jc w:val="both"/>
              <w:rPr>
                <w:rFonts w:ascii="Cambria" w:hAnsi="Cambria" w:cstheme="minorHAnsi"/>
                <w:sz w:val="18"/>
                <w:szCs w:val="18"/>
                <w:lang w:val="pt-BR"/>
              </w:rPr>
            </w:pPr>
            <w:r w:rsidRPr="00352AC9">
              <w:rPr>
                <w:rFonts w:ascii="Cambria" w:hAnsi="Cambria" w:cstheme="minorHAnsi"/>
                <w:sz w:val="18"/>
                <w:szCs w:val="18"/>
                <w:lang w:val="pt-BR"/>
              </w:rPr>
              <w:t>Petition 1097-06, Report No. 25/13, Miriam Beatriz Riquelme Ramírez (Paraguay)</w:t>
            </w:r>
            <w:r w:rsidRPr="00C57C0F">
              <w:rPr>
                <w:rFonts w:ascii="Cambria" w:hAnsi="Cambria" w:cstheme="minorHAnsi"/>
                <w:sz w:val="18"/>
                <w:szCs w:val="18"/>
                <w:vertAlign w:val="superscript"/>
              </w:rPr>
              <w:footnoteReference w:id="106"/>
            </w:r>
          </w:p>
        </w:tc>
        <w:tc>
          <w:tcPr>
            <w:tcW w:w="1170" w:type="dxa"/>
            <w:vMerge/>
            <w:shd w:val="clear" w:color="auto" w:fill="BFBFBF" w:themeFill="background1" w:themeFillShade="BF"/>
            <w:vAlign w:val="center"/>
          </w:tcPr>
          <w:p w14:paraId="6DA3D8AC" w14:textId="77777777" w:rsidR="001C6944" w:rsidRPr="00352AC9" w:rsidRDefault="001C6944" w:rsidP="001C6944">
            <w:pPr>
              <w:jc w:val="center"/>
              <w:rPr>
                <w:rFonts w:ascii="Cambria" w:hAnsi="Cambria" w:cstheme="minorHAnsi"/>
                <w:sz w:val="18"/>
                <w:szCs w:val="18"/>
                <w:lang w:val="pt-BR"/>
              </w:rPr>
            </w:pPr>
          </w:p>
        </w:tc>
        <w:tc>
          <w:tcPr>
            <w:tcW w:w="1350" w:type="dxa"/>
            <w:vAlign w:val="center"/>
          </w:tcPr>
          <w:p w14:paraId="41BC27D5"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A50FF34" w14:textId="77777777" w:rsidR="001C6944" w:rsidRPr="00C57C0F" w:rsidRDefault="001C6944" w:rsidP="001C6944">
            <w:pPr>
              <w:jc w:val="center"/>
              <w:rPr>
                <w:rFonts w:ascii="Cambria" w:hAnsi="Cambria" w:cstheme="minorHAnsi"/>
                <w:sz w:val="18"/>
                <w:szCs w:val="18"/>
              </w:rPr>
            </w:pPr>
          </w:p>
        </w:tc>
        <w:tc>
          <w:tcPr>
            <w:tcW w:w="1170" w:type="dxa"/>
            <w:vAlign w:val="center"/>
          </w:tcPr>
          <w:p w14:paraId="405B4C27"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09853AFB"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5734553F"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2799E019" w14:textId="77777777">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48A7BE23"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lastRenderedPageBreak/>
              <w:t>Case 12.699, Report No. 130/18, Pedro Antonio Centurion (Paraguay)</w:t>
            </w:r>
          </w:p>
        </w:tc>
        <w:tc>
          <w:tcPr>
            <w:tcW w:w="1170" w:type="dxa"/>
            <w:vMerge/>
            <w:shd w:val="clear" w:color="auto" w:fill="BFBFBF" w:themeFill="background1" w:themeFillShade="BF"/>
            <w:vAlign w:val="center"/>
          </w:tcPr>
          <w:p w14:paraId="66361C9B" w14:textId="77777777" w:rsidR="001C6944" w:rsidRPr="00C57C0F" w:rsidRDefault="001C6944" w:rsidP="001C6944">
            <w:pPr>
              <w:jc w:val="center"/>
              <w:rPr>
                <w:rFonts w:ascii="Cambria" w:hAnsi="Cambria" w:cstheme="minorHAnsi"/>
                <w:sz w:val="18"/>
                <w:szCs w:val="18"/>
              </w:rPr>
            </w:pPr>
          </w:p>
        </w:tc>
        <w:tc>
          <w:tcPr>
            <w:tcW w:w="1350" w:type="dxa"/>
            <w:vAlign w:val="center"/>
          </w:tcPr>
          <w:p w14:paraId="44F4429F" w14:textId="77777777" w:rsidR="001C6944" w:rsidRPr="00C57C0F" w:rsidRDefault="001C6944" w:rsidP="001C6944">
            <w:pPr>
              <w:jc w:val="center"/>
              <w:rPr>
                <w:rFonts w:ascii="Cambria" w:hAnsi="Cambria" w:cstheme="minorHAnsi"/>
                <w:sz w:val="18"/>
                <w:szCs w:val="18"/>
              </w:rPr>
            </w:pPr>
          </w:p>
        </w:tc>
        <w:tc>
          <w:tcPr>
            <w:tcW w:w="1170" w:type="dxa"/>
            <w:vAlign w:val="center"/>
          </w:tcPr>
          <w:p w14:paraId="69AC9F35"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1E649F1B"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15388309"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80%</w:t>
            </w:r>
          </w:p>
        </w:tc>
        <w:tc>
          <w:tcPr>
            <w:tcW w:w="1260" w:type="dxa"/>
            <w:vAlign w:val="center"/>
          </w:tcPr>
          <w:p w14:paraId="3407BAE6"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4A21D00B" w14:textId="77777777">
        <w:trPr>
          <w:cnfStyle w:val="000000010000" w:firstRow="0" w:lastRow="0" w:firstColumn="0" w:lastColumn="0" w:oddVBand="0" w:evenVBand="0" w:oddHBand="0" w:evenHBand="1" w:firstRowFirstColumn="0" w:firstRowLastColumn="0" w:lastRowFirstColumn="0" w:lastRowLastColumn="0"/>
          <w:trHeight w:val="639"/>
          <w:jc w:val="center"/>
        </w:trPr>
        <w:tc>
          <w:tcPr>
            <w:tcW w:w="1620" w:type="dxa"/>
            <w:vAlign w:val="center"/>
          </w:tcPr>
          <w:p w14:paraId="5536F10D" w14:textId="77777777" w:rsidR="001C6944" w:rsidRPr="00352AC9" w:rsidRDefault="001C6944" w:rsidP="00933F91">
            <w:pPr>
              <w:numPr>
                <w:ilvl w:val="0"/>
                <w:numId w:val="70"/>
              </w:numPr>
              <w:ind w:firstLine="0"/>
              <w:rPr>
                <w:rFonts w:ascii="Cambria" w:hAnsi="Cambria" w:cstheme="minorHAnsi"/>
                <w:sz w:val="18"/>
                <w:szCs w:val="18"/>
                <w:lang w:val="pt-BR"/>
              </w:rPr>
            </w:pPr>
            <w:r w:rsidRPr="00352AC9">
              <w:rPr>
                <w:rFonts w:ascii="Cambria" w:hAnsi="Cambria" w:cstheme="minorHAnsi"/>
                <w:sz w:val="18"/>
                <w:szCs w:val="18"/>
                <w:lang w:val="pt-BR"/>
              </w:rPr>
              <w:t>Case 12.374, Report No. 85/20, Jorge Enrique Patiño Palacios (Paraguay)</w:t>
            </w:r>
            <w:r w:rsidRPr="00352AC9">
              <w:rPr>
                <w:rStyle w:val="FootnoteReference"/>
                <w:rFonts w:ascii="Cambria" w:hAnsi="Cambria" w:cstheme="minorHAnsi"/>
                <w:sz w:val="18"/>
                <w:szCs w:val="18"/>
                <w:lang w:val="pt-BR"/>
              </w:rPr>
              <w:t xml:space="preserve"> </w:t>
            </w:r>
            <w:r w:rsidRPr="00C57C0F">
              <w:rPr>
                <w:rStyle w:val="FootnoteReference"/>
                <w:rFonts w:ascii="Cambria" w:hAnsi="Cambria" w:cstheme="minorHAnsi"/>
                <w:sz w:val="18"/>
                <w:szCs w:val="18"/>
              </w:rPr>
              <w:footnoteReference w:id="107"/>
            </w:r>
          </w:p>
        </w:tc>
        <w:tc>
          <w:tcPr>
            <w:tcW w:w="1170" w:type="dxa"/>
            <w:vMerge/>
            <w:shd w:val="clear" w:color="auto" w:fill="BFBFBF" w:themeFill="background1" w:themeFillShade="BF"/>
            <w:vAlign w:val="center"/>
          </w:tcPr>
          <w:p w14:paraId="37CA74FC" w14:textId="77777777" w:rsidR="001C6944" w:rsidRPr="00352AC9" w:rsidRDefault="001C6944" w:rsidP="001C6944">
            <w:pPr>
              <w:jc w:val="center"/>
              <w:rPr>
                <w:rFonts w:ascii="Cambria" w:hAnsi="Cambria" w:cstheme="minorHAnsi"/>
                <w:sz w:val="18"/>
                <w:szCs w:val="18"/>
                <w:lang w:val="pt-BR"/>
              </w:rPr>
            </w:pPr>
          </w:p>
        </w:tc>
        <w:tc>
          <w:tcPr>
            <w:tcW w:w="1350" w:type="dxa"/>
            <w:vAlign w:val="center"/>
          </w:tcPr>
          <w:p w14:paraId="6CF6CBA6"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2EF92EB" w14:textId="77777777" w:rsidR="001C6944" w:rsidRPr="00C57C0F" w:rsidRDefault="001C6944" w:rsidP="001C6944">
            <w:pPr>
              <w:jc w:val="center"/>
              <w:rPr>
                <w:rFonts w:ascii="Cambria" w:hAnsi="Cambria" w:cstheme="minorHAnsi"/>
                <w:sz w:val="18"/>
                <w:szCs w:val="18"/>
              </w:rPr>
            </w:pPr>
          </w:p>
        </w:tc>
        <w:tc>
          <w:tcPr>
            <w:tcW w:w="1170" w:type="dxa"/>
            <w:vAlign w:val="center"/>
          </w:tcPr>
          <w:p w14:paraId="4BE425B3"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0A872630"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DD0B0F6"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631F93D0" w14:textId="77777777">
        <w:trPr>
          <w:cnfStyle w:val="000000100000" w:firstRow="0" w:lastRow="0" w:firstColumn="0" w:lastColumn="0" w:oddVBand="0" w:evenVBand="0" w:oddHBand="1" w:evenHBand="0" w:firstRowFirstColumn="0" w:firstRowLastColumn="0" w:lastRowFirstColumn="0" w:lastRowLastColumn="0"/>
          <w:trHeight w:val="585"/>
          <w:jc w:val="center"/>
        </w:trPr>
        <w:tc>
          <w:tcPr>
            <w:tcW w:w="1620" w:type="dxa"/>
            <w:vAlign w:val="center"/>
          </w:tcPr>
          <w:p w14:paraId="0E370772" w14:textId="77777777" w:rsidR="001C6944" w:rsidRPr="00C57C0F" w:rsidRDefault="001C6944" w:rsidP="00933F91">
            <w:pPr>
              <w:numPr>
                <w:ilvl w:val="0"/>
                <w:numId w:val="70"/>
              </w:numPr>
              <w:ind w:firstLine="0"/>
              <w:rPr>
                <w:rFonts w:ascii="Cambria" w:hAnsi="Cambria" w:cstheme="minorHAnsi"/>
                <w:sz w:val="18"/>
                <w:szCs w:val="18"/>
              </w:rPr>
            </w:pPr>
            <w:r w:rsidRPr="00C57C0F">
              <w:rPr>
                <w:rFonts w:ascii="Cambria" w:hAnsi="Cambria" w:cstheme="minorHAnsi"/>
                <w:sz w:val="18"/>
                <w:szCs w:val="18"/>
              </w:rPr>
              <w:t>Petition 747-05, Report No. 256/20, Y´akâ Marangatú Indigenous community of the Mbya People (Paraguay)</w:t>
            </w:r>
          </w:p>
        </w:tc>
        <w:tc>
          <w:tcPr>
            <w:tcW w:w="1170" w:type="dxa"/>
            <w:vMerge/>
            <w:shd w:val="clear" w:color="auto" w:fill="BFBFBF" w:themeFill="background1" w:themeFillShade="BF"/>
            <w:vAlign w:val="center"/>
          </w:tcPr>
          <w:p w14:paraId="702564E5" w14:textId="77777777" w:rsidR="001C6944" w:rsidRPr="00C57C0F" w:rsidRDefault="001C6944" w:rsidP="001C6944">
            <w:pPr>
              <w:jc w:val="center"/>
              <w:rPr>
                <w:rFonts w:ascii="Cambria" w:hAnsi="Cambria" w:cstheme="minorHAnsi"/>
                <w:sz w:val="18"/>
                <w:szCs w:val="18"/>
              </w:rPr>
            </w:pPr>
          </w:p>
        </w:tc>
        <w:tc>
          <w:tcPr>
            <w:tcW w:w="1350" w:type="dxa"/>
            <w:vAlign w:val="center"/>
          </w:tcPr>
          <w:p w14:paraId="659CA624" w14:textId="77777777" w:rsidR="001C6944" w:rsidRPr="00C57C0F" w:rsidRDefault="001C6944" w:rsidP="001C6944">
            <w:pPr>
              <w:jc w:val="center"/>
              <w:rPr>
                <w:rFonts w:ascii="Cambria" w:hAnsi="Cambria" w:cstheme="minorHAnsi"/>
                <w:sz w:val="18"/>
                <w:szCs w:val="18"/>
              </w:rPr>
            </w:pPr>
          </w:p>
        </w:tc>
        <w:tc>
          <w:tcPr>
            <w:tcW w:w="1170" w:type="dxa"/>
            <w:vAlign w:val="center"/>
          </w:tcPr>
          <w:p w14:paraId="459EA425"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20BFCF3"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50F3EA7E"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50%</w:t>
            </w:r>
          </w:p>
        </w:tc>
        <w:tc>
          <w:tcPr>
            <w:tcW w:w="1260" w:type="dxa"/>
            <w:vAlign w:val="center"/>
          </w:tcPr>
          <w:p w14:paraId="3877B320"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758B990C" w14:textId="77777777">
        <w:trPr>
          <w:cnfStyle w:val="000000010000" w:firstRow="0" w:lastRow="0" w:firstColumn="0" w:lastColumn="0" w:oddVBand="0" w:evenVBand="0" w:oddHBand="0" w:evenHBand="1" w:firstRowFirstColumn="0" w:firstRowLastColumn="0" w:lastRowFirstColumn="0" w:lastRowLastColumn="0"/>
          <w:trHeight w:val="999"/>
          <w:jc w:val="center"/>
        </w:trPr>
        <w:tc>
          <w:tcPr>
            <w:tcW w:w="1620" w:type="dxa"/>
            <w:vAlign w:val="center"/>
          </w:tcPr>
          <w:p w14:paraId="4D766D73" w14:textId="77777777" w:rsidR="001C6944" w:rsidRPr="00C57C0F" w:rsidRDefault="001C6944" w:rsidP="00933F91">
            <w:pPr>
              <w:numPr>
                <w:ilvl w:val="0"/>
                <w:numId w:val="70"/>
              </w:numPr>
              <w:ind w:firstLine="0"/>
              <w:rPr>
                <w:rFonts w:ascii="Cambria" w:hAnsi="Cambria" w:cstheme="minorHAnsi"/>
                <w:sz w:val="18"/>
                <w:szCs w:val="18"/>
              </w:rPr>
            </w:pPr>
            <w:r w:rsidRPr="00C57C0F">
              <w:rPr>
                <w:rFonts w:ascii="Cambria" w:hAnsi="Cambria" w:cs="Arial"/>
                <w:sz w:val="18"/>
                <w:szCs w:val="18"/>
                <w:lang w:eastAsia="es-ES_tradnl"/>
              </w:rPr>
              <w:t>Case 12.330, Report No. 206/21, Marcelino Gómez and Other (Paraguay)</w:t>
            </w:r>
          </w:p>
        </w:tc>
        <w:tc>
          <w:tcPr>
            <w:tcW w:w="1170" w:type="dxa"/>
            <w:vMerge/>
            <w:shd w:val="clear" w:color="auto" w:fill="BFBFBF" w:themeFill="background1" w:themeFillShade="BF"/>
            <w:vAlign w:val="center"/>
          </w:tcPr>
          <w:p w14:paraId="5351BB47" w14:textId="77777777" w:rsidR="001C6944" w:rsidRPr="00C57C0F" w:rsidRDefault="001C6944" w:rsidP="001C6944">
            <w:pPr>
              <w:jc w:val="center"/>
              <w:rPr>
                <w:rFonts w:ascii="Cambria" w:hAnsi="Cambria" w:cstheme="minorHAnsi"/>
                <w:sz w:val="18"/>
                <w:szCs w:val="18"/>
              </w:rPr>
            </w:pPr>
          </w:p>
        </w:tc>
        <w:tc>
          <w:tcPr>
            <w:tcW w:w="1350" w:type="dxa"/>
            <w:vAlign w:val="center"/>
          </w:tcPr>
          <w:p w14:paraId="018A7F38" w14:textId="77777777" w:rsidR="001C6944" w:rsidRPr="00C57C0F" w:rsidRDefault="001C6944" w:rsidP="001C6944">
            <w:pPr>
              <w:jc w:val="center"/>
              <w:rPr>
                <w:rFonts w:ascii="Cambria" w:hAnsi="Cambria" w:cstheme="minorHAnsi"/>
                <w:sz w:val="18"/>
                <w:szCs w:val="18"/>
              </w:rPr>
            </w:pPr>
          </w:p>
        </w:tc>
        <w:tc>
          <w:tcPr>
            <w:tcW w:w="1170" w:type="dxa"/>
            <w:vAlign w:val="center"/>
          </w:tcPr>
          <w:p w14:paraId="393F3474"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48CC06F4"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5633A883"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rPr>
              <w:t>94%</w:t>
            </w:r>
          </w:p>
        </w:tc>
        <w:tc>
          <w:tcPr>
            <w:tcW w:w="1260" w:type="dxa"/>
            <w:vAlign w:val="center"/>
          </w:tcPr>
          <w:p w14:paraId="16D49CAF"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rPr>
              <w:t>Active</w:t>
            </w:r>
          </w:p>
        </w:tc>
      </w:tr>
      <w:tr w:rsidR="001C6944" w:rsidRPr="00C57C0F" w14:paraId="543A3800" w14:textId="77777777">
        <w:trPr>
          <w:cnfStyle w:val="000000100000" w:firstRow="0" w:lastRow="0" w:firstColumn="0" w:lastColumn="0" w:oddVBand="0" w:evenVBand="0" w:oddHBand="1" w:evenHBand="0" w:firstRowFirstColumn="0" w:firstRowLastColumn="0" w:lastRowFirstColumn="0" w:lastRowLastColumn="0"/>
          <w:trHeight w:val="936"/>
          <w:jc w:val="center"/>
        </w:trPr>
        <w:tc>
          <w:tcPr>
            <w:tcW w:w="1620" w:type="dxa"/>
            <w:vAlign w:val="center"/>
          </w:tcPr>
          <w:p w14:paraId="077B5966"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12.035; Report No. 75/02(bis), Pablo Ignacio Livia Robles (Peru)</w:t>
            </w:r>
            <w:r w:rsidRPr="00C57C0F">
              <w:rPr>
                <w:rFonts w:ascii="Cambria" w:hAnsi="Cambria" w:cstheme="minorHAnsi"/>
                <w:sz w:val="18"/>
                <w:szCs w:val="18"/>
                <w:vertAlign w:val="superscript"/>
              </w:rPr>
              <w:footnoteReference w:id="108"/>
            </w:r>
          </w:p>
        </w:tc>
        <w:tc>
          <w:tcPr>
            <w:tcW w:w="1170" w:type="dxa"/>
            <w:vMerge w:val="restart"/>
            <w:vAlign w:val="center"/>
          </w:tcPr>
          <w:p w14:paraId="2221513C" w14:textId="59C0B7FF" w:rsidR="001C6944" w:rsidRPr="00C57C0F" w:rsidRDefault="0071198A" w:rsidP="001C6944">
            <w:pPr>
              <w:jc w:val="center"/>
              <w:rPr>
                <w:rFonts w:ascii="Cambria" w:hAnsi="Cambria" w:cstheme="minorHAnsi"/>
                <w:sz w:val="18"/>
                <w:szCs w:val="18"/>
              </w:rPr>
            </w:pPr>
            <w:hyperlink r:id="rId67" w:history="1">
              <w:r w:rsidR="001C6944" w:rsidRPr="00C02D85">
                <w:rPr>
                  <w:rStyle w:val="Hyperlink"/>
                  <w:rFonts w:ascii="Cambria" w:eastAsiaTheme="minorHAnsi" w:hAnsi="Cambria" w:cstheme="minorHAnsi"/>
                  <w:sz w:val="18"/>
                  <w:szCs w:val="18"/>
                </w:rPr>
                <w:t>Link to monitoring sheets on matters related to reports of friendly settlement agreement of Peru that are subject to monitoring</w:t>
              </w:r>
            </w:hyperlink>
            <w:r w:rsidR="001C6944" w:rsidRPr="00C57C0F">
              <w:rPr>
                <w:rFonts w:ascii="Cambria" w:hAnsi="Cambria" w:cstheme="minorHAnsi"/>
                <w:sz w:val="18"/>
                <w:szCs w:val="18"/>
              </w:rPr>
              <w:t xml:space="preserve"> </w:t>
            </w:r>
          </w:p>
        </w:tc>
        <w:tc>
          <w:tcPr>
            <w:tcW w:w="1350" w:type="dxa"/>
            <w:vAlign w:val="center"/>
          </w:tcPr>
          <w:p w14:paraId="73362098"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E8D5117" w14:textId="77777777" w:rsidR="001C6944" w:rsidRPr="00C57C0F" w:rsidRDefault="001C6944" w:rsidP="001C6944">
            <w:pPr>
              <w:jc w:val="center"/>
              <w:rPr>
                <w:rFonts w:ascii="Cambria" w:hAnsi="Cambria" w:cstheme="minorHAnsi"/>
                <w:sz w:val="18"/>
                <w:szCs w:val="18"/>
              </w:rPr>
            </w:pPr>
          </w:p>
        </w:tc>
        <w:tc>
          <w:tcPr>
            <w:tcW w:w="1170" w:type="dxa"/>
            <w:vAlign w:val="center"/>
          </w:tcPr>
          <w:p w14:paraId="0E6CD286"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7FD51932"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2D348E0C"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4FDE63D2" w14:textId="77777777">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58834971" w14:textId="77777777" w:rsidR="001C6944" w:rsidRPr="00352AC9" w:rsidRDefault="001C6944" w:rsidP="00933F91">
            <w:pPr>
              <w:numPr>
                <w:ilvl w:val="0"/>
                <w:numId w:val="70"/>
              </w:numPr>
              <w:tabs>
                <w:tab w:val="num" w:pos="522"/>
              </w:tabs>
              <w:ind w:firstLine="0"/>
              <w:jc w:val="both"/>
              <w:rPr>
                <w:rFonts w:ascii="Cambria" w:hAnsi="Cambria" w:cstheme="minorHAnsi"/>
                <w:sz w:val="18"/>
                <w:szCs w:val="18"/>
                <w:lang w:val="pt-BR"/>
              </w:rPr>
            </w:pPr>
            <w:r w:rsidRPr="00352AC9">
              <w:rPr>
                <w:rFonts w:ascii="Cambria" w:hAnsi="Cambria" w:cstheme="minorHAnsi"/>
                <w:sz w:val="18"/>
                <w:szCs w:val="18"/>
                <w:lang w:val="pt-BR"/>
              </w:rPr>
              <w:t>Case 11.149, Report No. 70/03 Augusto Alejandro Zuñiga Paz (Peru)</w:t>
            </w:r>
            <w:r w:rsidRPr="00C57C0F">
              <w:rPr>
                <w:rFonts w:ascii="Cambria" w:hAnsi="Cambria" w:cstheme="minorHAnsi"/>
                <w:sz w:val="18"/>
                <w:szCs w:val="18"/>
                <w:vertAlign w:val="superscript"/>
              </w:rPr>
              <w:footnoteReference w:id="109"/>
            </w:r>
          </w:p>
        </w:tc>
        <w:tc>
          <w:tcPr>
            <w:tcW w:w="1170" w:type="dxa"/>
            <w:vMerge/>
            <w:vAlign w:val="center"/>
          </w:tcPr>
          <w:p w14:paraId="3FA54E0A" w14:textId="77777777" w:rsidR="001C6944" w:rsidRPr="00352AC9" w:rsidRDefault="001C6944" w:rsidP="001C6944">
            <w:pPr>
              <w:jc w:val="center"/>
              <w:rPr>
                <w:rFonts w:ascii="Cambria" w:hAnsi="Cambria" w:cstheme="minorHAnsi"/>
                <w:sz w:val="18"/>
                <w:szCs w:val="18"/>
                <w:lang w:val="pt-BR"/>
              </w:rPr>
            </w:pPr>
          </w:p>
        </w:tc>
        <w:tc>
          <w:tcPr>
            <w:tcW w:w="1350" w:type="dxa"/>
            <w:vAlign w:val="center"/>
          </w:tcPr>
          <w:p w14:paraId="43AFB53E"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6C8DCAC" w14:textId="77777777" w:rsidR="001C6944" w:rsidRPr="00C57C0F" w:rsidRDefault="001C6944" w:rsidP="001C6944">
            <w:pPr>
              <w:jc w:val="center"/>
              <w:rPr>
                <w:rFonts w:ascii="Cambria" w:hAnsi="Cambria" w:cstheme="minorHAnsi"/>
                <w:sz w:val="18"/>
                <w:szCs w:val="18"/>
              </w:rPr>
            </w:pPr>
          </w:p>
        </w:tc>
        <w:tc>
          <w:tcPr>
            <w:tcW w:w="1170" w:type="dxa"/>
            <w:vAlign w:val="center"/>
          </w:tcPr>
          <w:p w14:paraId="22C68176"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34615094"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145D06E6"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6408C557" w14:textId="77777777">
        <w:trPr>
          <w:cnfStyle w:val="000000100000" w:firstRow="0" w:lastRow="0" w:firstColumn="0" w:lastColumn="0" w:oddVBand="0" w:evenVBand="0" w:oddHBand="1" w:evenHBand="0" w:firstRowFirstColumn="0" w:firstRowLastColumn="0" w:lastRowFirstColumn="0" w:lastRowLastColumn="0"/>
          <w:trHeight w:val="1278"/>
          <w:jc w:val="center"/>
        </w:trPr>
        <w:tc>
          <w:tcPr>
            <w:tcW w:w="1620" w:type="dxa"/>
            <w:vAlign w:val="center"/>
          </w:tcPr>
          <w:p w14:paraId="21A846F5"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12.191, Report No. 71/03, María Mamerita Mestanza (Peru)</w:t>
            </w:r>
          </w:p>
        </w:tc>
        <w:tc>
          <w:tcPr>
            <w:tcW w:w="1170" w:type="dxa"/>
            <w:vMerge/>
            <w:vAlign w:val="center"/>
          </w:tcPr>
          <w:p w14:paraId="4FB6EC69" w14:textId="77777777" w:rsidR="001C6944" w:rsidRPr="00C57C0F" w:rsidRDefault="001C6944" w:rsidP="001C6944">
            <w:pPr>
              <w:jc w:val="center"/>
              <w:rPr>
                <w:rFonts w:ascii="Cambria" w:hAnsi="Cambria" w:cstheme="minorHAnsi"/>
                <w:sz w:val="18"/>
                <w:szCs w:val="18"/>
              </w:rPr>
            </w:pPr>
          </w:p>
        </w:tc>
        <w:tc>
          <w:tcPr>
            <w:tcW w:w="1350" w:type="dxa"/>
            <w:vAlign w:val="center"/>
          </w:tcPr>
          <w:p w14:paraId="379855F5" w14:textId="77777777" w:rsidR="001C6944" w:rsidRPr="00C57C0F" w:rsidRDefault="001C6944" w:rsidP="001C6944">
            <w:pPr>
              <w:jc w:val="center"/>
              <w:rPr>
                <w:rFonts w:ascii="Cambria" w:hAnsi="Cambria" w:cstheme="minorHAnsi"/>
                <w:sz w:val="18"/>
                <w:szCs w:val="18"/>
              </w:rPr>
            </w:pPr>
          </w:p>
        </w:tc>
        <w:tc>
          <w:tcPr>
            <w:tcW w:w="1170" w:type="dxa"/>
            <w:vAlign w:val="center"/>
          </w:tcPr>
          <w:p w14:paraId="6A265B5D"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5C8BE3F0"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7DB45044"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75%</w:t>
            </w:r>
          </w:p>
        </w:tc>
        <w:tc>
          <w:tcPr>
            <w:tcW w:w="1260" w:type="dxa"/>
            <w:vAlign w:val="center"/>
          </w:tcPr>
          <w:p w14:paraId="097837FE"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14177981" w14:textId="77777777">
        <w:trPr>
          <w:cnfStyle w:val="000000010000" w:firstRow="0" w:lastRow="0" w:firstColumn="0" w:lastColumn="0" w:oddVBand="0" w:evenVBand="0" w:oddHBand="0" w:evenHBand="1" w:firstRowFirstColumn="0" w:firstRowLastColumn="0" w:lastRowFirstColumn="0" w:lastRowLastColumn="0"/>
          <w:trHeight w:val="1134"/>
          <w:jc w:val="center"/>
        </w:trPr>
        <w:tc>
          <w:tcPr>
            <w:tcW w:w="1620" w:type="dxa"/>
            <w:vAlign w:val="center"/>
          </w:tcPr>
          <w:p w14:paraId="3F87920B"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lastRenderedPageBreak/>
              <w:t>Case 12.078, Report No. 31/04, Ricardo Semoza Di Carlo (Peru)</w:t>
            </w:r>
            <w:r w:rsidRPr="00C57C0F">
              <w:rPr>
                <w:rStyle w:val="FootnoteReference"/>
                <w:rFonts w:ascii="Cambria" w:hAnsi="Cambria" w:cstheme="minorHAnsi"/>
                <w:sz w:val="18"/>
                <w:szCs w:val="18"/>
              </w:rPr>
              <w:t xml:space="preserve"> </w:t>
            </w:r>
            <w:r w:rsidRPr="00C57C0F">
              <w:rPr>
                <w:rStyle w:val="FootnoteReference"/>
                <w:rFonts w:ascii="Cambria" w:hAnsi="Cambria" w:cstheme="minorHAnsi"/>
                <w:sz w:val="18"/>
                <w:szCs w:val="18"/>
              </w:rPr>
              <w:footnoteReference w:id="110"/>
            </w:r>
          </w:p>
        </w:tc>
        <w:tc>
          <w:tcPr>
            <w:tcW w:w="1170" w:type="dxa"/>
            <w:vMerge/>
            <w:vAlign w:val="center"/>
          </w:tcPr>
          <w:p w14:paraId="4EFA7800" w14:textId="77777777" w:rsidR="001C6944" w:rsidRPr="00C57C0F" w:rsidRDefault="001C6944" w:rsidP="001C6944">
            <w:pPr>
              <w:jc w:val="center"/>
              <w:rPr>
                <w:rFonts w:ascii="Cambria" w:hAnsi="Cambria" w:cstheme="minorHAnsi"/>
                <w:sz w:val="18"/>
                <w:szCs w:val="18"/>
              </w:rPr>
            </w:pPr>
          </w:p>
        </w:tc>
        <w:tc>
          <w:tcPr>
            <w:tcW w:w="1350" w:type="dxa"/>
            <w:vAlign w:val="center"/>
          </w:tcPr>
          <w:p w14:paraId="79DA8731"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F8151EB" w14:textId="77777777" w:rsidR="001C6944" w:rsidRPr="00C57C0F" w:rsidRDefault="001C6944" w:rsidP="001C6944">
            <w:pPr>
              <w:jc w:val="center"/>
              <w:rPr>
                <w:rFonts w:ascii="Cambria" w:hAnsi="Cambria" w:cstheme="minorHAnsi"/>
                <w:sz w:val="18"/>
                <w:szCs w:val="18"/>
              </w:rPr>
            </w:pPr>
          </w:p>
        </w:tc>
        <w:tc>
          <w:tcPr>
            <w:tcW w:w="1170" w:type="dxa"/>
            <w:vAlign w:val="center"/>
          </w:tcPr>
          <w:p w14:paraId="2F308C99"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748E9675"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1D2EEE48"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 xml:space="preserve">Closed </w:t>
            </w:r>
          </w:p>
          <w:p w14:paraId="2C7809AA" w14:textId="77777777" w:rsidR="001C6944" w:rsidRPr="00C57C0F" w:rsidRDefault="001C6944" w:rsidP="001C6944">
            <w:pPr>
              <w:jc w:val="center"/>
              <w:rPr>
                <w:rFonts w:ascii="Cambria" w:hAnsi="Cambria" w:cstheme="minorHAnsi"/>
                <w:sz w:val="18"/>
                <w:szCs w:val="18"/>
              </w:rPr>
            </w:pPr>
          </w:p>
        </w:tc>
      </w:tr>
      <w:tr w:rsidR="001C6944" w:rsidRPr="00C57C0F" w14:paraId="7D849862" w14:textId="77777777">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639D0CEC"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185-02, Report No. 107/05, Roger Herminio Salas Gamboa (Peru)</w:t>
            </w:r>
            <w:r w:rsidRPr="00C57C0F">
              <w:rPr>
                <w:rFonts w:ascii="Cambria" w:hAnsi="Cambria" w:cstheme="minorHAnsi"/>
                <w:sz w:val="18"/>
                <w:szCs w:val="18"/>
                <w:vertAlign w:val="superscript"/>
              </w:rPr>
              <w:footnoteReference w:id="111"/>
            </w:r>
          </w:p>
        </w:tc>
        <w:tc>
          <w:tcPr>
            <w:tcW w:w="1170" w:type="dxa"/>
            <w:vMerge/>
            <w:vAlign w:val="center"/>
          </w:tcPr>
          <w:p w14:paraId="1B05A961" w14:textId="77777777" w:rsidR="001C6944" w:rsidRPr="00C57C0F" w:rsidRDefault="001C6944" w:rsidP="001C6944">
            <w:pPr>
              <w:jc w:val="center"/>
              <w:rPr>
                <w:rFonts w:ascii="Cambria" w:hAnsi="Cambria" w:cstheme="minorHAnsi"/>
                <w:sz w:val="18"/>
                <w:szCs w:val="18"/>
              </w:rPr>
            </w:pPr>
          </w:p>
        </w:tc>
        <w:tc>
          <w:tcPr>
            <w:tcW w:w="1350" w:type="dxa"/>
            <w:vAlign w:val="center"/>
          </w:tcPr>
          <w:p w14:paraId="433FBA71"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EE05079" w14:textId="77777777" w:rsidR="001C6944" w:rsidRPr="00C57C0F" w:rsidRDefault="001C6944" w:rsidP="001C6944">
            <w:pPr>
              <w:jc w:val="center"/>
              <w:rPr>
                <w:rFonts w:ascii="Cambria" w:hAnsi="Cambria" w:cstheme="minorHAnsi"/>
                <w:sz w:val="18"/>
                <w:szCs w:val="18"/>
              </w:rPr>
            </w:pPr>
          </w:p>
        </w:tc>
        <w:tc>
          <w:tcPr>
            <w:tcW w:w="1170" w:type="dxa"/>
            <w:vAlign w:val="center"/>
          </w:tcPr>
          <w:p w14:paraId="7E7C2079"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7AF6BF29"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671075D0" w14:textId="77777777" w:rsidR="001C6944" w:rsidRPr="00C57C0F" w:rsidRDefault="001C6944" w:rsidP="001C6944">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C6944" w:rsidRPr="00C57C0F" w14:paraId="2FDA2324" w14:textId="77777777">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62D6D00D"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12.033, Report No. 49/06, Romulo Torres Ventocilla (Peru)</w:t>
            </w:r>
            <w:r w:rsidRPr="00C57C0F">
              <w:rPr>
                <w:rFonts w:ascii="Cambria" w:hAnsi="Cambria" w:cstheme="minorHAnsi"/>
                <w:sz w:val="18"/>
                <w:szCs w:val="18"/>
                <w:vertAlign w:val="superscript"/>
              </w:rPr>
              <w:footnoteReference w:id="112"/>
            </w:r>
          </w:p>
        </w:tc>
        <w:tc>
          <w:tcPr>
            <w:tcW w:w="1170" w:type="dxa"/>
            <w:vMerge/>
            <w:vAlign w:val="center"/>
          </w:tcPr>
          <w:p w14:paraId="65F864A7" w14:textId="77777777" w:rsidR="001C6944" w:rsidRPr="00C57C0F" w:rsidRDefault="001C6944" w:rsidP="001C6944">
            <w:pPr>
              <w:jc w:val="center"/>
              <w:rPr>
                <w:rFonts w:ascii="Cambria" w:hAnsi="Cambria" w:cstheme="minorHAnsi"/>
                <w:sz w:val="18"/>
                <w:szCs w:val="18"/>
              </w:rPr>
            </w:pPr>
          </w:p>
        </w:tc>
        <w:tc>
          <w:tcPr>
            <w:tcW w:w="1350" w:type="dxa"/>
            <w:vAlign w:val="center"/>
          </w:tcPr>
          <w:p w14:paraId="053A4405"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7503621" w14:textId="77777777" w:rsidR="001C6944" w:rsidRPr="00C57C0F" w:rsidRDefault="001C6944" w:rsidP="001C6944">
            <w:pPr>
              <w:jc w:val="center"/>
              <w:rPr>
                <w:rFonts w:ascii="Cambria" w:hAnsi="Cambria" w:cstheme="minorHAnsi"/>
                <w:sz w:val="18"/>
                <w:szCs w:val="18"/>
              </w:rPr>
            </w:pPr>
          </w:p>
        </w:tc>
        <w:tc>
          <w:tcPr>
            <w:tcW w:w="1170" w:type="dxa"/>
            <w:vAlign w:val="center"/>
          </w:tcPr>
          <w:p w14:paraId="4B396050"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7330AC1C"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2D47A037" w14:textId="77777777" w:rsidR="001C6944" w:rsidRPr="00C57C0F" w:rsidRDefault="001C6944" w:rsidP="001C6944">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C6944" w:rsidRPr="00C57C0F" w14:paraId="13C82314"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tcW w:w="1620" w:type="dxa"/>
            <w:vAlign w:val="center"/>
          </w:tcPr>
          <w:p w14:paraId="5E82E8A7"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711-01 et al., Report No. 50/06, Miguel Grimaldo Castañeda Sánchez et al.; Petition 33-03 et al., Report No. 109/06, Héctor Nuñez Julia et al. (Peru); Petition 732-01 et al., Report 20/07 Eulogio Miguel Melgarejo et al. (Peru); Petition 758-01, Report No. 71/07, Hernán Atilio Aguirre Moreno et al. (Peru)</w:t>
            </w:r>
          </w:p>
        </w:tc>
        <w:tc>
          <w:tcPr>
            <w:tcW w:w="1170" w:type="dxa"/>
            <w:vMerge/>
            <w:vAlign w:val="center"/>
          </w:tcPr>
          <w:p w14:paraId="5F2440EF" w14:textId="77777777" w:rsidR="001C6944" w:rsidRPr="00C57C0F" w:rsidRDefault="001C6944" w:rsidP="001C6944">
            <w:pPr>
              <w:jc w:val="center"/>
              <w:rPr>
                <w:rFonts w:ascii="Cambria" w:hAnsi="Cambria" w:cstheme="minorHAnsi"/>
                <w:sz w:val="18"/>
                <w:szCs w:val="18"/>
              </w:rPr>
            </w:pPr>
          </w:p>
        </w:tc>
        <w:tc>
          <w:tcPr>
            <w:tcW w:w="1350" w:type="dxa"/>
            <w:vAlign w:val="center"/>
          </w:tcPr>
          <w:p w14:paraId="0CDBEABE" w14:textId="77777777" w:rsidR="001C6944" w:rsidRPr="00C57C0F" w:rsidRDefault="001C6944" w:rsidP="001C6944">
            <w:pPr>
              <w:jc w:val="center"/>
              <w:rPr>
                <w:rFonts w:ascii="Cambria" w:hAnsi="Cambria" w:cstheme="minorHAnsi"/>
                <w:sz w:val="18"/>
                <w:szCs w:val="18"/>
              </w:rPr>
            </w:pPr>
          </w:p>
        </w:tc>
        <w:tc>
          <w:tcPr>
            <w:tcW w:w="1170" w:type="dxa"/>
            <w:vAlign w:val="center"/>
          </w:tcPr>
          <w:p w14:paraId="6BC92D4C"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1FDBB83E"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4B37F146"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75%</w:t>
            </w:r>
          </w:p>
        </w:tc>
        <w:tc>
          <w:tcPr>
            <w:tcW w:w="1260" w:type="dxa"/>
            <w:vAlign w:val="center"/>
          </w:tcPr>
          <w:p w14:paraId="3C2FE099"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4C14E1FA" w14:textId="77777777">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7FF67367"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494-04, Report No. 20/08, Romeo Edgardo Vargas Romero (Peru)</w:t>
            </w:r>
          </w:p>
        </w:tc>
        <w:tc>
          <w:tcPr>
            <w:tcW w:w="1170" w:type="dxa"/>
            <w:vMerge/>
            <w:vAlign w:val="center"/>
          </w:tcPr>
          <w:p w14:paraId="2CB63F04" w14:textId="77777777" w:rsidR="001C6944" w:rsidRPr="00C57C0F" w:rsidRDefault="001C6944" w:rsidP="001C6944">
            <w:pPr>
              <w:jc w:val="center"/>
              <w:rPr>
                <w:rFonts w:ascii="Cambria" w:hAnsi="Cambria" w:cstheme="minorHAnsi"/>
                <w:sz w:val="18"/>
                <w:szCs w:val="18"/>
              </w:rPr>
            </w:pPr>
          </w:p>
        </w:tc>
        <w:tc>
          <w:tcPr>
            <w:tcW w:w="1350" w:type="dxa"/>
            <w:vAlign w:val="center"/>
          </w:tcPr>
          <w:p w14:paraId="669C3506" w14:textId="77777777" w:rsidR="001C6944" w:rsidRPr="00C57C0F" w:rsidRDefault="001C6944" w:rsidP="001C6944">
            <w:pPr>
              <w:jc w:val="center"/>
              <w:rPr>
                <w:rFonts w:ascii="Cambria" w:hAnsi="Cambria" w:cstheme="minorHAnsi"/>
                <w:sz w:val="18"/>
                <w:szCs w:val="18"/>
              </w:rPr>
            </w:pPr>
          </w:p>
        </w:tc>
        <w:tc>
          <w:tcPr>
            <w:tcW w:w="1170" w:type="dxa"/>
            <w:vAlign w:val="center"/>
          </w:tcPr>
          <w:p w14:paraId="11AB0657"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691F054E"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661B6909"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75%</w:t>
            </w:r>
          </w:p>
        </w:tc>
        <w:tc>
          <w:tcPr>
            <w:tcW w:w="1260" w:type="dxa"/>
            <w:vAlign w:val="center"/>
          </w:tcPr>
          <w:p w14:paraId="44996718"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5DDB90CC" w14:textId="77777777">
        <w:trPr>
          <w:cnfStyle w:val="000000100000" w:firstRow="0" w:lastRow="0" w:firstColumn="0" w:lastColumn="0" w:oddVBand="0" w:evenVBand="0" w:oddHBand="1" w:evenHBand="0" w:firstRowFirstColumn="0" w:firstRowLastColumn="0" w:lastRowFirstColumn="0" w:lastRowLastColumn="0"/>
          <w:trHeight w:val="909"/>
          <w:jc w:val="center"/>
        </w:trPr>
        <w:tc>
          <w:tcPr>
            <w:tcW w:w="1620" w:type="dxa"/>
            <w:vAlign w:val="center"/>
          </w:tcPr>
          <w:p w14:paraId="582E20FD" w14:textId="77777777" w:rsidR="001C6944" w:rsidRPr="00AC4F96" w:rsidRDefault="001C6944" w:rsidP="00933F91">
            <w:pPr>
              <w:numPr>
                <w:ilvl w:val="0"/>
                <w:numId w:val="70"/>
              </w:numPr>
              <w:tabs>
                <w:tab w:val="num" w:pos="522"/>
              </w:tabs>
              <w:ind w:firstLine="0"/>
              <w:jc w:val="both"/>
              <w:rPr>
                <w:rFonts w:ascii="Cambria" w:hAnsi="Cambria" w:cstheme="minorHAnsi"/>
                <w:sz w:val="18"/>
                <w:szCs w:val="18"/>
                <w:lang w:val="fr-CA"/>
              </w:rPr>
            </w:pPr>
            <w:r w:rsidRPr="00352AC9">
              <w:rPr>
                <w:rFonts w:ascii="Cambria" w:hAnsi="Cambria" w:cstheme="minorHAnsi"/>
                <w:sz w:val="18"/>
                <w:szCs w:val="18"/>
                <w:lang w:val="fr-CA"/>
              </w:rPr>
              <w:t xml:space="preserve">Petitions 71-06 et al., Report No. 22/11, Gloria José </w:t>
            </w:r>
            <w:r w:rsidRPr="00352AC9">
              <w:rPr>
                <w:rFonts w:ascii="Cambria" w:hAnsi="Cambria" w:cstheme="minorHAnsi"/>
                <w:sz w:val="18"/>
                <w:szCs w:val="18"/>
                <w:lang w:val="fr-CA"/>
              </w:rPr>
              <w:lastRenderedPageBreak/>
              <w:t xml:space="preserve">Yaquetto Paredes et al. </w:t>
            </w:r>
            <w:r w:rsidRPr="00AC4F96">
              <w:rPr>
                <w:rFonts w:ascii="Cambria" w:hAnsi="Cambria" w:cstheme="minorHAnsi"/>
                <w:sz w:val="18"/>
                <w:szCs w:val="18"/>
                <w:lang w:val="fr-CA"/>
              </w:rPr>
              <w:t>(Peru)</w:t>
            </w:r>
          </w:p>
        </w:tc>
        <w:tc>
          <w:tcPr>
            <w:tcW w:w="1170" w:type="dxa"/>
            <w:vMerge/>
            <w:vAlign w:val="center"/>
          </w:tcPr>
          <w:p w14:paraId="7CB47CB2" w14:textId="77777777" w:rsidR="001C6944" w:rsidRPr="00AC4F96" w:rsidRDefault="001C6944" w:rsidP="001C6944">
            <w:pPr>
              <w:jc w:val="center"/>
              <w:rPr>
                <w:rFonts w:ascii="Cambria" w:hAnsi="Cambria" w:cstheme="minorHAnsi"/>
                <w:sz w:val="18"/>
                <w:szCs w:val="18"/>
                <w:lang w:val="fr-CA"/>
              </w:rPr>
            </w:pPr>
          </w:p>
        </w:tc>
        <w:tc>
          <w:tcPr>
            <w:tcW w:w="1350" w:type="dxa"/>
            <w:vAlign w:val="center"/>
          </w:tcPr>
          <w:p w14:paraId="3320C35C" w14:textId="77777777" w:rsidR="001C6944" w:rsidRPr="00AC4F96" w:rsidRDefault="001C6944" w:rsidP="001C6944">
            <w:pPr>
              <w:jc w:val="center"/>
              <w:rPr>
                <w:rFonts w:ascii="Cambria" w:hAnsi="Cambria" w:cstheme="minorHAnsi"/>
                <w:sz w:val="18"/>
                <w:szCs w:val="18"/>
                <w:lang w:val="fr-CA"/>
              </w:rPr>
            </w:pPr>
          </w:p>
        </w:tc>
        <w:tc>
          <w:tcPr>
            <w:tcW w:w="1170" w:type="dxa"/>
            <w:vAlign w:val="center"/>
          </w:tcPr>
          <w:p w14:paraId="0AF35C4B"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352861BE"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693A8E36"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80%</w:t>
            </w:r>
          </w:p>
        </w:tc>
        <w:tc>
          <w:tcPr>
            <w:tcW w:w="1260" w:type="dxa"/>
            <w:vAlign w:val="center"/>
          </w:tcPr>
          <w:p w14:paraId="066EA5CE"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27577D4B" w14:textId="77777777">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4B4ECE75"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12.041, Report No. 69/14, M.M. (Peru)</w:t>
            </w:r>
            <w:r w:rsidRPr="00C57C0F">
              <w:rPr>
                <w:rFonts w:ascii="Cambria" w:hAnsi="Cambria" w:cstheme="minorHAnsi"/>
                <w:sz w:val="18"/>
                <w:szCs w:val="18"/>
                <w:vertAlign w:val="superscript"/>
              </w:rPr>
              <w:footnoteReference w:id="113"/>
            </w:r>
          </w:p>
        </w:tc>
        <w:tc>
          <w:tcPr>
            <w:tcW w:w="1170" w:type="dxa"/>
            <w:vMerge/>
            <w:vAlign w:val="center"/>
          </w:tcPr>
          <w:p w14:paraId="29532B02" w14:textId="77777777" w:rsidR="001C6944" w:rsidRPr="00C57C0F" w:rsidRDefault="001C6944" w:rsidP="001C6944">
            <w:pPr>
              <w:jc w:val="center"/>
              <w:rPr>
                <w:rFonts w:ascii="Cambria" w:hAnsi="Cambria" w:cstheme="minorHAnsi"/>
                <w:sz w:val="18"/>
                <w:szCs w:val="18"/>
              </w:rPr>
            </w:pPr>
          </w:p>
        </w:tc>
        <w:tc>
          <w:tcPr>
            <w:tcW w:w="1350" w:type="dxa"/>
            <w:vAlign w:val="center"/>
          </w:tcPr>
          <w:p w14:paraId="76A5B0A8"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D77216E" w14:textId="77777777" w:rsidR="001C6944" w:rsidRPr="00C57C0F" w:rsidRDefault="001C6944" w:rsidP="001C6944">
            <w:pPr>
              <w:jc w:val="center"/>
              <w:rPr>
                <w:rFonts w:ascii="Cambria" w:hAnsi="Cambria" w:cstheme="minorHAnsi"/>
                <w:sz w:val="18"/>
                <w:szCs w:val="18"/>
              </w:rPr>
            </w:pPr>
          </w:p>
        </w:tc>
        <w:tc>
          <w:tcPr>
            <w:tcW w:w="1170" w:type="dxa"/>
            <w:vAlign w:val="center"/>
          </w:tcPr>
          <w:p w14:paraId="6E4A514D"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341DD6BB"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7C3A32A" w14:textId="77777777" w:rsidR="001C6944" w:rsidRPr="00C57C0F" w:rsidRDefault="001C6944" w:rsidP="001C6944">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C6944" w:rsidRPr="00C57C0F" w14:paraId="145813B5" w14:textId="77777777">
        <w:trPr>
          <w:cnfStyle w:val="000000100000" w:firstRow="0" w:lastRow="0" w:firstColumn="0" w:lastColumn="0" w:oddVBand="0" w:evenVBand="0" w:oddHBand="1" w:evenHBand="0" w:firstRowFirstColumn="0" w:firstRowLastColumn="0" w:lastRowFirstColumn="0" w:lastRowLastColumn="0"/>
          <w:trHeight w:val="1017"/>
          <w:jc w:val="center"/>
        </w:trPr>
        <w:tc>
          <w:tcPr>
            <w:tcW w:w="1620" w:type="dxa"/>
            <w:vAlign w:val="center"/>
          </w:tcPr>
          <w:p w14:paraId="626E639C" w14:textId="77777777" w:rsidR="001C6944" w:rsidRPr="00352AC9" w:rsidRDefault="001C6944"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Petition 288-08, Report No. 6916, Jesús Salvador Ferreyra González (Peru)</w:t>
            </w:r>
            <w:r w:rsidRPr="00352AC9">
              <w:rPr>
                <w:rFonts w:ascii="Cambria" w:hAnsi="Cambria" w:cstheme="minorHAnsi"/>
                <w:sz w:val="18"/>
                <w:szCs w:val="18"/>
                <w:vertAlign w:val="superscript"/>
                <w:lang w:val="es-AR"/>
              </w:rPr>
              <w:t xml:space="preserve"> </w:t>
            </w:r>
            <w:r w:rsidRPr="00C57C0F">
              <w:rPr>
                <w:rFonts w:ascii="Cambria" w:hAnsi="Cambria" w:cstheme="minorHAnsi"/>
                <w:sz w:val="18"/>
                <w:szCs w:val="18"/>
                <w:vertAlign w:val="superscript"/>
              </w:rPr>
              <w:footnoteReference w:id="114"/>
            </w:r>
          </w:p>
        </w:tc>
        <w:tc>
          <w:tcPr>
            <w:tcW w:w="1170" w:type="dxa"/>
            <w:vMerge/>
            <w:vAlign w:val="center"/>
          </w:tcPr>
          <w:p w14:paraId="3FF04ECF" w14:textId="77777777" w:rsidR="001C6944" w:rsidRPr="00352AC9" w:rsidRDefault="001C6944" w:rsidP="001C6944">
            <w:pPr>
              <w:jc w:val="center"/>
              <w:rPr>
                <w:rFonts w:ascii="Cambria" w:hAnsi="Cambria" w:cstheme="minorHAnsi"/>
                <w:sz w:val="18"/>
                <w:szCs w:val="18"/>
                <w:lang w:val="es-AR"/>
              </w:rPr>
            </w:pPr>
          </w:p>
        </w:tc>
        <w:tc>
          <w:tcPr>
            <w:tcW w:w="1350" w:type="dxa"/>
            <w:vAlign w:val="center"/>
          </w:tcPr>
          <w:p w14:paraId="010C2DB3"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B41DEFA" w14:textId="77777777" w:rsidR="001C6944" w:rsidRPr="00C57C0F" w:rsidRDefault="001C6944" w:rsidP="001C6944">
            <w:pPr>
              <w:jc w:val="center"/>
              <w:rPr>
                <w:rFonts w:ascii="Cambria" w:hAnsi="Cambria" w:cstheme="minorHAnsi"/>
                <w:sz w:val="18"/>
                <w:szCs w:val="18"/>
              </w:rPr>
            </w:pPr>
          </w:p>
        </w:tc>
        <w:tc>
          <w:tcPr>
            <w:tcW w:w="1170" w:type="dxa"/>
            <w:vAlign w:val="center"/>
          </w:tcPr>
          <w:p w14:paraId="39140A71"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50E16C63"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7307FBE9"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50012F79" w14:textId="77777777">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11F8B630" w14:textId="77777777" w:rsidR="001C6944" w:rsidRPr="00352AC9" w:rsidRDefault="001C6944"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Petition 1339-07, Report No. 70/16, Tito Guido Gallegos Gallegos, (Peru)</w:t>
            </w:r>
            <w:r w:rsidRPr="00352AC9">
              <w:rPr>
                <w:rFonts w:ascii="Cambria" w:hAnsi="Cambria" w:cstheme="minorHAnsi"/>
                <w:sz w:val="18"/>
                <w:szCs w:val="18"/>
                <w:vertAlign w:val="superscript"/>
                <w:lang w:val="es-AR"/>
              </w:rPr>
              <w:t xml:space="preserve"> </w:t>
            </w:r>
            <w:r w:rsidRPr="00C57C0F">
              <w:rPr>
                <w:rFonts w:ascii="Cambria" w:hAnsi="Cambria" w:cstheme="minorHAnsi"/>
                <w:sz w:val="18"/>
                <w:szCs w:val="18"/>
                <w:vertAlign w:val="superscript"/>
              </w:rPr>
              <w:footnoteReference w:id="115"/>
            </w:r>
          </w:p>
        </w:tc>
        <w:tc>
          <w:tcPr>
            <w:tcW w:w="1170" w:type="dxa"/>
            <w:vMerge/>
            <w:vAlign w:val="center"/>
          </w:tcPr>
          <w:p w14:paraId="0D720218" w14:textId="77777777" w:rsidR="001C6944" w:rsidRPr="00352AC9" w:rsidRDefault="001C6944" w:rsidP="001C6944">
            <w:pPr>
              <w:jc w:val="center"/>
              <w:rPr>
                <w:rFonts w:ascii="Cambria" w:hAnsi="Cambria" w:cstheme="minorHAnsi"/>
                <w:sz w:val="18"/>
                <w:szCs w:val="18"/>
                <w:lang w:val="es-AR"/>
              </w:rPr>
            </w:pPr>
          </w:p>
        </w:tc>
        <w:tc>
          <w:tcPr>
            <w:tcW w:w="1350" w:type="dxa"/>
            <w:vAlign w:val="center"/>
          </w:tcPr>
          <w:p w14:paraId="69C6FE1A"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120F0BCE" w14:textId="77777777" w:rsidR="001C6944" w:rsidRPr="00C57C0F" w:rsidRDefault="001C6944" w:rsidP="001C6944">
            <w:pPr>
              <w:jc w:val="center"/>
              <w:rPr>
                <w:rFonts w:ascii="Cambria" w:hAnsi="Cambria" w:cstheme="minorHAnsi"/>
                <w:sz w:val="18"/>
                <w:szCs w:val="18"/>
              </w:rPr>
            </w:pPr>
          </w:p>
        </w:tc>
        <w:tc>
          <w:tcPr>
            <w:tcW w:w="1170" w:type="dxa"/>
            <w:vAlign w:val="center"/>
          </w:tcPr>
          <w:p w14:paraId="6644A7F0"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72EB94AD"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52B39FAA"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0102EB50" w14:textId="77777777">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58871251"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12.383, Report No. 137/17, Nestor Alejandro Albornoz Eyzaguirre (Peru)</w:t>
            </w:r>
            <w:r w:rsidRPr="00C57C0F">
              <w:rPr>
                <w:rFonts w:ascii="Cambria" w:hAnsi="Cambria" w:cstheme="minorHAnsi"/>
                <w:sz w:val="18"/>
                <w:szCs w:val="18"/>
                <w:vertAlign w:val="superscript"/>
              </w:rPr>
              <w:t xml:space="preserve"> </w:t>
            </w:r>
            <w:r w:rsidRPr="00C57C0F">
              <w:rPr>
                <w:rFonts w:ascii="Cambria" w:hAnsi="Cambria" w:cstheme="minorHAnsi"/>
                <w:sz w:val="18"/>
                <w:szCs w:val="18"/>
                <w:vertAlign w:val="superscript"/>
              </w:rPr>
              <w:footnoteReference w:id="116"/>
            </w:r>
          </w:p>
        </w:tc>
        <w:tc>
          <w:tcPr>
            <w:tcW w:w="1170" w:type="dxa"/>
            <w:vMerge/>
            <w:vAlign w:val="center"/>
          </w:tcPr>
          <w:p w14:paraId="50D693B4" w14:textId="77777777" w:rsidR="001C6944" w:rsidRPr="00C57C0F" w:rsidRDefault="001C6944" w:rsidP="001C6944">
            <w:pPr>
              <w:jc w:val="center"/>
              <w:rPr>
                <w:rFonts w:ascii="Cambria" w:hAnsi="Cambria" w:cstheme="minorHAnsi"/>
                <w:sz w:val="18"/>
                <w:szCs w:val="18"/>
              </w:rPr>
            </w:pPr>
          </w:p>
        </w:tc>
        <w:tc>
          <w:tcPr>
            <w:tcW w:w="1350" w:type="dxa"/>
            <w:vAlign w:val="center"/>
          </w:tcPr>
          <w:p w14:paraId="52ED37E8"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1869F1D" w14:textId="77777777" w:rsidR="001C6944" w:rsidRPr="00C57C0F" w:rsidRDefault="001C6944" w:rsidP="001C6944">
            <w:pPr>
              <w:jc w:val="center"/>
              <w:rPr>
                <w:rFonts w:ascii="Cambria" w:hAnsi="Cambria" w:cstheme="minorHAnsi"/>
                <w:sz w:val="18"/>
                <w:szCs w:val="18"/>
              </w:rPr>
            </w:pPr>
          </w:p>
        </w:tc>
        <w:tc>
          <w:tcPr>
            <w:tcW w:w="1170" w:type="dxa"/>
            <w:vAlign w:val="center"/>
          </w:tcPr>
          <w:p w14:paraId="54930196"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26B0C09E"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65DA412B" w14:textId="77777777" w:rsidR="001C6944" w:rsidRPr="00C57C0F" w:rsidRDefault="001C6944" w:rsidP="001C6944">
            <w:pPr>
              <w:keepNext/>
              <w:jc w:val="center"/>
              <w:outlineLvl w:val="2"/>
              <w:rPr>
                <w:rFonts w:ascii="Cambria" w:hAnsi="Cambria" w:cstheme="minorHAnsi"/>
                <w:sz w:val="18"/>
                <w:szCs w:val="18"/>
              </w:rPr>
            </w:pPr>
            <w:r w:rsidRPr="00C57C0F">
              <w:rPr>
                <w:rFonts w:ascii="Cambria" w:hAnsi="Cambria" w:cstheme="minorHAnsi"/>
                <w:sz w:val="18"/>
                <w:szCs w:val="18"/>
              </w:rPr>
              <w:t>Closed</w:t>
            </w:r>
          </w:p>
        </w:tc>
      </w:tr>
      <w:tr w:rsidR="001C6944" w:rsidRPr="00C57C0F" w14:paraId="71370987" w14:textId="77777777">
        <w:trPr>
          <w:cnfStyle w:val="000000010000" w:firstRow="0" w:lastRow="0" w:firstColumn="0" w:lastColumn="0" w:oddVBand="0" w:evenVBand="0" w:oddHBand="0" w:evenHBand="1" w:firstRowFirstColumn="0" w:firstRowLastColumn="0" w:lastRowFirstColumn="0" w:lastRowLastColumn="0"/>
          <w:trHeight w:val="585"/>
          <w:jc w:val="center"/>
        </w:trPr>
        <w:tc>
          <w:tcPr>
            <w:tcW w:w="1620" w:type="dxa"/>
            <w:vAlign w:val="center"/>
          </w:tcPr>
          <w:p w14:paraId="680A039F"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1516-08, Report No. 130/18, Juan Figueroa Acosta (Peru)</w:t>
            </w:r>
            <w:r w:rsidRPr="00C57C0F">
              <w:rPr>
                <w:rStyle w:val="FootnoteReference"/>
                <w:rFonts w:ascii="Cambria" w:hAnsi="Cambria" w:cstheme="minorHAnsi"/>
                <w:sz w:val="18"/>
                <w:szCs w:val="18"/>
              </w:rPr>
              <w:footnoteReference w:id="117"/>
            </w:r>
          </w:p>
        </w:tc>
        <w:tc>
          <w:tcPr>
            <w:tcW w:w="1170" w:type="dxa"/>
            <w:vMerge/>
            <w:vAlign w:val="center"/>
          </w:tcPr>
          <w:p w14:paraId="6339E75E" w14:textId="77777777" w:rsidR="001C6944" w:rsidRPr="00C57C0F" w:rsidRDefault="001C6944" w:rsidP="001C6944">
            <w:pPr>
              <w:jc w:val="center"/>
              <w:rPr>
                <w:rFonts w:ascii="Cambria" w:hAnsi="Cambria" w:cstheme="minorHAnsi"/>
                <w:sz w:val="18"/>
                <w:szCs w:val="18"/>
              </w:rPr>
            </w:pPr>
          </w:p>
        </w:tc>
        <w:tc>
          <w:tcPr>
            <w:tcW w:w="1350" w:type="dxa"/>
            <w:vAlign w:val="center"/>
          </w:tcPr>
          <w:p w14:paraId="3F6DE913"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6935544" w14:textId="77777777" w:rsidR="001C6944" w:rsidRPr="00C57C0F" w:rsidRDefault="001C6944" w:rsidP="001C6944">
            <w:pPr>
              <w:jc w:val="center"/>
              <w:rPr>
                <w:rFonts w:ascii="Cambria" w:hAnsi="Cambria" w:cstheme="minorHAnsi"/>
                <w:sz w:val="18"/>
                <w:szCs w:val="18"/>
              </w:rPr>
            </w:pPr>
          </w:p>
        </w:tc>
        <w:tc>
          <w:tcPr>
            <w:tcW w:w="1170" w:type="dxa"/>
            <w:vAlign w:val="center"/>
          </w:tcPr>
          <w:p w14:paraId="0D3B09F7"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2CFA10BD"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1060EB7E"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C6944" w:rsidRPr="00C57C0F" w14:paraId="2A751FC5" w14:textId="77777777">
        <w:trPr>
          <w:cnfStyle w:val="000000100000" w:firstRow="0" w:lastRow="0" w:firstColumn="0" w:lastColumn="0" w:oddVBand="0" w:evenVBand="0" w:oddHBand="1" w:evenHBand="0" w:firstRowFirstColumn="0" w:firstRowLastColumn="0" w:lastRowFirstColumn="0" w:lastRowLastColumn="0"/>
          <w:trHeight w:val="675"/>
          <w:jc w:val="center"/>
        </w:trPr>
        <w:tc>
          <w:tcPr>
            <w:tcW w:w="1620" w:type="dxa"/>
            <w:vAlign w:val="center"/>
          </w:tcPr>
          <w:p w14:paraId="67756831" w14:textId="77777777" w:rsidR="001C6944" w:rsidRPr="00352AC9" w:rsidRDefault="001C6944" w:rsidP="00933F91">
            <w:pPr>
              <w:numPr>
                <w:ilvl w:val="0"/>
                <w:numId w:val="70"/>
              </w:numPr>
              <w:tabs>
                <w:tab w:val="num" w:pos="522"/>
              </w:tabs>
              <w:ind w:firstLine="0"/>
              <w:jc w:val="both"/>
              <w:rPr>
                <w:rFonts w:ascii="Cambria" w:hAnsi="Cambria" w:cstheme="minorHAnsi"/>
                <w:sz w:val="18"/>
                <w:szCs w:val="18"/>
                <w:lang w:val="pt-BR"/>
              </w:rPr>
            </w:pPr>
            <w:r w:rsidRPr="00352AC9">
              <w:rPr>
                <w:rFonts w:ascii="Cambria" w:hAnsi="Cambria" w:cstheme="minorHAnsi"/>
                <w:sz w:val="18"/>
                <w:szCs w:val="18"/>
                <w:lang w:val="pt-BR"/>
              </w:rPr>
              <w:t>Case 12.095, Report No. 3/20, Mariela Barreto (Peru)</w:t>
            </w:r>
          </w:p>
        </w:tc>
        <w:tc>
          <w:tcPr>
            <w:tcW w:w="1170" w:type="dxa"/>
            <w:vMerge/>
            <w:vAlign w:val="center"/>
          </w:tcPr>
          <w:p w14:paraId="1E2B0C39" w14:textId="77777777" w:rsidR="001C6944" w:rsidRPr="00352AC9" w:rsidRDefault="001C6944" w:rsidP="001C6944">
            <w:pPr>
              <w:jc w:val="center"/>
              <w:rPr>
                <w:rFonts w:ascii="Cambria" w:hAnsi="Cambria" w:cstheme="minorHAnsi"/>
                <w:sz w:val="18"/>
                <w:szCs w:val="18"/>
                <w:lang w:val="pt-BR"/>
              </w:rPr>
            </w:pPr>
          </w:p>
        </w:tc>
        <w:tc>
          <w:tcPr>
            <w:tcW w:w="1350" w:type="dxa"/>
            <w:vAlign w:val="center"/>
          </w:tcPr>
          <w:p w14:paraId="7480BA2D" w14:textId="77777777" w:rsidR="001C6944" w:rsidRPr="00352AC9" w:rsidRDefault="001C6944" w:rsidP="001C6944">
            <w:pPr>
              <w:jc w:val="center"/>
              <w:rPr>
                <w:rFonts w:ascii="Cambria" w:hAnsi="Cambria" w:cstheme="minorHAnsi"/>
                <w:sz w:val="18"/>
                <w:szCs w:val="18"/>
                <w:lang w:val="pt-BR"/>
              </w:rPr>
            </w:pPr>
          </w:p>
        </w:tc>
        <w:tc>
          <w:tcPr>
            <w:tcW w:w="1170" w:type="dxa"/>
            <w:vAlign w:val="center"/>
          </w:tcPr>
          <w:p w14:paraId="09733787"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425EE2B"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5E2E9CF8"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75%</w:t>
            </w:r>
          </w:p>
        </w:tc>
        <w:tc>
          <w:tcPr>
            <w:tcW w:w="1260" w:type="dxa"/>
            <w:vAlign w:val="center"/>
          </w:tcPr>
          <w:p w14:paraId="3D48BC85"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04D5543F" w14:textId="77777777">
        <w:trPr>
          <w:cnfStyle w:val="000000010000" w:firstRow="0" w:lastRow="0" w:firstColumn="0" w:lastColumn="0" w:oddVBand="0" w:evenVBand="0" w:oddHBand="0" w:evenHBand="1" w:firstRowFirstColumn="0" w:firstRowLastColumn="0" w:lastRowFirstColumn="0" w:lastRowLastColumn="0"/>
          <w:trHeight w:val="1116"/>
          <w:jc w:val="center"/>
        </w:trPr>
        <w:tc>
          <w:tcPr>
            <w:tcW w:w="1620" w:type="dxa"/>
            <w:vAlign w:val="center"/>
          </w:tcPr>
          <w:p w14:paraId="6A50A028"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 xml:space="preserve">Case 12.174, Report No. 12/31, Israel Geraldo Paredes Acosta </w:t>
            </w:r>
            <w:r w:rsidRPr="00C57C0F">
              <w:rPr>
                <w:rFonts w:ascii="Cambria" w:hAnsi="Cambria" w:cstheme="minorHAnsi"/>
                <w:sz w:val="18"/>
                <w:szCs w:val="18"/>
              </w:rPr>
              <w:lastRenderedPageBreak/>
              <w:t>(Dominican Republic)</w:t>
            </w:r>
            <w:r w:rsidRPr="00C57C0F">
              <w:rPr>
                <w:rFonts w:ascii="Cambria" w:hAnsi="Cambria" w:cstheme="minorHAnsi"/>
                <w:sz w:val="18"/>
                <w:szCs w:val="18"/>
                <w:vertAlign w:val="superscript"/>
              </w:rPr>
              <w:footnoteReference w:id="118"/>
            </w:r>
          </w:p>
        </w:tc>
        <w:tc>
          <w:tcPr>
            <w:tcW w:w="1170" w:type="dxa"/>
            <w:vAlign w:val="center"/>
          </w:tcPr>
          <w:p w14:paraId="321D0556" w14:textId="598BA20C"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lastRenderedPageBreak/>
              <w:t>NA</w:t>
            </w:r>
          </w:p>
        </w:tc>
        <w:tc>
          <w:tcPr>
            <w:tcW w:w="1350" w:type="dxa"/>
            <w:vAlign w:val="center"/>
          </w:tcPr>
          <w:p w14:paraId="1E626FD0"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168418C" w14:textId="77777777" w:rsidR="001C6944" w:rsidRPr="00C57C0F" w:rsidRDefault="001C6944" w:rsidP="001C6944">
            <w:pPr>
              <w:jc w:val="center"/>
              <w:rPr>
                <w:rFonts w:ascii="Cambria" w:hAnsi="Cambria" w:cstheme="minorHAnsi"/>
                <w:sz w:val="18"/>
                <w:szCs w:val="18"/>
              </w:rPr>
            </w:pPr>
          </w:p>
        </w:tc>
        <w:tc>
          <w:tcPr>
            <w:tcW w:w="1170" w:type="dxa"/>
            <w:vAlign w:val="center"/>
          </w:tcPr>
          <w:p w14:paraId="57A78088"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4FFAD818"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6540DFC4"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54D7C00A" w14:textId="77777777">
        <w:trPr>
          <w:cnfStyle w:val="000000100000" w:firstRow="0" w:lastRow="0" w:firstColumn="0" w:lastColumn="0" w:oddVBand="0" w:evenVBand="0" w:oddHBand="1" w:evenHBand="0" w:firstRowFirstColumn="0" w:firstRowLastColumn="0" w:lastRowFirstColumn="0" w:lastRowLastColumn="0"/>
          <w:trHeight w:val="1170"/>
          <w:jc w:val="center"/>
        </w:trPr>
        <w:tc>
          <w:tcPr>
            <w:tcW w:w="1620" w:type="dxa"/>
            <w:vAlign w:val="center"/>
          </w:tcPr>
          <w:p w14:paraId="070DB9E6"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228-07, Report No. 18/10, Carlos Dogliani (Uruguay)</w:t>
            </w:r>
            <w:r w:rsidRPr="00C57C0F">
              <w:rPr>
                <w:rFonts w:ascii="Cambria" w:hAnsi="Cambria" w:cstheme="minorHAnsi"/>
                <w:sz w:val="18"/>
                <w:szCs w:val="18"/>
                <w:vertAlign w:val="superscript"/>
              </w:rPr>
              <w:footnoteReference w:id="119"/>
            </w:r>
          </w:p>
        </w:tc>
        <w:tc>
          <w:tcPr>
            <w:tcW w:w="1170" w:type="dxa"/>
            <w:vMerge w:val="restart"/>
            <w:vAlign w:val="center"/>
          </w:tcPr>
          <w:p w14:paraId="34A16B32" w14:textId="0D9E884C" w:rsidR="001C6944" w:rsidRPr="00C57C0F" w:rsidRDefault="0071198A" w:rsidP="001C6944">
            <w:pPr>
              <w:jc w:val="center"/>
              <w:rPr>
                <w:rFonts w:ascii="Cambria" w:hAnsi="Cambria" w:cstheme="minorHAnsi"/>
                <w:sz w:val="18"/>
                <w:szCs w:val="18"/>
              </w:rPr>
            </w:pPr>
            <w:hyperlink r:id="rId68" w:history="1">
              <w:r w:rsidR="001C6944" w:rsidRPr="00124734">
                <w:rPr>
                  <w:rStyle w:val="Hyperlink"/>
                  <w:rFonts w:ascii="Cambria" w:eastAsiaTheme="minorHAnsi" w:hAnsi="Cambria" w:cstheme="minorHAnsi"/>
                  <w:sz w:val="18"/>
                  <w:szCs w:val="18"/>
                </w:rPr>
                <w:t>Link to monitoring sheets on matters related to reports of friendly settlement agreements (Uruguay)</w:t>
              </w:r>
            </w:hyperlink>
          </w:p>
        </w:tc>
        <w:tc>
          <w:tcPr>
            <w:tcW w:w="1350" w:type="dxa"/>
            <w:vAlign w:val="center"/>
          </w:tcPr>
          <w:p w14:paraId="2F9A314F"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49627CDD" w14:textId="77777777" w:rsidR="001C6944" w:rsidRPr="00C57C0F" w:rsidRDefault="001C6944" w:rsidP="001C6944">
            <w:pPr>
              <w:jc w:val="center"/>
              <w:rPr>
                <w:rFonts w:ascii="Cambria" w:hAnsi="Cambria" w:cstheme="minorHAnsi"/>
                <w:sz w:val="18"/>
                <w:szCs w:val="18"/>
              </w:rPr>
            </w:pPr>
          </w:p>
        </w:tc>
        <w:tc>
          <w:tcPr>
            <w:tcW w:w="1170" w:type="dxa"/>
            <w:vAlign w:val="center"/>
          </w:tcPr>
          <w:p w14:paraId="625D09F8"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26544736"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0A3CAD79"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Closed</w:t>
            </w:r>
          </w:p>
        </w:tc>
      </w:tr>
      <w:tr w:rsidR="001C6944" w:rsidRPr="00C57C0F" w14:paraId="2DC3978D" w14:textId="77777777">
        <w:trPr>
          <w:cnfStyle w:val="000000010000" w:firstRow="0" w:lastRow="0" w:firstColumn="0" w:lastColumn="0" w:oddVBand="0" w:evenVBand="0" w:oddHBand="0" w:evenHBand="1" w:firstRowFirstColumn="0" w:firstRowLastColumn="0" w:lastRowFirstColumn="0" w:lastRowLastColumn="0"/>
          <w:jc w:val="center"/>
        </w:trPr>
        <w:tc>
          <w:tcPr>
            <w:tcW w:w="1620" w:type="dxa"/>
            <w:vAlign w:val="center"/>
          </w:tcPr>
          <w:p w14:paraId="73EF2B9A"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 1224-07, Report No. 103/19, David Rabinovich (Uruguay)</w:t>
            </w:r>
            <w:r w:rsidRPr="00C57C0F">
              <w:rPr>
                <w:rFonts w:ascii="Cambria" w:hAnsi="Cambria" w:cstheme="minorHAnsi"/>
                <w:sz w:val="18"/>
                <w:szCs w:val="18"/>
                <w:vertAlign w:val="superscript"/>
              </w:rPr>
              <w:t xml:space="preserve"> </w:t>
            </w:r>
            <w:r w:rsidRPr="00C57C0F">
              <w:rPr>
                <w:rFonts w:ascii="Cambria" w:hAnsi="Cambria" w:cstheme="minorHAnsi"/>
                <w:sz w:val="18"/>
                <w:szCs w:val="18"/>
                <w:vertAlign w:val="superscript"/>
              </w:rPr>
              <w:footnoteReference w:id="120"/>
            </w:r>
          </w:p>
        </w:tc>
        <w:tc>
          <w:tcPr>
            <w:tcW w:w="1170" w:type="dxa"/>
            <w:vMerge/>
            <w:vAlign w:val="center"/>
          </w:tcPr>
          <w:p w14:paraId="3968A955" w14:textId="77777777" w:rsidR="001C6944" w:rsidRPr="00C57C0F" w:rsidRDefault="001C6944" w:rsidP="001C6944">
            <w:pPr>
              <w:jc w:val="center"/>
              <w:rPr>
                <w:rFonts w:ascii="Cambria" w:hAnsi="Cambria" w:cstheme="minorHAnsi"/>
                <w:sz w:val="18"/>
                <w:szCs w:val="18"/>
              </w:rPr>
            </w:pPr>
          </w:p>
        </w:tc>
        <w:tc>
          <w:tcPr>
            <w:tcW w:w="1350" w:type="dxa"/>
            <w:vAlign w:val="center"/>
          </w:tcPr>
          <w:p w14:paraId="7F34FB6A"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2E9E1409" w14:textId="77777777" w:rsidR="001C6944" w:rsidRPr="00C57C0F" w:rsidRDefault="001C6944" w:rsidP="001C6944">
            <w:pPr>
              <w:jc w:val="center"/>
              <w:rPr>
                <w:rFonts w:ascii="Cambria" w:hAnsi="Cambria" w:cstheme="minorHAnsi"/>
                <w:sz w:val="18"/>
                <w:szCs w:val="18"/>
              </w:rPr>
            </w:pPr>
          </w:p>
        </w:tc>
        <w:tc>
          <w:tcPr>
            <w:tcW w:w="1170" w:type="dxa"/>
            <w:vAlign w:val="center"/>
          </w:tcPr>
          <w:p w14:paraId="017360EF"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425A6520"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100%</w:t>
            </w:r>
          </w:p>
        </w:tc>
        <w:tc>
          <w:tcPr>
            <w:tcW w:w="1260" w:type="dxa"/>
            <w:vAlign w:val="center"/>
          </w:tcPr>
          <w:p w14:paraId="20E64E3A"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 xml:space="preserve">Closed </w:t>
            </w:r>
          </w:p>
          <w:p w14:paraId="3E53BE98" w14:textId="77777777" w:rsidR="001C6944" w:rsidRPr="00C57C0F" w:rsidRDefault="001C6944" w:rsidP="001C6944">
            <w:pPr>
              <w:jc w:val="center"/>
              <w:rPr>
                <w:rFonts w:ascii="Cambria" w:hAnsi="Cambria" w:cstheme="minorHAnsi"/>
                <w:sz w:val="18"/>
                <w:szCs w:val="18"/>
              </w:rPr>
            </w:pPr>
          </w:p>
        </w:tc>
      </w:tr>
      <w:tr w:rsidR="001C6944" w:rsidRPr="00C57C0F" w14:paraId="03C58415" w14:textId="77777777">
        <w:trPr>
          <w:cnfStyle w:val="000000100000" w:firstRow="0" w:lastRow="0" w:firstColumn="0" w:lastColumn="0" w:oddVBand="0" w:evenVBand="0" w:oddHBand="1" w:evenHBand="0" w:firstRowFirstColumn="0" w:firstRowLastColumn="0" w:lastRowFirstColumn="0" w:lastRowLastColumn="0"/>
          <w:jc w:val="center"/>
        </w:trPr>
        <w:tc>
          <w:tcPr>
            <w:tcW w:w="1620" w:type="dxa"/>
            <w:vAlign w:val="center"/>
          </w:tcPr>
          <w:p w14:paraId="4399B6E4"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Petition</w:t>
            </w:r>
            <w:r w:rsidRPr="00C57C0F">
              <w:rPr>
                <w:rFonts w:ascii="Cambria" w:hAnsi="Cambria" w:cs="Arial"/>
                <w:sz w:val="18"/>
                <w:szCs w:val="18"/>
                <w:lang w:eastAsia="es-ES_tradnl"/>
              </w:rPr>
              <w:t xml:space="preserve"> 1376-19, Report No. 183/22, Silvia Angelica Flores Mosquera (Uruguay)</w:t>
            </w:r>
          </w:p>
        </w:tc>
        <w:tc>
          <w:tcPr>
            <w:tcW w:w="1170" w:type="dxa"/>
            <w:vMerge/>
            <w:vAlign w:val="center"/>
          </w:tcPr>
          <w:p w14:paraId="7B0A2B48" w14:textId="77777777" w:rsidR="001C6944" w:rsidRPr="00C57C0F" w:rsidRDefault="001C6944" w:rsidP="001C6944">
            <w:pPr>
              <w:jc w:val="center"/>
              <w:rPr>
                <w:rFonts w:ascii="Cambria" w:hAnsi="Cambria" w:cstheme="minorHAnsi"/>
                <w:sz w:val="18"/>
                <w:szCs w:val="18"/>
              </w:rPr>
            </w:pPr>
          </w:p>
        </w:tc>
        <w:tc>
          <w:tcPr>
            <w:tcW w:w="1350" w:type="dxa"/>
            <w:vAlign w:val="center"/>
          </w:tcPr>
          <w:p w14:paraId="502B5CEB" w14:textId="77777777" w:rsidR="001C6944" w:rsidRPr="00C57C0F" w:rsidRDefault="001C6944" w:rsidP="001C6944">
            <w:pPr>
              <w:jc w:val="center"/>
              <w:rPr>
                <w:rFonts w:ascii="Cambria" w:hAnsi="Cambria" w:cstheme="minorHAnsi"/>
                <w:sz w:val="18"/>
                <w:szCs w:val="18"/>
              </w:rPr>
            </w:pPr>
          </w:p>
        </w:tc>
        <w:tc>
          <w:tcPr>
            <w:tcW w:w="1170" w:type="dxa"/>
            <w:vAlign w:val="center"/>
          </w:tcPr>
          <w:p w14:paraId="2A9895A3"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lang w:eastAsia="es-ES_tradnl"/>
              </w:rPr>
              <w:t>X</w:t>
            </w:r>
          </w:p>
        </w:tc>
        <w:tc>
          <w:tcPr>
            <w:tcW w:w="1170" w:type="dxa"/>
            <w:vAlign w:val="center"/>
          </w:tcPr>
          <w:p w14:paraId="3AB16821"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42F492A1"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rPr>
              <w:t>75%</w:t>
            </w:r>
          </w:p>
        </w:tc>
        <w:tc>
          <w:tcPr>
            <w:tcW w:w="1260" w:type="dxa"/>
            <w:vAlign w:val="center"/>
          </w:tcPr>
          <w:p w14:paraId="3BA9FFC2" w14:textId="77777777" w:rsidR="001C6944" w:rsidRPr="00C57C0F" w:rsidRDefault="001C6944" w:rsidP="001C6944">
            <w:pPr>
              <w:jc w:val="center"/>
              <w:rPr>
                <w:rFonts w:ascii="Cambria" w:hAnsi="Cambria" w:cstheme="minorHAnsi"/>
                <w:sz w:val="18"/>
                <w:szCs w:val="18"/>
              </w:rPr>
            </w:pPr>
            <w:r w:rsidRPr="00C57C0F">
              <w:rPr>
                <w:rFonts w:ascii="Cambria" w:hAnsi="Cambria" w:cs="Arial"/>
                <w:sz w:val="18"/>
                <w:szCs w:val="18"/>
              </w:rPr>
              <w:t>Active</w:t>
            </w:r>
          </w:p>
        </w:tc>
      </w:tr>
      <w:tr w:rsidR="001C6944" w:rsidRPr="00C57C0F" w14:paraId="59F378A3" w14:textId="77777777">
        <w:trPr>
          <w:cnfStyle w:val="000000010000" w:firstRow="0" w:lastRow="0" w:firstColumn="0" w:lastColumn="0" w:oddVBand="0" w:evenVBand="0" w:oddHBand="0" w:evenHBand="1" w:firstRowFirstColumn="0" w:firstRowLastColumn="0" w:lastRowFirstColumn="0" w:lastRowLastColumn="0"/>
          <w:trHeight w:val="1287"/>
          <w:jc w:val="center"/>
        </w:trPr>
        <w:tc>
          <w:tcPr>
            <w:tcW w:w="1620" w:type="dxa"/>
            <w:vAlign w:val="center"/>
          </w:tcPr>
          <w:p w14:paraId="4B68BB7F" w14:textId="77777777" w:rsidR="001C6944" w:rsidRPr="00352AC9" w:rsidRDefault="001C6944" w:rsidP="00933F91">
            <w:pPr>
              <w:numPr>
                <w:ilvl w:val="0"/>
                <w:numId w:val="70"/>
              </w:numPr>
              <w:tabs>
                <w:tab w:val="num" w:pos="522"/>
              </w:tabs>
              <w:ind w:firstLine="0"/>
              <w:jc w:val="both"/>
              <w:rPr>
                <w:rFonts w:ascii="Cambria" w:hAnsi="Cambria" w:cstheme="minorHAnsi"/>
                <w:sz w:val="18"/>
                <w:szCs w:val="18"/>
                <w:lang w:val="es-AR"/>
              </w:rPr>
            </w:pPr>
            <w:r w:rsidRPr="00352AC9">
              <w:rPr>
                <w:rFonts w:ascii="Cambria" w:hAnsi="Cambria" w:cstheme="minorHAnsi"/>
                <w:sz w:val="18"/>
                <w:szCs w:val="18"/>
                <w:lang w:val="es-AR"/>
              </w:rPr>
              <w:t>Case 12.555, Report No. 110/06, Sebastián Echaniz Alcorta and Juan Víctor Galarza Mendiola (Venezuela)</w:t>
            </w:r>
            <w:r w:rsidRPr="00352AC9">
              <w:rPr>
                <w:rFonts w:ascii="Cambria" w:hAnsi="Cambria" w:cstheme="minorHAnsi"/>
                <w:sz w:val="18"/>
                <w:szCs w:val="18"/>
                <w:vertAlign w:val="superscript"/>
                <w:lang w:val="es-AR"/>
              </w:rPr>
              <w:t xml:space="preserve"> </w:t>
            </w:r>
            <w:r w:rsidRPr="00C57C0F">
              <w:rPr>
                <w:rFonts w:ascii="Cambria" w:hAnsi="Cambria" w:cstheme="minorHAnsi"/>
                <w:sz w:val="18"/>
                <w:szCs w:val="18"/>
                <w:vertAlign w:val="superscript"/>
              </w:rPr>
              <w:footnoteReference w:id="121"/>
            </w:r>
          </w:p>
        </w:tc>
        <w:tc>
          <w:tcPr>
            <w:tcW w:w="1170" w:type="dxa"/>
            <w:vMerge w:val="restart"/>
            <w:vAlign w:val="center"/>
          </w:tcPr>
          <w:p w14:paraId="0BEDD4E0" w14:textId="79FC0D2B" w:rsidR="001C6944" w:rsidRPr="00C57C0F" w:rsidRDefault="0071198A" w:rsidP="001C6944">
            <w:pPr>
              <w:jc w:val="center"/>
              <w:rPr>
                <w:rFonts w:ascii="Cambria" w:hAnsi="Cambria" w:cstheme="minorHAnsi"/>
                <w:sz w:val="18"/>
                <w:szCs w:val="18"/>
              </w:rPr>
            </w:pPr>
            <w:hyperlink r:id="rId69" w:history="1">
              <w:r w:rsidR="001C6944" w:rsidRPr="00E5255D">
                <w:rPr>
                  <w:rStyle w:val="Hyperlink"/>
                  <w:rFonts w:ascii="Cambria" w:eastAsiaTheme="minorHAnsi" w:hAnsi="Cambria" w:cstheme="minorHAnsi"/>
                  <w:sz w:val="18"/>
                  <w:szCs w:val="18"/>
                </w:rPr>
                <w:t>Link to monitoring sheets on matters related to reports of friendly settlement agreements of Venezuela that are subject to monitoring</w:t>
              </w:r>
            </w:hyperlink>
            <w:r w:rsidR="001C6944" w:rsidRPr="00C57C0F">
              <w:rPr>
                <w:rFonts w:ascii="Cambria" w:hAnsi="Cambria" w:cstheme="minorHAnsi"/>
                <w:sz w:val="18"/>
                <w:szCs w:val="18"/>
              </w:rPr>
              <w:t xml:space="preserve"> </w:t>
            </w:r>
          </w:p>
        </w:tc>
        <w:tc>
          <w:tcPr>
            <w:tcW w:w="1350" w:type="dxa"/>
            <w:vAlign w:val="center"/>
          </w:tcPr>
          <w:p w14:paraId="3E0C51C5" w14:textId="77777777" w:rsidR="001C6944" w:rsidRPr="00C57C0F" w:rsidRDefault="001C6944" w:rsidP="001C6944">
            <w:pPr>
              <w:jc w:val="center"/>
              <w:rPr>
                <w:rFonts w:ascii="Cambria" w:hAnsi="Cambria" w:cstheme="minorHAnsi"/>
                <w:sz w:val="18"/>
                <w:szCs w:val="18"/>
              </w:rPr>
            </w:pPr>
          </w:p>
        </w:tc>
        <w:tc>
          <w:tcPr>
            <w:tcW w:w="1170" w:type="dxa"/>
            <w:vAlign w:val="center"/>
          </w:tcPr>
          <w:p w14:paraId="79A9B579" w14:textId="77777777" w:rsidR="001C6944" w:rsidRPr="00C57C0F" w:rsidRDefault="001C6944" w:rsidP="001C6944">
            <w:pPr>
              <w:jc w:val="center"/>
              <w:rPr>
                <w:rFonts w:ascii="Cambria" w:hAnsi="Cambria" w:cstheme="minorHAnsi"/>
                <w:sz w:val="18"/>
                <w:szCs w:val="18"/>
              </w:rPr>
            </w:pPr>
          </w:p>
        </w:tc>
        <w:tc>
          <w:tcPr>
            <w:tcW w:w="1170" w:type="dxa"/>
            <w:vAlign w:val="center"/>
          </w:tcPr>
          <w:p w14:paraId="7EA3EB06" w14:textId="77777777" w:rsidR="001C6944" w:rsidRPr="00C57C0F" w:rsidRDefault="001C6944" w:rsidP="001C6944">
            <w:pPr>
              <w:keepNext/>
              <w:jc w:val="center"/>
              <w:outlineLvl w:val="2"/>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17C3FFC"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0%</w:t>
            </w:r>
          </w:p>
        </w:tc>
        <w:tc>
          <w:tcPr>
            <w:tcW w:w="1260" w:type="dxa"/>
            <w:vAlign w:val="center"/>
          </w:tcPr>
          <w:p w14:paraId="46AF9BA9"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 xml:space="preserve">Closed </w:t>
            </w:r>
          </w:p>
        </w:tc>
      </w:tr>
      <w:tr w:rsidR="001C6944" w:rsidRPr="00C57C0F" w14:paraId="1CDB7283" w14:textId="77777777">
        <w:trPr>
          <w:cnfStyle w:val="000000100000" w:firstRow="0" w:lastRow="0" w:firstColumn="0" w:lastColumn="0" w:oddVBand="0" w:evenVBand="0" w:oddHBand="1" w:evenHBand="0" w:firstRowFirstColumn="0" w:firstRowLastColumn="0" w:lastRowFirstColumn="0" w:lastRowLastColumn="0"/>
          <w:trHeight w:val="1152"/>
          <w:jc w:val="center"/>
        </w:trPr>
        <w:tc>
          <w:tcPr>
            <w:tcW w:w="1620" w:type="dxa"/>
            <w:vAlign w:val="center"/>
          </w:tcPr>
          <w:p w14:paraId="6C67E1AD"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11.706, Report No. 32/12, Yanomami Indigenous people of Haximú (Venezuela)</w:t>
            </w:r>
          </w:p>
        </w:tc>
        <w:tc>
          <w:tcPr>
            <w:tcW w:w="1170" w:type="dxa"/>
            <w:vMerge/>
            <w:vAlign w:val="center"/>
          </w:tcPr>
          <w:p w14:paraId="6849893B" w14:textId="77777777" w:rsidR="001C6944" w:rsidRPr="00C57C0F" w:rsidRDefault="001C6944" w:rsidP="001C6944">
            <w:pPr>
              <w:jc w:val="center"/>
              <w:rPr>
                <w:rFonts w:ascii="Cambria" w:hAnsi="Cambria" w:cstheme="minorHAnsi"/>
                <w:sz w:val="18"/>
                <w:szCs w:val="18"/>
              </w:rPr>
            </w:pPr>
          </w:p>
        </w:tc>
        <w:tc>
          <w:tcPr>
            <w:tcW w:w="1350" w:type="dxa"/>
            <w:vAlign w:val="center"/>
          </w:tcPr>
          <w:p w14:paraId="68227F1D" w14:textId="77777777" w:rsidR="001C6944" w:rsidRPr="00C57C0F" w:rsidRDefault="001C6944" w:rsidP="001C6944">
            <w:pPr>
              <w:jc w:val="center"/>
              <w:rPr>
                <w:rFonts w:ascii="Cambria" w:hAnsi="Cambria" w:cstheme="minorHAnsi"/>
                <w:sz w:val="18"/>
                <w:szCs w:val="18"/>
              </w:rPr>
            </w:pPr>
          </w:p>
        </w:tc>
        <w:tc>
          <w:tcPr>
            <w:tcW w:w="1170" w:type="dxa"/>
            <w:vAlign w:val="center"/>
          </w:tcPr>
          <w:p w14:paraId="0E735DD8"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7AE3E6EE"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141F32E6"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60%</w:t>
            </w:r>
          </w:p>
        </w:tc>
        <w:tc>
          <w:tcPr>
            <w:tcW w:w="1260" w:type="dxa"/>
            <w:vAlign w:val="center"/>
          </w:tcPr>
          <w:p w14:paraId="0BF04D8B"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2EF828FD" w14:textId="77777777">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29C4DB17" w14:textId="77777777" w:rsidR="001C6944" w:rsidRPr="00C57C0F" w:rsidRDefault="001C6944" w:rsidP="00933F91">
            <w:pPr>
              <w:numPr>
                <w:ilvl w:val="0"/>
                <w:numId w:val="70"/>
              </w:numPr>
              <w:tabs>
                <w:tab w:val="num" w:pos="522"/>
              </w:tabs>
              <w:ind w:firstLine="0"/>
              <w:jc w:val="both"/>
              <w:rPr>
                <w:rFonts w:ascii="Cambria" w:hAnsi="Cambria" w:cstheme="minorHAnsi"/>
                <w:sz w:val="18"/>
                <w:szCs w:val="18"/>
              </w:rPr>
            </w:pPr>
            <w:r w:rsidRPr="00C57C0F">
              <w:rPr>
                <w:rFonts w:ascii="Cambria" w:hAnsi="Cambria" w:cstheme="minorHAnsi"/>
                <w:sz w:val="18"/>
                <w:szCs w:val="18"/>
              </w:rPr>
              <w:t>Case 12.473, Report No. 63/13, Jesús Manuel Cárdenas et al. (Venezuela)</w:t>
            </w:r>
          </w:p>
        </w:tc>
        <w:tc>
          <w:tcPr>
            <w:tcW w:w="1170" w:type="dxa"/>
            <w:vMerge/>
            <w:vAlign w:val="center"/>
          </w:tcPr>
          <w:p w14:paraId="0015D07C" w14:textId="77777777" w:rsidR="001C6944" w:rsidRPr="00C57C0F" w:rsidRDefault="001C6944" w:rsidP="001C6944">
            <w:pPr>
              <w:jc w:val="center"/>
              <w:rPr>
                <w:rFonts w:ascii="Cambria" w:hAnsi="Cambria" w:cstheme="minorHAnsi"/>
                <w:sz w:val="18"/>
                <w:szCs w:val="18"/>
              </w:rPr>
            </w:pPr>
          </w:p>
        </w:tc>
        <w:tc>
          <w:tcPr>
            <w:tcW w:w="1350" w:type="dxa"/>
            <w:vAlign w:val="center"/>
          </w:tcPr>
          <w:p w14:paraId="5FEBD154" w14:textId="77777777" w:rsidR="001C6944" w:rsidRPr="00C57C0F" w:rsidRDefault="001C6944" w:rsidP="001C6944">
            <w:pPr>
              <w:jc w:val="center"/>
              <w:rPr>
                <w:rFonts w:ascii="Cambria" w:hAnsi="Cambria" w:cstheme="minorHAnsi"/>
                <w:sz w:val="18"/>
                <w:szCs w:val="18"/>
              </w:rPr>
            </w:pPr>
          </w:p>
        </w:tc>
        <w:tc>
          <w:tcPr>
            <w:tcW w:w="1170" w:type="dxa"/>
            <w:vAlign w:val="center"/>
          </w:tcPr>
          <w:p w14:paraId="74CA6AC4"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X</w:t>
            </w:r>
          </w:p>
        </w:tc>
        <w:tc>
          <w:tcPr>
            <w:tcW w:w="1170" w:type="dxa"/>
            <w:vAlign w:val="center"/>
          </w:tcPr>
          <w:p w14:paraId="146ED439" w14:textId="77777777" w:rsidR="001C6944" w:rsidRPr="00C57C0F" w:rsidRDefault="001C6944" w:rsidP="001C6944">
            <w:pPr>
              <w:keepNext/>
              <w:jc w:val="center"/>
              <w:outlineLvl w:val="2"/>
              <w:rPr>
                <w:rFonts w:ascii="Cambria" w:hAnsi="Cambria" w:cstheme="minorHAnsi"/>
                <w:sz w:val="18"/>
                <w:szCs w:val="18"/>
              </w:rPr>
            </w:pPr>
          </w:p>
        </w:tc>
        <w:tc>
          <w:tcPr>
            <w:tcW w:w="1170" w:type="dxa"/>
            <w:vAlign w:val="center"/>
          </w:tcPr>
          <w:p w14:paraId="7AD03B49" w14:textId="77777777" w:rsidR="001C6944" w:rsidRPr="00C57C0F" w:rsidRDefault="001C6944" w:rsidP="001C6944">
            <w:pPr>
              <w:keepNext/>
              <w:tabs>
                <w:tab w:val="left" w:pos="177"/>
              </w:tabs>
              <w:jc w:val="center"/>
              <w:outlineLvl w:val="2"/>
              <w:rPr>
                <w:rFonts w:ascii="Cambria" w:hAnsi="Cambria" w:cstheme="minorHAnsi"/>
                <w:sz w:val="18"/>
                <w:szCs w:val="18"/>
              </w:rPr>
            </w:pPr>
            <w:r w:rsidRPr="00C57C0F">
              <w:rPr>
                <w:rFonts w:ascii="Cambria" w:hAnsi="Cambria" w:cstheme="minorHAnsi"/>
                <w:sz w:val="18"/>
                <w:szCs w:val="18"/>
              </w:rPr>
              <w:t>25%</w:t>
            </w:r>
          </w:p>
        </w:tc>
        <w:tc>
          <w:tcPr>
            <w:tcW w:w="1260" w:type="dxa"/>
            <w:vAlign w:val="center"/>
          </w:tcPr>
          <w:p w14:paraId="217F62A5" w14:textId="77777777" w:rsidR="001C6944" w:rsidRPr="00C57C0F" w:rsidRDefault="001C6944" w:rsidP="001C6944">
            <w:pPr>
              <w:jc w:val="center"/>
              <w:rPr>
                <w:rFonts w:ascii="Cambria" w:hAnsi="Cambria" w:cstheme="minorHAnsi"/>
                <w:sz w:val="18"/>
                <w:szCs w:val="18"/>
              </w:rPr>
            </w:pPr>
            <w:r w:rsidRPr="00C57C0F">
              <w:rPr>
                <w:rFonts w:ascii="Cambria" w:hAnsi="Cambria" w:cstheme="minorHAnsi"/>
                <w:sz w:val="18"/>
                <w:szCs w:val="18"/>
              </w:rPr>
              <w:t>Active</w:t>
            </w:r>
          </w:p>
        </w:tc>
      </w:tr>
      <w:tr w:rsidR="001C6944" w:rsidRPr="00C57C0F" w14:paraId="2D81F865" w14:textId="77777777">
        <w:trPr>
          <w:cnfStyle w:val="000000100000" w:firstRow="0" w:lastRow="0" w:firstColumn="0" w:lastColumn="0" w:oddVBand="0" w:evenVBand="0" w:oddHBand="1" w:evenHBand="0" w:firstRowFirstColumn="0" w:firstRowLastColumn="0" w:lastRowFirstColumn="0" w:lastRowLastColumn="0"/>
          <w:trHeight w:val="1098"/>
          <w:jc w:val="center"/>
        </w:trPr>
        <w:tc>
          <w:tcPr>
            <w:tcW w:w="1620" w:type="dxa"/>
            <w:vAlign w:val="center"/>
          </w:tcPr>
          <w:p w14:paraId="01492B9C" w14:textId="77777777" w:rsidR="001C6944" w:rsidRPr="00C57C0F" w:rsidRDefault="001C6944" w:rsidP="001C6944">
            <w:pPr>
              <w:jc w:val="right"/>
              <w:rPr>
                <w:rFonts w:ascii="Cambria" w:hAnsi="Cambria" w:cstheme="minorHAnsi"/>
                <w:b/>
                <w:sz w:val="18"/>
                <w:szCs w:val="18"/>
              </w:rPr>
            </w:pPr>
            <w:r w:rsidRPr="00C57C0F">
              <w:rPr>
                <w:rFonts w:ascii="Cambria" w:hAnsi="Cambria" w:cstheme="minorHAnsi"/>
                <w:b/>
                <w:sz w:val="18"/>
                <w:szCs w:val="18"/>
              </w:rPr>
              <w:lastRenderedPageBreak/>
              <w:t xml:space="preserve">Total FSAs </w:t>
            </w:r>
          </w:p>
          <w:p w14:paraId="6F1AADE6" w14:textId="77777777" w:rsidR="001C6944" w:rsidRPr="00C57C0F" w:rsidRDefault="001C6944" w:rsidP="001C6944">
            <w:pPr>
              <w:jc w:val="right"/>
              <w:rPr>
                <w:rFonts w:ascii="Cambria" w:hAnsi="Cambria" w:cstheme="minorHAnsi"/>
                <w:b/>
                <w:sz w:val="18"/>
                <w:szCs w:val="18"/>
              </w:rPr>
            </w:pPr>
            <w:r w:rsidRPr="00C57C0F">
              <w:rPr>
                <w:rFonts w:ascii="Cambria" w:hAnsi="Cambria" w:cstheme="minorHAnsi"/>
                <w:b/>
                <w:sz w:val="18"/>
                <w:szCs w:val="18"/>
              </w:rPr>
              <w:t xml:space="preserve">published = </w:t>
            </w:r>
            <w:r w:rsidRPr="00C57C0F">
              <w:rPr>
                <w:rFonts w:ascii="Cambria" w:hAnsi="Cambria" w:cs="Arial"/>
                <w:b/>
                <w:sz w:val="18"/>
                <w:szCs w:val="18"/>
                <w:lang w:eastAsia="es-ES_tradnl"/>
              </w:rPr>
              <w:t>204</w:t>
            </w:r>
          </w:p>
          <w:p w14:paraId="6D8E5387" w14:textId="77777777" w:rsidR="001C6944" w:rsidRPr="00C57C0F" w:rsidRDefault="001C6944" w:rsidP="001C6944">
            <w:pPr>
              <w:jc w:val="right"/>
              <w:rPr>
                <w:rFonts w:ascii="Cambria" w:hAnsi="Cambria" w:cstheme="minorHAnsi"/>
                <w:b/>
                <w:sz w:val="18"/>
                <w:szCs w:val="18"/>
              </w:rPr>
            </w:pPr>
          </w:p>
          <w:p w14:paraId="08275AE8" w14:textId="77777777" w:rsidR="001C6944" w:rsidRPr="00C57C0F" w:rsidRDefault="001C6944" w:rsidP="001C6944">
            <w:pPr>
              <w:jc w:val="right"/>
              <w:rPr>
                <w:rFonts w:ascii="Cambria" w:hAnsi="Cambria" w:cstheme="minorHAnsi"/>
                <w:b/>
                <w:sz w:val="18"/>
                <w:szCs w:val="18"/>
              </w:rPr>
            </w:pPr>
            <w:r w:rsidRPr="00C57C0F">
              <w:rPr>
                <w:rFonts w:ascii="Cambria" w:hAnsi="Cambria" w:cstheme="minorHAnsi"/>
                <w:b/>
                <w:sz w:val="18"/>
                <w:szCs w:val="18"/>
              </w:rPr>
              <w:t xml:space="preserve">Total FSAs in Active Monitoring Phase = </w:t>
            </w:r>
            <w:r w:rsidRPr="00C57C0F">
              <w:rPr>
                <w:rFonts w:ascii="Cambria" w:hAnsi="Cambria" w:cs="Arial"/>
                <w:b/>
                <w:sz w:val="18"/>
                <w:szCs w:val="18"/>
                <w:lang w:eastAsia="es-ES_tradnl"/>
              </w:rPr>
              <w:t>87</w:t>
            </w:r>
          </w:p>
        </w:tc>
        <w:tc>
          <w:tcPr>
            <w:tcW w:w="1170" w:type="dxa"/>
            <w:vAlign w:val="center"/>
          </w:tcPr>
          <w:p w14:paraId="68D7294E" w14:textId="77777777" w:rsidR="001C6944" w:rsidRPr="00C57C0F" w:rsidRDefault="001C6944" w:rsidP="001C6944">
            <w:pPr>
              <w:jc w:val="center"/>
              <w:rPr>
                <w:rFonts w:ascii="Cambria" w:hAnsi="Cambria" w:cstheme="minorHAnsi"/>
                <w:b/>
                <w:sz w:val="18"/>
                <w:szCs w:val="18"/>
              </w:rPr>
            </w:pPr>
          </w:p>
        </w:tc>
        <w:tc>
          <w:tcPr>
            <w:tcW w:w="1350" w:type="dxa"/>
            <w:vAlign w:val="center"/>
          </w:tcPr>
          <w:p w14:paraId="215889ED" w14:textId="77777777" w:rsidR="001C6944" w:rsidRPr="00C57C0F" w:rsidRDefault="001C6944" w:rsidP="001C6944">
            <w:pPr>
              <w:jc w:val="center"/>
              <w:rPr>
                <w:rFonts w:ascii="Cambria" w:hAnsi="Cambria" w:cstheme="minorHAnsi"/>
                <w:b/>
                <w:sz w:val="18"/>
                <w:szCs w:val="18"/>
              </w:rPr>
            </w:pPr>
            <w:r w:rsidRPr="00C57C0F">
              <w:rPr>
                <w:rFonts w:ascii="Cambria" w:hAnsi="Cambria" w:cstheme="minorHAnsi"/>
                <w:b/>
                <w:sz w:val="18"/>
                <w:szCs w:val="18"/>
              </w:rPr>
              <w:t xml:space="preserve">Full compliance = </w:t>
            </w:r>
            <w:r w:rsidRPr="00C57C0F">
              <w:rPr>
                <w:rFonts w:ascii="Cambria" w:hAnsi="Cambria" w:cs="Arial"/>
                <w:b/>
                <w:sz w:val="18"/>
                <w:szCs w:val="18"/>
                <w:lang w:eastAsia="es-ES_tradnl"/>
              </w:rPr>
              <w:t>86</w:t>
            </w:r>
          </w:p>
        </w:tc>
        <w:tc>
          <w:tcPr>
            <w:tcW w:w="1170" w:type="dxa"/>
            <w:vAlign w:val="center"/>
          </w:tcPr>
          <w:p w14:paraId="5CB014D9" w14:textId="77777777" w:rsidR="001C6944" w:rsidRPr="00C57C0F" w:rsidRDefault="001C6944" w:rsidP="001C6944">
            <w:pPr>
              <w:jc w:val="center"/>
              <w:rPr>
                <w:rFonts w:ascii="Cambria" w:hAnsi="Cambria" w:cstheme="minorHAnsi"/>
                <w:b/>
                <w:sz w:val="18"/>
                <w:szCs w:val="18"/>
              </w:rPr>
            </w:pPr>
          </w:p>
          <w:p w14:paraId="6A1CBB2C" w14:textId="77777777" w:rsidR="001C6944" w:rsidRPr="00C57C0F" w:rsidRDefault="001C6944" w:rsidP="001C6944">
            <w:pPr>
              <w:jc w:val="center"/>
              <w:rPr>
                <w:rFonts w:ascii="Cambria" w:hAnsi="Cambria" w:cstheme="minorHAnsi"/>
                <w:b/>
                <w:sz w:val="18"/>
                <w:szCs w:val="18"/>
              </w:rPr>
            </w:pPr>
            <w:r w:rsidRPr="00C57C0F">
              <w:rPr>
                <w:rFonts w:ascii="Cambria" w:hAnsi="Cambria" w:cstheme="minorHAnsi"/>
                <w:b/>
                <w:sz w:val="18"/>
                <w:szCs w:val="18"/>
              </w:rPr>
              <w:t xml:space="preserve">Partial compliance = </w:t>
            </w:r>
            <w:r w:rsidRPr="00C57C0F">
              <w:rPr>
                <w:rFonts w:ascii="Cambria" w:hAnsi="Cambria" w:cs="Arial"/>
                <w:b/>
                <w:sz w:val="18"/>
                <w:szCs w:val="18"/>
                <w:lang w:eastAsia="es-ES_tradnl"/>
              </w:rPr>
              <w:t>116</w:t>
            </w:r>
          </w:p>
          <w:p w14:paraId="6B4567DD" w14:textId="77777777" w:rsidR="001C6944" w:rsidRPr="00C57C0F" w:rsidRDefault="001C6944" w:rsidP="001C6944">
            <w:pPr>
              <w:jc w:val="center"/>
              <w:rPr>
                <w:rFonts w:ascii="Cambria" w:hAnsi="Cambria" w:cstheme="minorHAnsi"/>
                <w:b/>
                <w:sz w:val="18"/>
                <w:szCs w:val="18"/>
              </w:rPr>
            </w:pPr>
          </w:p>
        </w:tc>
        <w:tc>
          <w:tcPr>
            <w:tcW w:w="1170" w:type="dxa"/>
            <w:vAlign w:val="center"/>
          </w:tcPr>
          <w:p w14:paraId="60AE842A" w14:textId="77777777" w:rsidR="001C6944" w:rsidRPr="00C57C0F" w:rsidRDefault="001C6944" w:rsidP="001C6944">
            <w:pPr>
              <w:jc w:val="center"/>
              <w:rPr>
                <w:rFonts w:ascii="Cambria" w:hAnsi="Cambria" w:cstheme="minorHAnsi"/>
                <w:b/>
                <w:sz w:val="18"/>
                <w:szCs w:val="18"/>
              </w:rPr>
            </w:pPr>
          </w:p>
          <w:p w14:paraId="22113B44" w14:textId="77777777" w:rsidR="001C6944" w:rsidRPr="00C57C0F" w:rsidRDefault="001C6944" w:rsidP="001C6944">
            <w:pPr>
              <w:jc w:val="center"/>
              <w:rPr>
                <w:rFonts w:ascii="Cambria" w:hAnsi="Cambria" w:cstheme="minorHAnsi"/>
                <w:b/>
                <w:sz w:val="18"/>
                <w:szCs w:val="18"/>
              </w:rPr>
            </w:pPr>
            <w:r w:rsidRPr="00C57C0F">
              <w:rPr>
                <w:rFonts w:ascii="Cambria" w:hAnsi="Cambria" w:cstheme="minorHAnsi"/>
                <w:b/>
                <w:sz w:val="18"/>
                <w:szCs w:val="18"/>
              </w:rPr>
              <w:t xml:space="preserve">Pending compliance = </w:t>
            </w:r>
            <w:r w:rsidRPr="00C57C0F">
              <w:rPr>
                <w:rFonts w:ascii="Cambria" w:hAnsi="Cambria" w:cs="Arial"/>
                <w:b/>
                <w:sz w:val="18"/>
                <w:szCs w:val="18"/>
                <w:lang w:eastAsia="es-ES_tradnl"/>
              </w:rPr>
              <w:t>2</w:t>
            </w:r>
          </w:p>
          <w:p w14:paraId="0A1B6AC9" w14:textId="77777777" w:rsidR="001C6944" w:rsidRPr="00C57C0F" w:rsidRDefault="001C6944" w:rsidP="001C6944">
            <w:pPr>
              <w:jc w:val="center"/>
              <w:rPr>
                <w:rFonts w:ascii="Cambria" w:hAnsi="Cambria" w:cstheme="minorHAnsi"/>
                <w:b/>
                <w:sz w:val="18"/>
                <w:szCs w:val="18"/>
              </w:rPr>
            </w:pPr>
          </w:p>
        </w:tc>
        <w:tc>
          <w:tcPr>
            <w:tcW w:w="1170" w:type="dxa"/>
            <w:vAlign w:val="center"/>
          </w:tcPr>
          <w:p w14:paraId="58DC54A5" w14:textId="77777777" w:rsidR="001C6944" w:rsidRPr="00C57C0F" w:rsidRDefault="001C6944" w:rsidP="001C6944">
            <w:pPr>
              <w:jc w:val="center"/>
              <w:rPr>
                <w:rFonts w:ascii="Cambria" w:hAnsi="Cambria" w:cstheme="minorHAnsi"/>
                <w:b/>
                <w:sz w:val="18"/>
                <w:szCs w:val="18"/>
              </w:rPr>
            </w:pPr>
          </w:p>
        </w:tc>
        <w:tc>
          <w:tcPr>
            <w:tcW w:w="1260" w:type="dxa"/>
            <w:vAlign w:val="center"/>
          </w:tcPr>
          <w:p w14:paraId="17A81D8D" w14:textId="77777777" w:rsidR="001C6944" w:rsidRPr="00C57C0F" w:rsidRDefault="001C6944" w:rsidP="001C6944">
            <w:pPr>
              <w:jc w:val="center"/>
              <w:rPr>
                <w:rFonts w:ascii="Cambria" w:hAnsi="Cambria" w:cstheme="minorHAnsi"/>
                <w:b/>
                <w:bCs/>
                <w:sz w:val="18"/>
                <w:szCs w:val="18"/>
              </w:rPr>
            </w:pPr>
            <w:r w:rsidRPr="00C57C0F">
              <w:rPr>
                <w:rFonts w:ascii="Cambria" w:hAnsi="Cambria" w:cstheme="minorHAnsi"/>
                <w:b/>
                <w:sz w:val="18"/>
                <w:szCs w:val="18"/>
              </w:rPr>
              <w:t>Active</w:t>
            </w:r>
          </w:p>
          <w:p w14:paraId="27827B5F" w14:textId="77777777" w:rsidR="001C6944" w:rsidRPr="00C57C0F" w:rsidRDefault="001C6944" w:rsidP="001C6944">
            <w:pPr>
              <w:jc w:val="center"/>
              <w:rPr>
                <w:rFonts w:ascii="Cambria" w:hAnsi="Cambria" w:cstheme="minorHAnsi"/>
                <w:b/>
                <w:bCs/>
                <w:sz w:val="18"/>
                <w:szCs w:val="18"/>
              </w:rPr>
            </w:pPr>
            <w:r w:rsidRPr="00C57C0F">
              <w:rPr>
                <w:rFonts w:ascii="Cambria" w:hAnsi="Cambria" w:cstheme="minorHAnsi"/>
                <w:b/>
                <w:sz w:val="18"/>
                <w:szCs w:val="18"/>
              </w:rPr>
              <w:t xml:space="preserve"> matters: </w:t>
            </w:r>
            <w:r w:rsidRPr="00C57C0F">
              <w:rPr>
                <w:rFonts w:ascii="Cambria" w:hAnsi="Cambria"/>
                <w:b/>
                <w:sz w:val="18"/>
                <w:szCs w:val="18"/>
              </w:rPr>
              <w:t>87</w:t>
            </w:r>
          </w:p>
          <w:p w14:paraId="53C3BA7C" w14:textId="77777777" w:rsidR="001C6944" w:rsidRPr="00C57C0F" w:rsidRDefault="001C6944" w:rsidP="001C6944">
            <w:pPr>
              <w:jc w:val="center"/>
              <w:rPr>
                <w:rFonts w:ascii="Cambria" w:hAnsi="Cambria" w:cstheme="minorHAnsi"/>
                <w:b/>
                <w:sz w:val="18"/>
                <w:szCs w:val="18"/>
              </w:rPr>
            </w:pPr>
          </w:p>
          <w:p w14:paraId="16D6121F" w14:textId="77777777" w:rsidR="001C6944" w:rsidRPr="00C57C0F" w:rsidRDefault="001C6944" w:rsidP="001C6944">
            <w:pPr>
              <w:jc w:val="center"/>
              <w:rPr>
                <w:rFonts w:ascii="Cambria" w:hAnsi="Cambria" w:cstheme="minorHAnsi"/>
                <w:b/>
                <w:sz w:val="18"/>
                <w:szCs w:val="18"/>
              </w:rPr>
            </w:pPr>
            <w:r w:rsidRPr="00C57C0F">
              <w:rPr>
                <w:rFonts w:ascii="Cambria" w:hAnsi="Cambria" w:cstheme="minorHAnsi"/>
                <w:b/>
                <w:sz w:val="18"/>
                <w:szCs w:val="18"/>
              </w:rPr>
              <w:t xml:space="preserve">Closed matters: </w:t>
            </w:r>
            <w:r w:rsidRPr="00C57C0F">
              <w:rPr>
                <w:rFonts w:ascii="Cambria" w:hAnsi="Cambria"/>
                <w:b/>
                <w:sz w:val="18"/>
                <w:szCs w:val="18"/>
              </w:rPr>
              <w:t>117</w:t>
            </w:r>
          </w:p>
        </w:tc>
      </w:tr>
      <w:bookmarkEnd w:id="0"/>
    </w:tbl>
    <w:p w14:paraId="3409695E" w14:textId="77777777" w:rsidR="002E260B" w:rsidRPr="00183F07" w:rsidRDefault="002E260B" w:rsidP="00183F07">
      <w:pPr>
        <w:pBdr>
          <w:top w:val="nil"/>
          <w:left w:val="nil"/>
          <w:bottom w:val="nil"/>
          <w:right w:val="nil"/>
          <w:between w:val="nil"/>
          <w:bar w:val="nil"/>
        </w:pBdr>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4421B91D" w14:textId="77777777" w:rsidR="002E260B" w:rsidRPr="00393C72" w:rsidRDefault="002E260B" w:rsidP="00393C72">
      <w:pPr>
        <w:pBdr>
          <w:top w:val="nil"/>
          <w:left w:val="nil"/>
          <w:bottom w:val="nil"/>
          <w:right w:val="nil"/>
          <w:between w:val="nil"/>
          <w:bar w:val="nil"/>
        </w:pBdr>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5CC76520" w14:textId="3F2D13FF" w:rsidR="002E260B" w:rsidRPr="002017DA" w:rsidRDefault="002E260B" w:rsidP="00933F91">
      <w:pPr>
        <w:pStyle w:val="ListParagraph"/>
        <w:numPr>
          <w:ilvl w:val="0"/>
          <w:numId w:val="62"/>
        </w:numPr>
        <w:pBdr>
          <w:top w:val="nil"/>
          <w:left w:val="nil"/>
          <w:bottom w:val="nil"/>
          <w:right w:val="nil"/>
          <w:between w:val="nil"/>
          <w:bar w:val="nil"/>
        </w:pBdr>
        <w:ind w:left="0" w:firstLine="720"/>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r w:rsidRPr="002017DA">
        <w:rPr>
          <w:rFonts w:ascii="Cambria" w:eastAsia="Calibri" w:hAnsi="Cambria" w:cs="Calibri"/>
          <w:b/>
          <w:color w:val="000000"/>
          <w:sz w:val="22"/>
          <w:szCs w:val="22"/>
          <w:u w:color="000000"/>
          <w:bdr w:val="nil"/>
          <w14:textOutline w14:w="0" w14:cap="flat" w14:cmpd="sng" w14:algn="ctr">
            <w14:noFill/>
            <w14:prstDash w14:val="solid"/>
            <w14:bevel/>
          </w14:textOutline>
        </w:rPr>
        <w:t>Good practices in Implementing Friendly Settlement Agreements observed in 2022</w:t>
      </w:r>
    </w:p>
    <w:p w14:paraId="687F636D" w14:textId="77777777" w:rsidR="002E260B" w:rsidRPr="00AC7438" w:rsidRDefault="002E260B" w:rsidP="002E260B">
      <w:pPr>
        <w:pStyle w:val="ListParagraph"/>
        <w:pBdr>
          <w:top w:val="nil"/>
          <w:left w:val="nil"/>
          <w:bottom w:val="nil"/>
          <w:right w:val="nil"/>
          <w:between w:val="nil"/>
          <w:bar w:val="nil"/>
        </w:pBdr>
        <w:ind w:left="1440"/>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7A162E87" w14:textId="3C3CD61B" w:rsidR="002E260B" w:rsidRPr="002017DA"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2017DA">
        <w:rPr>
          <w:rFonts w:eastAsia="Calibri" w:cs="Calibri"/>
          <w:bCs/>
          <w:color w:val="000000"/>
          <w:u w:color="000000"/>
          <w:bdr w:val="nil"/>
          <w14:textOutline w14:w="0" w14:cap="flat" w14:cmpd="sng" w14:algn="ctr">
            <w14:noFill/>
            <w14:prstDash w14:val="solid"/>
            <w14:bevel/>
          </w14:textOutline>
        </w:rPr>
        <w:t>The Commission highlights the evolution of a good practice by States initially observed in the context of the COVID-19 pandemic, regarding the search for alternative mechanisms for fulfilling obligations under friendly settlement agreements and their promotion by means of informatic tools. That practice has not only been maintained but, due to the lifting of some restrictions introduced during the pandemic, it incorporated new areas of work that have allowed States to make progress in the implementation of measures contained in friendly settlement agreements. In this regard, the Commission highlights as positive the ceremonies for the signing of FSAs and/or acknowledgement of responsibility in hybrid format in Petition No. P-268-10 María del Carmen Senem de Buzzi, regarding Argentina; Case 11.426 Marcela Alejandra Porco, regarding Bolivia; Case 12.956 F.S., regarding Chile; Petition No. 1617-12 Domingo José Rivas Coronado, Case No. 13.436 Jose Oleaguer Correa, Case 14.577 Teobaldo Martinez, Petition No. 1478-12 José Manuel Bello and Case of Julián Alberto Toro and Family, regarding Colombia; and Petition No. P-1376-19 Silvia Flores, regarding Uruguay, which saw broad participation on the part of victims, their families, and representatives, as well as the presence of the Commission, through its country rapporteurs, enabling for greater rapprochement with the States and the victims.</w:t>
      </w:r>
    </w:p>
    <w:p w14:paraId="4003DA64" w14:textId="77777777" w:rsidR="002E260B" w:rsidRPr="002017DA" w:rsidRDefault="002E260B" w:rsidP="002017DA">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EDE1726" w14:textId="3BDB789C" w:rsidR="002E260B" w:rsidRPr="002017DA"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2017DA">
        <w:rPr>
          <w:rFonts w:eastAsia="Calibri" w:cs="Calibri"/>
          <w:bCs/>
          <w:color w:val="000000"/>
          <w:u w:color="000000"/>
          <w:bdr w:val="nil"/>
          <w14:textOutline w14:w="0" w14:cap="flat" w14:cmpd="sng" w14:algn="ctr">
            <w14:noFill/>
            <w14:prstDash w14:val="solid"/>
            <w14:bevel/>
          </w14:textOutline>
        </w:rPr>
        <w:t>The Commission recognizes as a good practice of the Colombian State the identification of blocks of cases in the contentious proceedings involving violations of articles 8 (right to a fair trial) and 25 (right to judicial protection) of the American Convention derived from the lack of investigation of facts occurred in the context of the armed conflict, in which, following bilateral consultation with the victims and their representatives, the parties jointly decided to initiate a friendly settlement process. Within the framework of these processes, in 2022 Colombia achieved the approval of fourteen friendly settlement agreements and made progress in the implementation of satisfaction measures in the form of ceremonies of acknowledgement of responsibility in eleven of those cases.</w:t>
      </w:r>
    </w:p>
    <w:p w14:paraId="592B116D" w14:textId="77777777" w:rsidR="002E260B" w:rsidRPr="002017DA" w:rsidRDefault="002E260B" w:rsidP="002017DA">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4486FEB" w14:textId="031EBD9E" w:rsidR="002E260B" w:rsidRPr="002017DA"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2017DA">
        <w:rPr>
          <w:rFonts w:eastAsia="Calibri" w:cs="Calibri"/>
          <w:bCs/>
          <w:color w:val="000000"/>
          <w:u w:color="000000"/>
          <w:bdr w:val="nil"/>
          <w14:textOutline w14:w="0" w14:cap="flat" w14:cmpd="sng" w14:algn="ctr">
            <w14:noFill/>
            <w14:prstDash w14:val="solid"/>
            <w14:bevel/>
          </w14:textOutline>
        </w:rPr>
        <w:t xml:space="preserve">In addition, the Commission highlights as a good practice the information gathering and analysis process carried out by the Missing Persons Unit (Unidad de Personas Desparecidas – UBPD), in the framework of Case 11.144, Gerson Jairzinho González Arroyo of Colombia, in which the elements of information contained in the Report on Friendly Settlement No. 109/19 issued by the IACHR, as a result of which the UBPD was able to establish its competence to take up the case and move forward with the search for Mr. Gerson Jairzinho González Arroyo, inasmuch as a link was identified between the forced disappearance and the armed conflict prior to December 2016. </w:t>
      </w:r>
    </w:p>
    <w:p w14:paraId="49FA64BC" w14:textId="77777777" w:rsidR="002E260B" w:rsidRPr="002017DA" w:rsidRDefault="002E260B" w:rsidP="002017DA">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25F75C63" w14:textId="598E3EE4" w:rsidR="002E260B" w:rsidRPr="002017DA"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2017DA">
        <w:rPr>
          <w:rFonts w:eastAsia="Calibri" w:cs="Calibri"/>
          <w:bCs/>
          <w:color w:val="000000"/>
          <w:u w:color="000000"/>
          <w:bdr w:val="nil"/>
          <w14:textOutline w14:w="0" w14:cap="flat" w14:cmpd="sng" w14:algn="ctr">
            <w14:noFill/>
            <w14:prstDash w14:val="solid"/>
            <w14:bevel/>
          </w14:textOutline>
        </w:rPr>
        <w:t xml:space="preserve">The Commission also identified as good practice the actions reported by the Colombian State in relation to Case 12,541, Omar Zuñiga Vásquez, regarding the application of an Action of Review to a decision adopted on May 28, 2014, by the 73rd Delegated Prosecutor's Office before the Superior Court of Bogotá, based on the contents of the agreement. In that regard, the National Legal Defense Agency of the State forwarded to the Supreme Court of Justice for analysis a certification of the issuance the Friendly Settlement Report 67/16, </w:t>
      </w:r>
      <w:r w:rsidRPr="002017DA">
        <w:rPr>
          <w:rFonts w:eastAsia="Calibri" w:cs="Calibri"/>
          <w:bCs/>
          <w:color w:val="000000"/>
          <w:u w:color="000000"/>
          <w:bdr w:val="nil"/>
          <w14:textOutline w14:w="0" w14:cap="flat" w14:cmpd="sng" w14:algn="ctr">
            <w14:noFill/>
            <w14:prstDash w14:val="solid"/>
            <w14:bevel/>
          </w14:textOutline>
        </w:rPr>
        <w:lastRenderedPageBreak/>
        <w:t xml:space="preserve">the original notification letter sent to the State on December 20, 2016, and the worksheet with the findings of the 2021 Annual Report with respect to the case. In that sense, the Commission has considered as a good practice the commitments undertook by States to bring Review Actions against decisions that preclude, dismiss, or issue acquittals in investigations concerning alleged violations of rights enshrined in the American Convention, as well as the inclusion of non-repetition clauses against officials involved in the facts, which are elements that have been incorporated in this case.  The Commission also welcomes the use of its published instruments as part of the monitoring of friendly settlement agreements, to boost the actions for their total implementation. </w:t>
      </w:r>
    </w:p>
    <w:p w14:paraId="79EC13D5" w14:textId="77777777" w:rsidR="00FE2C17" w:rsidRPr="00393C72" w:rsidRDefault="00FE2C17" w:rsidP="00393C72">
      <w:pPr>
        <w:pBdr>
          <w:top w:val="nil"/>
          <w:left w:val="nil"/>
          <w:bottom w:val="nil"/>
          <w:right w:val="nil"/>
          <w:between w:val="nil"/>
          <w:bar w:val="nil"/>
        </w:pBdr>
        <w:jc w:val="both"/>
        <w:rPr>
          <w:rFonts w:ascii="Cambria" w:eastAsia="Calibri" w:hAnsi="Cambria" w:cs="Calibri"/>
          <w:bCs/>
          <w:color w:val="000000"/>
          <w:sz w:val="22"/>
          <w:szCs w:val="22"/>
          <w:u w:color="000000"/>
          <w:bdr w:val="nil"/>
          <w14:textOutline w14:w="0" w14:cap="flat" w14:cmpd="sng" w14:algn="ctr">
            <w14:noFill/>
            <w14:prstDash w14:val="solid"/>
            <w14:bevel/>
          </w14:textOutline>
        </w:rPr>
      </w:pPr>
    </w:p>
    <w:p w14:paraId="1DF39214" w14:textId="15928A1D" w:rsidR="002E260B" w:rsidRDefault="002E260B" w:rsidP="00933F91">
      <w:pPr>
        <w:pStyle w:val="ListParagraph"/>
        <w:numPr>
          <w:ilvl w:val="0"/>
          <w:numId w:val="62"/>
        </w:numPr>
        <w:pBdr>
          <w:top w:val="nil"/>
          <w:left w:val="nil"/>
          <w:bottom w:val="nil"/>
          <w:right w:val="nil"/>
          <w:between w:val="nil"/>
          <w:bar w:val="nil"/>
        </w:pBdr>
        <w:ind w:left="0" w:firstLine="720"/>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r w:rsidRPr="007E57F2">
        <w:rPr>
          <w:rFonts w:ascii="Cambria" w:eastAsia="Calibri" w:hAnsi="Cambria" w:cs="Calibri"/>
          <w:b/>
          <w:color w:val="000000"/>
          <w:sz w:val="22"/>
          <w:szCs w:val="22"/>
          <w:u w:color="000000"/>
          <w:bdr w:val="nil"/>
          <w14:textOutline w14:w="0" w14:cap="flat" w14:cmpd="sng" w14:algn="ctr">
            <w14:noFill/>
            <w14:prstDash w14:val="solid"/>
            <w14:bevel/>
          </w14:textOutline>
        </w:rPr>
        <w:t>Challenges and</w:t>
      </w:r>
      <w:r w:rsidR="00AF3C22">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 s</w:t>
      </w:r>
      <w:r w:rsidRPr="007E57F2">
        <w:rPr>
          <w:rFonts w:ascii="Cambria" w:eastAsia="Calibri" w:hAnsi="Cambria" w:cs="Calibri"/>
          <w:b/>
          <w:color w:val="000000"/>
          <w:sz w:val="22"/>
          <w:szCs w:val="22"/>
          <w:u w:color="000000"/>
          <w:bdr w:val="nil"/>
          <w14:textOutline w14:w="0" w14:cap="flat" w14:cmpd="sng" w14:algn="ctr">
            <w14:noFill/>
            <w14:prstDash w14:val="solid"/>
            <w14:bevel/>
          </w14:textOutline>
        </w:rPr>
        <w:t xml:space="preserve">etbacks in </w:t>
      </w:r>
      <w:r w:rsidR="004C6492">
        <w:rPr>
          <w:rFonts w:ascii="Cambria" w:eastAsia="Calibri" w:hAnsi="Cambria" w:cs="Calibri"/>
          <w:b/>
          <w:color w:val="000000"/>
          <w:sz w:val="22"/>
          <w:szCs w:val="22"/>
          <w:u w:color="000000"/>
          <w:bdr w:val="nil"/>
          <w14:textOutline w14:w="0" w14:cap="flat" w14:cmpd="sng" w14:algn="ctr">
            <w14:noFill/>
            <w14:prstDash w14:val="solid"/>
            <w14:bevel/>
          </w14:textOutline>
        </w:rPr>
        <w:t>i</w:t>
      </w:r>
      <w:r w:rsidRPr="007E57F2">
        <w:rPr>
          <w:rFonts w:ascii="Cambria" w:eastAsia="Calibri" w:hAnsi="Cambria" w:cs="Calibri"/>
          <w:b/>
          <w:color w:val="000000"/>
          <w:sz w:val="22"/>
          <w:szCs w:val="22"/>
          <w:u w:color="000000"/>
          <w:bdr w:val="nil"/>
          <w14:textOutline w14:w="0" w14:cap="flat" w14:cmpd="sng" w14:algn="ctr">
            <w14:noFill/>
            <w14:prstDash w14:val="solid"/>
            <w14:bevel/>
          </w14:textOutline>
        </w:rPr>
        <w:t>mplementing Friendly Settlement Agreements observed in 2022</w:t>
      </w:r>
    </w:p>
    <w:p w14:paraId="2B6994EB" w14:textId="77777777" w:rsidR="007E57F2" w:rsidRPr="007E57F2" w:rsidRDefault="007E57F2" w:rsidP="007E57F2">
      <w:pPr>
        <w:pStyle w:val="ListParagraph"/>
        <w:pBdr>
          <w:top w:val="nil"/>
          <w:left w:val="nil"/>
          <w:bottom w:val="nil"/>
          <w:right w:val="nil"/>
          <w:between w:val="nil"/>
          <w:bar w:val="nil"/>
        </w:pBdr>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p>
    <w:p w14:paraId="09423758" w14:textId="5382B044" w:rsidR="002E260B" w:rsidRPr="007E57F2"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E57F2">
        <w:rPr>
          <w:rFonts w:eastAsia="Calibri" w:cs="Calibri"/>
          <w:bCs/>
          <w:color w:val="000000"/>
          <w:u w:color="000000"/>
          <w:bdr w:val="nil"/>
          <w14:textOutline w14:w="0" w14:cap="flat" w14:cmpd="sng" w14:algn="ctr">
            <w14:noFill/>
            <w14:prstDash w14:val="solid"/>
            <w14:bevel/>
          </w14:textOutline>
        </w:rPr>
        <w:t xml:space="preserve">The Commission noted the approval of Law 1431 of 2022,  which modifies provisions of Law 936 of May 3, 2017, on Conciliation and Arbitration of Bolivia, in particular by establishing the authority of the Ministry of Economy and Public Finance to decide the inquiries of the Office of the Attorney General on the availability of economic resources for the implementation of FSAs, by means of a legal technical report, prior to being submitted for consideration by the State Council for Friendly Settlements in Human Rights Matters (CESADH). The Commission is aware that although insufficient time has elapsed to determine the concrete impact it could have on friendly settlement processes in this country, it could be an important measure to provide greater legal certainty to the victims regarding the existence of funds for the effective payment of obligations adopted in FSAs. However, one significant challenge that could arise in negotiation processes are possible delays in the State's internal consultations for determining the initial feasibility of friendly settlements and, later, the signing of the FSAs. Therefore, the Commission urges the State to take the necessary steps to anticipate and avoid unnecessary delays in friendly settlement processes because of the implementation of this new regulation and regarding possible changes of the authorities of the CESADH. </w:t>
      </w:r>
    </w:p>
    <w:p w14:paraId="7ED4CA4B" w14:textId="7E04D43C" w:rsidR="002E260B"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E57F2">
        <w:rPr>
          <w:rFonts w:eastAsia="Calibri" w:cs="Calibri"/>
          <w:bCs/>
          <w:color w:val="000000"/>
          <w:u w:color="000000"/>
          <w:bdr w:val="nil"/>
          <w14:textOutline w14:w="0" w14:cap="flat" w14:cmpd="sng" w14:algn="ctr">
            <w14:noFill/>
            <w14:prstDash w14:val="solid"/>
            <w14:bevel/>
          </w14:textOutline>
        </w:rPr>
        <w:t xml:space="preserve">The Commission regrets the lack of advances in the implementation of the friendly settlement agreement signed in Case 13.017 A, Families of Victims of the Military Dictatorship, October 1968 to December 1989, despite that three years have elapsed from its approval. In this regard, the Commission once again urges the Panamanian State to make efforts to implement these measures and reminds it that, as subjects of international law, States have the obligation to comply with the decisions of the organs of the Inter-American system. </w:t>
      </w:r>
    </w:p>
    <w:p w14:paraId="1FEDB24C" w14:textId="77777777" w:rsidR="007E57F2" w:rsidRPr="007E57F2" w:rsidRDefault="007E57F2" w:rsidP="007E57F2">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4461A2F8" w14:textId="5210937E" w:rsidR="002E260B" w:rsidRPr="007E57F2"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E57F2">
        <w:rPr>
          <w:rFonts w:eastAsia="Calibri" w:cs="Calibri"/>
          <w:bCs/>
          <w:color w:val="000000"/>
          <w:u w:color="000000"/>
          <w:bdr w:val="nil"/>
          <w14:textOutline w14:w="0" w14:cap="flat" w14:cmpd="sng" w14:algn="ctr">
            <w14:noFill/>
            <w14:prstDash w14:val="solid"/>
            <w14:bevel/>
          </w14:textOutline>
        </w:rPr>
        <w:t xml:space="preserve">The Commission reiterates that the greatest challenges to moving forward with friendly settlement processes involve some States’ lack of willingness to execute the measures of reparation contained in the agreements, particularly the measures related to issues of justice. It is therefore crucial for States to develop mechanisms for independent, impartial, and specialized investigation to enable them to make it a priority to comply with completing the investigations derived from international decisions. </w:t>
      </w:r>
    </w:p>
    <w:p w14:paraId="70B5EA85" w14:textId="77777777" w:rsidR="002E260B" w:rsidRPr="007E57F2" w:rsidRDefault="002E260B" w:rsidP="007E57F2">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0DF2D5C6" w14:textId="01BF7A0B" w:rsidR="002E260B" w:rsidRPr="007E57F2"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E57F2">
        <w:rPr>
          <w:rFonts w:eastAsia="Calibri" w:cs="Calibri"/>
          <w:bCs/>
          <w:color w:val="000000"/>
          <w:u w:color="000000"/>
          <w:bdr w:val="nil"/>
          <w14:textOutline w14:w="0" w14:cap="flat" w14:cmpd="sng" w14:algn="ctr">
            <w14:noFill/>
            <w14:prstDash w14:val="solid"/>
            <w14:bevel/>
          </w14:textOutline>
        </w:rPr>
        <w:t xml:space="preserve">Likewise, the Commission observes that there are challenges when it comes to coordinating institutions—both national and in federated states, between national governments and provincial governments—to execute the measures established in the friendly settlement agreements, and even to signing them. The Commission sees it as fundamental for States to involve all authorities in charge of executing friendly settlement agreements from the start of negotiations so that coordination has begun prior to execution of the commitments that the State assumes as an international subject. </w:t>
      </w:r>
    </w:p>
    <w:p w14:paraId="37FFBE4F" w14:textId="77777777" w:rsidR="002E260B" w:rsidRPr="007E57F2" w:rsidRDefault="002E260B" w:rsidP="007E57F2">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934AB12" w14:textId="205FE387" w:rsidR="002E260B" w:rsidRPr="007E57F2"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E57F2">
        <w:rPr>
          <w:rFonts w:eastAsia="Calibri" w:cs="Calibri"/>
          <w:bCs/>
          <w:color w:val="000000"/>
          <w:u w:color="000000"/>
          <w:bdr w:val="nil"/>
          <w14:textOutline w14:w="0" w14:cap="flat" w14:cmpd="sng" w14:algn="ctr">
            <w14:noFill/>
            <w14:prstDash w14:val="solid"/>
            <w14:bevel/>
          </w14:textOutline>
        </w:rPr>
        <w:t xml:space="preserve">The Commission also observes that many of the clauses subject to supervision through this monitoring process are too broad and require the parties to hold a mutual dialog and keep minutes or memoranda of understanding to determine the content and definition of what was agreed upon, establishing components for clear measurement and roadmaps for short-term work to complete execution. The Commission makes itself available to users of the friendly settlement mechanisms to facilitate dialogue focused on securing that consensus. </w:t>
      </w:r>
    </w:p>
    <w:p w14:paraId="2493D198" w14:textId="77777777" w:rsidR="002E260B" w:rsidRPr="007E57F2" w:rsidRDefault="002E260B" w:rsidP="007E57F2">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55DC77F4" w14:textId="2C674B7F" w:rsidR="002E260B" w:rsidRPr="007E57F2" w:rsidRDefault="002E260B"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E57F2">
        <w:rPr>
          <w:rFonts w:eastAsia="Calibri" w:cs="Calibri"/>
          <w:bCs/>
          <w:color w:val="000000"/>
          <w:u w:color="000000"/>
          <w:bdr w:val="nil"/>
          <w14:textOutline w14:w="0" w14:cap="flat" w14:cmpd="sng" w14:algn="ctr">
            <w14:noFill/>
            <w14:prstDash w14:val="solid"/>
            <w14:bevel/>
          </w14:textOutline>
        </w:rPr>
        <w:lastRenderedPageBreak/>
        <w:t xml:space="preserve">Lastly, the Commission views it as fundamental for States to move forward in establishing administrative, legislative, or other mechanisms to streamline the processes to negotiate and implement friendly settlement agreements and guarantee that the commitments made are fully executed. </w:t>
      </w:r>
    </w:p>
    <w:p w14:paraId="25107F46" w14:textId="77777777" w:rsidR="004D5F7B" w:rsidRPr="008466D5" w:rsidRDefault="004D5F7B" w:rsidP="004D5F7B">
      <w:pPr>
        <w:pStyle w:val="ListParagraph"/>
        <w:pBdr>
          <w:top w:val="nil"/>
          <w:left w:val="nil"/>
          <w:bottom w:val="nil"/>
          <w:right w:val="nil"/>
          <w:between w:val="nil"/>
          <w:bar w:val="nil"/>
        </w:pBdr>
        <w:ind w:left="1440"/>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p>
    <w:p w14:paraId="44B4EABF" w14:textId="77777777" w:rsidR="00621CBD" w:rsidRPr="005B030A" w:rsidRDefault="00A17081" w:rsidP="00933F91">
      <w:pPr>
        <w:pStyle w:val="ListParagraph"/>
        <w:numPr>
          <w:ilvl w:val="0"/>
          <w:numId w:val="52"/>
        </w:numPr>
        <w:pBdr>
          <w:top w:val="nil"/>
          <w:left w:val="nil"/>
          <w:bottom w:val="nil"/>
          <w:right w:val="nil"/>
          <w:between w:val="nil"/>
          <w:bar w:val="nil"/>
        </w:pBdr>
        <w:ind w:hanging="720"/>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r w:rsidRPr="005B030A">
        <w:rPr>
          <w:rFonts w:ascii="Cambria" w:eastAsia="Calibri" w:hAnsi="Cambria" w:cs="Calibri"/>
          <w:b/>
          <w:color w:val="000000"/>
          <w:sz w:val="22"/>
          <w:szCs w:val="22"/>
          <w:u w:color="000000"/>
          <w:bdr w:val="nil"/>
          <w14:textOutline w14:w="0" w14:cap="flat" w14:cmpd="sng" w14:algn="ctr">
            <w14:noFill/>
            <w14:prstDash w14:val="solid"/>
            <w14:bevel/>
          </w14:textOutline>
        </w:rPr>
        <w:t>Cases before the Inter-American Court</w:t>
      </w:r>
    </w:p>
    <w:p w14:paraId="1F53A382" w14:textId="77777777" w:rsidR="00774C1A" w:rsidRPr="008A0F99" w:rsidRDefault="00774C1A" w:rsidP="005B030A"/>
    <w:p w14:paraId="328EB1F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5B030A">
        <w:rPr>
          <w:rFonts w:eastAsia="Calibri" w:cs="Calibri"/>
          <w:bCs/>
          <w:color w:val="000000"/>
          <w:u w:color="000000"/>
          <w:bdr w:val="nil"/>
          <w14:textOutline w14:w="0" w14:cap="flat" w14:cmpd="sng" w14:algn="ctr">
            <w14:noFill/>
            <w14:prstDash w14:val="solid"/>
            <w14:bevel/>
          </w14:textOutline>
        </w:rPr>
        <w:t>During 2022, the Commission continued to fulfill its conventional and statutory mandates before the Inter-American Court in the following areas: i) submission of contentious cases; ii) requests for advisory opinions; iii) appearance at and participation in public and private hearings; and iv) submission of written observations on State reports in cases subject to supervision of compliance with judgments. Following is a description of the activities and outcomes obtained in 2022.</w:t>
      </w:r>
    </w:p>
    <w:p w14:paraId="17131B29" w14:textId="77777777" w:rsidR="005B3AE9" w:rsidRPr="005B030A" w:rsidRDefault="005B3AE9" w:rsidP="005B3AE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274E8EAD" w14:textId="77777777" w:rsidR="00774C1A" w:rsidRPr="00E516DE" w:rsidRDefault="00774C1A" w:rsidP="00933F91">
      <w:pPr>
        <w:pStyle w:val="Heading3"/>
        <w:numPr>
          <w:ilvl w:val="0"/>
          <w:numId w:val="81"/>
        </w:numPr>
      </w:pPr>
      <w:r w:rsidRPr="00E516DE">
        <w:t>Submission of contentious cases</w:t>
      </w:r>
    </w:p>
    <w:p w14:paraId="03DCCA85" w14:textId="77777777" w:rsidR="005B030A" w:rsidRPr="005B030A" w:rsidRDefault="005B030A" w:rsidP="005B030A">
      <w:pPr>
        <w:rPr>
          <w:lang w:val="es-ES"/>
        </w:rPr>
      </w:pPr>
    </w:p>
    <w:p w14:paraId="0BC447EF"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5B030A">
        <w:rPr>
          <w:rFonts w:eastAsia="Calibri" w:cs="Calibri"/>
          <w:bCs/>
          <w:color w:val="000000"/>
          <w:u w:color="000000"/>
          <w:bdr w:val="nil"/>
          <w14:textOutline w14:w="0" w14:cap="flat" w14:cmpd="sng" w14:algn="ctr">
            <w14:noFill/>
            <w14:prstDash w14:val="solid"/>
            <w14:bevel/>
          </w14:textOutline>
        </w:rPr>
        <w:t>The referral of cases to the Inter-American Court is subject to Article 45 of the Rules of Procedure on the criterion for obtaining justice, which is determined considering the state of compliance with the recommendations issued and other criteria established in that article, including</w:t>
      </w:r>
      <w:r w:rsidRPr="005B030A">
        <w:rPr>
          <w:rFonts w:eastAsia="Calibri" w:cs="Calibri"/>
          <w:bCs/>
          <w:color w:val="000000"/>
          <w:u w:color="000000"/>
          <w:bdr w:val="nil"/>
          <w14:textOutline w14:w="0" w14:cap="flat" w14:cmpd="sng" w14:algn="ctr">
            <w14:noFill/>
            <w14:prstDash w14:val="solid"/>
            <w14:bevel/>
          </w14:textOutline>
        </w:rPr>
        <w:footnoteReference w:id="122"/>
      </w:r>
      <w:r w:rsidRPr="005B030A">
        <w:rPr>
          <w:rFonts w:eastAsia="Calibri" w:cs="Calibri"/>
          <w:bCs/>
          <w:color w:val="000000"/>
          <w:u w:color="000000"/>
          <w:bdr w:val="nil"/>
          <w14:textOutline w14:w="0" w14:cap="flat" w14:cmpd="sng" w14:algn="ctr">
            <w14:noFill/>
            <w14:prstDash w14:val="solid"/>
            <w14:bevel/>
          </w14:textOutline>
        </w:rPr>
        <w:t xml:space="preserve"> the position of the petitioning party.  </w:t>
      </w:r>
    </w:p>
    <w:p w14:paraId="6E74C0AB" w14:textId="77777777" w:rsidR="005B030A" w:rsidRPr="005B030A" w:rsidRDefault="005B030A" w:rsidP="005B030A">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04086170" w14:textId="3C600E46"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5B030A">
        <w:rPr>
          <w:rFonts w:eastAsia="Calibri" w:cs="Calibri"/>
          <w:bCs/>
          <w:color w:val="000000"/>
          <w:u w:color="000000"/>
          <w:bdr w:val="nil"/>
          <w14:textOutline w14:w="0" w14:cap="flat" w14:cmpd="sng" w14:algn="ctr">
            <w14:noFill/>
            <w14:prstDash w14:val="solid"/>
            <w14:bevel/>
          </w14:textOutline>
        </w:rPr>
        <w:t xml:space="preserve">Article 51.1 of the American Convention states that, after notification of the report issued pursuant to Article 50 of the same instrument, the Commission may submit it to the jurisdiction of the Inter-American Court within three months. Based on the requirements set out in Article 46 of the Regulation, the Commission may suspend this term and extend it for a specific period when the requirements laid down in Article 46 of the Regulation are met. This has favored opportunities for the implementation of the Commission’s recommendations in the merits reports of several cases, in which the Commission plays an active role in monitoring the status of compliance with the recommendations.  The IACHR has called the parties to working </w:t>
      </w:r>
      <w:r w:rsidR="005B030A" w:rsidRPr="005B030A">
        <w:rPr>
          <w:rFonts w:eastAsia="Calibri" w:cs="Calibri"/>
          <w:bCs/>
          <w:color w:val="000000"/>
          <w:u w:color="000000"/>
          <w:bdr w:val="nil"/>
          <w14:textOutline w14:w="0" w14:cap="flat" w14:cmpd="sng" w14:algn="ctr">
            <w14:noFill/>
            <w14:prstDash w14:val="solid"/>
            <w14:bevel/>
          </w14:textOutline>
        </w:rPr>
        <w:t>meetings and</w:t>
      </w:r>
      <w:r w:rsidRPr="005B030A">
        <w:rPr>
          <w:rFonts w:eastAsia="Calibri" w:cs="Calibri"/>
          <w:bCs/>
          <w:color w:val="000000"/>
          <w:u w:color="000000"/>
          <w:bdr w:val="nil"/>
          <w14:textOutline w14:w="0" w14:cap="flat" w14:cmpd="sng" w14:algn="ctr">
            <w14:noFill/>
            <w14:prstDash w14:val="solid"/>
            <w14:bevel/>
          </w14:textOutline>
        </w:rPr>
        <w:t xml:space="preserve"> has sent written communications at this stage requesting specific information or sending technical notes with the objective of promoting compliance with the recommendations, ensuring reparation that is comprehensive and, therefore, compatible with the standards of the inter-American system.</w:t>
      </w:r>
    </w:p>
    <w:p w14:paraId="2A6B4233" w14:textId="77777777" w:rsidR="005B030A" w:rsidRPr="005B030A" w:rsidRDefault="005B030A" w:rsidP="005B030A">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08EAF59" w14:textId="73FCC71A"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5B030A">
        <w:rPr>
          <w:rFonts w:eastAsia="Calibri" w:cs="Calibri"/>
          <w:bCs/>
          <w:color w:val="000000"/>
          <w:u w:color="000000"/>
          <w:bdr w:val="nil"/>
          <w14:textOutline w14:w="0" w14:cap="flat" w14:cmpd="sng" w14:algn="ctr">
            <w14:noFill/>
            <w14:prstDash w14:val="solid"/>
            <w14:bevel/>
          </w14:textOutline>
        </w:rPr>
        <w:t xml:space="preserve">Prior to the granting of an extension under the terms of Article 46 of the Rules of Procedure, the States involved have had to demonstrate their willingness and capacity to comply with the recommendations of the respective report on the merits, so that the Commission can extend that period again.   In 2022, the Commission adopted a total of 281 decisions in which it evaluated the </w:t>
      </w:r>
      <w:r w:rsidR="005B030A" w:rsidRPr="005B030A">
        <w:rPr>
          <w:rFonts w:eastAsia="Calibri" w:cs="Calibri"/>
          <w:bCs/>
          <w:color w:val="000000"/>
          <w:u w:color="000000"/>
          <w:bdr w:val="nil"/>
          <w14:textOutline w14:w="0" w14:cap="flat" w14:cmpd="sng" w14:algn="ctr">
            <w14:noFill/>
            <w14:prstDash w14:val="solid"/>
            <w14:bevel/>
          </w14:textOutline>
        </w:rPr>
        <w:t>granting of</w:t>
      </w:r>
      <w:r w:rsidRPr="005B030A">
        <w:rPr>
          <w:rFonts w:eastAsia="Calibri" w:cs="Calibri"/>
          <w:bCs/>
          <w:color w:val="000000"/>
          <w:u w:color="000000"/>
          <w:bdr w:val="nil"/>
          <w14:textOutline w14:w="0" w14:cap="flat" w14:cmpd="sng" w14:algn="ctr">
            <w14:noFill/>
            <w14:prstDash w14:val="solid"/>
            <w14:bevel/>
          </w14:textOutline>
        </w:rPr>
        <w:t xml:space="preserve"> a new extension, publications, or referral of cases to the Inter-American Court. The Commission currently has 70 cases at this stage</w:t>
      </w:r>
      <w:r w:rsidRPr="005B030A">
        <w:rPr>
          <w:rFonts w:eastAsia="Calibri" w:cs="Calibri"/>
          <w:bCs/>
          <w:color w:val="000000"/>
          <w:u w:color="000000"/>
          <w:bdr w:val="nil"/>
          <w14:textOutline w14:w="0" w14:cap="flat" w14:cmpd="sng" w14:algn="ctr">
            <w14:noFill/>
            <w14:prstDash w14:val="solid"/>
            <w14:bevel/>
          </w14:textOutline>
        </w:rPr>
        <w:footnoteReference w:id="123"/>
      </w:r>
      <w:r w:rsidRPr="005B030A">
        <w:rPr>
          <w:rFonts w:eastAsia="Calibri" w:cs="Calibri"/>
          <w:bCs/>
          <w:color w:val="000000"/>
          <w:u w:color="000000"/>
          <w:bdr w:val="nil"/>
          <w14:textOutline w14:w="0" w14:cap="flat" w14:cmpd="sng" w14:algn="ctr">
            <w14:noFill/>
            <w14:prstDash w14:val="solid"/>
            <w14:bevel/>
          </w14:textOutline>
        </w:rPr>
        <w:t xml:space="preserve">, which are periodically reviewed to decide in a timely manner whether to send them to the Inter-American Court or publish them. </w:t>
      </w:r>
    </w:p>
    <w:p w14:paraId="1C1A3D16" w14:textId="77777777" w:rsidR="005B030A" w:rsidRPr="005B030A" w:rsidRDefault="005B030A" w:rsidP="005B030A">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CE9C2E0" w14:textId="40B3AFBA" w:rsidR="00774C1A" w:rsidRPr="005B030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5B030A">
        <w:rPr>
          <w:rFonts w:eastAsia="Calibri" w:cs="Calibri"/>
          <w:bCs/>
          <w:color w:val="000000"/>
          <w:u w:color="000000"/>
          <w:bdr w:val="nil"/>
          <w14:textOutline w14:w="0" w14:cap="flat" w14:cmpd="sng" w14:algn="ctr">
            <w14:noFill/>
            <w14:prstDash w14:val="solid"/>
            <w14:bevel/>
          </w14:textOutline>
        </w:rPr>
        <w:t xml:space="preserve">During 2022, the Commission has received information on progress made by some States in complying with the merits reports, including the payment of compensation amounts to victims or negotiation processes in that regard between the parties based on the principle of concertation, progress in  judicial processes in the domestic jurisdiction to investigate the human rights violations declared in the report; in  the identification of the fate or whereabouts of disappeared victims  and  the provision of health services to victims by State institutions.  The Commission also noted favorably that some States conducted the training recommended in the merits report, including on issues of gender-based violence, trafficking in persons, non-discrimination, and due diligence aimed at state officials in various areas, including prosecutors, judges, and justice operators. Likewise, in some cases the State agreed with the victims to make acts of apology and </w:t>
      </w:r>
      <w:r w:rsidRPr="005B030A">
        <w:rPr>
          <w:rFonts w:eastAsia="Calibri" w:cs="Calibri"/>
          <w:bCs/>
          <w:color w:val="000000"/>
          <w:u w:color="000000"/>
          <w:bdr w:val="nil"/>
          <w14:textOutline w14:w="0" w14:cap="flat" w14:cmpd="sng" w14:algn="ctr">
            <w14:noFill/>
            <w14:prstDash w14:val="solid"/>
            <w14:bevel/>
          </w14:textOutline>
        </w:rPr>
        <w:lastRenderedPageBreak/>
        <w:t xml:space="preserve">recognition of international responsibility, as well </w:t>
      </w:r>
      <w:r w:rsidR="005B030A" w:rsidRPr="005B030A">
        <w:rPr>
          <w:rFonts w:eastAsia="Calibri" w:cs="Calibri"/>
          <w:bCs/>
          <w:color w:val="000000"/>
          <w:u w:color="000000"/>
          <w:bdr w:val="nil"/>
          <w14:textOutline w14:w="0" w14:cap="flat" w14:cmpd="sng" w14:algn="ctr">
            <w14:noFill/>
            <w14:prstDash w14:val="solid"/>
            <w14:bevel/>
          </w14:textOutline>
        </w:rPr>
        <w:t>as the</w:t>
      </w:r>
      <w:r w:rsidRPr="005B030A">
        <w:rPr>
          <w:rFonts w:eastAsia="Calibri" w:cs="Calibri"/>
          <w:bCs/>
          <w:color w:val="000000"/>
          <w:u w:color="000000"/>
          <w:bdr w:val="nil"/>
          <w14:textOutline w14:w="0" w14:cap="flat" w14:cmpd="sng" w14:algn="ctr">
            <w14:noFill/>
            <w14:prstDash w14:val="solid"/>
            <w14:bevel/>
          </w14:textOutline>
        </w:rPr>
        <w:t xml:space="preserve"> creation of audiovisual material in relation to the facts of the </w:t>
      </w:r>
      <w:r w:rsidR="005B030A" w:rsidRPr="005B030A">
        <w:rPr>
          <w:rFonts w:eastAsia="Calibri" w:cs="Calibri"/>
          <w:bCs/>
          <w:color w:val="000000"/>
          <w:u w:color="000000"/>
          <w:bdr w:val="nil"/>
          <w14:textOutline w14:w="0" w14:cap="flat" w14:cmpd="sng" w14:algn="ctr">
            <w14:noFill/>
            <w14:prstDash w14:val="solid"/>
            <w14:bevel/>
          </w14:textOutline>
        </w:rPr>
        <w:t>case to</w:t>
      </w:r>
      <w:r w:rsidRPr="005B030A">
        <w:rPr>
          <w:rFonts w:eastAsia="Calibri" w:cs="Calibri"/>
          <w:bCs/>
          <w:color w:val="000000"/>
          <w:u w:color="000000"/>
          <w:bdr w:val="nil"/>
          <w14:textOutline w14:w="0" w14:cap="flat" w14:cmpd="sng" w14:algn="ctr">
            <w14:noFill/>
            <w14:prstDash w14:val="solid"/>
            <w14:bevel/>
          </w14:textOutline>
        </w:rPr>
        <w:t xml:space="preserve"> avoid repetition of the rights violated in the case. </w:t>
      </w:r>
    </w:p>
    <w:p w14:paraId="7EE5C12C" w14:textId="77777777" w:rsidR="00774C1A" w:rsidRPr="005B030A" w:rsidRDefault="00774C1A" w:rsidP="005B030A">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4F309EDC" w14:textId="77777777" w:rsidR="00774C1A" w:rsidRPr="005B030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5B030A">
        <w:rPr>
          <w:rFonts w:eastAsia="Calibri" w:cs="Calibri"/>
          <w:bCs/>
          <w:color w:val="000000"/>
          <w:u w:color="000000"/>
          <w:bdr w:val="nil"/>
          <w14:textOutline w14:w="0" w14:cap="flat" w14:cmpd="sng" w14:algn="ctr">
            <w14:noFill/>
            <w14:prstDash w14:val="solid"/>
            <w14:bevel/>
          </w14:textOutline>
        </w:rPr>
        <w:t>Pursuant to Article 51 of the American Convention and Article 45 of its Rules of Procedure, during 2022, the Commission submitted 24 cases to the jurisdiction of the Inter-American Court considering the need to obtain justice in the cases.  Through the cases submitted to its jurisdiction, the Court will have the opportunity to rule on the responsibility of States and issue the corresponding reparations in favor of the victims.  In addition, the Court will be able to deepen its jurisprudence in relation to the aspects of inter-American public order raised by such cases.  On the other hand, the Commission notes  that it decided not to send 8 cases to the Inter-American Court and to proceed with their publication in view of not considering that there was a need to obtain justice in such cases  that merited referral to the Inter-American Court under the terms of Article 45 of its Rules of Procedure and 51.1 of the American Convention, mainly in view of the substantive progress of the recommendations of the Merits Report.</w:t>
      </w:r>
    </w:p>
    <w:p w14:paraId="174B2ABA" w14:textId="6260C07F"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5B030A">
        <w:rPr>
          <w:rFonts w:eastAsia="Calibri" w:cs="Calibri"/>
          <w:bCs/>
          <w:color w:val="000000"/>
          <w:u w:color="000000"/>
          <w:bdr w:val="nil"/>
          <w14:textOutline w14:w="0" w14:cap="flat" w14:cmpd="sng" w14:algn="ctr">
            <w14:noFill/>
            <w14:prstDash w14:val="solid"/>
            <w14:bevel/>
          </w14:textOutline>
        </w:rPr>
        <w:t xml:space="preserve">The Commission has 71 active cases that the Inter-American Court has dealt with.  In the process before the Inter-American Court, the Commission participates </w:t>
      </w:r>
      <w:r w:rsidR="0046074F" w:rsidRPr="005B030A">
        <w:rPr>
          <w:rFonts w:eastAsia="Calibri" w:cs="Calibri"/>
          <w:bCs/>
          <w:color w:val="000000"/>
          <w:u w:color="000000"/>
          <w:bdr w:val="nil"/>
          <w14:textOutline w14:w="0" w14:cap="flat" w14:cmpd="sng" w14:algn="ctr">
            <w14:noFill/>
            <w14:prstDash w14:val="solid"/>
            <w14:bevel/>
          </w14:textOutline>
        </w:rPr>
        <w:t>in all</w:t>
      </w:r>
      <w:r w:rsidRPr="005B030A">
        <w:rPr>
          <w:rFonts w:eastAsia="Calibri" w:cs="Calibri"/>
          <w:bCs/>
          <w:color w:val="000000"/>
          <w:u w:color="000000"/>
          <w:bdr w:val="nil"/>
          <w14:textOutline w14:w="0" w14:cap="flat" w14:cmpd="sng" w14:algn="ctr">
            <w14:noFill/>
            <w14:prstDash w14:val="solid"/>
            <w14:bevel/>
          </w14:textOutline>
        </w:rPr>
        <w:t xml:space="preserve"> cases submitted in accordance with the provisions </w:t>
      </w:r>
      <w:r w:rsidR="0046074F" w:rsidRPr="005B030A">
        <w:rPr>
          <w:rFonts w:eastAsia="Calibri" w:cs="Calibri"/>
          <w:bCs/>
          <w:color w:val="000000"/>
          <w:u w:color="000000"/>
          <w:bdr w:val="nil"/>
          <w14:textOutline w14:w="0" w14:cap="flat" w14:cmpd="sng" w14:algn="ctr">
            <w14:noFill/>
            <w14:prstDash w14:val="solid"/>
            <w14:bevel/>
          </w14:textOutline>
        </w:rPr>
        <w:t>of the</w:t>
      </w:r>
      <w:r w:rsidRPr="005B030A">
        <w:rPr>
          <w:rFonts w:eastAsia="Calibri" w:cs="Calibri"/>
          <w:bCs/>
          <w:color w:val="000000"/>
          <w:u w:color="000000"/>
          <w:bdr w:val="nil"/>
          <w14:textOutline w14:w="0" w14:cap="flat" w14:cmpd="sng" w14:algn="ctr">
            <w14:noFill/>
            <w14:prstDash w14:val="solid"/>
            <w14:bevel/>
          </w14:textOutline>
        </w:rPr>
        <w:t xml:space="preserve"> American </w:t>
      </w:r>
      <w:r w:rsidR="0046074F" w:rsidRPr="005B030A">
        <w:rPr>
          <w:rFonts w:eastAsia="Calibri" w:cs="Calibri"/>
          <w:bCs/>
          <w:color w:val="000000"/>
          <w:u w:color="000000"/>
          <w:bdr w:val="nil"/>
          <w14:textOutline w14:w="0" w14:cap="flat" w14:cmpd="sng" w14:algn="ctr">
            <w14:noFill/>
            <w14:prstDash w14:val="solid"/>
            <w14:bevel/>
          </w14:textOutline>
        </w:rPr>
        <w:t>Convention and</w:t>
      </w:r>
      <w:r w:rsidRPr="005B030A">
        <w:rPr>
          <w:rFonts w:eastAsia="Calibri" w:cs="Calibri"/>
          <w:bCs/>
          <w:color w:val="000000"/>
          <w:u w:color="000000"/>
          <w:bdr w:val="nil"/>
          <w14:textOutline w14:w="0" w14:cap="flat" w14:cmpd="sng" w14:algn="ctr">
            <w14:noFill/>
            <w14:prstDash w14:val="solid"/>
            <w14:bevel/>
          </w14:textOutline>
        </w:rPr>
        <w:t xml:space="preserve"> the Rules of Procedure of the Court. Among other actions, the Commission presents its observations regarding possible preliminary objections and acknowledgments of responsibility, offers expert evidence </w:t>
      </w:r>
      <w:r w:rsidR="0046074F" w:rsidRPr="005B030A">
        <w:rPr>
          <w:rFonts w:eastAsia="Calibri" w:cs="Calibri"/>
          <w:bCs/>
          <w:color w:val="000000"/>
          <w:u w:color="000000"/>
          <w:bdr w:val="nil"/>
          <w14:textOutline w14:w="0" w14:cap="flat" w14:cmpd="sng" w14:algn="ctr">
            <w14:noFill/>
            <w14:prstDash w14:val="solid"/>
            <w14:bevel/>
          </w14:textOutline>
        </w:rPr>
        <w:t>when inter</w:t>
      </w:r>
      <w:r w:rsidRPr="005B030A">
        <w:rPr>
          <w:rFonts w:eastAsia="Calibri" w:cs="Calibri"/>
          <w:bCs/>
          <w:color w:val="000000"/>
          <w:u w:color="000000"/>
          <w:bdr w:val="nil"/>
          <w14:textOutline w14:w="0" w14:cap="flat" w14:cmpd="sng" w14:algn="ctr">
            <w14:noFill/>
            <w14:prstDash w14:val="solid"/>
            <w14:bevel/>
          </w14:textOutline>
        </w:rPr>
        <w:t>-American public order is significantly affected, and presents its oral and written observations in relation to the arguments of the parties, as well as with respect to the evidence that may be presented later. The IACHR also participates in hearings in cases in which the Court convenes them.</w:t>
      </w:r>
    </w:p>
    <w:p w14:paraId="6A631613" w14:textId="77777777" w:rsidR="0046074F" w:rsidRPr="005B030A" w:rsidRDefault="0046074F" w:rsidP="0046074F">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39B2DC04"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5B030A">
        <w:rPr>
          <w:rFonts w:eastAsia="Calibri" w:cs="Calibri"/>
          <w:bCs/>
          <w:color w:val="000000"/>
          <w:u w:color="000000"/>
          <w:bdr w:val="nil"/>
          <w14:textOutline w14:w="0" w14:cap="flat" w14:cmpd="sng" w14:algn="ctr">
            <w14:noFill/>
            <w14:prstDash w14:val="solid"/>
            <w14:bevel/>
          </w14:textOutline>
        </w:rPr>
        <w:t xml:space="preserve">Through the referral of cases to the Inter-American Court, said Court will have the opportunity to rule on the scope of several rights recognized in the American Convention on Human Rights and other inter-American instruments under its jurisdiction with an impact that transcends the interest of the parties in the litigation and results in aspects of inter-American public order. </w:t>
      </w:r>
    </w:p>
    <w:p w14:paraId="209E1A8F" w14:textId="77777777" w:rsidR="0046074F" w:rsidRPr="005B030A" w:rsidRDefault="0046074F" w:rsidP="0046074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DAF5302" w14:textId="2990AF82"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5B030A">
        <w:rPr>
          <w:rFonts w:eastAsia="Calibri" w:cs="Calibri"/>
          <w:bCs/>
          <w:color w:val="000000"/>
          <w:u w:color="000000"/>
          <w:bdr w:val="nil"/>
          <w14:textOutline w14:w="0" w14:cap="flat" w14:cmpd="sng" w14:algn="ctr">
            <w14:noFill/>
            <w14:prstDash w14:val="solid"/>
            <w14:bevel/>
          </w14:textOutline>
        </w:rPr>
        <w:t>Among the aspects of public order contained in the cases submitted to the Inter-American Court in 2022 are the following: i) the right of indigenous and tribal communities to collective ownership of their ancestral territories, including their interdependence with other rights,  as well as the duty  to consult and, where appropriate, obtain the free, prior and informed consent of indigenous and tribal peoples, in the framework of the implementation of development projects, concessions and/or business activities, including in the context of the conclusion of agreements or conventions with other States;  ii)  the compatibility of the absolute prohibition of the voluntary interruption of pregnancy with the American Convention, particularly in cases of risk to the health, life and integrity of the woman and/or fetus incompatible with life outside the womb;  (iii)  the international obligations of States in relation to the rights of children and adolescents in the context of international restitution procedures;  (iv) due diligence and access to justice for persons with disabilities; (v) due diligence for the investigation and search for the fate or whereabouts of disappeared persons;</w:t>
      </w:r>
      <w:r w:rsidR="0046074F">
        <w:rPr>
          <w:rFonts w:eastAsia="Calibri" w:cs="Calibri"/>
          <w:bCs/>
          <w:color w:val="000000"/>
          <w:u w:color="000000"/>
          <w:bdr w:val="nil"/>
          <w14:textOutline w14:w="0" w14:cap="flat" w14:cmpd="sng" w14:algn="ctr">
            <w14:noFill/>
            <w14:prstDash w14:val="solid"/>
            <w14:bevel/>
          </w14:textOutline>
        </w:rPr>
        <w:t xml:space="preserve"> </w:t>
      </w:r>
      <w:r w:rsidRPr="005B030A">
        <w:rPr>
          <w:rFonts w:eastAsia="Calibri" w:cs="Calibri"/>
          <w:bCs/>
          <w:color w:val="000000"/>
          <w:u w:color="000000"/>
          <w:bdr w:val="nil"/>
          <w14:textOutline w14:w="0" w14:cap="flat" w14:cmpd="sng" w14:algn="ctr">
            <w14:noFill/>
            <w14:prstDash w14:val="solid"/>
            <w14:bevel/>
          </w14:textOutline>
        </w:rPr>
        <w:t>(vi) international standards on non-discrimination on the basis of ethnic origin, especially in criminal proceedings;    (vii)  international obligation of States to guarantee access to an effective judicial remedy for the reparation of rights violations in contexts of dictatorship; (viii) State obligations regarding due diligence in the investigation of violent deaths of women where there are indications of domestic violence;</w:t>
      </w:r>
      <w:r w:rsidR="0046074F">
        <w:rPr>
          <w:rFonts w:eastAsia="Calibri" w:cs="Calibri"/>
          <w:bCs/>
          <w:color w:val="000000"/>
          <w:u w:color="000000"/>
          <w:bdr w:val="nil"/>
          <w14:textOutline w14:w="0" w14:cap="flat" w14:cmpd="sng" w14:algn="ctr">
            <w14:noFill/>
            <w14:prstDash w14:val="solid"/>
            <w14:bevel/>
          </w14:textOutline>
        </w:rPr>
        <w:t xml:space="preserve"> </w:t>
      </w:r>
      <w:r w:rsidRPr="005B030A">
        <w:rPr>
          <w:rFonts w:eastAsia="Calibri" w:cs="Calibri"/>
          <w:bCs/>
          <w:color w:val="000000"/>
          <w:u w:color="000000"/>
          <w:bdr w:val="nil"/>
          <w14:textOutline w14:w="0" w14:cap="flat" w14:cmpd="sng" w14:algn="ctr">
            <w14:noFill/>
            <w14:prstDash w14:val="solid"/>
            <w14:bevel/>
          </w14:textOutline>
        </w:rPr>
        <w:t>(ix) the right to protection of family life and the rights to  judicial guarantees and judicial protection in the context of custody and adoption proceedings; (x)</w:t>
      </w:r>
      <w:r w:rsidR="0046074F">
        <w:rPr>
          <w:rFonts w:eastAsia="Calibri" w:cs="Calibri"/>
          <w:bCs/>
          <w:color w:val="000000"/>
          <w:u w:color="000000"/>
          <w:bdr w:val="nil"/>
          <w14:textOutline w14:w="0" w14:cap="flat" w14:cmpd="sng" w14:algn="ctr">
            <w14:noFill/>
            <w14:prstDash w14:val="solid"/>
            <w14:bevel/>
          </w14:textOutline>
        </w:rPr>
        <w:t xml:space="preserve"> </w:t>
      </w:r>
      <w:r w:rsidRPr="005B030A">
        <w:rPr>
          <w:rFonts w:eastAsia="Calibri" w:cs="Calibri"/>
          <w:bCs/>
          <w:color w:val="000000"/>
          <w:u w:color="000000"/>
          <w:bdr w:val="nil"/>
          <w14:textOutline w14:w="0" w14:cap="flat" w14:cmpd="sng" w14:algn="ctr">
            <w14:noFill/>
            <w14:prstDash w14:val="solid"/>
            <w14:bevel/>
          </w14:textOutline>
        </w:rPr>
        <w:t>international obligations of States with regard to political rights, in particular with regard to the standards applicable in the context of disputes; (xi) the</w:t>
      </w:r>
      <w:r w:rsidR="0046074F">
        <w:rPr>
          <w:rFonts w:eastAsia="Calibri" w:cs="Calibri"/>
          <w:bCs/>
          <w:color w:val="000000"/>
          <w:u w:color="000000"/>
          <w:bdr w:val="nil"/>
          <w14:textOutline w14:w="0" w14:cap="flat" w14:cmpd="sng" w14:algn="ctr">
            <w14:noFill/>
            <w14:prstDash w14:val="solid"/>
            <w14:bevel/>
          </w14:textOutline>
        </w:rPr>
        <w:t xml:space="preserve"> </w:t>
      </w:r>
      <w:r w:rsidRPr="005B030A">
        <w:rPr>
          <w:rFonts w:eastAsia="Calibri" w:cs="Calibri"/>
          <w:bCs/>
          <w:color w:val="000000"/>
          <w:u w:color="000000"/>
          <w:bdr w:val="nil"/>
          <w14:textOutline w14:w="0" w14:cap="flat" w14:cmpd="sng" w14:algn="ctr">
            <w14:noFill/>
            <w14:prstDash w14:val="solid"/>
            <w14:bevel/>
          </w14:textOutline>
        </w:rPr>
        <w:t>compatibility with the American Convention of differentiated legal</w:t>
      </w:r>
      <w:r w:rsidR="0046074F">
        <w:rPr>
          <w:rFonts w:eastAsia="Calibri" w:cs="Calibri"/>
          <w:bCs/>
          <w:color w:val="000000"/>
          <w:u w:color="000000"/>
          <w:bdr w:val="nil"/>
          <w14:textOutline w14:w="0" w14:cap="flat" w14:cmpd="sng" w14:algn="ctr">
            <w14:noFill/>
            <w14:prstDash w14:val="solid"/>
            <w14:bevel/>
          </w14:textOutline>
        </w:rPr>
        <w:t xml:space="preserve"> </w:t>
      </w:r>
      <w:r w:rsidRPr="005B030A">
        <w:rPr>
          <w:rFonts w:eastAsia="Calibri" w:cs="Calibri"/>
          <w:bCs/>
          <w:color w:val="000000"/>
          <w:u w:color="000000"/>
          <w:bdr w:val="nil"/>
          <w14:textOutline w14:w="0" w14:cap="flat" w14:cmpd="sng" w14:algn="ctr">
            <w14:noFill/>
            <w14:prstDash w14:val="solid"/>
            <w14:bevel/>
          </w14:textOutline>
        </w:rPr>
        <w:t>regimes of deprivation of liberty that impose</w:t>
      </w:r>
      <w:r w:rsidR="0046074F">
        <w:rPr>
          <w:rFonts w:eastAsia="Calibri" w:cs="Calibri"/>
          <w:bCs/>
          <w:color w:val="000000"/>
          <w:u w:color="000000"/>
          <w:bdr w:val="nil"/>
          <w14:textOutline w14:w="0" w14:cap="flat" w14:cmpd="sng" w14:algn="ctr">
            <w14:noFill/>
            <w14:prstDash w14:val="solid"/>
            <w14:bevel/>
          </w14:textOutline>
        </w:rPr>
        <w:t xml:space="preserve"> </w:t>
      </w:r>
      <w:r w:rsidRPr="005B030A">
        <w:rPr>
          <w:rFonts w:eastAsia="Calibri" w:cs="Calibri"/>
          <w:bCs/>
          <w:color w:val="000000"/>
          <w:u w:color="000000"/>
          <w:bdr w:val="nil"/>
          <w14:textOutline w14:w="0" w14:cap="flat" w14:cmpd="sng" w14:algn="ctr">
            <w14:noFill/>
            <w14:prstDash w14:val="solid"/>
            <w14:bevel/>
          </w14:textOutline>
        </w:rPr>
        <w:t>on certain persons situations of isolated isolation, among others.</w:t>
      </w:r>
    </w:p>
    <w:p w14:paraId="64862D16" w14:textId="77777777" w:rsidR="0046074F" w:rsidRPr="005B030A" w:rsidRDefault="0046074F" w:rsidP="0046074F">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A102720" w14:textId="77777777" w:rsidR="00774C1A" w:rsidRPr="005B030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5B030A">
        <w:rPr>
          <w:rFonts w:eastAsia="Calibri" w:cs="Calibri"/>
          <w:bCs/>
          <w:color w:val="000000"/>
          <w:u w:color="000000"/>
          <w:bdr w:val="nil"/>
          <w14:textOutline w14:w="0" w14:cap="flat" w14:cmpd="sng" w14:algn="ctr">
            <w14:noFill/>
            <w14:prstDash w14:val="solid"/>
            <w14:bevel/>
          </w14:textOutline>
        </w:rPr>
        <w:t xml:space="preserve">On the other hand, as of case 14.143 Chirinos Salamanca v. Venezuela, the Commission has submitted cases to the Inter-American Court where that Court may rule on the validity of the American Convention on Human Rights with respect to that State. This case was the first case in which the IACHR ruled on events after September 10, 2013, based on that treaty (see infra para. 95). </w:t>
      </w:r>
    </w:p>
    <w:p w14:paraId="5EFA4ECF" w14:textId="77777777" w:rsidR="00774C1A" w:rsidRPr="005B030A" w:rsidRDefault="00774C1A" w:rsidP="0046074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3AE4F6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5B030A">
        <w:rPr>
          <w:rFonts w:eastAsia="Calibri" w:cs="Calibri"/>
          <w:bCs/>
          <w:color w:val="000000"/>
          <w:u w:color="000000"/>
          <w:bdr w:val="nil"/>
          <w14:textOutline w14:w="0" w14:cap="flat" w14:cmpd="sng" w14:algn="ctr">
            <w14:noFill/>
            <w14:prstDash w14:val="solid"/>
            <w14:bevel/>
          </w14:textOutline>
        </w:rPr>
        <w:t>The following is a description of the cases submitted to the Inter-American Court, including a breakdown by date of submission and country.</w:t>
      </w:r>
    </w:p>
    <w:p w14:paraId="409E304D" w14:textId="77777777" w:rsidR="0046074F" w:rsidRPr="005B030A" w:rsidRDefault="0046074F" w:rsidP="0046074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tbl>
      <w:tblPr>
        <w:tblStyle w:val="MediumShading1-Accent11"/>
        <w:tblW w:w="9520" w:type="dxa"/>
        <w:tblLook w:val="04A0" w:firstRow="1" w:lastRow="0" w:firstColumn="1" w:lastColumn="0" w:noHBand="0" w:noVBand="1"/>
      </w:tblPr>
      <w:tblGrid>
        <w:gridCol w:w="2020"/>
        <w:gridCol w:w="3340"/>
        <w:gridCol w:w="957"/>
        <w:gridCol w:w="3203"/>
      </w:tblGrid>
      <w:tr w:rsidR="00774C1A" w:rsidRPr="0046074F" w14:paraId="17FE6668" w14:textId="77777777" w:rsidTr="006A5651">
        <w:trPr>
          <w:cnfStyle w:val="100000000000" w:firstRow="1" w:lastRow="0" w:firstColumn="0" w:lastColumn="0" w:oddVBand="0" w:evenVBand="0" w:oddHBand="0" w:evenHBand="0" w:firstRowFirstColumn="0" w:firstRowLastColumn="0" w:lastRowFirstColumn="0" w:lastRowLastColumn="0"/>
          <w:trHeight w:val="405"/>
        </w:trPr>
        <w:tc>
          <w:tcPr>
            <w:tcW w:w="2020" w:type="dxa"/>
            <w:vAlign w:val="center"/>
            <w:hideMark/>
          </w:tcPr>
          <w:p w14:paraId="112964C9" w14:textId="77777777" w:rsidR="00774C1A" w:rsidRPr="0046074F" w:rsidRDefault="00774C1A" w:rsidP="006A5651">
            <w:pPr>
              <w:jc w:val="center"/>
              <w:rPr>
                <w:rFonts w:ascii="Cambria" w:eastAsia="Times New Roman" w:hAnsi="Cambria" w:cs="Calibri"/>
                <w:b/>
                <w:bCs/>
                <w:color w:val="000000"/>
                <w:sz w:val="20"/>
                <w:szCs w:val="20"/>
              </w:rPr>
            </w:pPr>
            <w:r w:rsidRPr="0046074F">
              <w:rPr>
                <w:rFonts w:ascii="Cambria" w:hAnsi="Cambria"/>
                <w:b/>
                <w:bCs/>
                <w:color w:val="000000"/>
                <w:sz w:val="20"/>
                <w:szCs w:val="20"/>
              </w:rPr>
              <w:t>Case No.</w:t>
            </w:r>
          </w:p>
        </w:tc>
        <w:tc>
          <w:tcPr>
            <w:tcW w:w="3340" w:type="dxa"/>
            <w:vAlign w:val="center"/>
            <w:hideMark/>
          </w:tcPr>
          <w:p w14:paraId="7C0C2D3C" w14:textId="77777777" w:rsidR="00774C1A" w:rsidRPr="0046074F" w:rsidRDefault="00774C1A" w:rsidP="006A5651">
            <w:pPr>
              <w:jc w:val="center"/>
              <w:rPr>
                <w:rFonts w:ascii="Cambria" w:eastAsia="Times New Roman" w:hAnsi="Cambria" w:cs="Calibri"/>
                <w:b/>
                <w:bCs/>
                <w:color w:val="000000"/>
                <w:sz w:val="20"/>
                <w:szCs w:val="20"/>
              </w:rPr>
            </w:pPr>
            <w:r w:rsidRPr="0046074F">
              <w:rPr>
                <w:rFonts w:ascii="Cambria" w:hAnsi="Cambria"/>
                <w:b/>
                <w:bCs/>
                <w:color w:val="000000"/>
                <w:sz w:val="20"/>
                <w:szCs w:val="20"/>
              </w:rPr>
              <w:t>Name</w:t>
            </w:r>
          </w:p>
        </w:tc>
        <w:tc>
          <w:tcPr>
            <w:tcW w:w="940" w:type="dxa"/>
            <w:vAlign w:val="center"/>
            <w:hideMark/>
          </w:tcPr>
          <w:p w14:paraId="7A305C2A" w14:textId="77777777" w:rsidR="00774C1A" w:rsidRPr="0046074F" w:rsidRDefault="00774C1A" w:rsidP="006A5651">
            <w:pPr>
              <w:jc w:val="center"/>
              <w:rPr>
                <w:rFonts w:ascii="Cambria" w:eastAsia="Times New Roman" w:hAnsi="Cambria" w:cs="Calibri"/>
                <w:b/>
                <w:bCs/>
                <w:color w:val="000000"/>
                <w:sz w:val="20"/>
                <w:szCs w:val="20"/>
              </w:rPr>
            </w:pPr>
            <w:r w:rsidRPr="0046074F">
              <w:rPr>
                <w:rFonts w:ascii="Cambria" w:hAnsi="Cambria"/>
                <w:b/>
                <w:bCs/>
                <w:color w:val="000000"/>
                <w:sz w:val="20"/>
                <w:szCs w:val="20"/>
              </w:rPr>
              <w:t>Country</w:t>
            </w:r>
          </w:p>
        </w:tc>
        <w:tc>
          <w:tcPr>
            <w:tcW w:w="3220" w:type="dxa"/>
            <w:vAlign w:val="center"/>
            <w:hideMark/>
          </w:tcPr>
          <w:p w14:paraId="2C4CC3C0" w14:textId="77777777" w:rsidR="00774C1A" w:rsidRPr="0046074F" w:rsidRDefault="00774C1A" w:rsidP="006A5651">
            <w:pPr>
              <w:jc w:val="center"/>
              <w:rPr>
                <w:rFonts w:ascii="Cambria" w:eastAsia="Times New Roman" w:hAnsi="Cambria" w:cs="Calibri"/>
                <w:b/>
                <w:bCs/>
                <w:color w:val="000000"/>
                <w:sz w:val="20"/>
                <w:szCs w:val="20"/>
              </w:rPr>
            </w:pPr>
            <w:r w:rsidRPr="0046074F">
              <w:rPr>
                <w:rFonts w:ascii="Cambria" w:hAnsi="Cambria"/>
                <w:b/>
                <w:bCs/>
                <w:color w:val="000000"/>
                <w:sz w:val="20"/>
                <w:szCs w:val="20"/>
              </w:rPr>
              <w:t>Submitted</w:t>
            </w:r>
          </w:p>
        </w:tc>
      </w:tr>
      <w:tr w:rsidR="00774C1A" w:rsidRPr="0046074F" w14:paraId="4E602F01" w14:textId="77777777" w:rsidTr="006A5651">
        <w:trPr>
          <w:cnfStyle w:val="000000100000" w:firstRow="0" w:lastRow="0" w:firstColumn="0" w:lastColumn="0" w:oddVBand="0" w:evenVBand="0" w:oddHBand="1" w:evenHBand="0" w:firstRowFirstColumn="0" w:firstRowLastColumn="0" w:lastRowFirstColumn="0" w:lastRowLastColumn="0"/>
          <w:trHeight w:val="255"/>
        </w:trPr>
        <w:tc>
          <w:tcPr>
            <w:tcW w:w="2020" w:type="dxa"/>
            <w:noWrap/>
            <w:vAlign w:val="center"/>
            <w:hideMark/>
          </w:tcPr>
          <w:p w14:paraId="15AB6C77"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12,569</w:t>
            </w:r>
          </w:p>
        </w:tc>
        <w:tc>
          <w:tcPr>
            <w:tcW w:w="3340" w:type="dxa"/>
            <w:noWrap/>
            <w:vAlign w:val="center"/>
            <w:hideMark/>
          </w:tcPr>
          <w:p w14:paraId="6C6CCC0C"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Quilombola Communities of Alcântara</w:t>
            </w:r>
          </w:p>
        </w:tc>
        <w:tc>
          <w:tcPr>
            <w:tcW w:w="940" w:type="dxa"/>
            <w:noWrap/>
            <w:vAlign w:val="center"/>
            <w:hideMark/>
          </w:tcPr>
          <w:p w14:paraId="24DCD8C1"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BRA</w:t>
            </w:r>
          </w:p>
        </w:tc>
        <w:tc>
          <w:tcPr>
            <w:tcW w:w="3220" w:type="dxa"/>
            <w:vAlign w:val="center"/>
            <w:hideMark/>
          </w:tcPr>
          <w:p w14:paraId="47742946"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January 5, 2022</w:t>
            </w:r>
          </w:p>
        </w:tc>
      </w:tr>
      <w:tr w:rsidR="00774C1A" w:rsidRPr="0046074F" w14:paraId="05EB0A51" w14:textId="77777777" w:rsidTr="006A5651">
        <w:trPr>
          <w:cnfStyle w:val="000000010000" w:firstRow="0" w:lastRow="0" w:firstColumn="0" w:lastColumn="0" w:oddVBand="0" w:evenVBand="0" w:oddHBand="0" w:evenHBand="1" w:firstRowFirstColumn="0" w:firstRowLastColumn="0" w:lastRowFirstColumn="0" w:lastRowLastColumn="0"/>
          <w:trHeight w:val="255"/>
        </w:trPr>
        <w:tc>
          <w:tcPr>
            <w:tcW w:w="2020" w:type="dxa"/>
            <w:noWrap/>
            <w:vAlign w:val="center"/>
            <w:hideMark/>
          </w:tcPr>
          <w:p w14:paraId="5AF82BA1"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13,378</w:t>
            </w:r>
          </w:p>
        </w:tc>
        <w:tc>
          <w:tcPr>
            <w:tcW w:w="3340" w:type="dxa"/>
            <w:noWrap/>
            <w:vAlign w:val="center"/>
            <w:hideMark/>
          </w:tcPr>
          <w:p w14:paraId="7DAE9966"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Beatriz</w:t>
            </w:r>
          </w:p>
        </w:tc>
        <w:tc>
          <w:tcPr>
            <w:tcW w:w="940" w:type="dxa"/>
            <w:noWrap/>
            <w:vAlign w:val="center"/>
            <w:hideMark/>
          </w:tcPr>
          <w:p w14:paraId="2E3FDD0F"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SAL</w:t>
            </w:r>
          </w:p>
        </w:tc>
        <w:tc>
          <w:tcPr>
            <w:tcW w:w="3220" w:type="dxa"/>
            <w:vAlign w:val="center"/>
            <w:hideMark/>
          </w:tcPr>
          <w:p w14:paraId="63105DCA"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January 5, 2022</w:t>
            </w:r>
          </w:p>
        </w:tc>
      </w:tr>
      <w:tr w:rsidR="00774C1A" w:rsidRPr="0046074F" w14:paraId="57DDB834" w14:textId="77777777" w:rsidTr="006A5651">
        <w:trPr>
          <w:cnfStyle w:val="000000100000" w:firstRow="0" w:lastRow="0" w:firstColumn="0" w:lastColumn="0" w:oddVBand="0" w:evenVBand="0" w:oddHBand="1" w:evenHBand="0" w:firstRowFirstColumn="0" w:firstRowLastColumn="0" w:lastRowFirstColumn="0" w:lastRowLastColumn="0"/>
          <w:trHeight w:val="255"/>
        </w:trPr>
        <w:tc>
          <w:tcPr>
            <w:tcW w:w="2020" w:type="dxa"/>
            <w:noWrap/>
            <w:vAlign w:val="center"/>
            <w:hideMark/>
          </w:tcPr>
          <w:p w14:paraId="24F7898A"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13,399</w:t>
            </w:r>
          </w:p>
        </w:tc>
        <w:tc>
          <w:tcPr>
            <w:tcW w:w="3340" w:type="dxa"/>
            <w:noWrap/>
            <w:vAlign w:val="center"/>
            <w:hideMark/>
          </w:tcPr>
          <w:p w14:paraId="47642AE1"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Arnaldo Javier Córdoba and D.</w:t>
            </w:r>
          </w:p>
        </w:tc>
        <w:tc>
          <w:tcPr>
            <w:tcW w:w="940" w:type="dxa"/>
            <w:noWrap/>
            <w:vAlign w:val="center"/>
            <w:hideMark/>
          </w:tcPr>
          <w:p w14:paraId="68CDD8F8"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PAR</w:t>
            </w:r>
          </w:p>
        </w:tc>
        <w:tc>
          <w:tcPr>
            <w:tcW w:w="3220" w:type="dxa"/>
            <w:vAlign w:val="center"/>
            <w:hideMark/>
          </w:tcPr>
          <w:p w14:paraId="3C099D20"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January 7, 2022</w:t>
            </w:r>
          </w:p>
        </w:tc>
      </w:tr>
      <w:tr w:rsidR="00774C1A" w:rsidRPr="0046074F" w14:paraId="7FCF20C5" w14:textId="77777777" w:rsidTr="006A5651">
        <w:trPr>
          <w:cnfStyle w:val="000000010000" w:firstRow="0" w:lastRow="0" w:firstColumn="0" w:lastColumn="0" w:oddVBand="0" w:evenVBand="0" w:oddHBand="0" w:evenHBand="1" w:firstRowFirstColumn="0" w:firstRowLastColumn="0" w:lastRowFirstColumn="0" w:lastRowLastColumn="0"/>
          <w:trHeight w:val="255"/>
        </w:trPr>
        <w:tc>
          <w:tcPr>
            <w:tcW w:w="2020" w:type="dxa"/>
            <w:noWrap/>
            <w:vAlign w:val="center"/>
            <w:hideMark/>
          </w:tcPr>
          <w:p w14:paraId="6FF08C16"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13,047</w:t>
            </w:r>
          </w:p>
        </w:tc>
        <w:tc>
          <w:tcPr>
            <w:tcW w:w="3340" w:type="dxa"/>
            <w:noWrap/>
            <w:vAlign w:val="center"/>
            <w:hideMark/>
          </w:tcPr>
          <w:p w14:paraId="7A3B2917"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Miguel Ángel Aguirre Magaña</w:t>
            </w:r>
          </w:p>
        </w:tc>
        <w:tc>
          <w:tcPr>
            <w:tcW w:w="940" w:type="dxa"/>
            <w:noWrap/>
            <w:vAlign w:val="center"/>
            <w:hideMark/>
          </w:tcPr>
          <w:p w14:paraId="4AA4565C"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SAL</w:t>
            </w:r>
          </w:p>
        </w:tc>
        <w:tc>
          <w:tcPr>
            <w:tcW w:w="3220" w:type="dxa"/>
            <w:vAlign w:val="center"/>
            <w:hideMark/>
          </w:tcPr>
          <w:p w14:paraId="1D91DCC5"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January 12, 2022</w:t>
            </w:r>
          </w:p>
        </w:tc>
      </w:tr>
      <w:tr w:rsidR="00774C1A" w:rsidRPr="0046074F" w14:paraId="2C56BECD" w14:textId="77777777" w:rsidTr="006A5651">
        <w:trPr>
          <w:cnfStyle w:val="000000100000" w:firstRow="0" w:lastRow="0" w:firstColumn="0" w:lastColumn="0" w:oddVBand="0" w:evenVBand="0" w:oddHBand="1" w:evenHBand="0" w:firstRowFirstColumn="0" w:firstRowLastColumn="0" w:lastRowFirstColumn="0" w:lastRowLastColumn="0"/>
          <w:trHeight w:val="255"/>
        </w:trPr>
        <w:tc>
          <w:tcPr>
            <w:tcW w:w="2020" w:type="dxa"/>
            <w:noWrap/>
            <w:vAlign w:val="center"/>
            <w:hideMark/>
          </w:tcPr>
          <w:p w14:paraId="4829100A"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12,322</w:t>
            </w:r>
          </w:p>
        </w:tc>
        <w:tc>
          <w:tcPr>
            <w:tcW w:w="3340" w:type="dxa"/>
            <w:noWrap/>
            <w:vAlign w:val="center"/>
            <w:hideMark/>
          </w:tcPr>
          <w:p w14:paraId="6A592DD1"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Antonio González Méndez</w:t>
            </w:r>
          </w:p>
        </w:tc>
        <w:tc>
          <w:tcPr>
            <w:tcW w:w="940" w:type="dxa"/>
            <w:noWrap/>
            <w:vAlign w:val="center"/>
            <w:hideMark/>
          </w:tcPr>
          <w:p w14:paraId="7A3F9120"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MEX</w:t>
            </w:r>
          </w:p>
        </w:tc>
        <w:tc>
          <w:tcPr>
            <w:tcW w:w="3220" w:type="dxa"/>
            <w:vAlign w:val="center"/>
            <w:hideMark/>
          </w:tcPr>
          <w:p w14:paraId="73AF6F89"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January 22, 2022</w:t>
            </w:r>
          </w:p>
        </w:tc>
      </w:tr>
      <w:tr w:rsidR="00774C1A" w:rsidRPr="0046074F" w14:paraId="71401C12" w14:textId="77777777" w:rsidTr="006A5651">
        <w:trPr>
          <w:cnfStyle w:val="000000010000" w:firstRow="0" w:lastRow="0" w:firstColumn="0" w:lastColumn="0" w:oddVBand="0" w:evenVBand="0" w:oddHBand="0" w:evenHBand="1" w:firstRowFirstColumn="0" w:firstRowLastColumn="0" w:lastRowFirstColumn="0" w:lastRowLastColumn="0"/>
          <w:trHeight w:val="255"/>
        </w:trPr>
        <w:tc>
          <w:tcPr>
            <w:tcW w:w="2020" w:type="dxa"/>
            <w:noWrap/>
            <w:vAlign w:val="center"/>
            <w:hideMark/>
          </w:tcPr>
          <w:p w14:paraId="16E284D5"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11,856</w:t>
            </w:r>
          </w:p>
        </w:tc>
        <w:tc>
          <w:tcPr>
            <w:tcW w:w="3340" w:type="dxa"/>
            <w:noWrap/>
            <w:vAlign w:val="center"/>
            <w:hideMark/>
          </w:tcPr>
          <w:p w14:paraId="0B0EA85D"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 xml:space="preserve">Aucan Huilcaman </w:t>
            </w:r>
            <w:r w:rsidRPr="0046074F">
              <w:rPr>
                <w:rFonts w:ascii="Cambria" w:hAnsi="Cambria"/>
                <w:i/>
                <w:iCs/>
                <w:sz w:val="20"/>
                <w:szCs w:val="20"/>
              </w:rPr>
              <w:t>et al</w:t>
            </w:r>
            <w:r w:rsidRPr="0046074F">
              <w:rPr>
                <w:rFonts w:ascii="Cambria" w:hAnsi="Cambria"/>
                <w:sz w:val="20"/>
                <w:szCs w:val="20"/>
              </w:rPr>
              <w:t>.</w:t>
            </w:r>
          </w:p>
        </w:tc>
        <w:tc>
          <w:tcPr>
            <w:tcW w:w="940" w:type="dxa"/>
            <w:noWrap/>
            <w:vAlign w:val="center"/>
            <w:hideMark/>
          </w:tcPr>
          <w:p w14:paraId="4C5DA81D"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CH</w:t>
            </w:r>
          </w:p>
        </w:tc>
        <w:tc>
          <w:tcPr>
            <w:tcW w:w="3220" w:type="dxa"/>
            <w:vAlign w:val="center"/>
            <w:hideMark/>
          </w:tcPr>
          <w:p w14:paraId="40074072"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January 27, 2022</w:t>
            </w:r>
          </w:p>
        </w:tc>
      </w:tr>
      <w:tr w:rsidR="00774C1A" w:rsidRPr="0046074F" w14:paraId="17FF288A" w14:textId="77777777" w:rsidTr="006A5651">
        <w:trPr>
          <w:cnfStyle w:val="000000100000" w:firstRow="0" w:lastRow="0" w:firstColumn="0" w:lastColumn="0" w:oddVBand="0" w:evenVBand="0" w:oddHBand="1" w:evenHBand="0" w:firstRowFirstColumn="0" w:firstRowLastColumn="0" w:lastRowFirstColumn="0" w:lastRowLastColumn="0"/>
          <w:trHeight w:val="255"/>
        </w:trPr>
        <w:tc>
          <w:tcPr>
            <w:tcW w:w="2020" w:type="dxa"/>
            <w:noWrap/>
            <w:vAlign w:val="center"/>
            <w:hideMark/>
          </w:tcPr>
          <w:p w14:paraId="4381C365"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13,003</w:t>
            </w:r>
          </w:p>
        </w:tc>
        <w:tc>
          <w:tcPr>
            <w:tcW w:w="3340" w:type="dxa"/>
            <w:vAlign w:val="center"/>
            <w:hideMark/>
          </w:tcPr>
          <w:p w14:paraId="6431C00C" w14:textId="77777777" w:rsidR="00774C1A" w:rsidRPr="0046074F" w:rsidRDefault="00774C1A" w:rsidP="006A5651">
            <w:pPr>
              <w:jc w:val="center"/>
              <w:rPr>
                <w:rFonts w:ascii="Cambria" w:eastAsia="Times New Roman" w:hAnsi="Cambria" w:cs="Segoe UI"/>
                <w:color w:val="000000"/>
                <w:sz w:val="20"/>
                <w:szCs w:val="20"/>
                <w:lang w:val="es-ES_tradnl"/>
              </w:rPr>
            </w:pPr>
            <w:r w:rsidRPr="0046074F">
              <w:rPr>
                <w:rFonts w:ascii="Cambria" w:hAnsi="Cambria"/>
                <w:color w:val="000000"/>
                <w:sz w:val="20"/>
                <w:szCs w:val="20"/>
                <w:lang w:val="es-ES_tradnl"/>
              </w:rPr>
              <w:t xml:space="preserve">Mario Galetovic Sapunar </w:t>
            </w:r>
            <w:r w:rsidRPr="0046074F">
              <w:rPr>
                <w:rFonts w:ascii="Cambria" w:hAnsi="Cambria"/>
                <w:i/>
                <w:iCs/>
                <w:color w:val="000000"/>
                <w:sz w:val="20"/>
                <w:szCs w:val="20"/>
                <w:lang w:val="es-ES_tradnl"/>
              </w:rPr>
              <w:t>et al</w:t>
            </w:r>
            <w:r w:rsidRPr="0046074F">
              <w:rPr>
                <w:rFonts w:ascii="Cambria" w:hAnsi="Cambria"/>
                <w:color w:val="000000"/>
                <w:sz w:val="20"/>
                <w:szCs w:val="20"/>
                <w:lang w:val="es-ES_tradnl"/>
              </w:rPr>
              <w:t>.</w:t>
            </w:r>
          </w:p>
        </w:tc>
        <w:tc>
          <w:tcPr>
            <w:tcW w:w="940" w:type="dxa"/>
            <w:noWrap/>
            <w:vAlign w:val="center"/>
            <w:hideMark/>
          </w:tcPr>
          <w:p w14:paraId="63A17BB3"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CH</w:t>
            </w:r>
          </w:p>
        </w:tc>
        <w:tc>
          <w:tcPr>
            <w:tcW w:w="3220" w:type="dxa"/>
            <w:vAlign w:val="center"/>
            <w:hideMark/>
          </w:tcPr>
          <w:p w14:paraId="45137F15"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February 15, 2022</w:t>
            </w:r>
          </w:p>
        </w:tc>
      </w:tr>
      <w:tr w:rsidR="00774C1A" w:rsidRPr="0046074F" w14:paraId="3FCD0964" w14:textId="77777777" w:rsidTr="006A5651">
        <w:trPr>
          <w:cnfStyle w:val="000000010000" w:firstRow="0" w:lastRow="0" w:firstColumn="0" w:lastColumn="0" w:oddVBand="0" w:evenVBand="0" w:oddHBand="0" w:evenHBand="1" w:firstRowFirstColumn="0" w:firstRowLastColumn="0" w:lastRowFirstColumn="0" w:lastRowLastColumn="0"/>
          <w:trHeight w:val="255"/>
        </w:trPr>
        <w:tc>
          <w:tcPr>
            <w:tcW w:w="2020" w:type="dxa"/>
            <w:noWrap/>
            <w:vAlign w:val="center"/>
            <w:hideMark/>
          </w:tcPr>
          <w:p w14:paraId="32C2FCCB"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14,143</w:t>
            </w:r>
          </w:p>
        </w:tc>
        <w:tc>
          <w:tcPr>
            <w:tcW w:w="3340" w:type="dxa"/>
            <w:noWrap/>
            <w:vAlign w:val="center"/>
            <w:hideMark/>
          </w:tcPr>
          <w:p w14:paraId="7D68B63C"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 xml:space="preserve">Alfredo José Chirinos Salamanca </w:t>
            </w:r>
            <w:r w:rsidRPr="0046074F">
              <w:rPr>
                <w:rFonts w:ascii="Cambria" w:hAnsi="Cambria"/>
                <w:i/>
                <w:iCs/>
                <w:sz w:val="20"/>
                <w:szCs w:val="20"/>
              </w:rPr>
              <w:t>et al</w:t>
            </w:r>
            <w:r w:rsidRPr="0046074F">
              <w:rPr>
                <w:rFonts w:ascii="Cambria" w:hAnsi="Cambria"/>
                <w:sz w:val="20"/>
                <w:szCs w:val="20"/>
              </w:rPr>
              <w:t>.</w:t>
            </w:r>
          </w:p>
        </w:tc>
        <w:tc>
          <w:tcPr>
            <w:tcW w:w="940" w:type="dxa"/>
            <w:noWrap/>
            <w:vAlign w:val="center"/>
            <w:hideMark/>
          </w:tcPr>
          <w:p w14:paraId="3524085E"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VEN</w:t>
            </w:r>
          </w:p>
        </w:tc>
        <w:tc>
          <w:tcPr>
            <w:tcW w:w="3220" w:type="dxa"/>
            <w:vAlign w:val="center"/>
            <w:hideMark/>
          </w:tcPr>
          <w:p w14:paraId="4261DFA1"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February 16, 2022</w:t>
            </w:r>
          </w:p>
        </w:tc>
      </w:tr>
      <w:tr w:rsidR="00774C1A" w:rsidRPr="0046074F" w14:paraId="03943FB6" w14:textId="77777777" w:rsidTr="006A5651">
        <w:trPr>
          <w:cnfStyle w:val="000000100000" w:firstRow="0" w:lastRow="0" w:firstColumn="0" w:lastColumn="0" w:oddVBand="0" w:evenVBand="0" w:oddHBand="1" w:evenHBand="0" w:firstRowFirstColumn="0" w:firstRowLastColumn="0" w:lastRowFirstColumn="0" w:lastRowLastColumn="0"/>
          <w:trHeight w:val="255"/>
        </w:trPr>
        <w:tc>
          <w:tcPr>
            <w:tcW w:w="2020" w:type="dxa"/>
            <w:noWrap/>
            <w:vAlign w:val="center"/>
            <w:hideMark/>
          </w:tcPr>
          <w:p w14:paraId="37EE1C5E"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13,465</w:t>
            </w:r>
          </w:p>
        </w:tc>
        <w:tc>
          <w:tcPr>
            <w:tcW w:w="3340" w:type="dxa"/>
            <w:noWrap/>
            <w:vAlign w:val="center"/>
            <w:hideMark/>
          </w:tcPr>
          <w:p w14:paraId="44C31039" w14:textId="21B6306C"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 xml:space="preserve">Dina Alexandra Carrión </w:t>
            </w:r>
            <w:r w:rsidRPr="0046074F">
              <w:rPr>
                <w:rFonts w:ascii="Cambria" w:hAnsi="Cambria"/>
                <w:i/>
                <w:iCs/>
                <w:sz w:val="20"/>
                <w:szCs w:val="20"/>
              </w:rPr>
              <w:t>et al</w:t>
            </w:r>
            <w:r w:rsidRPr="0046074F">
              <w:rPr>
                <w:rFonts w:ascii="Cambria" w:hAnsi="Cambria"/>
                <w:sz w:val="20"/>
                <w:szCs w:val="20"/>
              </w:rPr>
              <w:t>.</w:t>
            </w:r>
          </w:p>
        </w:tc>
        <w:tc>
          <w:tcPr>
            <w:tcW w:w="940" w:type="dxa"/>
            <w:noWrap/>
            <w:vAlign w:val="center"/>
            <w:hideMark/>
          </w:tcPr>
          <w:p w14:paraId="0A523EE4"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NIC</w:t>
            </w:r>
          </w:p>
        </w:tc>
        <w:tc>
          <w:tcPr>
            <w:tcW w:w="3220" w:type="dxa"/>
            <w:vAlign w:val="center"/>
            <w:hideMark/>
          </w:tcPr>
          <w:p w14:paraId="10435EB0"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February 22, 2022</w:t>
            </w:r>
          </w:p>
        </w:tc>
      </w:tr>
      <w:tr w:rsidR="00774C1A" w:rsidRPr="0046074F" w14:paraId="3958E847" w14:textId="77777777" w:rsidTr="006A5651">
        <w:trPr>
          <w:cnfStyle w:val="000000010000" w:firstRow="0" w:lastRow="0" w:firstColumn="0" w:lastColumn="0" w:oddVBand="0" w:evenVBand="0" w:oddHBand="0" w:evenHBand="1" w:firstRowFirstColumn="0" w:firstRowLastColumn="0" w:lastRowFirstColumn="0" w:lastRowLastColumn="0"/>
          <w:trHeight w:val="255"/>
        </w:trPr>
        <w:tc>
          <w:tcPr>
            <w:tcW w:w="2020" w:type="dxa"/>
            <w:noWrap/>
            <w:vAlign w:val="center"/>
            <w:hideMark/>
          </w:tcPr>
          <w:p w14:paraId="695CDE50"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12,912</w:t>
            </w:r>
          </w:p>
        </w:tc>
        <w:tc>
          <w:tcPr>
            <w:tcW w:w="3340" w:type="dxa"/>
            <w:noWrap/>
            <w:vAlign w:val="center"/>
            <w:hideMark/>
          </w:tcPr>
          <w:p w14:paraId="2AC9A1EB"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Gustavo Washington Hidalgo and family</w:t>
            </w:r>
          </w:p>
        </w:tc>
        <w:tc>
          <w:tcPr>
            <w:tcW w:w="940" w:type="dxa"/>
            <w:noWrap/>
            <w:vAlign w:val="center"/>
            <w:hideMark/>
          </w:tcPr>
          <w:p w14:paraId="14557BB5"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ECU</w:t>
            </w:r>
          </w:p>
        </w:tc>
        <w:tc>
          <w:tcPr>
            <w:tcW w:w="3220" w:type="dxa"/>
            <w:vAlign w:val="center"/>
            <w:hideMark/>
          </w:tcPr>
          <w:p w14:paraId="2E777F3C"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March 30, 2022</w:t>
            </w:r>
          </w:p>
        </w:tc>
      </w:tr>
      <w:tr w:rsidR="00774C1A" w:rsidRPr="0046074F" w14:paraId="40B7A9D4" w14:textId="77777777" w:rsidTr="006A5651">
        <w:trPr>
          <w:cnfStyle w:val="000000100000" w:firstRow="0" w:lastRow="0" w:firstColumn="0" w:lastColumn="0" w:oddVBand="0" w:evenVBand="0" w:oddHBand="1" w:evenHBand="0" w:firstRowFirstColumn="0" w:firstRowLastColumn="0" w:lastRowFirstColumn="0" w:lastRowLastColumn="0"/>
          <w:trHeight w:val="255"/>
        </w:trPr>
        <w:tc>
          <w:tcPr>
            <w:tcW w:w="2020" w:type="dxa"/>
            <w:vAlign w:val="center"/>
            <w:hideMark/>
          </w:tcPr>
          <w:p w14:paraId="22D3D093"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13,691</w:t>
            </w:r>
          </w:p>
        </w:tc>
        <w:tc>
          <w:tcPr>
            <w:tcW w:w="3340" w:type="dxa"/>
            <w:vAlign w:val="center"/>
            <w:hideMark/>
          </w:tcPr>
          <w:p w14:paraId="32F556A5" w14:textId="77777777" w:rsidR="00774C1A" w:rsidRPr="0046074F" w:rsidRDefault="00774C1A" w:rsidP="006A5651">
            <w:pPr>
              <w:jc w:val="center"/>
              <w:rPr>
                <w:rFonts w:ascii="Cambria" w:eastAsia="Times New Roman" w:hAnsi="Cambria" w:cs="Segoe UI"/>
                <w:color w:val="000000"/>
                <w:sz w:val="20"/>
                <w:szCs w:val="20"/>
                <w:lang w:val="fr-CA"/>
              </w:rPr>
            </w:pPr>
            <w:r w:rsidRPr="0046074F">
              <w:rPr>
                <w:rFonts w:ascii="Cambria" w:hAnsi="Cambria"/>
                <w:color w:val="000000"/>
                <w:sz w:val="20"/>
                <w:szCs w:val="20"/>
                <w:lang w:val="fr-CA"/>
              </w:rPr>
              <w:t xml:space="preserve">Cristiane Leite De Souza </w:t>
            </w:r>
            <w:r w:rsidRPr="0046074F">
              <w:rPr>
                <w:rFonts w:ascii="Cambria" w:hAnsi="Cambria"/>
                <w:i/>
                <w:iCs/>
                <w:color w:val="000000"/>
                <w:sz w:val="20"/>
                <w:szCs w:val="20"/>
                <w:lang w:val="fr-CA"/>
              </w:rPr>
              <w:t>et al</w:t>
            </w:r>
            <w:r w:rsidRPr="0046074F">
              <w:rPr>
                <w:rFonts w:ascii="Cambria" w:hAnsi="Cambria"/>
                <w:color w:val="000000"/>
                <w:sz w:val="20"/>
                <w:szCs w:val="20"/>
                <w:lang w:val="fr-CA"/>
              </w:rPr>
              <w:t>.</w:t>
            </w:r>
          </w:p>
        </w:tc>
        <w:tc>
          <w:tcPr>
            <w:tcW w:w="940" w:type="dxa"/>
            <w:vAlign w:val="center"/>
            <w:hideMark/>
          </w:tcPr>
          <w:p w14:paraId="0909B71C"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BRA</w:t>
            </w:r>
          </w:p>
        </w:tc>
        <w:tc>
          <w:tcPr>
            <w:tcW w:w="3220" w:type="dxa"/>
            <w:vAlign w:val="center"/>
            <w:hideMark/>
          </w:tcPr>
          <w:p w14:paraId="54C2655E"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April 22, 2022</w:t>
            </w:r>
          </w:p>
        </w:tc>
      </w:tr>
      <w:tr w:rsidR="00774C1A" w:rsidRPr="0046074F" w14:paraId="29AEA230" w14:textId="77777777" w:rsidTr="006A5651">
        <w:trPr>
          <w:cnfStyle w:val="000000010000" w:firstRow="0" w:lastRow="0" w:firstColumn="0" w:lastColumn="0" w:oddVBand="0" w:evenVBand="0" w:oddHBand="0" w:evenHBand="1" w:firstRowFirstColumn="0" w:firstRowLastColumn="0" w:lastRowFirstColumn="0" w:lastRowLastColumn="0"/>
          <w:trHeight w:val="435"/>
        </w:trPr>
        <w:tc>
          <w:tcPr>
            <w:tcW w:w="2020" w:type="dxa"/>
            <w:vAlign w:val="center"/>
            <w:hideMark/>
          </w:tcPr>
          <w:p w14:paraId="60FB0C52"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14,059</w:t>
            </w:r>
          </w:p>
        </w:tc>
        <w:tc>
          <w:tcPr>
            <w:tcW w:w="3340" w:type="dxa"/>
            <w:vAlign w:val="center"/>
            <w:hideMark/>
          </w:tcPr>
          <w:p w14:paraId="1A148B9F"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“María” and her son “Mariano”</w:t>
            </w:r>
          </w:p>
        </w:tc>
        <w:tc>
          <w:tcPr>
            <w:tcW w:w="940" w:type="dxa"/>
            <w:vAlign w:val="center"/>
            <w:hideMark/>
          </w:tcPr>
          <w:p w14:paraId="213D0078"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ARG</w:t>
            </w:r>
          </w:p>
        </w:tc>
        <w:tc>
          <w:tcPr>
            <w:tcW w:w="3220" w:type="dxa"/>
            <w:vAlign w:val="center"/>
            <w:hideMark/>
          </w:tcPr>
          <w:p w14:paraId="3C47CDCA"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April 25, 2022</w:t>
            </w:r>
          </w:p>
        </w:tc>
      </w:tr>
      <w:tr w:rsidR="00774C1A" w:rsidRPr="0046074F" w14:paraId="38AA6034" w14:textId="77777777" w:rsidTr="006A5651">
        <w:trPr>
          <w:cnfStyle w:val="000000100000" w:firstRow="0" w:lastRow="0" w:firstColumn="0" w:lastColumn="0" w:oddVBand="0" w:evenVBand="0" w:oddHBand="1" w:evenHBand="0" w:firstRowFirstColumn="0" w:firstRowLastColumn="0" w:lastRowFirstColumn="0" w:lastRowLastColumn="0"/>
          <w:trHeight w:val="255"/>
        </w:trPr>
        <w:tc>
          <w:tcPr>
            <w:tcW w:w="2020" w:type="dxa"/>
            <w:vAlign w:val="center"/>
            <w:hideMark/>
          </w:tcPr>
          <w:p w14:paraId="2B90E32E"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13,834</w:t>
            </w:r>
          </w:p>
        </w:tc>
        <w:tc>
          <w:tcPr>
            <w:tcW w:w="3340" w:type="dxa"/>
            <w:vAlign w:val="center"/>
            <w:hideMark/>
          </w:tcPr>
          <w:p w14:paraId="70682A15"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Henrique Capriles</w:t>
            </w:r>
          </w:p>
        </w:tc>
        <w:tc>
          <w:tcPr>
            <w:tcW w:w="940" w:type="dxa"/>
            <w:vAlign w:val="center"/>
            <w:hideMark/>
          </w:tcPr>
          <w:p w14:paraId="672367AE"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VEN</w:t>
            </w:r>
          </w:p>
        </w:tc>
        <w:tc>
          <w:tcPr>
            <w:tcW w:w="3220" w:type="dxa"/>
            <w:vAlign w:val="center"/>
            <w:hideMark/>
          </w:tcPr>
          <w:p w14:paraId="544D6862"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April 28, 2022</w:t>
            </w:r>
          </w:p>
        </w:tc>
      </w:tr>
      <w:tr w:rsidR="00774C1A" w:rsidRPr="0046074F" w14:paraId="05E4A71F" w14:textId="77777777" w:rsidTr="006A5651">
        <w:trPr>
          <w:cnfStyle w:val="000000010000" w:firstRow="0" w:lastRow="0" w:firstColumn="0" w:lastColumn="0" w:oddVBand="0" w:evenVBand="0" w:oddHBand="0" w:evenHBand="1" w:firstRowFirstColumn="0" w:firstRowLastColumn="0" w:lastRowFirstColumn="0" w:lastRowLastColumn="0"/>
          <w:trHeight w:val="255"/>
        </w:trPr>
        <w:tc>
          <w:tcPr>
            <w:tcW w:w="2020" w:type="dxa"/>
            <w:vAlign w:val="center"/>
            <w:hideMark/>
          </w:tcPr>
          <w:p w14:paraId="7B39743E"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13,915</w:t>
            </w:r>
          </w:p>
        </w:tc>
        <w:tc>
          <w:tcPr>
            <w:tcW w:w="3340" w:type="dxa"/>
            <w:vAlign w:val="center"/>
            <w:hideMark/>
          </w:tcPr>
          <w:p w14:paraId="662D680E"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Milton Gerardo Revilla Soto</w:t>
            </w:r>
          </w:p>
        </w:tc>
        <w:tc>
          <w:tcPr>
            <w:tcW w:w="940" w:type="dxa"/>
            <w:vAlign w:val="center"/>
            <w:hideMark/>
          </w:tcPr>
          <w:p w14:paraId="76FDD2E6" w14:textId="656C5960"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VEN</w:t>
            </w:r>
          </w:p>
        </w:tc>
        <w:tc>
          <w:tcPr>
            <w:tcW w:w="3220" w:type="dxa"/>
            <w:vAlign w:val="center"/>
            <w:hideMark/>
          </w:tcPr>
          <w:p w14:paraId="0290BE64"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May 9, 2022</w:t>
            </w:r>
          </w:p>
        </w:tc>
      </w:tr>
      <w:tr w:rsidR="00774C1A" w:rsidRPr="0046074F" w14:paraId="6B37C483" w14:textId="77777777" w:rsidTr="006A5651">
        <w:trPr>
          <w:cnfStyle w:val="000000100000" w:firstRow="0" w:lastRow="0" w:firstColumn="0" w:lastColumn="0" w:oddVBand="0" w:evenVBand="0" w:oddHBand="1" w:evenHBand="0" w:firstRowFirstColumn="0" w:firstRowLastColumn="0" w:lastRowFirstColumn="0" w:lastRowLastColumn="0"/>
          <w:trHeight w:val="255"/>
        </w:trPr>
        <w:tc>
          <w:tcPr>
            <w:tcW w:w="2020" w:type="dxa"/>
            <w:vAlign w:val="center"/>
            <w:hideMark/>
          </w:tcPr>
          <w:p w14:paraId="2FEC0ADC"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12,774</w:t>
            </w:r>
          </w:p>
        </w:tc>
        <w:tc>
          <w:tcPr>
            <w:tcW w:w="3340" w:type="dxa"/>
            <w:vAlign w:val="center"/>
            <w:hideMark/>
          </w:tcPr>
          <w:p w14:paraId="0D69660B" w14:textId="77777777" w:rsidR="00774C1A" w:rsidRPr="0046074F" w:rsidRDefault="00774C1A" w:rsidP="006A5651">
            <w:pPr>
              <w:jc w:val="center"/>
              <w:rPr>
                <w:rFonts w:ascii="Cambria" w:eastAsia="Times New Roman" w:hAnsi="Cambria" w:cs="Segoe UI"/>
                <w:color w:val="000000"/>
                <w:sz w:val="20"/>
                <w:szCs w:val="20"/>
                <w:lang w:val="es-ES_tradnl"/>
              </w:rPr>
            </w:pPr>
            <w:r w:rsidRPr="0046074F">
              <w:rPr>
                <w:rFonts w:ascii="Cambria" w:hAnsi="Cambria"/>
                <w:color w:val="000000"/>
                <w:sz w:val="20"/>
                <w:szCs w:val="20"/>
                <w:lang w:val="es-ES_tradnl"/>
              </w:rPr>
              <w:t>Patricia Emilie Cuéllar Sandoval, Mauricio Cuéllar Cuéllar and Julia Orbelina Pérez</w:t>
            </w:r>
          </w:p>
        </w:tc>
        <w:tc>
          <w:tcPr>
            <w:tcW w:w="940" w:type="dxa"/>
            <w:vAlign w:val="center"/>
            <w:hideMark/>
          </w:tcPr>
          <w:p w14:paraId="1F7C6D35"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SAL</w:t>
            </w:r>
          </w:p>
        </w:tc>
        <w:tc>
          <w:tcPr>
            <w:tcW w:w="3220" w:type="dxa"/>
            <w:vAlign w:val="center"/>
            <w:hideMark/>
          </w:tcPr>
          <w:p w14:paraId="037644BD"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May 14, 2022</w:t>
            </w:r>
          </w:p>
        </w:tc>
      </w:tr>
      <w:tr w:rsidR="00774C1A" w:rsidRPr="0046074F" w14:paraId="63B4A640" w14:textId="77777777" w:rsidTr="006A5651">
        <w:trPr>
          <w:cnfStyle w:val="000000010000" w:firstRow="0" w:lastRow="0" w:firstColumn="0" w:lastColumn="0" w:oddVBand="0" w:evenVBand="0" w:oddHBand="0" w:evenHBand="1" w:firstRowFirstColumn="0" w:firstRowLastColumn="0" w:lastRowFirstColumn="0" w:lastRowLastColumn="0"/>
          <w:trHeight w:val="255"/>
        </w:trPr>
        <w:tc>
          <w:tcPr>
            <w:tcW w:w="2020" w:type="dxa"/>
            <w:vAlign w:val="center"/>
            <w:hideMark/>
          </w:tcPr>
          <w:p w14:paraId="557AC079"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13,713</w:t>
            </w:r>
          </w:p>
        </w:tc>
        <w:tc>
          <w:tcPr>
            <w:tcW w:w="3340" w:type="dxa"/>
            <w:vAlign w:val="center"/>
            <w:hideMark/>
          </w:tcPr>
          <w:p w14:paraId="6136D352"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 xml:space="preserve">Denise Peres Crispim, Eduardo Collen Leite </w:t>
            </w:r>
            <w:r w:rsidRPr="0046074F">
              <w:rPr>
                <w:rFonts w:ascii="Cambria" w:hAnsi="Cambria"/>
                <w:i/>
                <w:iCs/>
                <w:color w:val="000000"/>
                <w:sz w:val="20"/>
                <w:szCs w:val="20"/>
              </w:rPr>
              <w:t>et al</w:t>
            </w:r>
            <w:r w:rsidRPr="0046074F">
              <w:rPr>
                <w:rFonts w:ascii="Cambria" w:hAnsi="Cambria"/>
                <w:color w:val="000000"/>
                <w:sz w:val="20"/>
                <w:szCs w:val="20"/>
              </w:rPr>
              <w:t>.</w:t>
            </w:r>
          </w:p>
        </w:tc>
        <w:tc>
          <w:tcPr>
            <w:tcW w:w="940" w:type="dxa"/>
            <w:vAlign w:val="center"/>
            <w:hideMark/>
          </w:tcPr>
          <w:p w14:paraId="0F55EA2D"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BRA</w:t>
            </w:r>
          </w:p>
        </w:tc>
        <w:tc>
          <w:tcPr>
            <w:tcW w:w="3220" w:type="dxa"/>
            <w:vAlign w:val="center"/>
            <w:hideMark/>
          </w:tcPr>
          <w:p w14:paraId="6E057DB6"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May 17, 2022</w:t>
            </w:r>
          </w:p>
        </w:tc>
      </w:tr>
      <w:tr w:rsidR="00774C1A" w:rsidRPr="0046074F" w14:paraId="2D0A8AFB" w14:textId="77777777" w:rsidTr="006A5651">
        <w:trPr>
          <w:cnfStyle w:val="000000100000" w:firstRow="0" w:lastRow="0" w:firstColumn="0" w:lastColumn="0" w:oddVBand="0" w:evenVBand="0" w:oddHBand="1" w:evenHBand="0" w:firstRowFirstColumn="0" w:firstRowLastColumn="0" w:lastRowFirstColumn="0" w:lastRowLastColumn="0"/>
          <w:trHeight w:val="255"/>
        </w:trPr>
        <w:tc>
          <w:tcPr>
            <w:tcW w:w="2020" w:type="dxa"/>
            <w:vAlign w:val="center"/>
            <w:hideMark/>
          </w:tcPr>
          <w:p w14:paraId="245ADE43"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14,170</w:t>
            </w:r>
          </w:p>
        </w:tc>
        <w:tc>
          <w:tcPr>
            <w:tcW w:w="3340" w:type="dxa"/>
            <w:vAlign w:val="center"/>
            <w:hideMark/>
          </w:tcPr>
          <w:p w14:paraId="4D0D713A" w14:textId="77777777" w:rsidR="00774C1A" w:rsidRPr="0046074F" w:rsidRDefault="00774C1A" w:rsidP="006A5651">
            <w:pPr>
              <w:jc w:val="center"/>
              <w:rPr>
                <w:rFonts w:ascii="Cambria" w:eastAsia="Times New Roman" w:hAnsi="Cambria" w:cs="Segoe UI"/>
                <w:color w:val="000000"/>
                <w:sz w:val="20"/>
                <w:szCs w:val="20"/>
                <w:lang w:val="es-ES_tradnl"/>
              </w:rPr>
            </w:pPr>
            <w:r w:rsidRPr="0046074F">
              <w:rPr>
                <w:rFonts w:ascii="Cambria" w:hAnsi="Cambria"/>
                <w:color w:val="000000"/>
                <w:sz w:val="20"/>
                <w:szCs w:val="20"/>
                <w:lang w:val="es-ES_tradnl"/>
              </w:rPr>
              <w:t xml:space="preserve">Juan Pedro Lares Rángel </w:t>
            </w:r>
            <w:r w:rsidRPr="0046074F">
              <w:rPr>
                <w:rFonts w:ascii="Cambria" w:hAnsi="Cambria"/>
                <w:i/>
                <w:iCs/>
                <w:color w:val="000000"/>
                <w:sz w:val="20"/>
                <w:szCs w:val="20"/>
                <w:lang w:val="es-ES_tradnl"/>
              </w:rPr>
              <w:t>et al</w:t>
            </w:r>
            <w:r w:rsidRPr="0046074F">
              <w:rPr>
                <w:rFonts w:ascii="Cambria" w:hAnsi="Cambria"/>
                <w:color w:val="000000"/>
                <w:sz w:val="20"/>
                <w:szCs w:val="20"/>
                <w:lang w:val="es-ES_tradnl"/>
              </w:rPr>
              <w:t>.</w:t>
            </w:r>
          </w:p>
        </w:tc>
        <w:tc>
          <w:tcPr>
            <w:tcW w:w="940" w:type="dxa"/>
            <w:vAlign w:val="center"/>
            <w:hideMark/>
          </w:tcPr>
          <w:p w14:paraId="17BDA373"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VEN</w:t>
            </w:r>
          </w:p>
        </w:tc>
        <w:tc>
          <w:tcPr>
            <w:tcW w:w="3220" w:type="dxa"/>
            <w:vAlign w:val="center"/>
            <w:hideMark/>
          </w:tcPr>
          <w:p w14:paraId="61344366"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July 6, 2022</w:t>
            </w:r>
          </w:p>
        </w:tc>
      </w:tr>
      <w:tr w:rsidR="00774C1A" w:rsidRPr="0046074F" w14:paraId="3B4C90AD" w14:textId="77777777" w:rsidTr="006A5651">
        <w:trPr>
          <w:cnfStyle w:val="000000010000" w:firstRow="0" w:lastRow="0" w:firstColumn="0" w:lastColumn="0" w:oddVBand="0" w:evenVBand="0" w:oddHBand="0" w:evenHBand="1" w:firstRowFirstColumn="0" w:firstRowLastColumn="0" w:lastRowFirstColumn="0" w:lastRowLastColumn="0"/>
          <w:trHeight w:val="255"/>
        </w:trPr>
        <w:tc>
          <w:tcPr>
            <w:tcW w:w="2020" w:type="dxa"/>
            <w:vAlign w:val="center"/>
            <w:hideMark/>
          </w:tcPr>
          <w:p w14:paraId="08827A61"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13,056</w:t>
            </w:r>
          </w:p>
        </w:tc>
        <w:tc>
          <w:tcPr>
            <w:tcW w:w="3340" w:type="dxa"/>
            <w:vAlign w:val="center"/>
            <w:hideMark/>
          </w:tcPr>
          <w:p w14:paraId="109DA1C0"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Almir Muniz da Silva</w:t>
            </w:r>
          </w:p>
        </w:tc>
        <w:tc>
          <w:tcPr>
            <w:tcW w:w="940" w:type="dxa"/>
            <w:vAlign w:val="center"/>
            <w:hideMark/>
          </w:tcPr>
          <w:p w14:paraId="0A52F34F"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BRA</w:t>
            </w:r>
          </w:p>
        </w:tc>
        <w:tc>
          <w:tcPr>
            <w:tcW w:w="3220" w:type="dxa"/>
            <w:vAlign w:val="center"/>
            <w:hideMark/>
          </w:tcPr>
          <w:p w14:paraId="2B4CC5CA"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August 29, 2022</w:t>
            </w:r>
          </w:p>
        </w:tc>
      </w:tr>
      <w:tr w:rsidR="00774C1A" w:rsidRPr="0046074F" w14:paraId="4456EE2A" w14:textId="77777777" w:rsidTr="006A5651">
        <w:trPr>
          <w:cnfStyle w:val="000000100000" w:firstRow="0" w:lastRow="0" w:firstColumn="0" w:lastColumn="0" w:oddVBand="0" w:evenVBand="0" w:oddHBand="1" w:evenHBand="0" w:firstRowFirstColumn="0" w:firstRowLastColumn="0" w:lastRowFirstColumn="0" w:lastRowLastColumn="0"/>
          <w:trHeight w:val="255"/>
        </w:trPr>
        <w:tc>
          <w:tcPr>
            <w:tcW w:w="2020" w:type="dxa"/>
            <w:vAlign w:val="center"/>
            <w:hideMark/>
          </w:tcPr>
          <w:p w14:paraId="035722D4"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13,515</w:t>
            </w:r>
          </w:p>
        </w:tc>
        <w:tc>
          <w:tcPr>
            <w:tcW w:w="3340" w:type="dxa"/>
            <w:vAlign w:val="center"/>
            <w:hideMark/>
          </w:tcPr>
          <w:p w14:paraId="40DFDAA9"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César Daniel Camejo Blanco</w:t>
            </w:r>
          </w:p>
        </w:tc>
        <w:tc>
          <w:tcPr>
            <w:tcW w:w="940" w:type="dxa"/>
            <w:vAlign w:val="center"/>
            <w:hideMark/>
          </w:tcPr>
          <w:p w14:paraId="66D44F59"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VEN</w:t>
            </w:r>
          </w:p>
        </w:tc>
        <w:tc>
          <w:tcPr>
            <w:tcW w:w="3220" w:type="dxa"/>
            <w:vAlign w:val="center"/>
            <w:hideMark/>
          </w:tcPr>
          <w:p w14:paraId="79F4EDE2"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August 31, 2022</w:t>
            </w:r>
          </w:p>
        </w:tc>
      </w:tr>
      <w:tr w:rsidR="00774C1A" w:rsidRPr="0046074F" w14:paraId="6A652525" w14:textId="77777777" w:rsidTr="006A5651">
        <w:trPr>
          <w:cnfStyle w:val="000000010000" w:firstRow="0" w:lastRow="0" w:firstColumn="0" w:lastColumn="0" w:oddVBand="0" w:evenVBand="0" w:oddHBand="0" w:evenHBand="1" w:firstRowFirstColumn="0" w:firstRowLastColumn="0" w:lastRowFirstColumn="0" w:lastRowLastColumn="0"/>
          <w:trHeight w:val="255"/>
        </w:trPr>
        <w:tc>
          <w:tcPr>
            <w:tcW w:w="2020" w:type="dxa"/>
            <w:vAlign w:val="center"/>
            <w:hideMark/>
          </w:tcPr>
          <w:p w14:paraId="55FB8CDC"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12,932</w:t>
            </w:r>
          </w:p>
        </w:tc>
        <w:tc>
          <w:tcPr>
            <w:tcW w:w="3340" w:type="dxa"/>
            <w:vAlign w:val="center"/>
            <w:hideMark/>
          </w:tcPr>
          <w:p w14:paraId="2E57B854"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Agapito Pérez Lucas, Nicolás Mateo, Macario Pú Chivalán, Luis Ruiz Luis and family members</w:t>
            </w:r>
          </w:p>
        </w:tc>
        <w:tc>
          <w:tcPr>
            <w:tcW w:w="940" w:type="dxa"/>
            <w:vAlign w:val="center"/>
            <w:hideMark/>
          </w:tcPr>
          <w:p w14:paraId="76473146"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GUA</w:t>
            </w:r>
          </w:p>
        </w:tc>
        <w:tc>
          <w:tcPr>
            <w:tcW w:w="3220" w:type="dxa"/>
            <w:vAlign w:val="center"/>
            <w:hideMark/>
          </w:tcPr>
          <w:p w14:paraId="243A4491"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September 27, 2022</w:t>
            </w:r>
          </w:p>
        </w:tc>
      </w:tr>
      <w:tr w:rsidR="00774C1A" w:rsidRPr="0046074F" w14:paraId="0F8DC260" w14:textId="77777777" w:rsidTr="006A5651">
        <w:trPr>
          <w:cnfStyle w:val="000000100000" w:firstRow="0" w:lastRow="0" w:firstColumn="0" w:lastColumn="0" w:oddVBand="0" w:evenVBand="0" w:oddHBand="1" w:evenHBand="0" w:firstRowFirstColumn="0" w:firstRowLastColumn="0" w:lastRowFirstColumn="0" w:lastRowLastColumn="0"/>
          <w:trHeight w:val="255"/>
        </w:trPr>
        <w:tc>
          <w:tcPr>
            <w:tcW w:w="2020" w:type="dxa"/>
            <w:vAlign w:val="center"/>
            <w:hideMark/>
          </w:tcPr>
          <w:p w14:paraId="454EFEAB"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11,883</w:t>
            </w:r>
          </w:p>
        </w:tc>
        <w:tc>
          <w:tcPr>
            <w:tcW w:w="3340" w:type="dxa"/>
            <w:vAlign w:val="center"/>
            <w:hideMark/>
          </w:tcPr>
          <w:p w14:paraId="028CB420"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John Ricardo Ubaté and Gloria Bogotá</w:t>
            </w:r>
          </w:p>
        </w:tc>
        <w:tc>
          <w:tcPr>
            <w:tcW w:w="940" w:type="dxa"/>
            <w:vAlign w:val="center"/>
            <w:hideMark/>
          </w:tcPr>
          <w:p w14:paraId="6AE6E678"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COL</w:t>
            </w:r>
          </w:p>
        </w:tc>
        <w:tc>
          <w:tcPr>
            <w:tcW w:w="3220" w:type="dxa"/>
            <w:vAlign w:val="center"/>
            <w:hideMark/>
          </w:tcPr>
          <w:p w14:paraId="3724884D"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October 21, 2022</w:t>
            </w:r>
          </w:p>
        </w:tc>
      </w:tr>
      <w:tr w:rsidR="00774C1A" w:rsidRPr="0046074F" w14:paraId="1A59765C" w14:textId="77777777" w:rsidTr="006A5651">
        <w:trPr>
          <w:cnfStyle w:val="000000010000" w:firstRow="0" w:lastRow="0" w:firstColumn="0" w:lastColumn="0" w:oddVBand="0" w:evenVBand="0" w:oddHBand="0" w:evenHBand="1" w:firstRowFirstColumn="0" w:firstRowLastColumn="0" w:lastRowFirstColumn="0" w:lastRowLastColumn="0"/>
          <w:trHeight w:val="255"/>
        </w:trPr>
        <w:tc>
          <w:tcPr>
            <w:tcW w:w="2020" w:type="dxa"/>
            <w:vAlign w:val="center"/>
          </w:tcPr>
          <w:p w14:paraId="4C668C87"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12,087</w:t>
            </w:r>
          </w:p>
        </w:tc>
        <w:tc>
          <w:tcPr>
            <w:tcW w:w="3340" w:type="dxa"/>
            <w:vAlign w:val="center"/>
          </w:tcPr>
          <w:p w14:paraId="152A04F7"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Walter Ernesto Reyes Mantilla, Vicente Hipólito Arce Ronquillo, José Frank Serrano Barrera and family members</w:t>
            </w:r>
          </w:p>
        </w:tc>
        <w:tc>
          <w:tcPr>
            <w:tcW w:w="940" w:type="dxa"/>
            <w:vAlign w:val="center"/>
          </w:tcPr>
          <w:p w14:paraId="080D3D1E"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ECU</w:t>
            </w:r>
          </w:p>
        </w:tc>
        <w:tc>
          <w:tcPr>
            <w:tcW w:w="3220" w:type="dxa"/>
            <w:vAlign w:val="center"/>
          </w:tcPr>
          <w:p w14:paraId="7EEE6303"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November 23, 2022</w:t>
            </w:r>
          </w:p>
        </w:tc>
      </w:tr>
      <w:tr w:rsidR="00774C1A" w:rsidRPr="0046074F" w14:paraId="1B095829" w14:textId="77777777" w:rsidTr="006A5651">
        <w:trPr>
          <w:cnfStyle w:val="000000100000" w:firstRow="0" w:lastRow="0" w:firstColumn="0" w:lastColumn="0" w:oddVBand="0" w:evenVBand="0" w:oddHBand="1" w:evenHBand="0" w:firstRowFirstColumn="0" w:firstRowLastColumn="0" w:lastRowFirstColumn="0" w:lastRowLastColumn="0"/>
          <w:trHeight w:val="255"/>
        </w:trPr>
        <w:tc>
          <w:tcPr>
            <w:tcW w:w="2020" w:type="dxa"/>
            <w:vAlign w:val="center"/>
            <w:hideMark/>
          </w:tcPr>
          <w:p w14:paraId="751E5C18"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12,835</w:t>
            </w:r>
          </w:p>
        </w:tc>
        <w:tc>
          <w:tcPr>
            <w:tcW w:w="3340" w:type="dxa"/>
            <w:vAlign w:val="center"/>
            <w:hideMark/>
          </w:tcPr>
          <w:p w14:paraId="28BFF929"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Mauricio Hernandez Norambuena</w:t>
            </w:r>
          </w:p>
        </w:tc>
        <w:tc>
          <w:tcPr>
            <w:tcW w:w="940" w:type="dxa"/>
            <w:vAlign w:val="center"/>
            <w:hideMark/>
          </w:tcPr>
          <w:p w14:paraId="67C657DC"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BRA</w:t>
            </w:r>
          </w:p>
        </w:tc>
        <w:tc>
          <w:tcPr>
            <w:tcW w:w="3220" w:type="dxa"/>
            <w:vAlign w:val="center"/>
            <w:hideMark/>
          </w:tcPr>
          <w:p w14:paraId="3F257514"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November 30, 2022</w:t>
            </w:r>
          </w:p>
        </w:tc>
      </w:tr>
      <w:tr w:rsidR="00774C1A" w:rsidRPr="0046074F" w14:paraId="02276870" w14:textId="77777777" w:rsidTr="006A5651">
        <w:trPr>
          <w:cnfStyle w:val="000000010000" w:firstRow="0" w:lastRow="0" w:firstColumn="0" w:lastColumn="0" w:oddVBand="0" w:evenVBand="0" w:oddHBand="0" w:evenHBand="1" w:firstRowFirstColumn="0" w:firstRowLastColumn="0" w:lastRowFirstColumn="0" w:lastRowLastColumn="0"/>
          <w:trHeight w:val="255"/>
        </w:trPr>
        <w:tc>
          <w:tcPr>
            <w:tcW w:w="2020" w:type="dxa"/>
            <w:vAlign w:val="center"/>
            <w:hideMark/>
          </w:tcPr>
          <w:p w14:paraId="5087D2D8"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13,288</w:t>
            </w:r>
          </w:p>
        </w:tc>
        <w:tc>
          <w:tcPr>
            <w:tcW w:w="3340" w:type="dxa"/>
            <w:vAlign w:val="center"/>
            <w:hideMark/>
          </w:tcPr>
          <w:p w14:paraId="05B079EB"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Freddy Carlos Alberto Rodríguez Pighi</w:t>
            </w:r>
          </w:p>
        </w:tc>
        <w:tc>
          <w:tcPr>
            <w:tcW w:w="940" w:type="dxa"/>
            <w:vAlign w:val="center"/>
            <w:hideMark/>
          </w:tcPr>
          <w:p w14:paraId="5E41F0DB" w14:textId="77777777" w:rsidR="00774C1A" w:rsidRPr="0046074F" w:rsidRDefault="00774C1A" w:rsidP="006A5651">
            <w:pPr>
              <w:jc w:val="center"/>
              <w:rPr>
                <w:rFonts w:ascii="Cambria" w:eastAsia="Times New Roman" w:hAnsi="Cambria" w:cs="Segoe UI"/>
                <w:color w:val="000000"/>
                <w:sz w:val="20"/>
                <w:szCs w:val="20"/>
              </w:rPr>
            </w:pPr>
            <w:r w:rsidRPr="0046074F">
              <w:rPr>
                <w:rFonts w:ascii="Cambria" w:hAnsi="Cambria"/>
                <w:color w:val="000000"/>
                <w:sz w:val="20"/>
                <w:szCs w:val="20"/>
              </w:rPr>
              <w:t>PER</w:t>
            </w:r>
          </w:p>
        </w:tc>
        <w:tc>
          <w:tcPr>
            <w:tcW w:w="3220" w:type="dxa"/>
            <w:vAlign w:val="center"/>
            <w:hideMark/>
          </w:tcPr>
          <w:p w14:paraId="22C1DC26" w14:textId="77777777" w:rsidR="00774C1A" w:rsidRPr="0046074F" w:rsidRDefault="00774C1A" w:rsidP="006A5651">
            <w:pPr>
              <w:jc w:val="center"/>
              <w:rPr>
                <w:rFonts w:ascii="Cambria" w:eastAsia="Times New Roman" w:hAnsi="Cambria" w:cs="Segoe UI"/>
                <w:sz w:val="20"/>
                <w:szCs w:val="20"/>
              </w:rPr>
            </w:pPr>
            <w:r w:rsidRPr="0046074F">
              <w:rPr>
                <w:rFonts w:ascii="Cambria" w:hAnsi="Cambria"/>
                <w:sz w:val="20"/>
                <w:szCs w:val="20"/>
              </w:rPr>
              <w:t>December 4, 2022</w:t>
            </w:r>
          </w:p>
        </w:tc>
      </w:tr>
    </w:tbl>
    <w:p w14:paraId="3CDE40DE" w14:textId="77777777" w:rsidR="00774C1A" w:rsidRPr="00A01C5D" w:rsidRDefault="00774C1A" w:rsidP="00774C1A">
      <w:pPr>
        <w:jc w:val="both"/>
        <w:rPr>
          <w:rFonts w:ascii="Cambria" w:hAnsi="Cambria" w:cs="Calibri"/>
          <w:sz w:val="20"/>
          <w:szCs w:val="20"/>
        </w:rPr>
      </w:pPr>
    </w:p>
    <w:p w14:paraId="356B56A0" w14:textId="77777777" w:rsidR="00774C1A" w:rsidRPr="00A01C5D" w:rsidRDefault="00774C1A" w:rsidP="00933F91">
      <w:pPr>
        <w:pStyle w:val="NoSpacing"/>
        <w:numPr>
          <w:ilvl w:val="0"/>
          <w:numId w:val="80"/>
        </w:numPr>
        <w:tabs>
          <w:tab w:val="left" w:pos="1440"/>
        </w:tabs>
        <w:spacing w:after="240"/>
        <w:ind w:left="1440" w:hanging="540"/>
        <w:jc w:val="both"/>
        <w:rPr>
          <w:rFonts w:ascii="Cambria" w:hAnsi="Cambria" w:cs="Calibri"/>
          <w:b/>
          <w:sz w:val="20"/>
          <w:szCs w:val="20"/>
        </w:rPr>
      </w:pPr>
      <w:r w:rsidRPr="00A01C5D">
        <w:rPr>
          <w:rFonts w:ascii="Cambria" w:hAnsi="Cambria"/>
          <w:b/>
          <w:sz w:val="20"/>
          <w:szCs w:val="20"/>
        </w:rPr>
        <w:t xml:space="preserve">Quilombola Communities of Alcântara v. Brazil </w:t>
      </w:r>
    </w:p>
    <w:p w14:paraId="71E6F7A9"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The case relates to the international responsibility of Brazil for violating the right to collective property of 152 Quilombola communities of Alcântara, due to the State’s failure to issue title deeds on their </w:t>
      </w:r>
      <w:r w:rsidRPr="006A5651">
        <w:rPr>
          <w:rFonts w:eastAsia="Calibri" w:cs="Calibri"/>
          <w:bCs/>
          <w:color w:val="000000"/>
          <w:u w:color="000000"/>
          <w:bdr w:val="nil"/>
          <w14:textOutline w14:w="0" w14:cap="flat" w14:cmpd="sng" w14:algn="ctr">
            <w14:noFill/>
            <w14:prstDash w14:val="solid"/>
            <w14:bevel/>
          </w14:textOutline>
        </w:rPr>
        <w:lastRenderedPageBreak/>
        <w:t xml:space="preserve">lands, the installation of an aerospace facility without the prior consultation and the consent required, the expropriation of their lands and territories, and the lack of judicial remedies to redress the situation. </w:t>
      </w:r>
    </w:p>
    <w:p w14:paraId="0AB1899F" w14:textId="77777777" w:rsidR="006A5651" w:rsidRPr="006A5651" w:rsidRDefault="006A5651" w:rsidP="006A5651">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44B80FCC"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The Quilombolas are traditional communities that have their own culture, ways of communication and internal rules. There are 152 Quilombola communities located in the Alcântara district, which is 22 kilometers away from the city of São Luís, the capital city of the state of Maranhão, in the northeast region of Brazil. Most inhabitants of Alcântara are indigenous and African descendants who had been enslaved since the 17th century. The communities that claim the traditional lands and territories, which cover around 85,537 hectares, form a unit. Said unit comprises a network of villages which relies on interdependence and reciprocity.</w:t>
      </w:r>
    </w:p>
    <w:p w14:paraId="135E8148" w14:textId="77777777" w:rsidR="006A5651" w:rsidRPr="006A5651" w:rsidRDefault="006A5651"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442D342" w14:textId="420CE3F4"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On September 12, 1980, by Decree No. 7,820, an area of 52,000 hectares, which covered part of the territory in which 32 Quilombola communities live, was recognized as “in the public interest.” As a result, the State of Brazil expropriated said lands and started the construction of the Alcântara Launch Center (CLA), whose goal was to develop a national space program. The Quilombola communities were resettled to seven farming villages. Before said resettlement, the State did not grant any property deeds on their lands and territories. After the installation of the CLA, the State adopted a set of measures aimed at expanding, </w:t>
      </w:r>
      <w:r w:rsidR="006A5651" w:rsidRPr="006A5651">
        <w:rPr>
          <w:rFonts w:eastAsia="Calibri" w:cs="Calibri"/>
          <w:bCs/>
          <w:color w:val="000000"/>
          <w:u w:color="000000"/>
          <w:bdr w:val="nil"/>
          <w14:textOutline w14:w="0" w14:cap="flat" w14:cmpd="sng" w14:algn="ctr">
            <w14:noFill/>
            <w14:prstDash w14:val="solid"/>
            <w14:bevel/>
          </w14:textOutline>
        </w:rPr>
        <w:t>consolidating,</w:t>
      </w:r>
      <w:r w:rsidRPr="006A5651">
        <w:rPr>
          <w:rFonts w:eastAsia="Calibri" w:cs="Calibri"/>
          <w:bCs/>
          <w:color w:val="000000"/>
          <w:u w:color="000000"/>
          <w:bdr w:val="nil"/>
          <w14:textOutline w14:w="0" w14:cap="flat" w14:cmpd="sng" w14:algn="ctr">
            <w14:noFill/>
            <w14:prstDash w14:val="solid"/>
            <w14:bevel/>
          </w14:textOutline>
        </w:rPr>
        <w:t xml:space="preserve"> and improving the center. For that purpose, several commercial agreements were signed with other States.</w:t>
      </w:r>
    </w:p>
    <w:p w14:paraId="132E1E20" w14:textId="77777777" w:rsidR="006A5651" w:rsidRPr="006A5651" w:rsidRDefault="006A5651"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2AF761F" w14:textId="46FF4730"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In its report on the merits, the Commission noted first that, as a result of the installation of the CLA in the 1980s, 32 Quilombola </w:t>
      </w:r>
      <w:r w:rsidR="006A5651" w:rsidRPr="006A5651">
        <w:rPr>
          <w:rFonts w:eastAsia="Calibri" w:cs="Calibri"/>
          <w:bCs/>
          <w:color w:val="000000"/>
          <w:u w:color="000000"/>
          <w:bdr w:val="nil"/>
          <w14:textOutline w14:w="0" w14:cap="flat" w14:cmpd="sng" w14:algn="ctr">
            <w14:noFill/>
            <w14:prstDash w14:val="solid"/>
            <w14:bevel/>
          </w14:textOutline>
        </w:rPr>
        <w:t>communities were</w:t>
      </w:r>
      <w:r w:rsidRPr="006A5651">
        <w:rPr>
          <w:rFonts w:eastAsia="Calibri" w:cs="Calibri"/>
          <w:bCs/>
          <w:color w:val="000000"/>
          <w:u w:color="000000"/>
          <w:bdr w:val="nil"/>
          <w14:textOutline w14:w="0" w14:cap="flat" w14:cmpd="sng" w14:algn="ctr">
            <w14:noFill/>
            <w14:prstDash w14:val="solid"/>
            <w14:bevel/>
          </w14:textOutline>
        </w:rPr>
        <w:t xml:space="preserve"> evicted, while the remaining communities were allegedly able to stay in their traditional lands. In view of that, in its report, the Commission analyzed the international responsibility of the State with regard to the resettled and non-resettled communities. </w:t>
      </w:r>
    </w:p>
    <w:p w14:paraId="19205BE0" w14:textId="77777777" w:rsidR="006A5651" w:rsidRPr="006A5651" w:rsidRDefault="006A5651"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05379B9"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With regard to the non-resettled communities, the Commission noted that there is no dispute around the fact that, to date, they have not yet received the collective property deeds on their traditional lands and territories, in spite of their efforts. The Commission proved that there were multiple omissions in the processing of the requests made by the communities, such as long periods of unjustified procedural inactivity. The Commission concluded that the failure to issue the deeds on the lands held by the non-resettled Quilombola communities is contrary to the obligation to recognize collective property and violates Article 68 of the transitory provisions of the 1998 National Constitution, which expressly established the State’s obligation “to grant the corresponding deeds.” In addition, the Commission held that the failure to grant said deeds has prevented the Quilombola communities from peacefully using and enjoying their lands. </w:t>
      </w:r>
    </w:p>
    <w:p w14:paraId="6369DB23" w14:textId="77777777" w:rsidR="006A5651" w:rsidRPr="006A5651" w:rsidRDefault="006A5651"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D718ECB"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With regard to the communities resettled to farming villages, the Commission observed that the State had recognized that only a portion of the CLA’s 62,000 hectares were reportedly in use for its operation. In addition, the Commission noted that the communities in question had not held any property deeds before the expropriation that took place in the 1980s. Based on the foregoing, and considering that the resettlement process did not meet the standards required by international law, the Commission noted that, in principle, the right to reclaim the ownership over the lands has not expired, at least with regard to the lands that were originally expropriated for the development of the CLA and whose return would not be impracticable. </w:t>
      </w:r>
    </w:p>
    <w:p w14:paraId="5EC78EC5" w14:textId="77777777" w:rsidR="006A5651" w:rsidRPr="006A5651" w:rsidRDefault="006A5651"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87FBA64"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In addition, the Commission analyzed the obligations of the State of Brazil with regard to the traditional lands of the Quilombola communities. First, it examined the resettlement of the communities as a result of the construction of the CLA in Alcântara, and, next, the consolidation and improvement of the CLA, from the moment of its construction to the present.</w:t>
      </w:r>
    </w:p>
    <w:p w14:paraId="783BE7D8" w14:textId="77777777" w:rsidR="006A5651" w:rsidRPr="006A5651" w:rsidRDefault="006A5651"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71E7474"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With regard to the construction of the CLA and the resettlement of 32 Quilombola communities to seven farming villages, the Commission analyzed if the violation of the right to property was proportional to the public interest of the project. The Commission concluded that the State failed to comply with its international obligations for the following reasons: i) it failed to ensure that the restrictions on the right </w:t>
      </w:r>
      <w:r w:rsidRPr="006A5651">
        <w:rPr>
          <w:rFonts w:eastAsia="Calibri" w:cs="Calibri"/>
          <w:bCs/>
          <w:color w:val="000000"/>
          <w:u w:color="000000"/>
          <w:bdr w:val="nil"/>
          <w14:textOutline w14:w="0" w14:cap="flat" w14:cmpd="sng" w14:algn="ctr">
            <w14:noFill/>
            <w14:prstDash w14:val="solid"/>
            <w14:bevel/>
          </w14:textOutline>
        </w:rPr>
        <w:lastRenderedPageBreak/>
        <w:t>to property due to the public interest respected the right to ancestral lands of the communities and that they were consulted beforehand to obtain their consent; ii) it failed to carry out adequate social and environmental assessments; iii) it gave rise to a severely deficient resettlement process, since its offering of alternative lands was inadequate; and iv) it failed to fully compensate the communities, which could have received some of the benefits of the project.</w:t>
      </w:r>
    </w:p>
    <w:p w14:paraId="12A3A1D7" w14:textId="77777777" w:rsidR="006A5651" w:rsidRPr="006A5651" w:rsidRDefault="006A5651"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6667629" w14:textId="2DDF838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With regard to the responsibility of the State after the creation of the CLA, the Commission noted that the State had adopted a set of measures aimed at expanding, consolidating and improving the CLA and signed several agreements with other States. However, the communities in question were not consulted about said measures. To determine whether the State had a duty to consult the communities, the Commission considered that it is necessary to verify if such measures could have affected their rights and interests. For that purpose, the State, with the participation of the communities, should have carried out all necessary assessments and, if applicable, it should have consulted these communities to obtain their free, </w:t>
      </w:r>
      <w:r w:rsidR="006A5651" w:rsidRPr="006A5651">
        <w:rPr>
          <w:rFonts w:eastAsia="Calibri" w:cs="Calibri"/>
          <w:bCs/>
          <w:color w:val="000000"/>
          <w:u w:color="000000"/>
          <w:bdr w:val="nil"/>
          <w14:textOutline w14:w="0" w14:cap="flat" w14:cmpd="sng" w14:algn="ctr">
            <w14:noFill/>
            <w14:prstDash w14:val="solid"/>
            <w14:bevel/>
          </w14:textOutline>
        </w:rPr>
        <w:t>prior,</w:t>
      </w:r>
      <w:r w:rsidRPr="006A5651">
        <w:rPr>
          <w:rFonts w:eastAsia="Calibri" w:cs="Calibri"/>
          <w:bCs/>
          <w:color w:val="000000"/>
          <w:u w:color="000000"/>
          <w:bdr w:val="nil"/>
          <w14:textOutline w14:w="0" w14:cap="flat" w14:cmpd="sng" w14:algn="ctr">
            <w14:noFill/>
            <w14:prstDash w14:val="solid"/>
            <w14:bevel/>
          </w14:textOutline>
        </w:rPr>
        <w:t xml:space="preserve"> and informed consent. </w:t>
      </w:r>
    </w:p>
    <w:p w14:paraId="00A67FB1" w14:textId="77777777" w:rsidR="006A5651" w:rsidRPr="006A5651" w:rsidRDefault="006A5651"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3CFCB93" w14:textId="1AFA9EE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In this regard, the Commission noted that the State has not claimed to have consulted the communities about the decree issued on August 8, 1991, under which 62,000 hectares were expropriated for the construction, </w:t>
      </w:r>
      <w:r w:rsidR="006A5651" w:rsidRPr="006A5651">
        <w:rPr>
          <w:rFonts w:eastAsia="Calibri" w:cs="Calibri"/>
          <w:bCs/>
          <w:color w:val="000000"/>
          <w:u w:color="000000"/>
          <w:bdr w:val="nil"/>
          <w14:textOutline w14:w="0" w14:cap="flat" w14:cmpd="sng" w14:algn="ctr">
            <w14:noFill/>
            <w14:prstDash w14:val="solid"/>
            <w14:bevel/>
          </w14:textOutline>
        </w:rPr>
        <w:t>expansion,</w:t>
      </w:r>
      <w:r w:rsidRPr="006A5651">
        <w:rPr>
          <w:rFonts w:eastAsia="Calibri" w:cs="Calibri"/>
          <w:bCs/>
          <w:color w:val="000000"/>
          <w:u w:color="000000"/>
          <w:bdr w:val="nil"/>
          <w14:textOutline w14:w="0" w14:cap="flat" w14:cmpd="sng" w14:algn="ctr">
            <w14:noFill/>
            <w14:prstDash w14:val="solid"/>
            <w14:bevel/>
          </w14:textOutline>
        </w:rPr>
        <w:t xml:space="preserve"> and operation of the CLA. Similarly, the State has not claimed to have carried out any assessments to identify the proportionality and the impact of said expansion on the rights of the affected Quilombola communities. The Commission also noted that the Brazilian Space Development Program would probably require an additional portion of the land traditionally held by the communities, which would create the need to resettle other communities. In this regard, the Commission considered that commercial or profit-making activities, as well as other activities (for example, space tourism), may necessarily have an impact on the use of the land and on the transformation or expansion of the CLA. For that reason, it concluded that the outcomes and their impact on the rights and interests of the communities should have been identified by working together with said communities, and not unilaterally by the State. </w:t>
      </w:r>
    </w:p>
    <w:p w14:paraId="1027B2E8" w14:textId="77777777" w:rsidR="006A5651" w:rsidRPr="006A5651" w:rsidRDefault="006A5651" w:rsidP="006A5651">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35C1A796"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The Commission noted that the agreements with other States are also subject to compliance with the international human rights obligations of the State. It added that, in the context of the activities carried out under one of the agreements, the rights and interests of the communities were affected. For that reason, an environmental and cultural impact assessment should have been conducted. In addition, the communities should have been consulted beforehand to obtain their consent. Such steps were not taken. The Commission also held that one of the agreements falls within a broader profit-making strategy, whose implementation would affect a larger part of the traditional territory and entail the resettlement of some communities.</w:t>
      </w:r>
    </w:p>
    <w:p w14:paraId="19AD04A2" w14:textId="77777777" w:rsidR="006A5651" w:rsidRPr="006A5651" w:rsidRDefault="006A5651"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146EF85" w14:textId="4E0BE929"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Furthermore, the Commission considered that the conditions, </w:t>
      </w:r>
      <w:r w:rsidR="006A5651" w:rsidRPr="006A5651">
        <w:rPr>
          <w:rFonts w:eastAsia="Calibri" w:cs="Calibri"/>
          <w:bCs/>
          <w:color w:val="000000"/>
          <w:u w:color="000000"/>
          <w:bdr w:val="nil"/>
          <w14:textOutline w14:w="0" w14:cap="flat" w14:cmpd="sng" w14:algn="ctr">
            <w14:noFill/>
            <w14:prstDash w14:val="solid"/>
            <w14:bevel/>
          </w14:textOutline>
        </w:rPr>
        <w:t>restrictions,</w:t>
      </w:r>
      <w:r w:rsidRPr="006A5651">
        <w:rPr>
          <w:rFonts w:eastAsia="Calibri" w:cs="Calibri"/>
          <w:bCs/>
          <w:color w:val="000000"/>
          <w:u w:color="000000"/>
          <w:bdr w:val="nil"/>
          <w14:textOutline w14:w="0" w14:cap="flat" w14:cmpd="sng" w14:algn="ctr">
            <w14:noFill/>
            <w14:prstDash w14:val="solid"/>
            <w14:bevel/>
          </w14:textOutline>
        </w:rPr>
        <w:t xml:space="preserve"> and prohibitions imposed by the State in the context of the resettlement of the Quilombola communities were contrary to its obligations with regard to the rights to freedom of association, to protection of the family and to freedom of movement and residence. The Commission underscored that the rights and interests of the communities continue to be affected to date.</w:t>
      </w:r>
    </w:p>
    <w:p w14:paraId="00184DEF" w14:textId="77777777" w:rsidR="006A5651" w:rsidRPr="006A5651" w:rsidRDefault="006A5651"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95FACD6" w14:textId="6872F6BF"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In addition, the Commission noted that the construction and expansion of the CLA, including the operations of the State-approved companies that were involved in these activities, has not only affected the resettled communities; all the Quilombola communities of Alcântara have suffered its impact. This is because they rely on a system for the exchange of goods and resources that enables their development and survival. In view of that, the Commission analyzed if said impact has violated the economic, social, </w:t>
      </w:r>
      <w:r w:rsidR="006A5651" w:rsidRPr="006A5651">
        <w:rPr>
          <w:rFonts w:eastAsia="Calibri" w:cs="Calibri"/>
          <w:bCs/>
          <w:color w:val="000000"/>
          <w:u w:color="000000"/>
          <w:bdr w:val="nil"/>
          <w14:textOutline w14:w="0" w14:cap="flat" w14:cmpd="sng" w14:algn="ctr">
            <w14:noFill/>
            <w14:prstDash w14:val="solid"/>
            <w14:bevel/>
          </w14:textOutline>
        </w:rPr>
        <w:t>cultural,</w:t>
      </w:r>
      <w:r w:rsidRPr="006A5651">
        <w:rPr>
          <w:rFonts w:eastAsia="Calibri" w:cs="Calibri"/>
          <w:bCs/>
          <w:color w:val="000000"/>
          <w:u w:color="000000"/>
          <w:bdr w:val="nil"/>
          <w14:textOutline w14:w="0" w14:cap="flat" w14:cmpd="sng" w14:algn="ctr">
            <w14:noFill/>
            <w14:prstDash w14:val="solid"/>
            <w14:bevel/>
          </w14:textOutline>
        </w:rPr>
        <w:t xml:space="preserve"> and environmental rights of these communities.</w:t>
      </w:r>
    </w:p>
    <w:p w14:paraId="74001CF5" w14:textId="77777777" w:rsidR="006A5651" w:rsidRPr="006A5651" w:rsidRDefault="006A5651"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67680AE" w14:textId="11CBE665"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In this regard, the Commission considered it proved that the creation and expansion of the CLA has had a serious impact on the way of life of the Quilombola communities in relation to their lands and territories. First, the Commission reiterated that, to date, the State has not granted the property deeds to the communities. Secondly, the Commission referred to the situation of the resettled communities, which have no </w:t>
      </w:r>
      <w:r w:rsidRPr="006A5651">
        <w:rPr>
          <w:rFonts w:eastAsia="Calibri" w:cs="Calibri"/>
          <w:bCs/>
          <w:color w:val="000000"/>
          <w:u w:color="000000"/>
          <w:bdr w:val="nil"/>
          <w14:textOutline w14:w="0" w14:cap="flat" w14:cmpd="sng" w14:algn="ctr">
            <w14:noFill/>
            <w14:prstDash w14:val="solid"/>
            <w14:bevel/>
          </w14:textOutline>
        </w:rPr>
        <w:lastRenderedPageBreak/>
        <w:t xml:space="preserve">access to decent housing and have faced several restrictions and prohibitions due to the shortage and poor quality of the alternative lands. The Commission noted that this has affected their agricultural practices and the production of food key to their survival. The communities have also faced restrictions on the access to certain places, including the sea, which have had an impact on other basic activities and food sources, such as hunting and fishing. Furthermore, the Commission took note of the information on the water shortage that exists in the alternative lands and on the environmental degradation caused by the construction and expansion of the CLA, which led to the felling of trees. The Commission also made emphasis on the special bond between the Quilombola communities and the land and its natural </w:t>
      </w:r>
      <w:r w:rsidR="006A5651" w:rsidRPr="006A5651">
        <w:rPr>
          <w:rFonts w:eastAsia="Calibri" w:cs="Calibri"/>
          <w:bCs/>
          <w:color w:val="000000"/>
          <w:u w:color="000000"/>
          <w:bdr w:val="nil"/>
          <w14:textOutline w14:w="0" w14:cap="flat" w14:cmpd="sng" w14:algn="ctr">
            <w14:noFill/>
            <w14:prstDash w14:val="solid"/>
            <w14:bevel/>
          </w14:textOutline>
        </w:rPr>
        <w:t>resources and</w:t>
      </w:r>
      <w:r w:rsidRPr="006A5651">
        <w:rPr>
          <w:rFonts w:eastAsia="Calibri" w:cs="Calibri"/>
          <w:bCs/>
          <w:color w:val="000000"/>
          <w:u w:color="000000"/>
          <w:bdr w:val="nil"/>
          <w14:textOutline w14:w="0" w14:cap="flat" w14:cmpd="sng" w14:algn="ctr">
            <w14:noFill/>
            <w14:prstDash w14:val="solid"/>
            <w14:bevel/>
          </w14:textOutline>
        </w:rPr>
        <w:t xml:space="preserve"> considered that the creation and subsequent expansion of the CLA in part of the territory claimed by the communities, as well as the restrictions and prohibitions imposed, has hindered their access to sacred lands and places. As a result, their traditions and their spiritual and cultural practices have been affected. </w:t>
      </w:r>
    </w:p>
    <w:p w14:paraId="11E26B2D" w14:textId="77777777" w:rsidR="009B6931" w:rsidRPr="006A5651" w:rsidRDefault="009B6931" w:rsidP="009B6931">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B3385A0" w14:textId="19346CFB"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The Commission also took note of the general context of discrimination, the lack of protection of reclaimed lands and territories, and the lack of access to justice in the complaints submitted by the communities. This situation is consistent with the information available to the Commission and to several international organizations. In this regard, the Commission considered that the human rights violations that took place in the instant case were not isolated. They were committed in a context of continuous historical neglect, systematic discrimination, </w:t>
      </w:r>
      <w:r w:rsidR="006A5651" w:rsidRPr="006A5651">
        <w:rPr>
          <w:rFonts w:eastAsia="Calibri" w:cs="Calibri"/>
          <w:bCs/>
          <w:color w:val="000000"/>
          <w:u w:color="000000"/>
          <w:bdr w:val="nil"/>
          <w14:textOutline w14:w="0" w14:cap="flat" w14:cmpd="sng" w14:algn="ctr">
            <w14:noFill/>
            <w14:prstDash w14:val="solid"/>
            <w14:bevel/>
          </w14:textOutline>
        </w:rPr>
        <w:t>indifference,</w:t>
      </w:r>
      <w:r w:rsidRPr="006A5651">
        <w:rPr>
          <w:rFonts w:eastAsia="Calibri" w:cs="Calibri"/>
          <w:bCs/>
          <w:color w:val="000000"/>
          <w:u w:color="000000"/>
          <w:bdr w:val="nil"/>
          <w14:textOutline w14:w="0" w14:cap="flat" w14:cmpd="sng" w14:algn="ctr">
            <w14:noFill/>
            <w14:prstDash w14:val="solid"/>
            <w14:bevel/>
          </w14:textOutline>
        </w:rPr>
        <w:t xml:space="preserve"> and absence of the State, which has been fully aware of the situation that has been affecting the Quilombola communities. In this regard, the Commission has highlighted that there are multiple vulnerability factors affecting the communities in relation to their African descent. Afro-descendant peoples have historically suffered exclusion and extreme poverty.</w:t>
      </w:r>
    </w:p>
    <w:p w14:paraId="0A8A6F05" w14:textId="77777777" w:rsidR="006A5651" w:rsidRPr="006A5651" w:rsidRDefault="006A5651" w:rsidP="006A5651">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329A32FA" w14:textId="7BD1D640"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In addition, the Commission took note of the petitioners’ allegations concerning the absence of effective and adequate remedies against the decision to install a facility and subsequently, the consequent decision to resettle tribal or indigenous peoples based on the “public interest.” In this regard, the Commission noted that the State has not provided any information to prove which remedies would have been effective and adequate against that decision in the 1980s. The Commission underscored that the public civil proceedings concerning the granting of property deeds to the communities has been pending resolution for almost 20 years, which constitutes an unreasonable term, and the State has not provided any information to justify said delay. The Commission also noted that the public civil proceeding and the dozens of expropriation lawsuits filed as a consequence of the creation and expansion of the CLA have not been resolved in almost 20 years either. Furthermore, the Commission noted that the resettled communities reported that the amount of compensation they had received was inadequate, or that they received no compensation at all. These compensation proceedings are still pending. The Commission concluded that this is proof of the unreasonable delay, the lack of due diligence and the lack of interest by state authorities in guaranteeing the rights of the Quilombola communities.</w:t>
      </w:r>
    </w:p>
    <w:p w14:paraId="1679B78D" w14:textId="77777777" w:rsidR="006A5651" w:rsidRPr="006A5651" w:rsidRDefault="006A5651" w:rsidP="006A5651">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0A2715E" w14:textId="56834E20"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Lastly, the Commission determined that the acts and omissions of the State with regard to the collective property of the communities and the resettlement of some of them have had a negative impact on the mental and moral integrity of their members.</w:t>
      </w:r>
    </w:p>
    <w:p w14:paraId="1E8B97B7" w14:textId="77777777" w:rsidR="006A5651" w:rsidRPr="006A5651" w:rsidRDefault="006A5651"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2E4071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Based on all the foregoing, the Commission concluded that the State is responsible for violating the rights enshrined in Articles 5 (humane treatment), 8 (fair trial), 13 (freedom of expression), 16 (freedom of association), 17 (protection of the family), 21 (property), 23 (to participate in government), 24 (equal protection), 25 (judicial protection) and 26 (economic, social and cultural rights) of the American Convention, in relation to Articles 1.1 and 2 thereof. In addition, the Commission concluded that the State is responsible for violating the rights enshrined in Articles I, II, IV, VI, VIII, XIII, XIV, XVIII, XX, XXII and XXIII of the American Declaration of the Rights and Duties of Man. </w:t>
      </w:r>
    </w:p>
    <w:p w14:paraId="3111987D" w14:textId="77777777" w:rsidR="006A5651" w:rsidRDefault="006A5651"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8BD9541" w14:textId="77777777" w:rsidR="00393C72" w:rsidRDefault="00393C72"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83F7259" w14:textId="77777777" w:rsidR="00393C72" w:rsidRDefault="00393C72"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B711972" w14:textId="77777777" w:rsidR="00393C72" w:rsidRPr="006A5651" w:rsidRDefault="00393C72" w:rsidP="006A565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3A08F7F4" w14:textId="6AEE3688" w:rsidR="006A5651" w:rsidRPr="006A5651" w:rsidRDefault="00774C1A" w:rsidP="00933F91">
      <w:pPr>
        <w:pStyle w:val="NoSpacing"/>
        <w:numPr>
          <w:ilvl w:val="0"/>
          <w:numId w:val="80"/>
        </w:numPr>
        <w:tabs>
          <w:tab w:val="left" w:pos="1440"/>
        </w:tabs>
        <w:spacing w:after="240"/>
        <w:ind w:left="1440" w:hanging="540"/>
        <w:jc w:val="both"/>
        <w:rPr>
          <w:rFonts w:ascii="Cambria" w:eastAsia="Calibri" w:hAnsi="Cambria" w:cs="Calibri"/>
          <w:b/>
          <w:color w:val="000000"/>
          <w:sz w:val="20"/>
          <w:szCs w:val="20"/>
          <w:u w:color="000000"/>
          <w:bdr w:val="nil"/>
          <w14:textOutline w14:w="0" w14:cap="flat" w14:cmpd="sng" w14:algn="ctr">
            <w14:noFill/>
            <w14:prstDash w14:val="solid"/>
            <w14:bevel/>
          </w14:textOutline>
        </w:rPr>
      </w:pPr>
      <w:r w:rsidRPr="006A5651">
        <w:rPr>
          <w:rFonts w:ascii="Cambria" w:eastAsia="Calibri" w:hAnsi="Cambria" w:cs="Calibri"/>
          <w:b/>
          <w:color w:val="000000"/>
          <w:sz w:val="20"/>
          <w:szCs w:val="20"/>
          <w:u w:color="000000"/>
          <w:bdr w:val="nil"/>
          <w14:textOutline w14:w="0" w14:cap="flat" w14:cmpd="sng" w14:algn="ctr">
            <w14:noFill/>
            <w14:prstDash w14:val="solid"/>
            <w14:bevel/>
          </w14:textOutline>
        </w:rPr>
        <w:lastRenderedPageBreak/>
        <w:t>Beatriz v. El Salvador</w:t>
      </w:r>
    </w:p>
    <w:p w14:paraId="1581CFC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This case relates to the international responsibility of the State of El Salvador for violations of the rights of Beatriz and her family caused by the absolute ban on voluntary terminations of pregnancy. This ban prevented the victim from having access to a legal and timely termination of her pregnancy in a situation where her life, health and personal integrity were all at risk and where the fetus had no chance of surviving outside her womb.</w:t>
      </w:r>
    </w:p>
    <w:p w14:paraId="5D4A1E1B" w14:textId="77777777" w:rsidR="0081619B" w:rsidRPr="006A5651" w:rsidRDefault="0081619B" w:rsidP="0081619B">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300C1FEB"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On February 18, 2013, Beatriz, a young woman living in extreme poverty in the La Noria canton, in Tierra Blanca, municipality of Jiquilisco, was told she was 11 weeks pregnant. According to a medical report, the pregnancy was high risk, since Beatriz suffered from systemic lupus erythematosus, lupus nephritis and rheumatoid arthritis. Later, the fetus was found to be anencephalic, so it could not have survived outside the womb, and doctors said the mother’s life would have been at risk if she had pursued her pregnancy.</w:t>
      </w:r>
    </w:p>
    <w:p w14:paraId="4AEC38FF" w14:textId="77777777" w:rsidR="0081619B" w:rsidRPr="006A5651" w:rsidRDefault="0081619B" w:rsidP="0081619B">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C313710"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 On April 11, 2013, the legal team representing Beatriz filed a writ of amparo to request the termination of her pregnancy in order to save her life, since it had been proven that, due to her underlying condition, Beatriz’s life would be at risk as pregnancy progressed and that the fetus was anencephalic. The Constitutional Chamber admitted the writ of amparo and issued a precautionary measure to ensure that the corresponding authorities guaranteed Beatriz’s life and – physical and mental – health by providing the necessary and (suitable) best treatment for the preservation of those rights. After receiving several reports from different entities, on May 28, 2013, the Constitutional Chamber rendered the writ of amparo inadmissible, since it essentially considered that the authorities who were being sued had not omitted to act in a way that would have put Beatriz’ rights to life and health at serious risk. Given the risks faced by Beatriz, both the Inter-American Commission and the Inter-American Court of Human Rights granted provisional and precautionary measures in her favor. On June 3, 2013, Beatriz went into labor and had to undergo a C-section. The anencephalic fetus died five hours later.</w:t>
      </w:r>
    </w:p>
    <w:p w14:paraId="599E41E1" w14:textId="77777777" w:rsidR="0081619B" w:rsidRPr="006A5651" w:rsidRDefault="0081619B" w:rsidP="0081619B">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71A3F98"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In its report on the merits, the Commission noted that there is no dispute around the fact that the State failed to provide Beatriz with a procedure to terminate her pregnancy. The Commission considered it proved that Beatriz had a serious underlying condition that put her life, health and personal integrity at risk if her pregnancy progressed, and that the fetus could not survive outside the womb because it was anencephalic. The Commission also considered it proved that, taking into consideration these two circumstances, several doctors and medical boards determined that the termination of the pregnancy was the appropriate treatment, and that Beatriz had requested said termination based on her right to personal autonomy or the free development of her personality. The Commission also proved that Beatriz had been hospitalized at the National Maternity Hospital for almost her entire pregnancy due to her health condition.</w:t>
      </w:r>
    </w:p>
    <w:p w14:paraId="18A9203B" w14:textId="77777777" w:rsidR="0081619B" w:rsidRPr="006A5651" w:rsidRDefault="0081619B" w:rsidP="0081619B">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506A1CD"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The Commission also noted that the position of the State in the inter-American proceedings before the Commission was based on the fact that, in its legislation, “every human being is recognized as a human person from the moment of their conception.” For that reason, abortion is a crime defined in its current Criminal Code, which does not accept any exceptions. According to the Commission, the nature of this regulatory framework and the delays on the proceedings initiated by Beatriz to access the termination of her pregnancy caused it to progress significantly. Apart from the permanent risks to health, life and personal integrity faced by Beatriz due to the lack of access to a timely termination of her pregnancy, her mental health and psychological integrity were also severely affected, since she was forced to continue with a nonviable pregnancy and to face the birth of a fetus in such conditions and its almost immediate expected death. </w:t>
      </w:r>
    </w:p>
    <w:p w14:paraId="44E0EE08" w14:textId="77777777" w:rsidR="0081619B" w:rsidRPr="006A5651" w:rsidRDefault="0081619B" w:rsidP="0081619B">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A7A31C8"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In its report on the merits, the Commission analyzed whether the State’s exercise of its punitive power by placing an absolute ban on the voluntary termination of pregnancy is consistent with the protection framework of international human rights law and the existent conventional safeguards in relation to Beatriz’ human rights, especially the right to life, to personal integrity, to privacy and to health. For that purpose, the Commission conducted a proportionality review, in which it evaluated: i) the existence of a </w:t>
      </w:r>
      <w:r w:rsidRPr="006A5651">
        <w:rPr>
          <w:rFonts w:eastAsia="Calibri" w:cs="Calibri"/>
          <w:bCs/>
          <w:color w:val="000000"/>
          <w:u w:color="000000"/>
          <w:bdr w:val="nil"/>
          <w14:textOutline w14:w="0" w14:cap="flat" w14:cmpd="sng" w14:algn="ctr">
            <w14:noFill/>
            <w14:prstDash w14:val="solid"/>
            <w14:bevel/>
          </w14:textOutline>
        </w:rPr>
        <w:lastRenderedPageBreak/>
        <w:t xml:space="preserve">legitimate purpose; ii) the suitability or end-means consistency between the measure and the purpose; iii) the need for or absence of less harmful, equally suitable means; and iv) proportionality in a strict sense, that is, the balance of interests at stake and the degree of sacrifice of one interest to the other. </w:t>
      </w:r>
    </w:p>
    <w:p w14:paraId="7DC062C5" w14:textId="77777777" w:rsidR="0081619B" w:rsidRPr="006A5651" w:rsidRDefault="0081619B" w:rsidP="0081619B">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CD48651" w14:textId="73960C20"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With regard to the first item, the Commission considered that the protection of life since its conception is a legitimate aim. With regard to the suitability of the measure, the Commission indicated that, in the instant case, there was a combination of two special circumstances. On the one hand, the diagnosis stating the lack of viability of the fetus and, on the other, Beatriz’ underlying condition, which posed a high risk to her health, </w:t>
      </w:r>
      <w:r w:rsidR="008D4596" w:rsidRPr="006A5651">
        <w:rPr>
          <w:rFonts w:eastAsia="Calibri" w:cs="Calibri"/>
          <w:bCs/>
          <w:color w:val="000000"/>
          <w:u w:color="000000"/>
          <w:bdr w:val="nil"/>
          <w14:textOutline w14:w="0" w14:cap="flat" w14:cmpd="sng" w14:algn="ctr">
            <w14:noFill/>
            <w14:prstDash w14:val="solid"/>
            <w14:bevel/>
          </w14:textOutline>
        </w:rPr>
        <w:t>life,</w:t>
      </w:r>
      <w:r w:rsidRPr="006A5651">
        <w:rPr>
          <w:rFonts w:eastAsia="Calibri" w:cs="Calibri"/>
          <w:bCs/>
          <w:color w:val="000000"/>
          <w:u w:color="000000"/>
          <w:bdr w:val="nil"/>
          <w14:textOutline w14:w="0" w14:cap="flat" w14:cmpd="sng" w14:algn="ctr">
            <w14:noFill/>
            <w14:prstDash w14:val="solid"/>
            <w14:bevel/>
          </w14:textOutline>
        </w:rPr>
        <w:t xml:space="preserve"> and personal integrity if pregnancy progressed. The Commission considered that criminalizing the termination of pregnancy even when the fetus would not survive outside the womb fails to meet the suitability criterion. The Commission noted that the lack of viability of the fetus breaks any relationship between the criminalization as a means and the purpose it is said to pursue since it is impossible to protect the life of the fetus as intended. The Commission concluded that this factor is sufficient to establish the unconventionality of the State’s justification in cases of fetal non-viability and, as a result, it is unnecessary to move forward with the analysis of the other elements of the proportionality review. </w:t>
      </w:r>
    </w:p>
    <w:p w14:paraId="654F5BD4" w14:textId="77777777" w:rsidR="0081619B" w:rsidRPr="006A5651" w:rsidRDefault="0081619B" w:rsidP="0081619B">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031C84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Notwithstanding the foregoing, the Commission considered it relevant to pronounce itself on proportionality in the strict sense by examining the relationship between the impact on the restricted right and the benefits of the measure in terms of the achievement of the end pursued. The Commission concluded that the violations of and the risks to the rights to life, health, personal integrity and privacy – which arise from the lack of access to the voluntary termination of pregnancy and, consequently, from the absolute criminalization of abortion – reached the highest level of severity. In contrast, the degree of achievement of the end pursued, that is, the protection of the life of the fetus, was null since the fetus was anencephalic. The Commission considered that, in the instant case, even if the fetus had not been anencephalic, the protection of life since its conception, due to its gradual and incremental nature, could not have had equal weight in the analysis when a risk to life or a high risk to the health or personal integrity of the mother existed.  </w:t>
      </w:r>
    </w:p>
    <w:p w14:paraId="212372EC" w14:textId="77777777" w:rsidR="0081619B" w:rsidRPr="006A5651" w:rsidRDefault="0081619B" w:rsidP="0081619B">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0DC8F53" w14:textId="461331BB"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The Commission also noted that punishing abortion, and particularly banning it under all circumstances and without exception, may encourage women to resort to illegal, unsafe abortions that put their physical and mental health, and even their lives, at risk. This is especially true for women living in poverty and situations of vulnerability. In this regard, the Commission concluded that the State, in its attempt to fully protect the nasciturus, adopted disproportionate measures and failed to comply with conventional guarantees, which, in the instant case, constituted violations of the rights to life, personal integrity, privacy and health, both physical and mental. Furthermore, the Commission considered that the pain and suffering endured by Beatriz since the request to terminate her pregnancy and until the birth and death of the fetus constituted cruel, </w:t>
      </w:r>
      <w:r w:rsidR="001503AF" w:rsidRPr="006A5651">
        <w:rPr>
          <w:rFonts w:eastAsia="Calibri" w:cs="Calibri"/>
          <w:bCs/>
          <w:color w:val="000000"/>
          <w:u w:color="000000"/>
          <w:bdr w:val="nil"/>
          <w14:textOutline w14:w="0" w14:cap="flat" w14:cmpd="sng" w14:algn="ctr">
            <w14:noFill/>
            <w14:prstDash w14:val="solid"/>
            <w14:bevel/>
          </w14:textOutline>
        </w:rPr>
        <w:t>inhumane,</w:t>
      </w:r>
      <w:r w:rsidRPr="006A5651">
        <w:rPr>
          <w:rFonts w:eastAsia="Calibri" w:cs="Calibri"/>
          <w:bCs/>
          <w:color w:val="000000"/>
          <w:u w:color="000000"/>
          <w:bdr w:val="nil"/>
          <w14:textOutline w14:w="0" w14:cap="flat" w14:cmpd="sng" w14:algn="ctr">
            <w14:noFill/>
            <w14:prstDash w14:val="solid"/>
            <w14:bevel/>
          </w14:textOutline>
        </w:rPr>
        <w:t xml:space="preserve"> and degrading treatment. </w:t>
      </w:r>
    </w:p>
    <w:p w14:paraId="0A74FDC2" w14:textId="77777777" w:rsidR="0081619B" w:rsidRPr="006A5651" w:rsidRDefault="0081619B" w:rsidP="0081619B">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8734CF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In its report on the merits, the Commission also noted that the old Criminal Code of El Salvador included a provision that excluded “therapeutic, eugenic and ethical” abortions from criminal liability. However, said provision was deleted when the current Criminal Code in force was approved. The Commission therefore considered that the State failed to comply with its obligation to refrain from adopting regressive measures by creating a legal barrier to a healthcare service that was once available in El Salvador under certain circumstances.</w:t>
      </w:r>
    </w:p>
    <w:p w14:paraId="4B616253" w14:textId="77777777" w:rsidR="001503AF" w:rsidRPr="006A5651" w:rsidRDefault="001503AF" w:rsidP="001503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A5BF266"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In addition to determining that the absolute criminalization of abortion was disproportionate, the Commission established that the criminal legislation on abortion is neither clear nor precise, which creates uncertainty for healthcare professionals about what they can legally do and not do, which in turn affects access to reproductive health services. Based on the foregoing, the Commission considered that the definition of the offense of abortion in the Criminal Code of El Salvador violates the principle of legality.</w:t>
      </w:r>
    </w:p>
    <w:p w14:paraId="48C8E362" w14:textId="77777777" w:rsidR="001503AF" w:rsidRPr="006A5651" w:rsidRDefault="001503AF" w:rsidP="001503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46F1105" w14:textId="67941BED"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6A5651">
        <w:rPr>
          <w:rFonts w:eastAsia="Calibri" w:cs="Calibri"/>
          <w:bCs/>
          <w:color w:val="000000"/>
          <w:u w:color="000000"/>
          <w:bdr w:val="nil"/>
          <w14:textOutline w14:w="0" w14:cap="flat" w14:cmpd="sng" w14:algn="ctr">
            <w14:noFill/>
            <w14:prstDash w14:val="solid"/>
            <w14:bevel/>
          </w14:textOutline>
        </w:rPr>
        <w:t xml:space="preserve">Furthermore, the Commission noted that the proceedings and the decision of the Constitutional Chamber were neither suitable nor effective in redressing the violations of Beatriz’ rights to life, </w:t>
      </w:r>
      <w:r w:rsidRPr="006A5651">
        <w:rPr>
          <w:rFonts w:eastAsia="Calibri" w:cs="Calibri"/>
          <w:bCs/>
          <w:color w:val="000000"/>
          <w:u w:color="000000"/>
          <w:bdr w:val="nil"/>
          <w14:textOutline w14:w="0" w14:cap="flat" w14:cmpd="sng" w14:algn="ctr">
            <w14:noFill/>
            <w14:prstDash w14:val="solid"/>
            <w14:bevel/>
          </w14:textOutline>
        </w:rPr>
        <w:lastRenderedPageBreak/>
        <w:t xml:space="preserve">health, personal </w:t>
      </w:r>
      <w:r w:rsidR="001503AF" w:rsidRPr="006A5651">
        <w:rPr>
          <w:rFonts w:eastAsia="Calibri" w:cs="Calibri"/>
          <w:bCs/>
          <w:color w:val="000000"/>
          <w:u w:color="000000"/>
          <w:bdr w:val="nil"/>
          <w14:textOutline w14:w="0" w14:cap="flat" w14:cmpd="sng" w14:algn="ctr">
            <w14:noFill/>
            <w14:prstDash w14:val="solid"/>
            <w14:bevel/>
          </w14:textOutline>
        </w:rPr>
        <w:t>integrity,</w:t>
      </w:r>
      <w:r w:rsidRPr="006A5651">
        <w:rPr>
          <w:rFonts w:eastAsia="Calibri" w:cs="Calibri"/>
          <w:bCs/>
          <w:color w:val="000000"/>
          <w:u w:color="000000"/>
          <w:bdr w:val="nil"/>
          <w14:textOutline w14:w="0" w14:cap="flat" w14:cmpd="sng" w14:algn="ctr">
            <w14:noFill/>
            <w14:prstDash w14:val="solid"/>
            <w14:bevel/>
          </w14:textOutline>
        </w:rPr>
        <w:t xml:space="preserve"> and privacy. In addition, the Constitutional Chamber did not adopt a gender perspective and took into consideration reports drafted by an institution that made stereotyped and revictimizing statements against the victim. The Commission also concluded that the State violated the right to have a judgment issued within a reasonable term in the context of the writ of amparo.</w:t>
      </w:r>
    </w:p>
    <w:p w14:paraId="7A13817E" w14:textId="77777777" w:rsidR="001503AF" w:rsidRPr="006A5651" w:rsidRDefault="001503AF" w:rsidP="001503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3EC97C1" w14:textId="0E0A5477" w:rsidR="00774C1A" w:rsidRPr="001503AF" w:rsidRDefault="00774C1A" w:rsidP="00933F91">
      <w:pPr>
        <w:pStyle w:val="BodyText"/>
        <w:widowControl/>
        <w:numPr>
          <w:ilvl w:val="0"/>
          <w:numId w:val="58"/>
        </w:numPr>
        <w:ind w:left="0" w:firstLine="720"/>
        <w:jc w:val="both"/>
      </w:pPr>
      <w:r w:rsidRPr="006A5651">
        <w:rPr>
          <w:rFonts w:eastAsia="Calibri" w:cs="Calibri"/>
          <w:bCs/>
          <w:color w:val="000000"/>
          <w:u w:color="000000"/>
          <w:bdr w:val="nil"/>
          <w14:textOutline w14:w="0" w14:cap="flat" w14:cmpd="sng" w14:algn="ctr">
            <w14:noFill/>
            <w14:prstDash w14:val="solid"/>
            <w14:bevel/>
          </w14:textOutline>
        </w:rPr>
        <w:t xml:space="preserve">Lastly, the Commission noted that, in the instant case, several factors of vulnerability and risks of discrimination associated with Beatriz’ gender and young age, as well as her low socio-economic status, were present and had an intersectional impact. The Commission considered that, due to the criminal laws, </w:t>
      </w:r>
      <w:r w:rsidR="001503AF" w:rsidRPr="006A5651">
        <w:rPr>
          <w:rFonts w:eastAsia="Calibri" w:cs="Calibri"/>
          <w:bCs/>
          <w:color w:val="000000"/>
          <w:u w:color="000000"/>
          <w:bdr w:val="nil"/>
          <w14:textOutline w14:w="0" w14:cap="flat" w14:cmpd="sng" w14:algn="ctr">
            <w14:noFill/>
            <w14:prstDash w14:val="solid"/>
            <w14:bevel/>
          </w14:textOutline>
        </w:rPr>
        <w:t>policies,</w:t>
      </w:r>
      <w:r w:rsidRPr="006A5651">
        <w:rPr>
          <w:rFonts w:eastAsia="Calibri" w:cs="Calibri"/>
          <w:bCs/>
          <w:color w:val="000000"/>
          <w:u w:color="000000"/>
          <w:bdr w:val="nil"/>
          <w14:textOutline w14:w="0" w14:cap="flat" w14:cmpd="sng" w14:algn="ctr">
            <w14:noFill/>
            <w14:prstDash w14:val="solid"/>
            <w14:bevel/>
          </w14:textOutline>
        </w:rPr>
        <w:t xml:space="preserve"> and practices in force in El Salvador, as well as the omissions by the authorities, Beatriz suffered discrimination and violence based on her gender and socio-economic status. It also found that the State was responsible for violating the right to personal integrity to the detriment of Beatriz’ next of kin. Beatriz died on October 8, 2017.</w:t>
      </w:r>
    </w:p>
    <w:p w14:paraId="529A4A61" w14:textId="77777777" w:rsidR="001503AF" w:rsidRPr="00A01C5D" w:rsidRDefault="001503AF" w:rsidP="001503AF">
      <w:pPr>
        <w:pStyle w:val="BodyText"/>
        <w:widowControl/>
        <w:ind w:left="0"/>
        <w:jc w:val="both"/>
      </w:pPr>
    </w:p>
    <w:p w14:paraId="26867DAA" w14:textId="77777777" w:rsidR="00774C1A" w:rsidRPr="008D4596"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8D4596">
        <w:rPr>
          <w:rFonts w:ascii="Cambria" w:hAnsi="Cambria"/>
          <w:b/>
          <w:color w:val="000000"/>
          <w:sz w:val="20"/>
          <w:szCs w:val="20"/>
        </w:rPr>
        <w:t>Arnaldo Javier Córdoba and D. v. Paraguay</w:t>
      </w:r>
    </w:p>
    <w:p w14:paraId="108F9F3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This case relates to the international responsibility of the State of Paraguay for the violation of the rights to humane treatment and to a fair trial, the right to a family and the best interest of the child, in the context of an international return process, to the detriment of Arnaldo Javier Córdoba and D.</w:t>
      </w:r>
    </w:p>
    <w:p w14:paraId="65D86A1C" w14:textId="77777777" w:rsidR="008D4596" w:rsidRPr="008D4596" w:rsidRDefault="008D4596" w:rsidP="008D4596">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70DC3DF2"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Mr. Córdoba, an Argentine national, married M.R.G.A, a Paraguayan national. They had a son, D., on February 26, 2004, in Argentina. D. was diagnosed with epilepsy when he was 10 months old and required neurosurgical care. On January 21, 2006, M.R.G.A. took D. from their family home in Argentina to Paraguay without his father’s consent. On January 25, 2006, Mr. Córdoba filed a request for international return with the Department of International Legal Assistance at Argentina’s Ministry of Foreign Affairs and Worship.</w:t>
      </w:r>
    </w:p>
    <w:p w14:paraId="50050348" w14:textId="77777777" w:rsidR="008D4596" w:rsidRPr="008D4596" w:rsidRDefault="008D4596" w:rsidP="008D4596">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C4170DD"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On February 26, 2006, the Ministry of Foreign Affairs and Worship of Argentina filed a request for the international return of D. with the National Secretariat for Children and Adolescents, which serves as the Central Authority of Paraguay. On June 26, 2006, the First Duty First-Instance Juvenile Court issued a final judgment granting/ admitting the request for the international return of D . On August 14, 2006, the Juvenile Appeals Court confirmed the first instance decision in its entirety, since it considered that it was proven that the child had been illegally taken to Paraguay, pursuant to Law No. 828/96. Later, on September 18, 2006, the Supreme Court of Paraguay confirmed the resolution accepting the request for return.</w:t>
      </w:r>
    </w:p>
    <w:p w14:paraId="1F51C2B2" w14:textId="77777777" w:rsidR="008D4596" w:rsidRPr="008D4596" w:rsidRDefault="008D4596" w:rsidP="008D4596">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593A32F"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After said Court’s resolution, a return hearing was scheduled for September 28, 2006, for D. to be presented before the judges by his mother and for his return to become effective. After the hearing was called, M.R.G.A disappeared with D. and, despite the searches conducted and the steps taken by INTERPOL, the authorities were not able to find him until 2015. After D. had been found, a precautionary measure was issued to grant guardianship to the child’s maternal aunt and, on July 8, 2015, the Juvenile Court of Caacupé issued a precautionary measure ordering the progressive restoration of ties between Mr. Córdoba and D., as well as between the father’s family and D., and for the child to receive psychological treatment.</w:t>
      </w:r>
    </w:p>
    <w:p w14:paraId="57B9C5B6" w14:textId="77777777" w:rsidR="00B37230" w:rsidRPr="008D4596" w:rsidRDefault="00B37230" w:rsidP="00B3723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BE7EDD6"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 xml:space="preserve">The courts adopted several monitoring measures and carried out psychological examinations initially aimed at fostering the relationship between father and son. To decide on the feasibility of the return, a board of psychologists was assembled. On March 31, 2017, a new precautionary measure indicating that D. should remain in Paraguay was granted. The issue was finally heard by the Supreme Court in May 2019. </w:t>
      </w:r>
    </w:p>
    <w:p w14:paraId="0371F14C" w14:textId="77777777" w:rsidR="00B37230" w:rsidRPr="008D4596" w:rsidRDefault="00B37230" w:rsidP="00B3723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B9BE13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 xml:space="preserve">In its report on the merits, the Commission first analyzed whether the State complied with its obligation of exceptional diligence and whether it adopted with the required promptness all the necessary measures to execute the resolution that provided for the return of D. The Commission noted that nine years had elapsed since the return had been ordered until the authorities were able to find the child, and no immediate special measures of child protection were adopted, which could have prevented his disappearance. The Commission noted that the State did not provide detailed information on any reasonably required steps </w:t>
      </w:r>
      <w:r w:rsidRPr="008D4596">
        <w:rPr>
          <w:rFonts w:eastAsia="Calibri" w:cs="Calibri"/>
          <w:bCs/>
          <w:color w:val="000000"/>
          <w:u w:color="000000"/>
          <w:bdr w:val="nil"/>
          <w14:textOutline w14:w="0" w14:cap="flat" w14:cmpd="sng" w14:algn="ctr">
            <w14:noFill/>
            <w14:prstDash w14:val="solid"/>
            <w14:bevel/>
          </w14:textOutline>
        </w:rPr>
        <w:lastRenderedPageBreak/>
        <w:t xml:space="preserve">being taken to execute the return resolution during D.’s disappearance. In addition, there are periods of time in which it is uncertain whether the State took any steps to ascertain the whereabouts of the child. Furthermore, according to the Commission, it is not clear whether the State, after the return order, promptly adopted measures aimed at protecting the child from any other dangers, including the risk of being hidden, as it happened in the instant case. </w:t>
      </w:r>
    </w:p>
    <w:p w14:paraId="2DB07B26" w14:textId="77777777" w:rsidR="00B37230" w:rsidRPr="008D4596" w:rsidRDefault="00B37230" w:rsidP="00B3723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61BD6D9"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The Commission noted that, once D. had been found, the authorities needed to carry out an assessment on the impact that the return process could have on the child’s rights considering the passage of time. The Commission held that the authorities are under the obligation to adopt measures aimed at facilitating the reunion and, in particular, with regard to the restoration of ties, they must promptly implement a visitation regime in accordance with the child’s best interest during the return process. The Commission noted that, once the whereabouts of D. had been found, temporary custody was awarded to D.’s maternal aunt. However, no detailed information was received on any steps being taken towards said measure. Furthermore, the Commission considered that, while monitoring measures, among others, were adopted and a board of psychologists was assembled, other steps should have been taken to promote the restoration of the ties between D. and his father, so as to verify a possible return. The Commission noted that the number of reunions between father and son was reduced, and there is no record that shows that all of them took place. In addition, there is no record that the State provided tools to the father or adopted measures to facilitate the progressive restoration of ties, considering that they lived in different countries. The Commission held that the State should have ensured that certain measures were in place. For example, preparation meetings should have been held beforehand between D. and his father, regular and constant psychological support should have been provided to D., together with an environment of trust that would have enabled effective interaction. In view of the foregoing, the Commission concluded that the State did not take all the necessary steps to develop an interaction plan that would contribute to the execution of the judgment ordering the international return. The Commission also noted that, in said context, the precautionary measure allowing D. to remain in Paraguay had been granted.</w:t>
      </w:r>
    </w:p>
    <w:p w14:paraId="57996D97" w14:textId="77777777" w:rsidR="00B37230" w:rsidRPr="008D4596" w:rsidRDefault="00B37230" w:rsidP="00B37230">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750DEA7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Regarding the decision for D. to stay in Paraguay, the Commission examined whether the court that issued the precautionary measure conducted a comprehensive analysis of the impact that the return of D. would have. The Commission noted that the decision was based on a psychological report, D.’s opinion, the time he had spent in Paraguay and his sense of belonging, as well as the failure of the interaction with his father. It also noted, however, that no evidence was found of an analysis of the effects that this decision would have on the father’s rights, nor the reasons why it was better for D. to be under the custody of an aunt, and not his mother. Furthermore, the Commission noted that, since precautionary measure judgments are not final, D.’s current legal situation is worrisome, since there is no definitive sentence containing a comprehensive analysis of his situation and that of his parents to support the custody decision, even when an unreasonable period of more than a decade has elapsed since his abduction and considering that D. is now a teenager who is about to become an adult. The Commission also noted that, to date, no steps have been taken to establish an effective interaction between D. and his father.</w:t>
      </w:r>
    </w:p>
    <w:p w14:paraId="1CF66FBE" w14:textId="77777777" w:rsidR="00B37230" w:rsidRPr="008D4596" w:rsidRDefault="00B37230" w:rsidP="00B3723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31E8DACE"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In view of the foregoing, the Commission concluded that the State did not act with the diligence or celerity required to guarantee the rights of D. and his father. In addition, it constituted a failure to provide judicial protection for their right not to suffer arbitrary interference with their family life, in accordance with the best interest of D. Furthermore, due to the unreasonable duration of the proceedings, the right to identity of D. was also violated since he had been raised without any ties to his father.</w:t>
      </w:r>
    </w:p>
    <w:p w14:paraId="1454FFF1" w14:textId="77777777" w:rsidR="00B37230" w:rsidRPr="008D4596" w:rsidRDefault="00B37230" w:rsidP="00B3723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D1EE92D"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 xml:space="preserve">Furthermore, based on the concept of family as defined in the standards established by the inter-American system, the Commission took note of the impact that the facts denounced had not only on D., but also on his family, in this case, his father. In particular, the Commission considered that the omissions and delays attributed to the State of Paraguay caused permanent anguish and alienation, given the lack of protection against the abduction of D. </w:t>
      </w:r>
    </w:p>
    <w:p w14:paraId="56FF3F9B" w14:textId="77777777" w:rsidR="00B37230" w:rsidRPr="008D4596" w:rsidRDefault="00B37230" w:rsidP="00B3723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35E4431B"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lastRenderedPageBreak/>
        <w:t xml:space="preserve">In view of the foregoing, the Commission concluded that the State of Paraguay is responsible for violating the rights to humane treatment, to a fair trial, to privacy, to protection of the family, the rights of the child and to judicial protection, enshrined in Articles 5, 8, 11, 17, 19 and 25 of the American Convention on Human Rights, in relation to the obligations set forth in Articles 1.1 and 2 thereof, to the detriment of D. and Arnaldo Javier Córdoba. </w:t>
      </w:r>
    </w:p>
    <w:p w14:paraId="574D5E88" w14:textId="77777777" w:rsidR="006567F1" w:rsidRPr="008D4596" w:rsidRDefault="006567F1" w:rsidP="0095146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5BFB4EC" w14:textId="0C57659F" w:rsidR="00774C1A" w:rsidRPr="00951460"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951460">
        <w:rPr>
          <w:rFonts w:ascii="Cambria" w:hAnsi="Cambria"/>
          <w:b/>
          <w:color w:val="000000"/>
          <w:sz w:val="20"/>
          <w:szCs w:val="20"/>
        </w:rPr>
        <w:t>Miguel Ángel Aguirre Magaña v. El Salvador</w:t>
      </w:r>
    </w:p>
    <w:p w14:paraId="668CAD8E"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This case relates to the international responsibility of the State of El Salvador for the lack of due diligence in the criminal investigation of the serious injuries suffered by Miguel Ángel Aguirre Magaña, which caused him a disability.</w:t>
      </w:r>
    </w:p>
    <w:p w14:paraId="45BF66D5" w14:textId="77777777" w:rsidR="00951460" w:rsidRPr="008D4596" w:rsidRDefault="00951460" w:rsidP="0095146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3DEB0909"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 xml:space="preserve">On November 13, 1993, Mr. Aguirre, a judicial officer at the time, was traveling in a vehicle with the Justice of the Peace of Villa de Apaneca and the court clerk to conduct judicial proceedings in Villa Concepción de Ataco. While they were on their way, an explosive device went off inside the vehicle. According to Mr. Aguirre’s testimony, following the explosion, the judge got out of the vehicle with a shotgun and said, “they were the victims of a murder attempt.” The other person went running to report to the police. Mr. Aguirre said he was helped by an individual who was on the road. As a result of the explosion, he suffered serious injuries to his right leg, which was later amputated; multiple serious injuries to his left leg and right arm; loss of hearing in his right ear; and injuries to his left ear. </w:t>
      </w:r>
    </w:p>
    <w:p w14:paraId="72529ED1" w14:textId="77777777" w:rsidR="00951460" w:rsidRPr="008D4596" w:rsidRDefault="00951460" w:rsidP="0095146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CC6800C"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Mr. Aguirre reported to the judicial authorities that the explosion was the result of a grenade that the judge had in his possession. On May 19, 2004, the Trial Court of Atiquizaya issued a provisional ruling dismissing the case and, on July 20, 2004, the Chamber of the Third Western District denied an appeal filed by the Office of the Public Prosecutor and upheld the dismissal of the case.</w:t>
      </w:r>
    </w:p>
    <w:p w14:paraId="0311EE2C" w14:textId="77777777" w:rsidR="00951460" w:rsidRPr="008D4596" w:rsidRDefault="00951460" w:rsidP="0095146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62B4E22" w14:textId="7276DFDD"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In its report on the merits, the Commission took note of a series of elements indicating omissions and irregularities in the criminal investigation and the clarification of the facts. First, the Commission underscored that the judicial authority initially in charge of the proceedings limited itself to conducting visual inspections, concluding that the explosion in the vehicle was the result of an M-67 grenade and that “it exploded from the inside out.” It also indicated that the vehicle was almost entirely destroyed; however, it noted that the owner of the vehicle had a shotgun and shotgun shells in his vehicle. This authority did not request any additional investigative steps or ask for the statements of the three individuals who were traveling on the vehicle when the facts took place. Second, the Commission highlighted that none of the four witnesses to the facts were summoned to testify.</w:t>
      </w:r>
    </w:p>
    <w:p w14:paraId="53ABE86B" w14:textId="77777777" w:rsidR="00951460" w:rsidRPr="008D4596" w:rsidRDefault="00951460" w:rsidP="0095146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6615F45"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Furthermore, the Commission underscored that, between 1993 and 2001, the proceedings were transferred to at least five different judicial authorities as a result of multiple requests for recusal. These requests were because of an alleged connection between the judicial authorities and the defendant. The Commission observed that, according to the documentation presented, there was no procedural activity during this period of time, despite the petitioners’ efforts to drive the proceedings forward. The Office of the Public Prosecutor’s request for the pretrial detention of those accused was also rejected.</w:t>
      </w:r>
    </w:p>
    <w:p w14:paraId="19103C09" w14:textId="77777777" w:rsidR="00951460" w:rsidRPr="008D4596" w:rsidRDefault="00951460" w:rsidP="0095146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090A9A5"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 xml:space="preserve">In addition, the Commission noted that, in 2001, eight years after the facts had taken place, the judge in charge of the proceedings conducted a new inspection of the scene of the facts, without requesting any additional investigative steps. The judge also requested for the first time for the accused individual to give a statement, but this order was never executed. The Commission noted that, between 2001 and 2003, the case was not appointed to any judicial authority, and was therefore at a standstill. Likewise, the new judge that was appointed to the case also requested to recuse himself – a request that was not granted – and took no steps to drive the case forward. </w:t>
      </w:r>
    </w:p>
    <w:p w14:paraId="593D6966" w14:textId="77777777" w:rsidR="00951460" w:rsidRPr="008D4596" w:rsidRDefault="00951460" w:rsidP="0095146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8C8CEAC"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lastRenderedPageBreak/>
        <w:t xml:space="preserve">The Commission underscored that, during the 11 years the proceedings lasted, four inspections of the scene of the facts were carried out, with no additional investigative steps taken. Furthermore, statements were never taken from the accuser, the defendant or any of the four witnesses to the facts. The Commission also noted the long periods of procedural inactivity, multiple transfers of the investigation to different judicial authorities and requests from judges to recuse themselves from hearing the case. The Commission concluded that these elements reflect a lack of due diligence in investigating, clarifying resolving the facts and punishing those responsible. The Commission underscored that it is precisely this lack of due diligence that led to the dismissal of the charges against the accused and, consequently, a situation of impunity. </w:t>
      </w:r>
    </w:p>
    <w:p w14:paraId="3664C9EC" w14:textId="77777777" w:rsidR="00951460" w:rsidRPr="008D4596" w:rsidRDefault="00951460" w:rsidP="0095146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AAD6B02"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 xml:space="preserve">Finally, recalling the elements for determining the reasonableness of the time period of the proceedings, the Commission highlighted that there are no elements of complexity in the investigation or factors that may suggest that the victim hampered the investigation through his conduct or any kind of activity. With regard to the actions of judicial authorities, the Commission underscored the various transfers of the case, as well as the long periods of procedural inactivity. Regarding the impact on the juridical situation of Mr. Aguirre, the Commission recalled that his disability required the investigations and criminal proceedings to be carried out with greater diligence, so that they were resolved quickly. In view of the criteria analyzed, the Commission considered that it was unreasonable that the criminal proceedings extended for 11 years. </w:t>
      </w:r>
    </w:p>
    <w:p w14:paraId="728B686C" w14:textId="77777777" w:rsidR="00E61941" w:rsidRPr="008D4596" w:rsidRDefault="00E61941" w:rsidP="00E6194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9EF1ED1"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In view of the foregoing, the Commission concluded that the State of El Salvador is responsible for violating the rights to a fair trial and to judicial protection enshrined in Articles 8.1 and 25.1 of the American Convention, in relation to the obligations set forth in Article 1.1 thereof, to the detriment of Miguel Ángel Aguirre Magaña.</w:t>
      </w:r>
    </w:p>
    <w:p w14:paraId="1F06DFC0" w14:textId="77777777" w:rsidR="00E61941" w:rsidRPr="008D4596" w:rsidRDefault="00E61941" w:rsidP="00E6194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68251A2" w14:textId="7261CCF9" w:rsidR="00E61941" w:rsidRPr="00E61941"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E61941">
        <w:rPr>
          <w:rFonts w:ascii="Cambria" w:hAnsi="Cambria"/>
          <w:b/>
          <w:color w:val="000000"/>
          <w:sz w:val="20"/>
          <w:szCs w:val="20"/>
        </w:rPr>
        <w:t>Antonio González Méndez v. Mexico</w:t>
      </w:r>
    </w:p>
    <w:p w14:paraId="007C5DE1" w14:textId="4190E521"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 xml:space="preserve">The case relates to the failure to investigate, </w:t>
      </w:r>
      <w:r w:rsidR="00950B9E" w:rsidRPr="008D4596">
        <w:rPr>
          <w:rFonts w:eastAsia="Calibri" w:cs="Calibri"/>
          <w:bCs/>
          <w:color w:val="000000"/>
          <w:u w:color="000000"/>
          <w:bdr w:val="nil"/>
          <w14:textOutline w14:w="0" w14:cap="flat" w14:cmpd="sng" w14:algn="ctr">
            <w14:noFill/>
            <w14:prstDash w14:val="solid"/>
            <w14:bevel/>
          </w14:textOutline>
        </w:rPr>
        <w:t>judge,</w:t>
      </w:r>
      <w:r w:rsidRPr="008D4596">
        <w:rPr>
          <w:rFonts w:eastAsia="Calibri" w:cs="Calibri"/>
          <w:bCs/>
          <w:color w:val="000000"/>
          <w:u w:color="000000"/>
          <w:bdr w:val="nil"/>
          <w14:textOutline w14:w="0" w14:cap="flat" w14:cmpd="sng" w14:algn="ctr">
            <w14:noFill/>
            <w14:prstDash w14:val="solid"/>
            <w14:bevel/>
          </w14:textOutline>
        </w:rPr>
        <w:t xml:space="preserve"> and punish those responsible for the disappearance of Antonio González Méndez, which took place in a context of violence in northern state of Chiapas, Mexico, where paramilitary groups, including Paz y Justicia, operated with the support, tolerance and acquiescence of the State, and committed acts of violence, such as executions and disappearances. Such acts of violence targeted the indigenous population that supported the Zapatista National Liberation Army (EZLN) and political opponents, who had a significant presence among the Ch’ol indigenous peoples of El Calvario and Sabanilla. </w:t>
      </w:r>
    </w:p>
    <w:p w14:paraId="2B957700" w14:textId="77777777" w:rsidR="00E61941" w:rsidRPr="008D4596" w:rsidRDefault="00E61941" w:rsidP="00E61941">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3E2A33E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 xml:space="preserve">Antonio González Méndez was born in the community of El Calvario and was a member of the Ch’ol indigenous people. He was also a member of the EZLN civilian grassroots support and an active member of the Democratic Revolutionary Party (PRD). Antonio González was last seen on January 18, 1999, after leaving his house around midnight in the company of Juan Regino López Leoporto, who, according to the victim’s wife and the petitioners, was a member of paramilitary group Paz y Justicia. The victim’s wife reported the disappearance on January 20, 1999, and a pretrial investigation was opened against Juan López. However, once it was determined that Juan López was 17 years old, the case was referred to the General Council of Juveniles on February 6, 1999, at which time an administrative proceeding was instituted against him for his potential liability for illegal deprivation of liberty. </w:t>
      </w:r>
    </w:p>
    <w:p w14:paraId="307CF6B4" w14:textId="77777777" w:rsidR="00E61941" w:rsidRPr="008D4596" w:rsidRDefault="00E61941" w:rsidP="00E6194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416742B"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In its report on the merits, the Commission first analyzed whether what happened to Antonio González Méndez constituted a forced disappearance. In this regard, it concluded that there was no sufficient evidence to prove the acquiescence between the State and Juan López and the paramilitary group that operated in the area. Based on that, the Commission held that there were no sufficient grounds to consider that the State was involved in the disappearance of the victim or to deem the facts to be a forced disappearance.</w:t>
      </w:r>
    </w:p>
    <w:p w14:paraId="4829F695" w14:textId="77777777" w:rsidR="00E61941" w:rsidRPr="008D4596" w:rsidRDefault="00E61941" w:rsidP="00E6194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C738AF6"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 xml:space="preserve">Notwithstanding the foregoing, the Commission held that the steps taken in three proceedings opened at a domestic level – a pretrial investigation into “criminal acts”, an indirect writ of amparo for “illegal deprivation of liberty” and a proceeding before the Juvenile Offender Council of the state of Chiapas – were </w:t>
      </w:r>
      <w:r w:rsidRPr="008D4596">
        <w:rPr>
          <w:rFonts w:eastAsia="Calibri" w:cs="Calibri"/>
          <w:bCs/>
          <w:color w:val="000000"/>
          <w:u w:color="000000"/>
          <w:bdr w:val="nil"/>
          <w14:textOutline w14:w="0" w14:cap="flat" w14:cmpd="sng" w14:algn="ctr">
            <w14:noFill/>
            <w14:prstDash w14:val="solid"/>
            <w14:bevel/>
          </w14:textOutline>
        </w:rPr>
        <w:lastRenderedPageBreak/>
        <w:t>ineffective and not aimed at actively and seriously finding the truth about what happened or the whereabouts or the remains of the disappeared person.</w:t>
      </w:r>
    </w:p>
    <w:p w14:paraId="418D1F8F" w14:textId="77777777" w:rsidR="00E61941" w:rsidRPr="008D4596" w:rsidRDefault="00E61941" w:rsidP="00E61941">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7A6C43B" w14:textId="08C1FBB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 xml:space="preserve">The Commission indicated that, in the pretrial investigation, the Office of the Public Prosecutor merely took repeated statements from the wife of the disappeared person and from a </w:t>
      </w:r>
      <w:r w:rsidR="00950B9E" w:rsidRPr="008D4596">
        <w:rPr>
          <w:rFonts w:eastAsia="Calibri" w:cs="Calibri"/>
          <w:bCs/>
          <w:color w:val="000000"/>
          <w:u w:color="000000"/>
          <w:bdr w:val="nil"/>
          <w14:textOutline w14:w="0" w14:cap="flat" w14:cmpd="sng" w14:algn="ctr">
            <w14:noFill/>
            <w14:prstDash w14:val="solid"/>
            <w14:bevel/>
          </w14:textOutline>
        </w:rPr>
        <w:t>suspect and</w:t>
      </w:r>
      <w:r w:rsidRPr="008D4596">
        <w:rPr>
          <w:rFonts w:eastAsia="Calibri" w:cs="Calibri"/>
          <w:bCs/>
          <w:color w:val="000000"/>
          <w:u w:color="000000"/>
          <w:bdr w:val="nil"/>
          <w14:textOutline w14:w="0" w14:cap="flat" w14:cmpd="sng" w14:algn="ctr">
            <w14:noFill/>
            <w14:prstDash w14:val="solid"/>
            <w14:bevel/>
          </w14:textOutline>
        </w:rPr>
        <w:t xml:space="preserve"> sent letters to the police departments instructing them to investigate the reported facts and find the missing person. Nonetheless, no active search was </w:t>
      </w:r>
      <w:r w:rsidR="006567F1" w:rsidRPr="008D4596">
        <w:rPr>
          <w:rFonts w:eastAsia="Calibri" w:cs="Calibri"/>
          <w:bCs/>
          <w:color w:val="000000"/>
          <w:u w:color="000000"/>
          <w:bdr w:val="nil"/>
          <w14:textOutline w14:w="0" w14:cap="flat" w14:cmpd="sng" w14:algn="ctr">
            <w14:noFill/>
            <w14:prstDash w14:val="solid"/>
            <w14:bevel/>
          </w14:textOutline>
        </w:rPr>
        <w:t>undertaken,</w:t>
      </w:r>
      <w:r w:rsidRPr="008D4596">
        <w:rPr>
          <w:rFonts w:eastAsia="Calibri" w:cs="Calibri"/>
          <w:bCs/>
          <w:color w:val="000000"/>
          <w:u w:color="000000"/>
          <w:bdr w:val="nil"/>
          <w14:textOutline w14:w="0" w14:cap="flat" w14:cmpd="sng" w14:algn="ctr">
            <w14:noFill/>
            <w14:prstDash w14:val="solid"/>
            <w14:bevel/>
          </w14:textOutline>
        </w:rPr>
        <w:t xml:space="preserve"> or no serious analysis of the information gathered was conducted with a view towards taking any further investigative steps or following lines of investigation to effectively find the disappeared person and identify those responsible for his disappearance. The Commission also underscored that the Office of the Public Prosecutor took almost three years to request a photograph of the disappeared person in order to aid in his search and that, in 2007, a prosecuting attorney of the Office of the Public Prosecutor identified a number of irregularities in the case. However, the case file shows no record of any follow up or any mechanism aimed at determining liability, or seriously reopening the investigation, which was closed only a few months later due to the lack of evidence. </w:t>
      </w:r>
    </w:p>
    <w:p w14:paraId="3138442F" w14:textId="77777777" w:rsidR="00950B9E" w:rsidRPr="008D4596" w:rsidRDefault="00950B9E" w:rsidP="00950B9E">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73C2BC22"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 xml:space="preserve">Furthermore, the Commission held that, in the administrative proceedings before the Juvenile Council, only statements were taken and one on-site visit was conducted, but no searches were carried out in the area where the main person suspected of the victim’s disappearance resided. Lastly, as it has been previously determined by the Commission and the Inter-American Court, the amparo proceedings in force at that time, which required the victim to say where he was being held in order for this remedy to be admissible, was unsuitable to determine the whereabouts of a missing person and ineffective in cases of forced disappearance. </w:t>
      </w:r>
    </w:p>
    <w:p w14:paraId="4F0AED0B" w14:textId="77777777" w:rsidR="00950B9E" w:rsidRPr="008D4596" w:rsidRDefault="00950B9E" w:rsidP="00950B9E">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0B8671B" w14:textId="696A364F"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 xml:space="preserve">Additionally, the Commission identified another factor that obstructed the investigation: the different ways in which the facts were classified in the context of the different investigations that were opened. In this regard, it held that the failure to identify the reported facts as a possible forced </w:t>
      </w:r>
      <w:r w:rsidR="00950B9E" w:rsidRPr="008D4596">
        <w:rPr>
          <w:rFonts w:eastAsia="Calibri" w:cs="Calibri"/>
          <w:bCs/>
          <w:color w:val="000000"/>
          <w:u w:color="000000"/>
          <w:bdr w:val="nil"/>
          <w14:textOutline w14:w="0" w14:cap="flat" w14:cmpd="sng" w14:algn="ctr">
            <w14:noFill/>
            <w14:prstDash w14:val="solid"/>
            <w14:bevel/>
          </w14:textOutline>
        </w:rPr>
        <w:t>disappearance from</w:t>
      </w:r>
      <w:r w:rsidRPr="008D4596">
        <w:rPr>
          <w:rFonts w:eastAsia="Calibri" w:cs="Calibri"/>
          <w:bCs/>
          <w:color w:val="000000"/>
          <w:u w:color="000000"/>
          <w:bdr w:val="nil"/>
          <w14:textOutline w14:w="0" w14:cap="flat" w14:cmpd="sng" w14:algn="ctr">
            <w14:noFill/>
            <w14:prstDash w14:val="solid"/>
            <w14:bevel/>
          </w14:textOutline>
        </w:rPr>
        <w:t xml:space="preserve"> the very beginning of the investigation had an impact on the way the investigation unfolded, affecting the diligence and immediacy required in these cases. Lastly, the Commission concluded that the State violated the right to humane treatment to the detriment of Antonio González Méndez’ wife, his </w:t>
      </w:r>
      <w:r w:rsidR="00950B9E" w:rsidRPr="008D4596">
        <w:rPr>
          <w:rFonts w:eastAsia="Calibri" w:cs="Calibri"/>
          <w:bCs/>
          <w:color w:val="000000"/>
          <w:u w:color="000000"/>
          <w:bdr w:val="nil"/>
          <w14:textOutline w14:w="0" w14:cap="flat" w14:cmpd="sng" w14:algn="ctr">
            <w14:noFill/>
            <w14:prstDash w14:val="solid"/>
            <w14:bevel/>
          </w14:textOutline>
        </w:rPr>
        <w:t>daughters,</w:t>
      </w:r>
      <w:r w:rsidRPr="008D4596">
        <w:rPr>
          <w:rFonts w:eastAsia="Calibri" w:cs="Calibri"/>
          <w:bCs/>
          <w:color w:val="000000"/>
          <w:u w:color="000000"/>
          <w:bdr w:val="nil"/>
          <w14:textOutline w14:w="0" w14:cap="flat" w14:cmpd="sng" w14:algn="ctr">
            <w14:noFill/>
            <w14:prstDash w14:val="solid"/>
            <w14:bevel/>
          </w14:textOutline>
        </w:rPr>
        <w:t xml:space="preserve"> and his son.</w:t>
      </w:r>
    </w:p>
    <w:p w14:paraId="5DF854F2" w14:textId="77777777" w:rsidR="00950B9E" w:rsidRPr="008D4596" w:rsidRDefault="00950B9E" w:rsidP="00950B9E">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D5828F0" w14:textId="77777777" w:rsidR="00774C1A" w:rsidRPr="008D4596"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8D4596">
        <w:rPr>
          <w:rFonts w:eastAsia="Calibri" w:cs="Calibri"/>
          <w:bCs/>
          <w:color w:val="000000"/>
          <w:u w:color="000000"/>
          <w:bdr w:val="nil"/>
          <w14:textOutline w14:w="0" w14:cap="flat" w14:cmpd="sng" w14:algn="ctr">
            <w14:noFill/>
            <w14:prstDash w14:val="solid"/>
            <w14:bevel/>
          </w14:textOutline>
        </w:rPr>
        <w:t>In view of the foregoing, the Commission concluded that the State of Mexico is responsible for violating the rights to humane treatment, to a fair trial and to judicial protection enshrined in Articles 5.1, 8.1 and 25.1 of the American Convention, in relation to Articles 1.1 and 2 thereof. In addition, it concluded that the State failed to comply with its obligations under Article I.b of the Inter-American Convention on Forced Disappearance of Persons.</w:t>
      </w:r>
    </w:p>
    <w:p w14:paraId="0A274686" w14:textId="77777777" w:rsidR="00774C1A" w:rsidRPr="00A01C5D" w:rsidRDefault="00774C1A" w:rsidP="00774C1A">
      <w:pPr>
        <w:ind w:left="1440" w:hanging="720"/>
        <w:rPr>
          <w:color w:val="000000" w:themeColor="text1"/>
        </w:rPr>
      </w:pPr>
    </w:p>
    <w:p w14:paraId="1FC93329" w14:textId="77777777" w:rsidR="00774C1A" w:rsidRPr="00950B9E"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950B9E">
        <w:rPr>
          <w:rFonts w:ascii="Cambria" w:hAnsi="Cambria"/>
          <w:b/>
          <w:color w:val="000000"/>
          <w:sz w:val="20"/>
          <w:szCs w:val="20"/>
        </w:rPr>
        <w:t>Aucan Huilcaman et al. v. Chile</w:t>
      </w:r>
    </w:p>
    <w:p w14:paraId="04BC7361"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This case relates to a series of violations which took place in a criminal proceeding against 140 persons of the Mapuche ethnic group within the context of a number of protests held in 1992 over the quincentennial of the arrival of the Spanish in the Americas. </w:t>
      </w:r>
    </w:p>
    <w:p w14:paraId="0E939882" w14:textId="77777777" w:rsidR="00950B9E" w:rsidRPr="00950B9E" w:rsidRDefault="00950B9E" w:rsidP="00950B9E">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4CA30EA7" w14:textId="40629822"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Between June 16 and 20, members of the Consejo de Todas las Tierras (Council of All Lands), an organization that brings Mapuche indigenous authorities together, seized 11 neighboring lands to raise awareness among the public about several issues they were denouncing and to get the attention from the Senate, where an indigenous bill was being discussed. During said seizures, for a brief period of time, they placed signs calling for the restitution of their lands. The seizures ended when protesters were forced to leave the lands by the armed forces. The victims were subjected to a criminal </w:t>
      </w:r>
      <w:r w:rsidR="00950B9E" w:rsidRPr="00950B9E">
        <w:rPr>
          <w:rFonts w:eastAsia="Calibri" w:cs="Calibri"/>
          <w:bCs/>
          <w:color w:val="000000"/>
          <w:u w:color="000000"/>
          <w:bdr w:val="nil"/>
          <w14:textOutline w14:w="0" w14:cap="flat" w14:cmpd="sng" w14:algn="ctr">
            <w14:noFill/>
            <w14:prstDash w14:val="solid"/>
            <w14:bevel/>
          </w14:textOutline>
        </w:rPr>
        <w:t>proceeding,</w:t>
      </w:r>
      <w:r w:rsidRPr="00950B9E">
        <w:rPr>
          <w:rFonts w:eastAsia="Calibri" w:cs="Calibri"/>
          <w:bCs/>
          <w:color w:val="000000"/>
          <w:u w:color="000000"/>
          <w:bdr w:val="nil"/>
          <w14:textOutline w14:w="0" w14:cap="flat" w14:cmpd="sng" w14:algn="ctr">
            <w14:noFill/>
            <w14:prstDash w14:val="solid"/>
            <w14:bevel/>
          </w14:textOutline>
        </w:rPr>
        <w:t xml:space="preserve"> and, on March 11, 1993, they were convicted for the crimes of usurpation, conspiracy, contempt, theft, theft cover-up and injuries, and received punishments raging from the payment of the equivalent to six minimum wages to sentences of three years and nine months in prison. The convictions were based on the facts that had taken place between June 16 and 20, 1992, and on some previous facts. The appeals and cassation remedies filed were rejected. </w:t>
      </w:r>
    </w:p>
    <w:p w14:paraId="5B1DA059" w14:textId="77777777" w:rsidR="00950B9E" w:rsidRPr="00950B9E" w:rsidRDefault="00950B9E" w:rsidP="00950B9E">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6760246" w14:textId="77777777" w:rsidR="00774C1A" w:rsidRPr="00950B9E"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In its report on the merits, the Commission analyzed the criminal proceedings in relation to the right to be heard by an impartial authority, to whether there were sufficient grounds for such a judicial decision, to the principle of legality, to the right to freedom of expression, to the right to freedom of association and to the principle of equality and non-discrimination. In this regard, the Commission first noted that the first and second instance judgments were issued by a “visiting judge” appointed to hear the case based on Article 559 of the Organic Code of Courts, which provided for said appointment in cases involving “the investigation and prosecution of crimes or offenses which cause public alarm and demand a prompt repression,” but the reasons why the case caused said impact were not explained. Likewise, the Commission determined that the request for the appointment of a visiting judge was filed by the judge who had allegedly been criticized by members of the Mapuche ethnic group in the context of the criminal proceedings.</w:t>
      </w:r>
    </w:p>
    <w:p w14:paraId="1841F699"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Furthermore, the Commission noted that the visiting judge served as prosecutor and was also involved in the sentence, so he performed a double function. The Commission found that, in the original complaint, the indictment and the first instance judgment, justice operators made a series of assessments which were criminally irrelevant to the types of crimes for which the victims were prosecuted. This is evidence of a discriminatory prejudgment against the prosecuted persons. </w:t>
      </w:r>
    </w:p>
    <w:p w14:paraId="2F09D1E0" w14:textId="77777777" w:rsidR="00950B9E" w:rsidRPr="00950B9E" w:rsidRDefault="00950B9E" w:rsidP="00950B9E">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359E03C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Similarly, and with regard to the principle of legality and the obligation to ground decisions, the Commission found that the definitions of the crimes of conspiracy and usurpation were ambiguous and, therefore, contrary to international standards, and that this enabled the discriminatory and undue criminalization of a legitimate exercise of rights. In particular, the Commission noted that the definition of the crime of usurpation did not clearly specify the elements necessary to determine the intent required from the perpetrator for the commission of said crime. On the contrary, intent was defined in broad terms. The Commission highlighted that, both in the indictment and in the first instance judgment, the investigating judge considered criminal conducts protected by rights – such as the freedom of expression or association. Among the actions deemed criminal were the “disrespectful statements” made against Congress members and a state minister, the “creation of a Mapuche emblem or flag,” the receipt of international funds, the fact that the Mapuches had a newspaper of their own and their opposition to the celebration of the quincentennial of the arrival of the Spanish in the Americas. </w:t>
      </w:r>
    </w:p>
    <w:p w14:paraId="7A12BBF4" w14:textId="77777777" w:rsidR="00950B9E" w:rsidRPr="00950B9E" w:rsidRDefault="00950B9E" w:rsidP="00950B9E">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0A03CBF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The Commission held that the conviction for the crimes of usurpation and conspiracy was based on generic references to actions that would constitute a legitimate exercise of the rights to freedom of expression and of association, and that, at the domestic level, were not separated from those behaviors that could have effectively equaled to criminal offenses. The Commission concluded that, in practice, this led to the discriminatory and undue criminalization of a legitimate exercise of rights, and to clear violations of the principle of legality, of the obligation to ground decisions and of the rights to freedom of expression and association. </w:t>
      </w:r>
    </w:p>
    <w:p w14:paraId="087ABCD8" w14:textId="77777777" w:rsidR="00950B9E" w:rsidRPr="00950B9E" w:rsidRDefault="00950B9E" w:rsidP="00950B9E">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EB4F1C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The Commission also concluded that the State violated the right to be heard within a reasonable term and to legal certainty, inasmuch as the first and second instance sentences made no reference to some of the victims. Furthermore, the Commission held that the State violated the right to presumption of innocence and the obligation to adopt domestic legal provisions in relation to one of the victims, who was convicted for the theft of a pig based on Article 454 of the Criminal Code. According to said article, the perpetrator of the theft is presumed to be the person in possession of the stolen item, unless they can justify its legitimate purchase, which places the burden of proof on the victim. Similarly, the Commission concluded that the State violated the rights to a prior notification in detail of the charges and to the provision of adequate means for the defense in relation to some of the victims, inasmuch as they were convicted without a prior formal accusation in the context of the criminal proceedings. </w:t>
      </w:r>
    </w:p>
    <w:p w14:paraId="35BBB8D5" w14:textId="77777777" w:rsidR="00950B9E" w:rsidRPr="00950B9E" w:rsidRDefault="00950B9E" w:rsidP="00950B9E">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EABABAC"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In view of the foregoing, the Commission concluded that the State of Chile is responsible for violating the right to be heard by an impartial authority, the obligation to ground decisions, the principle of presumption of innocence, the right to prior notification in detail of the charges, the right to adequate time and </w:t>
      </w:r>
      <w:r w:rsidRPr="00950B9E">
        <w:rPr>
          <w:rFonts w:eastAsia="Calibri" w:cs="Calibri"/>
          <w:bCs/>
          <w:color w:val="000000"/>
          <w:u w:color="000000"/>
          <w:bdr w:val="nil"/>
          <w14:textOutline w14:w="0" w14:cap="flat" w14:cmpd="sng" w14:algn="ctr">
            <w14:noFill/>
            <w14:prstDash w14:val="solid"/>
            <w14:bevel/>
          </w14:textOutline>
        </w:rPr>
        <w:lastRenderedPageBreak/>
        <w:t>means for the preparation of the defense, the principle of legality, the right to freedom of expression, the right to freedom of association and the principle of equality and non-discrimination, enshrined in Articles 8.1, 8.2, 8.2.b, 8.2.c, 9, 13.1, 13.2, 16.1, 16.2 and 24 of the American Convention, in relation to the obligations set forth in Articles 1.1 and 2 thereof.</w:t>
      </w:r>
    </w:p>
    <w:p w14:paraId="48CDE0BF" w14:textId="77777777" w:rsidR="006567F1" w:rsidRPr="00950B9E" w:rsidRDefault="006567F1" w:rsidP="00950B9E">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AE59330" w14:textId="77777777" w:rsidR="00774C1A" w:rsidRPr="00950B9E"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bookmarkStart w:id="3" w:name="_Hlk99546570"/>
      <w:r w:rsidRPr="00950B9E">
        <w:rPr>
          <w:rFonts w:ascii="Cambria" w:hAnsi="Cambria"/>
          <w:b/>
          <w:color w:val="000000"/>
          <w:sz w:val="20"/>
          <w:szCs w:val="20"/>
        </w:rPr>
        <w:t>Mario Galetovic Sapunar et al. v. Chile</w:t>
      </w:r>
    </w:p>
    <w:bookmarkEnd w:id="3"/>
    <w:p w14:paraId="044C9100" w14:textId="77777777" w:rsidR="00774C1A" w:rsidRPr="00950B9E"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This case relates to the international responsibility of the State of Chile for the lack of access to an effective judicial remedy against the confiscation of a radio station during the de facto government, to the detriment of Mario Galetovic Sapunar, Daniel Ruiz Oyarzo, Carlos González Jaksic, Oscar Santiago Mayorga Paredes, Hugo René Formantel Díaz and Néstor Edmundo Navarro Alvarado. </w:t>
      </w:r>
    </w:p>
    <w:p w14:paraId="08636A85"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In September 1973, the victims were part of business corporation Ruiz y Compañía Ltda., which managed and operated radio station La Voz del Sur, in the city of Punta Arenas, with over four decades of history. The station was the main media outlet in the Magallanes area and covered a wide geographical spectrum in the Austral region. On September 11, 1973, Chilean military forces seized power in a coup d'état. On that day, when the broadcast of President Salvador Allende’s final speech was about to end, forces that reported to the Ministry of Defense took control of the radio station’s facilities. The main partners were arrested and taken to different prisons and torture centers. According to the petitioners, radio station La Voz del Sur was the only broadcaster in Punta Arenas that supported Unidad Popular (President Allende’s government coalition). For that reason, it never came back into operation. By means of Decree No. 1163, issued in 1974, the Ministry of the Interior ordered the dissolution of the corporation and that the radio station be under the control of the State of Chile. In 1975, the military government transferred ownership of the corporation’s assets to the National Radio of Chile at no charge. </w:t>
      </w:r>
    </w:p>
    <w:p w14:paraId="69E60CD8" w14:textId="77777777" w:rsidR="00950B9E" w:rsidRPr="00950B9E" w:rsidRDefault="00950B9E" w:rsidP="00950B9E">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8FA28A9" w14:textId="03C76E70"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Once democracy was restored in Chile, the victims filed a legal action requesting that the decrees that had affected them be declared null and void. On November 24, 1997, Civil Court No. 7 of Santiago issued a judgment in favor of the plaintiff, on the grounds that the state administration was not empowered to serve as a judicial body, since said power was exclusive and inherent to justice courts. The Court of Appeals upheld the decision of the trial court in its entirety on March 13, 2002. The Chilean Treasury filed a cassation </w:t>
      </w:r>
      <w:r w:rsidR="00950B9E" w:rsidRPr="00950B9E">
        <w:rPr>
          <w:rFonts w:eastAsia="Calibri" w:cs="Calibri"/>
          <w:bCs/>
          <w:color w:val="000000"/>
          <w:u w:color="000000"/>
          <w:bdr w:val="nil"/>
          <w14:textOutline w14:w="0" w14:cap="flat" w14:cmpd="sng" w14:algn="ctr">
            <w14:noFill/>
            <w14:prstDash w14:val="solid"/>
            <w14:bevel/>
          </w14:textOutline>
        </w:rPr>
        <w:t>appeal,</w:t>
      </w:r>
      <w:r w:rsidRPr="00950B9E">
        <w:rPr>
          <w:rFonts w:eastAsia="Calibri" w:cs="Calibri"/>
          <w:bCs/>
          <w:color w:val="000000"/>
          <w:u w:color="000000"/>
          <w:bdr w:val="nil"/>
          <w14:textOutline w14:w="0" w14:cap="flat" w14:cmpd="sng" w14:algn="ctr">
            <w14:noFill/>
            <w14:prstDash w14:val="solid"/>
            <w14:bevel/>
          </w14:textOutline>
        </w:rPr>
        <w:t xml:space="preserve"> and, on January 21, 2004, the Third Constitutional Chamber of the Supreme Court of Chile heard the State’s arguments and found that, even though the decrees were null and void, the legal actions requesting compensation for the economic consequences derived from said nullity had been encompassed under the statute of limitations five years after the adoption of the decrees. </w:t>
      </w:r>
    </w:p>
    <w:p w14:paraId="259E5AD7" w14:textId="77777777" w:rsidR="00950B9E" w:rsidRPr="00950B9E" w:rsidRDefault="00950B9E" w:rsidP="00950B9E">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FF6CC0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In its report on the merits, the Commission held that the purpose of the instant case is to determine whether the application of the statute of limitations to legal actions requesting compensation constitutes a violation of the American Convention. In this regard, the Commission held, in light of the applicable inter-American standards, that the Chilean State violated the rights of the victims to an effective judicial remedy, based on the reasons detailed hereunder.</w:t>
      </w:r>
    </w:p>
    <w:p w14:paraId="1CDC9156" w14:textId="77777777" w:rsidR="00950B9E" w:rsidRPr="00950B9E" w:rsidRDefault="00950B9E" w:rsidP="00950B9E">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9FD6928"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First, the Commission concluded that the Supreme Court, by arguing that the victims should have filed their claim for reparations on a date on which the military dictatorship was still in power retrospectively placed the victims in a situation of de facto inability to access effective judicial remedies. </w:t>
      </w:r>
    </w:p>
    <w:p w14:paraId="654567E2" w14:textId="77777777" w:rsidR="00950B9E" w:rsidRPr="00950B9E" w:rsidRDefault="00950B9E" w:rsidP="00950B9E">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9B7E3BF"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Second, the Commission found that the judgment of the Supreme Court lacked coherence both from a logical and a legal point of view, since it confirmed the annulment of the decrees that had ordered the dissolution of the corporation, but it also held that the claim for reparations, which was derived from said annulment, had fallen under the statute of limitations, even though the decrees were still in force at the time and presumed to be legal. As a result, the Commission found that it is not coherent from the legal point of view to hold that the claim for reparations would fall under the statute of limitations, considering that the regulations were still in full force at the time. </w:t>
      </w:r>
    </w:p>
    <w:p w14:paraId="66FECC73" w14:textId="77777777" w:rsidR="00950B9E" w:rsidRPr="00950B9E" w:rsidRDefault="00950B9E" w:rsidP="00950B9E">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EA8E36B"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lastRenderedPageBreak/>
        <w:t xml:space="preserve">Third, the Commission noted that, when the victims finally obtained a final judgment acknowledging the violations of their rights – that is, the decision delivered by the Supreme Court, which rendered the decrees null and void – said judgment did not translate in practice into reparations due to the application of the statute of limitations. Therefore, both the nullity remedy and the compensation remedy were not effective in awarding the reparations to which the victims had an internationally protected right, since they were prevented from accessing them. As a result, both judicial remedies were ineffective under the applicable international standards. </w:t>
      </w:r>
    </w:p>
    <w:p w14:paraId="487C7C5A" w14:textId="77777777" w:rsidR="00950B9E" w:rsidRPr="00950B9E" w:rsidRDefault="00950B9E" w:rsidP="00950B9E">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02928DC"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Fourth, the Commission considered that the link established by the Supreme Court between the right to access to justice and to an effective remedy, on the one hand, and the abstract value of the legal certainty of the right to property over the seized assets, on the other, failed to adequately take into consideration the human rights that were at stake. In particular, the Commission noted that, by 1995, year of submission of the actions seeking the nullity of the decrees, a new time clearly began, in which the rights violated during the dictatorship would be redressed. In this context, according to the Commission, the victims could not have reasonably foreseen that the statute of limitations would be applied to their claims for reparations because they were not filed during the years of the dictatorship. </w:t>
      </w:r>
    </w:p>
    <w:p w14:paraId="22D68E49" w14:textId="77777777" w:rsidR="00950B9E" w:rsidRPr="00950B9E" w:rsidRDefault="00950B9E" w:rsidP="00950B9E">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611411C"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In addition, the Commission underscored that, by resorting to the courts, the victims sought reparations for the violations of their rights to freedom of expression and information, and to property, which arose from acts that can be attributed to the dictatorial government. The Commission held that, while the purpose of the case is to determine whether the victims had access to an effective remedy, the fact that they sought reparations for the violation of said rights established an inseparable link between the obligation to provide an effective remedy and to redress human rights violations, and the obligation to guarantee the rights to freedom of expression and to property. In this regard, the Commission concluded that the application of the statute of limitations, as a consequence, arbitrarily restricted access to judicial protection, to which the petitioners were entitled under the same conditions as the rest of the victims of human rights violations during the dictatorship. </w:t>
      </w:r>
    </w:p>
    <w:p w14:paraId="001A39E5" w14:textId="77777777" w:rsidR="00950B9E" w:rsidRPr="00950B9E" w:rsidRDefault="00950B9E" w:rsidP="00950B9E">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EFBAA10"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In view of the foregoing, the Commission concluded that the State of Chile is responsible for violating the rights to a fair trial and to judicial protection, enshrined in Articles 8.1 and 25.1 of the American Convention, in relation to the general obligations and the rights to freedom of expression and to property set forth in Articles 1.1, 13 and 21 thereof, to the detriment of Mario Galetovic Sapunar, Daniel Ruiz Oyarzo, Carlos González Jaksic, Oscar Santiago Mayorga Paredes, Hugo René Formantel Díaz and Néstor Edmundo Navarro Alvarado. The State of Chile deposited the instrument of ratification of the American Convention on Human Rights and accepted the contentious jurisdiction of the Court on August 21, 1990, thus enabling the Court to rule on the facts of the cases that took place after said date.</w:t>
      </w:r>
    </w:p>
    <w:p w14:paraId="4D10F99E" w14:textId="77777777" w:rsidR="00950B9E" w:rsidRPr="00950B9E" w:rsidRDefault="00950B9E" w:rsidP="00950B9E">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77228DF" w14:textId="16B6AEFC" w:rsidR="00774C1A" w:rsidRPr="00950B9E"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950B9E">
        <w:rPr>
          <w:rFonts w:ascii="Cambria" w:hAnsi="Cambria"/>
          <w:b/>
          <w:color w:val="000000"/>
          <w:sz w:val="20"/>
          <w:szCs w:val="20"/>
        </w:rPr>
        <w:t>Alfredo José Chirinos Salamanca et al. v. Venezuela</w:t>
      </w:r>
    </w:p>
    <w:p w14:paraId="6196AE81"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This case relates to the international responsibility of the State of Venezuela for the human rights violations committed against 14 officers of Chacao’s Municipal Police, which took place in the context of the deprivation of liberty of the victims.</w:t>
      </w:r>
    </w:p>
    <w:p w14:paraId="2C07EB8A" w14:textId="77777777" w:rsidR="0003326C" w:rsidRPr="00950B9E" w:rsidRDefault="0003326C" w:rsidP="0003326C">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CB16D3E"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On January 19, 2016, in the city of Caracas, journalist Ricardo Concepción Durán Trujillo, head of the Press Office of the Government of the Capital District, was murdered with a firearm. On June 13 and 15, 2016, the Control Court issued arrest warrants against 14 officers. The arraignment hearing was held on June 22, 2016, for the alleged commission – as facilitators – of the crime of murder aggravated by malice against journalist Ricardo Concepción Duran Trujillo. It was established that they would be confined at the headquarters of the Bolivarian National Intelligence Service (SEBIN), located at the facility known as “El Helicoide,” in Caracas.</w:t>
      </w:r>
    </w:p>
    <w:p w14:paraId="2EC7BFA6" w14:textId="77777777" w:rsidR="0003326C" w:rsidRPr="00950B9E" w:rsidRDefault="0003326C" w:rsidP="0003326C">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DB8D051"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lastRenderedPageBreak/>
        <w:t>On August 5, 2016, 45 days after the issuance of the decision not to lift the pretrial detention measure, which was the period of time within which the prosecution was supposed to submit the formal accusation, the prosecutors requested the Seventh First-Instance State Control Judge of the Criminal Judicial Circuit of the Metropolitan Area of Caracas that the pretrial detention be replaced with a precautionary measure. This request was accepted. On August 8, the judge ordered the replacement of the pretrial detention with court appearances every 15 days and the immediate release of the police officers. The order was appealed by an attorney under the Office of the Attorney General of the Republic (PGR) on August 23. When the court order was received at El Helicoide, its officers refused to accept it. In spite of the subsequent ratification of the court order and the release orders, the officials remained deprived of liberty.</w:t>
      </w:r>
    </w:p>
    <w:p w14:paraId="7D61D406" w14:textId="77777777" w:rsidR="0003326C" w:rsidRPr="00950B9E" w:rsidRDefault="0003326C" w:rsidP="0003326C">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61CA9BC"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Within this context, five of these officers were subjected to torture, so that they would provide information on the crime attributed to them and/or confess their involvement in it. These facts were publicly exposed by the officers through letters and a video requesting authorities to execute their release order. When the time to release the victims expired, on June 24, 2017, Fred Armando Mavares Zambrano went on hunger strike. The rest of the victims began to join the strike. In view of this situation, adequate medical care was not provided to them and, as part of the protest, five of the victims sewed their mouths.</w:t>
      </w:r>
    </w:p>
    <w:p w14:paraId="31660245" w14:textId="77777777" w:rsidR="0003326C" w:rsidRPr="00950B9E" w:rsidRDefault="0003326C" w:rsidP="0003326C">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4A88A4E"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It was only after December 23, 2017, that 12 of the victims were released. However, Fred Armando Mavares Zambrano and Reggie Jackson Andrade Alejos remained deprived of liberty without any explanation.</w:t>
      </w:r>
    </w:p>
    <w:p w14:paraId="782913A8" w14:textId="77777777" w:rsidR="0003326C" w:rsidRPr="00950B9E" w:rsidRDefault="0003326C" w:rsidP="0003326C">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0CEB99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On July 9, 2018, a riot broke out at El Helicoide, reportedly as a result of the several human rights violations, including the failure to bring the accused to their court hearings and to execute the release orders. On July 11, the two victims who continued to be deprived of liberty were transferred to the “26 de Julio” Detention Center for Accused Persons, in San Juan de los Morros, state of Guárico, following the orders of the Ministry of Penitentiary Affairs. Upon arriving at the new center, they were placed in an isolation cell that was three meters wide by three meters long (10 x 10 ft), where they spent almost a month sleeping on the floor. Their release order was also not executed. On November 23, 2018, Mr. Mavares Zambrano and Mr. Andrade escaped from the center. </w:t>
      </w:r>
    </w:p>
    <w:p w14:paraId="660FDB14" w14:textId="77777777" w:rsidR="0003326C" w:rsidRPr="00950B9E" w:rsidRDefault="0003326C" w:rsidP="0003326C">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5B29506" w14:textId="10656A39"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In its </w:t>
      </w:r>
      <w:r w:rsidR="000A4227" w:rsidRPr="00950B9E">
        <w:rPr>
          <w:rFonts w:eastAsia="Calibri" w:cs="Calibri"/>
          <w:bCs/>
          <w:color w:val="000000"/>
          <w:u w:color="000000"/>
          <w:bdr w:val="nil"/>
          <w14:textOutline w14:w="0" w14:cap="flat" w14:cmpd="sng" w14:algn="ctr">
            <w14:noFill/>
            <w14:prstDash w14:val="solid"/>
            <w14:bevel/>
          </w14:textOutline>
        </w:rPr>
        <w:t>Admissibility and</w:t>
      </w:r>
      <w:r w:rsidRPr="00950B9E">
        <w:rPr>
          <w:rFonts w:eastAsia="Calibri" w:cs="Calibri"/>
          <w:bCs/>
          <w:color w:val="000000"/>
          <w:u w:color="000000"/>
          <w:bdr w:val="nil"/>
          <w14:textOutline w14:w="0" w14:cap="flat" w14:cmpd="sng" w14:algn="ctr">
            <w14:noFill/>
            <w14:prstDash w14:val="solid"/>
            <w14:bevel/>
          </w14:textOutline>
        </w:rPr>
        <w:t xml:space="preserve"> Merits Report 314/21, the Commission determined for the first time its material and temporal jurisdiction based on the American Convention on Human Rights to rule on events that occurred after September 10, 2013.  </w:t>
      </w:r>
    </w:p>
    <w:p w14:paraId="1EEFA7B9" w14:textId="77777777" w:rsidR="000A4227" w:rsidRPr="00950B9E" w:rsidRDefault="000A4227" w:rsidP="000A422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F0BBF60" w14:textId="324E8F4B"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In this regard, the Commission recalled that the State of Venezuela became a party to the American Convention on August 9, 1977, the date on which it deposited its instrument of ratification. Subsequently, it denounced said treaty on September 10, 2012, having said denunciation effective as of September 10, 2013, in accordance with the provisions of 78 of the Convention and in accordance with what has been recognized by the Inter-American Court of Human Rights.   It also noted that, according to official information from the OAS Department of International Law of the OAS General Secretariat, "on July 31, 2019, the Bolivarian Republic of Venezuela deposited the instrument of ratification of the American Convention on Human Rights at OAS headquarters in Washington D.C.  United States."</w:t>
      </w:r>
      <w:r w:rsidRPr="000A4227">
        <w:rPr>
          <w:rFonts w:eastAsia="Calibri" w:cs="Calibri"/>
          <w:bCs/>
          <w:color w:val="000000"/>
          <w:u w:color="000000"/>
          <w:bdr w:val="nil"/>
          <w:vertAlign w:val="superscript"/>
          <w14:textOutline w14:w="0" w14:cap="flat" w14:cmpd="sng" w14:algn="ctr">
            <w14:noFill/>
            <w14:prstDash w14:val="solid"/>
            <w14:bevel/>
          </w14:textOutline>
        </w:rPr>
        <w:footnoteReference w:id="124"/>
      </w:r>
      <w:r w:rsidRPr="000A4227">
        <w:rPr>
          <w:rFonts w:eastAsia="Calibri" w:cs="Calibri"/>
          <w:bCs/>
          <w:color w:val="000000"/>
          <w:u w:color="000000"/>
          <w:bdr w:val="nil"/>
          <w:vertAlign w:val="superscript"/>
          <w14:textOutline w14:w="0" w14:cap="flat" w14:cmpd="sng" w14:algn="ctr">
            <w14:noFill/>
            <w14:prstDash w14:val="solid"/>
            <w14:bevel/>
          </w14:textOutline>
        </w:rPr>
        <w:footnoteReference w:id="125"/>
      </w:r>
      <w:r w:rsidRPr="000A4227">
        <w:rPr>
          <w:rFonts w:eastAsia="Calibri" w:cs="Calibri"/>
          <w:bCs/>
          <w:color w:val="000000"/>
          <w:u w:color="000000"/>
          <w:bdr w:val="nil"/>
          <w:vertAlign w:val="superscript"/>
          <w14:textOutline w14:w="0" w14:cap="flat" w14:cmpd="sng" w14:algn="ctr">
            <w14:noFill/>
            <w14:prstDash w14:val="solid"/>
            <w14:bevel/>
          </w14:textOutline>
        </w:rPr>
        <w:footnoteReference w:id="126"/>
      </w:r>
    </w:p>
    <w:p w14:paraId="7C7B7474" w14:textId="77777777" w:rsidR="000A4227" w:rsidRPr="00950B9E" w:rsidRDefault="000A4227" w:rsidP="000A422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0B9B410"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lastRenderedPageBreak/>
        <w:t xml:space="preserve">In that case, the Commission considered that, without prejudice to the strict examination that should be carried out on a denunciation of the American Convention, in the present case, bearing in mind that subsequent to that act, the official information of the OAS Department of International Law of the OAS of the OAS General Secretariat refers to the new deposit of the American Convention,  It was appropriate to rule on the latter act, in view of the fact that it would set aside that complaint. </w:t>
      </w:r>
    </w:p>
    <w:p w14:paraId="31F273EA" w14:textId="77777777" w:rsidR="000A4227" w:rsidRPr="00950B9E" w:rsidRDefault="000A4227" w:rsidP="000A422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F3D6E26" w14:textId="4FBE554D"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The Commission observed that the act of ratification of July 1, 2019, refers to a communication from the then President of the National Assembly of the Bolivarian Republic of Venezuela, which states that "it constitutes the Instrument of Ratification by the Bolivarian Republic of Venezuela of the American Convention on Human Rights [...]." In addition, said note recognizes "unconditionally as mandatory as of right and without special convention the competence and jurisdictional power of the Inter-American Court of Human Rights to hear all cases relating to the interpretation or application of said Convention, as if its alleged complaint had never taken place, that is,</w:t>
      </w:r>
      <w:r w:rsidRPr="007869C4">
        <w:rPr>
          <w:rFonts w:eastAsia="Calibri" w:cs="Calibri"/>
          <w:bCs/>
          <w:color w:val="000000"/>
          <w:u w:color="000000"/>
          <w:bdr w:val="nil"/>
          <w:vertAlign w:val="superscript"/>
          <w14:textOutline w14:w="0" w14:cap="flat" w14:cmpd="sng" w14:algn="ctr">
            <w14:noFill/>
            <w14:prstDash w14:val="solid"/>
            <w14:bevel/>
          </w14:textOutline>
        </w:rPr>
        <w:footnoteReference w:id="127"/>
      </w:r>
      <w:r w:rsidR="007869C4">
        <w:rPr>
          <w:rFonts w:eastAsia="Calibri" w:cs="Calibri"/>
          <w:bCs/>
          <w:color w:val="000000"/>
          <w:u w:color="000000"/>
          <w:bdr w:val="nil"/>
          <w14:textOutline w14:w="0" w14:cap="flat" w14:cmpd="sng" w14:algn="ctr">
            <w14:noFill/>
            <w14:prstDash w14:val="solid"/>
            <w14:bevel/>
          </w14:textOutline>
        </w:rPr>
        <w:t xml:space="preserve"> </w:t>
      </w:r>
      <w:r w:rsidRPr="00950B9E">
        <w:rPr>
          <w:rFonts w:eastAsia="Calibri" w:cs="Calibri"/>
          <w:bCs/>
          <w:color w:val="000000"/>
          <w:u w:color="000000"/>
          <w:bdr w:val="nil"/>
          <w14:textOutline w14:w="0" w14:cap="flat" w14:cmpd="sng" w14:algn="ctr">
            <w14:noFill/>
            <w14:prstDash w14:val="solid"/>
            <w14:bevel/>
          </w14:textOutline>
        </w:rPr>
        <w:t xml:space="preserve">ab initio and with retroactive effect to September 10, 2013, the date on which said denunciation would have entered into force". </w:t>
      </w:r>
    </w:p>
    <w:p w14:paraId="3C6B7307" w14:textId="77777777" w:rsidR="000A4227" w:rsidRPr="00950B9E" w:rsidRDefault="000A4227" w:rsidP="000A422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2B7ABAF"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The Commission considered that, within its own competence, it is not for it to pronounce on the attributions or powers enjoyed by the signatory of said communication or on the validity of the acts carried out by the National Assembly of the Republic of Venezuela within the framework of the OAS, an issue that has been debated and deliberated by the respective political organs.  given the exceptional situation existing in the State. It also recalled that, in accordance with Article 74 of the American Convention, "ratification of or accession to this Convention shall be effected by depositing an instrument of ratification or accession with the General Secretariat of the Organization of American States."  </w:t>
      </w:r>
    </w:p>
    <w:p w14:paraId="439DF389" w14:textId="77777777" w:rsidR="000A4227" w:rsidRPr="00950B9E" w:rsidRDefault="000A4227" w:rsidP="000A422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B420B99" w14:textId="652CBDF5"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The Commission also recalled that the OAS Charter establishes that it is its General Secretariat that serves as "depositary of inter-American treaties and agreements, as well as instruments of ratification thereof." According to the Vienna Convention on the Rights of Treaties, which summarizes customary law on the subject, it is precisely for the depositary "to determine whether a signature, instrument or notification or communication relating to the treaty is in due form [...]".  According to the treaty, "[i]n a dispute arises between a State and the depositary concerning the performance of the latter's functions, the depositary shall bring the matter to the attention of the signatory and contracting States or, as appropriate, of the competent organ of the international organization concerned".  According to the commentaries of the International Law Commission to the Vienna Convention on the Law of Treaties, the depositary has a duty in case of detecting any irregularity, to bring the matter to the attention of the States concerned, and his function is not to pronounce on the validity of the instrument.</w:t>
      </w:r>
      <w:r w:rsidRPr="000A4227">
        <w:rPr>
          <w:rFonts w:eastAsia="Calibri" w:cs="Calibri"/>
          <w:bCs/>
          <w:color w:val="000000"/>
          <w:u w:color="000000"/>
          <w:bdr w:val="nil"/>
          <w:vertAlign w:val="superscript"/>
          <w14:textOutline w14:w="0" w14:cap="flat" w14:cmpd="sng" w14:algn="ctr">
            <w14:noFill/>
            <w14:prstDash w14:val="solid"/>
            <w14:bevel/>
          </w14:textOutline>
        </w:rPr>
        <w:footnoteReference w:id="128"/>
      </w:r>
      <w:r w:rsidRPr="000A4227">
        <w:rPr>
          <w:rFonts w:eastAsia="Calibri" w:cs="Calibri"/>
          <w:bCs/>
          <w:color w:val="000000"/>
          <w:u w:color="000000"/>
          <w:bdr w:val="nil"/>
          <w:vertAlign w:val="superscript"/>
          <w14:textOutline w14:w="0" w14:cap="flat" w14:cmpd="sng" w14:algn="ctr">
            <w14:noFill/>
            <w14:prstDash w14:val="solid"/>
            <w14:bevel/>
          </w14:textOutline>
        </w:rPr>
        <w:footnoteReference w:id="129"/>
      </w:r>
      <w:r w:rsidRPr="000A4227">
        <w:rPr>
          <w:rFonts w:eastAsia="Calibri" w:cs="Calibri"/>
          <w:bCs/>
          <w:color w:val="000000"/>
          <w:u w:color="000000"/>
          <w:bdr w:val="nil"/>
          <w:vertAlign w:val="superscript"/>
          <w14:textOutline w14:w="0" w14:cap="flat" w14:cmpd="sng" w14:algn="ctr">
            <w14:noFill/>
            <w14:prstDash w14:val="solid"/>
            <w14:bevel/>
          </w14:textOutline>
        </w:rPr>
        <w:footnoteReference w:id="130"/>
      </w:r>
    </w:p>
    <w:p w14:paraId="577EE85B" w14:textId="77777777" w:rsidR="000A4227" w:rsidRPr="00950B9E" w:rsidRDefault="000A4227" w:rsidP="000A4227">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2FC3E12C" w14:textId="61026795"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Based on the foregoing, the Commission considered that it is the depositary, that is, the Secretary General of the OAS, who is in charge of analyzing the full powers to draw the attention of the States concerned in relation to a situation where it finds some discrepancy. Indeed, as indicated, official information from the OAS Department of International Law, belonging to the Secretariat for Legal Affairs of the OAS General Secretariat, which "acts as depositary and source of information for inter-American treaties and agreements of the OAS and its organs," recognizes that "on July 31, 2019,  the Bolivarian Republic of Venezuela deposited the </w:t>
      </w:r>
      <w:r w:rsidRPr="00950B9E">
        <w:rPr>
          <w:rFonts w:eastAsia="Calibri" w:cs="Calibri"/>
          <w:bCs/>
          <w:color w:val="000000"/>
          <w:u w:color="000000"/>
          <w:bdr w:val="nil"/>
          <w14:textOutline w14:w="0" w14:cap="flat" w14:cmpd="sng" w14:algn="ctr">
            <w14:noFill/>
            <w14:prstDash w14:val="solid"/>
            <w14:bevel/>
          </w14:textOutline>
        </w:rPr>
        <w:lastRenderedPageBreak/>
        <w:t>instrument of ratification of the American Convention on Human Rights", under the parameters set forth above.</w:t>
      </w:r>
      <w:r w:rsidRPr="000A4227">
        <w:rPr>
          <w:rFonts w:eastAsia="Calibri" w:cs="Calibri"/>
          <w:bCs/>
          <w:color w:val="000000"/>
          <w:u w:color="000000"/>
          <w:bdr w:val="nil"/>
          <w:vertAlign w:val="superscript"/>
          <w14:textOutline w14:w="0" w14:cap="flat" w14:cmpd="sng" w14:algn="ctr">
            <w14:noFill/>
            <w14:prstDash w14:val="solid"/>
            <w14:bevel/>
          </w14:textOutline>
        </w:rPr>
        <w:footnoteReference w:id="131"/>
      </w:r>
      <w:r w:rsidRPr="000A4227">
        <w:rPr>
          <w:rFonts w:eastAsia="Calibri" w:cs="Calibri"/>
          <w:bCs/>
          <w:color w:val="000000"/>
          <w:u w:color="000000"/>
          <w:bdr w:val="nil"/>
          <w:vertAlign w:val="superscript"/>
          <w14:textOutline w14:w="0" w14:cap="flat" w14:cmpd="sng" w14:algn="ctr">
            <w14:noFill/>
            <w14:prstDash w14:val="solid"/>
            <w14:bevel/>
          </w14:textOutline>
        </w:rPr>
        <w:footnoteReference w:id="132"/>
      </w:r>
    </w:p>
    <w:p w14:paraId="7B304145" w14:textId="77777777" w:rsidR="000A4227" w:rsidRPr="00950B9E" w:rsidRDefault="000A4227" w:rsidP="000A422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8A220BE" w14:textId="67722B24"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 xml:space="preserve">Taking into account its own mandate, the Commission </w:t>
      </w:r>
      <w:r w:rsidR="000A4227" w:rsidRPr="00950B9E">
        <w:rPr>
          <w:rFonts w:eastAsia="Calibri" w:cs="Calibri"/>
          <w:bCs/>
          <w:color w:val="000000"/>
          <w:u w:color="000000"/>
          <w:bdr w:val="nil"/>
          <w14:textOutline w14:w="0" w14:cap="flat" w14:cmpd="sng" w14:algn="ctr">
            <w14:noFill/>
            <w14:prstDash w14:val="solid"/>
            <w14:bevel/>
          </w14:textOutline>
        </w:rPr>
        <w:t>concluded that</w:t>
      </w:r>
      <w:r w:rsidRPr="00950B9E">
        <w:rPr>
          <w:rFonts w:eastAsia="Calibri" w:cs="Calibri"/>
          <w:bCs/>
          <w:color w:val="000000"/>
          <w:u w:color="000000"/>
          <w:bdr w:val="nil"/>
          <w14:textOutline w14:w="0" w14:cap="flat" w14:cmpd="sng" w14:algn="ctr">
            <w14:noFill/>
            <w14:prstDash w14:val="solid"/>
            <w14:bevel/>
          </w14:textOutline>
        </w:rPr>
        <w:t xml:space="preserve"> due to the deposit made </w:t>
      </w:r>
      <w:r w:rsidR="00B4399C" w:rsidRPr="00950B9E">
        <w:rPr>
          <w:rFonts w:eastAsia="Calibri" w:cs="Calibri"/>
          <w:bCs/>
          <w:color w:val="000000"/>
          <w:u w:color="000000"/>
          <w:bdr w:val="nil"/>
          <w14:textOutline w14:w="0" w14:cap="flat" w14:cmpd="sng" w14:algn="ctr">
            <w14:noFill/>
            <w14:prstDash w14:val="solid"/>
            <w14:bevel/>
          </w14:textOutline>
        </w:rPr>
        <w:t>of the</w:t>
      </w:r>
      <w:r w:rsidRPr="00950B9E">
        <w:rPr>
          <w:rFonts w:eastAsia="Calibri" w:cs="Calibri"/>
          <w:bCs/>
          <w:color w:val="000000"/>
          <w:u w:color="000000"/>
          <w:bdr w:val="nil"/>
          <w14:textOutline w14:w="0" w14:cap="flat" w14:cmpd="sng" w14:algn="ctr">
            <w14:noFill/>
            <w14:prstDash w14:val="solid"/>
            <w14:bevel/>
          </w14:textOutline>
        </w:rPr>
        <w:t xml:space="preserve"> communication described above by the Secretary General, there were no</w:t>
      </w:r>
      <w:r w:rsidR="000A4227">
        <w:rPr>
          <w:rFonts w:eastAsia="Calibri" w:cs="Calibri"/>
          <w:bCs/>
          <w:color w:val="000000"/>
          <w:u w:color="000000"/>
          <w:bdr w:val="nil"/>
          <w14:textOutline w14:w="0" w14:cap="flat" w14:cmpd="sng" w14:algn="ctr">
            <w14:noFill/>
            <w14:prstDash w14:val="solid"/>
            <w14:bevel/>
          </w14:textOutline>
        </w:rPr>
        <w:t xml:space="preserve"> </w:t>
      </w:r>
      <w:r w:rsidRPr="00950B9E">
        <w:rPr>
          <w:rFonts w:eastAsia="Calibri" w:cs="Calibri"/>
          <w:bCs/>
          <w:color w:val="000000"/>
          <w:u w:color="000000"/>
          <w:bdr w:val="nil"/>
          <w14:textOutline w14:w="0" w14:cap="flat" w14:cmpd="sng" w14:algn="ctr">
            <w14:noFill/>
            <w14:prstDash w14:val="solid"/>
            <w14:bevel/>
          </w14:textOutline>
        </w:rPr>
        <w:t xml:space="preserve">reasons why the Commission considered that through the communication of July 1, 2019, the American Convention was not ratified with retroactive effect until the moment the denunciation entered into </w:t>
      </w:r>
      <w:r w:rsidR="00B845DF" w:rsidRPr="00950B9E">
        <w:rPr>
          <w:rFonts w:eastAsia="Calibri" w:cs="Calibri"/>
          <w:bCs/>
          <w:color w:val="000000"/>
          <w:u w:color="000000"/>
          <w:bdr w:val="nil"/>
          <w14:textOutline w14:w="0" w14:cap="flat" w14:cmpd="sng" w14:algn="ctr">
            <w14:noFill/>
            <w14:prstDash w14:val="solid"/>
            <w14:bevel/>
          </w14:textOutline>
        </w:rPr>
        <w:t>force, according</w:t>
      </w:r>
      <w:r w:rsidRPr="00950B9E">
        <w:rPr>
          <w:rFonts w:eastAsia="Calibri" w:cs="Calibri"/>
          <w:bCs/>
          <w:color w:val="000000"/>
          <w:u w:color="000000"/>
          <w:bdr w:val="nil"/>
          <w14:textOutline w14:w="0" w14:cap="flat" w14:cmpd="sng" w14:algn="ctr">
            <w14:noFill/>
            <w14:prstDash w14:val="solid"/>
            <w14:bevel/>
          </w14:textOutline>
        </w:rPr>
        <w:t xml:space="preserve"> to the will expressed in that declaration. The Commission also noted </w:t>
      </w:r>
      <w:r w:rsidR="006567F1" w:rsidRPr="00950B9E">
        <w:rPr>
          <w:rFonts w:eastAsia="Calibri" w:cs="Calibri"/>
          <w:bCs/>
          <w:color w:val="000000"/>
          <w:u w:color="000000"/>
          <w:bdr w:val="nil"/>
          <w14:textOutline w14:w="0" w14:cap="flat" w14:cmpd="sng" w14:algn="ctr">
            <w14:noFill/>
            <w14:prstDash w14:val="solid"/>
            <w14:bevel/>
          </w14:textOutline>
        </w:rPr>
        <w:t>that, although</w:t>
      </w:r>
      <w:r w:rsidRPr="00950B9E">
        <w:rPr>
          <w:rFonts w:eastAsia="Calibri" w:cs="Calibri"/>
          <w:bCs/>
          <w:color w:val="000000"/>
          <w:u w:color="000000"/>
          <w:bdr w:val="nil"/>
          <w14:textOutline w14:w="0" w14:cap="flat" w14:cmpd="sng" w14:algn="ctr">
            <w14:noFill/>
            <w14:prstDash w14:val="solid"/>
            <w14:bevel/>
          </w14:textOutline>
        </w:rPr>
        <w:t xml:space="preserve"> it forwarded the petition to the State alleging violations of the American Convention, it did not present specific information indicating that it is not a party to that treaty, which is relevant since it is one of the fundamental aspects of this case.</w:t>
      </w:r>
    </w:p>
    <w:p w14:paraId="18B2141B" w14:textId="77777777" w:rsidR="006953BA" w:rsidRPr="00950B9E" w:rsidRDefault="006953BA" w:rsidP="006953BA">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ECEBEA3" w14:textId="5327054C"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Finally, the Commission stressed that a determination to the contrary would not only be inconsistent with the act carried out by the Secretary General, in a context where the existence of an alteration of the constitutional and democratic order in the State has also been recognized, but would also deprive the inhabitants of Venezuela of the level of inter-American protection that comes from the American Convention and the jurisdiction of the Inter-American Court of Human Rights.</w:t>
      </w:r>
      <w:r w:rsidRPr="00B4399C">
        <w:rPr>
          <w:rFonts w:eastAsia="Calibri" w:cs="Calibri"/>
          <w:bCs/>
          <w:color w:val="000000"/>
          <w:u w:color="000000"/>
          <w:bdr w:val="nil"/>
          <w:vertAlign w:val="superscript"/>
          <w14:textOutline w14:w="0" w14:cap="flat" w14:cmpd="sng" w14:algn="ctr">
            <w14:noFill/>
            <w14:prstDash w14:val="solid"/>
            <w14:bevel/>
          </w14:textOutline>
        </w:rPr>
        <w:footnoteReference w:id="133"/>
      </w:r>
      <w:r w:rsidRPr="00B4399C">
        <w:rPr>
          <w:rFonts w:eastAsia="Calibri" w:cs="Calibri"/>
          <w:bCs/>
          <w:color w:val="000000"/>
          <w:u w:color="000000"/>
          <w:bdr w:val="nil"/>
          <w:vertAlign w:val="superscript"/>
          <w14:textOutline w14:w="0" w14:cap="flat" w14:cmpd="sng" w14:algn="ctr">
            <w14:noFill/>
            <w14:prstDash w14:val="solid"/>
            <w14:bevel/>
          </w14:textOutline>
        </w:rPr>
        <w:footnoteReference w:id="134"/>
      </w:r>
    </w:p>
    <w:p w14:paraId="6C163B74" w14:textId="77777777" w:rsidR="00B4399C" w:rsidRPr="00950B9E" w:rsidRDefault="00B4399C" w:rsidP="00B4399C">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C745418"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Regarding the merits, the Commission found that the State of Venezuela violated the right to personal liberty of the victims. The Commission held that, from the moment the judge of the Control Court decided to replace the pretrial detention and issued the release order, there were no legal grounds for the victims’ detention. Therefore, the refusal to execute said order rendered the continuation of the deprivation of liberty of the alleged victims illegal and arbitrary. The Commission noted that the victims were in a position of vulnerability as a result of the pretrial detention, which made them susceptible to torture and cruel, inhuman or degrading treatment. In addition, they were uncertain as to when they would be released, since the prison authorities failed to execute the orders issued by the courts. The Commission found that the detainees spent from 17 months to more than two years in pretrial detention.</w:t>
      </w:r>
    </w:p>
    <w:p w14:paraId="3ED366D8" w14:textId="77777777" w:rsidR="00B4399C" w:rsidRPr="00950B9E" w:rsidRDefault="00B4399C" w:rsidP="00B4399C">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5CB179A" w14:textId="12AA79CA"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Furthermore, the Commission held that the State violated the right to humane treatment of the victims, inasmuch</w:t>
      </w:r>
      <w:r w:rsidR="00B4399C">
        <w:rPr>
          <w:rFonts w:eastAsia="Calibri" w:cs="Calibri"/>
          <w:bCs/>
          <w:color w:val="000000"/>
          <w:u w:color="000000"/>
          <w:bdr w:val="nil"/>
          <w14:textOutline w14:w="0" w14:cap="flat" w14:cmpd="sng" w14:algn="ctr">
            <w14:noFill/>
            <w14:prstDash w14:val="solid"/>
            <w14:bevel/>
          </w14:textOutline>
        </w:rPr>
        <w:t xml:space="preserve"> </w:t>
      </w:r>
      <w:r w:rsidRPr="00950B9E">
        <w:rPr>
          <w:rFonts w:eastAsia="Calibri" w:cs="Calibri"/>
          <w:bCs/>
          <w:color w:val="000000"/>
          <w:u w:color="000000"/>
          <w:bdr w:val="nil"/>
          <w14:textOutline w14:w="0" w14:cap="flat" w14:cmpd="sng" w14:algn="ctr">
            <w14:noFill/>
            <w14:prstDash w14:val="solid"/>
            <w14:bevel/>
          </w14:textOutline>
        </w:rPr>
        <w:t>as sufficient evidence exists as to the fact that they were subjected to physical and psychological torture, and that the State did not evidence of any investigation being conducted. Furthermore, the Commission found that the victims were held in bad detention conditions. As a consequence, they went on hunger strikes to protest against such conditions, but no adequate medical care was provided to them. In addition, the police officers were not kept separate based on the fact that they were officers and on their non-convicted status.</w:t>
      </w:r>
    </w:p>
    <w:p w14:paraId="26742F53" w14:textId="77777777" w:rsidR="00B4399C" w:rsidRPr="00950B9E" w:rsidRDefault="00B4399C" w:rsidP="00B4399C">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B55449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lastRenderedPageBreak/>
        <w:t>Finally, the Commission found that, in spite of the complaints filed in relation to the arbitrary deprivation of liberty and the acts of torture, the State did not provide an effective remedy for the clarification of their claims or the protection of their right to personal liberty.</w:t>
      </w:r>
    </w:p>
    <w:p w14:paraId="1DEAD9BF" w14:textId="77777777" w:rsidR="00B4399C" w:rsidRPr="00950B9E" w:rsidRDefault="00B4399C" w:rsidP="00B845D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D6373BB" w14:textId="7A1F8074" w:rsidR="006567F1" w:rsidRPr="007E76F0"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50B9E">
        <w:rPr>
          <w:rFonts w:eastAsia="Calibri" w:cs="Calibri"/>
          <w:bCs/>
          <w:color w:val="000000"/>
          <w:u w:color="000000"/>
          <w:bdr w:val="nil"/>
          <w14:textOutline w14:w="0" w14:cap="flat" w14:cmpd="sng" w14:algn="ctr">
            <w14:noFill/>
            <w14:prstDash w14:val="solid"/>
            <w14:bevel/>
          </w14:textOutline>
        </w:rPr>
        <w:t>In view of the foregoing, the Commission concluded that the State of Venezuela is responsible for violating Articles 5.1, 5.2, 7.1, 7.2, 7.3, 7.6, 8.1 and 25.1 of the American Convention on Human Rights, in relation to the obligations set forth in Article 1.1 thereof, and for violating Articles 1, 6 and 8 of the Inter-American Convention to Prevent and Punish Torture to the detriment of the 14 victims.</w:t>
      </w:r>
    </w:p>
    <w:p w14:paraId="2B0A92C6" w14:textId="77777777" w:rsidR="006567F1" w:rsidRPr="00950B9E" w:rsidRDefault="006567F1" w:rsidP="00B845D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E16EDD0" w14:textId="77777777" w:rsidR="00774C1A" w:rsidRPr="00B845DF"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B845DF">
        <w:rPr>
          <w:rFonts w:ascii="Cambria" w:hAnsi="Cambria"/>
          <w:b/>
          <w:color w:val="000000"/>
          <w:sz w:val="20"/>
          <w:szCs w:val="20"/>
        </w:rPr>
        <w:t>Dina Alexandra Carrión et al. v. Nicaragua</w:t>
      </w:r>
    </w:p>
    <w:p w14:paraId="67C7949A" w14:textId="77777777" w:rsidR="00B845D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This case relates to the international responsibility of the State of Nicaragua for the lack of due diligence in the investigation of the facts related to the death of Dina Alexandra Carrión, as well as in ensuring the relationship and bond between Ms. Carrión’s son and her maternal family in her absence.</w:t>
      </w:r>
    </w:p>
    <w:p w14:paraId="30AE242C" w14:textId="4D844E95" w:rsidR="00774C1A" w:rsidRPr="00B845DF" w:rsidRDefault="00774C1A" w:rsidP="00B845DF">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23AE7D22" w14:textId="77777777" w:rsidR="00774C1A" w:rsidRPr="00B845D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Ms. Dina Carrión was going through a divorce proceeding and had custody of her son C. (his name is not disclosed to protect his identity). C.’s father, Juan Carlos Siles, promised to return with the child on March 31, 2010. However, on April 3, Mr. Siles came back home without the boy, so Dina Carrión stayed at home waiting for him. Later, she was found dead at her home with a gunshot in her chest. </w:t>
      </w:r>
    </w:p>
    <w:p w14:paraId="7803505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Valeria Carrión, the victim’s sister, filed a report with the National Police against Mr. Siles due to the violence and the psychological and verbal mistreatment that her sister suffered, and as a result that he did not inform them immediately of her death. Initially, Mr. Siles was investigated for the crime of aggravated inducement to suicide, since the post-mortem medical expert witness statement concluded that the cause of death was suicide. The Carrión González family challenged the expert witness statement, alleging that she had physical injuries that were not examined, and held that the police did not take into consideration the fact that Ms. Carrión lived in a violent marriage. The Office of the Public Prosecutor opened an independent investigation requesting a series of expert witness statements to the police. The victim’s family submitted an expert report, according to which the suicide hypothesis should be discarded. The report also highlighted that people do not commit suicide on their knees, which is the position in which Dina’s body was found, and that she could have been forced to her knees before being shot, among other irregularities. </w:t>
      </w:r>
    </w:p>
    <w:p w14:paraId="7B6F274D" w14:textId="77777777" w:rsidR="007D0EC7" w:rsidRPr="00B845DF" w:rsidRDefault="007D0EC7" w:rsidP="007D0EC7">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322D6B3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June 2010, the case was closed, and it was concluded that Ms. Dina Carrión’s death was caused by suicide, inasmuch as the injuries in her body occurred after her death, so it was impossible to infer that she had fight for her life against someone. This decision was challenged as well. </w:t>
      </w:r>
    </w:p>
    <w:p w14:paraId="27377760"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377594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On May 14, 2011, the prosecutor reopened the case and ordered that “several gaps in the investigation be filled” in order to “determine whether an action should be filed based on the crime of murder or parricide.” Among other proceedings, she requested that inconsistencies in Mr. Siles’ testimonies be investigated. She held that the chain of custody had been broken. And, among other irregularities, she pointed out that it was inappropriate that the forensic medical expert witness statement relied on “the emotional instability and the psychiatric treatment that Dina Carrión was undergoing” to decide on her death as a suicide.</w:t>
      </w:r>
    </w:p>
    <w:p w14:paraId="530E3632"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4A8BE06"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Over the course of this new stage in the investigation, a number of irregularities concerning a firearm belonging to Mr. Siles were uncovered. In addition, the collection of evidence was ordered to verify the DNA found in some objects of the house, which were stained with blood. In January 2013, an accusation was brought against Mr. Siles as the alleged author of the crime of parricide. On May 31, 2013, Mr. Siles filed an administrative writ of amparo against the prosecutor for having issued the resolution in 2011, under which the case was reopened, and against the auxiliary prosecutor for bringing an accusation against him in January 2013. The writ of amparo was admitted, and the proceedings were suspended until the Supreme Court of Justice ruled on the matter. </w:t>
      </w:r>
    </w:p>
    <w:p w14:paraId="208CA96D"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388EE61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lastRenderedPageBreak/>
        <w:t xml:space="preserve">Over the course of the proceedings, in May 2014, an article was published on the judiciary’s website. Said article referred to the statements made by the president of the Supreme Court, who held that the medical expert witness statements had concluded that Dina Carrión’s death was a suicide and that the Carrión González family just wanted to misinform the public. The president added that, if the Constitutional Chamber ruled in favor of the prosecution and allowed it to accuse Juan Carlos Siles of parricide, the judge hearing the case would have to rebut the medical expert witness statements only by presumption. Otherwise, he would be “accused of being corrupt, a thief and dishonest, like the rest of the judiciary.” Furthermore, a press conference given by the director of the Institute of Legal Medicine and the spokesperson of the judiciary was published in a newspaper. During the conference, they confirmed that Dina Carrión had committed suicide and that the resolution of the Supreme Court of Justice would not be contrary to the expert witness statements. </w:t>
      </w:r>
    </w:p>
    <w:p w14:paraId="465B17BD"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62ABB60" w14:textId="4FE47093" w:rsidR="007D0EC7"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May 2019, the Supreme Court of Justice admitted the writ of amparo and rendered the prosecution’s resolution of May 14, 2011, and the accusation of January 15, 2013, ineffective, on the grounds that they had violated the rights of Juan Carlos Siles to due process of law, to access to justice, to legal certainty and to legality. With regard to the accusation made in 2013, the Supreme Court concluded that it was arbitrary, inasmuch as it classified Dina Carrión’s death as a parricide based on expert reports that had decided on it as a suicide. The Supreme Court also held that the investigations conducted by the State were consistent with the Inter-American Court jurisprudence with regard to the right to life, the right of access to justice and the guidelines for the investigation of violent deaths. In parallel with the criminal proceedings, Dina Carrión’s family filed civil actions with courts in family matters to reestablish their relationship with C., who was 6 years old when his mother died. In October 2011, Judgment No. 1123 of the Judge in Family Matters held that C.’s rights to identity and personality were being violated by his father by not allowing him to have a relationship with his maternal </w:t>
      </w:r>
      <w:r w:rsidR="006567F1" w:rsidRPr="00B845DF">
        <w:rPr>
          <w:rFonts w:eastAsia="Calibri" w:cs="Calibri"/>
          <w:bCs/>
          <w:color w:val="000000"/>
          <w:u w:color="000000"/>
          <w:bdr w:val="nil"/>
          <w14:textOutline w14:w="0" w14:cap="flat" w14:cmpd="sng" w14:algn="ctr">
            <w14:noFill/>
            <w14:prstDash w14:val="solid"/>
            <w14:bevel/>
          </w14:textOutline>
        </w:rPr>
        <w:t>family and</w:t>
      </w:r>
      <w:r w:rsidRPr="00B845DF">
        <w:rPr>
          <w:rFonts w:eastAsia="Calibri" w:cs="Calibri"/>
          <w:bCs/>
          <w:color w:val="000000"/>
          <w:u w:color="000000"/>
          <w:bdr w:val="nil"/>
          <w14:textOutline w14:w="0" w14:cap="flat" w14:cmpd="sng" w14:algn="ctr">
            <w14:noFill/>
            <w14:prstDash w14:val="solid"/>
            <w14:bevel/>
          </w14:textOutline>
        </w:rPr>
        <w:t xml:space="preserve"> ordered that the child should be able to bond with his grandparents. Juan Carlos Siles filed a writ of amparo, which was admitted and led to the suspension for the execution of said judgment.</w:t>
      </w:r>
    </w:p>
    <w:p w14:paraId="5D1DC823" w14:textId="152777C7" w:rsidR="00774C1A" w:rsidRPr="00B845DF" w:rsidRDefault="00774C1A" w:rsidP="007D0EC7">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5A93C101"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Through a mediation process, the parties agreed to complying with the judgment. After the filing of a complaint for non-compliance against Mr. Siles, another agreement was signed for him to comply with the judgment. However, since November 2014, there has been no record indicating that C. saw his maternal family again. On February 11, 2016, the judge concluded that the relationship between C. and his maternal grandmother could not be forced, without C. first receiving psychological treatment to overcome his rejection. For that reason, the judge suspended the execution of the judgment and ordered Juan Carlos Siles to take the child to therapy. After this, the Carrión family filed an appeal alleging that the ruling of the Judge in Family Matters went beyond its jurisdiction by distorting the substance of Judgment No. 1123 and by delegating to Mr. Siles the obligation to take the child to therapy. The appeal, according to the most recent information available, was pending resolution. </w:t>
      </w:r>
    </w:p>
    <w:p w14:paraId="05E4906D"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160187B"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its Admissibility and Merits Report No. 289/21, the Commission found that there was a lack of due diligence and of a gender perspective in the investigation conducted by the State into the facts related to the death of the victim.</w:t>
      </w:r>
    </w:p>
    <w:p w14:paraId="0006261B"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E980DB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noted that several irregularities were verified during the initial steps, including a number of flaws and contradictions between the authorities, and the possible tampering of the crime scene, inasmuch as evidence was not collected and preserved adequately. Furthermore, the autopsy of Dina Carrión did not offer descriptions or interpretations of several injuries in her body, which were pointed out by her relatives. </w:t>
      </w:r>
    </w:p>
    <w:p w14:paraId="0B3BE023"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A52CFA9"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found that there was a lack of enhanced due diligence in the investigation of the logical line of gender-based violence, which constitutes a violation of the right to a fair trial, the right to judicial protection and the duty to investigate acts of violence against women. It took into consideration the increase of violence against women in Nicaragua and the lack of effective mechanisms to report said acts of violence. Furthermore, the Commission notes that, at an earlier stage of the investigation, the hypothesis of femicide or parricide was not sufficiently explored. As a result, the initial investigation – which is currently </w:t>
      </w:r>
      <w:r w:rsidRPr="00B845DF">
        <w:rPr>
          <w:rFonts w:eastAsia="Calibri" w:cs="Calibri"/>
          <w:bCs/>
          <w:color w:val="000000"/>
          <w:u w:color="000000"/>
          <w:bdr w:val="nil"/>
          <w14:textOutline w14:w="0" w14:cap="flat" w14:cmpd="sng" w14:algn="ctr">
            <w14:noFill/>
            <w14:prstDash w14:val="solid"/>
            <w14:bevel/>
          </w14:textOutline>
        </w:rPr>
        <w:lastRenderedPageBreak/>
        <w:t>regarded as final – only addressed the line of suicide early on, even though there were indicia that pointed to the possibility of a gender-based crime.</w:t>
      </w:r>
    </w:p>
    <w:p w14:paraId="4E63915F"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5F590B6" w14:textId="67CD3D0C"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The Commission identified that there were stereotypes in the investigation, for example, in the argument that the death by suicide was related to the victim’s “emotional instability, the psychiatric treatment, the loss of the relationship with her partner and the alcohol in her blood.” The Commission also found that the justification based on personal characteristics decisively or conclusively stated in the expert witness statement are stereotyped and </w:t>
      </w:r>
      <w:r w:rsidR="007D0EC7" w:rsidRPr="00B845DF">
        <w:rPr>
          <w:rFonts w:eastAsia="Calibri" w:cs="Calibri"/>
          <w:bCs/>
          <w:color w:val="000000"/>
          <w:u w:color="000000"/>
          <w:bdr w:val="nil"/>
          <w14:textOutline w14:w="0" w14:cap="flat" w14:cmpd="sng" w14:algn="ctr">
            <w14:noFill/>
            <w14:prstDash w14:val="solid"/>
            <w14:bevel/>
          </w14:textOutline>
        </w:rPr>
        <w:t>discriminatory and</w:t>
      </w:r>
      <w:r w:rsidRPr="00B845DF">
        <w:rPr>
          <w:rFonts w:eastAsia="Calibri" w:cs="Calibri"/>
          <w:bCs/>
          <w:color w:val="000000"/>
          <w:u w:color="000000"/>
          <w:bdr w:val="nil"/>
          <w14:textOutline w14:w="0" w14:cap="flat" w14:cmpd="sng" w14:algn="ctr">
            <w14:noFill/>
            <w14:prstDash w14:val="solid"/>
            <w14:bevel/>
          </w14:textOutline>
        </w:rPr>
        <w:t xml:space="preserve"> constitute a violation of the right to equality and of the guarantee of impartiality that investigative and judicial authorities must provide. </w:t>
      </w:r>
    </w:p>
    <w:p w14:paraId="08AE314B"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8BD7BF2"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Furthermore, the Commission found that the Office of the Public Prosecutor took more time than it is provided by law to rule on the remedy filed by the victim’s family to challenge the resolution that classified the death as a suicide. As a result, the Supreme Court rendered all the subsequent actions null and void, thus taking the proceedings backwards to the determination of suicide. As a result of the delay of the Office of the Public Prosecutor, it was not possible to continue with the criminal proceedings pursuant to the applicable law. </w:t>
      </w:r>
    </w:p>
    <w:p w14:paraId="286EC437"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848C6FC"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With regard to the rights to the protection of the family and children, the Commission noted that, while at the domestic level there is no dispute about the fact that C. and his maternal grandparents have the right to be in contact with each other and develop their relationship, over the course of the years, several court decisions were issued and, since 2014, the Carrión family has not been able to contact C. The Commission considered, among other aspects, that the State failed to effectively adopt special measures to ensure the strengthening of C.’s family relationship, using an approach that guarantees his well-being and designing a plan that would allow C. to receive the support that he needs and to improve his relationship with his maternal family in the foreseeable and ascertainable future. The Commission noted that the authorities did not act with special promptness either to resolve this situation.</w:t>
      </w:r>
    </w:p>
    <w:p w14:paraId="0EA16067"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B0683BF"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view of the foregoing, with regard to the investigation of the death of Dina Carrión, the Commission concluded that Nicaragua is responsible for violating Articles 8, 24 and 25 of the American Convention on Human Rights, in relation to Article 1.1 thereof, as well as Article 7 of the Convention of Belém do Pará in relation to Article 4 of the American Convention, to the detriment of Dina Carrión, as well as her next of kin identified in the report on the merits. Likewise, the Commission found the State responsible for violating Article 5 of the American Convention to the detriment of Dina Carrión’s next of kin. </w:t>
      </w:r>
    </w:p>
    <w:p w14:paraId="01BBB777"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3F8F3D5"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Furthermore, the Commission concluded that the State of Nicaragua is responsible for violating the rights to humane treatment, to a fair trial, to the protection of the family, the rights of the child, and to judicial protection, enshrined in Articles 5, 8, 17.1, 19 and 25 of the American Convention, in relation to Article 1.1 thereof, to the detriment of C. The Commission found that the State is responsible for violating the rights to the protection of the family, to a fair trial and to judicial protection, set forth in Articles 8, 17 and 25 of the American Convention, in relation to Article 1.1 thereof, to the detriment of Aida González.</w:t>
      </w:r>
    </w:p>
    <w:p w14:paraId="261876CB"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06B9D12" w14:textId="7EF6E0CA" w:rsidR="007D0EC7" w:rsidRPr="007D0EC7"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7D0EC7">
        <w:rPr>
          <w:rFonts w:ascii="Cambria" w:hAnsi="Cambria"/>
          <w:b/>
          <w:color w:val="000000"/>
          <w:sz w:val="20"/>
          <w:szCs w:val="20"/>
        </w:rPr>
        <w:t>Gustavo Washington Hidalgo and family v. Ecuador</w:t>
      </w:r>
    </w:p>
    <w:p w14:paraId="606457D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This case relates to the international responsibility of the State of Ecuador for the torture and extrajudicial execution of Gustavo Washington Hidalgo, and for the lack of due diligence in the investigation of the facts. </w:t>
      </w:r>
    </w:p>
    <w:p w14:paraId="779D30B0" w14:textId="77777777" w:rsidR="007D0EC7" w:rsidRPr="00B845DF" w:rsidRDefault="007D0EC7" w:rsidP="007D0EC7">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048B1FE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Based on information submitted throughout the judicial proceedings, on December 8, 1992, Mr. Hidalgo reportedly resisted when he was being arrested by four police officers during a public celebration – allegedly for being under the influence of alcohol. According to witnesses to the facts, the police officers beat Mr. Hidalgo and dragged him more than three blocks to the police detention center. That same night, his brother went to visit him in jail and found Mr. Hidalgo lying on the floor with his face down. His face was completely </w:t>
      </w:r>
      <w:r w:rsidRPr="00B845DF">
        <w:rPr>
          <w:rFonts w:eastAsia="Calibri" w:cs="Calibri"/>
          <w:bCs/>
          <w:color w:val="000000"/>
          <w:u w:color="000000"/>
          <w:bdr w:val="nil"/>
          <w14:textOutline w14:w="0" w14:cap="flat" w14:cmpd="sng" w14:algn="ctr">
            <w14:noFill/>
            <w14:prstDash w14:val="solid"/>
            <w14:bevel/>
          </w14:textOutline>
        </w:rPr>
        <w:lastRenderedPageBreak/>
        <w:t xml:space="preserve">covered in blood, and one of his eyes was open. After seeing Mr. Hidalgo’s condition, his brother called a doctor. The doctor examined him and said that Mr. Hidalgo was dead. </w:t>
      </w:r>
    </w:p>
    <w:p w14:paraId="18AE5911"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8530B3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its report on the merits, the Commission held that there is no dispute about the fact that Mr. Hidalgo died while he was under the custody of the State and that the autopsy made reference to violations of the victim’s physical integrity which were prior to his death. The Commission also noted that there are testimonies on the mistreatment suffered by the victim during his transfer to the police station and during his detention in jail, as well as on his execution. The Commission concluded that the State did not provide, neither to the Commission nor during the domestic investigation, any explanation of the facts that would point to a legitimate use of force pursuant to the standards of necessity and proportionality. It also concluded that the three constituent elements of torture are present in the injuries suffered by the victim. </w:t>
      </w:r>
    </w:p>
    <w:p w14:paraId="35F0DBFE"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4E18528" w14:textId="1035B874" w:rsidR="00774C1A" w:rsidRPr="00B845D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Furthermore, based on the procedural documents of the investigation, the police officers involved in the death were never summoned to give statements and, between 1993 and 2000, no further steps were taken. During this period, statements were not even collected from Mr. Hidalgo’s family. The Commission found that the State provided no satisfactory explanation of the death of Mr. Hidalgo while he was under its </w:t>
      </w:r>
      <w:r w:rsidR="006567F1" w:rsidRPr="00B845DF">
        <w:rPr>
          <w:rFonts w:eastAsia="Calibri" w:cs="Calibri"/>
          <w:bCs/>
          <w:color w:val="000000"/>
          <w:u w:color="000000"/>
          <w:bdr w:val="nil"/>
          <w14:textOutline w14:w="0" w14:cap="flat" w14:cmpd="sng" w14:algn="ctr">
            <w14:noFill/>
            <w14:prstDash w14:val="solid"/>
            <w14:bevel/>
          </w14:textOutline>
        </w:rPr>
        <w:t>custody,</w:t>
      </w:r>
      <w:r w:rsidRPr="00B845DF">
        <w:rPr>
          <w:rFonts w:eastAsia="Calibri" w:cs="Calibri"/>
          <w:bCs/>
          <w:color w:val="000000"/>
          <w:u w:color="000000"/>
          <w:bdr w:val="nil"/>
          <w14:textOutline w14:w="0" w14:cap="flat" w14:cmpd="sng" w14:algn="ctr">
            <w14:noFill/>
            <w14:prstDash w14:val="solid"/>
            <w14:bevel/>
          </w14:textOutline>
        </w:rPr>
        <w:t xml:space="preserve"> nor did it conduct any investigation in line with its international obligations. In this regard, the Commission concluded that the State failed to comply with its obligation of due diligence in the criminal investigation and that said investigation was not carried out within a reasonable term. </w:t>
      </w:r>
    </w:p>
    <w:p w14:paraId="6ABE435E"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Lastly, the Commission found that the death of Mr. Hidalgo under such circumstances, as well as the absence of truth and justice, has caused pain and suffering to the next of kin identified in the report on the merits.</w:t>
      </w:r>
    </w:p>
    <w:p w14:paraId="106EDA55" w14:textId="77777777" w:rsidR="007D0EC7" w:rsidRPr="00B845DF" w:rsidRDefault="007D0EC7" w:rsidP="007D0EC7">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202B664F"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view of the foregoing, the Commission concluded that the State of Ecuador violated the rights to life, to humane treatment, to a fair trial and to judicial protection, enshrined in Articles 4.1, 5.1, 5.2, 8.1 and 25.1 of the American Convention on Human Rights, in relation to Article 1.1 thereof, to the detriment of Gustavo Washington Hidalgo and his next of kin. The Commission also concluded that the State failed to comply with the obligations set forth in Articles 1, 6 and 8 of the Inter-American Convention to Prevent and Punish Torture owing to the lack of investigation, as of November 9, 1999, of the acts of torture committed against Mr. Hidalgo, to the detriment of his next of kin.</w:t>
      </w:r>
    </w:p>
    <w:p w14:paraId="1D21782C"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558C799" w14:textId="09B5B726" w:rsidR="007D0EC7" w:rsidRPr="002A727F"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lang w:val="fr-CA"/>
        </w:rPr>
      </w:pPr>
      <w:r w:rsidRPr="002A727F">
        <w:rPr>
          <w:rFonts w:ascii="Cambria" w:hAnsi="Cambria"/>
          <w:b/>
          <w:color w:val="000000"/>
          <w:sz w:val="20"/>
          <w:szCs w:val="20"/>
          <w:lang w:val="fr-CA"/>
        </w:rPr>
        <w:t>Cristiane Leite De Souza et al. v. Brazil</w:t>
      </w:r>
    </w:p>
    <w:p w14:paraId="01F3F8D2"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2A727F">
        <w:rPr>
          <w:rFonts w:eastAsia="Calibri" w:cs="Calibri"/>
          <w:bCs/>
          <w:color w:val="000000"/>
          <w:u w:color="000000"/>
          <w:bdr w:val="nil"/>
          <w:lang w:val="fr-CA"/>
          <w14:textOutline w14:w="0" w14:cap="flat" w14:cmpd="sng" w14:algn="ctr">
            <w14:noFill/>
            <w14:prstDash w14:val="solid"/>
            <w14:bevel/>
          </w14:textOutline>
        </w:rPr>
        <w:t xml:space="preserve">This case relates to the international responsibility of the State of Brazil for the forced disappearance of Viviane Rocha, Cristiane Leite de Souza, Wudson de Souza, Wallace do Nascimento, Antônio Carlos da Silva, Luiz Henrique Euzébio, Edson de Souza, Rosana Lima de Souza, Moisés dos Santos Cruz, Luiz Carlos Vasconcelos de Deus and Edio do Nascimento, and for the acts of sexual violence against women committed in the context of said disappearances. </w:t>
      </w:r>
      <w:r w:rsidRPr="00B845DF">
        <w:rPr>
          <w:rFonts w:eastAsia="Calibri" w:cs="Calibri"/>
          <w:bCs/>
          <w:color w:val="000000"/>
          <w:u w:color="000000"/>
          <w:bdr w:val="nil"/>
          <w14:textOutline w14:w="0" w14:cap="flat" w14:cmpd="sng" w14:algn="ctr">
            <w14:noFill/>
            <w14:prstDash w14:val="solid"/>
            <w14:bevel/>
          </w14:textOutline>
        </w:rPr>
        <w:t xml:space="preserve">Furthermore, the case relates to the murder of Ms. Edméa da Silva Euzébio and Ms. Sheila da Conceição, mother and cousin of one of the victims of disappearance, respectively, as well as the absence of due diligence in the investigation and punishment of those responsible for these crimes. </w:t>
      </w:r>
    </w:p>
    <w:p w14:paraId="7B330B58" w14:textId="77777777" w:rsidR="007D0EC7" w:rsidRPr="00B845DF" w:rsidRDefault="007D0EC7" w:rsidP="007D0EC7">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079D3B4D" w14:textId="16F65AEB"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On July 26, 1990, the victims were at a rural settlement in Surui, city of Magé, when a group of civil and military police officers kidnapped them and took them to the ranch of military officer Peninha, where they were subjected to sexual violence, murdered and thrown into the </w:t>
      </w:r>
      <w:r w:rsidR="006567F1" w:rsidRPr="00B845DF">
        <w:rPr>
          <w:rFonts w:eastAsia="Calibri" w:cs="Calibri"/>
          <w:bCs/>
          <w:color w:val="000000"/>
          <w:u w:color="000000"/>
          <w:bdr w:val="nil"/>
          <w14:textOutline w14:w="0" w14:cap="flat" w14:cmpd="sng" w14:algn="ctr">
            <w14:noFill/>
            <w14:prstDash w14:val="solid"/>
            <w14:bevel/>
          </w14:textOutline>
        </w:rPr>
        <w:t>Estrela River</w:t>
      </w:r>
      <w:r w:rsidRPr="00B845DF">
        <w:rPr>
          <w:rFonts w:eastAsia="Calibri" w:cs="Calibri"/>
          <w:bCs/>
          <w:color w:val="000000"/>
          <w:u w:color="000000"/>
          <w:bdr w:val="nil"/>
          <w14:textOutline w14:w="0" w14:cap="flat" w14:cmpd="sng" w14:algn="ctr">
            <w14:noFill/>
            <w14:prstDash w14:val="solid"/>
            <w14:bevel/>
          </w14:textOutline>
        </w:rPr>
        <w:t xml:space="preserve">. On July 31, 1990, Viviane Rocha da Silva’s father reported the kidnapping of his daughter and her friends. That same day, the police investigation was opened. The Special Commission of the Secretariat of State of the Civil Police issued a report alleging that the taxi driver who took the victims to the ranch was an informant of the 9th Military Police Battalion (hereinafter “the 9th MPB”), known as “Cavalos Corredores,” whose members carried out violent acts in the Acarí favela and had extorted three victims of the case. On July 27, 2010, the Office of the Public Prosecutor of Rio de Janeiro closed the police investigation, without any criminal proceedings being initiated, due to the fact that “the bodies had never been found, and no technical evidence to account for the crime of </w:t>
      </w:r>
      <w:r w:rsidRPr="00B845DF">
        <w:rPr>
          <w:rFonts w:eastAsia="Calibri" w:cs="Calibri"/>
          <w:bCs/>
          <w:color w:val="000000"/>
          <w:u w:color="000000"/>
          <w:bdr w:val="nil"/>
          <w14:textOutline w14:w="0" w14:cap="flat" w14:cmpd="sng" w14:algn="ctr">
            <w14:noFill/>
            <w14:prstDash w14:val="solid"/>
            <w14:bevel/>
          </w14:textOutline>
        </w:rPr>
        <w:lastRenderedPageBreak/>
        <w:t xml:space="preserve">murder had been found” and due to the application of the statute of limitations. The investigation was reopened on December 13, 2011, to respond to the petition presented to the Commission. </w:t>
      </w:r>
    </w:p>
    <w:p w14:paraId="753744BF" w14:textId="77777777" w:rsidR="007D0EC7" w:rsidRPr="00B845DF" w:rsidRDefault="007D0EC7" w:rsidP="007D0EC7">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35F8B67E"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Furthermore, on January 15, 1994, Ms. Edméa da Silva Euzébio and Ms. Sheila da Conceição, mother and cousin of Luiz Henrique Euzébio, were murdered in the city of Rio de Janeiro shortly after Ms. Da Silva had obtained information and testified in court on the police involvement in the disappearances. On February 25, 1993, a criminal investigation into these deaths was opened. The person accused of being the mastermind was acquitted in 1996 by the jury at the request of the Office of the Public Prosecutor due to the lack of evidence. Later, seven members of the group “Cavalos Corredores” were accused of the murders. According to the Office of the Public Prosecutor, the crime was committed because Ms. Edméa reported the Acarí massacre, thus exposing the group’s criminal acts. On September 22, 2014, the case was brought to a jury.</w:t>
      </w:r>
    </w:p>
    <w:p w14:paraId="377D64BA"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17DCF1E"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its report on admissibility and merits, the Commission considered that sufficient evidence exists as to the fact that what happened to the victims constituted a forced disappearance, inasmuch as the deprivations of liberty were executed with the participation of state agents, and the lack of an effective investigation by the State served to cover up the perpetrators’ responsibility. The Commission added that the forced disappearances continue to this day as the whereabouts of the victims have not been determined. Furthermore, in view of the fact that some of the victims were minors, the Commission concluded that the State of Brazil also violated the rights enshrined in Article 19 of the American Convention, since it failed to adopt enhanced protection measures to further their best interests. </w:t>
      </w:r>
    </w:p>
    <w:p w14:paraId="7CF3979D"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0DF44D7" w14:textId="77777777" w:rsidR="007D0EC7"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addition, the Commission found that the State failed to comply with its obligation to investigate, judge and punish the forced disappearances within a reasonable time and with due diligence. The Commission noted that the police investigation was ongoing for almost 20 years, several delays were present, steps were not taken with promptness, the techniques applied were flawed, and the evidence was assessed too late. The Commission also held that the investigation was closed without having determined the whereabouts or fate of the victims and without having effectively held anyone responsible for the violations, despite clear indications that state actors were involved. In addition, no investigation was opened in relation to the reported sexual violence that the disappeared women allegedly suffered. Finally, the Commission noted that the State has not classified forced disappearance as a criminal offense in its legal system. The Commission concluded that the State violated the right to a fair trial, to judicial protection and to equality before the law, to the detriment of the victims, and that it failed to comply with its obligation to adopt provisions of domestic law.</w:t>
      </w:r>
    </w:p>
    <w:p w14:paraId="727F63CC" w14:textId="7B8538C1" w:rsidR="00774C1A" w:rsidRPr="00B845DF" w:rsidRDefault="00774C1A"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1C248844"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Furthermore, the Commission noted that the fact that there was a causal link between the murders of Edméa da Silva Euzébio and Sheila Conceição, and the disappearance of the victims and their work in “Mothers of Acarí,” a movement of mothers of victims of institutional violence. The Commission found that Edméa Euzébio was particularly exposed to risk because of her work as a human rights defender and her role speaking out against the disappearance of her son and seeking justice over this. In addition, the Commission held that the State did not act in a diligent manner neither to elucidate the truth of the facts nor to connect said facts with the file opened after the disappearances, and that, considering that 28 years have elapsed since their occurrence, the situation of impunity has been unreasonably prolonged. The Commission concluded that the State is responsible for violating the right to life, the right to freedom of expression, the right to freedom of assembly, the right to a fair trial and to judicial protection to the detriment of Edméa da Silva Euzébio and Sheila Conceição. </w:t>
      </w:r>
    </w:p>
    <w:p w14:paraId="2BF2A273"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08C559F"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Lastly, the Commission found that the forced disappearance of the victims, the uncertainty about their fate or whereabouts, as well as the absence of truth and justice caused suffering and anguish to their next of kin, which constitutes a violation of their right to mental and moral integrity. </w:t>
      </w:r>
    </w:p>
    <w:p w14:paraId="2026BD3C"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2BD8216"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view of the foregoing, the Commission held that the State of Brazil is responsible for violating Articles II, XVIII and XXIII of the  American Declaration of the Rights and Duties of Man; Articles 3, 4, 5, 8, 13, 16, 19, 24 and 25 of the American Convention, in relation to Articles 1.1 and 2 thereof; Articles I.a, b </w:t>
      </w:r>
      <w:r w:rsidRPr="00B845DF">
        <w:rPr>
          <w:rFonts w:eastAsia="Calibri" w:cs="Calibri"/>
          <w:bCs/>
          <w:color w:val="000000"/>
          <w:u w:color="000000"/>
          <w:bdr w:val="nil"/>
          <w14:textOutline w14:w="0" w14:cap="flat" w14:cmpd="sng" w14:algn="ctr">
            <w14:noFill/>
            <w14:prstDash w14:val="solid"/>
            <w14:bevel/>
          </w14:textOutline>
        </w:rPr>
        <w:lastRenderedPageBreak/>
        <w:t>and d, and III of the Inter-American Convention on the Forced Disappearance of Persons; and Articles 7.b and 7.f of the Inter-American Convention on the Prevention, Punishment, and Eradication of Violence against Women (the Convention of Belém do Pará).</w:t>
      </w:r>
    </w:p>
    <w:p w14:paraId="67E792C7"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E1EBC65" w14:textId="02E487D9" w:rsidR="007D0EC7" w:rsidRPr="007D0EC7"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7D0EC7">
        <w:rPr>
          <w:rFonts w:ascii="Cambria" w:hAnsi="Cambria"/>
          <w:b/>
          <w:color w:val="000000"/>
          <w:sz w:val="20"/>
          <w:szCs w:val="20"/>
        </w:rPr>
        <w:t xml:space="preserve">“María” and her son “Mariano” v. Argentina </w:t>
      </w:r>
    </w:p>
    <w:p w14:paraId="45E8220C"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instant case relates to the international responsibility of the State of Argentina for violating several rights enshrined in the American Convention on Human Rights, which were committed in the context of the administrative and judicial proceedings of guardianship and adoption of “Mariano,” to the detriment of the child himself, his mother, “María,” and the mother of “María.” </w:t>
      </w:r>
    </w:p>
    <w:p w14:paraId="6403A0FF" w14:textId="77777777" w:rsidR="007D0EC7" w:rsidRPr="00B845DF" w:rsidRDefault="007D0EC7" w:rsidP="007D0EC7">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756F02BE" w14:textId="61124BC3" w:rsidR="00774C1A" w:rsidRPr="00B845D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its admissibility and merits report, the Commission first noted that the rights to protection of the family, family life, humane treatment and identity gave rise to a number of state obligations which could be translated as the right of a child to remain, in principle, with their biological parents. This means that the State must take steps to guarantee that the child is raised by their biological family, exhaust all possibilities to that effect and, where consent to the adoption has been given, ensure that that decision is taken freely </w:t>
      </w:r>
      <w:r w:rsidR="007D0EC7" w:rsidRPr="00B845DF">
        <w:rPr>
          <w:rFonts w:eastAsia="Calibri" w:cs="Calibri"/>
          <w:bCs/>
          <w:color w:val="000000"/>
          <w:u w:color="000000"/>
          <w:bdr w:val="nil"/>
          <w14:textOutline w14:w="0" w14:cap="flat" w14:cmpd="sng" w14:algn="ctr">
            <w14:noFill/>
            <w14:prstDash w14:val="solid"/>
            <w14:bevel/>
          </w14:textOutline>
        </w:rPr>
        <w:t>and, in the child’s,</w:t>
      </w:r>
      <w:r w:rsidRPr="00B845DF">
        <w:rPr>
          <w:rFonts w:eastAsia="Calibri" w:cs="Calibri"/>
          <w:bCs/>
          <w:color w:val="000000"/>
          <w:u w:color="000000"/>
          <w:bdr w:val="nil"/>
          <w14:textOutline w14:w="0" w14:cap="flat" w14:cmpd="sng" w14:algn="ctr">
            <w14:noFill/>
            <w14:prstDash w14:val="solid"/>
            <w14:bevel/>
          </w14:textOutline>
        </w:rPr>
        <w:t xml:space="preserve"> best interest. </w:t>
      </w:r>
    </w:p>
    <w:p w14:paraId="3EC931CD"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added that the State did not demonstrate that the public officials who intervened or were called upon to intervene during “Mariano’s” gestation took steps to counsel either María or her mother regarding the decision to give up her son and grandson, respectively, for adoption. For the Commission, this type of guidance and support was essential if “María” and her mother were to give prior, free and informed consent to adoption, especially if consideration was given to the condition of “María” as a victim of abuse and sexual violence within her own family and her emotional situation as a pregnant child. </w:t>
      </w:r>
    </w:p>
    <w:p w14:paraId="688652F9" w14:textId="77777777" w:rsidR="007D0EC7" w:rsidRPr="00B845DF" w:rsidRDefault="007D0EC7" w:rsidP="007D0EC7">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47886C3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The Commission underscored that in the case file there was not due justification for the reason why state officials did not take into account the position of “María’s” extended family, specifically of her aunt and grandmother, who expressed their interest in taking responsibility for the child, even when said officials had been aware of this interest several weeks before the birth.</w:t>
      </w:r>
    </w:p>
    <w:p w14:paraId="5A5CA475"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7ABBB7D"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Furthermore, the Commission underscored that the decision of the judge in charge of the case to give up the unborn child “Mariano” for preadoption guardianship to Mr. and Mrs. “López” did not only lack legal basis, but also basic grounds. The Commission also underscored the considerable delay in the forensic physician’s examination of “María”, which was aimed at determining whether she was capable of understanding the act of giving up a child for adoption – which took place nearly four months after the judge’s order –, as well as the unjustified delay by the judicial authorities in reaching out to “María” to listen to her position. </w:t>
      </w:r>
    </w:p>
    <w:p w14:paraId="0DF27C8A"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24497E1"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also verified that only in April 2015 – nearly eight months after the birth of “Mariano” and the beginning of the guardianship and adoption judicial proceedings – “María” and her mother were able to access effective legal assistance, which was provided by a group of pro bono attorneys, and that both the public defenders responsible for the legal representation of “María” and the guardian assigned to the child “Mariano” failed to take any steps. </w:t>
      </w:r>
    </w:p>
    <w:p w14:paraId="23986A6B"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C837B0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Furthermore, the Commission found that “María’s” requests for a system for the restoration of the ties and contact with her son were affected by the considerable delays and the poor performance of the judicial authorities. In this regard, the Commission underscored that only in April 2016 – a year after the request filed by “María’s” attorneys – the judge responsible for the case authorized the establishment of a visitation schedule between “María” and her son, which provided for 1-2-hour-long weekly meetings. The Commission held that difficulties were encountered during this process, which continues to date, due in part to “María’s” economic vulnerability and to the lack of flexibility and prompt response by the court responsible for the case, as it was evidenced by the failed celebration of “Mariano’s” birthday in August 2016. </w:t>
      </w:r>
    </w:p>
    <w:p w14:paraId="6768F0A8"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B14027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lastRenderedPageBreak/>
        <w:t>The Commission underscored that, until the date of approval of the admissibility and merits report on the instant case and despite the multiple requests and judicial remedies filed by “María” and her attorneys, the court in family matters responsible for the case has not yet ruled on the merits of the case, that is, “Mariano’s” situation of adoptability. To date, the child is still under the custody of Mr. and Mrs. “López,” and thinks of them as his parents. They are also the ones who have taken every decision in their exercise of their parental authority over the child.</w:t>
      </w:r>
    </w:p>
    <w:p w14:paraId="7E57D13F"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9AFE5F9" w14:textId="245F5C93" w:rsidR="00774C1A" w:rsidRPr="00B845D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Lastly, and after having fully assessed the conduct of the State in the instant case, the Commission concluded that the State of Argentina is responsible for a number of actions and omissions that could be translated as negligent action regarding the protection of the rights of “María” and “Mariano.” These actions are also incompatible with the dignity of the adolescent, </w:t>
      </w:r>
      <w:r w:rsidR="006567F1" w:rsidRPr="00B845DF">
        <w:rPr>
          <w:rFonts w:eastAsia="Calibri" w:cs="Calibri"/>
          <w:bCs/>
          <w:color w:val="000000"/>
          <w:u w:color="000000"/>
          <w:bdr w:val="nil"/>
          <w14:textOutline w14:w="0" w14:cap="flat" w14:cmpd="sng" w14:algn="ctr">
            <w14:noFill/>
            <w14:prstDash w14:val="solid"/>
            <w14:bevel/>
          </w14:textOutline>
        </w:rPr>
        <w:t>woman,</w:t>
      </w:r>
      <w:r w:rsidRPr="00B845DF">
        <w:rPr>
          <w:rFonts w:eastAsia="Calibri" w:cs="Calibri"/>
          <w:bCs/>
          <w:color w:val="000000"/>
          <w:u w:color="000000"/>
          <w:bdr w:val="nil"/>
          <w14:textOutline w14:w="0" w14:cap="flat" w14:cmpd="sng" w14:algn="ctr">
            <w14:noFill/>
            <w14:prstDash w14:val="solid"/>
            <w14:bevel/>
          </w14:textOutline>
        </w:rPr>
        <w:t xml:space="preserve"> and mother “María,” and have caused profound and irreparable harm to the inalienable right of “María” and her son to develop an emotional bond. In this regard, the Commission underscored that, since the very start of the process, and during the unreasonably long time it has lasted, different state agents have failed to fulfill their obligation to guarantee the right to a family of the alleged victims and “Mariano’s” right to identity. State agents also failed to take timely steps to facilitate the relationship between “María” and her son, and to take their best interest into consideration. </w:t>
      </w:r>
    </w:p>
    <w:p w14:paraId="6C1671C6"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With regard to the affected rights, the Commission found that the State of Argentina was responsible for violating the rights to humane treatment, to a fair trial, to family life, to the protection of the family, to equality and to judicial protection, enshrined in Articles 5, 8.1, 17, 11, 24 and 25 of the American Convention on Human Rights, respectively, in relation to Articles 19 (rights of the child) and 1.1 (obligation to respect rights) thereof, to the detriment of “María.” In addition, the Commission concluded that the State violated “María’s” right to live a life free of violence, enshrined in Article 7 of the Convention of Belém do Pará.</w:t>
      </w:r>
    </w:p>
    <w:p w14:paraId="429BF081" w14:textId="77777777" w:rsidR="007D0EC7" w:rsidRPr="00B845DF" w:rsidRDefault="007D0EC7" w:rsidP="007D0EC7">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34179D8F"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The Commission also held that the State was responsible for violating the rights to a fair trial, to judicial protection, to the protection of the family and not to suffer arbitrary or abusive interference in their family life, enshrined in Articles 8.1, 25, 17 and 11.2 of the American Convention on Human Rights, respectively, in relation to Article 1.1 thereof, to the detriment of “María’s” mother.</w:t>
      </w:r>
    </w:p>
    <w:p w14:paraId="384EFC72" w14:textId="77777777" w:rsidR="007D0EC7" w:rsidRPr="00B845DF" w:rsidRDefault="007D0EC7"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9044EB2"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Lastly, the Commission concluded that the State of Argentina was responsible for violating the rights to a fair trial, to judicial protection and to the protection of the family, enshrined in Articles 8.1, 25 and 17 of the American Convention on Human Rights, respectively, in relation to Articles 19 (rights of the child) and 1.1 (obligation to respect rights) thereof, to the detriment of “Mariano.”</w:t>
      </w:r>
      <w:r w:rsidRPr="00B845DF">
        <w:rPr>
          <w:rFonts w:eastAsia="Calibri" w:cs="Calibri"/>
          <w:bCs/>
          <w:color w:val="000000"/>
          <w:u w:color="000000"/>
          <w:bdr w:val="nil"/>
          <w14:textOutline w14:w="0" w14:cap="flat" w14:cmpd="sng" w14:algn="ctr">
            <w14:noFill/>
            <w14:prstDash w14:val="solid"/>
            <w14:bevel/>
          </w14:textOutline>
        </w:rPr>
        <w:tab/>
      </w:r>
    </w:p>
    <w:p w14:paraId="054BAAAE" w14:textId="77777777" w:rsidR="00774C1A" w:rsidRPr="00B845DF" w:rsidRDefault="00774C1A" w:rsidP="007D0EC7">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F195959" w14:textId="57D3055A" w:rsidR="007D0EC7" w:rsidRPr="00D16D43"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D16D43">
        <w:rPr>
          <w:rFonts w:ascii="Cambria" w:hAnsi="Cambria"/>
          <w:b/>
          <w:color w:val="000000"/>
          <w:sz w:val="20"/>
          <w:szCs w:val="20"/>
        </w:rPr>
        <w:t>Henrique Capriles v. Venezuela</w:t>
      </w:r>
    </w:p>
    <w:p w14:paraId="1485D9DF" w14:textId="7E3288E9"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This case relates to the international responsibility of the State of Venezuela for violations of political rights, freedom of expression, the principle of legality, judicial </w:t>
      </w:r>
      <w:r w:rsidR="00D16D43" w:rsidRPr="00B845DF">
        <w:rPr>
          <w:rFonts w:eastAsia="Calibri" w:cs="Calibri"/>
          <w:bCs/>
          <w:color w:val="000000"/>
          <w:u w:color="000000"/>
          <w:bdr w:val="nil"/>
          <w14:textOutline w14:w="0" w14:cap="flat" w14:cmpd="sng" w14:algn="ctr">
            <w14:noFill/>
            <w14:prstDash w14:val="solid"/>
            <w14:bevel/>
          </w14:textOutline>
        </w:rPr>
        <w:t>protection,</w:t>
      </w:r>
      <w:r w:rsidRPr="00B845DF">
        <w:rPr>
          <w:rFonts w:eastAsia="Calibri" w:cs="Calibri"/>
          <w:bCs/>
          <w:color w:val="000000"/>
          <w:u w:color="000000"/>
          <w:bdr w:val="nil"/>
          <w14:textOutline w14:w="0" w14:cap="flat" w14:cmpd="sng" w14:algn="ctr">
            <w14:noFill/>
            <w14:prstDash w14:val="solid"/>
            <w14:bevel/>
          </w14:textOutline>
        </w:rPr>
        <w:t xml:space="preserve"> and the right to fair trial to the detriment of Henrique Capriles, in the context of his political participation as a presidential candidate in the elections held on April 14, 2013.</w:t>
      </w:r>
    </w:p>
    <w:p w14:paraId="59E46143" w14:textId="77777777" w:rsidR="00D16D43" w:rsidRPr="00B845DF" w:rsidRDefault="00D16D43" w:rsidP="00D16D43">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E03FB4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On March 9, 2013, the National Electoral Council (CNE) convened presidential elections for April 14 of that year, setting an electoral schedule of two days for the nomination of candidates and ten days for the development of the electoral campaign. On March 11, 2013, Henrique Capriles filed his candidacy with the CNE. On April 14, 2013, once the vote and the digital vote count were completed, the CNE issued the electoral results, announcing Nicolás Maduro, candidate of the United Socialist Party of Venezuela (PSUV), as winner by 50.61 percent of the votes, against Henrique Capriles, who obtained 49.12 percent of the votes. On April 17, 2013, Henrique Capriles filed a request with the CNE for a full audit of the votes, which was rejected. The appeals brought before the Supreme Court of Justice were also rejected.</w:t>
      </w:r>
    </w:p>
    <w:p w14:paraId="71CB3E94"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9CBC6A2"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its report on admissibility and merits, the Inter-American Commission first addressed the political and electoral situation in Venezuela, which was verified through its monitoring mechanisms, and </w:t>
      </w:r>
      <w:r w:rsidRPr="00B845DF">
        <w:rPr>
          <w:rFonts w:eastAsia="Calibri" w:cs="Calibri"/>
          <w:bCs/>
          <w:color w:val="000000"/>
          <w:u w:color="000000"/>
          <w:bdr w:val="nil"/>
          <w14:textOutline w14:w="0" w14:cap="flat" w14:cmpd="sng" w14:algn="ctr">
            <w14:noFill/>
            <w14:prstDash w14:val="solid"/>
            <w14:bevel/>
          </w14:textOutline>
        </w:rPr>
        <w:lastRenderedPageBreak/>
        <w:t xml:space="preserve">referred to the existence of serious hindrances for the exercise of political rights in the country. It stated that the retaliatory actions against the political opposition and the effects on the opposition authorities and the people who exercised their right to express their disagreement with the government reached a critical peak in 2013. It also noted that Venezuela did not sufficiently guarantee the independence of the CNE, and this directly and negatively affected the protection of political rights. </w:t>
      </w:r>
    </w:p>
    <w:p w14:paraId="6AB0B614"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99007CD"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The Commission then analyzed whether, in the instant case, Henrique Capriles’ right to participate on an equal footing in the presidential elections was violated. Regarding the general conditions under which the electoral process took place, the Commission observed the inadequate use of public resources to support the campaign of the candidate of the PSUV, the then president of Venezuela, Nicolás Maduro. Specifically, it highlighted the use of public goods for proselytizing purposes, the active participation of public officials in the electoral campaign and the disproportionate management of public media. It further warned that access to state mass media has been notably inequitable.</w:t>
      </w:r>
    </w:p>
    <w:p w14:paraId="3708B163"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587F9DE"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With regard to the organization of the electoral process, the Commission observed the adoption of a limited campaign period, the development of an outdated electoral register, the closure of borders with neighboring countries five days before the elections and without prior notice, and a general context of pressure on voters and fear of vote confidentiality being violated.</w:t>
      </w:r>
    </w:p>
    <w:p w14:paraId="779AF696"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C89B4E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With respect to the ballot, the Commission considered that, according to the information that emerges from the file, the presidential election of April 14, 2013, has been conditioned by the coercion of voting, the placement of official electoral propaganda within the voting rooms and the presence of soldiers with PSUV symbols and the agglomeration of government party militants near the polling stations. It also determined that such irregularities have been aggravated by the lack of control and the lack of response of the CNE, the governing body of the Electoral College in charge of overseeing the election.</w:t>
      </w:r>
    </w:p>
    <w:p w14:paraId="4BC20C7D"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9EDFA7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this regard, the Commission concluded that the use of public resources and means to promote the presidential campaign of the ruling candidate generated an undue advantage that allowed him to participate in the electoral process in a privileged position compared to that of the rest of the candidates. This, as determined by the Commission, constituted a violation to the right of the victim to participate in said process on an equal basis and without any illegitimate disadvantage with respect to other candidates. The Commission further underscored that the violation of the right to participate on an equal footing in an electoral process could affect not only individual rights, but also collective political rights.</w:t>
      </w:r>
    </w:p>
    <w:p w14:paraId="761B2469"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9AEFE3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With respect to the judicial remedies raised in the instant case, the Commission noted that the president of the Constitutional Chamber decided to declare inadmissible the requests for recusal filed against herself and all the members of the court without considering further analysis of the legitimate fears of bias in the case. Therefore, Henrique Capriles did not have an adequate and effective judicial remedy at his disposal. The Commission also considered that there were reasonable doubts about the political ties of some members of the court with the CNE and the PSUV, both of which were parties involved in the process. It indicated that said circumstance was exacerbated by the decision of the Constitutional Chamber to address ex officio all the cases related to the electoral process of April 14, 2013, which allowed the Supreme Court of Justice of Venezuela (TSJ) to get acquainted with any case related to that electoral act, increasing doubts regarding their unbiased performance within the framework of the electoral process.</w:t>
      </w:r>
    </w:p>
    <w:p w14:paraId="40BA3F38"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95AC93C"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Furthermore, the Commission observed that, as a result of the filing of the appeal, the victim was fined for offending the judiciary and, in particular, the Constitutional Chamber, since he allegedly used insults and other offensive expressions. Moreover, copies of the proceedings were submitted to the Office of the Public Prosecutor to assess the criminal liability of Henrique Capriles for the expressions he used in the legal file. The Commission warned that this sanction provided for in Article 121 of the Organic Law of the Supreme Court of Justice contains ambiguous notions and lacks objective criteria to determine reprehensible behaviors and the consequent imposition of such sanctions with reasonable predictability. It also noted that, in </w:t>
      </w:r>
      <w:r w:rsidRPr="00B845DF">
        <w:rPr>
          <w:rFonts w:eastAsia="Calibri" w:cs="Calibri"/>
          <w:bCs/>
          <w:color w:val="000000"/>
          <w:u w:color="000000"/>
          <w:bdr w:val="nil"/>
          <w14:textOutline w14:w="0" w14:cap="flat" w14:cmpd="sng" w14:algn="ctr">
            <w14:noFill/>
            <w14:prstDash w14:val="solid"/>
            <w14:bevel/>
          </w14:textOutline>
        </w:rPr>
        <w:lastRenderedPageBreak/>
        <w:t>determining the fine on Henrique Capriles, the Constitutional Chamber did not accurately identify the expressions that were disrespectful towards the court or its members. In short, the Commission considered that Article 121 of the Organic Law of the Supreme Court of Justice and the judgment issued by the Constitutional Chamber on August 7, 2013, did not provide a sufficiently clear legal basis to account for Court’s sanctioning power pursuant to the principle of legality and, thus, prevent an arbitrary intervention to the freedom of expression of Henrique Capriles.</w:t>
      </w:r>
    </w:p>
    <w:p w14:paraId="2B58C57F" w14:textId="77777777" w:rsidR="00D16D43" w:rsidRPr="00B845DF" w:rsidRDefault="00D16D43" w:rsidP="00D16D43">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0AE6F36B" w14:textId="263AA178"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established that this situation violates the right to freedom of expression of Henrique Capriles. It noted that this type of sanction imposed is intended to protect the honor of court officials and to ensure decorum in the administration of justice. In this regard, it recalled the high threshold of tolerance that public officials must have in the face of critical expressions and the paramount importance of the flow of political opinions within the context of a presidential election. The Commission noted that, even if there were less burdensome pecuniary measures, the Constitutional Chamber imposed a fine for the highest amount provided for in local regulations, although the statements were made in the context of the filing of a judicial remedy. In addition, the Commission warned that the damage caused to freedom of expression was excessive compared to the benefits </w:t>
      </w:r>
      <w:r w:rsidR="00D67A9D" w:rsidRPr="00B845DF">
        <w:rPr>
          <w:rFonts w:eastAsia="Calibri" w:cs="Calibri"/>
          <w:bCs/>
          <w:color w:val="000000"/>
          <w:u w:color="000000"/>
          <w:bdr w:val="nil"/>
          <w14:textOutline w14:w="0" w14:cap="flat" w14:cmpd="sng" w14:algn="ctr">
            <w14:noFill/>
            <w14:prstDash w14:val="solid"/>
            <w14:bevel/>
          </w14:textOutline>
        </w:rPr>
        <w:t>obtained.</w:t>
      </w:r>
      <w:r w:rsidRPr="00B845DF">
        <w:rPr>
          <w:rFonts w:eastAsia="Calibri" w:cs="Calibri"/>
          <w:bCs/>
          <w:color w:val="000000"/>
          <w:u w:color="000000"/>
          <w:bdr w:val="nil"/>
          <w14:textOutline w14:w="0" w14:cap="flat" w14:cmpd="sng" w14:algn="ctr">
            <w14:noFill/>
            <w14:prstDash w14:val="solid"/>
            <w14:bevel/>
          </w14:textOutline>
        </w:rPr>
        <w:t xml:space="preserve"> It also noted that the sanction was determined by the same persons who considered themselves harmed by the expressions in question. Based on the considerations contained in this report, the Commission concluded that the State of Venezuela violated the rights enshrined in Articles 8.1 (right to a fair trial), 9 (principle of legality), 13 (right to freedom of expression), 23.1.c (political rights), and 25 (right to judicial protection) of the American Convention, in relation to Articles 1.1 and 2 thereof, to the detriment of Henrique Capriles.</w:t>
      </w:r>
    </w:p>
    <w:p w14:paraId="399F288D" w14:textId="77777777" w:rsidR="00D16D43" w:rsidRPr="00B845DF" w:rsidRDefault="00D16D43" w:rsidP="00D16D43">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1786D5BB" w14:textId="4C0061CF" w:rsidR="00D16D43" w:rsidRPr="00D16D43"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D16D43">
        <w:rPr>
          <w:rFonts w:ascii="Cambria" w:hAnsi="Cambria"/>
          <w:b/>
          <w:color w:val="000000"/>
          <w:sz w:val="20"/>
          <w:szCs w:val="20"/>
        </w:rPr>
        <w:t>Milton Gerardo Revilla Soto v. Venezuela</w:t>
      </w:r>
    </w:p>
    <w:p w14:paraId="1636DE9E"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This case relates to the international responsibility of the State of Venezuela for the violation of several rights enshrined in the American Convention during the detention of and the criminal proceedings held against Milton Gerardo Revilla Soto, a retired army major. </w:t>
      </w:r>
    </w:p>
    <w:p w14:paraId="4DF0951A"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207206D"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At the time of the facts, Milton Gerardo Revilla Soto had retired from the armed forces and lived in Barquisimeto, state of Lara state. The petitioners claimed that, during his work with the Bolivarian National Armed Forces in the Venezuelan Catatumbo region between 2000 and 2002, the unit under his command managed to dismantle the logistics apparatus of Front 33 of the Revolutionary Armed Forces of Colombia (FARC), and at the same time, he uncovered a link between this group and members of the Venezuelan intelligence system, which he denounced internally. According to his testimony, in 2004 he requested his retirement due to the psychological damages suffered because of a series of accusations made against him, which linked him to the FARC. In 2003, members of said organization had filed a complaint against him before the Office of the Attorney General and the Vice Presidency of the Republic. Milton Revilla Soto indicated that he has since suffered political persecution as a result of the information in his possession. </w:t>
      </w:r>
    </w:p>
    <w:p w14:paraId="6602F27C"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673C4F2" w14:textId="3AEC6B19"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On June 8, 2010, Milton Revilla was detained by members of the General Directorate of Military Counterintelligence (DGCIM) at the Simón Bolívar International Airport while he was waiting for the departure of his flight to Lima, Peru. He was taken to the DGCIM headquarters in Caracas, Venezuela, where he remained detained. On day 10 of that month, he was taken before the First Military Control Court of Caracas where a hearing was held and subsequently his pretrial detention was ordered for the alleged commission of military crimes against the security of the armed forces, </w:t>
      </w:r>
      <w:r w:rsidR="00D67A9D" w:rsidRPr="00B845DF">
        <w:rPr>
          <w:rFonts w:eastAsia="Calibri" w:cs="Calibri"/>
          <w:bCs/>
          <w:color w:val="000000"/>
          <w:u w:color="000000"/>
          <w:bdr w:val="nil"/>
          <w14:textOutline w14:w="0" w14:cap="flat" w14:cmpd="sng" w14:algn="ctr">
            <w14:noFill/>
            <w14:prstDash w14:val="solid"/>
            <w14:bevel/>
          </w14:textOutline>
        </w:rPr>
        <w:t>espionage,</w:t>
      </w:r>
      <w:r w:rsidRPr="00B845DF">
        <w:rPr>
          <w:rFonts w:eastAsia="Calibri" w:cs="Calibri"/>
          <w:bCs/>
          <w:color w:val="000000"/>
          <w:u w:color="000000"/>
          <w:bdr w:val="nil"/>
          <w14:textOutline w14:w="0" w14:cap="flat" w14:cmpd="sng" w14:algn="ctr">
            <w14:noFill/>
            <w14:prstDash w14:val="solid"/>
            <w14:bevel/>
          </w14:textOutline>
        </w:rPr>
        <w:t xml:space="preserve"> and treason to the homeland. In addition, the General Directorate of Military Intelligence was designated as the place of confinement. On September 29, 2010, the preliminary hearing was held. The accusation was admitted only in relation to the military crime against the security of the armed forces, and the charges for the other crimes were dropped. The petitioners said that after the hearing, Mr. Revilla was isolated in cell no. 1 of the DGIM, which is called “La Tumba” (The Tomb). On January 26, 2011, precautionary measures in substitution to the deprivation of liberty were issued.</w:t>
      </w:r>
    </w:p>
    <w:p w14:paraId="07518BCA" w14:textId="77777777" w:rsidR="00D16D43" w:rsidRPr="00B845DF" w:rsidRDefault="00D16D43" w:rsidP="00D16D43">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52575F77" w14:textId="745063C9"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lastRenderedPageBreak/>
        <w:t xml:space="preserve">On February 15, 2012, Mr. Revilla was sentenced to six years and four months in </w:t>
      </w:r>
      <w:r w:rsidR="00D16D43" w:rsidRPr="00B845DF">
        <w:rPr>
          <w:rFonts w:eastAsia="Calibri" w:cs="Calibri"/>
          <w:bCs/>
          <w:color w:val="000000"/>
          <w:u w:color="000000"/>
          <w:bdr w:val="nil"/>
          <w14:textOutline w14:w="0" w14:cap="flat" w14:cmpd="sng" w14:algn="ctr">
            <w14:noFill/>
            <w14:prstDash w14:val="solid"/>
            <w14:bevel/>
          </w14:textOutline>
        </w:rPr>
        <w:t>prison,</w:t>
      </w:r>
      <w:r w:rsidRPr="00B845DF">
        <w:rPr>
          <w:rFonts w:eastAsia="Calibri" w:cs="Calibri"/>
          <w:bCs/>
          <w:color w:val="000000"/>
          <w:u w:color="000000"/>
          <w:bdr w:val="nil"/>
          <w14:textOutline w14:w="0" w14:cap="flat" w14:cmpd="sng" w14:algn="ctr">
            <w14:noFill/>
            <w14:prstDash w14:val="solid"/>
            <w14:bevel/>
          </w14:textOutline>
        </w:rPr>
        <w:t xml:space="preserve"> and he was also disqualified to hold public office for the duration of the sentence, due to the crime he allegedly committed against the security of the National Armed Forces. The petitioners indicated that he was prevented from filing an appeal because of the late notification of the conviction. The nullity appeal and any other appeals filed were rejected. On December 30, 2013, he was granted the benefit of open prison regime and on April 18, 2016, he was notified of the release order for having served his sentence.</w:t>
      </w:r>
    </w:p>
    <w:p w14:paraId="676C3306"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CF63344" w14:textId="40526DB6"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its report on the merits, the Commission established that it was proven that Milton Gerardo Revilla Soto was convicted of the crime against the security of the National Armed Forces provided for in Article 550 of the Organic Code of Military Justice, which describes an active subject of a generic nature that can be </w:t>
      </w:r>
      <w:r w:rsidR="00D16D43" w:rsidRPr="00B845DF">
        <w:rPr>
          <w:rFonts w:eastAsia="Calibri" w:cs="Calibri"/>
          <w:bCs/>
          <w:color w:val="000000"/>
          <w:u w:color="000000"/>
          <w:bdr w:val="nil"/>
          <w14:textOutline w14:w="0" w14:cap="flat" w14:cmpd="sng" w14:algn="ctr">
            <w14:noFill/>
            <w14:prstDash w14:val="solid"/>
            <w14:bevel/>
          </w14:textOutline>
        </w:rPr>
        <w:t>punished,</w:t>
      </w:r>
      <w:r w:rsidRPr="00B845DF">
        <w:rPr>
          <w:rFonts w:eastAsia="Calibri" w:cs="Calibri"/>
          <w:bCs/>
          <w:color w:val="000000"/>
          <w:u w:color="000000"/>
          <w:bdr w:val="nil"/>
          <w14:textOutline w14:w="0" w14:cap="flat" w14:cmpd="sng" w14:algn="ctr">
            <w14:noFill/>
            <w14:prstDash w14:val="solid"/>
            <w14:bevel/>
          </w14:textOutline>
        </w:rPr>
        <w:t xml:space="preserve"> and which does not seem to be limited to active military members. The Commission indicated that it has already ruled on the breadth and vagueness of Venezuelan rules governing military criminal jurisdiction, which in turn let civilians be tried by military courts.</w:t>
      </w:r>
    </w:p>
    <w:p w14:paraId="4929295F"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C19AC25"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With regard to the submission of retired military personnel to military jurisdiction, the Commission noted that the Inter-American Court stated that, since they are retired, they do not exercise specific functions of defense and foreign security, and therefore their prosecution in the military jurisdiction is not justified. In this sense, it ordered the Venezuelan State to establish limits on military jurisdiction by restricting its scope to those active military members. In the instant case, the fact that the victim was “retired” from the military at the time of the submission of his case to military jurisdiction has not been disputed. This status was even recognized in the conviction against him. Consequently, the Commission concluded that the right to be heard by a competent, independent, and impartial judge or tribunal was violated.</w:t>
      </w:r>
    </w:p>
    <w:p w14:paraId="1C3BD8EB"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FEDC568"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took note of the multiple allegations presented by the petitioners, which have not been challenged by the State, regarding the breach of due process in the investigations before the military criminal jurisdiction, and the public condemnation to which he was subject. The Commission considered that these elements together make it possible to show that the proceedings in the military criminal jurisdiction were not only lodged by authorities that were not competent, but also that they presented serious irregularities that were aimed at linking Mr. Milton Revilla to the commission of a crime, without allowing him to exercise his right to due process. All this was followed by various pronouncements from authorities or the media that linked him to said proceeding. </w:t>
      </w:r>
    </w:p>
    <w:p w14:paraId="52413170"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FBB08EF"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Moreover, the Commission stressed that the appeals filed were rejected without the courts conducting any substantive analysis regarding the violation of due process, nor did they declare their lack of jurisdiction. It also noted that since 2011 the victim has filed, both in court and out of court, several complaints and has resorted to various authorities so that the alleged violations against his human rights were remedied. </w:t>
      </w:r>
    </w:p>
    <w:p w14:paraId="064B7CCD"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552B71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Hence, and considering the resolution of the Inter-American Court in the case Usón Ramírez v. Venezuela, the Commission considered it unnecessary to carry out an analysis on the parameters of legality, non-arbitrariness, substantiation, possibility to challenge, reasonableness of time limits, or with regard to the presumption of innocence, in relation to pretrial detention.</w:t>
      </w:r>
    </w:p>
    <w:p w14:paraId="470EBC09"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14656A8"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further noted that, along with the prison sentence handed down on February 15, 2012, Mr. Revilla Soto was imposed an additional sanction of political disqualification for the term of his sentence based on Article 407, Item 1, of the Organic Code of Military Justice. This additional sanction was applied by a military court which, according to the analysis conducted, lacked jurisdiction. </w:t>
      </w:r>
    </w:p>
    <w:p w14:paraId="69A39234"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2771D2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its report, the Commission also analyzed whether the facts could be classified as torture and referred to the lack of the access to medical treatment that Mr. Revilla had in the context of his deprivation of liberty. The Commission noted that, as reported by the victim, the acts of torture were committed by DGIM officers at the agency’s headquarters. According to his allegations and complaints in the internal headquarters, the victim was subjected to interrogations during which he was hit in the head and received threats and electric </w:t>
      </w:r>
      <w:r w:rsidRPr="00B845DF">
        <w:rPr>
          <w:rFonts w:eastAsia="Calibri" w:cs="Calibri"/>
          <w:bCs/>
          <w:color w:val="000000"/>
          <w:u w:color="000000"/>
          <w:bdr w:val="nil"/>
          <w14:textOutline w14:w="0" w14:cap="flat" w14:cmpd="sng" w14:algn="ctr">
            <w14:noFill/>
            <w14:prstDash w14:val="solid"/>
            <w14:bevel/>
          </w14:textOutline>
        </w:rPr>
        <w:lastRenderedPageBreak/>
        <w:t xml:space="preserve">shocks in his intimate parts. He further indicated that he was locked in small cells for days, subjected to extreme temperatures and forced to stay all day with the lights on, and isolated from the rest of the detainees. </w:t>
      </w:r>
    </w:p>
    <w:p w14:paraId="22C00F74"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EA6753B" w14:textId="2AC8BF5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The Commission noted that the petitioners’ allegations are consistent with other matters analyzed concerning the acts of torture committed in the DGCIM premises under circumstances similar to those stated by the victim. The Commission noted that Mr. Revilla and his defense reported these violations both within the military criminal courts and out of those courts. However, the Commission notes that it does not have any information whatsoever from the State to reflect that it has undertaken any investigations into the alleged acts of torture, with no evidence of the attribution of responsibilities or clarification of the facts. This is aggravated by the fact that they were executed while the victim was deprived of liberty, a circumstance under which the State acted as guarantor. Having assessed the above set of considerations and in the light of the aforementioned</w:t>
      </w:r>
      <w:r w:rsidR="007E6D69">
        <w:rPr>
          <w:rFonts w:eastAsia="Calibri" w:cs="Calibri"/>
          <w:bCs/>
          <w:color w:val="000000"/>
          <w:u w:color="000000"/>
          <w:bdr w:val="nil"/>
          <w14:textOutline w14:w="0" w14:cap="flat" w14:cmpd="sng" w14:algn="ctr">
            <w14:noFill/>
            <w14:prstDash w14:val="solid"/>
            <w14:bevel/>
          </w14:textOutline>
        </w:rPr>
        <w:t xml:space="preserve"> </w:t>
      </w:r>
      <w:r w:rsidRPr="00B845DF">
        <w:rPr>
          <w:rFonts w:eastAsia="Calibri" w:cs="Calibri"/>
          <w:bCs/>
          <w:color w:val="000000"/>
          <w:u w:color="000000"/>
          <w:bdr w:val="nil"/>
          <w14:textOutline w14:w="0" w14:cap="flat" w14:cmpd="sng" w14:algn="ctr">
            <w14:noFill/>
            <w14:prstDash w14:val="solid"/>
            <w14:bevel/>
          </w14:textOutline>
        </w:rPr>
        <w:t xml:space="preserve">context and the lack of an investigation that would challenge what was stated by the petitioners, the Commission considered that there are sufficient elements to conclude that the victim was subjected to torture on his admission to the DGCIM. </w:t>
      </w:r>
    </w:p>
    <w:p w14:paraId="74268B3B" w14:textId="77777777" w:rsidR="00D16D43" w:rsidRPr="00B845DF" w:rsidRDefault="00D16D43" w:rsidP="00D16D43">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4210B68" w14:textId="77777777"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relation to the conditions of detention, the Commission considered it proved that the victim’s health was impaired during the sentence and that there is a causal link between the deterioration of his health condition and the damage to his personal integrity as a result of the conditions of detention and the lack of medical assistance. In this regard, it stressed that the State did not provide evidence to prove that it had complied with its obligations to ensure accessibility to health care to Mr. Revilla.</w:t>
      </w:r>
    </w:p>
    <w:p w14:paraId="42EC1469" w14:textId="726126F9" w:rsidR="00774C1A" w:rsidRPr="00B845DF" w:rsidRDefault="00774C1A"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70FFF73E" w14:textId="77777777"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Furthermore, the Commission noted that the victim alleged that he had begun to suffer political persecution by the authorities, in particular by officials of the DGCIM, after reporting the links between the FARC and the State of Venezuela in the early 2000s. He also denounced that, in the context of this persecution, just a month before his arrest, he had been the victim of intimidation and abuse of authority by state officials. This information was not challenged by the State. Furthermore, the prosecutor’s own accusation relates the detention to the dissemination of information on such links and there were even documents found in the file that described him as an “opponent.” The Commission also noted that the victim declared that he had been threatened during the proceedings, so as not to make statements regarding the Venezuelan government.</w:t>
      </w:r>
    </w:p>
    <w:p w14:paraId="75D7E5A2" w14:textId="4374C03F" w:rsidR="00774C1A" w:rsidRPr="00B845DF" w:rsidRDefault="00774C1A"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76916625"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also observed that the victim was prosecuted on the basis of Article 550 of the Organic Code of Military Justice, which sanctions those who “disclose orders, slogans, documents or private or secret notices of the armed forces (…).” In this regard, the Commission stressed that national order or security cannot be translated into an absolute deprivation of the right to disseminate information of members of the armed forces, regardless of the context in which said information is issued or the type of information disseminated. It also considered that the vague wording of the regulations applied to this case encompasses the dissemination of more types of information than those strictly necessary to achieve the purposes pursued and, therefore, it is an absolute restriction. In this sense, this kind of restriction is not necessary in a democratic society. The Commission also noted that some of the information allegedly disseminated by Revilla Soto and for which he was sentenced would be of public interest. </w:t>
      </w:r>
    </w:p>
    <w:p w14:paraId="056F27EF"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30881AB"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Based on the factual and legal determinations in this report, the Inter-American Commission concluded that the State is responsible for the violations of the rights established in Articles 5.1 and 5.2 (humane treatment), 7.1 (personal liberty), 13.2 (freedom of thought and expression), 23.1 (political rights), 8 (right to a fair trial), 25.1 (judicial protection) and 26 (right to health) of the American Convention, in relation to Articles 1.1 and 2 thereof, and Articles 1, 6 and 8 of the Inter-American Convention to Prevent and Punish Torture, to the detriment of Milton Gerardo Revilla Soto.</w:t>
      </w:r>
    </w:p>
    <w:p w14:paraId="74D9A51F" w14:textId="77777777" w:rsidR="007E6D69"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DB70707" w14:textId="77777777" w:rsidR="007E76F0" w:rsidRDefault="007E76F0"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751F1A7" w14:textId="77777777" w:rsidR="007E76F0" w:rsidRDefault="007E76F0"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423C8DF" w14:textId="77777777" w:rsidR="007E76F0" w:rsidRPr="00B845DF" w:rsidRDefault="007E76F0"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6A6F5D6" w14:textId="708B680F" w:rsidR="007E6D69" w:rsidRPr="007E6D69"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7E6D69">
        <w:rPr>
          <w:rFonts w:ascii="Cambria" w:hAnsi="Cambria"/>
          <w:b/>
          <w:color w:val="000000"/>
          <w:sz w:val="20"/>
          <w:szCs w:val="20"/>
        </w:rPr>
        <w:lastRenderedPageBreak/>
        <w:t>Patricia Emilie Cuéllar Sandoval, Mauricio Cuéllar Cuéllar and Julia Orbelina Pérez v. El Salvador</w:t>
      </w:r>
    </w:p>
    <w:p w14:paraId="541D8348"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This case relates to the international responsibility of the State of El Salvador for the forced disappearance of Patricia Emilie Cuéllar Sandoval, Mauricio Cuéllar Cuéllar and Julia Orbelina Pérez, as well as the lack of due diligence in the investigation of the facts and the situation of impunity around them. </w:t>
      </w:r>
    </w:p>
    <w:p w14:paraId="12637925" w14:textId="77777777" w:rsidR="007E6D69" w:rsidRPr="00B845DF" w:rsidRDefault="007E6D69"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0B424CD5"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Patricia Emilie Cuéllar, a U.S and Salvadoran citizen, had been an active contributor to Christian movements since 1975 and served as secretary of the Christian Legal Aid Office from 1979 until 1980. Between August and September 1978, approximately 50 agents of the National Police, dressed in civilian clothes and heavily armed, raided her home and photographed it. On July 5, 1980, several security and armed forces officers raided her workplace. The National Police, in its report on the raid, described the members of the organization as “subversive,” which led the victim to resign from office. </w:t>
      </w:r>
    </w:p>
    <w:p w14:paraId="4EB2A1B0"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98A3B88" w14:textId="67CCEF25" w:rsidR="00774C1A" w:rsidRPr="00B845D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On July 27, 1982, the day before her disappearance, Ms. Cuéllar went to the Christian Legal Aid Office to report that she was being persecuted by civilian-dressed security forces while she was in her vehicle. The next day, armed men wearing military uniforms searched Ms. Cuéllar’s apartment and took several household appliances, personal </w:t>
      </w:r>
      <w:r w:rsidR="007E6D69" w:rsidRPr="00B845DF">
        <w:rPr>
          <w:rFonts w:eastAsia="Calibri" w:cs="Calibri"/>
          <w:bCs/>
          <w:color w:val="000000"/>
          <w:u w:color="000000"/>
          <w:bdr w:val="nil"/>
          <w14:textOutline w14:w="0" w14:cap="flat" w14:cmpd="sng" w14:algn="ctr">
            <w14:noFill/>
            <w14:prstDash w14:val="solid"/>
            <w14:bevel/>
          </w14:textOutline>
        </w:rPr>
        <w:t>documents,</w:t>
      </w:r>
      <w:r w:rsidRPr="00B845DF">
        <w:rPr>
          <w:rFonts w:eastAsia="Calibri" w:cs="Calibri"/>
          <w:bCs/>
          <w:color w:val="000000"/>
          <w:u w:color="000000"/>
          <w:bdr w:val="nil"/>
          <w14:textOutline w14:w="0" w14:cap="flat" w14:cmpd="sng" w14:algn="ctr">
            <w14:noFill/>
            <w14:prstDash w14:val="solid"/>
            <w14:bevel/>
          </w14:textOutline>
        </w:rPr>
        <w:t xml:space="preserve"> and a vehicle with them. On the night of July 28, 1982, and the morning of the following day, Mauricio Cuéllar Cuéllar, father of Patricia Cuéllar, and Julia Orbelina Pérez, a domestic worker of their family, were violently evicted from Mr. Mauricio’s home. </w:t>
      </w:r>
    </w:p>
    <w:p w14:paraId="171A9412" w14:textId="156F3EE8"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its report on the merits, the Commission considered that the victims were forcibly disappeared. The Commission took into account the context of forced disappearances against the backdrop of the Salvadoran armed conflict and, in particular, of the persecution suffered by members and people related to the Christian Legal Aid Office, known for emblematic cases, such as the murder of the Jesuit priests and the Archbishop of San Salvador, Monsignor Romero. To qualify the facts as forced disappearance, the Inter-American Commission on Human Rights also analyzed the evidence on the State’s participation, including the lack of an immediate and exhaustive response after the authorities became aware of their disappearances. It determined that there were consistent indicia pointing to the involvement of state agents in the detentions of the victims, and thus the State was obliged to carry out a thorough, </w:t>
      </w:r>
      <w:r w:rsidR="007E6D69" w:rsidRPr="00B845DF">
        <w:rPr>
          <w:rFonts w:eastAsia="Calibri" w:cs="Calibri"/>
          <w:bCs/>
          <w:color w:val="000000"/>
          <w:u w:color="000000"/>
          <w:bdr w:val="nil"/>
          <w14:textOutline w14:w="0" w14:cap="flat" w14:cmpd="sng" w14:algn="ctr">
            <w14:noFill/>
            <w14:prstDash w14:val="solid"/>
            <w14:bevel/>
          </w14:textOutline>
        </w:rPr>
        <w:t>serious,</w:t>
      </w:r>
      <w:r w:rsidRPr="00B845DF">
        <w:rPr>
          <w:rFonts w:eastAsia="Calibri" w:cs="Calibri"/>
          <w:bCs/>
          <w:color w:val="000000"/>
          <w:u w:color="000000"/>
          <w:bdr w:val="nil"/>
          <w14:textOutline w14:w="0" w14:cap="flat" w14:cmpd="sng" w14:algn="ctr">
            <w14:noFill/>
            <w14:prstDash w14:val="solid"/>
            <w14:bevel/>
          </w14:textOutline>
        </w:rPr>
        <w:t xml:space="preserve"> and diligent investigation to determine the veracity of or challenge the indicia on said participation.</w:t>
      </w:r>
    </w:p>
    <w:p w14:paraId="420CA0A9" w14:textId="77777777" w:rsidR="007E6D69" w:rsidRPr="00B845DF" w:rsidRDefault="007E6D69"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71AF2AD6"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The Commission established that search and investigation procedures were minimal. The judicial authorities did not initiate a thorough search within the first hours, or in the weeks and months following the facts. It further pointed out that the mere gathering of testimonies does not demonstrate a real effort to investigate the truth about the facts. The Commission did not see that efforts were made to determine the participation of state agents, and even after the end of the armed conflict, investigations were not undertaken to know the truth of what happened. Even though on July 31, 1998, Mr. Francisco Alvarez, Ms. Cuéllar’s former husband, filed a writ of habeas corpus exposing all the facts, including the previous persecution against Ms. Cuéllar, the authorities only requested information from state security agents on any detentions of the victims.</w:t>
      </w:r>
    </w:p>
    <w:p w14:paraId="30DF8624"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80B4BB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Given that disappearance in this context has a differentiated impact due to the risk of the victim to suffer from sexual violence, the State has a duty of enhanced due diligence, given the vulnerable situation women face. In this regard, the Commission noted that the authorities did not take any probative steps to learn the truth or its possible differentiated impact on the female victims, and the possibility that it was framed in a context of a specific violation of women’s rights within the Salvadoran armed conflict. </w:t>
      </w:r>
    </w:p>
    <w:p w14:paraId="1F58D5E3"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4640AE4"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addition, the State did not guarantee due diligence in such investigations, the facts remained in impunity and this, in turn, constituted a source of suffering and anguish for the families of the victims. After analyzing the impacts of the forced disappearance of women on their families, the Commission noted that the disappearance of the two female victims had a particular impact on their children. </w:t>
      </w:r>
    </w:p>
    <w:p w14:paraId="2D46C01B"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D027FC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lastRenderedPageBreak/>
        <w:t>Based on the foregoing, the Commission concluded that the State of El Salvador is responsible for the violation of the rights to legal personality, life, humane treatment, personal liberty, fair trial and judicial protection set forth in Articles 3, 4, 5, 7, 8 and 25 of the American Convention on Human Rights, in relation to the obligations established in Article 1.1 thereof, to the detriment of Patricia Emilie Cuéllar Sandoval, Mauricio Cuéllar Cuéllar and Julia Orbelina Pérez.</w:t>
      </w:r>
    </w:p>
    <w:p w14:paraId="00509CC8"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32B79512" w14:textId="4849FCED" w:rsidR="007E6D69" w:rsidRPr="007E6D69"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7E6D69">
        <w:rPr>
          <w:rFonts w:ascii="Cambria" w:hAnsi="Cambria"/>
          <w:b/>
          <w:color w:val="000000"/>
          <w:sz w:val="20"/>
          <w:szCs w:val="20"/>
        </w:rPr>
        <w:t>Denise Peres Crispim, Eduardo Collen Leite et al v. Brazil</w:t>
      </w:r>
    </w:p>
    <w:p w14:paraId="71C9FAE1"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This case relates to the international responsibility of the State of Brazil for the arbitrary arrests and torture committed against political advocates Eduardo Collen Leite and Denise Peres Crispim, the extrajudicial execution of Collen Leite, and the impact on Eduarda, their daughter, as well as the state of impunity surrounding the facts. The facts of this case are framed within a well-known context of serious human rights violations committed during the civil-military dictatorship established in Brazil after the coup d'état of March 31, 1964, which continued until 1985. </w:t>
      </w:r>
    </w:p>
    <w:p w14:paraId="11C14AB0" w14:textId="77777777" w:rsidR="007E6D69" w:rsidRPr="00B845DF" w:rsidRDefault="007E6D69"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1E328471" w14:textId="77777777"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On July 23, 1970, Denise Peres Crispim, who was six months pregnant, was detained by members of the Execution Division of Operation Bandeirantes (OBAN) and taken to the State Department of Political and Social Order (DEOPS), where she was subjected to continuous interrogation and torture for a week. On August 11, 1970, she was transferred to the Santana Military and Maternity Hospital, where she remained under military custody until October 1, 1970, the date on which Eduarda, daughter of Denise Peres Crispim and Eduardo Collen Leite, was born. On October 26, Ms. Peres Crispim was released and was required to appear regularly before the military authorities.</w:t>
      </w:r>
    </w:p>
    <w:p w14:paraId="6CAA7BB4" w14:textId="3F5AEC92" w:rsidR="00774C1A" w:rsidRPr="00B845DF" w:rsidRDefault="00774C1A"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63588CDE"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Eduardo Collen Leite was, in turn, arrested in Rio de Janeiro on August 21, 1970, by the DEOPS police from São Paulo and taken to a clandestine torture center linked to the Brazilian Navy Information Center (CENIMAR). He was later transferred to various places of detention and clandestine torture centers, to be later taken to São Paulo, where he was detained in the facilities of the Department of Information Operations - Center for Internal Defense Operations (DOI-CODI) of the II Army and, in October, transferred to the DEOPS. On October 27, 1970, the victim was removed from his cell. </w:t>
      </w:r>
    </w:p>
    <w:p w14:paraId="7F9C8D5E"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72110D1"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According to the conclusions of the National Truth Commission (CNV), Eduardo Collen was in state custody until December 8, 1970, the day on which it was circulated that he had allegedly died in a shooting. According to the CNV, the victim was killed at the Andradas Barracks, in the city of Guarujá, São Paulo, by an Army major following the orders of Colonel Erar de Campo Vasconcelos. According to the Amnesty Commission, the death of Eduardo Collen was “the most terrible of the entire Brazilian dictatorship,” since “from the date of his imprisonment on August 21, 1970, until December 8, 1970, he was incessantly tortured by various repressive bodies […] as the greatest of trophies and a display of what the dictatorship could do.” Eduardo Collen’s body, which had clear signs of torture, was abandoned in a cemetery in the city of Santos and then handed over to his family.</w:t>
      </w:r>
    </w:p>
    <w:p w14:paraId="50B1EE61"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A8EF88B"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August 1971, Denise Peres Crispim and her daughter entered the Chilean Embassy in Brazil, where they were granted diplomatic asylum, and they remained in the Embassy building for 11 months. On October 28, 1971, Peres Crispim was sentenced in absentia by the military justice to 18 months in prison, and in May 1972, an order of imprisonment was issued against her. In July 1972, both mother and daughter obtained authorization to leave Brazil and headed to Chile. Denise Peres Crispim was again sentenced in absentia to 10 years in prison, thus losing her political rights. After the coup d'état in Chile in 1973, the victims went to live in Italy as refugees. </w:t>
      </w:r>
    </w:p>
    <w:p w14:paraId="2A9F477F"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9E1C570" w14:textId="17BF953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With regard to the investigation of the facts, in the face of the complaint for torture against Eduardo Collen Leite filed with the 2nd Audit of the Military Justice of São Paulo, no investigation whatsoever was launched. On July 1, 2011, Ms. Peres Crispim filed a criminal complaint with the Federal Public Prosecutor’s Office for the torture and execution of Eduardo Collen Leite. On February 3, 2012, the Federal Public </w:t>
      </w:r>
      <w:r w:rsidRPr="00B845DF">
        <w:rPr>
          <w:rFonts w:eastAsia="Calibri" w:cs="Calibri"/>
          <w:bCs/>
          <w:color w:val="000000"/>
          <w:u w:color="000000"/>
          <w:bdr w:val="nil"/>
          <w14:textOutline w14:w="0" w14:cap="flat" w14:cmpd="sng" w14:algn="ctr">
            <w14:noFill/>
            <w14:prstDash w14:val="solid"/>
            <w14:bevel/>
          </w14:textOutline>
        </w:rPr>
        <w:lastRenderedPageBreak/>
        <w:t xml:space="preserve">Prosecutor’s Office classified the facts as aggravated </w:t>
      </w:r>
      <w:r w:rsidR="007E6D69" w:rsidRPr="00B845DF">
        <w:rPr>
          <w:rFonts w:eastAsia="Calibri" w:cs="Calibri"/>
          <w:bCs/>
          <w:color w:val="000000"/>
          <w:u w:color="000000"/>
          <w:bdr w:val="nil"/>
          <w14:textOutline w14:w="0" w14:cap="flat" w14:cmpd="sng" w14:algn="ctr">
            <w14:noFill/>
            <w14:prstDash w14:val="solid"/>
            <w14:bevel/>
          </w14:textOutline>
        </w:rPr>
        <w:t>homicide but</w:t>
      </w:r>
      <w:r w:rsidRPr="00B845DF">
        <w:rPr>
          <w:rFonts w:eastAsia="Calibri" w:cs="Calibri"/>
          <w:bCs/>
          <w:color w:val="000000"/>
          <w:u w:color="000000"/>
          <w:bdr w:val="nil"/>
          <w14:textOutline w14:w="0" w14:cap="flat" w14:cmpd="sng" w14:algn="ctr">
            <w14:noFill/>
            <w14:prstDash w14:val="solid"/>
            <w14:bevel/>
          </w14:textOutline>
        </w:rPr>
        <w:t xml:space="preserve"> requested that the case be closed because of the application of the statute of limitations on the criminal action. It also considered that Brazilian legislation does not recognize the criminal type of crimes against humanity or the non-applicability of statutory limitations to these crimes. </w:t>
      </w:r>
    </w:p>
    <w:p w14:paraId="508511D0"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560247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its report on the merits, the Commission observed, with respect to the arrest of Eduardo Collen Leite, that there were no indications of an arrest warrant, flagrancy, or that the victim knew the reasons for his arrest given that he was beaten, and, after fainting, he was detained. Nor is it known that he was placed at the disposal of a competent judge for judicial review of the detention, which lasted from August 21 until December 8, 1970. With regard to the treatment of the victim during his detention, the Commission concluded that the elements that define torture were present. Finally, the Commission determined that Eduardo Collen Leite was a victim of an extrajudicial execution, taking into account that he was in the custody of the State and that Brazil did not challenge the CNV’s conclusion that the victim was executed on the orders of a colonel. </w:t>
      </w:r>
    </w:p>
    <w:p w14:paraId="5A0B7B9A"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463CDB7" w14:textId="77777777" w:rsidR="00774C1A" w:rsidRPr="00B845D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further established that Denise Peres Crispim was also the victim of an arbitrary detention and torture. In addition, since the victim was pregnant, the Commission analyzed the facts in light of the applicable international standards on the rights of pregnant women deprived of liberty. In this regard, it stressed that her pregnancy constituted a condition of particular vulnerability, so that the arbitrary deprivation of liberty and torture generated an even more disproportionate impact, as well as the violation of other rights. </w:t>
      </w:r>
    </w:p>
    <w:p w14:paraId="03D788ED"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With respect to the investigation, the Commission considered that the State did not diligently investigate the facts, which were initially investigated by the military criminal justice system, which does not meet the requirements needed to investigate and prosecute human rights violations. It noted that the criminal complaint before the ordinary courts for the torture and execution of Eduardo Collen Leite was closed due to the application of the statute of limitations, and that the construal by the judiciary of Law No. 6.683/79 (Amnesty Law) would continue to prevent such crimes from being punished. The Commission concluded that both the statute of limitations and the interpretation of the amnesty law constitute elements of impunity that are incompatible with the State’s obligations in the matter. </w:t>
      </w:r>
    </w:p>
    <w:p w14:paraId="2E717850" w14:textId="77777777" w:rsidR="007E6D69" w:rsidRPr="00B845DF" w:rsidRDefault="007E6D69"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7EAC9C59"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Moreover, the Commission observed that, although the State had become aware of the facts related to the detention and torture suffered by Denise Peres Crispim, there is no evidence that it has initiated an immediately diligent, reinforced and gender-focused investigation of the facts ex officio. Finally, the Commission concluded that Denise Peres Crispim and her daughter, Eduarda, were forced to leave Brazil and seek refuge because of the persecution suffered by the Brazilian dictatorship, and that the facts in the case also amounted to a violation of Eduarda’s right to humane treatment. The Commission valued the administrative reparations granted in the case at hand; however, it determined, among other aspects, that such reparations are partial since they do not comprise all the human rights violations declared in the report on the merits.</w:t>
      </w:r>
    </w:p>
    <w:p w14:paraId="684F1E16"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3EF701A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Based on the foregoing considerations, the Commission concluded that the Brazilian State is responsible for the violation of the rights enshrined in Articles I, VII, VIII, XVIII, XIX, XXII and XXV of the American Declaration and of the rights enshrined in Articles 5.1, 8.1 and 25.1 of the American Convention on Human Rights, in relation to Articles 1.1 and 2 thereof. It also concluded that the State is responsible for violating Articles 1, 6 and 8 of the Inter-American Convention to Prevent and Punish Torture, and Article 7(b) of the Inter-American Convention to Prevent, Punish and Eradicate Violence against Women (Convention of Belém do Pará).</w:t>
      </w:r>
    </w:p>
    <w:p w14:paraId="6FE915C3"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A061C8B" w14:textId="5E01B572" w:rsidR="007E6D69" w:rsidRPr="007E6D69"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7E6D69">
        <w:rPr>
          <w:rFonts w:ascii="Cambria" w:hAnsi="Cambria"/>
          <w:b/>
          <w:color w:val="000000"/>
          <w:sz w:val="20"/>
          <w:szCs w:val="20"/>
        </w:rPr>
        <w:t>Juan Pedro Lares Rángel et al v. Venezuela</w:t>
      </w:r>
    </w:p>
    <w:p w14:paraId="089198A0"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This case refers to the persecution and harassment against the mayor of the city of Campo Elias in Mérida, Omar Adolfo de Jesús Lares Sánchez, the violation of his political rights and his freedom of movement; the forced disappearance, illegal deprivation of liberty and torture of his son Juan Pedro Lares </w:t>
      </w:r>
      <w:r w:rsidRPr="00B845DF">
        <w:rPr>
          <w:rFonts w:eastAsia="Calibri" w:cs="Calibri"/>
          <w:bCs/>
          <w:color w:val="000000"/>
          <w:u w:color="000000"/>
          <w:bdr w:val="nil"/>
          <w14:textOutline w14:w="0" w14:cap="flat" w14:cmpd="sng" w14:algn="ctr">
            <w14:noFill/>
            <w14:prstDash w14:val="solid"/>
            <w14:bevel/>
          </w14:textOutline>
        </w:rPr>
        <w:lastRenderedPageBreak/>
        <w:t>Rángel, and the violation of the rights to fair trial, to judicial protection and to humane treatment of his family members.</w:t>
      </w:r>
    </w:p>
    <w:p w14:paraId="077ED037" w14:textId="77777777" w:rsidR="007E6D69" w:rsidRPr="00B845DF" w:rsidRDefault="007E6D69"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5498F7BC"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May 2017, the Supreme Court of Justice issued 40 sentences against 16 mayors, including Mr. Omar Adolfo Lares, ordering the mayors of opposing parties to prevent “meetings on public roads that restrict free movement.” After several months of protest, on July 30, 2017, approximately 200 officials of the Bolivarian National Intelligence Service (SEBIN), a tanker and a helicopter surrounded the home of the Lares Rángel family, shot against the buildings and entered the house without a search warrant and looted it. Juan Pedro Lares, son of Mayor Lares, was arrested, without a warrant, while he was trying to escape through the roofs. He was later sprayed with gasoline and threatened to start a fire if he did not say where his father was. He was also beaten and threatened with torture. After his arrest, he was taken to unknown whereabouts for three days.</w:t>
      </w:r>
    </w:p>
    <w:p w14:paraId="3EFA95AC"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B64B75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On July 31, 2017, Juan Pedro Rángel’s mother reported the facts to the Prosecutor’s Office and instituted criminal proceedings with the Office of the Public Prosecutor. His whereabouts were not known until August 15, 2017, when his mother was allowed to enter El Helicoide for a consular visit. Ramona Rángel also reported the case to the Ombudsperson with the support of the Colombian Ministry of Foreign Affairs (since she and her children have Colombian nationality) and filed a writ of habeas corpus. On September 28, she claimed before the Attorney General that Juan Pedro had not been brought before the judicial authorities and required the restitution of his rights. Juan Pedro was not brought before a judge. Finally, he was released on June 1, 2018, in the context of a mutiny that took place in May. According to the information provided by the petitioners, which was not challenged by the State, Juan Pedro Lares slept on the floor, had no water to bathe, did not receive food and was confined 24 hours a day in a cell; he was never allowed to visit his lawyer, and he was in poor health conditions without medical assistance. </w:t>
      </w:r>
    </w:p>
    <w:p w14:paraId="2BC9EAA7" w14:textId="77777777" w:rsidR="007E6D69" w:rsidRPr="00B845DF" w:rsidRDefault="007E6D69"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31D99E54"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After the arrest warrant issued on July 30, 2017, against Omar Lares, he announced that he was going into hiding and managed to move to Colombia, were he applied for asylum. After the release of Juan Pedro Lares, he and the rest of his family moved to Colombia. In its Report on Admissibility and Merits No. 390/21, the Commission determined that the State violated Juan Pedro Lares’ right to personal liberty. Indeed, it determined that his detention was illegal and arbitrary because, according to the information available, the alleged victim was not found in flagrante delicto and there was no arrest warrant issued for said purpose. The Commission considered that, according to the information available, at no time were the reasons for his detention informed, nor did he appear on the list of detainees in the detention center where he was held, and he remained incommunicado. On June 1, 2018, at the time of his release, he was not given a release order; thus, his release was granted in a “clandestine manner.”</w:t>
      </w:r>
    </w:p>
    <w:p w14:paraId="1BFDF9FC"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49BD8AE"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Likewise, the Commission determined that the State has violated Juan Pedro Lares’ right to humane treatment since the moment he was first arrested and was subjected to physical and psychological torture. This is due to the physical and verbal aggressions he suffered, as well as the threats to be burnt, electrocuted, tortured with a bag, and the fact that he was kept incommunicado and in the conditions of detention described above. The Commission also concluded that the elements constituting enforced disappearance were present and considered that the illegal and arbitrary detention of Juan Pedro was carried out by state agents with the subsequent refusal to make his whereabouts known despite the requests and complaints filed by his mother. </w:t>
      </w:r>
    </w:p>
    <w:p w14:paraId="3568F515"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9D44EB8"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Furthermore, it noted that, according to the information available, at no time, even after his whereabouts were confirmed, was Juan Pedro included in the list of detainees in El Helicoide. In this regard, it determined that his rights to life, to humane treatment and to personal liberty were violated, as well as Article I.a of the American Convention on Forced Disappearance of Persons. Moreover, the Commission determined that the State violated the right to inviolability of the home given the arbitrary and abusive entry, without legal authorization or the consent of the Lares Rángel family to their home. It also determined the violation of the personal integrity of the members of the Lares Rángel family as a result of the rights violations committed </w:t>
      </w:r>
      <w:r w:rsidRPr="00B845DF">
        <w:rPr>
          <w:rFonts w:eastAsia="Calibri" w:cs="Calibri"/>
          <w:bCs/>
          <w:color w:val="000000"/>
          <w:u w:color="000000"/>
          <w:bdr w:val="nil"/>
          <w14:textOutline w14:w="0" w14:cap="flat" w14:cmpd="sng" w14:algn="ctr">
            <w14:noFill/>
            <w14:prstDash w14:val="solid"/>
            <w14:bevel/>
          </w14:textOutline>
        </w:rPr>
        <w:lastRenderedPageBreak/>
        <w:t>against Juan Pedro Lares, which caused a deep feeling of pain, anguish and uncertainty. The Commission determined that the State violated the rights to fair trial and to judicial protection, as well as the right to have a remedy to challenge his detention, given that, despite the complaints filed by Ramona Rángel, no information was provided on the responses to, results from, or progress on investigations by the authorities. Nor was an investigation initiated into the allegations of torture even though the State was aware of the allegations of torture.</w:t>
      </w:r>
    </w:p>
    <w:p w14:paraId="624A0437"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0DCDBF0"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Finally, the Commission further determined that the State violated the political rights and the right to freedom of movement and residence of Omar Adolfo Lares, who was a mayor at the time of the facts. Consequently, he was forced to move and was unable to continue serving as mayor, an office to which he had been elected. Based on the foregoing, the Commission concluded that the State is responsible for the violation of the rights to life, to humane treatment, to personal liberty, to the protection of honor and dignity, to a fair trial and to judicial protection, political rights, and the right to freedom of movement and residence provided for in Articles 4.1, 5.1 and 5.2, 7, 8.1, 11.2, 22.1, 23.1.c and 25.1 of the American Convention, in relation to Article 1.1 thereof. The Commission also concludes that the State is responsible for violating Articles 1, 6 and 8 of the Inter-American Convention to Prevent and Punish Torture, and Article I.a of the Inter-American Convention on Forced Disappearance of Persons, all this, to the detriment of Juan Pedro Lares Rángel, Omar Adolfo de Jesús Lares Sánchez, Ramona Emilia Rángel Colmenares, Astrid Aranxa Lares Rángel and Jesús Adolfo Lares Rángel, as established in this report.</w:t>
      </w:r>
    </w:p>
    <w:p w14:paraId="60F4A196" w14:textId="77777777" w:rsidR="007E6D69" w:rsidRPr="00B845DF" w:rsidRDefault="007E6D69"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03EE39AB" w14:textId="77777777" w:rsidR="00774C1A" w:rsidRPr="002A727F"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lang w:val="pt-BR"/>
        </w:rPr>
      </w:pPr>
      <w:r w:rsidRPr="002A727F">
        <w:rPr>
          <w:rFonts w:ascii="Cambria" w:hAnsi="Cambria"/>
          <w:b/>
          <w:color w:val="000000"/>
          <w:sz w:val="20"/>
          <w:szCs w:val="20"/>
          <w:lang w:val="pt-BR"/>
        </w:rPr>
        <w:t>Almir Muniz da Silva v. Brazil</w:t>
      </w:r>
    </w:p>
    <w:p w14:paraId="6527006D" w14:textId="03ADE67D"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This case relates to the international responsibility of the State of Brazil for the disappearance of Almir Muniz da Silva, a rural </w:t>
      </w:r>
      <w:r w:rsidR="007E6D69" w:rsidRPr="00B845DF">
        <w:rPr>
          <w:rFonts w:eastAsia="Calibri" w:cs="Calibri"/>
          <w:bCs/>
          <w:color w:val="000000"/>
          <w:u w:color="000000"/>
          <w:bdr w:val="nil"/>
          <w14:textOutline w14:w="0" w14:cap="flat" w14:cmpd="sng" w14:algn="ctr">
            <w14:noFill/>
            <w14:prstDash w14:val="solid"/>
            <w14:bevel/>
          </w14:textOutline>
        </w:rPr>
        <w:t>worker,</w:t>
      </w:r>
      <w:r w:rsidRPr="00B845DF">
        <w:rPr>
          <w:rFonts w:eastAsia="Calibri" w:cs="Calibri"/>
          <w:bCs/>
          <w:color w:val="000000"/>
          <w:u w:color="000000"/>
          <w:bdr w:val="nil"/>
          <w14:textOutline w14:w="0" w14:cap="flat" w14:cmpd="sng" w14:algn="ctr">
            <w14:noFill/>
            <w14:prstDash w14:val="solid"/>
            <w14:bevel/>
          </w14:textOutline>
        </w:rPr>
        <w:t xml:space="preserve"> and an advocate for the rights of rural workers in the state of Paraíba, and for the situation of impunity in relation to the facts. </w:t>
      </w:r>
    </w:p>
    <w:p w14:paraId="0823E9BC" w14:textId="77777777" w:rsidR="007E6D69" w:rsidRPr="00B845DF" w:rsidRDefault="007E6D69"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025C0A16" w14:textId="77777777"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Almir Muniz da Silva was an active member of the rural workers’ association of Itabaiana, in Paraíba. He testified at the Parliamentary Investigation Commission on violence in the countryside and the formation of rural militias in the state of Paraíba on May 9, 2001, noting the violent actions taken by police agents against rural workers in the region. In his statement, he pointed to civil police officer Sergio de Souza Azevedo as "the main responsible for the violence against workers in the region." According to testimonies, the animosity of the police officer toward rural workers, and in particular towards Mr. Muniz da Silva, goes back to the occupation of the Tanques country estate by rural workers in 1986.</w:t>
      </w:r>
    </w:p>
    <w:p w14:paraId="2448555A" w14:textId="41700AD3" w:rsidR="00774C1A" w:rsidRPr="00B845DF" w:rsidRDefault="00774C1A"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05FF2BED" w14:textId="57333C88"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On December 23, 2000, Mr. Muniz da Silva was threatened with death by the same police officer. On the morning of June 29, 2002, Mr. Muniz da Silva was last seen as he was driving in a tractor from the local rural workers’ association towards a road that crossed the country estates of Veneza and Tanques, heading to his home. The tractor was seen approaching the farm, stopping for about five </w:t>
      </w:r>
      <w:r w:rsidR="007E6D69" w:rsidRPr="00B845DF">
        <w:rPr>
          <w:rFonts w:eastAsia="Calibri" w:cs="Calibri"/>
          <w:bCs/>
          <w:color w:val="000000"/>
          <w:u w:color="000000"/>
          <w:bdr w:val="nil"/>
          <w14:textOutline w14:w="0" w14:cap="flat" w14:cmpd="sng" w14:algn="ctr">
            <w14:noFill/>
            <w14:prstDash w14:val="solid"/>
            <w14:bevel/>
          </w14:textOutline>
        </w:rPr>
        <w:t>minutes,</w:t>
      </w:r>
      <w:r w:rsidRPr="00B845DF">
        <w:rPr>
          <w:rFonts w:eastAsia="Calibri" w:cs="Calibri"/>
          <w:bCs/>
          <w:color w:val="000000"/>
          <w:u w:color="000000"/>
          <w:bdr w:val="nil"/>
          <w14:textOutline w14:w="0" w14:cap="flat" w14:cmpd="sng" w14:algn="ctr">
            <w14:noFill/>
            <w14:prstDash w14:val="solid"/>
            <w14:bevel/>
          </w14:textOutline>
        </w:rPr>
        <w:t xml:space="preserve"> and returning to the original road. Relatives of the victim heard four shots coming from the Tanques country estate, followed by a pause and three more shots. On the night of June 29, 2002, the family members began their search for Mr. Muniz da Silva and went to the police station of Itabaiana, where de Souza Acevedo worked, to report the disappearance. The authorities did not allow the relatives to file the complaint and also rejected their request to search the region. On the following day, the family managed to file the complaint, but no immediate and diligent action was taken to determine what had happened, find the whereabouts of the victim, and punish those responsible for the acts. </w:t>
      </w:r>
    </w:p>
    <w:p w14:paraId="7EAEC393"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4AFDF33" w14:textId="77777777"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its report on the merits, the Commission found that, to date, there is no account of what happened, since the case was closed without the facts being clarified or the people responsible punished. The Commission concluded that the three constituent elements of forced disappearance were present. There are several pieces of evidence indicating that Mr. Muniz da Silva was allegedly killed by a police officer, with the subsequent disappearance or concealment of his remains. Furthermore, the Commission observed that the response of the authorities, once the disappearance became known, was neither immediate nor diligent, and </w:t>
      </w:r>
      <w:r w:rsidRPr="00B845DF">
        <w:rPr>
          <w:rFonts w:eastAsia="Calibri" w:cs="Calibri"/>
          <w:bCs/>
          <w:color w:val="000000"/>
          <w:u w:color="000000"/>
          <w:bdr w:val="nil"/>
          <w14:textOutline w14:w="0" w14:cap="flat" w14:cmpd="sng" w14:algn="ctr">
            <w14:noFill/>
            <w14:prstDash w14:val="solid"/>
            <w14:bevel/>
          </w14:textOutline>
        </w:rPr>
        <w:lastRenderedPageBreak/>
        <w:t>thus contributed to the failure to unveil the fate or whereabouts of the victim. The Commission even noted that, prior to the disappearance, the State had not had an adequate response to the first threat issued against the victim by a police officer in 2000, despite the fact that it could have been deemed as a death threat. In this regard, the Commission concluded that, although the authorities were aware of the situation of risk towards Mr. Muniz da Silva’s rights, they did not take the measures required to protect him, in spite of the context of militia activities in the state of Paraíba, in which the police was allegedly engaged, and the special risk environment faced by rural workers leaders, as was the case with the victim.</w:t>
      </w:r>
    </w:p>
    <w:p w14:paraId="2944C87D" w14:textId="63A60F8F" w:rsidR="00774C1A" w:rsidRPr="00B845DF" w:rsidRDefault="00774C1A"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4ECC2F6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also established that there are a number of elements in the file that confirm the lack of due diligence throughout the investigation followed by the disappearance of the victim. First, no immediate search and investigation procedures were performed. Secondly, evidence was not collected, and some of the measures reasonably necessary to investigate seriously and thoroughly the disappearance were not taken. In addition, none of the logical lines of investigation followed show that the link between the disappearance and the human rights advocacy of the victim as a leader of rural workers was seriously investigated. Third, the Commission noted that insufficient resources were allocated to the case investigation team. </w:t>
      </w:r>
    </w:p>
    <w:p w14:paraId="59185E56"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5C11E9A" w14:textId="77777777"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Finally, the Commission also stressed that, since the State of Brazil had not included the criminal definition of forced disappearance through the legal devices provided for in its legislation and with all its constituent elements, it failed to comply with its obligation to adopt provisions of domestic law. With regard to reasonable time, the Commission noted that, as of the disappearance occurred on June 29, 2002, more than six years elapsed until the adoption of the decision accepting the proposal of the Prosecutor’s Office to file the case for lack of evidence on the authorship of the crime, which was a logical consequence of the deficiencies of the investigation. The Commission considered that this term is unreasonable and that the complexity of the case, the actions of the authorities and those of family members cannot explain or justify this excessive time taken.</w:t>
      </w:r>
    </w:p>
    <w:p w14:paraId="0A42C9DA" w14:textId="0517310B" w:rsidR="00774C1A" w:rsidRPr="00B845DF" w:rsidRDefault="00774C1A"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3F465E5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also observed, in relation to the effect generated by the legal situation, that the murder of a human rights defender and the subsequent state of impunity has an impact not only at the family level, but it also has an intimidating effect on other human rights defenders. Finally, the Commission also concluded that the State of Brazil is responsible for the violation of the right to freedom of association, given that the forced disappearance of Mr. Muniz da Silva was not only intended to silence the victim’s claims, but it also has a discouraging effect on others in the movement of workers claiming for their lands. Finally, it concluded that the State violated the right to personal integrity of Mr. Muniz da Silva’s family members. </w:t>
      </w:r>
    </w:p>
    <w:p w14:paraId="16B9FDDA"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99E7858"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On the basis of these determinations, the Commission concluded that the State of Brazil is responsible for the violation of the rights enshrined in Articles 3 (legal personality), 4 (life), 5.1 (personal integrity), 7 (personal liberty), 8.1 (a fair trial), 16 (freedom of association) and 25.1 (judicial protection) of the American Convention, in relation to Article 1.1 and Article 2 (duty to adopt domestic provisions) thereof, to the detriment of Almir Muniz da Silva and his relatives. In addition, it concluded that the State failed to comply with the obligations contained in Articles I and III of the Inter-American Convention on Forced Disappearance of Persons, as of the date on which Brazil became a party to said treaty.</w:t>
      </w:r>
    </w:p>
    <w:p w14:paraId="216FD5DD"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D054F90" w14:textId="6BD5ECF9" w:rsidR="00774C1A" w:rsidRPr="007E6D69"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7E6D69">
        <w:rPr>
          <w:rFonts w:ascii="Cambria" w:hAnsi="Cambria"/>
          <w:b/>
          <w:color w:val="000000"/>
          <w:sz w:val="20"/>
          <w:szCs w:val="20"/>
        </w:rPr>
        <w:t>César Daniel Camejo Blanco v. Venezuela</w:t>
      </w:r>
    </w:p>
    <w:p w14:paraId="2FCA26EC"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This case relates to the international responsibility of the State of Venezuela for a series of violations of the victim’s human rights in the context of his deprivation of liberty and the criminal proceedings held against him. </w:t>
      </w:r>
    </w:p>
    <w:p w14:paraId="20AAF626" w14:textId="77777777" w:rsidR="007E6D69" w:rsidRPr="00B845DF" w:rsidRDefault="007E6D69"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7943FCE1"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January 2011, Prosecutor’s Offices No. 74 and No. 83, with competence over corruption, banks, insurance and capital markets and against capital legitimation, financial and economic crimes, requested a ban on leaving the country against César Daniel Camejo Blanco, who was the president of the Board of </w:t>
      </w:r>
      <w:r w:rsidRPr="00B845DF">
        <w:rPr>
          <w:rFonts w:eastAsia="Calibri" w:cs="Calibri"/>
          <w:bCs/>
          <w:color w:val="000000"/>
          <w:u w:color="000000"/>
          <w:bdr w:val="nil"/>
          <w14:textOutline w14:w="0" w14:cap="flat" w14:cmpd="sng" w14:algn="ctr">
            <w14:noFill/>
            <w14:prstDash w14:val="solid"/>
            <w14:bevel/>
          </w14:textOutline>
        </w:rPr>
        <w:lastRenderedPageBreak/>
        <w:t>Directors of Casa Propia Entidad de Ahorro y Préstamos C.A [a savings and loans entity], within the framework of an investigation of diversion of financial resources and association to commit crimes for the signing of two trust contracts in 2009 for the purchase of securities (the ownership of which could not be determined). Mr. Camejo Blanco was arrested at the Maiquetía Airport on January 23, 2011, under the prohibition order to leave the country. After the lower court responsible for the case declared the nullity of the detention for the absence of a judicial arrest warrant or of a situation of flagrante delicto, in that same resolution, it ordered Camejo Blanco’s pretrial detention; therefore, he continued to be detained at the headquarters of the Bolivarian National Intelligence Service [SEBIN].</w:t>
      </w:r>
    </w:p>
    <w:p w14:paraId="167A71DA" w14:textId="77777777" w:rsidR="007E6D69" w:rsidRPr="00B845DF" w:rsidRDefault="007E6D69"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40493914"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On February 1, 2011, an appeal was filed with the Court of Appeals of the Criminal Judicial Circuit of the Metropolitan Area of Caracas to challenge the pretrial detention measure imposed on Camejo Blanco, and to argue that he had not had access to the case file; the representatives of the Office of the Public Prosecutor had not opened an investigation into the case; and the lower court had not specifically determined which were the illegal actions charged against Camejo Blanco. Said appeal was admitted by Chamber No. 10 of the Court of Appeals of the Criminal Judicial Circuit of the Metropolitan Area of Caracas.</w:t>
      </w:r>
    </w:p>
    <w:p w14:paraId="14922FB7"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41F7920"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March 2011, the defense counsel requested the immediate release of Camejo Blanco before the Criminal Chamber of the Supreme Court of Justice and denounced that it had no access to the file and that the Public Prosecutor’s Office’s accusation at the close of the investigation stage had been submitted with irregularities and had not been notified to the party. Moreover, they submitted to the Criminal Chamber information on the request to the prosecutors. The petitioners highlighted that on July 18, 2011, the Criminal Chamber of the Supreme Court of Justice sent the case back to its court of origin without having addressed their requests. On March 10, 2011, the defense counsel filed a writ of habeas corpus before the Constitutional Chamber of the Supreme Court, which was declared inadmissible on April 26, 2011.</w:t>
      </w:r>
    </w:p>
    <w:p w14:paraId="3ACD1286"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67697B1"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petitioners held that on January 17, 2013, Camejo Blanco was released under an alternative measure of prohibition on leaving the country; that the oral and public trial against him had not yet been held and that a new pretrial detention measure had been imposed on him, which forced him into exile. The State did not challenge this information. In its report on admissibility and merits, the Commission held that Mr. César Daniel Camejo Blanco was arrested on January 23, 2011, at the Maiquetía Simón Bolívar Airport and transferred to the headquarters of the Bolivarian National Intelligence Service as a result of a measure imposing a ban on him leaving the country. </w:t>
      </w:r>
    </w:p>
    <w:p w14:paraId="02215575"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EA63DB1"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notes that, pursuant to the domestic law of the State of Venezuela, an individual may be detained based on a prior court order or in a situation of flagrante delicto, a concept which is defined by the Code of Criminal Procedure of Venezuela. The Commission considered that the arrest of the victim was illegal because it was not carried out with a court order and, moreover, no court order had been notified to him. Likewise, there were no elements to show that Camejo Blanco was detained in a situation of flagrante delicto, or to prove that under the circumstances in which the victim was found, the deprivation of liberty was appropriate pursuant to the Venezuelan legal framework. Therefore, the Commission understands that the detention took place in violation of the Article 7.2 of the American Convention. The Commission also noted that the State failed to demonstrate that Camejo Blanco was duly informed of the reasons for his detention, in violation of Article 7.4 of the American Convention. </w:t>
      </w:r>
    </w:p>
    <w:p w14:paraId="2C24C3F0"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A99615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Even though on January 25, 2011, Lower Court No. 50 declared the absolute nullity of Camejo Blanco’s arrest, the Commission noted that pretrial detention of the victim was ordered on the grounds that the flight risk had allegedly been proven. After analyzing the Venezuelan legal framework, and specifically the provisions of the Organic Code of Criminal Procedure that govern said matter, the Commission noted that the mere existence of evidence that preliminarily supports the involvement of the accused in a conduct punishable with a sentence of imprisonment equal to or greater than ten years would constitute sufficient grounds to order the pretrial detention. Consequently, the Commission considered that the order of pretrial detention was substantially based on the possible sentence to be applied and on general statements (for example, that Mr. </w:t>
      </w:r>
      <w:r w:rsidRPr="00B845DF">
        <w:rPr>
          <w:rFonts w:eastAsia="Calibri" w:cs="Calibri"/>
          <w:bCs/>
          <w:color w:val="000000"/>
          <w:u w:color="000000"/>
          <w:bdr w:val="nil"/>
          <w14:textOutline w14:w="0" w14:cap="flat" w14:cmpd="sng" w14:algn="ctr">
            <w14:noFill/>
            <w14:prstDash w14:val="solid"/>
            <w14:bevel/>
          </w14:textOutline>
        </w:rPr>
        <w:lastRenderedPageBreak/>
        <w:t xml:space="preserve">Camejo Blanco could have known the location of witnesses and officials). The Commission considered that the foregoing constitutes a violation of both Article 7.3 and Article 8.2 of the American Convention in relation to Article 2 thereof. </w:t>
      </w:r>
    </w:p>
    <w:p w14:paraId="78AC4F3C"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B170AB9" w14:textId="77777777"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Moreover, in its report, the Commission considered that the period of time during which Camejo Blanco was detained, without having a founded decision on the reasons why his flight risk was considered, exceeded the criteria of reasonableness, and no periodic review of the measure was undertaken, as provided for in Article 7.5 of the American Convention. In addition, the remedies filed by the victim to obtain his release were not effective, since the Constitutional Chamber of the Supreme Court of Justice did not conduct any analysis of the case in light of inter-American standards to protect the right to personal liberty and to ensure the full observance of the principle of presumption of innocence. Thus, the Commission notes that, according to the information provided, the writ of habeas corpus filed by Camejo Blanco did not provide him with an effective and non-illusory protection to his right to personal liberty, all this in violation of Articles 7.6 and 25 of the American Convention.</w:t>
      </w:r>
    </w:p>
    <w:p w14:paraId="1938A06D" w14:textId="37322DE2" w:rsidR="00774C1A" w:rsidRPr="00B845DF" w:rsidRDefault="00774C1A"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1DCDEEE3" w14:textId="77777777"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its analysis of the exercise of the principle of legality, the Commission noted that the General Law on Banks and Other Financial Institutions, which establishes the crime of misappropriation or embezzlement provided for in Article 379, with which Camejo Blanco was charged, was repealed in 2010 by the Law on Institutions in the Banking Sector, mainly its Article 213, which was in turn modified by Decree No. 8079, and combined in its writing both articles. The Commission observed that the unlawful conduct described in the different and successive criminal laws clearly differed from one another. One law refers to the appropriation of resources, another refers to presentation of false information with the purpose of misappropriation or embezzlement, and another stipulates a combination of both.</w:t>
      </w:r>
    </w:p>
    <w:p w14:paraId="2C6F2A33" w14:textId="0E7446D4" w:rsidR="00774C1A" w:rsidRPr="00B845DF" w:rsidRDefault="00774C1A"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3FB2ADA2"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further observed that the succession of different criminal types led to a situation of lack of predictability for the victim. Besides, the most favorable criminal norm should have been applied. However, there is no evidence that such an analysis was performed in the instant case, since the criminal law which criminalized the misappropriation or embezzlement was simply applied, despite the fact that a subsequent law did not criminalize that specific conduct, but rather the submission or execution of false documents. Therefore, the Commission concluded that the State violated the principle of legality. </w:t>
      </w:r>
    </w:p>
    <w:p w14:paraId="00C80C59"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9EFFB1E" w14:textId="0139663E"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With regard to the right to a fair trial and judicial protection, the Commission observed that the State did not provide effective protection to the right to a fair trial of Camejo Blanco, who reported multiple irregularities. Among them, he claimed he did not have access to the file and that the Office of the Public Prosecutor did not provide him with the evidence on which the criminal charges against him were based nor notified him of the end of the investigation. Based on the analysis above, the Commission concludes that the State of Venezuela violated the rights enshrined in Articles 7.1, 7.2, 7.3, 7.4, 7.5, 7.6 (right to personal liberty), 8.2 (right to a fair trial), 9 (principle of legality) and 25.1 (right to judicial protection) of the American Convention, in relation to Articles 1.1 and 2 thereof, to the detriment of César Daniel Camejo Blanco.</w:t>
      </w:r>
    </w:p>
    <w:p w14:paraId="253A17E4" w14:textId="77777777" w:rsidR="007E6D69" w:rsidRPr="007E6D69"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AB54022" w14:textId="371EC68A" w:rsidR="007E6D69" w:rsidRPr="007E6D69"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7E6D69">
        <w:rPr>
          <w:rFonts w:ascii="Cambria" w:hAnsi="Cambria"/>
          <w:b/>
          <w:color w:val="000000"/>
          <w:sz w:val="20"/>
          <w:szCs w:val="20"/>
        </w:rPr>
        <w:t>Agapito Pérez Lucas, Nicolás Mateo, Macario Pú Chivalán, Luis Ruiz Luis and family members v. Guatemala</w:t>
      </w:r>
    </w:p>
    <w:p w14:paraId="77E81ABE"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This case relates to the international responsibility of the State of Guatemala for violating a series of rights protected by the American Convention on Human Rights and the Inter-American Convention on Forced Disappearance of Persons as a result of the detention of Mr. Agapito Pérez Lucas, Mr. Nicolás Mateo, Mr. Macario Pú Chivalán and Mr. Luis Ruiz Luis in April 1989, and their subsequent forced disappearance, as well as the situation of impunity surrounding the facts.</w:t>
      </w:r>
    </w:p>
    <w:p w14:paraId="27BC3A69" w14:textId="77777777" w:rsidR="007E6D69" w:rsidRPr="00B845DF" w:rsidRDefault="007E6D69"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1E56DB58"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its Report on the Merits No. 386/21, the Commission considered that the facts denounced took place in a historical context widely known by the protection bodies of the inter-American human rights system and documented by the Historical Clarification Commission in its final report entitled Guatemala Nunca </w:t>
      </w:r>
      <w:r w:rsidRPr="00B845DF">
        <w:rPr>
          <w:rFonts w:eastAsia="Calibri" w:cs="Calibri"/>
          <w:bCs/>
          <w:color w:val="000000"/>
          <w:u w:color="000000"/>
          <w:bdr w:val="nil"/>
          <w14:textOutline w14:w="0" w14:cap="flat" w14:cmpd="sng" w14:algn="ctr">
            <w14:noFill/>
            <w14:prstDash w14:val="solid"/>
            <w14:bevel/>
          </w14:textOutline>
        </w:rPr>
        <w:lastRenderedPageBreak/>
        <w:t xml:space="preserve">Más. This context was marked by the internal armed conflict that took place from 1962 to 1996, which disrupted the country’s democracy and Rule of Law, and caused serious human and material losses. In particular, the Inter-American Commission pointed out that the “scorched earth” policy – inspired by the notion of “an internal enemy” and by the so-called “national security doctrine” – implemented by institutions of the Guatemalan State and by para-state actors in their struggle against insurgent groups led to multiple and serious violations of human rights and, in particular, the violation of the rights to life, to humane treatment and to personal liberty to the detriment of intellectuals, artists, students, teachers, trade union leaders and other social actors who were seen as opponents to the prevailing political regime. </w:t>
      </w:r>
    </w:p>
    <w:p w14:paraId="1E6BACF8" w14:textId="77777777" w:rsidR="007E6D69" w:rsidRPr="00B845DF" w:rsidRDefault="007E6D69"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05297D3D"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Within this context, Mr. Macario Pú Chivalán, Mr. Luis Ruiz Luis, Mr. Agapito Pérez Lucas and Mr. Nicolás Mateo were active members of the Runujel Junam Council of Ethnic Communities (CERJ) and worked in the promotion and defense of human rights in communities located in the department of Quiché. In particular, their work focused on preventing and avoiding the forced recruitment of peasants from the area by Civil Defense Committees or Civil Self-Defense Patrols who fought against insurgent groups. As a result of these efforts, the victims and their families were threatened and, in March 1989, they and their families had to move to the Trinidad Miramar farm, in the municipality of Patulul, department of Suchitepéquez, to work in the coffee harvest. </w:t>
      </w:r>
    </w:p>
    <w:p w14:paraId="1879FD5E"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3B63E7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On April 1, 1989, at night, a group of armed people who were wearing the regular uniform of the Guatemalan armed forces broke into the Trinidad Miramar farm and deprived Mr. Agapito Pérez Lucas and Mr. Nicolás Mateo from their liberty. The family members of the victims were not informed of the location to which their loved ones were taken or the reasons for their arrest. Despite the fact that the victims’ family members met with several state authorities in the days following their disappearance, the whereabouts of Mr. Pérez Lucas and Mr. Mateo remain unknown. Likewise, on April 7, 1989, Mr. Pú Chivalán and Mr. Ruiz Luis were also violently detained at the Trinidad Miramar farm. To date, there is also no information regarding the place to which they were transferred, the reasons for their detention and their respective whereabouts.</w:t>
      </w:r>
    </w:p>
    <w:p w14:paraId="7BFA53BA"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AC9F531" w14:textId="2914E236"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its Merits Report No. 386/21, the Commission concluded first that, in accordance with the elements available in the case file, the victims had been forcibly disappeared. In this regard, the Commission determined that the victims had been deprived of their liberty by state agents, and there was a refusal to report on their whereabouts or fate. In particular, the Commission noted that despite the efforts undertaken by the families of the victims in the days following the military operations of April 1 and 7, 1989, the State’s response was not aimed at determining what happened and finding out the whereabouts of Mr. Macario Pú Chivalán, Mr. Luis Ruiz Luis, Mr. Agapito Pérez </w:t>
      </w:r>
      <w:r w:rsidR="007E6D69" w:rsidRPr="00B845DF">
        <w:rPr>
          <w:rFonts w:eastAsia="Calibri" w:cs="Calibri"/>
          <w:bCs/>
          <w:color w:val="000000"/>
          <w:u w:color="000000"/>
          <w:bdr w:val="nil"/>
          <w14:textOutline w14:w="0" w14:cap="flat" w14:cmpd="sng" w14:algn="ctr">
            <w14:noFill/>
            <w14:prstDash w14:val="solid"/>
            <w14:bevel/>
          </w14:textOutline>
        </w:rPr>
        <w:t>Lucas,</w:t>
      </w:r>
      <w:r w:rsidRPr="00B845DF">
        <w:rPr>
          <w:rFonts w:eastAsia="Calibri" w:cs="Calibri"/>
          <w:bCs/>
          <w:color w:val="000000"/>
          <w:u w:color="000000"/>
          <w:bdr w:val="nil"/>
          <w14:textOutline w14:w="0" w14:cap="flat" w14:cmpd="sng" w14:algn="ctr">
            <w14:noFill/>
            <w14:prstDash w14:val="solid"/>
            <w14:bevel/>
          </w14:textOutline>
        </w:rPr>
        <w:t xml:space="preserve"> and Mr. Nicolás Mateo. In spite of the two writs of habeas corpus filed by the CERJ on April 4 and 10, 1989, the State did not submit information regarding the proceedings established in connection to said remedies, nor did it inform about any proceedings or investigations being carried out by the competent organs of the State to determine the fate of the victims in the instant case.</w:t>
      </w:r>
    </w:p>
    <w:p w14:paraId="218722A4" w14:textId="7D651B01" w:rsidR="00774C1A" w:rsidRPr="00B845DF" w:rsidRDefault="00774C1A"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52E5910B" w14:textId="77777777"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Secondly, in its report on the merits, the Commission concluded that the forced disappearance of the victims was linked to the human rights work they had been carrying out as members of the Runujel Junam Council of Ethnic Communities (CERJ), and in particular, to the activities they had conducted to prevent the forced recruitment of peasants by Civil Self-Defense Patrols. Consequently, the Commission concluded that the State of Guatemala is responsible for the violation of the right to associate freely in defense of human rights enshrined in Article 16.1 of the American Convention on Human Rights.</w:t>
      </w:r>
    </w:p>
    <w:p w14:paraId="5848A506" w14:textId="2136EB17" w:rsidR="00774C1A" w:rsidRPr="00B845DF" w:rsidRDefault="00774C1A"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2046F3F3" w14:textId="77777777"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Third, the Commission considered that the State did not investigate the facts diligently or within a reasonable time. In particular, the actions that the judicial authorities had taken in the first days after the victims’ forced disappearance were not included in the file, nor were they informed by the State of Guatemala. The Commission also observed that the files containing the judicial proceedings carried out in 1989 following the writ of habeas corpus lodged by the victims’ legal representatives were allegedly lost in a fire that affected the judicial archives in 1993.</w:t>
      </w:r>
    </w:p>
    <w:p w14:paraId="75EFC0E7" w14:textId="5BB094BD" w:rsidR="00774C1A" w:rsidRPr="00B845DF" w:rsidRDefault="00774C1A"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5106A133" w14:textId="77777777"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lastRenderedPageBreak/>
        <w:t>With respect to a judicial investigation initiated in 2006 as a result of a new writ of habeas corpus lodged by the CERJ, the Commission verified that said investigation should have been carried out from the very beginning, that is, no actions or proceedings were carried out in the first days after the facts of April 1989 that could be useful to clarify what happened. In addition, the Commission noted that the Office of the Prosecutor for Human Rights who participated in the investigation faced numerous difficulties when exploring in depth any investigation hypotheses. For example, the Guatemalan Army and the Ministry of Defense of Guatemala have been reluctant to respond to requests for information made by the Prosecutor for Human Rights, which prevented access to basic information on the facts, such as the name of the military units that were operating in the area where the facts took place and the list of officers in charge of said units.</w:t>
      </w:r>
    </w:p>
    <w:p w14:paraId="09C84313" w14:textId="05E8DA2D" w:rsidR="00774C1A" w:rsidRPr="00B845DF" w:rsidRDefault="00774C1A"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62C1EBC5"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stressed that the information in the file did not indicate that there was a proactive investigation plan or strategy undertaking, for example, an active search for possible witnesses to the facts, analyzing documentation in various records or exploring the possibilities that forensic anthropology or other disciplines could offer. </w:t>
      </w:r>
    </w:p>
    <w:p w14:paraId="473F6D9E"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47EC36D" w14:textId="77777777" w:rsidR="00774C1A" w:rsidRPr="00B845D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addition, with respect to the guarantee of a reasonable time, the Commission observed that there were periods of inaction that were not justified by the State, particularly during the 1990s. The Commission also highlighted that the current investigation was initiated in 2006 without any person being identified as responsible for the facts to date, nor has the fate of the victims been clarified in spite of the time that has elapsed since their disappearance. </w:t>
      </w:r>
    </w:p>
    <w:p w14:paraId="4E1C04C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Finally, fourthly, in its report on the merits, the Commission concluded that the facts reported above and attributable to the State violated the right to humane treatment of the victims’ family members, as a result of the deep feeling of pain, anguish and uncertainty they have endured after having resorted to various authorities and having undertaken multiple judicial and extrajudicial search actions that proved fruitless. These feelings worsened due to the lack of an effective and diligent investigation.</w:t>
      </w:r>
    </w:p>
    <w:p w14:paraId="24209A2B" w14:textId="77777777" w:rsidR="007E6D69" w:rsidRPr="00B845DF" w:rsidRDefault="007E6D69"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23F08B35"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light of all the foregoing, the Inter-American Commission concluded in its report on the merits that the State of Guatemala is responsible for the violation of the rights to legal personality, to life, to humane treatment, to personal liberty, to freedom of association in defense of human rights, to a fair trial and to judicial protection, in accordance with what is enshrined in Articles 3, 4.1, 5.1, 7.1, 16.1, 8.1 and 25.1 of the American Convention, in relation to Article 1.1 thereof. In addition, the Commission concludes that the State is responsible for not complying with the obligations set forth in Articles I.a and I.b of the Inter-American Convention on Forced Disappearance of Persons as of February 25, 2000, date of deposit of said instrument by the State of Guatemala.</w:t>
      </w:r>
    </w:p>
    <w:p w14:paraId="1E8023BD"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60C2343" w14:textId="15FA78C7" w:rsidR="007E6D69" w:rsidRPr="007E6D69"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7E6D69">
        <w:rPr>
          <w:rFonts w:ascii="Cambria" w:hAnsi="Cambria"/>
          <w:b/>
          <w:color w:val="000000"/>
          <w:sz w:val="20"/>
          <w:szCs w:val="20"/>
        </w:rPr>
        <w:t xml:space="preserve">Jhon Ricardo Ubaté and Gloria Bogotá v. Colombia </w:t>
      </w:r>
    </w:p>
    <w:p w14:paraId="7CC349EF" w14:textId="77777777" w:rsidR="007E6D69" w:rsidRPr="007E6D69"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200B22C" w14:textId="77777777"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This case relates to the international responsibility of the State of Colombia for the forced disappearance of Jhon Ricardo Ubaté and Gloria Bogotá within the framework of a police operation carried out by the Anti Kidnap and Extortion Unit of the Police (UNIE) in 1995, as well as the subsequent situation of impunity surrounding such facts.</w:t>
      </w:r>
    </w:p>
    <w:p w14:paraId="0781F755" w14:textId="4B8E0272" w:rsidR="00774C1A" w:rsidRPr="00B845DF" w:rsidRDefault="00774C1A"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5488A6E6" w14:textId="77777777" w:rsidR="007E6D69"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Jhon Ricardo Ubaté and Gloria Bogotá had been members of the People’s Liberation Army (EPL) until they were demobilized in 1991. Jhon Ricardo Ubaté was also a member of the Human Rights Committee of Comuna 20 in Cali and, according to the petitioners, he had denounced acts of violence committed by paramilitary groups in said area.</w:t>
      </w:r>
    </w:p>
    <w:p w14:paraId="1FFA1E05" w14:textId="0FC004E6" w:rsidR="00774C1A" w:rsidRPr="00B845DF" w:rsidRDefault="00774C1A"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595E6AC0" w14:textId="03A0ED6A"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On May 19, 1995, Jhon Ricardo Ubaté and Gloria Bogotá were making a phone call outside a health clinic in Cali when they were kidnapped by a group of between four and six heavily armed men carrying two-way radios. After receiving a report, the Metropolitan Police alerted police units and ordered them to intercept the vehicle transporting the victims. However, when the Metropolitan Police managed to find the </w:t>
      </w:r>
      <w:r w:rsidRPr="00B845DF">
        <w:rPr>
          <w:rFonts w:eastAsia="Calibri" w:cs="Calibri"/>
          <w:bCs/>
          <w:color w:val="000000"/>
          <w:u w:color="000000"/>
          <w:bdr w:val="nil"/>
          <w14:textOutline w14:w="0" w14:cap="flat" w14:cmpd="sng" w14:algn="ctr">
            <w14:noFill/>
            <w14:prstDash w14:val="solid"/>
            <w14:bevel/>
          </w14:textOutline>
        </w:rPr>
        <w:lastRenderedPageBreak/>
        <w:t xml:space="preserve">vehicle, since the descriptions of the vehicle matched those of a vehicle of the </w:t>
      </w:r>
      <w:r w:rsidR="007E6D69" w:rsidRPr="00B845DF">
        <w:rPr>
          <w:rFonts w:eastAsia="Calibri" w:cs="Calibri"/>
          <w:bCs/>
          <w:color w:val="000000"/>
          <w:u w:color="000000"/>
          <w:bdr w:val="nil"/>
          <w14:textOutline w14:w="0" w14:cap="flat" w14:cmpd="sng" w14:algn="ctr">
            <w14:noFill/>
            <w14:prstDash w14:val="solid"/>
            <w14:bevel/>
          </w14:textOutline>
        </w:rPr>
        <w:t>Anti-Kidnap</w:t>
      </w:r>
      <w:r w:rsidRPr="00B845DF">
        <w:rPr>
          <w:rFonts w:eastAsia="Calibri" w:cs="Calibri"/>
          <w:bCs/>
          <w:color w:val="000000"/>
          <w:u w:color="000000"/>
          <w:bdr w:val="nil"/>
          <w14:textOutline w14:w="0" w14:cap="flat" w14:cmpd="sng" w14:algn="ctr">
            <w14:noFill/>
            <w14:prstDash w14:val="solid"/>
            <w14:bevel/>
          </w14:textOutline>
        </w:rPr>
        <w:t xml:space="preserve"> and Extortion Unit of the Police (UNIE) that was allegedly carrying out a police operation, it was decided to finish the vehicle search.</w:t>
      </w:r>
    </w:p>
    <w:p w14:paraId="46028096"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63225CA" w14:textId="77117621"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On July 21, 1995, the Cali Regional Prosecutor’s Office initiated a preliminary investigation into the facts and on December 18, 1995, the case was reassigned to the National Human Rights and International Humanitarian Law Unit of the Office of the Attorney General. The Prosecutor’s Office imposed security measures against three agents of the National Police-UNIE for the crimes of aggravated kidnapping, false </w:t>
      </w:r>
      <w:r w:rsidR="007E6D69" w:rsidRPr="00B845DF">
        <w:rPr>
          <w:rFonts w:eastAsia="Calibri" w:cs="Calibri"/>
          <w:bCs/>
          <w:color w:val="000000"/>
          <w:u w:color="000000"/>
          <w:bdr w:val="nil"/>
          <w14:textOutline w14:w="0" w14:cap="flat" w14:cmpd="sng" w14:algn="ctr">
            <w14:noFill/>
            <w14:prstDash w14:val="solid"/>
            <w14:bevel/>
          </w14:textOutline>
        </w:rPr>
        <w:t>testimony, breach</w:t>
      </w:r>
      <w:r w:rsidRPr="00B845DF">
        <w:rPr>
          <w:rFonts w:eastAsia="Calibri" w:cs="Calibri"/>
          <w:bCs/>
          <w:color w:val="000000"/>
          <w:u w:color="000000"/>
          <w:bdr w:val="nil"/>
          <w14:textOutline w14:w="0" w14:cap="flat" w14:cmpd="sng" w14:algn="ctr">
            <w14:noFill/>
            <w14:prstDash w14:val="solid"/>
            <w14:bevel/>
          </w14:textOutline>
        </w:rPr>
        <w:t xml:space="preserve"> of official duty due to unlawful legal advice and misrepresentation in a public document. After a conflict of competence that arose between the ordinary criminal jurisdiction and the military criminal jurisdiction, on August 14, 1997, the Superior Council of Judicature declared the ordinary courts competent to continue with the processing of the case.</w:t>
      </w:r>
    </w:p>
    <w:p w14:paraId="2CCF5930"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CE0684A"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On January 30, 2004, the Fourth Criminal Court of the Circuit of Cali issued a first instance judgment acquitting the four police agents that had been charged. This judgment was not challenged and became final on February 18, 2004. The petitioners alleged that, according to the records of the National Postal Service Office of the city of Cali, the judgment was not notified to them, and they only learned about it on June 23, 2004, when they asked the court for information on the progress of the case. The petitioners also filed a nullity appeal with the Fourth Criminal Court so that the judicial proceedings were annulled as a result of the fact that their right to defense had been violated. However, this appeal and the subsequent writ for protection aimed at reversing the situation were rejected. The criminal investigation was suspended on October 14, 2005. The State reported that, as of September 12, 2019, certain proceedings were carried out within the framework of the criminal investigation of the case, and that on July 17, 2020, a follow-up committee, which included members of the Internal Working Group on the Search, Identification and Return of Missing Persons of the Office of the Attorney General, was created to establish actions aimed at the search for the victims.</w:t>
      </w:r>
    </w:p>
    <w:p w14:paraId="4FFBCE53" w14:textId="77777777" w:rsidR="007E6D69" w:rsidRPr="00B845DF" w:rsidRDefault="007E6D69" w:rsidP="007E6D69">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680D914F"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On June 19, 2001, the Office of the Prosecutor for Human Rights determined the disciplinary responsibility of three police agents for the victims’ disappearances and imposed a primary sanction, the agents’ dismissal, and an accessory sanction, disqualifying them from holding public office for a period of five years. On December 7, 2001, the Disciplinary Chamber, in response to an appeal filed by the police agents, revoked the judgment and exonerated them from liability. The action for direct revocation filed by the petitioners against the administrative act of acquittal was rejected on September 5, 2002, as well as the writ for protection, the nullity appeal and the request for the restoration of rights subsequently filed. On December 28, 2000, the Judgment Chamber of the Administrative Contentious Court of Cali admitted the direct reparation claim filed against the State (Public Prosecutor’s Office, National Police) by the family members of the victims.</w:t>
      </w:r>
    </w:p>
    <w:p w14:paraId="18D55287"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B8C66E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its report on the merits, the Commission considered that there were elements in the file to describe what happened to John Ricardo Ubaté and Gloria Bogotá as forced disappearance. First of all, the Commission considered it proved that the victims were deprived of their liberty on May 19, 1995, by state agents, given the fact that it was determined that the vehicle on which the victims were driven belonged to the Anti Kidnap and Extortion Unit of the Police. In addition, the Commission considered that the state agents did not bring the victims before the judicial authorities, but rather attempted to explain that the facts were part of an alleged operation. In addition, the family members of the alleged victims indicated that they had been under pressure not to testify, since there were different cover-up mechanisms aimed at denying that the victims had been arrested or hiding their fate or whereabouts.</w:t>
      </w:r>
    </w:p>
    <w:p w14:paraId="7F16B7D4" w14:textId="77777777" w:rsidR="007E6D69" w:rsidRPr="00B845DF" w:rsidRDefault="007E6D69" w:rsidP="007E6D69">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45498A5" w14:textId="0D6BB19A"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With regard to the investigation of the facts and the search for the victims, the Commission observed that, although the complaint was filed with the Prosecutor’s Office on May 25, 1995, there is no record proving that a search was ordered. Therefore, it concluded that the State’s response was not immediate and timely as required when there is a complaint on forced disappearance. Furthermore, there is no information indicating that the State has continued its search and found the whereabouts of the victims. As for the due diligence of the investigations, the Commission considered that the State failed to clarify what happened and </w:t>
      </w:r>
      <w:r w:rsidRPr="00B845DF">
        <w:rPr>
          <w:rFonts w:eastAsia="Calibri" w:cs="Calibri"/>
          <w:bCs/>
          <w:color w:val="000000"/>
          <w:u w:color="000000"/>
          <w:bdr w:val="nil"/>
          <w14:textOutline w14:w="0" w14:cap="flat" w14:cmpd="sng" w14:algn="ctr">
            <w14:noFill/>
            <w14:prstDash w14:val="solid"/>
            <w14:bevel/>
          </w14:textOutline>
        </w:rPr>
        <w:lastRenderedPageBreak/>
        <w:t xml:space="preserve">to punish those responsible, and therefore the facts denounced remain unpunished. In particular, the Commission noted that persons involved in the facts died, and that those accused were acquitted, without any evidence that the State carried out or drove forward proceedings to investigate other persons who may have been involved in the facts. The Commission considered that over 25 years have </w:t>
      </w:r>
      <w:r w:rsidR="007E6D69" w:rsidRPr="00B845DF">
        <w:rPr>
          <w:rFonts w:eastAsia="Calibri" w:cs="Calibri"/>
          <w:bCs/>
          <w:color w:val="000000"/>
          <w:u w:color="000000"/>
          <w:bdr w:val="nil"/>
          <w14:textOutline w14:w="0" w14:cap="flat" w14:cmpd="sng" w14:algn="ctr">
            <w14:noFill/>
            <w14:prstDash w14:val="solid"/>
            <w14:bevel/>
          </w14:textOutline>
        </w:rPr>
        <w:t>elapsed,</w:t>
      </w:r>
      <w:r w:rsidRPr="00B845DF">
        <w:rPr>
          <w:rFonts w:eastAsia="Calibri" w:cs="Calibri"/>
          <w:bCs/>
          <w:color w:val="000000"/>
          <w:u w:color="000000"/>
          <w:bdr w:val="nil"/>
          <w14:textOutline w14:w="0" w14:cap="flat" w14:cmpd="sng" w14:algn="ctr">
            <w14:noFill/>
            <w14:prstDash w14:val="solid"/>
            <w14:bevel/>
          </w14:textOutline>
        </w:rPr>
        <w:t xml:space="preserve"> and the facts denounced remain in total impunity, which also constitutes a violation of the guarantee of a reasonable time.</w:t>
      </w:r>
    </w:p>
    <w:p w14:paraId="26EFA3EC" w14:textId="77777777" w:rsidR="00176EAF" w:rsidRPr="00B845DF" w:rsidRDefault="00176EAF" w:rsidP="00176EAF">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38D12E51" w14:textId="273558C8" w:rsidR="00176EA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Finally, the Commission noted that Astrid Liliana González Jaramillo, Jhon Ricardo Ubaté’s girlfriend, was subjected to threats, </w:t>
      </w:r>
      <w:r w:rsidR="00B14D67" w:rsidRPr="00B845DF">
        <w:rPr>
          <w:rFonts w:eastAsia="Calibri" w:cs="Calibri"/>
          <w:bCs/>
          <w:color w:val="000000"/>
          <w:u w:color="000000"/>
          <w:bdr w:val="nil"/>
          <w14:textOutline w14:w="0" w14:cap="flat" w14:cmpd="sng" w14:algn="ctr">
            <w14:noFill/>
            <w14:prstDash w14:val="solid"/>
            <w14:bevel/>
          </w14:textOutline>
        </w:rPr>
        <w:t>harassment,</w:t>
      </w:r>
      <w:r w:rsidRPr="00B845DF">
        <w:rPr>
          <w:rFonts w:eastAsia="Calibri" w:cs="Calibri"/>
          <w:bCs/>
          <w:color w:val="000000"/>
          <w:u w:color="000000"/>
          <w:bdr w:val="nil"/>
          <w14:textOutline w14:w="0" w14:cap="flat" w14:cmpd="sng" w14:algn="ctr">
            <w14:noFill/>
            <w14:prstDash w14:val="solid"/>
            <w14:bevel/>
          </w14:textOutline>
        </w:rPr>
        <w:t xml:space="preserve"> and a kidnapping attempt as a result of her acts denouncing the disappearance of the victims; she was forced to flee the country. The Commission also pointed out that there is no information available about the actions taken by the State to investigate these facts, which were denounced, or to offer protection against them. Moreover, the Commission indicated that the case file contains information on the harassment and threats also to which Sandra del Pilar Ubaté, Jhon Ricardo Ubaté’s sister, was subjected.</w:t>
      </w:r>
    </w:p>
    <w:p w14:paraId="3C7094A2" w14:textId="527049EF" w:rsidR="00774C1A" w:rsidRPr="00B845DF" w:rsidRDefault="00774C1A"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4602E883" w14:textId="0E615014"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It concluded that the State is responsible for violating the right to mental and moral integrity to the detriment of the family members identified in the report. Based on these determinations, the Commission concluded that the State of Colombia is responsible for the violation of the rights established in Articles 3 (juridical personality), 4 (life), 5 (humane treatment), 7 (personal liberty), 8.1 (a fair trial), 22 (freedom of movement and residence), 25.1 (judicial protection) of the American Convention, in relation </w:t>
      </w:r>
      <w:r w:rsidR="00176EAF" w:rsidRPr="00B845DF">
        <w:rPr>
          <w:rFonts w:eastAsia="Calibri" w:cs="Calibri"/>
          <w:bCs/>
          <w:color w:val="000000"/>
          <w:u w:color="000000"/>
          <w:bdr w:val="nil"/>
          <w14:textOutline w14:w="0" w14:cap="flat" w14:cmpd="sng" w14:algn="ctr">
            <w14:noFill/>
            <w14:prstDash w14:val="solid"/>
            <w14:bevel/>
          </w14:textOutline>
        </w:rPr>
        <w:t>to Article</w:t>
      </w:r>
      <w:r w:rsidRPr="00B845DF">
        <w:rPr>
          <w:rFonts w:eastAsia="Calibri" w:cs="Calibri"/>
          <w:bCs/>
          <w:color w:val="000000"/>
          <w:u w:color="000000"/>
          <w:bdr w:val="nil"/>
          <w14:textOutline w14:w="0" w14:cap="flat" w14:cmpd="sng" w14:algn="ctr">
            <w14:noFill/>
            <w14:prstDash w14:val="solid"/>
            <w14:bevel/>
          </w14:textOutline>
        </w:rPr>
        <w:t xml:space="preserve"> 1.1 thereof. It further concluded that the State is responsible for violating Articles I.a and I.b of the Inter-American Convention on Forced Disappearance of Persons, as of the date of deposit of the instrument of ratification by the Colombian State. </w:t>
      </w:r>
    </w:p>
    <w:p w14:paraId="1728400B" w14:textId="77777777" w:rsidR="00176EAF" w:rsidRPr="00B845DF" w:rsidRDefault="00176EAF"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AE2725C" w14:textId="6C16CB09" w:rsidR="00176EAF" w:rsidRPr="00176EAF"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176EAF">
        <w:rPr>
          <w:rFonts w:ascii="Cambria" w:hAnsi="Cambria"/>
          <w:b/>
          <w:color w:val="000000"/>
          <w:sz w:val="20"/>
          <w:szCs w:val="20"/>
        </w:rPr>
        <w:t xml:space="preserve">Walter Ernesto Reyes Mantilla, Vicente Hipólito Arce Ronquillo, José Frank Serrano Barrera and family members v. Ecuador </w:t>
      </w:r>
    </w:p>
    <w:p w14:paraId="7E06E144"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This case relates to the international responsibility of the State of Ecuador for the illegal and arbitrary detention of Walter Ernesto Reyes Mantilla, Vicente Hipólito Arce Ronquillo and José Frank Serrano Barrera between 1995 and 1996, the unreasonable duration of their preventive detention, and the violent acts and threats they endured during detention, as well as the lack of judicial guarantees in the criminal proceedings held against them.</w:t>
      </w:r>
    </w:p>
    <w:p w14:paraId="325EE49C" w14:textId="77777777" w:rsidR="00176EAF" w:rsidRPr="00B845DF" w:rsidRDefault="00176EAF" w:rsidP="00176EAF">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0B7BCEA4" w14:textId="77777777" w:rsidR="00176EA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its report on the merits, the Commission concluded that the detentions were carried out without a court order, as required by domestic law, and there was no situation of flagrante delicto. The Commission reiterated that the regulations establishing the grounds for detention without an arrest order from a competent authority if there is “a serious presumption of responsibility” are incompatible with the principle of legality in terms of personal liberty. With regard to Mr. Serrano, who was a foreigner, the Commission concluded that the State is responsible for violating his right to communicate with his country’s consulate.</w:t>
      </w:r>
    </w:p>
    <w:p w14:paraId="68FCF565" w14:textId="7D74F8DA" w:rsidR="00774C1A" w:rsidRPr="00B845DF" w:rsidRDefault="00774C1A"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130B7495" w14:textId="77777777" w:rsidR="00176EA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addition, the Commission noted that the preventive detention of Mr. Reyes and Mr. Serrano extended for at least three years and a half, whereas Mr. Arce was detained for three years. It also noted that during part of their preventive detention, Article 114 of Ecuador’s Criminal Code was in force, according to which the request for release in crimes related to drug trafficking was not applicable; this article was declared unconstitutional in 1997. The Commission noted that these rules establishing mandatory preventive detention or prohibiting release for certain types of crimes constitute a violation of the principle of equality before the law and a violation of the right to personal liberty. Based on these considerations, it concluded that the preventive detention of Mr. Reyes, Mr. Serrano and Mr. Arce was arbitrary, was extended for an unreasonable time, was not procedural purposes but for punitive reasons, and was discriminatory. The Commission also concluded that the right of the victims to a judicial review of their preventive detention was violated.</w:t>
      </w:r>
    </w:p>
    <w:p w14:paraId="4B5F2218" w14:textId="52654B6D" w:rsidR="00774C1A" w:rsidRPr="00B845DF" w:rsidRDefault="00774C1A"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1BABDCF8"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also indicated that a writ of habeas corpus filed with an administrative authority does not constitute an effective remedy according to the standards of the American Convention, even </w:t>
      </w:r>
      <w:r w:rsidRPr="00B845DF">
        <w:rPr>
          <w:rFonts w:eastAsia="Calibri" w:cs="Calibri"/>
          <w:bCs/>
          <w:color w:val="000000"/>
          <w:u w:color="000000"/>
          <w:bdr w:val="nil"/>
          <w14:textOutline w14:w="0" w14:cap="flat" w14:cmpd="sng" w14:algn="ctr">
            <w14:noFill/>
            <w14:prstDash w14:val="solid"/>
            <w14:bevel/>
          </w14:textOutline>
        </w:rPr>
        <w:lastRenderedPageBreak/>
        <w:t>if that remedy could be appealed before a judicial authority. For this reason, it concluded that Mr. Reyes, Mr. Arce and Mr. Serrano did not have access to an effective judicial remedy to contest their deprivation of liberty.</w:t>
      </w:r>
    </w:p>
    <w:p w14:paraId="14ECE119" w14:textId="77777777" w:rsidR="00176EAF" w:rsidRPr="00B845DF" w:rsidRDefault="00176EAF"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621838F" w14:textId="77777777" w:rsidR="00176EA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addition, considering the multiple cases in which the Commission and the Court have verified violations to the right to humane treatment in a context such as that of the instant case, and in view of the significant omissions of the State in carrying out a serious and complete medical examination of the victims, as well as the lack of information on an investigation into the allegations of torture, the Commission considered that the facts denounced constituted at least cruel, inhuman and degrading treatment at the initial stage of the victims’ detention.</w:t>
      </w:r>
    </w:p>
    <w:p w14:paraId="2B48DF4D" w14:textId="4D6A67EB" w:rsidR="00774C1A" w:rsidRPr="00B845DF" w:rsidRDefault="00774C1A"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25AB5235" w14:textId="7B6D37D3" w:rsidR="00774C1A" w:rsidRPr="00B845D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Commission also determined that on the basis of the information available, it seems that the preliminary statements rendered by the victims under coercion were included in the criminal proceedings, which is against the rule of exclusion of evidence. The Commission also established that these statements were made without any technical defense. In addition, the Commission indicated that Article 116 of the Law on Drugs and Psychotropic Substances enforced in the instant case established that the accused person was responsible for reversing any “serious presumption” of responsibility, which the Commission has declared incompatible with the American Convention and, specifically, with the principle of presumption of innocence. The Commission also considered that the fact that the three criminal proceedings lasted for 3-4 years constituted an excessive period of time that was not justified by the State, and therefore the State violated </w:t>
      </w:r>
      <w:r w:rsidR="00176EAF" w:rsidRPr="00B845DF">
        <w:rPr>
          <w:rFonts w:eastAsia="Calibri" w:cs="Calibri"/>
          <w:bCs/>
          <w:color w:val="000000"/>
          <w:u w:color="000000"/>
          <w:bdr w:val="nil"/>
          <w14:textOutline w14:w="0" w14:cap="flat" w14:cmpd="sng" w14:algn="ctr">
            <w14:noFill/>
            <w14:prstDash w14:val="solid"/>
            <w14:bevel/>
          </w14:textOutline>
        </w:rPr>
        <w:t>the reasonable</w:t>
      </w:r>
      <w:r w:rsidRPr="00B845DF">
        <w:rPr>
          <w:rFonts w:eastAsia="Calibri" w:cs="Calibri"/>
          <w:bCs/>
          <w:color w:val="000000"/>
          <w:u w:color="000000"/>
          <w:bdr w:val="nil"/>
          <w14:textOutline w14:w="0" w14:cap="flat" w14:cmpd="sng" w14:algn="ctr">
            <w14:noFill/>
            <w14:prstDash w14:val="solid"/>
            <w14:bevel/>
          </w14:textOutline>
        </w:rPr>
        <w:t xml:space="preserve"> time guarantee.</w:t>
      </w:r>
    </w:p>
    <w:p w14:paraId="387D8ECD" w14:textId="084AE1CB"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Finally, the Commission established that during Mr. Reyes’ detention, the police seized the car he was in, which belonged to his son, and after Mr. Reyes’ acquittal, the car was not returned. The Commission considered that the police’ failure to return the vehicle, even after an acquittal decision, constituted a violation of the right to property of Mr. Reyes’ son, which continues to date. The Commission also concluded that the State violated the right to humane treatment of the family members of Mr. Reyes, Mr. </w:t>
      </w:r>
      <w:r w:rsidR="00176EAF" w:rsidRPr="00B845DF">
        <w:rPr>
          <w:rFonts w:eastAsia="Calibri" w:cs="Calibri"/>
          <w:bCs/>
          <w:color w:val="000000"/>
          <w:u w:color="000000"/>
          <w:bdr w:val="nil"/>
          <w14:textOutline w14:w="0" w14:cap="flat" w14:cmpd="sng" w14:algn="ctr">
            <w14:noFill/>
            <w14:prstDash w14:val="solid"/>
            <w14:bevel/>
          </w14:textOutline>
        </w:rPr>
        <w:t>Arce,</w:t>
      </w:r>
      <w:r w:rsidRPr="00B845DF">
        <w:rPr>
          <w:rFonts w:eastAsia="Calibri" w:cs="Calibri"/>
          <w:bCs/>
          <w:color w:val="000000"/>
          <w:u w:color="000000"/>
          <w:bdr w:val="nil"/>
          <w14:textOutline w14:w="0" w14:cap="flat" w14:cmpd="sng" w14:algn="ctr">
            <w14:noFill/>
            <w14:prstDash w14:val="solid"/>
            <w14:bevel/>
          </w14:textOutline>
        </w:rPr>
        <w:t xml:space="preserve"> and Mr. Serrano due to the suffering and anguish they endured as a result of the facts. </w:t>
      </w:r>
    </w:p>
    <w:p w14:paraId="2D043A60" w14:textId="77777777" w:rsidR="00176EAF" w:rsidRPr="00B845DF" w:rsidRDefault="00176EAF" w:rsidP="00176EAF">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43DC1641"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light of all the foregoing, the Commission concluded that the State of Ecuador is responsible for violating the rights to humane treatment, to personal liberty, to a fair trial and to judicial protection, to property and to equality before the law established in Articles 5.1, 5.2, 7.1, 7.2, 7.3, 7.4, 7.5, 7.6, 8.1, 8.2, 8.2.d, 8.3, 21, 24, 25.1 and 25.2.c of the American Convention on Human Rights in relation to Articles 1.1 and 2 thereof. Also, the Commission concluded that the State is responsible for violating Articles 1, 6 and 8 of the Inter-American Convention to Prevent and Punish Torture. </w:t>
      </w:r>
    </w:p>
    <w:p w14:paraId="0B103F12" w14:textId="77777777" w:rsidR="00176EAF" w:rsidRPr="00B845DF" w:rsidRDefault="00176EAF"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86DE515" w14:textId="5B516AEA" w:rsidR="00176EAF" w:rsidRPr="00176EAF"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176EAF">
        <w:rPr>
          <w:rFonts w:ascii="Cambria" w:hAnsi="Cambria"/>
          <w:b/>
          <w:color w:val="000000"/>
          <w:sz w:val="20"/>
          <w:szCs w:val="20"/>
        </w:rPr>
        <w:t>Mauricio Hernández Norambuena v. Brazil</w:t>
      </w:r>
    </w:p>
    <w:p w14:paraId="01259CF8" w14:textId="77777777" w:rsidR="00176EA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This case relates to the international responsibility of the State of Brazil for the conditions of deprivation of liberty of Mauricio Hernández Norambuena, a Chilean citizen, who was detained in the state prison system of São Paulo and later in the federal prison system.</w:t>
      </w:r>
    </w:p>
    <w:p w14:paraId="7AD99409" w14:textId="5D7F8BDE" w:rsidR="00774C1A" w:rsidRPr="00B845DF" w:rsidRDefault="00774C1A" w:rsidP="00176EAF">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793D8767" w14:textId="77777777" w:rsidR="00176EA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On February 1, 2002, Mauricio Hernández Norambuena was arrested in a situation of flagrante delicto in Brazil and subsequently sentenced to 30 years in prison for a crime committed in that country. He was detained in the Criminal Investigations Department of the Civil Police until February 4, 2002. Subsequently, on February 4, 2002, he was transferred to the Taubaté Penitentiary, in São Paulo, where he stayed until March 22, 2003. Between March 22, </w:t>
      </w:r>
      <w:r w:rsidR="00176EAF" w:rsidRPr="00B845DF">
        <w:rPr>
          <w:rFonts w:eastAsia="Calibri" w:cs="Calibri"/>
          <w:bCs/>
          <w:color w:val="000000"/>
          <w:u w:color="000000"/>
          <w:bdr w:val="nil"/>
          <w14:textOutline w14:w="0" w14:cap="flat" w14:cmpd="sng" w14:algn="ctr">
            <w14:noFill/>
            <w14:prstDash w14:val="solid"/>
            <w14:bevel/>
          </w14:textOutline>
        </w:rPr>
        <w:t>2003,</w:t>
      </w:r>
      <w:r w:rsidRPr="00B845DF">
        <w:rPr>
          <w:rFonts w:eastAsia="Calibri" w:cs="Calibri"/>
          <w:bCs/>
          <w:color w:val="000000"/>
          <w:u w:color="000000"/>
          <w:bdr w:val="nil"/>
          <w14:textOutline w14:w="0" w14:cap="flat" w14:cmpd="sng" w14:algn="ctr">
            <w14:noFill/>
            <w14:prstDash w14:val="solid"/>
            <w14:bevel/>
          </w14:textOutline>
        </w:rPr>
        <w:t xml:space="preserve"> and November 23, 2006, the alleged victim was detained in the Presidente Bernardes Penitentiary, in São Paulo. Later, the victim was transferred to the Avaré Penitentiary, also in São Paulo, and finally, in 2007, he was transferred from the state prison system to the federal prison system.</w:t>
      </w:r>
    </w:p>
    <w:p w14:paraId="0811044D" w14:textId="2BDA856E" w:rsidR="00774C1A" w:rsidRPr="00B845DF" w:rsidRDefault="00774C1A"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5230D232" w14:textId="77777777" w:rsidR="00176EA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its report on the merits, the Commission pronounced on the “Differential Disciplinary Regime” (RDD), to which the victim was subjected in Brazilian state prisons from February 1, 2002, to February 3, 2007. This regime was regulated first by Resolution SAP-026 and, secondly, by Law 10,792, which amended </w:t>
      </w:r>
      <w:r w:rsidRPr="00B845DF">
        <w:rPr>
          <w:rFonts w:eastAsia="Calibri" w:cs="Calibri"/>
          <w:bCs/>
          <w:color w:val="000000"/>
          <w:u w:color="000000"/>
          <w:bdr w:val="nil"/>
          <w14:textOutline w14:w="0" w14:cap="flat" w14:cmpd="sng" w14:algn="ctr">
            <w14:noFill/>
            <w14:prstDash w14:val="solid"/>
            <w14:bevel/>
          </w14:textOutline>
        </w:rPr>
        <w:lastRenderedPageBreak/>
        <w:t>Law 10,702, i. e., Law on the Execution of Sentences. Said resolution established a 180-day period for the first time that the regime was applied, and subsequently a maximum of 360 days. For its part, Law 10,792 established a maximum of 360 days. Also, such periods could be extended. The alleged victim was subjected to the RDD from December 2002 to February 2007, that is, four years and two months.</w:t>
      </w:r>
    </w:p>
    <w:p w14:paraId="0FDEA829" w14:textId="76EBE158" w:rsidR="00774C1A" w:rsidRPr="00B845DF" w:rsidRDefault="00774C1A"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6BE5EA7C"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The Commission noted that both Resolution SAP-026 and Law 10,792 establish that this regime provides for detention in an individual cell and the possibility of having weekly 2-hour-long visits. In addition, the resolution establishes that inmates can leave the cell for one hour, whereas the law indicates that they can leave the cell two hours a day. In addition, the Commission identified that Resolution SAP-026 indicates that contact “with the outside world” should be through letters or books; in addition, family members could bring the inmates food or belongings.</w:t>
      </w:r>
    </w:p>
    <w:p w14:paraId="798E97CA" w14:textId="77777777" w:rsidR="00176EAF" w:rsidRPr="00B845DF" w:rsidRDefault="00176EAF"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E617CB9" w14:textId="77777777" w:rsidR="00774C1A" w:rsidRPr="00B845D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its report on the merits, the Commission considered that the RDD is part of a regime of prolonged solitary confinement that is incompatible with the American Convention. In particular, the State did not indicate that it was an exceptional measure, implemented only after other types of alternative measures had been taken. On the contrary, the Commission did not have a clear determination of the reasons why the RDD had been implemented, nor did it receive any explanation on its exceptional application. Likewise, there was no explanation as to the reasons why said regime would be necessary due to security concerns or would be consistent with the purposes of deprivation of liberty, which require the reform and readaptation of convicted persons. </w:t>
      </w:r>
    </w:p>
    <w:p w14:paraId="2CFAB1C8"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Moreover, although it was indicated that solitary confinement could be imposed on disciplinary grounds, the Commission noted that the guarantees of the due process of law were not observed, nor did the victim have an effective remedy to challenge said measure. The procedure to apply the RDD required the director of the penitentiary where the alleged victim was deprived of liberty to submit a request for solitary confinement with the regional coordinator of penitentiary units, who, in turn, had to forward said request to the deputy state secretary of prison administration. </w:t>
      </w:r>
    </w:p>
    <w:p w14:paraId="42911870" w14:textId="77777777" w:rsidR="00176EAF" w:rsidRPr="00B845DF" w:rsidRDefault="00176EAF" w:rsidP="00176EAF">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22BD7F70" w14:textId="77777777" w:rsidR="00176EA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addition, according to the information available, the Commission indicates that the victim was detained under the RDD for four years and two months, which constituted a prolonged solitary confinement. Although the Commission did not have an explanation of the reasons why the RDD could be extended, the information at its disposal indicates that the severe impact of said regime on the rights of the victim was not taken into account. In addition, with regard to the remedies available to protect the rights of the victim, the Commission noted that Resolution SAP-026 did not explicitly provide for any appeals. Furthermore, while the victim was deprived of his liberty as provided for by Law 10, 792, although both a habeas corpus remedy and a review appeal were filed, the Commission did not have information indicating that such remedies were effective, considering that the transfer of the alleged victim to the federal system, as reported by the State, was the result of an assessment of the risks faced by the victim, without any analysis of the rights to which he had access under said regime.</w:t>
      </w:r>
    </w:p>
    <w:p w14:paraId="288300C7" w14:textId="53634792" w:rsidR="00774C1A" w:rsidRPr="00B845DF" w:rsidRDefault="00774C1A"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02B5A85B" w14:textId="77777777" w:rsidR="00176EA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In sum, the Commission recognized that the Brazilian RDD, as it is regulated by Resolution SAP-026 and it is provided for in Law 10,792, and the corresponding Law on the Execution of Sentences are not compatible with the inter-American standards in this matter.</w:t>
      </w:r>
    </w:p>
    <w:p w14:paraId="44C191D5" w14:textId="4883C8A8" w:rsidR="00774C1A" w:rsidRPr="00B845DF" w:rsidRDefault="00774C1A"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5104736B"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Based on these determinations, the Commission concluded that the State of Brazil is responsible for violating the rights enshrined in Articles 5.1 and 5.2 (humane treatment), 8.1 (right to a fair trial), and 25.1 (judicial protection) of the American Convention, in relation to Articles 1.1 and 2 thereof, to the detriment of Mauricio Hernández Norambuena.</w:t>
      </w:r>
    </w:p>
    <w:p w14:paraId="6A3CDD06" w14:textId="77777777" w:rsidR="00176EAF" w:rsidRDefault="00176EAF"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E77BA79" w14:textId="77777777" w:rsidR="007E76F0" w:rsidRDefault="007E76F0"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948CB83" w14:textId="77777777" w:rsidR="007E76F0" w:rsidRDefault="007E76F0"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3FCBBDD7" w14:textId="77777777" w:rsidR="007E76F0" w:rsidRDefault="007E76F0"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D9F9E38" w14:textId="77777777" w:rsidR="007E76F0" w:rsidRPr="00B845DF" w:rsidRDefault="007E76F0"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CE6D129" w14:textId="350661DB" w:rsidR="00176EAF" w:rsidRPr="00176EAF" w:rsidRDefault="00774C1A" w:rsidP="00933F91">
      <w:pPr>
        <w:pStyle w:val="NoSpacing"/>
        <w:numPr>
          <w:ilvl w:val="0"/>
          <w:numId w:val="80"/>
        </w:numPr>
        <w:tabs>
          <w:tab w:val="left" w:pos="1440"/>
        </w:tabs>
        <w:spacing w:after="240"/>
        <w:ind w:left="1440" w:hanging="540"/>
        <w:jc w:val="both"/>
        <w:rPr>
          <w:rFonts w:ascii="Cambria" w:hAnsi="Cambria"/>
          <w:b/>
          <w:color w:val="000000"/>
          <w:sz w:val="20"/>
          <w:szCs w:val="20"/>
        </w:rPr>
      </w:pPr>
      <w:r w:rsidRPr="00176EAF">
        <w:rPr>
          <w:rFonts w:ascii="Cambria" w:hAnsi="Cambria"/>
          <w:b/>
          <w:color w:val="000000"/>
          <w:sz w:val="20"/>
          <w:szCs w:val="20"/>
        </w:rPr>
        <w:lastRenderedPageBreak/>
        <w:t>Freddy Carlos Alberto Rodríguez Pighi v. Perú</w:t>
      </w:r>
    </w:p>
    <w:p w14:paraId="6ED43117"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This case relates to the international responsibility of the State of Peru for the illegal and arbitrary detention, torture and subsequent extrajudicial execution of Freddy Carlos Alberto Rodríguez Pighi by police officers.</w:t>
      </w:r>
    </w:p>
    <w:p w14:paraId="74D4AF57" w14:textId="77777777" w:rsidR="00176EAF" w:rsidRPr="00B845DF" w:rsidRDefault="00176EAF" w:rsidP="00176EAF">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226F5FA4" w14:textId="77777777" w:rsidR="00176EA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On the morning of June 21, 1991, Freddy Carlos Alberto Rodríguez Pighi, a fourth-year medical student, left his home on foot in the direction of his partner’s home. During his journey, there was a shooting between security personnel and a group of assailants who were raiding an armored van. Upon realizing that he was a few meters away from a suspicious vehicle, Mr. Rodríguez Pighi tried to leave the place, but he was stopped by a police officer, who suspected that Mr. Rodríguez had participated in the shooting and detained him. According to witnesses, the victim was beaten at the time of his arrest and then inserted in the trunk of a police car under the command of Sergeant Segundo. On the morning of the same day, a deceased person was admitted to the San Juan de Dios Hospital. He had arrived in a police car and had been identified as Freddy Carlos Alberto Rodríguez Pighi. According to the information at the Commission’s disposal, it was possible to verify that the body of the victim presented multiple gunshot wounds. The diagnosis was “violent death.”</w:t>
      </w:r>
    </w:p>
    <w:p w14:paraId="5D6C39F0" w14:textId="1E579EAF" w:rsidR="00774C1A" w:rsidRPr="00B845DF" w:rsidRDefault="00774C1A"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1BF78C53" w14:textId="77777777"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During the same police operation, brothers Emilio Moisés and Rafael Samuel Gómez Paquiyauri, aged 14 and 17, were arrested. They are the victims of the case Brothers Gómez Paquiyauri v. Peru, decided by the Inter-American Court in 2004.</w:t>
      </w:r>
    </w:p>
    <w:p w14:paraId="425B4C52" w14:textId="77777777" w:rsidR="00176EAF" w:rsidRPr="00B845DF" w:rsidRDefault="00176EAF"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C1FEFDC" w14:textId="23D7684C" w:rsidR="00176EA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On June 25, 1991, Carlos Alberto Rodríguez Ibáñez, father of the victim, filed a complaint with the Prosecutor’s Office for the murder of his son. On November 9, 1993, a conviction was issued against three defendants, which was later confirmed on June 9, 1994. In the conviction, it was ordered for the sentence against two of the defendants to be reserved since they were fugitives from justice; their arrest warrants were renewed. One of those </w:t>
      </w:r>
      <w:r w:rsidR="00B14D67" w:rsidRPr="00B845DF">
        <w:rPr>
          <w:rFonts w:eastAsia="Calibri" w:cs="Calibri"/>
          <w:bCs/>
          <w:color w:val="000000"/>
          <w:u w:color="000000"/>
          <w:bdr w:val="nil"/>
          <w14:textOutline w14:w="0" w14:cap="flat" w14:cmpd="sng" w14:algn="ctr">
            <w14:noFill/>
            <w14:prstDash w14:val="solid"/>
            <w14:bevel/>
          </w14:textOutline>
        </w:rPr>
        <w:t>convicted, who</w:t>
      </w:r>
      <w:r w:rsidRPr="00B845DF">
        <w:rPr>
          <w:rFonts w:eastAsia="Calibri" w:cs="Calibri"/>
          <w:bCs/>
          <w:color w:val="000000"/>
          <w:u w:color="000000"/>
          <w:bdr w:val="nil"/>
          <w14:textOutline w14:w="0" w14:cap="flat" w14:cmpd="sng" w14:algn="ctr">
            <w14:noFill/>
            <w14:prstDash w14:val="solid"/>
            <w14:bevel/>
          </w14:textOutline>
        </w:rPr>
        <w:t xml:space="preserve"> was accused of ordering the murder, was arrested on February 23, 2009. However, on June 7, 2013, the Second Criminal Chamber of the Superior Court of Justice of Callao acquitted those accused of murdering Mr. Rodríguez Pighi. In the same ruling, the accused was sentenced to fifteen years in prison for the aggravated murder of the Gómez Paquiyauri brothers.</w:t>
      </w:r>
    </w:p>
    <w:p w14:paraId="02CF015B" w14:textId="75280A4C" w:rsidR="00774C1A" w:rsidRPr="00B845DF" w:rsidRDefault="00774C1A"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5A73B22F" w14:textId="4F8CA254"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The acquittal decision in relation to the murder of Mr. Rodríguez Pighi was challenged through a nullity </w:t>
      </w:r>
      <w:r w:rsidR="00B14D67" w:rsidRPr="00B845DF">
        <w:rPr>
          <w:rFonts w:eastAsia="Calibri" w:cs="Calibri"/>
          <w:bCs/>
          <w:color w:val="000000"/>
          <w:u w:color="000000"/>
          <w:bdr w:val="nil"/>
          <w14:textOutline w14:w="0" w14:cap="flat" w14:cmpd="sng" w14:algn="ctr">
            <w14:noFill/>
            <w14:prstDash w14:val="solid"/>
            <w14:bevel/>
          </w14:textOutline>
        </w:rPr>
        <w:t>appeal filed</w:t>
      </w:r>
      <w:r w:rsidRPr="00B845DF">
        <w:rPr>
          <w:rFonts w:eastAsia="Calibri" w:cs="Calibri"/>
          <w:bCs/>
          <w:color w:val="000000"/>
          <w:u w:color="000000"/>
          <w:bdr w:val="nil"/>
          <w14:textOutline w14:w="0" w14:cap="flat" w14:cmpd="sng" w14:algn="ctr">
            <w14:noFill/>
            <w14:prstDash w14:val="solid"/>
            <w14:bevel/>
          </w14:textOutline>
        </w:rPr>
        <w:t xml:space="preserve"> with the Office of the Public Prosecutor. This appeal was based, among other aspects, on the fact that the accused could not be unaware of the violent acts committed against the victim since the arrest took place under his orders as head of the police unit (Radio Patrulla) and on the fact that the murder was not an isolated event, since it took place in conjunction with the murder of the Gómez Paquiyauri brothers, a crime for which the accused was convicted. On May 21, 2014, the Permanent Criminal Chamber of the Supreme Court of Justice dismissed the nullity appeal.</w:t>
      </w:r>
    </w:p>
    <w:p w14:paraId="5EDD31B7" w14:textId="77777777" w:rsidR="00176EAF" w:rsidRPr="00B845DF" w:rsidRDefault="00176EAF"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2387A2C6" w14:textId="01F72BA5"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In its Report on the Merits No. 103/21, the Commission concluded that the State of Peru was responsible for the death of Mr. Rodríguez Pighi. In this regard, the Commission noted that there was no dispute over the fact that the victim was deprived </w:t>
      </w:r>
      <w:r w:rsidR="00393784" w:rsidRPr="00B845DF">
        <w:rPr>
          <w:rFonts w:eastAsia="Calibri" w:cs="Calibri"/>
          <w:bCs/>
          <w:color w:val="000000"/>
          <w:u w:color="000000"/>
          <w:bdr w:val="nil"/>
          <w14:textOutline w14:w="0" w14:cap="flat" w14:cmpd="sng" w14:algn="ctr">
            <w14:noFill/>
            <w14:prstDash w14:val="solid"/>
            <w14:bevel/>
          </w14:textOutline>
        </w:rPr>
        <w:t>of his</w:t>
      </w:r>
      <w:r w:rsidRPr="00B845DF">
        <w:rPr>
          <w:rFonts w:eastAsia="Calibri" w:cs="Calibri"/>
          <w:bCs/>
          <w:color w:val="000000"/>
          <w:u w:color="000000"/>
          <w:bdr w:val="nil"/>
          <w14:textOutline w14:w="0" w14:cap="flat" w14:cmpd="sng" w14:algn="ctr">
            <w14:noFill/>
            <w14:prstDash w14:val="solid"/>
            <w14:bevel/>
          </w14:textOutline>
        </w:rPr>
        <w:t xml:space="preserve"> liberty and placed under the custody of state agents. The State did not prove that his death resulted from the legitimate use of force. Furthermore, Mr. Rodríguez Pighi’s death occurred in a context of systematic human rights violations, during the conflict that took place in Peru between 1984 and 1993, which was characterized by the extrajudicial executions of persons suspected of being members of armed groups. The Commission determined that the circumstances under which the victim died help prove that Mr. Rodríguez Pighi was subjected to torture by state agents, which constitutes a violation of his right to humane treatment. </w:t>
      </w:r>
    </w:p>
    <w:p w14:paraId="58BCD74D" w14:textId="77777777" w:rsidR="00176EAF" w:rsidRPr="00B845DF" w:rsidRDefault="00176EAF"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74EE69D8" w14:textId="190544C0" w:rsidR="00176EA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Also, the Commission determined that the State of Peru violated the victim’s right to personal liberty, since his detention was illegal and arbitrary, it was carried out without a court order, and there was no situation of flagrante delicto. Moreover, the victim was not informed of the reasons for his </w:t>
      </w:r>
      <w:r w:rsidR="00176EAF" w:rsidRPr="00B845DF">
        <w:rPr>
          <w:rFonts w:eastAsia="Calibri" w:cs="Calibri"/>
          <w:bCs/>
          <w:color w:val="000000"/>
          <w:u w:color="000000"/>
          <w:bdr w:val="nil"/>
          <w14:textOutline w14:w="0" w14:cap="flat" w14:cmpd="sng" w14:algn="ctr">
            <w14:noFill/>
            <w14:prstDash w14:val="solid"/>
            <w14:bevel/>
          </w14:textOutline>
        </w:rPr>
        <w:t>arrest,</w:t>
      </w:r>
      <w:r w:rsidRPr="00B845DF">
        <w:rPr>
          <w:rFonts w:eastAsia="Calibri" w:cs="Calibri"/>
          <w:bCs/>
          <w:color w:val="000000"/>
          <w:u w:color="000000"/>
          <w:bdr w:val="nil"/>
          <w14:textOutline w14:w="0" w14:cap="flat" w14:cmpd="sng" w14:algn="ctr">
            <w14:noFill/>
            <w14:prstDash w14:val="solid"/>
            <w14:bevel/>
          </w14:textOutline>
        </w:rPr>
        <w:t xml:space="preserve"> or the charges </w:t>
      </w:r>
      <w:r w:rsidRPr="00B845DF">
        <w:rPr>
          <w:rFonts w:eastAsia="Calibri" w:cs="Calibri"/>
          <w:bCs/>
          <w:color w:val="000000"/>
          <w:u w:color="000000"/>
          <w:bdr w:val="nil"/>
          <w14:textOutline w14:w="0" w14:cap="flat" w14:cmpd="sng" w14:algn="ctr">
            <w14:noFill/>
            <w14:prstDash w14:val="solid"/>
            <w14:bevel/>
          </w14:textOutline>
        </w:rPr>
        <w:lastRenderedPageBreak/>
        <w:t>held against him, nor was he immediately brought before a judge, which prevented him from challenging the legality of his detention.</w:t>
      </w:r>
    </w:p>
    <w:p w14:paraId="257C4D6A" w14:textId="040CAA50" w:rsidR="00774C1A" w:rsidRPr="00B845DF" w:rsidRDefault="00774C1A"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6516DFE1" w14:textId="77777777" w:rsidR="00176EA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The Commission also concluded that the State violated his rights to a fair trial and to judicial protection. In particular, the Commission noted that several actions were carried out in the proceedings, which concluded with the sentence of November 9, 1993, which was then upheld by the sentence of June 9, 1994, which imposed a conviction on the direct perpetrators and ordered the sentence against the alleged masterminds to be reserved since they were fugitives from justice. The Commission concluded that in 2009, 18 years after the victim’s murder, one of the accused was finally arrested, but, in 2013, over 20 years after the first sentence against the accused, their acquittal was decided. Moreover, although in the proceedings there were indicia pointing to the fact that the execution of the alleged victim was carried out following the orders of superiors, the State did not prove that the investigation was conducted diligently and effectively to punish all those responsible for the facts, as well as those who participated in the cover-up of the facts. As a result, despite the unreasonable time of almost 30 years that has elapsed, all those responsible have not yet been convicted nor have the circumstances of the facts been fully clarified. In addition, the facts regarding the torture to which the victim was subjected were not properly investigated.</w:t>
      </w:r>
    </w:p>
    <w:p w14:paraId="2CB299ED" w14:textId="7A2B2AD3" w:rsidR="00774C1A" w:rsidRPr="00B845DF" w:rsidRDefault="00774C1A" w:rsidP="00176EAF">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09A426FD" w14:textId="11327BD8" w:rsidR="00176EAF"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Finally, the Commission determined that the violent death and torture suffered by Freddy Rodríguez, in addition to the lack of a comprehensive, </w:t>
      </w:r>
      <w:r w:rsidR="00B14D67" w:rsidRPr="00B845DF">
        <w:rPr>
          <w:rFonts w:eastAsia="Calibri" w:cs="Calibri"/>
          <w:bCs/>
          <w:color w:val="000000"/>
          <w:u w:color="000000"/>
          <w:bdr w:val="nil"/>
          <w14:textOutline w14:w="0" w14:cap="flat" w14:cmpd="sng" w14:algn="ctr">
            <w14:noFill/>
            <w14:prstDash w14:val="solid"/>
            <w14:bevel/>
          </w14:textOutline>
        </w:rPr>
        <w:t>effective,</w:t>
      </w:r>
      <w:r w:rsidRPr="00B845DF">
        <w:rPr>
          <w:rFonts w:eastAsia="Calibri" w:cs="Calibri"/>
          <w:bCs/>
          <w:color w:val="000000"/>
          <w:u w:color="000000"/>
          <w:bdr w:val="nil"/>
          <w14:textOutline w14:w="0" w14:cap="flat" w14:cmpd="sng" w14:algn="ctr">
            <w14:noFill/>
            <w14:prstDash w14:val="solid"/>
            <w14:bevel/>
          </w14:textOutline>
        </w:rPr>
        <w:t xml:space="preserve"> and diligent investigation of the crime and its perpetrators, have created serious pain, anguish and uncertainty to his family members, who have resorted to several authorities and have undertaken countless actions in their search for justice. All this constitutes a violation of their right to humane treatment. In conclusion, the Commission established that the State of Peru is responsible for the violation of the rights established in 4.1 (life), 5.1 and 5.2 (humane treatment), 7 (personal liberty), 8.1 (a fair trial) and 25.1 (judicial protection) of the American Convention, in relation </w:t>
      </w:r>
      <w:r w:rsidR="00B14D67" w:rsidRPr="00B845DF">
        <w:rPr>
          <w:rFonts w:eastAsia="Calibri" w:cs="Calibri"/>
          <w:bCs/>
          <w:color w:val="000000"/>
          <w:u w:color="000000"/>
          <w:bdr w:val="nil"/>
          <w14:textOutline w14:w="0" w14:cap="flat" w14:cmpd="sng" w14:algn="ctr">
            <w14:noFill/>
            <w14:prstDash w14:val="solid"/>
            <w14:bevel/>
          </w14:textOutline>
        </w:rPr>
        <w:t>to Article</w:t>
      </w:r>
      <w:r w:rsidRPr="00B845DF">
        <w:rPr>
          <w:rFonts w:eastAsia="Calibri" w:cs="Calibri"/>
          <w:bCs/>
          <w:color w:val="000000"/>
          <w:u w:color="000000"/>
          <w:bdr w:val="nil"/>
          <w14:textOutline w14:w="0" w14:cap="flat" w14:cmpd="sng" w14:algn="ctr">
            <w14:noFill/>
            <w14:prstDash w14:val="solid"/>
            <w14:bevel/>
          </w14:textOutline>
        </w:rPr>
        <w:t xml:space="preserve"> 1.1 thereof. In addition, it concluded that the State is responsible for violating Articles 1, 6 and 8 of the Inter-American Convention to Prevent and Punish Torture.</w:t>
      </w:r>
    </w:p>
    <w:p w14:paraId="5AC7D856" w14:textId="3997A510" w:rsidR="00774C1A" w:rsidRPr="00B845DF" w:rsidRDefault="00774C1A" w:rsidP="00176EAF">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 </w:t>
      </w:r>
    </w:p>
    <w:p w14:paraId="5B11ECAE" w14:textId="2859F5E9" w:rsidR="00176EAF" w:rsidRPr="00E516DE" w:rsidRDefault="00774C1A" w:rsidP="00933F91">
      <w:pPr>
        <w:pStyle w:val="Heading3"/>
        <w:numPr>
          <w:ilvl w:val="0"/>
          <w:numId w:val="81"/>
        </w:numPr>
      </w:pPr>
      <w:r w:rsidRPr="00E516DE">
        <w:t>Requests for advisory opinions</w:t>
      </w:r>
    </w:p>
    <w:p w14:paraId="29D8B748" w14:textId="77777777" w:rsidR="00E516DE" w:rsidRPr="00E516DE" w:rsidRDefault="00E516DE" w:rsidP="00E516DE">
      <w:pPr>
        <w:rPr>
          <w:lang w:val="es-ES_tradnl"/>
        </w:rPr>
      </w:pPr>
    </w:p>
    <w:p w14:paraId="4098A420" w14:textId="4358947E" w:rsidR="00774C1A" w:rsidRDefault="00774C1A"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B845DF">
        <w:rPr>
          <w:rFonts w:eastAsia="Calibri" w:cs="Calibri"/>
          <w:bCs/>
          <w:color w:val="000000"/>
          <w:u w:color="000000"/>
          <w:bdr w:val="nil"/>
          <w14:textOutline w14:w="0" w14:cap="flat" w14:cmpd="sng" w14:algn="ctr">
            <w14:noFill/>
            <w14:prstDash w14:val="solid"/>
            <w14:bevel/>
          </w14:textOutline>
        </w:rPr>
        <w:t xml:space="preserve">During 2022 the Commission did not request advisory opinions from the Inter-American Court of Human Rights. On May 30, 2022, the Inter-American Court notified Advisory Opinion OC 29/22 requested by the Inter-American Commission on Human Rights on November 25, </w:t>
      </w:r>
      <w:r w:rsidR="00176EAF" w:rsidRPr="00B845DF">
        <w:rPr>
          <w:rFonts w:eastAsia="Calibri" w:cs="Calibri"/>
          <w:bCs/>
          <w:color w:val="000000"/>
          <w:u w:color="000000"/>
          <w:bdr w:val="nil"/>
          <w14:textOutline w14:w="0" w14:cap="flat" w14:cmpd="sng" w14:algn="ctr">
            <w14:noFill/>
            <w14:prstDash w14:val="solid"/>
            <w14:bevel/>
          </w14:textOutline>
        </w:rPr>
        <w:t>2019, entitled</w:t>
      </w:r>
      <w:r w:rsidRPr="00B845DF">
        <w:rPr>
          <w:rFonts w:eastAsia="Calibri" w:cs="Calibri"/>
          <w:bCs/>
          <w:color w:val="000000"/>
          <w:u w:color="000000"/>
          <w:bdr w:val="nil"/>
          <w14:textOutline w14:w="0" w14:cap="flat" w14:cmpd="sng" w14:algn="ctr">
            <w14:noFill/>
            <w14:prstDash w14:val="solid"/>
            <w14:bevel/>
          </w14:textOutline>
        </w:rPr>
        <w:t xml:space="preserve"> "Differentiated Approaches for Persons Deprived of Liberty</w:t>
      </w:r>
      <w:r w:rsidR="00E516DE" w:rsidRPr="00B845DF">
        <w:rPr>
          <w:rFonts w:eastAsia="Calibri" w:cs="Calibri"/>
          <w:bCs/>
          <w:color w:val="000000"/>
          <w:u w:color="000000"/>
          <w:bdr w:val="nil"/>
          <w14:textOutline w14:w="0" w14:cap="flat" w14:cmpd="sng" w14:algn="ctr">
            <w14:noFill/>
            <w14:prstDash w14:val="solid"/>
            <w14:bevel/>
          </w14:textOutline>
        </w:rPr>
        <w:t>” (</w:t>
      </w:r>
      <w:r w:rsidRPr="00B845DF">
        <w:rPr>
          <w:rFonts w:eastAsia="Calibri" w:cs="Calibri"/>
          <w:bCs/>
          <w:color w:val="000000"/>
          <w:u w:color="000000"/>
          <w:bdr w:val="nil"/>
          <w14:textOutline w14:w="0" w14:cap="flat" w14:cmpd="sng" w14:algn="ctr">
            <w14:noFill/>
            <w14:prstDash w14:val="solid"/>
            <w14:bevel/>
          </w14:textOutline>
        </w:rPr>
        <w:t xml:space="preserve">Interpretation and scope of Articles 1.1, 4.1, 5, 11.2, 12, 13, 17.1, 19, 24 and 26 of the American Convention on Human Rights and other instruments concerning the protection of </w:t>
      </w:r>
      <w:r w:rsidR="00A01AB6" w:rsidRPr="00B845DF">
        <w:rPr>
          <w:rFonts w:eastAsia="Calibri" w:cs="Calibri"/>
          <w:bCs/>
          <w:color w:val="000000"/>
          <w:u w:color="000000"/>
          <w:bdr w:val="nil"/>
          <w14:textOutline w14:w="0" w14:cap="flat" w14:cmpd="sng" w14:algn="ctr">
            <w14:noFill/>
            <w14:prstDash w14:val="solid"/>
            <w14:bevel/>
          </w14:textOutline>
        </w:rPr>
        <w:t>rights humans</w:t>
      </w:r>
      <w:r w:rsidRPr="00B845DF">
        <w:rPr>
          <w:rFonts w:eastAsia="Calibri" w:cs="Calibri"/>
          <w:bCs/>
          <w:color w:val="000000"/>
          <w:u w:color="000000"/>
          <w:bdr w:val="nil"/>
          <w14:textOutline w14:w="0" w14:cap="flat" w14:cmpd="sng" w14:algn="ctr">
            <w14:noFill/>
            <w14:prstDash w14:val="solid"/>
            <w14:bevel/>
          </w14:textOutline>
        </w:rPr>
        <w:t>).</w:t>
      </w:r>
    </w:p>
    <w:p w14:paraId="4DB91F0F" w14:textId="77777777" w:rsidR="00E516DE" w:rsidRPr="00B845DF" w:rsidRDefault="00E516DE" w:rsidP="00E516DE">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3ADD424E" w14:textId="77777777" w:rsidR="00774C1A" w:rsidRPr="002A727F" w:rsidRDefault="00774C1A" w:rsidP="00933F91">
      <w:pPr>
        <w:pStyle w:val="Heading3"/>
        <w:numPr>
          <w:ilvl w:val="0"/>
          <w:numId w:val="81"/>
        </w:numPr>
        <w:rPr>
          <w:lang w:val="en-US"/>
        </w:rPr>
      </w:pPr>
      <w:r w:rsidRPr="002A727F">
        <w:rPr>
          <w:lang w:val="en-US"/>
        </w:rPr>
        <w:t xml:space="preserve">Submission of written observations in pending cases and in cases of supervision of compliance with judgment </w:t>
      </w:r>
    </w:p>
    <w:p w14:paraId="5DBED5E3" w14:textId="77777777" w:rsidR="00A01AB6" w:rsidRPr="002A727F" w:rsidRDefault="00A01AB6" w:rsidP="00A01AB6"/>
    <w:p w14:paraId="55458CA4" w14:textId="39284BD0" w:rsidR="00774C1A" w:rsidRPr="00A01AB6" w:rsidRDefault="00774C1A" w:rsidP="00933F91">
      <w:pPr>
        <w:pStyle w:val="BodyText"/>
        <w:widowControl/>
        <w:numPr>
          <w:ilvl w:val="0"/>
          <w:numId w:val="58"/>
        </w:numPr>
        <w:ind w:left="0" w:firstLine="720"/>
        <w:jc w:val="both"/>
        <w:rPr>
          <w:rFonts w:cs="Calibri"/>
          <w:lang w:eastAsia="es-ES_tradnl"/>
        </w:rPr>
      </w:pPr>
      <w:r w:rsidRPr="00A01C5D">
        <w:rPr>
          <w:lang w:val="en"/>
        </w:rPr>
        <w:t xml:space="preserve">During 2022, the IACHR submitted </w:t>
      </w:r>
      <w:r w:rsidR="00A01AB6" w:rsidRPr="00A01C5D">
        <w:rPr>
          <w:lang w:val="en"/>
        </w:rPr>
        <w:t>312 briefs</w:t>
      </w:r>
      <w:r w:rsidRPr="00A01C5D">
        <w:rPr>
          <w:lang w:val="en"/>
        </w:rPr>
        <w:t xml:space="preserve"> of observations to the Inter-American Court. </w:t>
      </w:r>
      <w:r w:rsidR="00A01AB6" w:rsidRPr="00A01C5D">
        <w:rPr>
          <w:lang w:val="en"/>
        </w:rPr>
        <w:t>related to</w:t>
      </w:r>
      <w:r w:rsidRPr="00A01C5D">
        <w:rPr>
          <w:lang w:val="en"/>
        </w:rPr>
        <w:t xml:space="preserve"> active </w:t>
      </w:r>
      <w:r w:rsidR="00B14D67" w:rsidRPr="00A01C5D">
        <w:rPr>
          <w:lang w:val="en"/>
        </w:rPr>
        <w:t>cases in</w:t>
      </w:r>
      <w:r w:rsidRPr="00A01C5D">
        <w:rPr>
          <w:lang w:val="en"/>
        </w:rPr>
        <w:t xml:space="preserve">  process and  in the stage of supervision of compliance with judgment in accordance with Article 69 of the Rules of Procedure of the Inter-American Court.</w:t>
      </w:r>
    </w:p>
    <w:p w14:paraId="06D01420" w14:textId="77777777" w:rsidR="00A01AB6" w:rsidRPr="00A01C5D" w:rsidRDefault="00A01AB6" w:rsidP="00A01AB6">
      <w:pPr>
        <w:pStyle w:val="BodyText"/>
        <w:widowControl/>
        <w:ind w:left="720"/>
        <w:jc w:val="both"/>
        <w:rPr>
          <w:rFonts w:cs="Calibri"/>
          <w:lang w:eastAsia="es-ES_tradnl"/>
        </w:rPr>
      </w:pPr>
    </w:p>
    <w:p w14:paraId="68315567" w14:textId="77777777" w:rsidR="00774C1A" w:rsidRDefault="00774C1A" w:rsidP="00933F91">
      <w:pPr>
        <w:pStyle w:val="Heading3"/>
        <w:numPr>
          <w:ilvl w:val="0"/>
          <w:numId w:val="81"/>
        </w:numPr>
        <w:rPr>
          <w:lang w:val="en"/>
        </w:rPr>
      </w:pPr>
      <w:r w:rsidRPr="00A01AB6">
        <w:rPr>
          <w:lang w:val="en"/>
        </w:rPr>
        <w:t>Appearance and participation in public and private hearings</w:t>
      </w:r>
    </w:p>
    <w:p w14:paraId="3F19C457" w14:textId="77777777" w:rsidR="00A01AB6" w:rsidRPr="00A01AB6" w:rsidRDefault="00A01AB6" w:rsidP="00A01AB6">
      <w:pPr>
        <w:rPr>
          <w:lang w:val="en"/>
        </w:rPr>
      </w:pPr>
    </w:p>
    <w:p w14:paraId="47A64ADA" w14:textId="324DF142" w:rsidR="00774C1A" w:rsidRPr="00A01AB6" w:rsidRDefault="00774C1A" w:rsidP="00933F91">
      <w:pPr>
        <w:pStyle w:val="BodyText"/>
        <w:widowControl/>
        <w:numPr>
          <w:ilvl w:val="0"/>
          <w:numId w:val="58"/>
        </w:numPr>
        <w:ind w:left="0" w:firstLine="720"/>
        <w:jc w:val="both"/>
        <w:rPr>
          <w:rFonts w:cs="Calibri"/>
        </w:rPr>
      </w:pPr>
      <w:r w:rsidRPr="00A01C5D">
        <w:rPr>
          <w:lang w:val="en"/>
        </w:rPr>
        <w:t xml:space="preserve">The Commission participated in a total of 52 hearings, of which </w:t>
      </w:r>
      <w:r w:rsidR="00A01AB6" w:rsidRPr="00A01C5D">
        <w:rPr>
          <w:lang w:val="en"/>
        </w:rPr>
        <w:t>34 relate</w:t>
      </w:r>
      <w:r w:rsidRPr="00A01C5D">
        <w:rPr>
          <w:lang w:val="en"/>
        </w:rPr>
        <w:t xml:space="preserve"> to contentious cases in process and 18 supervise compliance with the judgment.   2022 is the year in which the Commission has participated in the largest number of hearings of contentious cases in progress. This reasonably results from the increase in the number of cases referred to its jurisdiction in recent years. Given this number of hearings, the Commission has had to assign a greater number of specialists to support these tasks, being a notable increase compared to previous years: 2021 (17); 2020 (10); 2019 (18); 2018 (9).</w:t>
      </w:r>
    </w:p>
    <w:p w14:paraId="28D6058B" w14:textId="77777777" w:rsidR="00A01AB6" w:rsidRPr="00A01C5D" w:rsidRDefault="00A01AB6" w:rsidP="00A01AB6">
      <w:pPr>
        <w:pStyle w:val="BodyText"/>
        <w:widowControl/>
        <w:ind w:left="720"/>
        <w:jc w:val="both"/>
        <w:rPr>
          <w:rFonts w:cs="Calibri"/>
        </w:rPr>
      </w:pPr>
    </w:p>
    <w:p w14:paraId="51925F64" w14:textId="77777777" w:rsidR="00774C1A" w:rsidRPr="00A01AB6" w:rsidRDefault="00774C1A" w:rsidP="00933F91">
      <w:pPr>
        <w:pStyle w:val="BodyText"/>
        <w:widowControl/>
        <w:numPr>
          <w:ilvl w:val="0"/>
          <w:numId w:val="58"/>
        </w:numPr>
        <w:ind w:left="0" w:firstLine="720"/>
        <w:jc w:val="both"/>
        <w:rPr>
          <w:rFonts w:cs="Calibri"/>
        </w:rPr>
      </w:pPr>
      <w:r w:rsidRPr="00A01C5D">
        <w:rPr>
          <w:lang w:val="en"/>
        </w:rPr>
        <w:t>Those hearing are:</w:t>
      </w:r>
    </w:p>
    <w:p w14:paraId="678F6AB1" w14:textId="77777777" w:rsidR="00A01AB6" w:rsidRPr="00A01C5D" w:rsidRDefault="00A01AB6" w:rsidP="00A01AB6">
      <w:pPr>
        <w:pStyle w:val="BodyText"/>
        <w:widowControl/>
        <w:ind w:left="0"/>
        <w:jc w:val="both"/>
        <w:rPr>
          <w:rFonts w:cs="Calibri"/>
        </w:rPr>
      </w:pPr>
    </w:p>
    <w:p w14:paraId="77626321" w14:textId="77777777" w:rsidR="00774C1A" w:rsidRPr="00A01AB6" w:rsidRDefault="00774C1A" w:rsidP="00933F91">
      <w:pPr>
        <w:pStyle w:val="ListParagraph"/>
        <w:numPr>
          <w:ilvl w:val="0"/>
          <w:numId w:val="82"/>
        </w:numPr>
        <w:autoSpaceDE w:val="0"/>
        <w:autoSpaceDN w:val="0"/>
        <w:adjustRightInd w:val="0"/>
        <w:spacing w:after="240"/>
        <w:ind w:left="1440" w:hanging="540"/>
        <w:contextualSpacing w:val="0"/>
        <w:jc w:val="both"/>
        <w:rPr>
          <w:rFonts w:ascii="Cambria" w:hAnsi="Cambria"/>
          <w:i/>
          <w:iCs/>
          <w:sz w:val="20"/>
          <w:szCs w:val="20"/>
        </w:rPr>
      </w:pPr>
      <w:r w:rsidRPr="00A01AB6">
        <w:rPr>
          <w:rFonts w:ascii="Cambria" w:hAnsi="Cambria"/>
          <w:i/>
          <w:sz w:val="20"/>
          <w:szCs w:val="20"/>
        </w:rPr>
        <w:t>Hearings of contentious cases in process</w:t>
      </w:r>
    </w:p>
    <w:tbl>
      <w:tblPr>
        <w:tblStyle w:val="GridTable5Dark-Accent11"/>
        <w:tblW w:w="9250" w:type="dxa"/>
        <w:tblLook w:val="04A0" w:firstRow="1" w:lastRow="0" w:firstColumn="1" w:lastColumn="0" w:noHBand="0" w:noVBand="1"/>
      </w:tblPr>
      <w:tblGrid>
        <w:gridCol w:w="720"/>
        <w:gridCol w:w="2425"/>
        <w:gridCol w:w="2345"/>
        <w:gridCol w:w="2220"/>
        <w:gridCol w:w="1540"/>
      </w:tblGrid>
      <w:tr w:rsidR="00774C1A" w:rsidRPr="00A01AB6" w14:paraId="4CA0595B" w14:textId="77777777" w:rsidTr="00A01AB6">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1481E718" w14:textId="77777777" w:rsidR="00774C1A" w:rsidRPr="00A01AB6" w:rsidRDefault="00774C1A" w:rsidP="00A01AB6">
            <w:pPr>
              <w:jc w:val="center"/>
              <w:rPr>
                <w:rFonts w:ascii="Cambria" w:eastAsia="Times New Roman" w:hAnsi="Cambria" w:cs="Times New Roman"/>
                <w:sz w:val="20"/>
                <w:szCs w:val="20"/>
              </w:rPr>
            </w:pPr>
          </w:p>
        </w:tc>
        <w:tc>
          <w:tcPr>
            <w:tcW w:w="2425" w:type="dxa"/>
            <w:noWrap/>
            <w:vAlign w:val="center"/>
            <w:hideMark/>
          </w:tcPr>
          <w:p w14:paraId="568B522B" w14:textId="77777777" w:rsidR="00774C1A" w:rsidRPr="00A01AB6" w:rsidRDefault="00774C1A" w:rsidP="00A01AB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Case</w:t>
            </w:r>
          </w:p>
        </w:tc>
        <w:tc>
          <w:tcPr>
            <w:tcW w:w="2345" w:type="dxa"/>
            <w:noWrap/>
            <w:vAlign w:val="center"/>
            <w:hideMark/>
          </w:tcPr>
          <w:p w14:paraId="39DC1C47" w14:textId="77777777" w:rsidR="00774C1A" w:rsidRPr="00A01AB6" w:rsidRDefault="00774C1A" w:rsidP="00A01AB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State</w:t>
            </w:r>
          </w:p>
        </w:tc>
        <w:tc>
          <w:tcPr>
            <w:tcW w:w="2220" w:type="dxa"/>
            <w:noWrap/>
            <w:vAlign w:val="center"/>
            <w:hideMark/>
          </w:tcPr>
          <w:p w14:paraId="4C35B5C5" w14:textId="77777777" w:rsidR="00774C1A" w:rsidRPr="00A01AB6" w:rsidRDefault="00774C1A" w:rsidP="00A01AB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Date</w:t>
            </w:r>
          </w:p>
        </w:tc>
        <w:tc>
          <w:tcPr>
            <w:tcW w:w="1540" w:type="dxa"/>
            <w:noWrap/>
            <w:vAlign w:val="center"/>
            <w:hideMark/>
          </w:tcPr>
          <w:p w14:paraId="438B2893" w14:textId="77777777" w:rsidR="00774C1A" w:rsidRPr="00A01AB6" w:rsidRDefault="00774C1A" w:rsidP="00A01AB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Period of Sessions</w:t>
            </w:r>
          </w:p>
        </w:tc>
      </w:tr>
      <w:tr w:rsidR="00774C1A" w:rsidRPr="00A01AB6" w14:paraId="25068E8F"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3E90DC9D"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1</w:t>
            </w:r>
          </w:p>
        </w:tc>
        <w:tc>
          <w:tcPr>
            <w:tcW w:w="2425" w:type="dxa"/>
            <w:vAlign w:val="center"/>
            <w:hideMark/>
          </w:tcPr>
          <w:p w14:paraId="566C43BB" w14:textId="23AE2593"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Maya Q'eqchi' Indigenous Community of Agua Caliente</w:t>
            </w:r>
          </w:p>
        </w:tc>
        <w:tc>
          <w:tcPr>
            <w:tcW w:w="2345" w:type="dxa"/>
            <w:vAlign w:val="center"/>
            <w:hideMark/>
          </w:tcPr>
          <w:p w14:paraId="126F4ED4"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Guatemala.</w:t>
            </w:r>
          </w:p>
        </w:tc>
        <w:tc>
          <w:tcPr>
            <w:tcW w:w="2220" w:type="dxa"/>
            <w:noWrap/>
            <w:vAlign w:val="center"/>
            <w:hideMark/>
          </w:tcPr>
          <w:p w14:paraId="532FD216"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February 9</w:t>
            </w:r>
          </w:p>
        </w:tc>
        <w:tc>
          <w:tcPr>
            <w:tcW w:w="1540" w:type="dxa"/>
            <w:noWrap/>
            <w:vAlign w:val="center"/>
            <w:hideMark/>
          </w:tcPr>
          <w:p w14:paraId="6C9B833C"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146</w:t>
            </w:r>
          </w:p>
        </w:tc>
      </w:tr>
      <w:tr w:rsidR="00774C1A" w:rsidRPr="00A01AB6" w14:paraId="7AF54ADE"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797BDDF"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2</w:t>
            </w:r>
          </w:p>
        </w:tc>
        <w:tc>
          <w:tcPr>
            <w:tcW w:w="2425" w:type="dxa"/>
            <w:vAlign w:val="center"/>
            <w:hideMark/>
          </w:tcPr>
          <w:p w14:paraId="635BD725" w14:textId="6AE430D2"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 xml:space="preserve">Flores Bedregal </w:t>
            </w:r>
            <w:r w:rsidRPr="00A01AB6">
              <w:rPr>
                <w:rFonts w:ascii="Cambria" w:hAnsi="Cambria"/>
                <w:i/>
                <w:iCs/>
                <w:color w:val="000000"/>
                <w:sz w:val="20"/>
                <w:szCs w:val="20"/>
              </w:rPr>
              <w:t>et al.</w:t>
            </w:r>
          </w:p>
        </w:tc>
        <w:tc>
          <w:tcPr>
            <w:tcW w:w="2345" w:type="dxa"/>
            <w:vAlign w:val="center"/>
            <w:hideMark/>
          </w:tcPr>
          <w:p w14:paraId="55599D0D"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Bolivia</w:t>
            </w:r>
          </w:p>
        </w:tc>
        <w:tc>
          <w:tcPr>
            <w:tcW w:w="2220" w:type="dxa"/>
            <w:noWrap/>
            <w:vAlign w:val="center"/>
            <w:hideMark/>
          </w:tcPr>
          <w:p w14:paraId="69EAEA2A"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February 10</w:t>
            </w:r>
          </w:p>
        </w:tc>
        <w:tc>
          <w:tcPr>
            <w:tcW w:w="1540" w:type="dxa"/>
            <w:noWrap/>
            <w:vAlign w:val="center"/>
            <w:hideMark/>
          </w:tcPr>
          <w:p w14:paraId="7426436B"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146</w:t>
            </w:r>
          </w:p>
        </w:tc>
      </w:tr>
      <w:tr w:rsidR="00774C1A" w:rsidRPr="00A01AB6" w14:paraId="106845C3"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2F460F2D"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3</w:t>
            </w:r>
          </w:p>
        </w:tc>
        <w:tc>
          <w:tcPr>
            <w:tcW w:w="2425" w:type="dxa"/>
            <w:vAlign w:val="center"/>
            <w:hideMark/>
          </w:tcPr>
          <w:p w14:paraId="2DC0F3CF" w14:textId="4F31DFE0"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Casierra Quiñonez</w:t>
            </w:r>
          </w:p>
        </w:tc>
        <w:tc>
          <w:tcPr>
            <w:tcW w:w="2345" w:type="dxa"/>
            <w:noWrap/>
            <w:vAlign w:val="center"/>
            <w:hideMark/>
          </w:tcPr>
          <w:p w14:paraId="5E562A75"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Ecuador</w:t>
            </w:r>
          </w:p>
        </w:tc>
        <w:tc>
          <w:tcPr>
            <w:tcW w:w="2220" w:type="dxa"/>
            <w:noWrap/>
            <w:vAlign w:val="center"/>
            <w:hideMark/>
          </w:tcPr>
          <w:p w14:paraId="2AA7B7AD"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February 11</w:t>
            </w:r>
          </w:p>
        </w:tc>
        <w:tc>
          <w:tcPr>
            <w:tcW w:w="1540" w:type="dxa"/>
            <w:noWrap/>
            <w:vAlign w:val="center"/>
            <w:hideMark/>
          </w:tcPr>
          <w:p w14:paraId="7F3E3445"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146</w:t>
            </w:r>
          </w:p>
        </w:tc>
      </w:tr>
      <w:tr w:rsidR="00774C1A" w:rsidRPr="00A01AB6" w14:paraId="54C13A83"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B4905B6"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4</w:t>
            </w:r>
          </w:p>
        </w:tc>
        <w:tc>
          <w:tcPr>
            <w:tcW w:w="2425" w:type="dxa"/>
            <w:vAlign w:val="center"/>
            <w:hideMark/>
          </w:tcPr>
          <w:p w14:paraId="0B6CCF9E" w14:textId="47666A51"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 xml:space="preserve">Benites Cabrera </w:t>
            </w:r>
            <w:r w:rsidRPr="00A01AB6">
              <w:rPr>
                <w:rFonts w:ascii="Cambria" w:hAnsi="Cambria"/>
                <w:i/>
                <w:iCs/>
                <w:color w:val="000000"/>
                <w:sz w:val="20"/>
                <w:szCs w:val="20"/>
              </w:rPr>
              <w:t>et al.</w:t>
            </w:r>
          </w:p>
        </w:tc>
        <w:tc>
          <w:tcPr>
            <w:tcW w:w="2345" w:type="dxa"/>
            <w:vAlign w:val="center"/>
            <w:hideMark/>
          </w:tcPr>
          <w:p w14:paraId="68659239"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Peru</w:t>
            </w:r>
          </w:p>
        </w:tc>
        <w:tc>
          <w:tcPr>
            <w:tcW w:w="2220" w:type="dxa"/>
            <w:noWrap/>
            <w:vAlign w:val="center"/>
            <w:hideMark/>
          </w:tcPr>
          <w:p w14:paraId="1BA78CE5"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February 11</w:t>
            </w:r>
          </w:p>
        </w:tc>
        <w:tc>
          <w:tcPr>
            <w:tcW w:w="1540" w:type="dxa"/>
            <w:noWrap/>
            <w:vAlign w:val="center"/>
            <w:hideMark/>
          </w:tcPr>
          <w:p w14:paraId="05D4EE28"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146</w:t>
            </w:r>
          </w:p>
        </w:tc>
      </w:tr>
      <w:tr w:rsidR="00774C1A" w:rsidRPr="00A01AB6" w14:paraId="0540F698"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13EEA675"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5</w:t>
            </w:r>
          </w:p>
        </w:tc>
        <w:tc>
          <w:tcPr>
            <w:tcW w:w="2425" w:type="dxa"/>
            <w:vAlign w:val="center"/>
            <w:hideMark/>
          </w:tcPr>
          <w:p w14:paraId="45749B70" w14:textId="3F098C61"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 xml:space="preserve">Moya Chacón </w:t>
            </w:r>
            <w:r w:rsidRPr="00A01AB6">
              <w:rPr>
                <w:rFonts w:ascii="Cambria" w:hAnsi="Cambria"/>
                <w:i/>
                <w:iCs/>
                <w:color w:val="000000"/>
                <w:sz w:val="20"/>
                <w:szCs w:val="20"/>
              </w:rPr>
              <w:t>et al.</w:t>
            </w:r>
          </w:p>
        </w:tc>
        <w:tc>
          <w:tcPr>
            <w:tcW w:w="2345" w:type="dxa"/>
            <w:vAlign w:val="center"/>
            <w:hideMark/>
          </w:tcPr>
          <w:p w14:paraId="257BF5B9"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Costa Rica</w:t>
            </w:r>
          </w:p>
        </w:tc>
        <w:tc>
          <w:tcPr>
            <w:tcW w:w="2220" w:type="dxa"/>
            <w:noWrap/>
            <w:vAlign w:val="center"/>
            <w:hideMark/>
          </w:tcPr>
          <w:p w14:paraId="1F8E927A"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February 14</w:t>
            </w:r>
          </w:p>
        </w:tc>
        <w:tc>
          <w:tcPr>
            <w:tcW w:w="1540" w:type="dxa"/>
            <w:noWrap/>
            <w:vAlign w:val="center"/>
            <w:hideMark/>
          </w:tcPr>
          <w:p w14:paraId="3B9604BF"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146</w:t>
            </w:r>
          </w:p>
        </w:tc>
      </w:tr>
      <w:tr w:rsidR="00774C1A" w:rsidRPr="00A01AB6" w14:paraId="002D264C"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2840EB94"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6</w:t>
            </w:r>
          </w:p>
        </w:tc>
        <w:tc>
          <w:tcPr>
            <w:tcW w:w="2425" w:type="dxa"/>
            <w:vAlign w:val="center"/>
            <w:hideMark/>
          </w:tcPr>
          <w:p w14:paraId="5D9A55BF" w14:textId="6C5B2EBE"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 xml:space="preserve">Movilla Galarcio </w:t>
            </w:r>
            <w:r w:rsidRPr="00A01AB6">
              <w:rPr>
                <w:rFonts w:ascii="Cambria" w:hAnsi="Cambria"/>
                <w:i/>
                <w:iCs/>
                <w:color w:val="000000"/>
                <w:sz w:val="20"/>
                <w:szCs w:val="20"/>
              </w:rPr>
              <w:t>et al.</w:t>
            </w:r>
          </w:p>
        </w:tc>
        <w:tc>
          <w:tcPr>
            <w:tcW w:w="2345" w:type="dxa"/>
            <w:vAlign w:val="center"/>
            <w:hideMark/>
          </w:tcPr>
          <w:p w14:paraId="04D85715"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Colombia</w:t>
            </w:r>
          </w:p>
        </w:tc>
        <w:tc>
          <w:tcPr>
            <w:tcW w:w="2220" w:type="dxa"/>
            <w:noWrap/>
            <w:vAlign w:val="center"/>
            <w:hideMark/>
          </w:tcPr>
          <w:p w14:paraId="7A917A2C"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February 15</w:t>
            </w:r>
          </w:p>
        </w:tc>
        <w:tc>
          <w:tcPr>
            <w:tcW w:w="1540" w:type="dxa"/>
            <w:noWrap/>
            <w:vAlign w:val="center"/>
            <w:hideMark/>
          </w:tcPr>
          <w:p w14:paraId="3A08D701"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146</w:t>
            </w:r>
          </w:p>
        </w:tc>
      </w:tr>
      <w:tr w:rsidR="00774C1A" w:rsidRPr="00A01AB6" w14:paraId="09942E1E"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5F22D86C"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7</w:t>
            </w:r>
          </w:p>
        </w:tc>
        <w:tc>
          <w:tcPr>
            <w:tcW w:w="2425" w:type="dxa"/>
            <w:vAlign w:val="center"/>
            <w:hideMark/>
          </w:tcPr>
          <w:p w14:paraId="56D58485" w14:textId="011D1022"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Cortez Espinoza</w:t>
            </w:r>
          </w:p>
        </w:tc>
        <w:tc>
          <w:tcPr>
            <w:tcW w:w="2345" w:type="dxa"/>
            <w:vAlign w:val="center"/>
            <w:hideMark/>
          </w:tcPr>
          <w:p w14:paraId="5849D003"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Ecuador</w:t>
            </w:r>
          </w:p>
        </w:tc>
        <w:tc>
          <w:tcPr>
            <w:tcW w:w="2220" w:type="dxa"/>
            <w:noWrap/>
            <w:vAlign w:val="center"/>
            <w:hideMark/>
          </w:tcPr>
          <w:p w14:paraId="22BDD9EF"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March 21</w:t>
            </w:r>
          </w:p>
        </w:tc>
        <w:tc>
          <w:tcPr>
            <w:tcW w:w="1540" w:type="dxa"/>
            <w:noWrap/>
            <w:vAlign w:val="center"/>
            <w:hideMark/>
          </w:tcPr>
          <w:p w14:paraId="685E6D4E"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147</w:t>
            </w:r>
          </w:p>
        </w:tc>
      </w:tr>
      <w:tr w:rsidR="00774C1A" w:rsidRPr="00A01AB6" w14:paraId="4C159E31"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14B9F424"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8</w:t>
            </w:r>
          </w:p>
        </w:tc>
        <w:tc>
          <w:tcPr>
            <w:tcW w:w="2425" w:type="dxa"/>
            <w:vAlign w:val="center"/>
            <w:hideMark/>
          </w:tcPr>
          <w:p w14:paraId="3CD7C83E" w14:textId="5300AB69"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Sales Pimenta</w:t>
            </w:r>
          </w:p>
        </w:tc>
        <w:tc>
          <w:tcPr>
            <w:tcW w:w="2345" w:type="dxa"/>
            <w:vAlign w:val="center"/>
            <w:hideMark/>
          </w:tcPr>
          <w:p w14:paraId="3D29D115"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Brazil</w:t>
            </w:r>
          </w:p>
        </w:tc>
        <w:tc>
          <w:tcPr>
            <w:tcW w:w="2220" w:type="dxa"/>
            <w:noWrap/>
            <w:vAlign w:val="center"/>
            <w:hideMark/>
          </w:tcPr>
          <w:p w14:paraId="0846F550"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March 22-23</w:t>
            </w:r>
          </w:p>
        </w:tc>
        <w:tc>
          <w:tcPr>
            <w:tcW w:w="1540" w:type="dxa"/>
            <w:noWrap/>
            <w:vAlign w:val="center"/>
            <w:hideMark/>
          </w:tcPr>
          <w:p w14:paraId="253DBA02"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147</w:t>
            </w:r>
          </w:p>
        </w:tc>
      </w:tr>
      <w:tr w:rsidR="00774C1A" w:rsidRPr="00A01AB6" w14:paraId="7600F83D"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746291DE"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9</w:t>
            </w:r>
          </w:p>
        </w:tc>
        <w:tc>
          <w:tcPr>
            <w:tcW w:w="2425" w:type="dxa"/>
            <w:vAlign w:val="center"/>
            <w:hideMark/>
          </w:tcPr>
          <w:p w14:paraId="0482EA36" w14:textId="5BBCCACA"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 xml:space="preserve">Leguizamón Zaván </w:t>
            </w:r>
            <w:r w:rsidRPr="00A01AB6">
              <w:rPr>
                <w:rFonts w:ascii="Cambria" w:hAnsi="Cambria"/>
                <w:i/>
                <w:iCs/>
                <w:color w:val="000000"/>
                <w:sz w:val="20"/>
                <w:szCs w:val="20"/>
              </w:rPr>
              <w:t>et al.</w:t>
            </w:r>
          </w:p>
        </w:tc>
        <w:tc>
          <w:tcPr>
            <w:tcW w:w="2345" w:type="dxa"/>
            <w:vAlign w:val="center"/>
            <w:hideMark/>
          </w:tcPr>
          <w:p w14:paraId="2D5FD723"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Paraguay</w:t>
            </w:r>
          </w:p>
        </w:tc>
        <w:tc>
          <w:tcPr>
            <w:tcW w:w="2220" w:type="dxa"/>
            <w:noWrap/>
            <w:vAlign w:val="center"/>
            <w:hideMark/>
          </w:tcPr>
          <w:p w14:paraId="50CD120F"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March 25</w:t>
            </w:r>
          </w:p>
        </w:tc>
        <w:tc>
          <w:tcPr>
            <w:tcW w:w="1540" w:type="dxa"/>
            <w:noWrap/>
            <w:vAlign w:val="center"/>
            <w:hideMark/>
          </w:tcPr>
          <w:p w14:paraId="663ABA10"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147</w:t>
            </w:r>
          </w:p>
        </w:tc>
      </w:tr>
      <w:tr w:rsidR="00774C1A" w:rsidRPr="00A01AB6" w14:paraId="7D619877"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1E4022BD"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10</w:t>
            </w:r>
          </w:p>
        </w:tc>
        <w:tc>
          <w:tcPr>
            <w:tcW w:w="2425" w:type="dxa"/>
            <w:vAlign w:val="center"/>
            <w:hideMark/>
          </w:tcPr>
          <w:p w14:paraId="1D8179C4" w14:textId="74BC7F0C"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Guevara Díaz</w:t>
            </w:r>
          </w:p>
        </w:tc>
        <w:tc>
          <w:tcPr>
            <w:tcW w:w="2345" w:type="dxa"/>
            <w:vAlign w:val="center"/>
            <w:hideMark/>
          </w:tcPr>
          <w:p w14:paraId="0B290429"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Costa Rica</w:t>
            </w:r>
          </w:p>
        </w:tc>
        <w:tc>
          <w:tcPr>
            <w:tcW w:w="2220" w:type="dxa"/>
            <w:noWrap/>
            <w:vAlign w:val="center"/>
            <w:hideMark/>
          </w:tcPr>
          <w:p w14:paraId="3F9155F6"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March 25</w:t>
            </w:r>
          </w:p>
        </w:tc>
        <w:tc>
          <w:tcPr>
            <w:tcW w:w="1540" w:type="dxa"/>
            <w:noWrap/>
            <w:vAlign w:val="center"/>
            <w:hideMark/>
          </w:tcPr>
          <w:p w14:paraId="459B99A1"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147</w:t>
            </w:r>
          </w:p>
        </w:tc>
      </w:tr>
      <w:tr w:rsidR="00774C1A" w:rsidRPr="00A01AB6" w14:paraId="19E2AE14"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24230B69"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11</w:t>
            </w:r>
          </w:p>
        </w:tc>
        <w:tc>
          <w:tcPr>
            <w:tcW w:w="2425" w:type="dxa"/>
            <w:vAlign w:val="center"/>
            <w:hideMark/>
          </w:tcPr>
          <w:p w14:paraId="6F79907C" w14:textId="7E62DD20"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Hendrix</w:t>
            </w:r>
          </w:p>
        </w:tc>
        <w:tc>
          <w:tcPr>
            <w:tcW w:w="2345" w:type="dxa"/>
            <w:vAlign w:val="center"/>
            <w:hideMark/>
          </w:tcPr>
          <w:p w14:paraId="25A8E0FB"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Guatemala</w:t>
            </w:r>
          </w:p>
        </w:tc>
        <w:tc>
          <w:tcPr>
            <w:tcW w:w="2220" w:type="dxa"/>
            <w:noWrap/>
            <w:vAlign w:val="center"/>
            <w:hideMark/>
          </w:tcPr>
          <w:p w14:paraId="5ACBC171"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March 28</w:t>
            </w:r>
          </w:p>
        </w:tc>
        <w:tc>
          <w:tcPr>
            <w:tcW w:w="1540" w:type="dxa"/>
            <w:noWrap/>
            <w:vAlign w:val="center"/>
            <w:hideMark/>
          </w:tcPr>
          <w:p w14:paraId="55C8F819"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147</w:t>
            </w:r>
          </w:p>
        </w:tc>
      </w:tr>
      <w:tr w:rsidR="00774C1A" w:rsidRPr="00A01AB6" w14:paraId="183D896D"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283CE453"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12</w:t>
            </w:r>
          </w:p>
        </w:tc>
        <w:tc>
          <w:tcPr>
            <w:tcW w:w="2425" w:type="dxa"/>
            <w:vAlign w:val="center"/>
            <w:hideMark/>
          </w:tcPr>
          <w:p w14:paraId="430FFA53"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Angulo Losada</w:t>
            </w:r>
          </w:p>
        </w:tc>
        <w:tc>
          <w:tcPr>
            <w:tcW w:w="2345" w:type="dxa"/>
            <w:vAlign w:val="center"/>
            <w:hideMark/>
          </w:tcPr>
          <w:p w14:paraId="57032881"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Bolivia</w:t>
            </w:r>
          </w:p>
        </w:tc>
        <w:tc>
          <w:tcPr>
            <w:tcW w:w="2220" w:type="dxa"/>
            <w:noWrap/>
            <w:vAlign w:val="center"/>
            <w:hideMark/>
          </w:tcPr>
          <w:p w14:paraId="2F35BB59"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March 29-30</w:t>
            </w:r>
          </w:p>
        </w:tc>
        <w:tc>
          <w:tcPr>
            <w:tcW w:w="1540" w:type="dxa"/>
            <w:noWrap/>
            <w:vAlign w:val="center"/>
            <w:hideMark/>
          </w:tcPr>
          <w:p w14:paraId="3B61210B"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147</w:t>
            </w:r>
          </w:p>
        </w:tc>
      </w:tr>
      <w:tr w:rsidR="00774C1A" w:rsidRPr="00A01AB6" w14:paraId="281112F7"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BCDD9B1"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13</w:t>
            </w:r>
          </w:p>
        </w:tc>
        <w:tc>
          <w:tcPr>
            <w:tcW w:w="2425" w:type="dxa"/>
            <w:vAlign w:val="center"/>
            <w:hideMark/>
          </w:tcPr>
          <w:p w14:paraId="73250C87" w14:textId="31CA18E0"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Mina Cuero</w:t>
            </w:r>
          </w:p>
        </w:tc>
        <w:tc>
          <w:tcPr>
            <w:tcW w:w="2345" w:type="dxa"/>
            <w:vAlign w:val="center"/>
            <w:hideMark/>
          </w:tcPr>
          <w:p w14:paraId="6F5E7DD8"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Ecuador</w:t>
            </w:r>
          </w:p>
        </w:tc>
        <w:tc>
          <w:tcPr>
            <w:tcW w:w="2220" w:type="dxa"/>
            <w:noWrap/>
            <w:vAlign w:val="center"/>
            <w:hideMark/>
          </w:tcPr>
          <w:p w14:paraId="170EA967"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March 31</w:t>
            </w:r>
          </w:p>
        </w:tc>
        <w:tc>
          <w:tcPr>
            <w:tcW w:w="1540" w:type="dxa"/>
            <w:noWrap/>
            <w:vAlign w:val="center"/>
            <w:hideMark/>
          </w:tcPr>
          <w:p w14:paraId="2885977B"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147</w:t>
            </w:r>
          </w:p>
        </w:tc>
      </w:tr>
      <w:tr w:rsidR="00774C1A" w:rsidRPr="00A01AB6" w14:paraId="7E107E31"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321159EF"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14</w:t>
            </w:r>
          </w:p>
        </w:tc>
        <w:tc>
          <w:tcPr>
            <w:tcW w:w="2425" w:type="dxa"/>
            <w:vAlign w:val="center"/>
            <w:hideMark/>
          </w:tcPr>
          <w:p w14:paraId="5EB3F53F" w14:textId="0FE8A14C"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 xml:space="preserve">Habbal </w:t>
            </w:r>
            <w:r w:rsidRPr="00A01AB6">
              <w:rPr>
                <w:rFonts w:ascii="Cambria" w:hAnsi="Cambria"/>
                <w:i/>
                <w:iCs/>
                <w:color w:val="000000"/>
                <w:sz w:val="20"/>
                <w:szCs w:val="20"/>
              </w:rPr>
              <w:t>et al.</w:t>
            </w:r>
          </w:p>
        </w:tc>
        <w:tc>
          <w:tcPr>
            <w:tcW w:w="2345" w:type="dxa"/>
            <w:vAlign w:val="center"/>
            <w:hideMark/>
          </w:tcPr>
          <w:p w14:paraId="38D46068"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Argentina</w:t>
            </w:r>
          </w:p>
        </w:tc>
        <w:tc>
          <w:tcPr>
            <w:tcW w:w="2220" w:type="dxa"/>
            <w:noWrap/>
            <w:vAlign w:val="center"/>
            <w:hideMark/>
          </w:tcPr>
          <w:p w14:paraId="46834C8C"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April 1</w:t>
            </w:r>
          </w:p>
        </w:tc>
        <w:tc>
          <w:tcPr>
            <w:tcW w:w="1540" w:type="dxa"/>
            <w:noWrap/>
            <w:vAlign w:val="center"/>
            <w:hideMark/>
          </w:tcPr>
          <w:p w14:paraId="361C7DBD"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147</w:t>
            </w:r>
          </w:p>
        </w:tc>
      </w:tr>
      <w:tr w:rsidR="00774C1A" w:rsidRPr="00A01AB6" w14:paraId="20D7E8F4"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59C62964"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15</w:t>
            </w:r>
          </w:p>
        </w:tc>
        <w:tc>
          <w:tcPr>
            <w:tcW w:w="2425" w:type="dxa"/>
            <w:vAlign w:val="center"/>
            <w:hideMark/>
          </w:tcPr>
          <w:p w14:paraId="222ECA74" w14:textId="6A809894"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Garifuna community of San Juan and its members</w:t>
            </w:r>
          </w:p>
        </w:tc>
        <w:tc>
          <w:tcPr>
            <w:tcW w:w="2345" w:type="dxa"/>
            <w:vAlign w:val="center"/>
            <w:hideMark/>
          </w:tcPr>
          <w:p w14:paraId="781997E8"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Honduras</w:t>
            </w:r>
          </w:p>
        </w:tc>
        <w:tc>
          <w:tcPr>
            <w:tcW w:w="2220" w:type="dxa"/>
            <w:noWrap/>
            <w:vAlign w:val="center"/>
            <w:hideMark/>
          </w:tcPr>
          <w:p w14:paraId="08E5A256"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April 4-5</w:t>
            </w:r>
          </w:p>
        </w:tc>
        <w:tc>
          <w:tcPr>
            <w:tcW w:w="1540" w:type="dxa"/>
            <w:noWrap/>
            <w:vAlign w:val="center"/>
            <w:hideMark/>
          </w:tcPr>
          <w:p w14:paraId="6C9164E0"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147</w:t>
            </w:r>
          </w:p>
        </w:tc>
      </w:tr>
      <w:tr w:rsidR="00774C1A" w:rsidRPr="00A01AB6" w14:paraId="23FA7AA7"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16108A9F"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16</w:t>
            </w:r>
          </w:p>
        </w:tc>
        <w:tc>
          <w:tcPr>
            <w:tcW w:w="2425" w:type="dxa"/>
            <w:vAlign w:val="center"/>
            <w:hideMark/>
          </w:tcPr>
          <w:p w14:paraId="13A2AF29" w14:textId="626A59E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Nissen Pessolani</w:t>
            </w:r>
          </w:p>
        </w:tc>
        <w:tc>
          <w:tcPr>
            <w:tcW w:w="2345" w:type="dxa"/>
            <w:vAlign w:val="center"/>
            <w:hideMark/>
          </w:tcPr>
          <w:p w14:paraId="6326709D"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Paraguay</w:t>
            </w:r>
          </w:p>
        </w:tc>
        <w:tc>
          <w:tcPr>
            <w:tcW w:w="2220" w:type="dxa"/>
            <w:noWrap/>
            <w:vAlign w:val="center"/>
            <w:hideMark/>
          </w:tcPr>
          <w:p w14:paraId="54BB2421"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May 9-10</w:t>
            </w:r>
          </w:p>
        </w:tc>
        <w:tc>
          <w:tcPr>
            <w:tcW w:w="1540" w:type="dxa"/>
            <w:noWrap/>
            <w:vAlign w:val="center"/>
            <w:hideMark/>
          </w:tcPr>
          <w:p w14:paraId="2A65F1D0"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148</w:t>
            </w:r>
          </w:p>
        </w:tc>
      </w:tr>
      <w:tr w:rsidR="00774C1A" w:rsidRPr="00A01AB6" w14:paraId="01101358"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5B401416"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17</w:t>
            </w:r>
          </w:p>
        </w:tc>
        <w:tc>
          <w:tcPr>
            <w:tcW w:w="2425" w:type="dxa"/>
            <w:vAlign w:val="center"/>
            <w:hideMark/>
          </w:tcPr>
          <w:p w14:paraId="444F6B68" w14:textId="2507E19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 xml:space="preserve">Deras García </w:t>
            </w:r>
            <w:r w:rsidRPr="00A01AB6">
              <w:rPr>
                <w:rFonts w:ascii="Cambria" w:hAnsi="Cambria"/>
                <w:i/>
                <w:iCs/>
                <w:color w:val="000000"/>
                <w:sz w:val="20"/>
                <w:szCs w:val="20"/>
              </w:rPr>
              <w:t>et al.</w:t>
            </w:r>
          </w:p>
        </w:tc>
        <w:tc>
          <w:tcPr>
            <w:tcW w:w="2345" w:type="dxa"/>
            <w:vAlign w:val="center"/>
            <w:hideMark/>
          </w:tcPr>
          <w:p w14:paraId="35D83F56"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Honduras</w:t>
            </w:r>
          </w:p>
        </w:tc>
        <w:tc>
          <w:tcPr>
            <w:tcW w:w="2220" w:type="dxa"/>
            <w:noWrap/>
            <w:vAlign w:val="center"/>
            <w:hideMark/>
          </w:tcPr>
          <w:p w14:paraId="440295D1"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May 10-11</w:t>
            </w:r>
          </w:p>
        </w:tc>
        <w:tc>
          <w:tcPr>
            <w:tcW w:w="1540" w:type="dxa"/>
            <w:noWrap/>
            <w:vAlign w:val="center"/>
            <w:hideMark/>
          </w:tcPr>
          <w:p w14:paraId="323A4905"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148</w:t>
            </w:r>
          </w:p>
        </w:tc>
      </w:tr>
      <w:tr w:rsidR="00774C1A" w:rsidRPr="00A01AB6" w14:paraId="0BF51E5B" w14:textId="77777777" w:rsidTr="00A01AB6">
        <w:trPr>
          <w:trHeight w:val="600"/>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60C2D83B"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18</w:t>
            </w:r>
          </w:p>
        </w:tc>
        <w:tc>
          <w:tcPr>
            <w:tcW w:w="2425" w:type="dxa"/>
            <w:vAlign w:val="center"/>
            <w:hideMark/>
          </w:tcPr>
          <w:p w14:paraId="2DEE314B" w14:textId="3A661C32"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Members of the José Alvear Restrepo Lawyers’ Collective (CAJAR)</w:t>
            </w:r>
          </w:p>
        </w:tc>
        <w:tc>
          <w:tcPr>
            <w:tcW w:w="2345" w:type="dxa"/>
            <w:vAlign w:val="center"/>
            <w:hideMark/>
          </w:tcPr>
          <w:p w14:paraId="25E5D1BB"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Colombia</w:t>
            </w:r>
          </w:p>
        </w:tc>
        <w:tc>
          <w:tcPr>
            <w:tcW w:w="2220" w:type="dxa"/>
            <w:noWrap/>
            <w:vAlign w:val="center"/>
            <w:hideMark/>
          </w:tcPr>
          <w:p w14:paraId="7CABB158"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May 12-13</w:t>
            </w:r>
          </w:p>
        </w:tc>
        <w:tc>
          <w:tcPr>
            <w:tcW w:w="1540" w:type="dxa"/>
            <w:noWrap/>
            <w:vAlign w:val="center"/>
            <w:hideMark/>
          </w:tcPr>
          <w:p w14:paraId="61BF88EF"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148</w:t>
            </w:r>
          </w:p>
        </w:tc>
      </w:tr>
      <w:tr w:rsidR="00774C1A" w:rsidRPr="00A01AB6" w14:paraId="20E312F2"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559A4141"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19</w:t>
            </w:r>
          </w:p>
        </w:tc>
        <w:tc>
          <w:tcPr>
            <w:tcW w:w="2425" w:type="dxa"/>
            <w:noWrap/>
            <w:vAlign w:val="center"/>
            <w:hideMark/>
          </w:tcPr>
          <w:p w14:paraId="19C63D4C" w14:textId="7A5488CC"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 xml:space="preserve">Britez Arce </w:t>
            </w:r>
            <w:r w:rsidRPr="00A01AB6">
              <w:rPr>
                <w:rFonts w:ascii="Cambria" w:hAnsi="Cambria"/>
                <w:i/>
                <w:iCs/>
                <w:color w:val="000000"/>
                <w:sz w:val="20"/>
                <w:szCs w:val="20"/>
              </w:rPr>
              <w:t>et al.</w:t>
            </w:r>
          </w:p>
        </w:tc>
        <w:tc>
          <w:tcPr>
            <w:tcW w:w="2345" w:type="dxa"/>
            <w:noWrap/>
            <w:vAlign w:val="center"/>
            <w:hideMark/>
          </w:tcPr>
          <w:p w14:paraId="652A488D"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Argentina</w:t>
            </w:r>
          </w:p>
        </w:tc>
        <w:tc>
          <w:tcPr>
            <w:tcW w:w="2220" w:type="dxa"/>
            <w:noWrap/>
            <w:vAlign w:val="center"/>
            <w:hideMark/>
          </w:tcPr>
          <w:p w14:paraId="222E2F0D"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May 20</w:t>
            </w:r>
          </w:p>
        </w:tc>
        <w:tc>
          <w:tcPr>
            <w:tcW w:w="1540" w:type="dxa"/>
            <w:noWrap/>
            <w:vAlign w:val="center"/>
            <w:hideMark/>
          </w:tcPr>
          <w:p w14:paraId="60CFD9CA"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148</w:t>
            </w:r>
          </w:p>
        </w:tc>
      </w:tr>
      <w:tr w:rsidR="00774C1A" w:rsidRPr="00A01AB6" w14:paraId="3543F124"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425A8B5B"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20</w:t>
            </w:r>
          </w:p>
        </w:tc>
        <w:tc>
          <w:tcPr>
            <w:tcW w:w="2425" w:type="dxa"/>
            <w:noWrap/>
            <w:vAlign w:val="center"/>
            <w:hideMark/>
          </w:tcPr>
          <w:p w14:paraId="26A0F9CD" w14:textId="1810E3C3"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Baraona Bray</w:t>
            </w:r>
          </w:p>
        </w:tc>
        <w:tc>
          <w:tcPr>
            <w:tcW w:w="2345" w:type="dxa"/>
            <w:noWrap/>
            <w:vAlign w:val="center"/>
            <w:hideMark/>
          </w:tcPr>
          <w:p w14:paraId="089BFBDA"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Chile</w:t>
            </w:r>
          </w:p>
        </w:tc>
        <w:tc>
          <w:tcPr>
            <w:tcW w:w="2220" w:type="dxa"/>
            <w:noWrap/>
            <w:vAlign w:val="center"/>
            <w:hideMark/>
          </w:tcPr>
          <w:p w14:paraId="63198D85"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June 20</w:t>
            </w:r>
          </w:p>
        </w:tc>
        <w:tc>
          <w:tcPr>
            <w:tcW w:w="1540" w:type="dxa"/>
            <w:noWrap/>
            <w:vAlign w:val="center"/>
            <w:hideMark/>
          </w:tcPr>
          <w:p w14:paraId="6657116A"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149</w:t>
            </w:r>
          </w:p>
        </w:tc>
      </w:tr>
      <w:tr w:rsidR="00774C1A" w:rsidRPr="00A01AB6" w14:paraId="34B83200"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A86BF8F"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21</w:t>
            </w:r>
          </w:p>
        </w:tc>
        <w:tc>
          <w:tcPr>
            <w:tcW w:w="2425" w:type="dxa"/>
            <w:noWrap/>
            <w:vAlign w:val="center"/>
            <w:hideMark/>
          </w:tcPr>
          <w:p w14:paraId="6E6F7D61" w14:textId="5AFE67CF"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 xml:space="preserve">Valencia Campos </w:t>
            </w:r>
            <w:r w:rsidRPr="00A01AB6">
              <w:rPr>
                <w:rFonts w:ascii="Cambria" w:hAnsi="Cambria"/>
                <w:i/>
                <w:iCs/>
                <w:color w:val="000000"/>
                <w:sz w:val="20"/>
                <w:szCs w:val="20"/>
              </w:rPr>
              <w:t>et al.</w:t>
            </w:r>
          </w:p>
        </w:tc>
        <w:tc>
          <w:tcPr>
            <w:tcW w:w="2345" w:type="dxa"/>
            <w:noWrap/>
            <w:vAlign w:val="center"/>
            <w:hideMark/>
          </w:tcPr>
          <w:p w14:paraId="4629E76D"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Bolivia</w:t>
            </w:r>
          </w:p>
        </w:tc>
        <w:tc>
          <w:tcPr>
            <w:tcW w:w="2220" w:type="dxa"/>
            <w:noWrap/>
            <w:vAlign w:val="center"/>
            <w:hideMark/>
          </w:tcPr>
          <w:p w14:paraId="50A01DBC"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June 21</w:t>
            </w:r>
          </w:p>
        </w:tc>
        <w:tc>
          <w:tcPr>
            <w:tcW w:w="1540" w:type="dxa"/>
            <w:noWrap/>
            <w:vAlign w:val="center"/>
            <w:hideMark/>
          </w:tcPr>
          <w:p w14:paraId="29A186AC"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149</w:t>
            </w:r>
          </w:p>
        </w:tc>
      </w:tr>
      <w:tr w:rsidR="00774C1A" w:rsidRPr="00A01AB6" w14:paraId="29F443D7"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196308B6"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22</w:t>
            </w:r>
          </w:p>
        </w:tc>
        <w:tc>
          <w:tcPr>
            <w:tcW w:w="2425" w:type="dxa"/>
            <w:vAlign w:val="center"/>
            <w:hideMark/>
          </w:tcPr>
          <w:p w14:paraId="0751F860" w14:textId="6CE16456"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 xml:space="preserve">Tzompaxtle Tecpile </w:t>
            </w:r>
            <w:r w:rsidRPr="00A01AB6">
              <w:rPr>
                <w:rFonts w:ascii="Cambria" w:hAnsi="Cambria"/>
                <w:i/>
                <w:iCs/>
                <w:color w:val="000000"/>
                <w:sz w:val="20"/>
                <w:szCs w:val="20"/>
              </w:rPr>
              <w:t>et al.</w:t>
            </w:r>
          </w:p>
        </w:tc>
        <w:tc>
          <w:tcPr>
            <w:tcW w:w="2345" w:type="dxa"/>
            <w:vAlign w:val="center"/>
            <w:hideMark/>
          </w:tcPr>
          <w:p w14:paraId="6EB22E93"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Mexico</w:t>
            </w:r>
          </w:p>
        </w:tc>
        <w:tc>
          <w:tcPr>
            <w:tcW w:w="2220" w:type="dxa"/>
            <w:noWrap/>
            <w:vAlign w:val="center"/>
            <w:hideMark/>
          </w:tcPr>
          <w:p w14:paraId="44B1A3FB"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June 23</w:t>
            </w:r>
          </w:p>
        </w:tc>
        <w:tc>
          <w:tcPr>
            <w:tcW w:w="1540" w:type="dxa"/>
            <w:noWrap/>
            <w:vAlign w:val="center"/>
            <w:hideMark/>
          </w:tcPr>
          <w:p w14:paraId="6DECA148"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149</w:t>
            </w:r>
          </w:p>
        </w:tc>
      </w:tr>
      <w:tr w:rsidR="00774C1A" w:rsidRPr="00A01AB6" w14:paraId="08A578F9"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1ADB4C2D"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23</w:t>
            </w:r>
          </w:p>
        </w:tc>
        <w:tc>
          <w:tcPr>
            <w:tcW w:w="2425" w:type="dxa"/>
            <w:noWrap/>
            <w:vAlign w:val="center"/>
            <w:hideMark/>
          </w:tcPr>
          <w:p w14:paraId="6A060F3F"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 xml:space="preserve">Tavares Pereira </w:t>
            </w:r>
            <w:r w:rsidRPr="00A01AB6">
              <w:rPr>
                <w:rFonts w:ascii="Cambria" w:hAnsi="Cambria"/>
                <w:i/>
                <w:iCs/>
                <w:color w:val="000000"/>
                <w:sz w:val="20"/>
                <w:szCs w:val="20"/>
              </w:rPr>
              <w:t>et al.</w:t>
            </w:r>
          </w:p>
        </w:tc>
        <w:tc>
          <w:tcPr>
            <w:tcW w:w="2345" w:type="dxa"/>
            <w:noWrap/>
            <w:vAlign w:val="center"/>
            <w:hideMark/>
          </w:tcPr>
          <w:p w14:paraId="0583C6DF"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Brazil</w:t>
            </w:r>
          </w:p>
        </w:tc>
        <w:tc>
          <w:tcPr>
            <w:tcW w:w="2220" w:type="dxa"/>
            <w:noWrap/>
            <w:vAlign w:val="center"/>
            <w:hideMark/>
          </w:tcPr>
          <w:p w14:paraId="2B710A77"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June 27-28</w:t>
            </w:r>
          </w:p>
        </w:tc>
        <w:tc>
          <w:tcPr>
            <w:tcW w:w="1540" w:type="dxa"/>
            <w:noWrap/>
            <w:vAlign w:val="center"/>
            <w:hideMark/>
          </w:tcPr>
          <w:p w14:paraId="2AAB4C93"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149</w:t>
            </w:r>
          </w:p>
        </w:tc>
      </w:tr>
      <w:tr w:rsidR="00774C1A" w:rsidRPr="00A01AB6" w14:paraId="0B55DA80"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4F1EAC91"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24</w:t>
            </w:r>
          </w:p>
        </w:tc>
        <w:tc>
          <w:tcPr>
            <w:tcW w:w="2425" w:type="dxa"/>
            <w:noWrap/>
            <w:vAlign w:val="center"/>
            <w:hideMark/>
          </w:tcPr>
          <w:p w14:paraId="66CF14C9" w14:textId="1DD325EA"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Aroca Palma</w:t>
            </w:r>
          </w:p>
        </w:tc>
        <w:tc>
          <w:tcPr>
            <w:tcW w:w="2345" w:type="dxa"/>
            <w:noWrap/>
            <w:vAlign w:val="center"/>
            <w:hideMark/>
          </w:tcPr>
          <w:p w14:paraId="315D4241"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Ecuador</w:t>
            </w:r>
          </w:p>
        </w:tc>
        <w:tc>
          <w:tcPr>
            <w:tcW w:w="2220" w:type="dxa"/>
            <w:noWrap/>
            <w:vAlign w:val="center"/>
            <w:hideMark/>
          </w:tcPr>
          <w:p w14:paraId="61C38C48"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July 1</w:t>
            </w:r>
          </w:p>
        </w:tc>
        <w:tc>
          <w:tcPr>
            <w:tcW w:w="1540" w:type="dxa"/>
            <w:noWrap/>
            <w:vAlign w:val="center"/>
            <w:hideMark/>
          </w:tcPr>
          <w:p w14:paraId="25E989BD"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149</w:t>
            </w:r>
          </w:p>
        </w:tc>
      </w:tr>
      <w:tr w:rsidR="00774C1A" w:rsidRPr="00A01AB6" w14:paraId="7FA5CECE"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77AC14DF"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25</w:t>
            </w:r>
          </w:p>
        </w:tc>
        <w:tc>
          <w:tcPr>
            <w:tcW w:w="2425" w:type="dxa"/>
            <w:noWrap/>
            <w:vAlign w:val="center"/>
            <w:hideMark/>
          </w:tcPr>
          <w:p w14:paraId="1FA9ADF1" w14:textId="4862406C"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Tagaeri and Taromenane indigenous peoples</w:t>
            </w:r>
          </w:p>
        </w:tc>
        <w:tc>
          <w:tcPr>
            <w:tcW w:w="2345" w:type="dxa"/>
            <w:noWrap/>
            <w:vAlign w:val="center"/>
            <w:hideMark/>
          </w:tcPr>
          <w:p w14:paraId="4B82C500"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Ecuador</w:t>
            </w:r>
          </w:p>
        </w:tc>
        <w:tc>
          <w:tcPr>
            <w:tcW w:w="2220" w:type="dxa"/>
            <w:noWrap/>
            <w:vAlign w:val="center"/>
            <w:hideMark/>
          </w:tcPr>
          <w:p w14:paraId="72CC71A8"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August 23</w:t>
            </w:r>
          </w:p>
        </w:tc>
        <w:tc>
          <w:tcPr>
            <w:tcW w:w="1540" w:type="dxa"/>
            <w:noWrap/>
            <w:vAlign w:val="center"/>
            <w:hideMark/>
          </w:tcPr>
          <w:p w14:paraId="28312003"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150</w:t>
            </w:r>
          </w:p>
        </w:tc>
      </w:tr>
      <w:tr w:rsidR="00774C1A" w:rsidRPr="00A01AB6" w14:paraId="6C98CD65"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16FBAC20"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26</w:t>
            </w:r>
          </w:p>
        </w:tc>
        <w:tc>
          <w:tcPr>
            <w:tcW w:w="2425" w:type="dxa"/>
            <w:noWrap/>
            <w:vAlign w:val="center"/>
            <w:hideMark/>
          </w:tcPr>
          <w:p w14:paraId="500701B2" w14:textId="7C4E54D5"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Olivera Fuentes</w:t>
            </w:r>
          </w:p>
        </w:tc>
        <w:tc>
          <w:tcPr>
            <w:tcW w:w="2345" w:type="dxa"/>
            <w:noWrap/>
            <w:vAlign w:val="center"/>
            <w:hideMark/>
          </w:tcPr>
          <w:p w14:paraId="37D8DABD"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Peru</w:t>
            </w:r>
          </w:p>
        </w:tc>
        <w:tc>
          <w:tcPr>
            <w:tcW w:w="2220" w:type="dxa"/>
            <w:noWrap/>
            <w:vAlign w:val="center"/>
            <w:hideMark/>
          </w:tcPr>
          <w:p w14:paraId="154C4CAB"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August 24</w:t>
            </w:r>
          </w:p>
        </w:tc>
        <w:tc>
          <w:tcPr>
            <w:tcW w:w="1540" w:type="dxa"/>
            <w:noWrap/>
            <w:vAlign w:val="center"/>
            <w:hideMark/>
          </w:tcPr>
          <w:p w14:paraId="2B2604F4"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150</w:t>
            </w:r>
          </w:p>
        </w:tc>
      </w:tr>
      <w:tr w:rsidR="00774C1A" w:rsidRPr="00A01AB6" w14:paraId="04323DC8"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3D0C83D8"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27</w:t>
            </w:r>
          </w:p>
        </w:tc>
        <w:tc>
          <w:tcPr>
            <w:tcW w:w="2425" w:type="dxa"/>
            <w:noWrap/>
            <w:vAlign w:val="center"/>
            <w:hideMark/>
          </w:tcPr>
          <w:p w14:paraId="242ABB87"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Alvarez</w:t>
            </w:r>
          </w:p>
        </w:tc>
        <w:tc>
          <w:tcPr>
            <w:tcW w:w="2345" w:type="dxa"/>
            <w:noWrap/>
            <w:vAlign w:val="center"/>
            <w:hideMark/>
          </w:tcPr>
          <w:p w14:paraId="1668FD84"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Argentina</w:t>
            </w:r>
          </w:p>
        </w:tc>
        <w:tc>
          <w:tcPr>
            <w:tcW w:w="2220" w:type="dxa"/>
            <w:noWrap/>
            <w:vAlign w:val="center"/>
            <w:hideMark/>
          </w:tcPr>
          <w:p w14:paraId="54D271C4"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August 25</w:t>
            </w:r>
          </w:p>
        </w:tc>
        <w:tc>
          <w:tcPr>
            <w:tcW w:w="1540" w:type="dxa"/>
            <w:noWrap/>
            <w:vAlign w:val="center"/>
            <w:hideMark/>
          </w:tcPr>
          <w:p w14:paraId="28634A9D"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150</w:t>
            </w:r>
          </w:p>
        </w:tc>
      </w:tr>
      <w:tr w:rsidR="00774C1A" w:rsidRPr="00A01AB6" w14:paraId="77F1657C"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1678E5D8"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28</w:t>
            </w:r>
          </w:p>
        </w:tc>
        <w:tc>
          <w:tcPr>
            <w:tcW w:w="2425" w:type="dxa"/>
            <w:noWrap/>
            <w:vAlign w:val="center"/>
            <w:hideMark/>
          </w:tcPr>
          <w:p w14:paraId="37164E2F" w14:textId="64197B45"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 xml:space="preserve">García Rodríguez </w:t>
            </w:r>
            <w:r w:rsidRPr="00A01AB6">
              <w:rPr>
                <w:rFonts w:ascii="Cambria" w:hAnsi="Cambria"/>
                <w:i/>
                <w:iCs/>
                <w:color w:val="000000"/>
                <w:sz w:val="20"/>
                <w:szCs w:val="20"/>
              </w:rPr>
              <w:t>et al.</w:t>
            </w:r>
          </w:p>
        </w:tc>
        <w:tc>
          <w:tcPr>
            <w:tcW w:w="2345" w:type="dxa"/>
            <w:noWrap/>
            <w:vAlign w:val="center"/>
            <w:hideMark/>
          </w:tcPr>
          <w:p w14:paraId="6DC23C2F"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Mexico</w:t>
            </w:r>
          </w:p>
        </w:tc>
        <w:tc>
          <w:tcPr>
            <w:tcW w:w="2220" w:type="dxa"/>
            <w:noWrap/>
            <w:vAlign w:val="center"/>
            <w:hideMark/>
          </w:tcPr>
          <w:p w14:paraId="4F8BD27B"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August 26</w:t>
            </w:r>
          </w:p>
        </w:tc>
        <w:tc>
          <w:tcPr>
            <w:tcW w:w="1540" w:type="dxa"/>
            <w:noWrap/>
            <w:vAlign w:val="center"/>
            <w:hideMark/>
          </w:tcPr>
          <w:p w14:paraId="421698D1"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150</w:t>
            </w:r>
          </w:p>
        </w:tc>
      </w:tr>
      <w:tr w:rsidR="00774C1A" w:rsidRPr="00A01AB6" w14:paraId="5C3DDD8E"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2CF44E8"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29</w:t>
            </w:r>
          </w:p>
        </w:tc>
        <w:tc>
          <w:tcPr>
            <w:tcW w:w="2425" w:type="dxa"/>
            <w:noWrap/>
            <w:vAlign w:val="center"/>
            <w:hideMark/>
          </w:tcPr>
          <w:p w14:paraId="64931953"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Aguinaga Aillón</w:t>
            </w:r>
          </w:p>
        </w:tc>
        <w:tc>
          <w:tcPr>
            <w:tcW w:w="2345" w:type="dxa"/>
            <w:noWrap/>
            <w:vAlign w:val="center"/>
            <w:hideMark/>
          </w:tcPr>
          <w:p w14:paraId="7A3F62F6"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Ecuador</w:t>
            </w:r>
          </w:p>
        </w:tc>
        <w:tc>
          <w:tcPr>
            <w:tcW w:w="2220" w:type="dxa"/>
            <w:noWrap/>
            <w:vAlign w:val="center"/>
            <w:hideMark/>
          </w:tcPr>
          <w:p w14:paraId="6CC47817"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September 8</w:t>
            </w:r>
          </w:p>
        </w:tc>
        <w:tc>
          <w:tcPr>
            <w:tcW w:w="1540" w:type="dxa"/>
            <w:noWrap/>
            <w:vAlign w:val="center"/>
            <w:hideMark/>
          </w:tcPr>
          <w:p w14:paraId="48400CF5"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151</w:t>
            </w:r>
          </w:p>
        </w:tc>
      </w:tr>
      <w:tr w:rsidR="00774C1A" w:rsidRPr="00A01AB6" w14:paraId="15FD89D5"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4C698686"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lastRenderedPageBreak/>
              <w:t>30</w:t>
            </w:r>
          </w:p>
        </w:tc>
        <w:tc>
          <w:tcPr>
            <w:tcW w:w="2425" w:type="dxa"/>
            <w:noWrap/>
            <w:vAlign w:val="center"/>
            <w:hideMark/>
          </w:tcPr>
          <w:p w14:paraId="075A98C7" w14:textId="409AE4B3"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Community of La Oroya</w:t>
            </w:r>
          </w:p>
        </w:tc>
        <w:tc>
          <w:tcPr>
            <w:tcW w:w="2345" w:type="dxa"/>
            <w:noWrap/>
            <w:vAlign w:val="center"/>
            <w:hideMark/>
          </w:tcPr>
          <w:p w14:paraId="39A3B275"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Peru</w:t>
            </w:r>
          </w:p>
        </w:tc>
        <w:tc>
          <w:tcPr>
            <w:tcW w:w="2220" w:type="dxa"/>
            <w:noWrap/>
            <w:vAlign w:val="center"/>
            <w:hideMark/>
          </w:tcPr>
          <w:p w14:paraId="5801F3C4"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October 12-13</w:t>
            </w:r>
          </w:p>
        </w:tc>
        <w:tc>
          <w:tcPr>
            <w:tcW w:w="1540" w:type="dxa"/>
            <w:noWrap/>
            <w:vAlign w:val="center"/>
            <w:hideMark/>
          </w:tcPr>
          <w:p w14:paraId="5DF1880F"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153</w:t>
            </w:r>
          </w:p>
        </w:tc>
      </w:tr>
      <w:tr w:rsidR="00774C1A" w:rsidRPr="00A01AB6" w14:paraId="3D505A15"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3A9D76D0"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31</w:t>
            </w:r>
          </w:p>
        </w:tc>
        <w:tc>
          <w:tcPr>
            <w:tcW w:w="2425" w:type="dxa"/>
            <w:noWrap/>
            <w:vAlign w:val="center"/>
            <w:hideMark/>
          </w:tcPr>
          <w:p w14:paraId="45E3D983" w14:textId="114490AE"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Asociación Civil Memoria Activa</w:t>
            </w:r>
          </w:p>
        </w:tc>
        <w:tc>
          <w:tcPr>
            <w:tcW w:w="2345" w:type="dxa"/>
            <w:noWrap/>
            <w:vAlign w:val="center"/>
            <w:hideMark/>
          </w:tcPr>
          <w:p w14:paraId="511C4929"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Argentina</w:t>
            </w:r>
          </w:p>
        </w:tc>
        <w:tc>
          <w:tcPr>
            <w:tcW w:w="2220" w:type="dxa"/>
            <w:noWrap/>
            <w:vAlign w:val="center"/>
            <w:hideMark/>
          </w:tcPr>
          <w:p w14:paraId="452F8A2D"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October 13-14</w:t>
            </w:r>
          </w:p>
        </w:tc>
        <w:tc>
          <w:tcPr>
            <w:tcW w:w="1540" w:type="dxa"/>
            <w:noWrap/>
            <w:vAlign w:val="center"/>
            <w:hideMark/>
          </w:tcPr>
          <w:p w14:paraId="4BD4C9D9"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153</w:t>
            </w:r>
          </w:p>
        </w:tc>
      </w:tr>
      <w:tr w:rsidR="00774C1A" w:rsidRPr="00A01AB6" w14:paraId="47A47046"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4E9C9FB6"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32</w:t>
            </w:r>
          </w:p>
        </w:tc>
        <w:tc>
          <w:tcPr>
            <w:tcW w:w="2425" w:type="dxa"/>
            <w:noWrap/>
            <w:vAlign w:val="center"/>
            <w:hideMark/>
          </w:tcPr>
          <w:p w14:paraId="69A7D8EA" w14:textId="0E6F1B09"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 xml:space="preserve">María </w:t>
            </w:r>
            <w:r w:rsidRPr="00A01AB6">
              <w:rPr>
                <w:rFonts w:ascii="Cambria" w:hAnsi="Cambria"/>
                <w:i/>
                <w:iCs/>
                <w:color w:val="000000"/>
                <w:sz w:val="20"/>
                <w:szCs w:val="20"/>
              </w:rPr>
              <w:t>et al.</w:t>
            </w:r>
          </w:p>
        </w:tc>
        <w:tc>
          <w:tcPr>
            <w:tcW w:w="2345" w:type="dxa"/>
            <w:noWrap/>
            <w:vAlign w:val="center"/>
            <w:hideMark/>
          </w:tcPr>
          <w:p w14:paraId="67397401"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Argentina</w:t>
            </w:r>
          </w:p>
        </w:tc>
        <w:tc>
          <w:tcPr>
            <w:tcW w:w="2220" w:type="dxa"/>
            <w:noWrap/>
            <w:vAlign w:val="center"/>
            <w:hideMark/>
          </w:tcPr>
          <w:p w14:paraId="222432E4"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October 19</w:t>
            </w:r>
          </w:p>
        </w:tc>
        <w:tc>
          <w:tcPr>
            <w:tcW w:w="1540" w:type="dxa"/>
            <w:noWrap/>
            <w:vAlign w:val="center"/>
            <w:hideMark/>
          </w:tcPr>
          <w:p w14:paraId="61C11736"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153</w:t>
            </w:r>
          </w:p>
        </w:tc>
      </w:tr>
      <w:tr w:rsidR="00774C1A" w:rsidRPr="00A01AB6" w14:paraId="6E855980"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A73F85D"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33</w:t>
            </w:r>
          </w:p>
        </w:tc>
        <w:tc>
          <w:tcPr>
            <w:tcW w:w="2425" w:type="dxa"/>
            <w:noWrap/>
            <w:vAlign w:val="center"/>
            <w:hideMark/>
          </w:tcPr>
          <w:p w14:paraId="1E0BAD7A" w14:textId="576CE81B"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Tabares Toro</w:t>
            </w:r>
          </w:p>
        </w:tc>
        <w:tc>
          <w:tcPr>
            <w:tcW w:w="2345" w:type="dxa"/>
            <w:noWrap/>
            <w:vAlign w:val="center"/>
            <w:hideMark/>
          </w:tcPr>
          <w:p w14:paraId="410AE2CF"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Colombia</w:t>
            </w:r>
          </w:p>
        </w:tc>
        <w:tc>
          <w:tcPr>
            <w:tcW w:w="2220" w:type="dxa"/>
            <w:noWrap/>
            <w:vAlign w:val="center"/>
            <w:hideMark/>
          </w:tcPr>
          <w:p w14:paraId="59ABEF99"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November 8</w:t>
            </w:r>
          </w:p>
        </w:tc>
        <w:tc>
          <w:tcPr>
            <w:tcW w:w="1540" w:type="dxa"/>
            <w:noWrap/>
            <w:vAlign w:val="center"/>
            <w:hideMark/>
          </w:tcPr>
          <w:p w14:paraId="3413969A" w14:textId="77777777" w:rsidR="00774C1A" w:rsidRPr="00A01AB6" w:rsidRDefault="00774C1A" w:rsidP="00A01AB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154</w:t>
            </w:r>
          </w:p>
        </w:tc>
      </w:tr>
      <w:tr w:rsidR="00774C1A" w:rsidRPr="00A01AB6" w14:paraId="475567ED" w14:textId="77777777" w:rsidTr="00A01AB6">
        <w:trPr>
          <w:trHeight w:val="315"/>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CC76F40"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rPr>
              <w:t>34</w:t>
            </w:r>
          </w:p>
        </w:tc>
        <w:tc>
          <w:tcPr>
            <w:tcW w:w="2425" w:type="dxa"/>
            <w:noWrap/>
            <w:vAlign w:val="center"/>
            <w:hideMark/>
          </w:tcPr>
          <w:p w14:paraId="5A03A584"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Scot Cochran</w:t>
            </w:r>
          </w:p>
        </w:tc>
        <w:tc>
          <w:tcPr>
            <w:tcW w:w="2345" w:type="dxa"/>
            <w:noWrap/>
            <w:vAlign w:val="center"/>
            <w:hideMark/>
          </w:tcPr>
          <w:p w14:paraId="58F1ACCB"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Costa Rica</w:t>
            </w:r>
          </w:p>
        </w:tc>
        <w:tc>
          <w:tcPr>
            <w:tcW w:w="2220" w:type="dxa"/>
            <w:noWrap/>
            <w:vAlign w:val="center"/>
            <w:hideMark/>
          </w:tcPr>
          <w:p w14:paraId="4A7EBA8B"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November 9</w:t>
            </w:r>
          </w:p>
        </w:tc>
        <w:tc>
          <w:tcPr>
            <w:tcW w:w="1540" w:type="dxa"/>
            <w:noWrap/>
            <w:vAlign w:val="center"/>
            <w:hideMark/>
          </w:tcPr>
          <w:p w14:paraId="7AC73551" w14:textId="77777777" w:rsidR="00774C1A" w:rsidRPr="00A01AB6" w:rsidRDefault="00774C1A" w:rsidP="00A01AB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A01AB6">
              <w:rPr>
                <w:rFonts w:ascii="Cambria" w:hAnsi="Cambria"/>
                <w:color w:val="000000"/>
                <w:sz w:val="20"/>
                <w:szCs w:val="20"/>
              </w:rPr>
              <w:t>154</w:t>
            </w:r>
          </w:p>
        </w:tc>
      </w:tr>
    </w:tbl>
    <w:p w14:paraId="187ADD6C" w14:textId="77777777" w:rsidR="00B14D67" w:rsidRPr="00A01C5D" w:rsidRDefault="00B14D67" w:rsidP="00774C1A">
      <w:pPr>
        <w:autoSpaceDE w:val="0"/>
        <w:autoSpaceDN w:val="0"/>
        <w:adjustRightInd w:val="0"/>
        <w:spacing w:after="240"/>
        <w:jc w:val="both"/>
        <w:rPr>
          <w:rFonts w:ascii="Cambria" w:hAnsi="Cambria" w:cs="Calibri"/>
          <w:sz w:val="20"/>
          <w:szCs w:val="20"/>
          <w:lang w:eastAsia="es-ES_tradnl"/>
        </w:rPr>
      </w:pPr>
    </w:p>
    <w:p w14:paraId="10677F59" w14:textId="77777777" w:rsidR="00774C1A" w:rsidRPr="00A01AB6" w:rsidRDefault="00774C1A" w:rsidP="00933F91">
      <w:pPr>
        <w:pStyle w:val="ListParagraph"/>
        <w:numPr>
          <w:ilvl w:val="0"/>
          <w:numId w:val="82"/>
        </w:numPr>
        <w:autoSpaceDE w:val="0"/>
        <w:autoSpaceDN w:val="0"/>
        <w:adjustRightInd w:val="0"/>
        <w:spacing w:after="240"/>
        <w:ind w:left="1440" w:hanging="540"/>
        <w:contextualSpacing w:val="0"/>
        <w:jc w:val="both"/>
        <w:rPr>
          <w:rFonts w:ascii="Cambria" w:hAnsi="Cambria"/>
          <w:sz w:val="20"/>
          <w:szCs w:val="20"/>
        </w:rPr>
      </w:pPr>
      <w:r w:rsidRPr="00A01AB6">
        <w:rPr>
          <w:rFonts w:ascii="Cambria" w:hAnsi="Cambria"/>
          <w:i/>
          <w:sz w:val="20"/>
          <w:szCs w:val="20"/>
        </w:rPr>
        <w:t>Case hearings related to the supervision of compliance with Judgments</w:t>
      </w:r>
    </w:p>
    <w:tbl>
      <w:tblPr>
        <w:tblStyle w:val="MediumShading1-Accent11"/>
        <w:tblW w:w="9350" w:type="dxa"/>
        <w:tblLook w:val="04A0" w:firstRow="1" w:lastRow="0" w:firstColumn="1" w:lastColumn="0" w:noHBand="0" w:noVBand="1"/>
      </w:tblPr>
      <w:tblGrid>
        <w:gridCol w:w="661"/>
        <w:gridCol w:w="2155"/>
        <w:gridCol w:w="2085"/>
        <w:gridCol w:w="1975"/>
        <w:gridCol w:w="2474"/>
      </w:tblGrid>
      <w:tr w:rsidR="00774C1A" w:rsidRPr="00A01AB6" w14:paraId="4DA711B5" w14:textId="77777777" w:rsidTr="00A01AB6">
        <w:trPr>
          <w:cnfStyle w:val="100000000000" w:firstRow="1" w:lastRow="0" w:firstColumn="0" w:lastColumn="0" w:oddVBand="0" w:evenVBand="0" w:oddHBand="0" w:evenHBand="0" w:firstRowFirstColumn="0" w:firstRowLastColumn="0" w:lastRowFirstColumn="0" w:lastRowLastColumn="0"/>
          <w:trHeight w:val="375"/>
        </w:trPr>
        <w:tc>
          <w:tcPr>
            <w:tcW w:w="661" w:type="dxa"/>
            <w:noWrap/>
            <w:vAlign w:val="center"/>
            <w:hideMark/>
          </w:tcPr>
          <w:p w14:paraId="6D8D2D8E" w14:textId="77777777" w:rsidR="00774C1A" w:rsidRPr="00A01AB6" w:rsidRDefault="00774C1A" w:rsidP="00A01AB6">
            <w:pPr>
              <w:jc w:val="center"/>
              <w:rPr>
                <w:rFonts w:ascii="Cambria" w:eastAsia="Times New Roman" w:hAnsi="Cambria"/>
                <w:sz w:val="20"/>
                <w:szCs w:val="20"/>
              </w:rPr>
            </w:pPr>
          </w:p>
        </w:tc>
        <w:tc>
          <w:tcPr>
            <w:tcW w:w="2155" w:type="dxa"/>
            <w:noWrap/>
            <w:vAlign w:val="center"/>
            <w:hideMark/>
          </w:tcPr>
          <w:p w14:paraId="5C199194"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Case</w:t>
            </w:r>
          </w:p>
        </w:tc>
        <w:tc>
          <w:tcPr>
            <w:tcW w:w="2085" w:type="dxa"/>
            <w:noWrap/>
            <w:vAlign w:val="center"/>
            <w:hideMark/>
          </w:tcPr>
          <w:p w14:paraId="5BF2B14E"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State</w:t>
            </w:r>
          </w:p>
        </w:tc>
        <w:tc>
          <w:tcPr>
            <w:tcW w:w="1975" w:type="dxa"/>
            <w:noWrap/>
            <w:vAlign w:val="center"/>
            <w:hideMark/>
          </w:tcPr>
          <w:p w14:paraId="0888F5AD"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Date</w:t>
            </w:r>
          </w:p>
        </w:tc>
        <w:tc>
          <w:tcPr>
            <w:tcW w:w="2474" w:type="dxa"/>
            <w:noWrap/>
            <w:vAlign w:val="center"/>
            <w:hideMark/>
          </w:tcPr>
          <w:p w14:paraId="09459663"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Period of Sessions</w:t>
            </w:r>
          </w:p>
        </w:tc>
      </w:tr>
      <w:tr w:rsidR="00774C1A" w:rsidRPr="00A01AB6" w14:paraId="3EFE6771"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1D5F1A02"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w:t>
            </w:r>
          </w:p>
        </w:tc>
        <w:tc>
          <w:tcPr>
            <w:tcW w:w="2155" w:type="dxa"/>
            <w:vAlign w:val="center"/>
            <w:hideMark/>
          </w:tcPr>
          <w:p w14:paraId="64757C9E"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Human rights defender</w:t>
            </w:r>
          </w:p>
        </w:tc>
        <w:tc>
          <w:tcPr>
            <w:tcW w:w="2085" w:type="dxa"/>
            <w:vAlign w:val="center"/>
            <w:hideMark/>
          </w:tcPr>
          <w:p w14:paraId="0A3A9497"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Honduras</w:t>
            </w:r>
          </w:p>
        </w:tc>
        <w:tc>
          <w:tcPr>
            <w:tcW w:w="1975" w:type="dxa"/>
            <w:noWrap/>
            <w:vAlign w:val="center"/>
            <w:hideMark/>
          </w:tcPr>
          <w:p w14:paraId="04631A82"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April 7</w:t>
            </w:r>
          </w:p>
        </w:tc>
        <w:tc>
          <w:tcPr>
            <w:tcW w:w="2474" w:type="dxa"/>
            <w:noWrap/>
            <w:vAlign w:val="center"/>
            <w:hideMark/>
          </w:tcPr>
          <w:p w14:paraId="68FCA2CC"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147</w:t>
            </w:r>
          </w:p>
        </w:tc>
      </w:tr>
      <w:tr w:rsidR="00774C1A" w:rsidRPr="00A01AB6" w14:paraId="51B0E046" w14:textId="77777777" w:rsidTr="00A01AB6">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hideMark/>
          </w:tcPr>
          <w:p w14:paraId="40D33324"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2</w:t>
            </w:r>
          </w:p>
        </w:tc>
        <w:tc>
          <w:tcPr>
            <w:tcW w:w="2155" w:type="dxa"/>
            <w:vAlign w:val="center"/>
            <w:hideMark/>
          </w:tcPr>
          <w:p w14:paraId="015DC4CC" w14:textId="77777777" w:rsidR="00774C1A" w:rsidRPr="00A01AB6" w:rsidRDefault="00774C1A" w:rsidP="00A01AB6">
            <w:pPr>
              <w:jc w:val="center"/>
              <w:rPr>
                <w:rFonts w:ascii="Cambria" w:eastAsia="Times New Roman" w:hAnsi="Cambria" w:cs="Calibri"/>
                <w:color w:val="000000"/>
                <w:sz w:val="20"/>
                <w:szCs w:val="20"/>
                <w:lang w:val="es-ES"/>
              </w:rPr>
            </w:pPr>
            <w:r w:rsidRPr="00A01AB6">
              <w:rPr>
                <w:rFonts w:ascii="Cambria" w:hAnsi="Cambria"/>
                <w:color w:val="000000"/>
                <w:sz w:val="20"/>
                <w:szCs w:val="20"/>
                <w:lang w:val="en"/>
              </w:rPr>
              <w:t>Yakye Axa</w:t>
            </w:r>
          </w:p>
        </w:tc>
        <w:tc>
          <w:tcPr>
            <w:tcW w:w="2085" w:type="dxa"/>
            <w:noWrap/>
            <w:vAlign w:val="center"/>
            <w:hideMark/>
          </w:tcPr>
          <w:p w14:paraId="05537BFD"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Paraguay</w:t>
            </w:r>
          </w:p>
        </w:tc>
        <w:tc>
          <w:tcPr>
            <w:tcW w:w="1975" w:type="dxa"/>
            <w:noWrap/>
            <w:vAlign w:val="center"/>
            <w:hideMark/>
          </w:tcPr>
          <w:p w14:paraId="6EC83D06"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April 7</w:t>
            </w:r>
          </w:p>
        </w:tc>
        <w:tc>
          <w:tcPr>
            <w:tcW w:w="2474" w:type="dxa"/>
            <w:noWrap/>
            <w:vAlign w:val="center"/>
            <w:hideMark/>
          </w:tcPr>
          <w:p w14:paraId="12DA09A6"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147</w:t>
            </w:r>
          </w:p>
        </w:tc>
      </w:tr>
      <w:tr w:rsidR="00774C1A" w:rsidRPr="00A01AB6" w14:paraId="6A40A317"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0998B566"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3</w:t>
            </w:r>
          </w:p>
        </w:tc>
        <w:tc>
          <w:tcPr>
            <w:tcW w:w="2155" w:type="dxa"/>
            <w:vAlign w:val="center"/>
            <w:hideMark/>
          </w:tcPr>
          <w:p w14:paraId="4273C6F9"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Pacheco Leon</w:t>
            </w:r>
          </w:p>
        </w:tc>
        <w:tc>
          <w:tcPr>
            <w:tcW w:w="2085" w:type="dxa"/>
            <w:vAlign w:val="center"/>
            <w:hideMark/>
          </w:tcPr>
          <w:p w14:paraId="6EA50BC8"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Honduras</w:t>
            </w:r>
          </w:p>
        </w:tc>
        <w:tc>
          <w:tcPr>
            <w:tcW w:w="1975" w:type="dxa"/>
            <w:noWrap/>
            <w:vAlign w:val="center"/>
            <w:hideMark/>
          </w:tcPr>
          <w:p w14:paraId="4CC1E2E1"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May 24</w:t>
            </w:r>
          </w:p>
        </w:tc>
        <w:tc>
          <w:tcPr>
            <w:tcW w:w="2474" w:type="dxa"/>
            <w:noWrap/>
            <w:vAlign w:val="center"/>
            <w:hideMark/>
          </w:tcPr>
          <w:p w14:paraId="4529A8E1"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148</w:t>
            </w:r>
          </w:p>
        </w:tc>
      </w:tr>
      <w:tr w:rsidR="00774C1A" w:rsidRPr="00A01AB6" w14:paraId="52199B51" w14:textId="77777777" w:rsidTr="00A01AB6">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tcPr>
          <w:p w14:paraId="4CBDA403"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4</w:t>
            </w:r>
          </w:p>
        </w:tc>
        <w:tc>
          <w:tcPr>
            <w:tcW w:w="2155" w:type="dxa"/>
            <w:vAlign w:val="center"/>
          </w:tcPr>
          <w:p w14:paraId="2249EE31"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Bámaca</w:t>
            </w:r>
          </w:p>
        </w:tc>
        <w:tc>
          <w:tcPr>
            <w:tcW w:w="2085" w:type="dxa"/>
            <w:vAlign w:val="center"/>
          </w:tcPr>
          <w:p w14:paraId="0943A53F"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Guatemala</w:t>
            </w:r>
          </w:p>
        </w:tc>
        <w:tc>
          <w:tcPr>
            <w:tcW w:w="1975" w:type="dxa"/>
            <w:noWrap/>
            <w:vAlign w:val="center"/>
          </w:tcPr>
          <w:p w14:paraId="03271464"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May 14</w:t>
            </w:r>
          </w:p>
        </w:tc>
        <w:tc>
          <w:tcPr>
            <w:tcW w:w="2474" w:type="dxa"/>
            <w:noWrap/>
            <w:vAlign w:val="center"/>
          </w:tcPr>
          <w:p w14:paraId="0D460424"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148</w:t>
            </w:r>
          </w:p>
        </w:tc>
      </w:tr>
      <w:tr w:rsidR="00774C1A" w:rsidRPr="00A01AB6" w14:paraId="5E5C23B1"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3B6852C6"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5</w:t>
            </w:r>
          </w:p>
        </w:tc>
        <w:tc>
          <w:tcPr>
            <w:tcW w:w="2155" w:type="dxa"/>
            <w:vAlign w:val="center"/>
            <w:hideMark/>
          </w:tcPr>
          <w:p w14:paraId="2C3C571D" w14:textId="5005DC6A"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Bámaca, Maritza Urrutia, Plan de Sánchez massacre, Chitay Nech</w:t>
            </w:r>
            <w:r w:rsidRPr="00A01AB6">
              <w:rPr>
                <w:rFonts w:ascii="Cambria" w:hAnsi="Cambria"/>
                <w:sz w:val="20"/>
                <w:szCs w:val="20"/>
                <w:lang w:val="en"/>
              </w:rPr>
              <w:t xml:space="preserve"> et al.</w:t>
            </w:r>
            <w:r w:rsidR="00A01AB6" w:rsidRPr="00A01AB6">
              <w:rPr>
                <w:rFonts w:ascii="Cambria" w:hAnsi="Cambria"/>
                <w:sz w:val="20"/>
                <w:szCs w:val="20"/>
                <w:lang w:val="en"/>
              </w:rPr>
              <w:t xml:space="preserve">, </w:t>
            </w:r>
            <w:r w:rsidR="00A01AB6" w:rsidRPr="00A01AB6">
              <w:rPr>
                <w:rFonts w:ascii="Cambria" w:hAnsi="Cambria"/>
                <w:color w:val="000000"/>
                <w:sz w:val="20"/>
                <w:szCs w:val="20"/>
                <w:lang w:val="en"/>
              </w:rPr>
              <w:t>Río</w:t>
            </w:r>
            <w:r w:rsidRPr="00A01AB6">
              <w:rPr>
                <w:rFonts w:ascii="Cambria" w:hAnsi="Cambria"/>
                <w:color w:val="000000"/>
                <w:sz w:val="20"/>
                <w:szCs w:val="20"/>
                <w:lang w:val="en"/>
              </w:rPr>
              <w:t xml:space="preserve"> Negro massacre, Gudiel Álvarez et al.</w:t>
            </w:r>
          </w:p>
        </w:tc>
        <w:tc>
          <w:tcPr>
            <w:tcW w:w="2085" w:type="dxa"/>
            <w:vAlign w:val="center"/>
            <w:hideMark/>
          </w:tcPr>
          <w:p w14:paraId="21E6BD91"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Guatemala</w:t>
            </w:r>
          </w:p>
        </w:tc>
        <w:tc>
          <w:tcPr>
            <w:tcW w:w="1975" w:type="dxa"/>
            <w:noWrap/>
            <w:vAlign w:val="center"/>
            <w:hideMark/>
          </w:tcPr>
          <w:p w14:paraId="2C0328D6"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September 6</w:t>
            </w:r>
          </w:p>
        </w:tc>
        <w:tc>
          <w:tcPr>
            <w:tcW w:w="2474" w:type="dxa"/>
            <w:noWrap/>
            <w:vAlign w:val="center"/>
            <w:hideMark/>
          </w:tcPr>
          <w:p w14:paraId="10426652"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152</w:t>
            </w:r>
          </w:p>
        </w:tc>
      </w:tr>
      <w:tr w:rsidR="00774C1A" w:rsidRPr="00A01AB6" w14:paraId="72B8143D" w14:textId="77777777" w:rsidTr="00A01AB6">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hideMark/>
          </w:tcPr>
          <w:p w14:paraId="0FD21738"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6</w:t>
            </w:r>
          </w:p>
        </w:tc>
        <w:tc>
          <w:tcPr>
            <w:tcW w:w="2155" w:type="dxa"/>
            <w:vAlign w:val="center"/>
            <w:hideMark/>
          </w:tcPr>
          <w:p w14:paraId="09D171A0"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J</w:t>
            </w:r>
          </w:p>
        </w:tc>
        <w:tc>
          <w:tcPr>
            <w:tcW w:w="2085" w:type="dxa"/>
            <w:vAlign w:val="center"/>
            <w:hideMark/>
          </w:tcPr>
          <w:p w14:paraId="4300B608"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Peru</w:t>
            </w:r>
          </w:p>
        </w:tc>
        <w:tc>
          <w:tcPr>
            <w:tcW w:w="1975" w:type="dxa"/>
            <w:noWrap/>
            <w:vAlign w:val="center"/>
            <w:hideMark/>
          </w:tcPr>
          <w:p w14:paraId="0D541F82"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October 6</w:t>
            </w:r>
          </w:p>
        </w:tc>
        <w:tc>
          <w:tcPr>
            <w:tcW w:w="2474" w:type="dxa"/>
            <w:noWrap/>
            <w:vAlign w:val="center"/>
            <w:hideMark/>
          </w:tcPr>
          <w:p w14:paraId="6F498674"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152</w:t>
            </w:r>
          </w:p>
        </w:tc>
      </w:tr>
      <w:tr w:rsidR="00774C1A" w:rsidRPr="00A01AB6" w14:paraId="5A0A4325"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1AED4AFE"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7</w:t>
            </w:r>
          </w:p>
        </w:tc>
        <w:tc>
          <w:tcPr>
            <w:tcW w:w="2155" w:type="dxa"/>
            <w:vAlign w:val="center"/>
          </w:tcPr>
          <w:p w14:paraId="1C62BC3B"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Serrano Contreras Sisters and Rochac</w:t>
            </w:r>
            <w:r w:rsidRPr="00A01AB6">
              <w:rPr>
                <w:rFonts w:ascii="Cambria" w:hAnsi="Cambria"/>
                <w:sz w:val="20"/>
                <w:szCs w:val="20"/>
                <w:lang w:val="en"/>
              </w:rPr>
              <w:t xml:space="preserve"> case</w:t>
            </w:r>
          </w:p>
        </w:tc>
        <w:tc>
          <w:tcPr>
            <w:tcW w:w="2085" w:type="dxa"/>
            <w:vAlign w:val="center"/>
            <w:hideMark/>
          </w:tcPr>
          <w:p w14:paraId="12DBE1A1"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El Salvador</w:t>
            </w:r>
          </w:p>
        </w:tc>
        <w:tc>
          <w:tcPr>
            <w:tcW w:w="1975" w:type="dxa"/>
            <w:noWrap/>
            <w:vAlign w:val="center"/>
            <w:hideMark/>
          </w:tcPr>
          <w:p w14:paraId="186B87D3"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October 6</w:t>
            </w:r>
          </w:p>
        </w:tc>
        <w:tc>
          <w:tcPr>
            <w:tcW w:w="2474" w:type="dxa"/>
            <w:noWrap/>
            <w:vAlign w:val="center"/>
            <w:hideMark/>
          </w:tcPr>
          <w:p w14:paraId="7046752D"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152</w:t>
            </w:r>
          </w:p>
        </w:tc>
      </w:tr>
      <w:tr w:rsidR="00774C1A" w:rsidRPr="00A01AB6" w14:paraId="75478139" w14:textId="77777777" w:rsidTr="00A01AB6">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hideMark/>
          </w:tcPr>
          <w:p w14:paraId="56BECFC3"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8</w:t>
            </w:r>
          </w:p>
        </w:tc>
        <w:tc>
          <w:tcPr>
            <w:tcW w:w="2155" w:type="dxa"/>
            <w:vAlign w:val="center"/>
          </w:tcPr>
          <w:p w14:paraId="71354633"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Gelman</w:t>
            </w:r>
          </w:p>
        </w:tc>
        <w:tc>
          <w:tcPr>
            <w:tcW w:w="2085" w:type="dxa"/>
            <w:vAlign w:val="center"/>
            <w:hideMark/>
          </w:tcPr>
          <w:p w14:paraId="23D314FB"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Uruguay</w:t>
            </w:r>
          </w:p>
        </w:tc>
        <w:tc>
          <w:tcPr>
            <w:tcW w:w="1975" w:type="dxa"/>
            <w:noWrap/>
            <w:vAlign w:val="center"/>
            <w:hideMark/>
          </w:tcPr>
          <w:p w14:paraId="73D89DCC"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October 20</w:t>
            </w:r>
          </w:p>
        </w:tc>
        <w:tc>
          <w:tcPr>
            <w:tcW w:w="2474" w:type="dxa"/>
            <w:noWrap/>
            <w:vAlign w:val="center"/>
            <w:hideMark/>
          </w:tcPr>
          <w:p w14:paraId="582A994A"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153</w:t>
            </w:r>
          </w:p>
        </w:tc>
      </w:tr>
      <w:tr w:rsidR="00774C1A" w:rsidRPr="00A01AB6" w14:paraId="55F70CC8"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533563A3"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9</w:t>
            </w:r>
          </w:p>
        </w:tc>
        <w:tc>
          <w:tcPr>
            <w:tcW w:w="2155" w:type="dxa"/>
            <w:vAlign w:val="center"/>
          </w:tcPr>
          <w:p w14:paraId="423C4ED7"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Mendoza and others</w:t>
            </w:r>
          </w:p>
        </w:tc>
        <w:tc>
          <w:tcPr>
            <w:tcW w:w="2085" w:type="dxa"/>
            <w:vAlign w:val="center"/>
            <w:hideMark/>
          </w:tcPr>
          <w:p w14:paraId="1EA953CB"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Argentina</w:t>
            </w:r>
          </w:p>
        </w:tc>
        <w:tc>
          <w:tcPr>
            <w:tcW w:w="1975" w:type="dxa"/>
            <w:noWrap/>
            <w:vAlign w:val="center"/>
            <w:hideMark/>
          </w:tcPr>
          <w:p w14:paraId="6100435F"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October 24</w:t>
            </w:r>
          </w:p>
        </w:tc>
        <w:tc>
          <w:tcPr>
            <w:tcW w:w="2474" w:type="dxa"/>
            <w:noWrap/>
            <w:vAlign w:val="center"/>
            <w:hideMark/>
          </w:tcPr>
          <w:p w14:paraId="62258F4B"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153</w:t>
            </w:r>
          </w:p>
        </w:tc>
      </w:tr>
      <w:tr w:rsidR="00774C1A" w:rsidRPr="00A01AB6" w14:paraId="1BEEE664" w14:textId="77777777" w:rsidTr="00A01AB6">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hideMark/>
          </w:tcPr>
          <w:p w14:paraId="01B23B03"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10</w:t>
            </w:r>
          </w:p>
        </w:tc>
        <w:tc>
          <w:tcPr>
            <w:tcW w:w="2155" w:type="dxa"/>
            <w:vAlign w:val="center"/>
            <w:hideMark/>
          </w:tcPr>
          <w:p w14:paraId="2D8E9A36"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Bulacio</w:t>
            </w:r>
          </w:p>
        </w:tc>
        <w:tc>
          <w:tcPr>
            <w:tcW w:w="2085" w:type="dxa"/>
            <w:vAlign w:val="center"/>
            <w:hideMark/>
          </w:tcPr>
          <w:p w14:paraId="52BEE555"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Argentina</w:t>
            </w:r>
          </w:p>
        </w:tc>
        <w:tc>
          <w:tcPr>
            <w:tcW w:w="1975" w:type="dxa"/>
            <w:noWrap/>
            <w:vAlign w:val="center"/>
            <w:hideMark/>
          </w:tcPr>
          <w:p w14:paraId="0070C4F3"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October 24</w:t>
            </w:r>
          </w:p>
        </w:tc>
        <w:tc>
          <w:tcPr>
            <w:tcW w:w="2474" w:type="dxa"/>
            <w:noWrap/>
            <w:vAlign w:val="center"/>
            <w:hideMark/>
          </w:tcPr>
          <w:p w14:paraId="0140544E"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153</w:t>
            </w:r>
          </w:p>
        </w:tc>
      </w:tr>
      <w:tr w:rsidR="00774C1A" w:rsidRPr="00A01AB6" w14:paraId="471B68BB"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37095631"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11</w:t>
            </w:r>
          </w:p>
        </w:tc>
        <w:tc>
          <w:tcPr>
            <w:tcW w:w="2155" w:type="dxa"/>
            <w:vAlign w:val="center"/>
            <w:hideMark/>
          </w:tcPr>
          <w:p w14:paraId="7C3C6868"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Prieto and Tumbeiro</w:t>
            </w:r>
          </w:p>
        </w:tc>
        <w:tc>
          <w:tcPr>
            <w:tcW w:w="2085" w:type="dxa"/>
            <w:vAlign w:val="center"/>
            <w:hideMark/>
          </w:tcPr>
          <w:p w14:paraId="347E54C5"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Argentina</w:t>
            </w:r>
          </w:p>
        </w:tc>
        <w:tc>
          <w:tcPr>
            <w:tcW w:w="1975" w:type="dxa"/>
            <w:noWrap/>
            <w:vAlign w:val="center"/>
            <w:hideMark/>
          </w:tcPr>
          <w:p w14:paraId="6D86CE20"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October 24</w:t>
            </w:r>
          </w:p>
        </w:tc>
        <w:tc>
          <w:tcPr>
            <w:tcW w:w="2474" w:type="dxa"/>
            <w:noWrap/>
            <w:vAlign w:val="center"/>
            <w:hideMark/>
          </w:tcPr>
          <w:p w14:paraId="679E832E"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153</w:t>
            </w:r>
          </w:p>
        </w:tc>
      </w:tr>
      <w:tr w:rsidR="00774C1A" w:rsidRPr="00A01AB6" w14:paraId="553AA672" w14:textId="77777777" w:rsidTr="00A01AB6">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hideMark/>
          </w:tcPr>
          <w:p w14:paraId="018DB2CB"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12</w:t>
            </w:r>
          </w:p>
        </w:tc>
        <w:tc>
          <w:tcPr>
            <w:tcW w:w="2155" w:type="dxa"/>
            <w:vAlign w:val="center"/>
            <w:hideMark/>
          </w:tcPr>
          <w:p w14:paraId="3410B597"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Torres Millacura</w:t>
            </w:r>
          </w:p>
        </w:tc>
        <w:tc>
          <w:tcPr>
            <w:tcW w:w="2085" w:type="dxa"/>
            <w:vAlign w:val="center"/>
            <w:hideMark/>
          </w:tcPr>
          <w:p w14:paraId="00134345"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Argentina</w:t>
            </w:r>
          </w:p>
        </w:tc>
        <w:tc>
          <w:tcPr>
            <w:tcW w:w="1975" w:type="dxa"/>
            <w:noWrap/>
            <w:vAlign w:val="center"/>
            <w:hideMark/>
          </w:tcPr>
          <w:p w14:paraId="7E084BC6"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October 25</w:t>
            </w:r>
          </w:p>
        </w:tc>
        <w:tc>
          <w:tcPr>
            <w:tcW w:w="2474" w:type="dxa"/>
            <w:noWrap/>
            <w:vAlign w:val="center"/>
            <w:hideMark/>
          </w:tcPr>
          <w:p w14:paraId="1F4FD8BE"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153</w:t>
            </w:r>
          </w:p>
        </w:tc>
      </w:tr>
      <w:tr w:rsidR="00774C1A" w:rsidRPr="00A01AB6" w14:paraId="775D708A"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461050CF"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13</w:t>
            </w:r>
          </w:p>
        </w:tc>
        <w:tc>
          <w:tcPr>
            <w:tcW w:w="2155" w:type="dxa"/>
            <w:vAlign w:val="center"/>
            <w:hideMark/>
          </w:tcPr>
          <w:p w14:paraId="7AF8F687"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Lopez and others</w:t>
            </w:r>
          </w:p>
        </w:tc>
        <w:tc>
          <w:tcPr>
            <w:tcW w:w="2085" w:type="dxa"/>
            <w:vAlign w:val="center"/>
            <w:hideMark/>
          </w:tcPr>
          <w:p w14:paraId="3C16975F"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Argentina</w:t>
            </w:r>
          </w:p>
        </w:tc>
        <w:tc>
          <w:tcPr>
            <w:tcW w:w="1975" w:type="dxa"/>
            <w:noWrap/>
            <w:vAlign w:val="center"/>
            <w:hideMark/>
          </w:tcPr>
          <w:p w14:paraId="49B9FAF1"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October 26</w:t>
            </w:r>
          </w:p>
        </w:tc>
        <w:tc>
          <w:tcPr>
            <w:tcW w:w="2474" w:type="dxa"/>
            <w:noWrap/>
            <w:vAlign w:val="center"/>
            <w:hideMark/>
          </w:tcPr>
          <w:p w14:paraId="7EDCCACF"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153</w:t>
            </w:r>
          </w:p>
        </w:tc>
      </w:tr>
      <w:tr w:rsidR="00774C1A" w:rsidRPr="00A01AB6" w14:paraId="7B637E6C" w14:textId="77777777" w:rsidTr="00A01AB6">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hideMark/>
          </w:tcPr>
          <w:p w14:paraId="56B35C63"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14</w:t>
            </w:r>
          </w:p>
        </w:tc>
        <w:tc>
          <w:tcPr>
            <w:tcW w:w="2155" w:type="dxa"/>
            <w:vAlign w:val="center"/>
            <w:hideMark/>
          </w:tcPr>
          <w:p w14:paraId="39EC1E5A"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Tibi</w:t>
            </w:r>
          </w:p>
        </w:tc>
        <w:tc>
          <w:tcPr>
            <w:tcW w:w="2085" w:type="dxa"/>
            <w:vAlign w:val="center"/>
            <w:hideMark/>
          </w:tcPr>
          <w:p w14:paraId="32553B1D"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Ecuador</w:t>
            </w:r>
          </w:p>
        </w:tc>
        <w:tc>
          <w:tcPr>
            <w:tcW w:w="1975" w:type="dxa"/>
            <w:noWrap/>
            <w:vAlign w:val="center"/>
            <w:hideMark/>
          </w:tcPr>
          <w:p w14:paraId="0AC987E7"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November 24</w:t>
            </w:r>
          </w:p>
        </w:tc>
        <w:tc>
          <w:tcPr>
            <w:tcW w:w="2474" w:type="dxa"/>
            <w:noWrap/>
            <w:vAlign w:val="center"/>
            <w:hideMark/>
          </w:tcPr>
          <w:p w14:paraId="706F5D84"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154</w:t>
            </w:r>
          </w:p>
        </w:tc>
      </w:tr>
      <w:tr w:rsidR="00774C1A" w:rsidRPr="00A01AB6" w14:paraId="050828D1"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32F5DD9C"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w:t>
            </w:r>
          </w:p>
        </w:tc>
        <w:tc>
          <w:tcPr>
            <w:tcW w:w="2155" w:type="dxa"/>
            <w:vAlign w:val="center"/>
            <w:hideMark/>
          </w:tcPr>
          <w:p w14:paraId="1D438490"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Molina Theissen</w:t>
            </w:r>
          </w:p>
        </w:tc>
        <w:tc>
          <w:tcPr>
            <w:tcW w:w="2085" w:type="dxa"/>
            <w:vAlign w:val="center"/>
            <w:hideMark/>
          </w:tcPr>
          <w:p w14:paraId="42414874"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Guatemala</w:t>
            </w:r>
          </w:p>
        </w:tc>
        <w:tc>
          <w:tcPr>
            <w:tcW w:w="1975" w:type="dxa"/>
            <w:noWrap/>
            <w:vAlign w:val="center"/>
            <w:hideMark/>
          </w:tcPr>
          <w:p w14:paraId="5D855032"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November 24</w:t>
            </w:r>
          </w:p>
        </w:tc>
        <w:tc>
          <w:tcPr>
            <w:tcW w:w="2474" w:type="dxa"/>
            <w:noWrap/>
            <w:vAlign w:val="center"/>
            <w:hideMark/>
          </w:tcPr>
          <w:p w14:paraId="5E6287FF"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154</w:t>
            </w:r>
          </w:p>
        </w:tc>
      </w:tr>
      <w:tr w:rsidR="00774C1A" w:rsidRPr="00A01AB6" w14:paraId="52C35286" w14:textId="77777777" w:rsidTr="00A01AB6">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hideMark/>
          </w:tcPr>
          <w:p w14:paraId="251291F9"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16</w:t>
            </w:r>
          </w:p>
        </w:tc>
        <w:tc>
          <w:tcPr>
            <w:tcW w:w="2155" w:type="dxa"/>
            <w:vAlign w:val="center"/>
            <w:hideMark/>
          </w:tcPr>
          <w:p w14:paraId="5476D233"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Bulacio</w:t>
            </w:r>
          </w:p>
        </w:tc>
        <w:tc>
          <w:tcPr>
            <w:tcW w:w="2085" w:type="dxa"/>
            <w:vAlign w:val="center"/>
            <w:hideMark/>
          </w:tcPr>
          <w:p w14:paraId="6D6AD913"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Argentina</w:t>
            </w:r>
          </w:p>
        </w:tc>
        <w:tc>
          <w:tcPr>
            <w:tcW w:w="1975" w:type="dxa"/>
            <w:noWrap/>
            <w:vAlign w:val="center"/>
            <w:hideMark/>
          </w:tcPr>
          <w:p w14:paraId="371692FB"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November 25</w:t>
            </w:r>
          </w:p>
        </w:tc>
        <w:tc>
          <w:tcPr>
            <w:tcW w:w="2474" w:type="dxa"/>
            <w:noWrap/>
            <w:vAlign w:val="center"/>
            <w:hideMark/>
          </w:tcPr>
          <w:p w14:paraId="7811825E"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154</w:t>
            </w:r>
          </w:p>
        </w:tc>
      </w:tr>
      <w:tr w:rsidR="00774C1A" w:rsidRPr="00A01AB6" w14:paraId="5A4AC583" w14:textId="77777777" w:rsidTr="00A01AB6">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2A41BA9E"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17</w:t>
            </w:r>
          </w:p>
        </w:tc>
        <w:tc>
          <w:tcPr>
            <w:tcW w:w="2155" w:type="dxa"/>
            <w:vAlign w:val="center"/>
            <w:hideMark/>
          </w:tcPr>
          <w:p w14:paraId="36A1145E"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Torres Millacura</w:t>
            </w:r>
          </w:p>
        </w:tc>
        <w:tc>
          <w:tcPr>
            <w:tcW w:w="2085" w:type="dxa"/>
            <w:vAlign w:val="center"/>
            <w:hideMark/>
          </w:tcPr>
          <w:p w14:paraId="5C97333D"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Argentina</w:t>
            </w:r>
          </w:p>
        </w:tc>
        <w:tc>
          <w:tcPr>
            <w:tcW w:w="1975" w:type="dxa"/>
            <w:noWrap/>
            <w:vAlign w:val="center"/>
            <w:hideMark/>
          </w:tcPr>
          <w:p w14:paraId="2F9583E0"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November 25</w:t>
            </w:r>
          </w:p>
        </w:tc>
        <w:tc>
          <w:tcPr>
            <w:tcW w:w="2474" w:type="dxa"/>
            <w:noWrap/>
            <w:vAlign w:val="center"/>
            <w:hideMark/>
          </w:tcPr>
          <w:p w14:paraId="15F1049D"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154</w:t>
            </w:r>
          </w:p>
        </w:tc>
      </w:tr>
      <w:tr w:rsidR="00774C1A" w:rsidRPr="00A01AB6" w14:paraId="3AEF3BBB" w14:textId="77777777" w:rsidTr="00A01AB6">
        <w:trPr>
          <w:cnfStyle w:val="000000010000" w:firstRow="0" w:lastRow="0" w:firstColumn="0" w:lastColumn="0" w:oddVBand="0" w:evenVBand="0" w:oddHBand="0" w:evenHBand="1" w:firstRowFirstColumn="0" w:firstRowLastColumn="0" w:lastRowFirstColumn="0" w:lastRowLastColumn="0"/>
          <w:trHeight w:val="600"/>
        </w:trPr>
        <w:tc>
          <w:tcPr>
            <w:tcW w:w="661" w:type="dxa"/>
            <w:noWrap/>
            <w:vAlign w:val="center"/>
            <w:hideMark/>
          </w:tcPr>
          <w:p w14:paraId="01882190"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18</w:t>
            </w:r>
          </w:p>
        </w:tc>
        <w:tc>
          <w:tcPr>
            <w:tcW w:w="2155" w:type="dxa"/>
            <w:vAlign w:val="center"/>
            <w:hideMark/>
          </w:tcPr>
          <w:p w14:paraId="5E7C4529"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Mendoza and others</w:t>
            </w:r>
          </w:p>
        </w:tc>
        <w:tc>
          <w:tcPr>
            <w:tcW w:w="2085" w:type="dxa"/>
            <w:vAlign w:val="center"/>
            <w:hideMark/>
          </w:tcPr>
          <w:p w14:paraId="60762A68"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Argentina</w:t>
            </w:r>
          </w:p>
        </w:tc>
        <w:tc>
          <w:tcPr>
            <w:tcW w:w="1975" w:type="dxa"/>
            <w:noWrap/>
            <w:vAlign w:val="center"/>
            <w:hideMark/>
          </w:tcPr>
          <w:p w14:paraId="3045CE65"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November 25</w:t>
            </w:r>
          </w:p>
        </w:tc>
        <w:tc>
          <w:tcPr>
            <w:tcW w:w="2474" w:type="dxa"/>
            <w:noWrap/>
            <w:vAlign w:val="center"/>
            <w:hideMark/>
          </w:tcPr>
          <w:p w14:paraId="010BC0C7" w14:textId="77777777" w:rsidR="00774C1A" w:rsidRPr="00A01AB6" w:rsidRDefault="00774C1A" w:rsidP="00A01AB6">
            <w:pPr>
              <w:jc w:val="center"/>
              <w:rPr>
                <w:rFonts w:ascii="Cambria" w:eastAsia="Times New Roman" w:hAnsi="Cambria" w:cs="Calibri"/>
                <w:color w:val="000000"/>
                <w:sz w:val="20"/>
                <w:szCs w:val="20"/>
              </w:rPr>
            </w:pPr>
            <w:r w:rsidRPr="00A01AB6">
              <w:rPr>
                <w:rFonts w:ascii="Cambria" w:hAnsi="Cambria"/>
                <w:color w:val="000000"/>
                <w:sz w:val="20"/>
                <w:szCs w:val="20"/>
                <w:lang w:val="en"/>
              </w:rPr>
              <w:t>154</w:t>
            </w:r>
          </w:p>
        </w:tc>
      </w:tr>
    </w:tbl>
    <w:p w14:paraId="393DB981" w14:textId="77777777" w:rsidR="00621CBD" w:rsidRDefault="00621CBD" w:rsidP="00A01AB6">
      <w:pPr>
        <w:pBdr>
          <w:top w:val="nil"/>
          <w:left w:val="nil"/>
          <w:bottom w:val="nil"/>
          <w:right w:val="nil"/>
          <w:between w:val="nil"/>
          <w:bar w:val="nil"/>
        </w:pBdr>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p>
    <w:p w14:paraId="19B0D5D9" w14:textId="77777777" w:rsidR="007E76F0" w:rsidRDefault="007E76F0" w:rsidP="00A01AB6">
      <w:pPr>
        <w:pBdr>
          <w:top w:val="nil"/>
          <w:left w:val="nil"/>
          <w:bottom w:val="nil"/>
          <w:right w:val="nil"/>
          <w:between w:val="nil"/>
          <w:bar w:val="nil"/>
        </w:pBdr>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p>
    <w:p w14:paraId="57F09AB6" w14:textId="77777777" w:rsidR="007E76F0" w:rsidRPr="00A01AB6" w:rsidRDefault="007E76F0" w:rsidP="00A01AB6">
      <w:pPr>
        <w:pBdr>
          <w:top w:val="nil"/>
          <w:left w:val="nil"/>
          <w:bottom w:val="nil"/>
          <w:right w:val="nil"/>
          <w:between w:val="nil"/>
          <w:bar w:val="nil"/>
        </w:pBdr>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p>
    <w:p w14:paraId="7B1451B4" w14:textId="435F93C6" w:rsidR="005C1225" w:rsidRPr="000F6049" w:rsidRDefault="005C1225" w:rsidP="00933F91">
      <w:pPr>
        <w:pStyle w:val="ListParagraph"/>
        <w:numPr>
          <w:ilvl w:val="0"/>
          <w:numId w:val="52"/>
        </w:numPr>
        <w:pBdr>
          <w:top w:val="nil"/>
          <w:left w:val="nil"/>
          <w:bottom w:val="nil"/>
          <w:right w:val="nil"/>
          <w:between w:val="nil"/>
          <w:bar w:val="nil"/>
        </w:pBdr>
        <w:ind w:hanging="720"/>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r w:rsidRPr="000F6049">
        <w:rPr>
          <w:rFonts w:ascii="Cambria" w:eastAsia="Calibri" w:hAnsi="Cambria" w:cs="Calibri"/>
          <w:b/>
          <w:color w:val="000000"/>
          <w:sz w:val="22"/>
          <w:szCs w:val="22"/>
          <w:u w:color="000000"/>
          <w:bdr w:val="nil"/>
          <w14:textOutline w14:w="0" w14:cap="flat" w14:cmpd="sng" w14:algn="ctr">
            <w14:noFill/>
            <w14:prstDash w14:val="solid"/>
            <w14:bevel/>
          </w14:textOutline>
        </w:rPr>
        <w:lastRenderedPageBreak/>
        <w:t>Status of compliance with IACHR recommendations issued in the merits reports published under Article 51 of the American Convention on Human Rights.</w:t>
      </w:r>
    </w:p>
    <w:p w14:paraId="7EC39480" w14:textId="77777777" w:rsidR="00E84C87" w:rsidRPr="000F6049" w:rsidRDefault="00E84C87" w:rsidP="00E84C87">
      <w:pPr>
        <w:pStyle w:val="ListParagraph"/>
        <w:rPr>
          <w:rFonts w:ascii="Cambria" w:eastAsia="Calibri" w:hAnsi="Cambria" w:cs="Calibri"/>
          <w:b/>
          <w:color w:val="000000"/>
          <w:sz w:val="22"/>
          <w:szCs w:val="22"/>
          <w:u w:color="000000"/>
          <w:bdr w:val="nil"/>
          <w14:textOutline w14:w="0" w14:cap="flat" w14:cmpd="sng" w14:algn="ctr">
            <w14:noFill/>
            <w14:prstDash w14:val="solid"/>
            <w14:bevel/>
          </w14:textOutline>
        </w:rPr>
      </w:pPr>
    </w:p>
    <w:p w14:paraId="09D4F26F" w14:textId="77777777" w:rsidR="0096378F" w:rsidRPr="000F6049" w:rsidRDefault="0096378F" w:rsidP="00933F91">
      <w:pPr>
        <w:pStyle w:val="Heading3"/>
        <w:numPr>
          <w:ilvl w:val="0"/>
          <w:numId w:val="77"/>
        </w:numPr>
        <w:shd w:val="clear" w:color="auto" w:fill="FFFFFF"/>
        <w:tabs>
          <w:tab w:val="left" w:pos="1440"/>
        </w:tabs>
        <w:autoSpaceDE w:val="0"/>
        <w:autoSpaceDN w:val="0"/>
        <w:adjustRightInd w:val="0"/>
        <w:spacing w:before="120" w:after="240"/>
        <w:ind w:left="1440" w:hanging="720"/>
        <w:rPr>
          <w:rFonts w:eastAsia="Yu Gothic Light" w:cs="Times New Roman"/>
          <w:b w:val="0"/>
          <w:color w:val="000000" w:themeColor="text1"/>
          <w:lang w:val="en-US"/>
        </w:rPr>
      </w:pPr>
      <w:r w:rsidRPr="000F6049">
        <w:rPr>
          <w:rFonts w:eastAsia="Yu Gothic Light" w:cs="Times New Roman"/>
          <w:color w:val="000000" w:themeColor="text1"/>
          <w:lang w:val="en-US"/>
        </w:rPr>
        <w:t>Mandate to follow up on the recommendations of the IACHR.</w:t>
      </w:r>
    </w:p>
    <w:p w14:paraId="49653E14" w14:textId="5624C064" w:rsidR="0096378F" w:rsidRDefault="0096378F"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139FF">
        <w:rPr>
          <w:rFonts w:eastAsia="Calibri" w:cs="Calibri"/>
          <w:bCs/>
          <w:color w:val="000000"/>
          <w:u w:color="000000"/>
          <w:bdr w:val="nil"/>
          <w14:textOutline w14:w="0" w14:cap="flat" w14:cmpd="sng" w14:algn="ctr">
            <w14:noFill/>
            <w14:prstDash w14:val="solid"/>
            <w14:bevel/>
          </w14:textOutline>
        </w:rPr>
        <w:t>Full compliance with the decisions of the IACHR is essential to ensure the full enjoyment of human rights in the OAS Member States and to strengthen the Inter-American Human Rights System. For this reason, this section includes an analysis of compliance status with the decisions in the merits reports published by the IACHR over the past twenty years.</w:t>
      </w:r>
    </w:p>
    <w:p w14:paraId="46825B20" w14:textId="77777777" w:rsidR="00C402E6" w:rsidRPr="009139FF" w:rsidRDefault="00C402E6" w:rsidP="00C402E6">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4C0B501E" w14:textId="77777777" w:rsidR="0096378F" w:rsidRDefault="0096378F"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139FF">
        <w:rPr>
          <w:rFonts w:eastAsia="Calibri" w:cs="Calibri"/>
          <w:bCs/>
          <w:color w:val="000000"/>
          <w:u w:color="000000"/>
          <w:bdr w:val="nil"/>
          <w14:textOutline w14:w="0" w14:cap="flat" w14:cmpd="sng" w14:algn="ctr">
            <w14:noFill/>
            <w14:prstDash w14:val="solid"/>
            <w14:bevel/>
          </w14:textOutline>
        </w:rPr>
        <w:t xml:space="preserve">On several occasions, the OAS General Assembly has encouraged member states to follow up on compliance with the Commission's recommendations. For example, Resolution AG/RES 1701 (XXX-O/2000) urged States to do their best to implement the recommendations of the IACHR by the principle of good faith (operative paragraph 5.d).  Similarly, the OAS General Assembly adopted Resolution AG/RES. 2672 (XLI-O/11) on observations and recommendations to the Annual Report of the Commission (operative paragraph 3. b). </w:t>
      </w:r>
    </w:p>
    <w:p w14:paraId="0D884B2A" w14:textId="77777777" w:rsidR="00C402E6" w:rsidRPr="009139FF" w:rsidRDefault="00C402E6" w:rsidP="00C402E6">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690D7A58" w14:textId="77777777" w:rsidR="0096378F" w:rsidRDefault="0096378F"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139FF">
        <w:rPr>
          <w:rFonts w:eastAsia="Calibri" w:cs="Calibri"/>
          <w:bCs/>
          <w:color w:val="000000"/>
          <w:u w:color="000000"/>
          <w:bdr w:val="nil"/>
          <w14:textOutline w14:w="0" w14:cap="flat" w14:cmpd="sng" w14:algn="ctr">
            <w14:noFill/>
            <w14:prstDash w14:val="solid"/>
            <w14:bevel/>
          </w14:textOutline>
        </w:rPr>
        <w:t>The Commission also considers that the effectiveness of the IAHRS rests to a large extent on compliance with the decisions of its organs, which include orders, recommendations, and agreements relating to comprehensive reparations for victims of human rights violations, both in the judgments of the Inter-American Court of Human Rights (IACHR) and in the merits reports issued by the IACHR. In this sense, the will of the States is fundamental to comply with the objectives of the American Convention on Human Rights (ACHR) and the American Declaration of the Rights and Duties of Man, in the application of the principle of pacta sunt servanda, which establishes that the States must comply in good faith with the obligations assumed in the treaties</w:t>
      </w:r>
      <w:r w:rsidRPr="009139FF">
        <w:rPr>
          <w:rFonts w:eastAsia="Calibri" w:cs="Calibri"/>
          <w:bCs/>
          <w:color w:val="000000"/>
          <w:u w:color="000000"/>
          <w:bdr w:val="nil"/>
          <w14:textOutline w14:w="0" w14:cap="flat" w14:cmpd="sng" w14:algn="ctr">
            <w14:noFill/>
            <w14:prstDash w14:val="solid"/>
            <w14:bevel/>
          </w14:textOutline>
        </w:rPr>
        <w:footnoteReference w:id="135"/>
      </w:r>
      <w:r w:rsidRPr="009139FF">
        <w:rPr>
          <w:rFonts w:eastAsia="Calibri" w:cs="Calibri"/>
          <w:bCs/>
          <w:color w:val="000000"/>
          <w:u w:color="000000"/>
          <w:bdr w:val="nil"/>
          <w14:textOutline w14:w="0" w14:cap="flat" w14:cmpd="sng" w14:algn="ctr">
            <w14:noFill/>
            <w14:prstDash w14:val="solid"/>
            <w14:bevel/>
          </w14:textOutline>
        </w:rPr>
        <w:t xml:space="preserve">. </w:t>
      </w:r>
    </w:p>
    <w:p w14:paraId="7E6FB76D" w14:textId="77777777" w:rsidR="00C402E6" w:rsidRPr="009139FF" w:rsidRDefault="00C402E6" w:rsidP="00C402E6">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51B6DF1" w14:textId="77777777" w:rsidR="0096378F" w:rsidRDefault="0096378F"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9139FF">
        <w:rPr>
          <w:rFonts w:eastAsia="Calibri" w:cs="Calibri"/>
          <w:bCs/>
          <w:color w:val="000000"/>
          <w:u w:color="000000"/>
          <w:bdr w:val="nil"/>
          <w14:textOutline w14:w="0" w14:cap="flat" w14:cmpd="sng" w14:algn="ctr">
            <w14:noFill/>
            <w14:prstDash w14:val="solid"/>
            <w14:bevel/>
          </w14:textOutline>
        </w:rPr>
        <w:t>Both the ACHR (Article 41) and the Statute of the Commission (Article 18) explicitly grant the IACHR the power to request information from the Member States and to produce such reports and recommendations as it deems appropriate. Specifically, Article 48 of the Rules of Procedure of the IACHR provides as follows:</w:t>
      </w:r>
    </w:p>
    <w:p w14:paraId="0C7C3B47" w14:textId="77777777" w:rsidR="00C402E6" w:rsidRPr="009139FF" w:rsidRDefault="00C402E6" w:rsidP="00C402E6">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48558693" w14:textId="77777777" w:rsidR="0096378F" w:rsidRPr="008E3CE9" w:rsidRDefault="0096378F" w:rsidP="0096378F">
      <w:pPr>
        <w:ind w:right="720" w:firstLine="720"/>
        <w:jc w:val="both"/>
        <w:rPr>
          <w:rFonts w:ascii="Cambria" w:hAnsi="Cambria" w:cs="Calibri"/>
          <w:b/>
          <w:color w:val="000000" w:themeColor="text1"/>
          <w:sz w:val="20"/>
          <w:szCs w:val="20"/>
        </w:rPr>
      </w:pPr>
      <w:r w:rsidRPr="008E3CE9">
        <w:rPr>
          <w:rFonts w:ascii="Cambria" w:hAnsi="Cambria" w:cs="Calibri"/>
          <w:b/>
          <w:color w:val="000000" w:themeColor="text1"/>
          <w:sz w:val="20"/>
          <w:szCs w:val="20"/>
        </w:rPr>
        <w:t xml:space="preserve">Follow-up </w:t>
      </w:r>
    </w:p>
    <w:p w14:paraId="14188EF2" w14:textId="77777777" w:rsidR="0096378F" w:rsidRPr="008E3CE9" w:rsidRDefault="0096378F" w:rsidP="0096378F">
      <w:pPr>
        <w:ind w:left="720" w:right="720"/>
        <w:jc w:val="both"/>
        <w:rPr>
          <w:rFonts w:ascii="Cambria" w:hAnsi="Cambria" w:cs="Calibri"/>
          <w:color w:val="000000" w:themeColor="text1"/>
          <w:sz w:val="20"/>
          <w:szCs w:val="20"/>
        </w:rPr>
      </w:pPr>
    </w:p>
    <w:p w14:paraId="0D308FB7" w14:textId="77777777" w:rsidR="0096378F" w:rsidRPr="008E3CE9" w:rsidRDefault="0096378F" w:rsidP="0096378F">
      <w:pPr>
        <w:ind w:left="720" w:right="720"/>
        <w:jc w:val="both"/>
        <w:rPr>
          <w:rFonts w:ascii="Cambria" w:hAnsi="Cambria" w:cs="Calibri"/>
          <w:color w:val="000000" w:themeColor="text1"/>
          <w:sz w:val="20"/>
          <w:szCs w:val="20"/>
        </w:rPr>
      </w:pPr>
      <w:r w:rsidRPr="008E3CE9">
        <w:rPr>
          <w:rFonts w:ascii="Cambria" w:hAnsi="Cambria" w:cs="Calibri"/>
          <w:color w:val="000000" w:themeColor="text1"/>
          <w:sz w:val="20"/>
          <w:szCs w:val="20"/>
        </w:rPr>
        <w:t>1. Once a report on amicable settlement or on the merits in which recommendations have been formulated</w:t>
      </w:r>
      <w:r>
        <w:rPr>
          <w:rFonts w:ascii="Cambria" w:hAnsi="Cambria" w:cs="Calibri"/>
          <w:color w:val="000000" w:themeColor="text1"/>
          <w:sz w:val="20"/>
          <w:szCs w:val="20"/>
        </w:rPr>
        <w:t xml:space="preserve">, the Commission may take </w:t>
      </w:r>
      <w:r w:rsidRPr="008E3CE9">
        <w:rPr>
          <w:rFonts w:ascii="Cambria" w:hAnsi="Cambria" w:cs="Calibri"/>
          <w:color w:val="000000" w:themeColor="text1"/>
          <w:sz w:val="20"/>
          <w:szCs w:val="20"/>
        </w:rPr>
        <w:t xml:space="preserve">follow-up measures as it deems appropriate, such as requesting information from the parties and holding hearings, </w:t>
      </w:r>
      <w:r>
        <w:rPr>
          <w:rFonts w:ascii="Cambria" w:hAnsi="Cambria" w:cs="Calibri"/>
          <w:color w:val="000000" w:themeColor="text1"/>
          <w:sz w:val="20"/>
          <w:szCs w:val="20"/>
        </w:rPr>
        <w:t>to</w:t>
      </w:r>
      <w:r w:rsidRPr="008E3CE9">
        <w:rPr>
          <w:rFonts w:ascii="Cambria" w:hAnsi="Cambria" w:cs="Calibri"/>
          <w:color w:val="000000" w:themeColor="text1"/>
          <w:sz w:val="20"/>
          <w:szCs w:val="20"/>
        </w:rPr>
        <w:t xml:space="preserve"> verify compliance with friendly settlement agreements and recommendations. </w:t>
      </w:r>
    </w:p>
    <w:p w14:paraId="1B0622FE" w14:textId="77777777" w:rsidR="0096378F" w:rsidRPr="008E3CE9" w:rsidRDefault="0096378F" w:rsidP="0096378F">
      <w:pPr>
        <w:ind w:left="720" w:right="720"/>
        <w:jc w:val="both"/>
        <w:rPr>
          <w:rFonts w:ascii="Cambria" w:hAnsi="Cambria" w:cs="Calibri"/>
          <w:color w:val="000000" w:themeColor="text1"/>
          <w:sz w:val="20"/>
          <w:szCs w:val="20"/>
        </w:rPr>
      </w:pPr>
    </w:p>
    <w:p w14:paraId="55793700" w14:textId="77777777" w:rsidR="0096378F" w:rsidRPr="008E3CE9" w:rsidRDefault="0096378F" w:rsidP="0096378F">
      <w:pPr>
        <w:spacing w:after="240"/>
        <w:ind w:left="720" w:right="720"/>
        <w:jc w:val="both"/>
        <w:rPr>
          <w:rFonts w:ascii="Cambria" w:hAnsi="Cambria" w:cs="Calibri"/>
          <w:color w:val="000000" w:themeColor="text1"/>
          <w:sz w:val="20"/>
          <w:szCs w:val="20"/>
        </w:rPr>
      </w:pPr>
      <w:r w:rsidRPr="008E3CE9">
        <w:rPr>
          <w:rFonts w:ascii="Cambria" w:hAnsi="Cambria" w:cs="Calibri"/>
          <w:color w:val="000000" w:themeColor="text1"/>
          <w:sz w:val="20"/>
          <w:szCs w:val="20"/>
        </w:rPr>
        <w:t>2. The Commission shall report as it deems appropriate on the progress made in complying with said agreements and recommendations.</w:t>
      </w:r>
    </w:p>
    <w:p w14:paraId="263FD4D7" w14:textId="77777777" w:rsidR="0096378F" w:rsidRPr="00C402E6" w:rsidRDefault="0096378F" w:rsidP="00933F91">
      <w:pPr>
        <w:pStyle w:val="Heading3"/>
        <w:numPr>
          <w:ilvl w:val="0"/>
          <w:numId w:val="77"/>
        </w:numPr>
        <w:shd w:val="clear" w:color="auto" w:fill="FFFFFF"/>
        <w:tabs>
          <w:tab w:val="left" w:pos="1440"/>
        </w:tabs>
        <w:autoSpaceDE w:val="0"/>
        <w:autoSpaceDN w:val="0"/>
        <w:adjustRightInd w:val="0"/>
        <w:spacing w:before="120" w:after="240"/>
        <w:ind w:left="1440" w:hanging="720"/>
        <w:rPr>
          <w:rFonts w:eastAsia="Yu Gothic Light" w:cs="Times New Roman"/>
          <w:b w:val="0"/>
          <w:color w:val="000000" w:themeColor="text1"/>
          <w:lang w:val="en-US"/>
        </w:rPr>
      </w:pPr>
      <w:r w:rsidRPr="00C402E6">
        <w:rPr>
          <w:rFonts w:eastAsia="Yu Gothic Light" w:cs="Times New Roman"/>
          <w:color w:val="000000" w:themeColor="text1"/>
          <w:lang w:val="en-US"/>
        </w:rPr>
        <w:t>Methodology for following up on recommendations: actions carried out in the year 2022</w:t>
      </w:r>
    </w:p>
    <w:p w14:paraId="79D50DC6" w14:textId="77777777" w:rsidR="0096378F" w:rsidRPr="007D0790" w:rsidRDefault="0096378F"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D0790">
        <w:rPr>
          <w:rFonts w:eastAsia="Calibri" w:cs="Calibri"/>
          <w:bCs/>
          <w:color w:val="000000"/>
          <w:u w:color="000000"/>
          <w:bdr w:val="nil"/>
          <w14:textOutline w14:w="0" w14:cap="flat" w14:cmpd="sng" w14:algn="ctr">
            <w14:noFill/>
            <w14:prstDash w14:val="solid"/>
            <w14:bevel/>
          </w14:textOutline>
        </w:rPr>
        <w:t xml:space="preserve">In compliance with its conventional and statutory powers and accordance with the previous resolutions and Article 48 of its Rules of Procedure, the IACHR requests information from the States regarding compliance with the recommendations included in the merits reports published based on Article 51 of the ACHR. This practice began in 2000, and since then, on an annual basis, the Commission requests information from the parties to the cases with published merits reports to follow up on its decisions and update the </w:t>
      </w:r>
      <w:r w:rsidRPr="007D0790">
        <w:rPr>
          <w:rFonts w:eastAsia="Calibri" w:cs="Calibri"/>
          <w:bCs/>
          <w:color w:val="000000"/>
          <w:u w:color="000000"/>
          <w:bdr w:val="nil"/>
          <w14:textOutline w14:w="0" w14:cap="flat" w14:cmpd="sng" w14:algn="ctr">
            <w14:noFill/>
            <w14:prstDash w14:val="solid"/>
            <w14:bevel/>
          </w14:textOutline>
        </w:rPr>
        <w:lastRenderedPageBreak/>
        <w:t>compliance status with each case. Likewise, the IACHR receives information on compliance with the recommendations in the framework of the hearings or working meetings held during the year. Based on all the data collected, the Commission analyzes compliance status with the recommendations in each case.</w:t>
      </w:r>
    </w:p>
    <w:p w14:paraId="7D7E64AE" w14:textId="77777777" w:rsidR="0096378F" w:rsidRDefault="0096378F"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D0790">
        <w:rPr>
          <w:rFonts w:eastAsia="Calibri" w:cs="Calibri"/>
          <w:bCs/>
          <w:color w:val="000000"/>
          <w:u w:color="000000"/>
          <w:bdr w:val="nil"/>
          <w14:textOutline w14:w="0" w14:cap="flat" w14:cmpd="sng" w14:algn="ctr">
            <w14:noFill/>
            <w14:prstDash w14:val="solid"/>
            <w14:bevel/>
          </w14:textOutline>
        </w:rPr>
        <w:t xml:space="preserve">As part of the implementation of the Special Program for Follow-up on Recommendations (Program 21) of the IACHR Strategic Plan 2017-2021, the Commission consolidated its methodologies for collecting, systematizing, and analyzing the information considered in the follow-up of its recommendations to optimize the development of this process and to make visible the individual and structural impacts of its decisions. Thus, to prepare this chapter, the IACHR asked the parties to the cases with merits reports published since 2001 to submit the relevant information for follow-up by October 15, 2022. </w:t>
      </w:r>
    </w:p>
    <w:p w14:paraId="35C35BB9" w14:textId="77777777" w:rsidR="007D0790" w:rsidRPr="007D0790" w:rsidRDefault="007D0790" w:rsidP="007D0790">
      <w:pPr>
        <w:pStyle w:val="BodyText"/>
        <w:widowControl/>
        <w:ind w:left="720"/>
        <w:jc w:val="both"/>
        <w:rPr>
          <w:rFonts w:eastAsia="Calibri" w:cs="Calibri"/>
          <w:bCs/>
          <w:color w:val="000000"/>
          <w:u w:color="000000"/>
          <w:bdr w:val="nil"/>
          <w14:textOutline w14:w="0" w14:cap="flat" w14:cmpd="sng" w14:algn="ctr">
            <w14:noFill/>
            <w14:prstDash w14:val="solid"/>
            <w14:bevel/>
          </w14:textOutline>
        </w:rPr>
      </w:pPr>
    </w:p>
    <w:p w14:paraId="74E95BDF" w14:textId="77777777" w:rsidR="0096378F" w:rsidRDefault="0096378F"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D0790">
        <w:rPr>
          <w:rFonts w:eastAsia="Calibri" w:cs="Calibri"/>
          <w:bCs/>
          <w:color w:val="000000"/>
          <w:u w:color="000000"/>
          <w:bdr w:val="nil"/>
          <w14:textOutline w14:w="0" w14:cap="flat" w14:cmpd="sng" w14:algn="ctr">
            <w14:noFill/>
            <w14:prstDash w14:val="solid"/>
            <w14:bevel/>
          </w14:textOutline>
        </w:rPr>
        <w:t>In principle, the Commission considered this date the closing time limit for receiving information for analysis for this chapter. However, based on the particularities of the follow-up process, the IACHR considered information received later in the following situations: in cases in which, after that date, working meetings were held that led to additional actions agreed upon by the parties; when the IACHR granted extensions requested by any of the parties; when the petitioning party or the State sent complementary information to that provided on time, or in cases in which internal administrative situations allowed for processing data received after the closing date, considering the time limits set for the approval of this chapter. The information not included in this chapter's preparation will be analyzed in the 2023 Annual Report of the IACHR.</w:t>
      </w:r>
    </w:p>
    <w:p w14:paraId="5426D86B" w14:textId="77777777" w:rsidR="007D0790" w:rsidRPr="007D0790" w:rsidRDefault="007D0790" w:rsidP="007D079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3776732C" w14:textId="77777777" w:rsidR="0096378F" w:rsidRDefault="0096378F"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D0790">
        <w:rPr>
          <w:rFonts w:eastAsia="Calibri" w:cs="Calibri"/>
          <w:bCs/>
          <w:color w:val="000000"/>
          <w:u w:color="000000"/>
          <w:bdr w:val="nil"/>
          <w14:textOutline w14:w="0" w14:cap="flat" w14:cmpd="sng" w14:algn="ctr">
            <w14:noFill/>
            <w14:prstDash w14:val="solid"/>
            <w14:bevel/>
          </w14:textOutline>
        </w:rPr>
        <w:t xml:space="preserve">By the follow-up model proposed in 2018, the Commission sets out information related to each case in this chapter. It presents the progress in compliance with the decisions issued by the IACHR in the framework of the merits reports published. In this regard, in the initial part of this report, the IACHR summarized the follow-up activities carried out, highlighting the relevant results on total, substantial partial, and partial compliance with the measures, according to the progress achieved during the year. Likewise, in this report, the Commission presents more visibly the need for compliance identified during the year concerning the recommendations subject to monitoring. The Commission also prepared a list of cases for which the IACHR has yet to receive information from any of the parties, among other aspects. </w:t>
      </w:r>
    </w:p>
    <w:p w14:paraId="6EA2C4D8" w14:textId="77777777" w:rsidR="007D0790" w:rsidRPr="007D0790" w:rsidRDefault="007D0790" w:rsidP="007D079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562D2DE2" w14:textId="77777777" w:rsidR="0096378F" w:rsidRDefault="0096378F"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D0790">
        <w:rPr>
          <w:rFonts w:eastAsia="Calibri" w:cs="Calibri"/>
          <w:bCs/>
          <w:color w:val="000000"/>
          <w:u w:color="000000"/>
          <w:bdr w:val="nil"/>
          <w14:textOutline w14:w="0" w14:cap="flat" w14:cmpd="sng" w14:algn="ctr">
            <w14:noFill/>
            <w14:prstDash w14:val="solid"/>
            <w14:bevel/>
          </w14:textOutline>
        </w:rPr>
        <w:t xml:space="preserve">It should be recalled that, since 2018, the Commission has prepared fact sheets for each case with greater detail than that achieved in previous years, which can be accessed through the links in the tables of recommendation follow-up cases in this chapter. The Commission considers that this follow-up methodology makes the main results achieved in compliance with the recommendations more visible.     </w:t>
      </w:r>
    </w:p>
    <w:p w14:paraId="0693463A" w14:textId="77777777" w:rsidR="007D0790" w:rsidRPr="007D0790" w:rsidRDefault="007D0790" w:rsidP="007D079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1E461B35" w14:textId="77777777" w:rsidR="0096378F" w:rsidRDefault="0096378F" w:rsidP="00933F91">
      <w:pPr>
        <w:pStyle w:val="BodyText"/>
        <w:widowControl/>
        <w:numPr>
          <w:ilvl w:val="0"/>
          <w:numId w:val="58"/>
        </w:numPr>
        <w:ind w:left="0" w:firstLine="720"/>
        <w:jc w:val="both"/>
        <w:rPr>
          <w:rFonts w:eastAsia="Calibri" w:cs="Calibri"/>
          <w:bCs/>
          <w:color w:val="000000"/>
          <w:u w:color="000000"/>
          <w:bdr w:val="nil"/>
          <w14:textOutline w14:w="0" w14:cap="flat" w14:cmpd="sng" w14:algn="ctr">
            <w14:noFill/>
            <w14:prstDash w14:val="solid"/>
            <w14:bevel/>
          </w14:textOutline>
        </w:rPr>
      </w:pPr>
      <w:r w:rsidRPr="007D0790">
        <w:rPr>
          <w:rFonts w:eastAsia="Calibri" w:cs="Calibri"/>
          <w:bCs/>
          <w:color w:val="000000"/>
          <w:u w:color="000000"/>
          <w:bdr w:val="nil"/>
          <w14:textOutline w14:w="0" w14:cap="flat" w14:cmpd="sng" w14:algn="ctr">
            <w14:noFill/>
            <w14:prstDash w14:val="solid"/>
            <w14:bevel/>
          </w14:textOutline>
        </w:rPr>
        <w:t xml:space="preserve">Finally, it should be noted that since its creation in 2018, the IACHR's Section for Follow-up on Recommendations and Impact (SSRI) has taken on the analysis of the merits reports published based on Article 51 of the ACHR. This has allowed the IACHR to conduct a more specialized follow-up on the matters under its responsibility. Following this logic, the following is a separate and detailed description of the progress made in complying with the recommendations issued in merits reports. This description allows users to identify the status of each issue more clearly and quickly, the actions taken in each case, their individual and structural impacts, and the challenges and cases in which it is still necessary to continue to take action to achieve their full implementation. </w:t>
      </w:r>
    </w:p>
    <w:p w14:paraId="0BFDC84E" w14:textId="77777777" w:rsidR="007D0790" w:rsidRPr="007D0790" w:rsidRDefault="007D0790" w:rsidP="007D0790">
      <w:pPr>
        <w:pStyle w:val="BodyText"/>
        <w:widowControl/>
        <w:ind w:left="0"/>
        <w:jc w:val="both"/>
        <w:rPr>
          <w:rFonts w:eastAsia="Calibri" w:cs="Calibri"/>
          <w:bCs/>
          <w:color w:val="000000"/>
          <w:u w:color="000000"/>
          <w:bdr w:val="nil"/>
          <w14:textOutline w14:w="0" w14:cap="flat" w14:cmpd="sng" w14:algn="ctr">
            <w14:noFill/>
            <w14:prstDash w14:val="solid"/>
            <w14:bevel/>
          </w14:textOutline>
        </w:rPr>
      </w:pPr>
    </w:p>
    <w:p w14:paraId="028E8D82" w14:textId="77777777" w:rsidR="0096378F" w:rsidRPr="00B14D67" w:rsidRDefault="0096378F" w:rsidP="00933F91">
      <w:pPr>
        <w:pStyle w:val="ListParagraph"/>
        <w:numPr>
          <w:ilvl w:val="1"/>
          <w:numId w:val="72"/>
        </w:numPr>
        <w:ind w:left="1350" w:hanging="630"/>
        <w:jc w:val="both"/>
        <w:rPr>
          <w:rFonts w:ascii="Cambria" w:hAnsi="Cambria" w:cs="Calibri"/>
          <w:b/>
          <w:bCs/>
          <w:color w:val="000000" w:themeColor="text1"/>
          <w:sz w:val="22"/>
          <w:szCs w:val="22"/>
        </w:rPr>
      </w:pPr>
      <w:r w:rsidRPr="00B14D67">
        <w:rPr>
          <w:rFonts w:ascii="Cambria" w:hAnsi="Cambria" w:cs="Calibri"/>
          <w:b/>
          <w:bCs/>
          <w:color w:val="000000" w:themeColor="text1"/>
          <w:sz w:val="22"/>
          <w:szCs w:val="22"/>
        </w:rPr>
        <w:t>Categories of analysis</w:t>
      </w:r>
    </w:p>
    <w:p w14:paraId="31D7721E" w14:textId="77777777" w:rsidR="0096378F" w:rsidRPr="008E3CE9" w:rsidRDefault="0096378F" w:rsidP="0096378F">
      <w:pPr>
        <w:jc w:val="both"/>
        <w:rPr>
          <w:rFonts w:ascii="Cambria" w:hAnsi="Cambria" w:cs="Calibri"/>
          <w:b/>
          <w:bCs/>
          <w:color w:val="000000" w:themeColor="text1"/>
          <w:sz w:val="20"/>
          <w:szCs w:val="20"/>
        </w:rPr>
      </w:pPr>
    </w:p>
    <w:p w14:paraId="3141C417" w14:textId="77777777" w:rsidR="0096378F" w:rsidRDefault="0096378F" w:rsidP="00933F91">
      <w:pPr>
        <w:pStyle w:val="BodyText"/>
        <w:widowControl/>
        <w:numPr>
          <w:ilvl w:val="0"/>
          <w:numId w:val="58"/>
        </w:numPr>
        <w:ind w:left="0" w:firstLine="720"/>
        <w:jc w:val="both"/>
        <w:rPr>
          <w:rFonts w:cs="Calibri"/>
          <w:color w:val="000000" w:themeColor="text1"/>
        </w:rPr>
      </w:pPr>
      <w:r>
        <w:rPr>
          <w:rFonts w:cs="Calibri"/>
          <w:color w:val="000000" w:themeColor="text1"/>
        </w:rPr>
        <w:t>To</w:t>
      </w:r>
      <w:r w:rsidRPr="008E3CE9">
        <w:rPr>
          <w:rFonts w:cs="Calibri"/>
          <w:color w:val="000000" w:themeColor="text1"/>
        </w:rPr>
        <w:t xml:space="preserve"> provide the parties with objective information on the type of analysis carried out in each case, the Commission published the </w:t>
      </w:r>
      <w:hyperlink r:id="rId70" w:history="1">
        <w:r w:rsidRPr="004122F3">
          <w:rPr>
            <w:rStyle w:val="Hyperlink"/>
            <w:rFonts w:eastAsiaTheme="minorHAnsi"/>
          </w:rPr>
          <w:t>General Guidelines for Follow-up on Recommendations and Decisions of the Inter-American Commission on Human Rights</w:t>
        </w:r>
      </w:hyperlink>
      <w:r w:rsidRPr="008E3CE9">
        <w:rPr>
          <w:rFonts w:cs="Calibri"/>
          <w:color w:val="000000" w:themeColor="text1"/>
        </w:rPr>
        <w:t xml:space="preserve"> (General Guidelines for Follow-up), a technical follow-up instrument that contains categories of review of the information provided in the follow-up processes. These categories allow the </w:t>
      </w:r>
      <w:r w:rsidRPr="008E3CE9">
        <w:rPr>
          <w:rFonts w:eastAsia="Times New Roman" w:cs="Calibri"/>
          <w:color w:val="000000" w:themeColor="text1"/>
        </w:rPr>
        <w:t xml:space="preserve">Commission to </w:t>
      </w:r>
      <w:r w:rsidRPr="008E3CE9">
        <w:rPr>
          <w:rFonts w:cs="Calibri"/>
          <w:color w:val="000000" w:themeColor="text1"/>
        </w:rPr>
        <w:t xml:space="preserve">make a more detailed analysis of the information </w:t>
      </w:r>
      <w:r w:rsidRPr="008E3CE9">
        <w:rPr>
          <w:rFonts w:cs="Calibri"/>
          <w:color w:val="000000" w:themeColor="text1"/>
          <w:lang w:eastAsia="es-ES_tradnl"/>
        </w:rPr>
        <w:t xml:space="preserve">available </w:t>
      </w:r>
      <w:r w:rsidRPr="008E3CE9">
        <w:rPr>
          <w:rFonts w:cs="Calibri"/>
          <w:color w:val="000000" w:themeColor="text1"/>
        </w:rPr>
        <w:t xml:space="preserve">and the parties to know whether the information submitted is relevant and timely for the IACHR to </w:t>
      </w:r>
      <w:r>
        <w:rPr>
          <w:rFonts w:cs="Calibri"/>
          <w:color w:val="000000" w:themeColor="text1"/>
        </w:rPr>
        <w:t>analyze</w:t>
      </w:r>
      <w:r w:rsidRPr="008E3CE9">
        <w:rPr>
          <w:rFonts w:cs="Calibri"/>
          <w:color w:val="000000" w:themeColor="text1"/>
        </w:rPr>
        <w:t xml:space="preserve"> compliance with </w:t>
      </w:r>
      <w:r w:rsidRPr="008E3CE9">
        <w:rPr>
          <w:rFonts w:cs="Calibri"/>
          <w:color w:val="000000" w:themeColor="text1"/>
        </w:rPr>
        <w:lastRenderedPageBreak/>
        <w:t xml:space="preserve">the recommendations of the published merits reports. In this regard, the following are the categories </w:t>
      </w:r>
      <w:r>
        <w:rPr>
          <w:rFonts w:cs="Calibri"/>
          <w:color w:val="000000" w:themeColor="text1"/>
        </w:rPr>
        <w:t>of</w:t>
      </w:r>
      <w:r w:rsidRPr="008E3CE9">
        <w:rPr>
          <w:rFonts w:cs="Calibri"/>
          <w:color w:val="000000" w:themeColor="text1"/>
        </w:rPr>
        <w:t xml:space="preserve"> information analysis that were defined in the General Follow-up Guidelines: </w:t>
      </w:r>
    </w:p>
    <w:p w14:paraId="5451ED86" w14:textId="77777777" w:rsidR="00875444" w:rsidRPr="008E3CE9" w:rsidRDefault="00875444" w:rsidP="00875444">
      <w:pPr>
        <w:pStyle w:val="BodyText"/>
        <w:widowControl/>
        <w:ind w:left="720"/>
        <w:jc w:val="both"/>
        <w:rPr>
          <w:rFonts w:cs="Calibri"/>
          <w:color w:val="000000" w:themeColor="text1"/>
        </w:rPr>
      </w:pPr>
    </w:p>
    <w:p w14:paraId="430C7302" w14:textId="77777777" w:rsidR="0096378F" w:rsidRPr="008E3CE9" w:rsidRDefault="0096378F" w:rsidP="00933F91">
      <w:pPr>
        <w:numPr>
          <w:ilvl w:val="0"/>
          <w:numId w:val="73"/>
        </w:numPr>
        <w:ind w:left="1080"/>
        <w:jc w:val="both"/>
        <w:rPr>
          <w:rFonts w:ascii="Cambria" w:hAnsi="Cambria" w:cs="Calibri"/>
          <w:b/>
          <w:bCs/>
          <w:color w:val="000000" w:themeColor="text1"/>
          <w:sz w:val="20"/>
          <w:szCs w:val="20"/>
        </w:rPr>
      </w:pPr>
      <w:r w:rsidRPr="008E3CE9">
        <w:rPr>
          <w:rFonts w:ascii="Cambria" w:hAnsi="Cambria" w:cs="Calibri"/>
          <w:b/>
          <w:bCs/>
          <w:color w:val="000000" w:themeColor="text1"/>
          <w:sz w:val="20"/>
          <w:szCs w:val="20"/>
        </w:rPr>
        <w:t xml:space="preserve">Relevant information provided: </w:t>
      </w:r>
      <w:r w:rsidRPr="008E3CE9">
        <w:rPr>
          <w:rFonts w:ascii="Cambria" w:hAnsi="Cambria" w:cs="Calibri"/>
          <w:color w:val="000000" w:themeColor="text1"/>
          <w:sz w:val="20"/>
          <w:szCs w:val="20"/>
        </w:rPr>
        <w:t>when the information provided is relevant, updated</w:t>
      </w:r>
      <w:r>
        <w:rPr>
          <w:rFonts w:ascii="Cambria" w:hAnsi="Cambria" w:cs="Calibri"/>
          <w:color w:val="000000" w:themeColor="text1"/>
          <w:sz w:val="20"/>
          <w:szCs w:val="20"/>
        </w:rPr>
        <w:t>,</w:t>
      </w:r>
      <w:r w:rsidRPr="008E3CE9">
        <w:rPr>
          <w:rFonts w:ascii="Cambria" w:hAnsi="Cambria" w:cs="Calibri"/>
          <w:color w:val="000000" w:themeColor="text1"/>
          <w:sz w:val="20"/>
          <w:szCs w:val="20"/>
        </w:rPr>
        <w:t xml:space="preserve"> and comprehensive on measures adopted regarding compliance with at least one of the recommendations issued and within the timeframe specified by the IACHR. </w:t>
      </w:r>
    </w:p>
    <w:p w14:paraId="4FA4E699" w14:textId="77777777" w:rsidR="0096378F" w:rsidRPr="008E3CE9" w:rsidRDefault="0096378F" w:rsidP="0096378F">
      <w:pPr>
        <w:ind w:left="1080"/>
        <w:jc w:val="both"/>
        <w:rPr>
          <w:rFonts w:ascii="Cambria" w:hAnsi="Cambria" w:cs="Calibri"/>
          <w:b/>
          <w:bCs/>
          <w:color w:val="000000" w:themeColor="text1"/>
          <w:sz w:val="20"/>
          <w:szCs w:val="20"/>
        </w:rPr>
      </w:pPr>
    </w:p>
    <w:p w14:paraId="042F5161" w14:textId="77777777" w:rsidR="0096378F" w:rsidRPr="008E3CE9" w:rsidRDefault="0096378F" w:rsidP="00933F91">
      <w:pPr>
        <w:numPr>
          <w:ilvl w:val="0"/>
          <w:numId w:val="73"/>
        </w:numPr>
        <w:ind w:left="1080"/>
        <w:jc w:val="both"/>
        <w:rPr>
          <w:rFonts w:ascii="Cambria" w:hAnsi="Cambria" w:cs="Calibri"/>
          <w:b/>
          <w:bCs/>
          <w:color w:val="000000" w:themeColor="text1"/>
          <w:sz w:val="20"/>
          <w:szCs w:val="20"/>
        </w:rPr>
      </w:pPr>
      <w:r w:rsidRPr="008E3CE9">
        <w:rPr>
          <w:rFonts w:ascii="Cambria" w:hAnsi="Cambria" w:cs="Calibri"/>
          <w:b/>
          <w:bCs/>
          <w:color w:val="000000" w:themeColor="text1"/>
          <w:sz w:val="20"/>
          <w:szCs w:val="20"/>
        </w:rPr>
        <w:t xml:space="preserve">Information provided is not relevant: </w:t>
      </w:r>
      <w:r w:rsidRPr="008E3CE9">
        <w:rPr>
          <w:rFonts w:ascii="Cambria" w:hAnsi="Cambria" w:cs="Calibri"/>
          <w:color w:val="000000" w:themeColor="text1"/>
          <w:sz w:val="20"/>
          <w:szCs w:val="20"/>
        </w:rPr>
        <w:t xml:space="preserve">when the information was provided within the deadline specified by the IACHR but does not refer to the measures adopted regarding compliance with at least one of the recommendations pending compliance, is outdated, or is repetitive to the information presented in previous years without </w:t>
      </w:r>
      <w:r>
        <w:rPr>
          <w:rFonts w:ascii="Cambria" w:hAnsi="Cambria" w:cs="Calibri"/>
          <w:color w:val="000000" w:themeColor="text1"/>
          <w:sz w:val="20"/>
          <w:szCs w:val="20"/>
        </w:rPr>
        <w:t>giving</w:t>
      </w:r>
      <w:r w:rsidRPr="008E3CE9">
        <w:rPr>
          <w:rFonts w:ascii="Cambria" w:hAnsi="Cambria" w:cs="Calibri"/>
          <w:color w:val="000000" w:themeColor="text1"/>
          <w:sz w:val="20"/>
          <w:szCs w:val="20"/>
        </w:rPr>
        <w:t xml:space="preserve"> new information.   </w:t>
      </w:r>
    </w:p>
    <w:p w14:paraId="2651A8E4" w14:textId="77777777" w:rsidR="0096378F" w:rsidRPr="008E3CE9" w:rsidRDefault="0096378F" w:rsidP="0096378F">
      <w:pPr>
        <w:jc w:val="both"/>
        <w:rPr>
          <w:rFonts w:ascii="Cambria" w:hAnsi="Cambria" w:cs="Calibri"/>
          <w:b/>
          <w:bCs/>
          <w:color w:val="000000" w:themeColor="text1"/>
          <w:sz w:val="20"/>
          <w:szCs w:val="20"/>
        </w:rPr>
      </w:pPr>
    </w:p>
    <w:p w14:paraId="25C90494" w14:textId="77777777" w:rsidR="0096378F" w:rsidRPr="008E3CE9" w:rsidRDefault="0096378F" w:rsidP="00933F91">
      <w:pPr>
        <w:numPr>
          <w:ilvl w:val="0"/>
          <w:numId w:val="73"/>
        </w:numPr>
        <w:ind w:left="1080"/>
        <w:jc w:val="both"/>
        <w:rPr>
          <w:rFonts w:ascii="Cambria" w:hAnsi="Cambria" w:cs="Calibri"/>
          <w:color w:val="000000" w:themeColor="text1"/>
          <w:sz w:val="20"/>
          <w:szCs w:val="20"/>
        </w:rPr>
      </w:pPr>
      <w:r w:rsidRPr="008E3CE9">
        <w:rPr>
          <w:rFonts w:ascii="Cambria" w:hAnsi="Cambria" w:cs="Calibri"/>
          <w:b/>
          <w:bCs/>
          <w:color w:val="000000" w:themeColor="text1"/>
          <w:sz w:val="20"/>
          <w:szCs w:val="20"/>
        </w:rPr>
        <w:t xml:space="preserve">Information not provided: </w:t>
      </w:r>
      <w:r w:rsidRPr="008E3CE9">
        <w:rPr>
          <w:rFonts w:ascii="Cambria" w:hAnsi="Cambria" w:cs="Calibri"/>
          <w:color w:val="000000" w:themeColor="text1"/>
          <w:sz w:val="20"/>
          <w:szCs w:val="20"/>
        </w:rPr>
        <w:t xml:space="preserve">when the information on measures adopted to comply with the recommendations issued was not </w:t>
      </w:r>
      <w:r>
        <w:rPr>
          <w:rFonts w:ascii="Cambria" w:hAnsi="Cambria" w:cs="Calibri"/>
          <w:color w:val="000000" w:themeColor="text1"/>
          <w:sz w:val="20"/>
          <w:szCs w:val="20"/>
        </w:rPr>
        <w:t>offered</w:t>
      </w:r>
      <w:r w:rsidRPr="008E3CE9">
        <w:rPr>
          <w:rFonts w:ascii="Cambria" w:hAnsi="Cambria" w:cs="Calibri"/>
          <w:color w:val="000000" w:themeColor="text1"/>
          <w:sz w:val="20"/>
          <w:szCs w:val="20"/>
        </w:rPr>
        <w:t xml:space="preserve">; the IACHR is expressly </w:t>
      </w:r>
      <w:r>
        <w:rPr>
          <w:rFonts w:ascii="Cambria" w:hAnsi="Cambria" w:cs="Calibri"/>
          <w:color w:val="000000" w:themeColor="text1"/>
          <w:sz w:val="20"/>
          <w:szCs w:val="20"/>
        </w:rPr>
        <w:t>Report</w:t>
      </w:r>
      <w:r w:rsidRPr="008E3CE9">
        <w:rPr>
          <w:rFonts w:ascii="Cambria" w:hAnsi="Cambria" w:cs="Calibri"/>
          <w:color w:val="000000" w:themeColor="text1"/>
          <w:sz w:val="20"/>
          <w:szCs w:val="20"/>
        </w:rPr>
        <w:t>d that the information will not be submitted; or extension(s) were requested to provide information and, in the end, the information was not provided.</w:t>
      </w:r>
    </w:p>
    <w:p w14:paraId="2BC15BC3" w14:textId="77777777" w:rsidR="0096378F" w:rsidRPr="008E3CE9" w:rsidRDefault="0096378F" w:rsidP="0096378F">
      <w:pPr>
        <w:ind w:left="1080"/>
        <w:jc w:val="both"/>
        <w:rPr>
          <w:rFonts w:ascii="Cambria" w:hAnsi="Cambria" w:cs="Calibri"/>
          <w:color w:val="000000" w:themeColor="text1"/>
          <w:sz w:val="20"/>
          <w:szCs w:val="20"/>
        </w:rPr>
      </w:pPr>
    </w:p>
    <w:p w14:paraId="33EA11F2" w14:textId="77777777" w:rsidR="0096378F" w:rsidRDefault="0096378F" w:rsidP="00933F91">
      <w:pPr>
        <w:pStyle w:val="BodyText"/>
        <w:widowControl/>
        <w:numPr>
          <w:ilvl w:val="0"/>
          <w:numId w:val="58"/>
        </w:numPr>
        <w:ind w:left="0" w:firstLine="720"/>
        <w:jc w:val="both"/>
        <w:rPr>
          <w:rFonts w:cs="Calibri"/>
          <w:color w:val="000000" w:themeColor="text1"/>
        </w:rPr>
      </w:pPr>
      <w:r w:rsidRPr="008E3CE9">
        <w:rPr>
          <w:rFonts w:cs="Calibri"/>
          <w:color w:val="000000" w:themeColor="text1"/>
        </w:rPr>
        <w:t xml:space="preserve">On the other hand, the Commission decided to expand the categories of analysis of its recommendations </w:t>
      </w:r>
      <w:r>
        <w:rPr>
          <w:rFonts w:cs="Calibri"/>
          <w:color w:val="000000" w:themeColor="text1"/>
        </w:rPr>
        <w:t>to make the states' efforts in their compliance visible and to classify the compliance status</w:t>
      </w:r>
      <w:r w:rsidRPr="008E3CE9">
        <w:rPr>
          <w:rFonts w:cs="Calibri"/>
          <w:color w:val="000000" w:themeColor="text1"/>
        </w:rPr>
        <w:t xml:space="preserve"> with each recommendation. In this sense, the Commission approved the following categories for the individual analysis of recommendations:</w:t>
      </w:r>
    </w:p>
    <w:p w14:paraId="651AF856" w14:textId="77777777" w:rsidR="001A2BB7" w:rsidRPr="008E3CE9" w:rsidRDefault="001A2BB7" w:rsidP="001A2BB7">
      <w:pPr>
        <w:pStyle w:val="BodyText"/>
        <w:widowControl/>
        <w:ind w:left="720"/>
        <w:jc w:val="both"/>
        <w:rPr>
          <w:rFonts w:cs="Calibri"/>
          <w:color w:val="000000" w:themeColor="text1"/>
        </w:rPr>
      </w:pPr>
    </w:p>
    <w:p w14:paraId="35BF3D0B" w14:textId="77777777" w:rsidR="0096378F" w:rsidRPr="008E3CE9" w:rsidRDefault="0096378F" w:rsidP="00933F91">
      <w:pPr>
        <w:numPr>
          <w:ilvl w:val="0"/>
          <w:numId w:val="74"/>
        </w:numPr>
        <w:ind w:left="1080"/>
        <w:jc w:val="both"/>
        <w:rPr>
          <w:rFonts w:ascii="Cambria" w:hAnsi="Cambria" w:cs="Calibri"/>
          <w:color w:val="000000" w:themeColor="text1"/>
          <w:sz w:val="20"/>
          <w:szCs w:val="20"/>
        </w:rPr>
      </w:pPr>
      <w:r w:rsidRPr="008E3CE9">
        <w:rPr>
          <w:rFonts w:ascii="Cambria" w:hAnsi="Cambria" w:cs="Calibri"/>
          <w:b/>
          <w:color w:val="000000" w:themeColor="text1"/>
          <w:sz w:val="20"/>
          <w:szCs w:val="20"/>
        </w:rPr>
        <w:t xml:space="preserve">Full compliance: </w:t>
      </w:r>
      <w:r w:rsidRPr="008E3CE9">
        <w:rPr>
          <w:rFonts w:ascii="Cambria" w:hAnsi="Cambria" w:cs="Calibri"/>
          <w:color w:val="000000" w:themeColor="text1"/>
          <w:sz w:val="20"/>
          <w:szCs w:val="20"/>
        </w:rPr>
        <w:t xml:space="preserve">a recommendation in which the State has initiated and satisfactorily concluded the measures for its </w:t>
      </w:r>
      <w:r>
        <w:rPr>
          <w:rFonts w:ascii="Cambria" w:hAnsi="Cambria" w:cs="Calibri"/>
          <w:color w:val="000000" w:themeColor="text1"/>
          <w:sz w:val="20"/>
          <w:szCs w:val="20"/>
        </w:rPr>
        <w:t>observance</w:t>
      </w:r>
      <w:r w:rsidRPr="008E3CE9">
        <w:rPr>
          <w:rFonts w:ascii="Cambria" w:hAnsi="Cambria" w:cs="Calibri"/>
          <w:color w:val="000000" w:themeColor="text1"/>
          <w:sz w:val="20"/>
          <w:szCs w:val="20"/>
        </w:rPr>
        <w:t xml:space="preserve">.  </w:t>
      </w:r>
    </w:p>
    <w:p w14:paraId="04959775" w14:textId="77777777" w:rsidR="0096378F" w:rsidRPr="008E3CE9" w:rsidRDefault="0096378F" w:rsidP="0096378F">
      <w:pPr>
        <w:ind w:left="1080"/>
        <w:jc w:val="both"/>
        <w:rPr>
          <w:rFonts w:ascii="Cambria" w:hAnsi="Cambria" w:cs="Calibri"/>
          <w:color w:val="000000" w:themeColor="text1"/>
          <w:sz w:val="20"/>
          <w:szCs w:val="20"/>
        </w:rPr>
      </w:pPr>
    </w:p>
    <w:p w14:paraId="79E0096A" w14:textId="77777777" w:rsidR="0096378F" w:rsidRPr="008E3CE9" w:rsidRDefault="0096378F" w:rsidP="00933F91">
      <w:pPr>
        <w:numPr>
          <w:ilvl w:val="0"/>
          <w:numId w:val="74"/>
        </w:numPr>
        <w:ind w:left="1080"/>
        <w:jc w:val="both"/>
        <w:rPr>
          <w:rFonts w:ascii="Cambria" w:hAnsi="Cambria" w:cs="Calibri"/>
          <w:color w:val="000000" w:themeColor="text1"/>
          <w:sz w:val="20"/>
          <w:szCs w:val="20"/>
        </w:rPr>
      </w:pPr>
      <w:r w:rsidRPr="008E3CE9">
        <w:rPr>
          <w:rFonts w:ascii="Cambria" w:hAnsi="Cambria" w:cs="Calibri"/>
          <w:b/>
          <w:color w:val="000000" w:themeColor="text1"/>
          <w:sz w:val="20"/>
          <w:szCs w:val="20"/>
        </w:rPr>
        <w:t xml:space="preserve">Substantial partial compliance: </w:t>
      </w:r>
      <w:r w:rsidRPr="008E3CE9">
        <w:rPr>
          <w:rFonts w:ascii="Cambria" w:hAnsi="Cambria" w:cs="Calibri"/>
          <w:color w:val="000000" w:themeColor="text1"/>
          <w:sz w:val="20"/>
          <w:szCs w:val="20"/>
        </w:rPr>
        <w:t xml:space="preserve">that recommendation in which the State has adopted relevant measures for its compliance and has provided evidence of these, but the Commission considers that the measures for compliance </w:t>
      </w:r>
      <w:r>
        <w:rPr>
          <w:rFonts w:ascii="Cambria" w:hAnsi="Cambria" w:cs="Calibri"/>
          <w:color w:val="000000" w:themeColor="text1"/>
          <w:sz w:val="20"/>
          <w:szCs w:val="20"/>
        </w:rPr>
        <w:t>still need to be</w:t>
      </w:r>
      <w:r w:rsidRPr="008E3CE9">
        <w:rPr>
          <w:rFonts w:ascii="Cambria" w:hAnsi="Cambria" w:cs="Calibri"/>
          <w:color w:val="000000" w:themeColor="text1"/>
          <w:sz w:val="20"/>
          <w:szCs w:val="20"/>
        </w:rPr>
        <w:t xml:space="preserve"> completed.  </w:t>
      </w:r>
    </w:p>
    <w:p w14:paraId="22D62444" w14:textId="77777777" w:rsidR="0096378F" w:rsidRPr="008E3CE9" w:rsidRDefault="0096378F" w:rsidP="0096378F">
      <w:pPr>
        <w:jc w:val="both"/>
        <w:rPr>
          <w:rFonts w:ascii="Cambria" w:hAnsi="Cambria" w:cs="Calibri"/>
          <w:color w:val="000000" w:themeColor="text1"/>
          <w:sz w:val="20"/>
          <w:szCs w:val="20"/>
        </w:rPr>
      </w:pPr>
    </w:p>
    <w:p w14:paraId="0C3A08D1" w14:textId="77777777" w:rsidR="0096378F" w:rsidRPr="008E3CE9" w:rsidRDefault="0096378F" w:rsidP="00933F91">
      <w:pPr>
        <w:numPr>
          <w:ilvl w:val="0"/>
          <w:numId w:val="74"/>
        </w:numPr>
        <w:ind w:left="1080"/>
        <w:jc w:val="both"/>
        <w:rPr>
          <w:rFonts w:ascii="Cambria" w:hAnsi="Cambria" w:cs="Calibri"/>
          <w:color w:val="000000" w:themeColor="text1"/>
          <w:sz w:val="20"/>
          <w:szCs w:val="20"/>
        </w:rPr>
      </w:pPr>
      <w:r w:rsidRPr="008E3CE9">
        <w:rPr>
          <w:rFonts w:ascii="Cambria" w:hAnsi="Cambria" w:cs="Calibri"/>
          <w:b/>
          <w:color w:val="000000" w:themeColor="text1"/>
          <w:sz w:val="20"/>
          <w:szCs w:val="20"/>
        </w:rPr>
        <w:t xml:space="preserve">Partial compliance: </w:t>
      </w:r>
      <w:r w:rsidRPr="008E3CE9">
        <w:rPr>
          <w:rFonts w:ascii="Cambria" w:hAnsi="Cambria" w:cs="Calibri"/>
          <w:color w:val="000000" w:themeColor="text1"/>
          <w:sz w:val="20"/>
          <w:szCs w:val="20"/>
        </w:rPr>
        <w:t xml:space="preserve">a recommendation in which the State has taken some steps towards compliance, but additional measures are still required.    </w:t>
      </w:r>
    </w:p>
    <w:p w14:paraId="2970F1AD" w14:textId="77777777" w:rsidR="0096378F" w:rsidRPr="008E3CE9" w:rsidRDefault="0096378F" w:rsidP="0096378F">
      <w:pPr>
        <w:jc w:val="both"/>
        <w:rPr>
          <w:rFonts w:ascii="Cambria" w:hAnsi="Cambria" w:cs="Calibri"/>
          <w:color w:val="000000" w:themeColor="text1"/>
          <w:sz w:val="20"/>
          <w:szCs w:val="20"/>
        </w:rPr>
      </w:pPr>
      <w:r w:rsidRPr="008E3CE9">
        <w:rPr>
          <w:rFonts w:ascii="Cambria" w:hAnsi="Cambria" w:cs="Calibri"/>
          <w:color w:val="000000" w:themeColor="text1"/>
          <w:sz w:val="20"/>
          <w:szCs w:val="20"/>
        </w:rPr>
        <w:t xml:space="preserve">   </w:t>
      </w:r>
    </w:p>
    <w:p w14:paraId="6CF432B7" w14:textId="77777777" w:rsidR="0096378F" w:rsidRPr="008E3CE9" w:rsidRDefault="0096378F" w:rsidP="00933F91">
      <w:pPr>
        <w:numPr>
          <w:ilvl w:val="0"/>
          <w:numId w:val="74"/>
        </w:numPr>
        <w:ind w:left="1080"/>
        <w:jc w:val="both"/>
        <w:rPr>
          <w:rFonts w:ascii="Cambria" w:hAnsi="Cambria" w:cs="Calibri"/>
          <w:color w:val="000000" w:themeColor="text1"/>
          <w:sz w:val="20"/>
          <w:szCs w:val="20"/>
        </w:rPr>
      </w:pPr>
      <w:r w:rsidRPr="008E3CE9">
        <w:rPr>
          <w:rFonts w:ascii="Cambria" w:hAnsi="Cambria" w:cs="Calibri"/>
          <w:b/>
          <w:color w:val="000000" w:themeColor="text1"/>
          <w:sz w:val="20"/>
          <w:szCs w:val="20"/>
        </w:rPr>
        <w:t xml:space="preserve">Pending: </w:t>
      </w:r>
      <w:r w:rsidRPr="008E3CE9">
        <w:rPr>
          <w:rFonts w:ascii="Cambria" w:hAnsi="Cambria" w:cs="Calibri"/>
          <w:color w:val="000000" w:themeColor="text1"/>
          <w:sz w:val="20"/>
          <w:szCs w:val="20"/>
        </w:rPr>
        <w:t xml:space="preserve">a recommendation in which the State has </w:t>
      </w:r>
      <w:r>
        <w:rPr>
          <w:rFonts w:ascii="Cambria" w:hAnsi="Cambria" w:cs="Calibri"/>
          <w:color w:val="000000" w:themeColor="text1"/>
          <w:sz w:val="20"/>
          <w:szCs w:val="20"/>
        </w:rPr>
        <w:t>yet to take any action to comply with the recommendation; the actions taken have yet to produce</w:t>
      </w:r>
      <w:r w:rsidRPr="008E3CE9">
        <w:rPr>
          <w:rFonts w:ascii="Cambria" w:hAnsi="Cambria" w:cs="Calibri"/>
          <w:color w:val="000000" w:themeColor="text1"/>
          <w:sz w:val="20"/>
          <w:szCs w:val="20"/>
        </w:rPr>
        <w:t xml:space="preserve"> concrete results</w:t>
      </w:r>
      <w:r>
        <w:rPr>
          <w:rFonts w:ascii="Cambria" w:hAnsi="Cambria" w:cs="Calibri"/>
          <w:color w:val="000000" w:themeColor="text1"/>
          <w:sz w:val="20"/>
          <w:szCs w:val="20"/>
        </w:rPr>
        <w:t>,</w:t>
      </w:r>
      <w:r w:rsidRPr="008E3CE9">
        <w:rPr>
          <w:rFonts w:ascii="Cambria" w:hAnsi="Cambria" w:cs="Calibri"/>
          <w:color w:val="000000" w:themeColor="text1"/>
          <w:sz w:val="20"/>
          <w:szCs w:val="20"/>
        </w:rPr>
        <w:t xml:space="preserve"> or the action(s) taken do not correspond to the situation under review.   </w:t>
      </w:r>
    </w:p>
    <w:p w14:paraId="6F4A9183" w14:textId="77777777" w:rsidR="0096378F" w:rsidRPr="008E3CE9" w:rsidRDefault="0096378F" w:rsidP="0096378F">
      <w:pPr>
        <w:jc w:val="both"/>
        <w:rPr>
          <w:rFonts w:ascii="Cambria" w:hAnsi="Cambria" w:cs="Calibri"/>
          <w:color w:val="000000" w:themeColor="text1"/>
          <w:sz w:val="20"/>
          <w:szCs w:val="20"/>
        </w:rPr>
      </w:pPr>
    </w:p>
    <w:p w14:paraId="1ABD3252" w14:textId="77777777" w:rsidR="0096378F" w:rsidRPr="008E3CE9" w:rsidRDefault="0096378F" w:rsidP="00933F91">
      <w:pPr>
        <w:numPr>
          <w:ilvl w:val="0"/>
          <w:numId w:val="74"/>
        </w:numPr>
        <w:ind w:left="1080"/>
        <w:jc w:val="both"/>
        <w:rPr>
          <w:rFonts w:ascii="Cambria" w:hAnsi="Cambria" w:cs="Calibri"/>
          <w:color w:val="000000" w:themeColor="text1"/>
          <w:sz w:val="20"/>
          <w:szCs w:val="20"/>
        </w:rPr>
      </w:pPr>
      <w:r w:rsidRPr="008E3CE9">
        <w:rPr>
          <w:rFonts w:ascii="Cambria" w:hAnsi="Cambria" w:cs="Calibri"/>
          <w:b/>
          <w:color w:val="000000" w:themeColor="text1"/>
          <w:sz w:val="20"/>
          <w:szCs w:val="20"/>
        </w:rPr>
        <w:t xml:space="preserve">Non-compliance: </w:t>
      </w:r>
      <w:r w:rsidRPr="008E3CE9">
        <w:rPr>
          <w:rFonts w:ascii="Cambria" w:hAnsi="Cambria" w:cs="Calibri"/>
          <w:color w:val="000000" w:themeColor="text1"/>
          <w:sz w:val="20"/>
          <w:szCs w:val="20"/>
        </w:rPr>
        <w:t xml:space="preserve">a recommendation whose compliance was impossible due to the conduct of the State or where the State has explicitly indicated that it will not comply with the measure. </w:t>
      </w:r>
    </w:p>
    <w:p w14:paraId="2795FAAE" w14:textId="77777777" w:rsidR="0096378F" w:rsidRPr="008E3CE9" w:rsidRDefault="0096378F" w:rsidP="0096378F">
      <w:pPr>
        <w:jc w:val="both"/>
        <w:rPr>
          <w:rFonts w:ascii="Cambria" w:hAnsi="Cambria" w:cs="Calibri"/>
          <w:color w:val="000000" w:themeColor="text1"/>
          <w:sz w:val="20"/>
          <w:szCs w:val="20"/>
        </w:rPr>
      </w:pPr>
    </w:p>
    <w:p w14:paraId="3FBEBA68" w14:textId="636EE745" w:rsidR="0096378F" w:rsidRPr="008E3CE9" w:rsidRDefault="0096378F" w:rsidP="00933F91">
      <w:pPr>
        <w:pStyle w:val="ListParagraph"/>
        <w:numPr>
          <w:ilvl w:val="1"/>
          <w:numId w:val="72"/>
        </w:numPr>
        <w:ind w:left="1440" w:hanging="720"/>
        <w:jc w:val="both"/>
        <w:rPr>
          <w:rFonts w:ascii="Cambria" w:hAnsi="Cambria" w:cs="Calibri"/>
          <w:b/>
          <w:color w:val="000000" w:themeColor="text1"/>
          <w:sz w:val="20"/>
          <w:szCs w:val="20"/>
        </w:rPr>
      </w:pPr>
      <w:r w:rsidRPr="008E3CE9">
        <w:rPr>
          <w:rFonts w:ascii="Cambria" w:hAnsi="Cambria" w:cs="Calibri"/>
          <w:b/>
          <w:color w:val="000000" w:themeColor="text1"/>
          <w:sz w:val="20"/>
          <w:szCs w:val="20"/>
        </w:rPr>
        <w:t xml:space="preserve">Categories of compliance with IACHR petitions and cases. </w:t>
      </w:r>
    </w:p>
    <w:p w14:paraId="1301EF6A" w14:textId="77777777" w:rsidR="0096378F" w:rsidRPr="008E3CE9" w:rsidRDefault="0096378F" w:rsidP="0096378F">
      <w:pPr>
        <w:jc w:val="both"/>
        <w:rPr>
          <w:rFonts w:ascii="Cambria" w:hAnsi="Cambria" w:cs="Calibri"/>
          <w:color w:val="000000" w:themeColor="text1"/>
          <w:sz w:val="20"/>
          <w:szCs w:val="20"/>
        </w:rPr>
      </w:pPr>
    </w:p>
    <w:p w14:paraId="4C4A81DC" w14:textId="77777777" w:rsidR="0096378F" w:rsidRDefault="0096378F" w:rsidP="00933F91">
      <w:pPr>
        <w:pStyle w:val="BodyText"/>
        <w:widowControl/>
        <w:numPr>
          <w:ilvl w:val="0"/>
          <w:numId w:val="58"/>
        </w:numPr>
        <w:ind w:left="0" w:firstLine="720"/>
        <w:jc w:val="both"/>
        <w:rPr>
          <w:rFonts w:cs="Calibri"/>
          <w:color w:val="000000" w:themeColor="text1"/>
        </w:rPr>
      </w:pPr>
      <w:r w:rsidRPr="008E3CE9">
        <w:rPr>
          <w:rFonts w:cs="Calibri"/>
          <w:color w:val="000000" w:themeColor="text1"/>
        </w:rPr>
        <w:t xml:space="preserve">Finally, the Commission decided to maintain the categories of </w:t>
      </w:r>
      <w:r>
        <w:rPr>
          <w:rFonts w:cs="Calibri"/>
          <w:color w:val="000000" w:themeColor="text1"/>
        </w:rPr>
        <w:t xml:space="preserve">a </w:t>
      </w:r>
      <w:r w:rsidRPr="008E3CE9">
        <w:rPr>
          <w:rFonts w:cs="Calibri"/>
          <w:color w:val="000000" w:themeColor="text1"/>
        </w:rPr>
        <w:t xml:space="preserve">comprehensive analysis of petitions and cases traditionally used, </w:t>
      </w:r>
      <w:r w:rsidRPr="008E3CE9">
        <w:rPr>
          <w:rFonts w:cs="Calibri"/>
          <w:color w:val="000000" w:themeColor="text1"/>
          <w:lang w:eastAsia="es-ES_tradnl"/>
        </w:rPr>
        <w:t xml:space="preserve">namely: </w:t>
      </w:r>
    </w:p>
    <w:p w14:paraId="55B1D65A" w14:textId="77777777" w:rsidR="00673966" w:rsidRPr="008E3CE9" w:rsidRDefault="00673966" w:rsidP="00673966">
      <w:pPr>
        <w:pStyle w:val="BodyText"/>
        <w:widowControl/>
        <w:ind w:left="720"/>
        <w:jc w:val="both"/>
        <w:rPr>
          <w:rFonts w:cs="Calibri"/>
          <w:color w:val="000000" w:themeColor="text1"/>
        </w:rPr>
      </w:pPr>
    </w:p>
    <w:p w14:paraId="6164B248" w14:textId="77777777" w:rsidR="0096378F" w:rsidRPr="008E3CE9" w:rsidRDefault="0096378F" w:rsidP="00933F91">
      <w:pPr>
        <w:numPr>
          <w:ilvl w:val="3"/>
          <w:numId w:val="75"/>
        </w:numPr>
        <w:ind w:left="1080"/>
        <w:jc w:val="both"/>
        <w:rPr>
          <w:rFonts w:ascii="Cambria" w:hAnsi="Cambria" w:cs="Calibri"/>
          <w:color w:val="000000" w:themeColor="text1"/>
          <w:sz w:val="20"/>
          <w:szCs w:val="20"/>
        </w:rPr>
      </w:pPr>
      <w:r w:rsidRPr="008E3CE9">
        <w:rPr>
          <w:rFonts w:ascii="Cambria" w:hAnsi="Cambria" w:cs="Calibri"/>
          <w:b/>
          <w:bCs/>
          <w:color w:val="000000" w:themeColor="text1"/>
          <w:sz w:val="20"/>
          <w:szCs w:val="20"/>
        </w:rPr>
        <w:t xml:space="preserve">Full compliance: </w:t>
      </w:r>
      <w:r w:rsidRPr="008E3CE9">
        <w:rPr>
          <w:rFonts w:ascii="Cambria" w:hAnsi="Cambria" w:cs="Calibri"/>
          <w:color w:val="000000" w:themeColor="text1"/>
          <w:sz w:val="20"/>
          <w:szCs w:val="20"/>
        </w:rPr>
        <w:t>those cases in which the State has fully complied with all the recommendations issued by the IACHR. The Commission considers as fully complied with those recommendations in which the State has initiated and satisfactorily concluded the measures for compliance.</w:t>
      </w:r>
    </w:p>
    <w:p w14:paraId="6F185A6E" w14:textId="77777777" w:rsidR="0096378F" w:rsidRPr="008E3CE9" w:rsidRDefault="0096378F" w:rsidP="0096378F">
      <w:pPr>
        <w:ind w:left="1080"/>
        <w:jc w:val="both"/>
        <w:rPr>
          <w:rFonts w:ascii="Cambria" w:hAnsi="Cambria" w:cs="Calibri"/>
          <w:color w:val="000000" w:themeColor="text1"/>
          <w:sz w:val="20"/>
          <w:szCs w:val="20"/>
        </w:rPr>
      </w:pPr>
    </w:p>
    <w:p w14:paraId="14522BD8" w14:textId="77777777" w:rsidR="0096378F" w:rsidRPr="008E3CE9" w:rsidRDefault="0096378F" w:rsidP="00933F91">
      <w:pPr>
        <w:numPr>
          <w:ilvl w:val="3"/>
          <w:numId w:val="75"/>
        </w:numPr>
        <w:ind w:left="1080"/>
        <w:jc w:val="both"/>
        <w:rPr>
          <w:rFonts w:ascii="Cambria" w:hAnsi="Cambria" w:cs="Calibri"/>
          <w:color w:val="000000" w:themeColor="text1"/>
          <w:sz w:val="20"/>
          <w:szCs w:val="20"/>
        </w:rPr>
      </w:pPr>
      <w:r w:rsidRPr="008E3CE9">
        <w:rPr>
          <w:rFonts w:ascii="Cambria" w:hAnsi="Cambria" w:cs="Calibri"/>
          <w:b/>
          <w:bCs/>
          <w:color w:val="000000" w:themeColor="text1"/>
          <w:sz w:val="20"/>
          <w:szCs w:val="20"/>
        </w:rPr>
        <w:t xml:space="preserve">Partial compliance: </w:t>
      </w:r>
      <w:r w:rsidRPr="008E3CE9">
        <w:rPr>
          <w:rFonts w:ascii="Cambria" w:hAnsi="Cambria" w:cs="Calibri"/>
          <w:color w:val="000000" w:themeColor="text1"/>
          <w:sz w:val="20"/>
          <w:szCs w:val="20"/>
        </w:rPr>
        <w:t xml:space="preserve">those cases in which the State has partially complied with the recommendations issued by the IACHR, either because it has only complied with some of the recommendations or because it has incompletely complied with all the recommendations; those </w:t>
      </w:r>
      <w:r w:rsidRPr="008E3CE9">
        <w:rPr>
          <w:rFonts w:ascii="Cambria" w:hAnsi="Cambria" w:cs="Calibri"/>
          <w:color w:val="000000" w:themeColor="text1"/>
          <w:sz w:val="20"/>
          <w:szCs w:val="20"/>
        </w:rPr>
        <w:lastRenderedPageBreak/>
        <w:t>cases in which the State has fully complied with all the recommendations issued by the IACHR, except one whose compliance has proved impossible.</w:t>
      </w:r>
    </w:p>
    <w:p w14:paraId="2F68B6F1" w14:textId="77777777" w:rsidR="0096378F" w:rsidRPr="008E3CE9" w:rsidRDefault="0096378F" w:rsidP="0096378F">
      <w:pPr>
        <w:ind w:left="1080"/>
        <w:jc w:val="both"/>
        <w:rPr>
          <w:rFonts w:ascii="Cambria" w:hAnsi="Cambria" w:cs="Calibri"/>
          <w:color w:val="000000" w:themeColor="text1"/>
          <w:sz w:val="20"/>
          <w:szCs w:val="20"/>
        </w:rPr>
      </w:pPr>
    </w:p>
    <w:p w14:paraId="5F3EFB3D" w14:textId="77777777" w:rsidR="0096378F" w:rsidRPr="008E3CE9" w:rsidRDefault="0096378F" w:rsidP="00933F91">
      <w:pPr>
        <w:numPr>
          <w:ilvl w:val="3"/>
          <w:numId w:val="75"/>
        </w:numPr>
        <w:spacing w:after="240"/>
        <w:ind w:left="1080"/>
        <w:jc w:val="both"/>
        <w:rPr>
          <w:rFonts w:ascii="Cambria" w:hAnsi="Cambria" w:cs="Calibri"/>
          <w:color w:val="000000" w:themeColor="text1"/>
          <w:sz w:val="20"/>
          <w:szCs w:val="20"/>
        </w:rPr>
      </w:pPr>
      <w:r w:rsidRPr="008E3CE9">
        <w:rPr>
          <w:rFonts w:ascii="Cambria" w:hAnsi="Cambria" w:cs="Calibri"/>
          <w:b/>
          <w:bCs/>
          <w:color w:val="000000" w:themeColor="text1"/>
          <w:sz w:val="20"/>
          <w:szCs w:val="20"/>
        </w:rPr>
        <w:t xml:space="preserve">Pending compliance: </w:t>
      </w:r>
      <w:r w:rsidRPr="008E3CE9">
        <w:rPr>
          <w:rFonts w:ascii="Cambria" w:hAnsi="Cambria" w:cs="Calibri"/>
          <w:color w:val="000000" w:themeColor="text1"/>
          <w:sz w:val="20"/>
          <w:szCs w:val="20"/>
        </w:rPr>
        <w:t xml:space="preserve">those cases in which the IACHR considers that there has been no compliance with the recommendations issued by the IACHR because no steps have been taken to that end; or when the </w:t>
      </w:r>
      <w:r>
        <w:rPr>
          <w:rFonts w:ascii="Cambria" w:hAnsi="Cambria" w:cs="Calibri"/>
          <w:color w:val="000000" w:themeColor="text1"/>
          <w:sz w:val="20"/>
          <w:szCs w:val="20"/>
        </w:rPr>
        <w:t>measures</w:t>
      </w:r>
      <w:r w:rsidRPr="008E3CE9">
        <w:rPr>
          <w:rFonts w:ascii="Cambria" w:hAnsi="Cambria" w:cs="Calibri"/>
          <w:color w:val="000000" w:themeColor="text1"/>
          <w:sz w:val="20"/>
          <w:szCs w:val="20"/>
        </w:rPr>
        <w:t xml:space="preserve"> taken have not yet produced concrete results; or in cases in which the State has explicitly indicated that it will not comply with the recommendations; or when the State has not </w:t>
      </w:r>
      <w:r>
        <w:rPr>
          <w:rFonts w:ascii="Cambria" w:hAnsi="Cambria" w:cs="Calibri"/>
          <w:color w:val="000000" w:themeColor="text1"/>
          <w:sz w:val="20"/>
          <w:szCs w:val="20"/>
        </w:rPr>
        <w:t>Report</w:t>
      </w:r>
      <w:r w:rsidRPr="008E3CE9">
        <w:rPr>
          <w:rFonts w:ascii="Cambria" w:hAnsi="Cambria" w:cs="Calibri"/>
          <w:color w:val="000000" w:themeColor="text1"/>
          <w:sz w:val="20"/>
          <w:szCs w:val="20"/>
        </w:rPr>
        <w:t>d the IACHR</w:t>
      </w:r>
      <w:r>
        <w:rPr>
          <w:rFonts w:ascii="Cambria" w:hAnsi="Cambria" w:cs="Calibri"/>
          <w:color w:val="000000" w:themeColor="text1"/>
          <w:sz w:val="20"/>
          <w:szCs w:val="20"/>
        </w:rPr>
        <w:t>,</w:t>
      </w:r>
      <w:r w:rsidRPr="008E3CE9">
        <w:rPr>
          <w:rFonts w:ascii="Cambria" w:hAnsi="Cambria" w:cs="Calibri"/>
          <w:color w:val="000000" w:themeColor="text1"/>
          <w:sz w:val="20"/>
          <w:szCs w:val="20"/>
        </w:rPr>
        <w:t xml:space="preserve"> and the latter does not have information from other sources that would indicate a contrary conclusion.</w:t>
      </w:r>
    </w:p>
    <w:p w14:paraId="0E393C23" w14:textId="77777777" w:rsidR="0096378F" w:rsidRPr="00B14D67" w:rsidRDefault="0096378F" w:rsidP="00933F91">
      <w:pPr>
        <w:pStyle w:val="Heading3"/>
        <w:numPr>
          <w:ilvl w:val="0"/>
          <w:numId w:val="77"/>
        </w:numPr>
        <w:shd w:val="clear" w:color="auto" w:fill="FFFFFF"/>
        <w:tabs>
          <w:tab w:val="left" w:pos="1440"/>
        </w:tabs>
        <w:autoSpaceDE w:val="0"/>
        <w:autoSpaceDN w:val="0"/>
        <w:adjustRightInd w:val="0"/>
        <w:spacing w:before="120" w:after="240"/>
        <w:ind w:left="1440" w:hanging="720"/>
        <w:rPr>
          <w:rFonts w:eastAsia="Yu Gothic Light" w:cs="Times New Roman"/>
          <w:b w:val="0"/>
          <w:color w:val="000000" w:themeColor="text1"/>
          <w:lang w:val="en-US"/>
        </w:rPr>
      </w:pPr>
      <w:r w:rsidRPr="00B14D67">
        <w:rPr>
          <w:rFonts w:eastAsia="Yu Gothic Light" w:cs="Times New Roman"/>
          <w:color w:val="000000" w:themeColor="text1"/>
          <w:lang w:val="en-US"/>
        </w:rPr>
        <w:t>Status of compliance with the merits reports published by Article 51 of the American Convention on Human Rights (ACHR).</w:t>
      </w:r>
    </w:p>
    <w:p w14:paraId="44C4D08C" w14:textId="77777777" w:rsidR="0096378F" w:rsidRDefault="0096378F" w:rsidP="00933F91">
      <w:pPr>
        <w:pStyle w:val="BodyText"/>
        <w:widowControl/>
        <w:numPr>
          <w:ilvl w:val="0"/>
          <w:numId w:val="58"/>
        </w:numPr>
        <w:ind w:left="0" w:firstLine="720"/>
        <w:jc w:val="both"/>
        <w:rPr>
          <w:rFonts w:cs="Calibri"/>
          <w:color w:val="000000" w:themeColor="text1"/>
        </w:rPr>
      </w:pPr>
      <w:r w:rsidRPr="008E3CE9">
        <w:rPr>
          <w:rFonts w:cs="Calibri"/>
          <w:color w:val="000000" w:themeColor="text1"/>
        </w:rPr>
        <w:t xml:space="preserve">According to the purpose included in the 2017-2021 Strategic Plan aimed at strengthening the recommendation follow-up processes, the IACHR made efforts to make visible and provide </w:t>
      </w:r>
      <w:r>
        <w:rPr>
          <w:rFonts w:cs="Calibri"/>
          <w:color w:val="000000" w:themeColor="text1"/>
        </w:rPr>
        <w:t>more explicit</w:t>
      </w:r>
      <w:r w:rsidRPr="008E3CE9">
        <w:rPr>
          <w:rFonts w:cs="Calibri"/>
          <w:color w:val="000000" w:themeColor="text1"/>
        </w:rPr>
        <w:t xml:space="preserve"> information on the progress of the implementation of the merits reports it has published based on Article 51 of the ACHR. In this regard, the Commission prepared individual follow-up sheets with the information received in each case throughout the year and based on its analysis of </w:t>
      </w:r>
      <w:r>
        <w:rPr>
          <w:rFonts w:cs="Calibri"/>
          <w:color w:val="000000" w:themeColor="text1"/>
        </w:rPr>
        <w:t>compliance status</w:t>
      </w:r>
      <w:r w:rsidRPr="008E3CE9">
        <w:rPr>
          <w:rFonts w:cs="Calibri"/>
          <w:color w:val="000000" w:themeColor="text1"/>
        </w:rPr>
        <w:t xml:space="preserve"> with the recommendations. In this way, the IACHR individually analyzed each </w:t>
      </w:r>
      <w:r w:rsidRPr="008E3CE9">
        <w:rPr>
          <w:rFonts w:cs="Calibri"/>
          <w:color w:val="000000" w:themeColor="text1"/>
          <w:lang w:eastAsia="es-ES_tradnl"/>
        </w:rPr>
        <w:t xml:space="preserve">recommendation </w:t>
      </w:r>
      <w:r w:rsidRPr="008E3CE9">
        <w:rPr>
          <w:rFonts w:cs="Calibri"/>
          <w:color w:val="000000" w:themeColor="text1"/>
        </w:rPr>
        <w:t xml:space="preserve">of the published merits reports and identified the measures of compliance developed and the individual and structural results achieved, according to the information submitted by the parties in the framework of each case. </w:t>
      </w:r>
    </w:p>
    <w:p w14:paraId="5EB9FC07" w14:textId="77777777" w:rsidR="001B1480" w:rsidRPr="008E3CE9" w:rsidRDefault="001B1480" w:rsidP="001B1480">
      <w:pPr>
        <w:pStyle w:val="BodyText"/>
        <w:widowControl/>
        <w:ind w:left="720"/>
        <w:jc w:val="both"/>
        <w:rPr>
          <w:rFonts w:cs="Calibri"/>
          <w:color w:val="000000" w:themeColor="text1"/>
        </w:rPr>
      </w:pPr>
    </w:p>
    <w:p w14:paraId="4D816FCA" w14:textId="77777777" w:rsidR="0096378F" w:rsidRDefault="0096378F" w:rsidP="00933F91">
      <w:pPr>
        <w:pStyle w:val="BodyText"/>
        <w:widowControl/>
        <w:numPr>
          <w:ilvl w:val="0"/>
          <w:numId w:val="58"/>
        </w:numPr>
        <w:ind w:left="0" w:firstLine="720"/>
        <w:jc w:val="both"/>
        <w:rPr>
          <w:rFonts w:cs="Calibri"/>
          <w:color w:val="000000" w:themeColor="text1"/>
        </w:rPr>
      </w:pPr>
      <w:r w:rsidRPr="008E3CE9">
        <w:rPr>
          <w:rFonts w:cs="Calibri"/>
          <w:color w:val="000000" w:themeColor="text1"/>
        </w:rPr>
        <w:t xml:space="preserve">In addition to the follow-up actions that the IACHR deployed in </w:t>
      </w:r>
      <w:r w:rsidRPr="00FB48E4">
        <w:rPr>
          <w:rFonts w:cs="Calibri"/>
          <w:color w:val="000000" w:themeColor="text1"/>
        </w:rPr>
        <w:t>2022 concerning</w:t>
      </w:r>
      <w:r w:rsidRPr="008E3CE9">
        <w:rPr>
          <w:rFonts w:cs="Calibri"/>
          <w:color w:val="000000" w:themeColor="text1"/>
        </w:rPr>
        <w:t xml:space="preserve"> the cases included in its annual reports, it also adopted a reinforced follow-up strategy for the 159 merits reports included in paragraphs </w:t>
      </w:r>
      <w:r w:rsidRPr="001B1480">
        <w:rPr>
          <w:rFonts w:cs="Calibri"/>
          <w:color w:val="000000" w:themeColor="text1"/>
        </w:rPr>
        <w:t xml:space="preserve">c </w:t>
      </w:r>
      <w:r w:rsidRPr="008E3CE9">
        <w:rPr>
          <w:rFonts w:cs="Calibri"/>
          <w:color w:val="000000" w:themeColor="text1"/>
        </w:rPr>
        <w:t xml:space="preserve">and </w:t>
      </w:r>
      <w:r w:rsidRPr="001B1480">
        <w:rPr>
          <w:rFonts w:cs="Calibri"/>
          <w:color w:val="000000" w:themeColor="text1"/>
        </w:rPr>
        <w:t xml:space="preserve">d </w:t>
      </w:r>
      <w:r w:rsidRPr="008E3CE9">
        <w:rPr>
          <w:rFonts w:cs="Calibri"/>
          <w:color w:val="000000" w:themeColor="text1"/>
        </w:rPr>
        <w:t xml:space="preserve">of Joint Press Release P-1193-CA, which </w:t>
      </w:r>
      <w:r>
        <w:rPr>
          <w:rFonts w:cs="Calibri"/>
          <w:color w:val="000000" w:themeColor="text1"/>
        </w:rPr>
        <w:t>the Commission and the State of Peru 2 signed</w:t>
      </w:r>
      <w:r w:rsidRPr="001B1480">
        <w:rPr>
          <w:rFonts w:cs="Calibri"/>
        </w:rPr>
        <w:footnoteReference w:id="136"/>
      </w:r>
      <w:r w:rsidRPr="008E3CE9">
        <w:rPr>
          <w:rFonts w:cs="Calibri"/>
          <w:color w:val="000000" w:themeColor="text1"/>
        </w:rPr>
        <w:t xml:space="preserve">. </w:t>
      </w:r>
      <w:r>
        <w:rPr>
          <w:rFonts w:cs="Calibri"/>
          <w:color w:val="000000" w:themeColor="text1"/>
        </w:rPr>
        <w:t>To promote</w:t>
      </w:r>
      <w:r w:rsidRPr="001B1480">
        <w:rPr>
          <w:rFonts w:cs="Calibri"/>
          <w:color w:val="000000" w:themeColor="text1"/>
        </w:rPr>
        <w:t xml:space="preserve"> this follow-up strategy, the IACHR prepared a form to facilitate and strengthen the joint follow-up work developed hand in hand with the Peruvian State and the petitioner during the last year. Unlike the follow-up sheets for the other cases included in this report, the factsheet for the </w:t>
      </w:r>
      <w:r w:rsidRPr="008E3CE9">
        <w:rPr>
          <w:rFonts w:cs="Calibri"/>
          <w:color w:val="000000" w:themeColor="text1"/>
        </w:rPr>
        <w:t>Joint Press Release P-1193-CA</w:t>
      </w:r>
      <w:r>
        <w:rPr>
          <w:rFonts w:cs="Calibri"/>
          <w:color w:val="000000" w:themeColor="text1"/>
        </w:rPr>
        <w:t xml:space="preserve"> cases</w:t>
      </w:r>
      <w:r w:rsidRPr="001B1480">
        <w:rPr>
          <w:rFonts w:cs="Calibri"/>
          <w:color w:val="000000" w:themeColor="text1"/>
        </w:rPr>
        <w:t xml:space="preserve"> does not establish levels of compliance with the recommendations issued by the IACHR in these cases. Its purpose is to provide the process with a mechanism for systematizing information that centralizes and makes the State's compliance efforts visible. It also allows for unified information based on the reports provided by the parties and considering the large number of cases under follow-up. It is worth mentioning that, before preparing this file, this chapter included the follow-up of three cases with reports published since 2001 involving the State of Peru</w:t>
      </w:r>
      <w:r w:rsidRPr="001B1480">
        <w:rPr>
          <w:rFonts w:cs="Calibri"/>
        </w:rPr>
        <w:footnoteReference w:id="137"/>
      </w:r>
      <w:r w:rsidRPr="001B1480">
        <w:rPr>
          <w:rFonts w:cs="Calibri"/>
          <w:color w:val="000000" w:themeColor="text1"/>
        </w:rPr>
        <w:t xml:space="preserve">. Considering that these three cases are part of the cases included in paragraphs c and d of the Press Release, for methodological reasons, the follow-up of these cases will be assumed together with the other cases of the Press Release and included in the corresponding file. </w:t>
      </w:r>
    </w:p>
    <w:p w14:paraId="3680BBAF" w14:textId="77777777" w:rsidR="001B1480" w:rsidRPr="001B1480" w:rsidRDefault="001B1480" w:rsidP="001B1480">
      <w:pPr>
        <w:pStyle w:val="BodyText"/>
        <w:widowControl/>
        <w:ind w:left="720"/>
        <w:jc w:val="both"/>
        <w:rPr>
          <w:rFonts w:cs="Calibri"/>
          <w:color w:val="000000" w:themeColor="text1"/>
        </w:rPr>
      </w:pPr>
    </w:p>
    <w:p w14:paraId="79AA658E" w14:textId="77777777" w:rsidR="0096378F" w:rsidRDefault="0096378F" w:rsidP="00933F91">
      <w:pPr>
        <w:pStyle w:val="BodyText"/>
        <w:widowControl/>
        <w:numPr>
          <w:ilvl w:val="0"/>
          <w:numId w:val="58"/>
        </w:numPr>
        <w:ind w:left="0" w:firstLine="720"/>
        <w:jc w:val="both"/>
        <w:rPr>
          <w:rFonts w:cs="Calibri"/>
          <w:color w:val="000000" w:themeColor="text1"/>
        </w:rPr>
      </w:pPr>
      <w:r w:rsidRPr="001B1480">
        <w:rPr>
          <w:rFonts w:cs="Calibri"/>
          <w:color w:val="000000" w:themeColor="text1"/>
        </w:rPr>
        <w:t>Likewise, concerning Case 12.228 Alfonso Martín del Campo Dodd (Mexico), in 2022, a follow-up strategy was implemented consisting of bimonthly technical meetings with the State, the petitioners, and the technical team of the Commission, at the request of the parties to develop measures aimed at complying with the recommendations issued in the Merits Report, as well as the signing of a Compliance Agreement, which was signed in December 2022. A similar strategy was adopted by the IACHR for Case 12.051 Maria da Penha (Brazil), through working meetings every two months, with the aim of reinforcing follow-up on the recommendations of the case with a structural scope concerning domestic violence.</w:t>
      </w:r>
    </w:p>
    <w:p w14:paraId="1C235222" w14:textId="77777777" w:rsidR="001B1480" w:rsidRPr="001B1480" w:rsidRDefault="001B1480" w:rsidP="001B1480">
      <w:pPr>
        <w:pStyle w:val="BodyText"/>
        <w:widowControl/>
        <w:ind w:left="0"/>
        <w:jc w:val="both"/>
        <w:rPr>
          <w:rFonts w:cs="Calibri"/>
          <w:color w:val="000000" w:themeColor="text1"/>
        </w:rPr>
      </w:pPr>
    </w:p>
    <w:p w14:paraId="1906FC3D" w14:textId="77777777" w:rsidR="0096378F" w:rsidRPr="00875444" w:rsidRDefault="0096378F" w:rsidP="00933F91">
      <w:pPr>
        <w:pStyle w:val="BodyText"/>
        <w:widowControl/>
        <w:numPr>
          <w:ilvl w:val="0"/>
          <w:numId w:val="58"/>
        </w:numPr>
        <w:ind w:left="0" w:firstLine="720"/>
        <w:jc w:val="both"/>
        <w:rPr>
          <w:rFonts w:eastAsia="Yu Gothic Light" w:cs="Times New Roman"/>
          <w:b/>
          <w:color w:val="000000" w:themeColor="text1"/>
        </w:rPr>
      </w:pPr>
      <w:r w:rsidRPr="001B7178">
        <w:rPr>
          <w:rFonts w:cs="Calibri"/>
          <w:color w:val="000000" w:themeColor="text1"/>
        </w:rPr>
        <w:t xml:space="preserve">The following is a list of the published merits reports in the chronological order of their approval and grouped by respective States. This table provides direct access to a link containing the follow-up </w:t>
      </w:r>
      <w:r w:rsidRPr="001B7178">
        <w:rPr>
          <w:rFonts w:cs="Calibri"/>
          <w:color w:val="000000" w:themeColor="text1"/>
        </w:rPr>
        <w:lastRenderedPageBreak/>
        <w:t>sheet prepared by the IACHR for each case in 2022. Thus, the follow-up status of the published merits reports as of December 31, 2022, is as follows:</w:t>
      </w:r>
    </w:p>
    <w:p w14:paraId="5EC83331" w14:textId="77777777" w:rsidR="00875444" w:rsidRPr="001B7178" w:rsidRDefault="00875444" w:rsidP="00875444">
      <w:pPr>
        <w:pStyle w:val="BodyText"/>
        <w:widowControl/>
        <w:ind w:left="0"/>
        <w:jc w:val="both"/>
        <w:rPr>
          <w:rFonts w:eastAsia="Yu Gothic Light" w:cs="Times New Roman"/>
          <w:b/>
          <w:color w:val="000000" w:themeColor="text1"/>
        </w:rPr>
      </w:pPr>
    </w:p>
    <w:tbl>
      <w:tblPr>
        <w:tblW w:w="5000" w:type="pct"/>
        <w:tblBorders>
          <w:insideH w:val="single" w:sz="18" w:space="0" w:color="FFFFFF"/>
          <w:insideV w:val="single" w:sz="18" w:space="0" w:color="FFFFFF"/>
        </w:tblBorders>
        <w:shd w:val="clear" w:color="auto" w:fill="E7E6E6" w:themeFill="background2"/>
        <w:tblLayout w:type="fixed"/>
        <w:tblLook w:val="0020" w:firstRow="1" w:lastRow="0" w:firstColumn="0" w:lastColumn="0" w:noHBand="0" w:noVBand="0"/>
      </w:tblPr>
      <w:tblGrid>
        <w:gridCol w:w="1800"/>
        <w:gridCol w:w="1080"/>
        <w:gridCol w:w="1350"/>
        <w:gridCol w:w="1350"/>
        <w:gridCol w:w="1350"/>
        <w:gridCol w:w="1260"/>
        <w:gridCol w:w="1170"/>
      </w:tblGrid>
      <w:tr w:rsidR="0096378F" w:rsidRPr="0093583F" w14:paraId="1B990CFB" w14:textId="77777777" w:rsidTr="3E2B1321">
        <w:trPr>
          <w:trHeight w:val="47"/>
        </w:trPr>
        <w:tc>
          <w:tcPr>
            <w:tcW w:w="962" w:type="pct"/>
            <w:shd w:val="clear" w:color="auto" w:fill="AEAAAA" w:themeFill="background2" w:themeFillShade="BF"/>
            <w:vAlign w:val="center"/>
          </w:tcPr>
          <w:p w14:paraId="3C07692E" w14:textId="77777777" w:rsidR="0096378F" w:rsidRPr="0093583F" w:rsidRDefault="0096378F">
            <w:pPr>
              <w:jc w:val="center"/>
              <w:rPr>
                <w:rFonts w:ascii="Cambria" w:eastAsia="MS Mincho" w:hAnsi="Cambria" w:cs="Calibri"/>
                <w:b/>
                <w:color w:val="000000" w:themeColor="text1"/>
                <w:sz w:val="16"/>
                <w:szCs w:val="16"/>
                <w:lang w:val="es-US" w:eastAsia="es-ES_tradnl"/>
              </w:rPr>
            </w:pPr>
            <w:r w:rsidRPr="0093583F">
              <w:rPr>
                <w:rFonts w:ascii="Cambria" w:eastAsia="MS Mincho" w:hAnsi="Cambria" w:cs="Calibri"/>
                <w:b/>
                <w:color w:val="000000" w:themeColor="text1"/>
                <w:sz w:val="16"/>
                <w:szCs w:val="16"/>
                <w:lang w:val="es-US" w:eastAsia="es-ES_tradnl"/>
              </w:rPr>
              <w:t>CAS</w:t>
            </w:r>
            <w:r>
              <w:rPr>
                <w:rFonts w:ascii="Cambria" w:eastAsia="MS Mincho" w:hAnsi="Cambria" w:cs="Calibri"/>
                <w:b/>
                <w:color w:val="000000" w:themeColor="text1"/>
                <w:sz w:val="16"/>
                <w:szCs w:val="16"/>
                <w:lang w:val="es-US" w:eastAsia="es-ES_tradnl"/>
              </w:rPr>
              <w:t>E</w:t>
            </w:r>
          </w:p>
        </w:tc>
        <w:tc>
          <w:tcPr>
            <w:tcW w:w="577" w:type="pct"/>
            <w:shd w:val="clear" w:color="auto" w:fill="AEAAAA" w:themeFill="background2" w:themeFillShade="BF"/>
            <w:vAlign w:val="center"/>
          </w:tcPr>
          <w:p w14:paraId="035AEC52" w14:textId="77777777" w:rsidR="0096378F" w:rsidRPr="0093583F" w:rsidRDefault="0096378F">
            <w:pPr>
              <w:jc w:val="center"/>
              <w:rPr>
                <w:rFonts w:ascii="Cambria" w:eastAsia="MS Mincho" w:hAnsi="Cambria" w:cs="Calibri"/>
                <w:b/>
                <w:color w:val="000000" w:themeColor="text1"/>
                <w:sz w:val="16"/>
                <w:szCs w:val="16"/>
                <w:lang w:val="es-US" w:eastAsia="es-ES_tradnl"/>
              </w:rPr>
            </w:pPr>
            <w:r>
              <w:rPr>
                <w:rFonts w:ascii="Cambria" w:eastAsia="MS Mincho" w:hAnsi="Cambria" w:cs="Calibri"/>
                <w:b/>
                <w:color w:val="000000" w:themeColor="text1"/>
                <w:sz w:val="16"/>
                <w:szCs w:val="16"/>
                <w:lang w:val="es-US" w:eastAsia="es-ES_tradnl"/>
              </w:rPr>
              <w:t>Link to file</w:t>
            </w:r>
          </w:p>
        </w:tc>
        <w:tc>
          <w:tcPr>
            <w:tcW w:w="721" w:type="pct"/>
            <w:shd w:val="clear" w:color="auto" w:fill="AEAAAA" w:themeFill="background2" w:themeFillShade="BF"/>
          </w:tcPr>
          <w:p w14:paraId="5228BAC3" w14:textId="77777777" w:rsidR="0096378F" w:rsidRPr="00A66F64" w:rsidRDefault="0096378F">
            <w:pPr>
              <w:jc w:val="center"/>
              <w:rPr>
                <w:rFonts w:ascii="Cambria" w:eastAsia="MS Mincho" w:hAnsi="Cambria" w:cs="Calibri"/>
                <w:b/>
                <w:color w:val="000000" w:themeColor="text1"/>
                <w:sz w:val="16"/>
                <w:szCs w:val="16"/>
                <w:lang w:eastAsia="es-ES_tradnl"/>
              </w:rPr>
            </w:pPr>
            <w:r w:rsidRPr="00A66F64">
              <w:rPr>
                <w:rFonts w:ascii="Cambria" w:eastAsia="MS Mincho" w:hAnsi="Cambria" w:cs="Calibri"/>
                <w:b/>
                <w:color w:val="000000" w:themeColor="text1"/>
                <w:sz w:val="16"/>
                <w:szCs w:val="16"/>
                <w:lang w:eastAsia="es-ES_tradnl"/>
              </w:rPr>
              <w:t>Compliance level not yet determined</w:t>
            </w:r>
          </w:p>
        </w:tc>
        <w:tc>
          <w:tcPr>
            <w:tcW w:w="721" w:type="pct"/>
            <w:shd w:val="clear" w:color="auto" w:fill="AEAAAA" w:themeFill="background2" w:themeFillShade="BF"/>
            <w:vAlign w:val="center"/>
          </w:tcPr>
          <w:p w14:paraId="7F91B4C9" w14:textId="77777777" w:rsidR="0096378F" w:rsidRPr="0093583F" w:rsidRDefault="0096378F">
            <w:pPr>
              <w:jc w:val="center"/>
              <w:rPr>
                <w:rFonts w:ascii="Cambria" w:eastAsia="MS Mincho" w:hAnsi="Cambria" w:cs="Calibri"/>
                <w:b/>
                <w:color w:val="000000" w:themeColor="text1"/>
                <w:sz w:val="16"/>
                <w:szCs w:val="16"/>
                <w:lang w:val="es-US" w:eastAsia="es-ES_tradnl"/>
              </w:rPr>
            </w:pPr>
            <w:r>
              <w:rPr>
                <w:rFonts w:ascii="Cambria" w:eastAsia="MS Mincho" w:hAnsi="Cambria" w:cs="Calibri"/>
                <w:b/>
                <w:color w:val="000000" w:themeColor="text1"/>
                <w:sz w:val="16"/>
                <w:szCs w:val="16"/>
                <w:lang w:val="es-US" w:eastAsia="es-ES_tradnl"/>
              </w:rPr>
              <w:t>Full compliance</w:t>
            </w:r>
          </w:p>
        </w:tc>
        <w:tc>
          <w:tcPr>
            <w:tcW w:w="721" w:type="pct"/>
            <w:shd w:val="clear" w:color="auto" w:fill="AEAAAA" w:themeFill="background2" w:themeFillShade="BF"/>
            <w:vAlign w:val="center"/>
          </w:tcPr>
          <w:p w14:paraId="13D17D15" w14:textId="77777777" w:rsidR="0096378F" w:rsidRPr="0093583F" w:rsidRDefault="0096378F">
            <w:pPr>
              <w:jc w:val="center"/>
              <w:rPr>
                <w:rFonts w:ascii="Cambria" w:eastAsia="MS Mincho" w:hAnsi="Cambria" w:cs="Calibri"/>
                <w:b/>
                <w:color w:val="000000" w:themeColor="text1"/>
                <w:sz w:val="16"/>
                <w:szCs w:val="16"/>
                <w:lang w:val="es-US" w:eastAsia="es-ES_tradnl"/>
              </w:rPr>
            </w:pPr>
            <w:r>
              <w:rPr>
                <w:rFonts w:ascii="Cambria" w:eastAsia="MS Mincho" w:hAnsi="Cambria" w:cs="Calibri"/>
                <w:b/>
                <w:color w:val="000000" w:themeColor="text1"/>
                <w:sz w:val="16"/>
                <w:szCs w:val="16"/>
                <w:lang w:val="es-US" w:eastAsia="es-ES_tradnl"/>
              </w:rPr>
              <w:t xml:space="preserve">Partial compliance </w:t>
            </w:r>
          </w:p>
        </w:tc>
        <w:tc>
          <w:tcPr>
            <w:tcW w:w="673" w:type="pct"/>
            <w:shd w:val="clear" w:color="auto" w:fill="AEAAAA" w:themeFill="background2" w:themeFillShade="BF"/>
            <w:vAlign w:val="center"/>
          </w:tcPr>
          <w:p w14:paraId="66B83E0E" w14:textId="77777777" w:rsidR="0096378F" w:rsidRPr="0093583F" w:rsidRDefault="0096378F">
            <w:pPr>
              <w:jc w:val="center"/>
              <w:rPr>
                <w:rFonts w:ascii="Cambria" w:eastAsia="MS Mincho" w:hAnsi="Cambria" w:cs="Calibri"/>
                <w:b/>
                <w:color w:val="000000" w:themeColor="text1"/>
                <w:sz w:val="16"/>
                <w:szCs w:val="16"/>
                <w:lang w:val="es-US" w:eastAsia="es-ES_tradnl"/>
              </w:rPr>
            </w:pPr>
            <w:r w:rsidRPr="0093583F">
              <w:rPr>
                <w:rFonts w:ascii="Cambria" w:eastAsia="MS Mincho" w:hAnsi="Cambria" w:cs="Calibri"/>
                <w:b/>
                <w:color w:val="000000" w:themeColor="text1"/>
                <w:sz w:val="16"/>
                <w:szCs w:val="16"/>
                <w:lang w:val="es-US" w:eastAsia="es-ES_tradnl"/>
              </w:rPr>
              <w:t>Pendi</w:t>
            </w:r>
            <w:r>
              <w:rPr>
                <w:rFonts w:ascii="Cambria" w:eastAsia="MS Mincho" w:hAnsi="Cambria" w:cs="Calibri"/>
                <w:b/>
                <w:color w:val="000000" w:themeColor="text1"/>
                <w:sz w:val="16"/>
                <w:szCs w:val="16"/>
                <w:lang w:val="es-US" w:eastAsia="es-ES_tradnl"/>
              </w:rPr>
              <w:t>ng compliance</w:t>
            </w:r>
          </w:p>
        </w:tc>
        <w:tc>
          <w:tcPr>
            <w:tcW w:w="625" w:type="pct"/>
            <w:shd w:val="clear" w:color="auto" w:fill="AEAAAA" w:themeFill="background2" w:themeFillShade="BF"/>
            <w:vAlign w:val="center"/>
          </w:tcPr>
          <w:p w14:paraId="45319E77" w14:textId="77777777" w:rsidR="0096378F" w:rsidRPr="0093583F" w:rsidRDefault="0096378F">
            <w:pPr>
              <w:jc w:val="center"/>
              <w:rPr>
                <w:rFonts w:ascii="Cambria" w:eastAsia="MS Mincho" w:hAnsi="Cambria" w:cs="Calibri"/>
                <w:b/>
                <w:color w:val="000000" w:themeColor="text1"/>
                <w:sz w:val="16"/>
                <w:szCs w:val="16"/>
                <w:lang w:val="es-US" w:eastAsia="es-ES_tradnl"/>
              </w:rPr>
            </w:pPr>
            <w:r>
              <w:rPr>
                <w:rFonts w:ascii="Cambria" w:eastAsia="MS Mincho" w:hAnsi="Cambria" w:cs="Calibri"/>
                <w:b/>
                <w:color w:val="000000" w:themeColor="text1"/>
                <w:sz w:val="16"/>
                <w:szCs w:val="16"/>
                <w:lang w:val="es-US" w:eastAsia="es-ES_tradnl"/>
              </w:rPr>
              <w:t>Follow-up status</w:t>
            </w:r>
          </w:p>
        </w:tc>
      </w:tr>
      <w:tr w:rsidR="0096378F" w:rsidRPr="0093583F" w14:paraId="2D294295" w14:textId="77777777" w:rsidTr="3E2B1321">
        <w:trPr>
          <w:trHeight w:val="31"/>
        </w:trPr>
        <w:tc>
          <w:tcPr>
            <w:tcW w:w="962" w:type="pct"/>
            <w:shd w:val="clear" w:color="auto" w:fill="D0CECE" w:themeFill="background2" w:themeFillShade="E6"/>
          </w:tcPr>
          <w:p w14:paraId="5993B32D" w14:textId="77777777" w:rsidR="0096378F" w:rsidRPr="0093583F" w:rsidRDefault="0096378F">
            <w:pPr>
              <w:contextualSpacing/>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 xml:space="preserve">Case </w:t>
            </w:r>
            <w:r w:rsidRPr="0093583F">
              <w:rPr>
                <w:rFonts w:ascii="Cambria" w:eastAsia="MS Mincho" w:hAnsi="Cambria" w:cs="Calibri"/>
                <w:color w:val="000000" w:themeColor="text1"/>
                <w:sz w:val="16"/>
                <w:szCs w:val="16"/>
                <w:lang w:val="es-US"/>
              </w:rPr>
              <w:t xml:space="preserve">11.732, </w:t>
            </w:r>
            <w:r>
              <w:rPr>
                <w:rFonts w:ascii="Cambria" w:eastAsia="MS Mincho" w:hAnsi="Cambria" w:cs="Calibri"/>
                <w:color w:val="000000" w:themeColor="text1"/>
                <w:sz w:val="16"/>
                <w:szCs w:val="16"/>
                <w:lang w:val="es-US"/>
              </w:rPr>
              <w:t>Report</w:t>
            </w:r>
            <w:r w:rsidRPr="0093583F">
              <w:rPr>
                <w:rFonts w:ascii="Cambria" w:eastAsia="MS Mincho" w:hAnsi="Cambria" w:cs="Calibri"/>
                <w:color w:val="000000" w:themeColor="text1"/>
                <w:sz w:val="16"/>
                <w:szCs w:val="16"/>
                <w:lang w:val="es-US"/>
              </w:rPr>
              <w:t xml:space="preserve"> Nº 83/09, Horacio Aníbal Schillizzi (Argentina)</w:t>
            </w:r>
            <w:r w:rsidRPr="0093583F">
              <w:rPr>
                <w:rFonts w:ascii="Cambria" w:eastAsia="MS Mincho" w:hAnsi="Cambria" w:cs="Calibri"/>
                <w:color w:val="000000" w:themeColor="text1"/>
                <w:sz w:val="16"/>
                <w:szCs w:val="16"/>
                <w:vertAlign w:val="superscript"/>
                <w:lang w:val="es-US"/>
              </w:rPr>
              <w:footnoteReference w:id="138"/>
            </w:r>
            <w:r w:rsidRPr="0093583F">
              <w:rPr>
                <w:rFonts w:ascii="Cambria" w:eastAsia="MS Mincho" w:hAnsi="Cambria" w:cs="Calibri"/>
                <w:color w:val="000000" w:themeColor="text1"/>
                <w:sz w:val="16"/>
                <w:szCs w:val="16"/>
                <w:lang w:val="es-US"/>
              </w:rPr>
              <w:t xml:space="preserve"> </w:t>
            </w:r>
          </w:p>
        </w:tc>
        <w:tc>
          <w:tcPr>
            <w:tcW w:w="577" w:type="pct"/>
            <w:shd w:val="clear" w:color="auto" w:fill="D0CECE" w:themeFill="background2" w:themeFillShade="E6"/>
            <w:vAlign w:val="center"/>
          </w:tcPr>
          <w:p w14:paraId="124DB5D1"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tcPr>
          <w:p w14:paraId="4A44DF0D"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vAlign w:val="center"/>
          </w:tcPr>
          <w:p w14:paraId="4F2DE48A"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vAlign w:val="center"/>
          </w:tcPr>
          <w:p w14:paraId="2EA574C6"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D0CECE" w:themeFill="background2" w:themeFillShade="E6"/>
            <w:vAlign w:val="center"/>
          </w:tcPr>
          <w:p w14:paraId="1C7DA653" w14:textId="77777777" w:rsidR="0096378F" w:rsidRPr="0093583F" w:rsidRDefault="0096378F">
            <w:pPr>
              <w:keepNext/>
              <w:ind w:firstLine="720"/>
              <w:jc w:val="center"/>
              <w:outlineLvl w:val="2"/>
              <w:rPr>
                <w:rFonts w:ascii="Cambria" w:eastAsia="MS Mincho" w:hAnsi="Cambria" w:cs="Calibri"/>
                <w:color w:val="000000" w:themeColor="text1"/>
                <w:sz w:val="16"/>
                <w:szCs w:val="16"/>
                <w:lang w:val="es-US"/>
              </w:rPr>
            </w:pPr>
          </w:p>
        </w:tc>
        <w:tc>
          <w:tcPr>
            <w:tcW w:w="625" w:type="pct"/>
            <w:shd w:val="clear" w:color="auto" w:fill="D0CECE" w:themeFill="background2" w:themeFillShade="E6"/>
            <w:vAlign w:val="center"/>
          </w:tcPr>
          <w:p w14:paraId="1B628231" w14:textId="77777777" w:rsidR="0096378F" w:rsidRPr="0093583F" w:rsidRDefault="0096378F">
            <w:pPr>
              <w:keepNext/>
              <w:jc w:val="center"/>
              <w:outlineLvl w:val="2"/>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Closed</w:t>
            </w:r>
          </w:p>
        </w:tc>
      </w:tr>
      <w:tr w:rsidR="0096378F" w:rsidRPr="0093583F" w14:paraId="6C5E3D8E" w14:textId="77777777" w:rsidTr="3E2B1321">
        <w:trPr>
          <w:trHeight w:val="37"/>
        </w:trPr>
        <w:tc>
          <w:tcPr>
            <w:tcW w:w="962" w:type="pct"/>
            <w:shd w:val="clear" w:color="auto" w:fill="E7E6E6" w:themeFill="background2"/>
          </w:tcPr>
          <w:p w14:paraId="22EC0B1F" w14:textId="77777777" w:rsidR="0096378F" w:rsidRPr="0093583F" w:rsidRDefault="0096378F">
            <w:pPr>
              <w:rPr>
                <w:rFonts w:ascii="Cambria" w:eastAsia="MS Mincho" w:hAnsi="Cambria" w:cs="Calibri"/>
                <w:color w:val="000000" w:themeColor="text1"/>
                <w:sz w:val="16"/>
                <w:szCs w:val="16"/>
                <w:lang w:val="es-US"/>
              </w:rPr>
            </w:pPr>
            <w:bookmarkStart w:id="4" w:name="_Hlk91082727"/>
            <w:r>
              <w:rPr>
                <w:rFonts w:ascii="Cambria" w:eastAsia="MS Mincho" w:hAnsi="Cambria" w:cs="Calibri"/>
                <w:color w:val="000000" w:themeColor="text1"/>
                <w:sz w:val="16"/>
                <w:szCs w:val="16"/>
                <w:lang w:val="es-US"/>
              </w:rPr>
              <w:t xml:space="preserve">Case </w:t>
            </w:r>
            <w:r w:rsidRPr="0093583F">
              <w:rPr>
                <w:rFonts w:ascii="Cambria" w:eastAsia="MS Mincho" w:hAnsi="Cambria" w:cs="Calibri"/>
                <w:color w:val="000000" w:themeColor="text1"/>
                <w:sz w:val="16"/>
                <w:szCs w:val="16"/>
                <w:lang w:val="es-US"/>
              </w:rPr>
              <w:t xml:space="preserve">12.324, </w:t>
            </w:r>
            <w:r>
              <w:rPr>
                <w:rFonts w:ascii="Cambria" w:eastAsia="MS Mincho" w:hAnsi="Cambria" w:cs="Calibri"/>
                <w:color w:val="000000" w:themeColor="text1"/>
                <w:sz w:val="16"/>
                <w:szCs w:val="16"/>
                <w:lang w:val="es-US"/>
              </w:rPr>
              <w:t>Report</w:t>
            </w:r>
            <w:r w:rsidRPr="0093583F">
              <w:rPr>
                <w:rFonts w:ascii="Cambria" w:eastAsia="MS Mincho" w:hAnsi="Cambria" w:cs="Calibri"/>
                <w:color w:val="000000" w:themeColor="text1"/>
                <w:sz w:val="16"/>
                <w:szCs w:val="16"/>
                <w:lang w:val="es-US"/>
              </w:rPr>
              <w:t xml:space="preserve"> Nº 66/12, Rubén Luis Godoy (Argentina)</w:t>
            </w:r>
            <w:bookmarkEnd w:id="4"/>
          </w:p>
        </w:tc>
        <w:tc>
          <w:tcPr>
            <w:tcW w:w="577" w:type="pct"/>
            <w:shd w:val="clear" w:color="auto" w:fill="E7E6E6" w:themeFill="background2"/>
            <w:vAlign w:val="center"/>
          </w:tcPr>
          <w:p w14:paraId="5473788E"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71">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CE4C6A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FA7256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A51D32D"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01F567D"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D45DDE4" w14:textId="77777777" w:rsidR="0096378F" w:rsidRPr="0093583F" w:rsidRDefault="0096378F">
            <w:pPr>
              <w:keepNext/>
              <w:jc w:val="center"/>
              <w:outlineLvl w:val="2"/>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Open</w:t>
            </w:r>
          </w:p>
        </w:tc>
      </w:tr>
      <w:tr w:rsidR="0096378F" w:rsidRPr="0093583F" w14:paraId="18115363" w14:textId="77777777" w:rsidTr="3E2B1321">
        <w:trPr>
          <w:trHeight w:val="37"/>
        </w:trPr>
        <w:tc>
          <w:tcPr>
            <w:tcW w:w="962" w:type="pct"/>
            <w:shd w:val="clear" w:color="auto" w:fill="E7E6E6" w:themeFill="background2"/>
          </w:tcPr>
          <w:p w14:paraId="766C6698" w14:textId="77777777" w:rsidR="0096378F" w:rsidRPr="0093583F" w:rsidRDefault="0096378F">
            <w:pPr>
              <w:rPr>
                <w:rFonts w:ascii="Cambria" w:eastAsia="MS Mincho" w:hAnsi="Cambria" w:cs="Calibri"/>
                <w:color w:val="000000" w:themeColor="text1"/>
                <w:sz w:val="16"/>
                <w:szCs w:val="16"/>
                <w:lang w:val="es-US"/>
              </w:rPr>
            </w:pPr>
            <w:bookmarkStart w:id="5" w:name="_Hlk91083219"/>
            <w:r>
              <w:rPr>
                <w:rFonts w:ascii="Cambria" w:eastAsia="MS Mincho" w:hAnsi="Cambria" w:cs="Calibri"/>
                <w:color w:val="000000" w:themeColor="text1"/>
                <w:sz w:val="16"/>
                <w:szCs w:val="16"/>
                <w:lang w:val="es-US"/>
              </w:rPr>
              <w:t xml:space="preserve">Case </w:t>
            </w:r>
            <w:r w:rsidRPr="0093583F">
              <w:rPr>
                <w:rFonts w:ascii="Cambria" w:eastAsia="MS Mincho" w:hAnsi="Cambria" w:cs="Calibri"/>
                <w:color w:val="000000" w:themeColor="text1"/>
                <w:sz w:val="16"/>
                <w:szCs w:val="16"/>
                <w:lang w:val="es-US"/>
              </w:rPr>
              <w:t xml:space="preserve">12.632, </w:t>
            </w:r>
            <w:r>
              <w:rPr>
                <w:rFonts w:ascii="Cambria" w:eastAsia="MS Mincho" w:hAnsi="Cambria" w:cs="Calibri"/>
                <w:color w:val="000000" w:themeColor="text1"/>
                <w:sz w:val="16"/>
                <w:szCs w:val="16"/>
                <w:lang w:val="es-US"/>
              </w:rPr>
              <w:t>Report</w:t>
            </w:r>
            <w:r w:rsidRPr="0093583F">
              <w:rPr>
                <w:rFonts w:ascii="Cambria" w:eastAsia="MS Mincho" w:hAnsi="Cambria" w:cs="Calibri"/>
                <w:color w:val="000000" w:themeColor="text1"/>
                <w:sz w:val="16"/>
                <w:szCs w:val="16"/>
                <w:lang w:val="es-US"/>
              </w:rPr>
              <w:t xml:space="preserve"> Nº 43/15, Adriana Beatriz Gallo, Ana María Careaga and Silvia Maluf De Christin (Argentina) </w:t>
            </w:r>
            <w:bookmarkEnd w:id="5"/>
          </w:p>
        </w:tc>
        <w:tc>
          <w:tcPr>
            <w:tcW w:w="577" w:type="pct"/>
            <w:shd w:val="clear" w:color="auto" w:fill="E7E6E6" w:themeFill="background2"/>
            <w:vAlign w:val="center"/>
          </w:tcPr>
          <w:p w14:paraId="37A8D8B8"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72">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38EDC4A"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AA5EDBA"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A9DF986"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97A5463"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504111C"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B55D5B" w14:paraId="1027630E" w14:textId="77777777" w:rsidTr="3E2B1321">
        <w:trPr>
          <w:trHeight w:val="37"/>
        </w:trPr>
        <w:tc>
          <w:tcPr>
            <w:tcW w:w="962" w:type="pct"/>
            <w:shd w:val="clear" w:color="auto" w:fill="E7E6E6" w:themeFill="background2"/>
          </w:tcPr>
          <w:p w14:paraId="6BB8CC3D" w14:textId="77777777" w:rsidR="0096378F" w:rsidRPr="00510640" w:rsidRDefault="0096378F">
            <w:pPr>
              <w:rPr>
                <w:rFonts w:ascii="Cambria" w:eastAsia="MS Mincho" w:hAnsi="Cambria" w:cs="Calibri"/>
                <w:color w:val="000000" w:themeColor="text1"/>
                <w:sz w:val="16"/>
                <w:szCs w:val="16"/>
                <w:lang w:val="pt-BR"/>
              </w:rPr>
            </w:pPr>
            <w:r w:rsidRPr="00510640">
              <w:rPr>
                <w:rFonts w:ascii="Cambria" w:eastAsia="MS Mincho" w:hAnsi="Cambria" w:cs="Calibri"/>
                <w:color w:val="000000" w:themeColor="text1"/>
                <w:sz w:val="16"/>
                <w:szCs w:val="16"/>
                <w:lang w:val="pt-BR"/>
              </w:rPr>
              <w:t>Case 12.721, Report 460/21, Ángel Pedro Falanga (Argentina)</w:t>
            </w:r>
          </w:p>
        </w:tc>
        <w:tc>
          <w:tcPr>
            <w:tcW w:w="577" w:type="pct"/>
            <w:shd w:val="clear" w:color="auto" w:fill="E7E6E6" w:themeFill="background2"/>
            <w:vAlign w:val="center"/>
          </w:tcPr>
          <w:p w14:paraId="2B8020BF" w14:textId="77777777" w:rsidR="0096378F" w:rsidRPr="00510640" w:rsidRDefault="0071198A" w:rsidP="3E2B1321">
            <w:pPr>
              <w:ind w:left="72"/>
              <w:jc w:val="center"/>
              <w:rPr>
                <w:rFonts w:ascii="Cambria" w:eastAsia="MS Mincho" w:hAnsi="Cambria" w:cs="Calibri"/>
                <w:color w:val="000000" w:themeColor="text1"/>
                <w:sz w:val="16"/>
                <w:szCs w:val="16"/>
                <w:lang w:val="es-US" w:eastAsia="es-ES"/>
              </w:rPr>
            </w:pPr>
            <w:hyperlink r:id="rId73">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D74F81B" w14:textId="77777777" w:rsidR="0096378F" w:rsidRPr="00510640"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B5F10E8" w14:textId="77777777" w:rsidR="0096378F" w:rsidRPr="00510640"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91859BD" w14:textId="77777777" w:rsidR="0096378F" w:rsidRPr="00510640" w:rsidRDefault="0096378F">
            <w:pPr>
              <w:jc w:val="center"/>
              <w:rPr>
                <w:rFonts w:ascii="Cambria" w:eastAsia="MS Mincho" w:hAnsi="Cambria" w:cs="Calibri"/>
                <w:color w:val="000000" w:themeColor="text1"/>
                <w:sz w:val="16"/>
                <w:szCs w:val="16"/>
                <w:lang w:val="es-US" w:eastAsia="es-ES_tradnl"/>
              </w:rPr>
            </w:pPr>
            <w:r w:rsidRPr="00510640">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637901C" w14:textId="77777777" w:rsidR="0096378F" w:rsidRPr="00510640"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CA063F4" w14:textId="77777777" w:rsidR="0096378F" w:rsidRPr="00510640" w:rsidRDefault="0096378F">
            <w:pPr>
              <w:jc w:val="center"/>
              <w:rPr>
                <w:rFonts w:ascii="Cambria" w:eastAsia="MS Mincho" w:hAnsi="Cambria" w:cs="Calibri"/>
                <w:color w:val="000000" w:themeColor="text1"/>
                <w:sz w:val="16"/>
                <w:szCs w:val="16"/>
                <w:lang w:val="es-US"/>
              </w:rPr>
            </w:pPr>
            <w:r w:rsidRPr="00510640">
              <w:rPr>
                <w:rFonts w:ascii="Cambria" w:eastAsia="MS Mincho" w:hAnsi="Cambria" w:cs="Calibri"/>
                <w:color w:val="000000" w:themeColor="text1"/>
                <w:sz w:val="16"/>
                <w:szCs w:val="16"/>
                <w:lang w:val="es-US"/>
              </w:rPr>
              <w:t>Open</w:t>
            </w:r>
          </w:p>
        </w:tc>
      </w:tr>
      <w:tr w:rsidR="0096378F" w:rsidRPr="00B55D5B" w14:paraId="1970B48A" w14:textId="77777777" w:rsidTr="3E2B1321">
        <w:trPr>
          <w:trHeight w:val="37"/>
        </w:trPr>
        <w:tc>
          <w:tcPr>
            <w:tcW w:w="962" w:type="pct"/>
            <w:shd w:val="clear" w:color="auto" w:fill="D0CECE" w:themeFill="background2" w:themeFillShade="E6"/>
          </w:tcPr>
          <w:p w14:paraId="520FDAA4" w14:textId="77777777" w:rsidR="0096378F" w:rsidRPr="00554EB7" w:rsidRDefault="0096378F">
            <w:pPr>
              <w:rPr>
                <w:rFonts w:ascii="Cambria" w:eastAsia="MS Mincho" w:hAnsi="Cambria" w:cs="Calibri"/>
                <w:color w:val="000000" w:themeColor="text1"/>
                <w:sz w:val="16"/>
                <w:szCs w:val="16"/>
                <w:lang w:val="es-US"/>
              </w:rPr>
            </w:pPr>
            <w:r w:rsidRPr="00554EB7">
              <w:rPr>
                <w:rFonts w:ascii="Cambria" w:eastAsia="MS Mincho" w:hAnsi="Cambria" w:cs="Calibri"/>
                <w:color w:val="000000" w:themeColor="text1"/>
                <w:sz w:val="16"/>
                <w:szCs w:val="16"/>
                <w:lang w:val="es-US"/>
              </w:rPr>
              <w:t>Case 12.681, Report 268/21, Marcos Alejandro Martín (Argentina)</w:t>
            </w:r>
          </w:p>
        </w:tc>
        <w:tc>
          <w:tcPr>
            <w:tcW w:w="577" w:type="pct"/>
            <w:shd w:val="clear" w:color="auto" w:fill="D0CECE" w:themeFill="background2" w:themeFillShade="E6"/>
            <w:vAlign w:val="center"/>
          </w:tcPr>
          <w:p w14:paraId="45439527" w14:textId="77777777" w:rsidR="0096378F" w:rsidRPr="00554EB7" w:rsidRDefault="0071198A" w:rsidP="3E2B1321">
            <w:pPr>
              <w:ind w:left="72"/>
              <w:jc w:val="center"/>
              <w:rPr>
                <w:rFonts w:ascii="Cambria" w:eastAsia="MS Mincho" w:hAnsi="Cambria" w:cs="Calibri"/>
                <w:color w:val="000000" w:themeColor="text1"/>
                <w:sz w:val="16"/>
                <w:szCs w:val="16"/>
                <w:lang w:val="es-US" w:eastAsia="es-ES"/>
              </w:rPr>
            </w:pPr>
            <w:hyperlink r:id="rId74">
              <w:r w:rsidR="0096378F" w:rsidRPr="3E2B1321">
                <w:rPr>
                  <w:rStyle w:val="Hyperlink"/>
                  <w:rFonts w:ascii="Cambria" w:eastAsia="MS Mincho" w:hAnsi="Cambria" w:cs="Calibri"/>
                  <w:sz w:val="16"/>
                  <w:szCs w:val="16"/>
                  <w:lang w:val="es-US" w:eastAsia="es-ES"/>
                </w:rPr>
                <w:t>Link</w:t>
              </w:r>
            </w:hyperlink>
          </w:p>
        </w:tc>
        <w:tc>
          <w:tcPr>
            <w:tcW w:w="721" w:type="pct"/>
            <w:shd w:val="clear" w:color="auto" w:fill="D0CECE" w:themeFill="background2" w:themeFillShade="E6"/>
          </w:tcPr>
          <w:p w14:paraId="4CBDCF43" w14:textId="77777777" w:rsidR="0096378F" w:rsidRPr="00554EB7"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vAlign w:val="center"/>
          </w:tcPr>
          <w:p w14:paraId="28C50BDE" w14:textId="77777777" w:rsidR="0096378F" w:rsidRPr="00554EB7" w:rsidRDefault="0096378F">
            <w:pPr>
              <w:ind w:left="72"/>
              <w:jc w:val="center"/>
              <w:rPr>
                <w:rFonts w:ascii="Cambria" w:eastAsia="MS Mincho" w:hAnsi="Cambria" w:cs="Calibri"/>
                <w:color w:val="000000" w:themeColor="text1"/>
                <w:sz w:val="16"/>
                <w:szCs w:val="16"/>
                <w:lang w:val="es-US" w:eastAsia="es-ES_tradnl"/>
              </w:rPr>
            </w:pPr>
            <w:r w:rsidRPr="00554EB7">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2A6504EA" w14:textId="77777777" w:rsidR="0096378F" w:rsidRPr="00554EB7"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007A4081" w14:textId="77777777" w:rsidR="0096378F" w:rsidRPr="00554EB7"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6D0950E1" w14:textId="77777777" w:rsidR="0096378F" w:rsidRPr="00554EB7" w:rsidRDefault="0096378F">
            <w:pPr>
              <w:jc w:val="center"/>
              <w:rPr>
                <w:rFonts w:ascii="Cambria" w:eastAsia="MS Mincho" w:hAnsi="Cambria" w:cs="Calibri"/>
                <w:color w:val="000000" w:themeColor="text1"/>
                <w:sz w:val="16"/>
                <w:szCs w:val="16"/>
                <w:lang w:val="es-US"/>
              </w:rPr>
            </w:pPr>
            <w:r w:rsidRPr="00554EB7">
              <w:rPr>
                <w:rFonts w:ascii="Cambria" w:eastAsia="MS Mincho" w:hAnsi="Cambria" w:cs="Calibri"/>
                <w:color w:val="000000" w:themeColor="text1"/>
                <w:sz w:val="16"/>
                <w:szCs w:val="16"/>
                <w:lang w:val="es-US"/>
              </w:rPr>
              <w:t>Closed</w:t>
            </w:r>
            <w:r w:rsidRPr="00554EB7">
              <w:rPr>
                <w:rStyle w:val="FootnoteReference"/>
                <w:rFonts w:ascii="Cambria" w:hAnsi="Cambria"/>
                <w:bCs/>
                <w:color w:val="000000" w:themeColor="text1"/>
                <w:sz w:val="20"/>
                <w:szCs w:val="20"/>
                <w:lang w:val="es-CO"/>
              </w:rPr>
              <w:footnoteReference w:id="139"/>
            </w:r>
          </w:p>
        </w:tc>
      </w:tr>
      <w:tr w:rsidR="0096378F" w:rsidRPr="0093583F" w14:paraId="49E66383" w14:textId="77777777" w:rsidTr="3E2B1321">
        <w:trPr>
          <w:trHeight w:val="37"/>
        </w:trPr>
        <w:tc>
          <w:tcPr>
            <w:tcW w:w="962" w:type="pct"/>
            <w:shd w:val="clear" w:color="auto" w:fill="E7E6E6" w:themeFill="background2"/>
          </w:tcPr>
          <w:p w14:paraId="13CAC743" w14:textId="77777777" w:rsidR="0096378F" w:rsidRPr="00A66F64" w:rsidRDefault="0096378F">
            <w:pPr>
              <w:rPr>
                <w:rFonts w:ascii="Cambria" w:eastAsia="MS Mincho" w:hAnsi="Cambria" w:cs="Calibri"/>
                <w:color w:val="000000" w:themeColor="text1"/>
                <w:sz w:val="16"/>
                <w:szCs w:val="16"/>
              </w:rPr>
            </w:pPr>
            <w:bookmarkStart w:id="6" w:name="_Hlk91082767"/>
            <w:r>
              <w:rPr>
                <w:rFonts w:ascii="Cambria" w:hAnsi="Cambria" w:cs="Calibri"/>
                <w:bCs/>
                <w:color w:val="000000" w:themeColor="text1"/>
                <w:sz w:val="16"/>
                <w:szCs w:val="16"/>
              </w:rPr>
              <w:t>Cases</w:t>
            </w:r>
            <w:r w:rsidRPr="00A66F64">
              <w:rPr>
                <w:rFonts w:ascii="Cambria" w:hAnsi="Cambria" w:cs="Calibri"/>
                <w:bCs/>
                <w:color w:val="000000" w:themeColor="text1"/>
                <w:sz w:val="16"/>
                <w:szCs w:val="16"/>
              </w:rPr>
              <w:t xml:space="preserve"> </w:t>
            </w:r>
            <w:r w:rsidRPr="00A66F64">
              <w:rPr>
                <w:rFonts w:ascii="Cambria" w:hAnsi="Cambria" w:cs="Calibri"/>
                <w:color w:val="000000" w:themeColor="text1"/>
                <w:sz w:val="16"/>
                <w:szCs w:val="16"/>
              </w:rPr>
              <w:t xml:space="preserve">12.067, 12.068 and 12.086, Report </w:t>
            </w:r>
            <w:r w:rsidRPr="00A66F64">
              <w:rPr>
                <w:rFonts w:ascii="Cambria" w:hAnsi="Cambria" w:cs="Calibri"/>
                <w:color w:val="000000" w:themeColor="text1"/>
                <w:sz w:val="16"/>
                <w:szCs w:val="16"/>
              </w:rPr>
              <w:br/>
              <w:t xml:space="preserve">Nº 48/01, </w:t>
            </w:r>
            <w:r w:rsidRPr="00A66F64">
              <w:rPr>
                <w:rFonts w:ascii="Cambria" w:hAnsi="Cambria" w:cs="Calibri"/>
                <w:snapToGrid w:val="0"/>
                <w:color w:val="000000" w:themeColor="text1"/>
                <w:sz w:val="16"/>
                <w:szCs w:val="16"/>
              </w:rPr>
              <w:t>Michael Edwards, Omar Hall, Brian Schroeter and Jeronimo Bowleg</w:t>
            </w:r>
            <w:r w:rsidRPr="00A66F64">
              <w:rPr>
                <w:rFonts w:ascii="Cambria" w:hAnsi="Cambria" w:cs="Calibri"/>
                <w:color w:val="000000" w:themeColor="text1"/>
                <w:sz w:val="16"/>
                <w:szCs w:val="16"/>
              </w:rPr>
              <w:t xml:space="preserve"> (Bahamas)</w:t>
            </w:r>
            <w:bookmarkEnd w:id="6"/>
          </w:p>
        </w:tc>
        <w:tc>
          <w:tcPr>
            <w:tcW w:w="577" w:type="pct"/>
            <w:shd w:val="clear" w:color="auto" w:fill="E7E6E6" w:themeFill="background2"/>
            <w:vAlign w:val="center"/>
          </w:tcPr>
          <w:p w14:paraId="654B007F"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75">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095EF9F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BA7DC1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1B3E92E"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E05365E"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90397E0"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B1D4FF6" w14:textId="77777777" w:rsidTr="3E2B1321">
        <w:trPr>
          <w:trHeight w:val="30"/>
        </w:trPr>
        <w:tc>
          <w:tcPr>
            <w:tcW w:w="962" w:type="pct"/>
            <w:shd w:val="clear" w:color="auto" w:fill="E7E6E6" w:themeFill="background2"/>
          </w:tcPr>
          <w:p w14:paraId="26846B16" w14:textId="77777777" w:rsidR="0096378F" w:rsidRPr="00B33826" w:rsidRDefault="0096378F">
            <w:pPr>
              <w:rPr>
                <w:rFonts w:ascii="Cambria" w:eastAsia="MS Mincho" w:hAnsi="Cambria" w:cs="Calibri"/>
                <w:color w:val="000000" w:themeColor="text1"/>
                <w:sz w:val="16"/>
                <w:szCs w:val="16"/>
              </w:rPr>
            </w:pPr>
            <w:bookmarkStart w:id="7" w:name="_Hlk91082785"/>
            <w:r w:rsidRPr="00B33826">
              <w:rPr>
                <w:rFonts w:ascii="Cambria" w:hAnsi="Cambria" w:cs="Calibri"/>
                <w:bCs/>
                <w:color w:val="000000" w:themeColor="text1"/>
                <w:sz w:val="16"/>
                <w:szCs w:val="16"/>
              </w:rPr>
              <w:t xml:space="preserve">Case 12.265, </w:t>
            </w:r>
            <w:r>
              <w:rPr>
                <w:rFonts w:ascii="Cambria" w:hAnsi="Cambria" w:cs="Calibri"/>
                <w:bCs/>
                <w:color w:val="000000" w:themeColor="text1"/>
                <w:sz w:val="16"/>
                <w:szCs w:val="16"/>
              </w:rPr>
              <w:t>Report</w:t>
            </w:r>
            <w:r w:rsidRPr="00B33826">
              <w:rPr>
                <w:rFonts w:ascii="Cambria" w:hAnsi="Cambria" w:cs="Calibri"/>
                <w:bCs/>
                <w:color w:val="000000" w:themeColor="text1"/>
                <w:sz w:val="16"/>
                <w:szCs w:val="16"/>
              </w:rPr>
              <w:t xml:space="preserve"> Nº 78/07 Chad Roger Goodman (Bahamas)</w:t>
            </w:r>
            <w:bookmarkEnd w:id="7"/>
          </w:p>
        </w:tc>
        <w:tc>
          <w:tcPr>
            <w:tcW w:w="577" w:type="pct"/>
            <w:shd w:val="clear" w:color="auto" w:fill="E7E6E6" w:themeFill="background2"/>
            <w:vAlign w:val="center"/>
          </w:tcPr>
          <w:p w14:paraId="410D044F"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76">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B6B11F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59CB3E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7AD8A58"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7A11002"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8F005DB"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532D2E4" w14:textId="77777777" w:rsidTr="3E2B1321">
        <w:trPr>
          <w:trHeight w:val="35"/>
        </w:trPr>
        <w:tc>
          <w:tcPr>
            <w:tcW w:w="962" w:type="pct"/>
            <w:shd w:val="clear" w:color="auto" w:fill="E7E6E6" w:themeFill="background2"/>
          </w:tcPr>
          <w:p w14:paraId="2E91936B" w14:textId="77777777" w:rsidR="0096378F" w:rsidRPr="0093583F" w:rsidRDefault="0096378F">
            <w:pPr>
              <w:rPr>
                <w:rFonts w:ascii="Cambria" w:eastAsia="MS Mincho" w:hAnsi="Cambria" w:cs="Calibri"/>
                <w:color w:val="000000" w:themeColor="text1"/>
                <w:sz w:val="16"/>
                <w:szCs w:val="16"/>
                <w:lang w:val="pt-BR"/>
              </w:rPr>
            </w:pPr>
            <w:bookmarkStart w:id="8" w:name="_Hlk90999632"/>
            <w:r>
              <w:rPr>
                <w:rFonts w:ascii="Cambria" w:hAnsi="Cambria" w:cs="Calibri"/>
                <w:bCs/>
                <w:color w:val="000000" w:themeColor="text1"/>
                <w:sz w:val="16"/>
                <w:szCs w:val="16"/>
                <w:lang w:val="pt-BR"/>
              </w:rPr>
              <w:t xml:space="preserve">Case </w:t>
            </w:r>
            <w:r w:rsidRPr="0093583F">
              <w:rPr>
                <w:rFonts w:ascii="Cambria" w:hAnsi="Cambria" w:cs="Calibri"/>
                <w:bCs/>
                <w:color w:val="000000" w:themeColor="text1"/>
                <w:sz w:val="16"/>
                <w:szCs w:val="16"/>
                <w:lang w:val="pt-BR"/>
              </w:rPr>
              <w:t xml:space="preserve">12.513, </w:t>
            </w:r>
            <w:r>
              <w:rPr>
                <w:rFonts w:ascii="Cambria" w:hAnsi="Cambria" w:cs="Calibri"/>
                <w:bCs/>
                <w:color w:val="000000" w:themeColor="text1"/>
                <w:sz w:val="16"/>
                <w:szCs w:val="16"/>
                <w:lang w:val="pt-BR"/>
              </w:rPr>
              <w:t>Report</w:t>
            </w:r>
            <w:r w:rsidRPr="0093583F">
              <w:rPr>
                <w:rFonts w:ascii="Cambria" w:hAnsi="Cambria" w:cs="Calibri"/>
                <w:bCs/>
                <w:color w:val="000000" w:themeColor="text1"/>
                <w:sz w:val="16"/>
                <w:szCs w:val="16"/>
                <w:lang w:val="pt-BR"/>
              </w:rPr>
              <w:t xml:space="preserve"> Nº 79/07 Prince Pinder (Bahamas)</w:t>
            </w:r>
            <w:bookmarkEnd w:id="8"/>
          </w:p>
        </w:tc>
        <w:tc>
          <w:tcPr>
            <w:tcW w:w="577" w:type="pct"/>
            <w:shd w:val="clear" w:color="auto" w:fill="E7E6E6" w:themeFill="background2"/>
            <w:vAlign w:val="center"/>
          </w:tcPr>
          <w:p w14:paraId="21D13DE0"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77">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33F713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3E7700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0C25C31"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B57A9DA"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D1BF92B"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4CB3DDD3" w14:textId="77777777" w:rsidTr="3E2B1321">
        <w:trPr>
          <w:trHeight w:val="30"/>
        </w:trPr>
        <w:tc>
          <w:tcPr>
            <w:tcW w:w="962" w:type="pct"/>
            <w:shd w:val="clear" w:color="auto" w:fill="E7E6E6" w:themeFill="background2"/>
          </w:tcPr>
          <w:p w14:paraId="69D160CC" w14:textId="77777777" w:rsidR="0096378F" w:rsidRPr="008E630F" w:rsidRDefault="0096378F">
            <w:pPr>
              <w:rPr>
                <w:rFonts w:ascii="Cambria" w:eastAsia="MS Mincho" w:hAnsi="Cambria" w:cs="Calibri"/>
                <w:color w:val="000000" w:themeColor="text1"/>
                <w:sz w:val="16"/>
                <w:szCs w:val="16"/>
              </w:rPr>
            </w:pPr>
            <w:bookmarkStart w:id="9" w:name="_Hlk91082815"/>
            <w:r w:rsidRPr="008E630F">
              <w:rPr>
                <w:rFonts w:ascii="Cambria" w:hAnsi="Cambria" w:cs="Calibri"/>
                <w:color w:val="000000" w:themeColor="text1"/>
                <w:sz w:val="16"/>
                <w:szCs w:val="16"/>
              </w:rPr>
              <w:t>Case 12.231, Report Nº 12/14, Peter Cash (Bahamas)</w:t>
            </w:r>
            <w:bookmarkEnd w:id="9"/>
          </w:p>
        </w:tc>
        <w:tc>
          <w:tcPr>
            <w:tcW w:w="577" w:type="pct"/>
            <w:shd w:val="clear" w:color="auto" w:fill="E7E6E6" w:themeFill="background2"/>
            <w:vAlign w:val="center"/>
          </w:tcPr>
          <w:p w14:paraId="207B6880"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78">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3964A9AD"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5CE2E0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1C7EC9A"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DCC9CAC"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DA34C54"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B55D5B" w14:paraId="56EFC884" w14:textId="77777777" w:rsidTr="3E2B1321">
        <w:trPr>
          <w:trHeight w:val="30"/>
        </w:trPr>
        <w:tc>
          <w:tcPr>
            <w:tcW w:w="962" w:type="pct"/>
            <w:shd w:val="clear" w:color="auto" w:fill="E7E6E6" w:themeFill="background2"/>
          </w:tcPr>
          <w:p w14:paraId="2B51C10B" w14:textId="6D4143F1" w:rsidR="0096378F" w:rsidRPr="00E14582" w:rsidRDefault="0096378F">
            <w:pPr>
              <w:rPr>
                <w:rFonts w:ascii="Cambria" w:eastAsia="MS Mincho" w:hAnsi="Cambria" w:cs="Calibri"/>
                <w:color w:val="000000" w:themeColor="text1"/>
                <w:sz w:val="16"/>
                <w:szCs w:val="16"/>
              </w:rPr>
            </w:pPr>
            <w:r w:rsidRPr="00E14582">
              <w:rPr>
                <w:rFonts w:ascii="Cambria" w:eastAsia="MS Mincho" w:hAnsi="Cambria" w:cs="Calibri"/>
                <w:color w:val="000000" w:themeColor="text1"/>
                <w:sz w:val="16"/>
                <w:szCs w:val="16"/>
              </w:rPr>
              <w:t>Case 12.071, Report 459/21, C</w:t>
            </w:r>
            <w:r w:rsidR="644EEFB1" w:rsidRPr="00E14582">
              <w:rPr>
                <w:rFonts w:ascii="Cambria" w:eastAsia="MS Mincho" w:hAnsi="Cambria" w:cs="Calibri"/>
                <w:color w:val="000000" w:themeColor="text1"/>
                <w:sz w:val="16"/>
                <w:szCs w:val="16"/>
              </w:rPr>
              <w:t>uban and Haitian Nationals Detained at and Deported from the</w:t>
            </w:r>
            <w:r w:rsidRPr="00E14582">
              <w:rPr>
                <w:rFonts w:ascii="Cambria" w:eastAsia="MS Mincho" w:hAnsi="Cambria" w:cs="Calibri"/>
                <w:color w:val="000000" w:themeColor="text1"/>
                <w:sz w:val="16"/>
                <w:szCs w:val="16"/>
              </w:rPr>
              <w:t xml:space="preserve"> Carmichael Road </w:t>
            </w:r>
            <w:r w:rsidR="43CA25B9" w:rsidRPr="00E14582">
              <w:rPr>
                <w:rFonts w:ascii="Cambria" w:eastAsia="MS Mincho" w:hAnsi="Cambria" w:cs="Calibri"/>
                <w:color w:val="000000" w:themeColor="text1"/>
                <w:sz w:val="16"/>
                <w:szCs w:val="16"/>
              </w:rPr>
              <w:t>Detention Center</w:t>
            </w:r>
            <w:r w:rsidRPr="00E14582">
              <w:rPr>
                <w:rFonts w:ascii="Cambria" w:eastAsia="MS Mincho" w:hAnsi="Cambria" w:cs="Calibri"/>
                <w:color w:val="000000" w:themeColor="text1"/>
                <w:sz w:val="16"/>
                <w:szCs w:val="16"/>
              </w:rPr>
              <w:t xml:space="preserve"> (Bahamas)</w:t>
            </w:r>
          </w:p>
        </w:tc>
        <w:tc>
          <w:tcPr>
            <w:tcW w:w="577" w:type="pct"/>
            <w:shd w:val="clear" w:color="auto" w:fill="E7E6E6" w:themeFill="background2"/>
            <w:vAlign w:val="center"/>
          </w:tcPr>
          <w:p w14:paraId="7A679138" w14:textId="77777777" w:rsidR="0096378F" w:rsidRPr="00554EB7" w:rsidRDefault="0071198A" w:rsidP="3E2B1321">
            <w:pPr>
              <w:ind w:left="72"/>
              <w:jc w:val="center"/>
              <w:rPr>
                <w:rFonts w:ascii="Cambria" w:eastAsia="MS Mincho" w:hAnsi="Cambria" w:cs="Calibri"/>
                <w:color w:val="000000" w:themeColor="text1"/>
                <w:sz w:val="16"/>
                <w:szCs w:val="16"/>
                <w:lang w:val="es-US" w:eastAsia="es-ES"/>
              </w:rPr>
            </w:pPr>
            <w:hyperlink r:id="rId79">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23B0375" w14:textId="77777777" w:rsidR="0096378F" w:rsidRPr="00554EB7"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D0091EB" w14:textId="77777777" w:rsidR="0096378F" w:rsidRPr="00554EB7"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9EACC4B" w14:textId="77777777" w:rsidR="0096378F" w:rsidRPr="00554EB7"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3FAC56FA" w14:textId="77777777" w:rsidR="0096378F" w:rsidRPr="00554EB7" w:rsidRDefault="0096378F">
            <w:pPr>
              <w:jc w:val="center"/>
              <w:rPr>
                <w:rFonts w:ascii="Cambria" w:eastAsia="MS Mincho" w:hAnsi="Cambria" w:cs="Calibri"/>
                <w:color w:val="000000" w:themeColor="text1"/>
                <w:sz w:val="16"/>
                <w:szCs w:val="16"/>
                <w:lang w:val="es-US" w:eastAsia="es-ES_tradnl"/>
              </w:rPr>
            </w:pPr>
            <w:r w:rsidRPr="00554EB7">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519186DE" w14:textId="77777777" w:rsidR="0096378F" w:rsidRPr="00554EB7" w:rsidRDefault="0096378F">
            <w:pPr>
              <w:jc w:val="center"/>
              <w:rPr>
                <w:rFonts w:ascii="Cambria" w:eastAsia="MS Mincho" w:hAnsi="Cambria" w:cs="Calibri"/>
                <w:color w:val="000000" w:themeColor="text1"/>
                <w:sz w:val="16"/>
                <w:szCs w:val="16"/>
                <w:lang w:val="es-US"/>
              </w:rPr>
            </w:pPr>
            <w:r w:rsidRPr="00554EB7">
              <w:rPr>
                <w:rFonts w:ascii="Cambria" w:eastAsia="MS Mincho" w:hAnsi="Cambria" w:cs="Calibri"/>
                <w:color w:val="000000" w:themeColor="text1"/>
                <w:sz w:val="16"/>
                <w:szCs w:val="16"/>
                <w:lang w:val="es-US"/>
              </w:rPr>
              <w:t>Open</w:t>
            </w:r>
          </w:p>
        </w:tc>
      </w:tr>
      <w:tr w:rsidR="0096378F" w:rsidRPr="0093583F" w14:paraId="1E9D43C1" w14:textId="77777777" w:rsidTr="3E2B1321">
        <w:trPr>
          <w:trHeight w:val="29"/>
        </w:trPr>
        <w:tc>
          <w:tcPr>
            <w:tcW w:w="962" w:type="pct"/>
            <w:shd w:val="clear" w:color="auto" w:fill="E7E6E6" w:themeFill="background2"/>
          </w:tcPr>
          <w:p w14:paraId="47EC4FF0" w14:textId="7C0D4286" w:rsidR="0096378F" w:rsidRPr="00E14582" w:rsidRDefault="0096378F">
            <w:pPr>
              <w:ind w:right="72"/>
              <w:rPr>
                <w:rFonts w:ascii="Cambria" w:eastAsia="MS Mincho" w:hAnsi="Cambria" w:cs="Calibri"/>
                <w:color w:val="000000" w:themeColor="text1"/>
                <w:sz w:val="16"/>
                <w:szCs w:val="16"/>
              </w:rPr>
            </w:pPr>
            <w:bookmarkStart w:id="10" w:name="_Hlk91093038"/>
            <w:r w:rsidRPr="00E14582">
              <w:rPr>
                <w:rFonts w:ascii="Cambria" w:hAnsi="Cambria" w:cs="Calibri"/>
                <w:color w:val="000000" w:themeColor="text1"/>
                <w:sz w:val="16"/>
                <w:szCs w:val="16"/>
              </w:rPr>
              <w:t xml:space="preserve">Case 12.053, Report Nº 40/04, </w:t>
            </w:r>
            <w:r w:rsidR="33FA42D9" w:rsidRPr="00E14582">
              <w:rPr>
                <w:rFonts w:ascii="Cambria" w:hAnsi="Cambria" w:cs="Calibri"/>
                <w:color w:val="000000" w:themeColor="text1"/>
                <w:sz w:val="16"/>
                <w:szCs w:val="16"/>
              </w:rPr>
              <w:t xml:space="preserve">Maya Indigenous Communities of the </w:t>
            </w:r>
            <w:r w:rsidRPr="00E14582">
              <w:rPr>
                <w:rFonts w:ascii="Cambria" w:hAnsi="Cambria" w:cs="Calibri"/>
                <w:color w:val="000000" w:themeColor="text1"/>
                <w:sz w:val="16"/>
                <w:szCs w:val="16"/>
              </w:rPr>
              <w:lastRenderedPageBreak/>
              <w:t>Toledo</w:t>
            </w:r>
            <w:r w:rsidR="340FB675" w:rsidRPr="00E14582">
              <w:rPr>
                <w:rFonts w:ascii="Cambria" w:hAnsi="Cambria" w:cs="Calibri"/>
                <w:color w:val="000000" w:themeColor="text1"/>
                <w:sz w:val="16"/>
                <w:szCs w:val="16"/>
              </w:rPr>
              <w:t xml:space="preserve"> District</w:t>
            </w:r>
            <w:r w:rsidRPr="00E14582">
              <w:rPr>
                <w:rFonts w:ascii="Cambria" w:hAnsi="Cambria" w:cs="Calibri"/>
                <w:color w:val="000000" w:themeColor="text1"/>
                <w:sz w:val="16"/>
                <w:szCs w:val="16"/>
              </w:rPr>
              <w:t xml:space="preserve"> (Belize)</w:t>
            </w:r>
            <w:bookmarkEnd w:id="10"/>
          </w:p>
        </w:tc>
        <w:tc>
          <w:tcPr>
            <w:tcW w:w="577" w:type="pct"/>
            <w:shd w:val="clear" w:color="auto" w:fill="E7E6E6" w:themeFill="background2"/>
            <w:vAlign w:val="center"/>
          </w:tcPr>
          <w:p w14:paraId="4FC377D0"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80">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8D8474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C33F53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05236B0"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D08C84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4F7B9BC"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16B8B830" w14:textId="77777777" w:rsidTr="3E2B1321">
        <w:trPr>
          <w:trHeight w:val="35"/>
        </w:trPr>
        <w:tc>
          <w:tcPr>
            <w:tcW w:w="962" w:type="pct"/>
            <w:shd w:val="clear" w:color="auto" w:fill="E7E6E6" w:themeFill="background2"/>
          </w:tcPr>
          <w:p w14:paraId="123D1084" w14:textId="77777777" w:rsidR="0096378F" w:rsidRPr="0093583F" w:rsidRDefault="0096378F">
            <w:pPr>
              <w:rPr>
                <w:rFonts w:ascii="Cambria" w:eastAsia="MS Mincho" w:hAnsi="Cambria" w:cs="Calibri"/>
                <w:color w:val="000000" w:themeColor="text1"/>
                <w:sz w:val="16"/>
                <w:szCs w:val="16"/>
                <w:lang w:val="pt-BR"/>
              </w:rPr>
            </w:pPr>
            <w:r>
              <w:rPr>
                <w:rFonts w:ascii="Cambria" w:hAnsi="Cambria" w:cs="Calibri"/>
                <w:bCs/>
                <w:color w:val="000000" w:themeColor="text1"/>
                <w:sz w:val="16"/>
                <w:szCs w:val="16"/>
                <w:lang w:val="pt-BR"/>
              </w:rPr>
              <w:t xml:space="preserve">Case </w:t>
            </w:r>
            <w:r w:rsidRPr="0093583F">
              <w:rPr>
                <w:rFonts w:ascii="Cambria" w:hAnsi="Cambria" w:cs="Calibri"/>
                <w:bCs/>
                <w:color w:val="000000" w:themeColor="text1"/>
                <w:sz w:val="16"/>
                <w:szCs w:val="16"/>
                <w:lang w:val="pt-BR"/>
              </w:rPr>
              <w:t xml:space="preserve">12.051, </w:t>
            </w:r>
            <w:r>
              <w:rPr>
                <w:rFonts w:ascii="Cambria" w:hAnsi="Cambria" w:cs="Calibri"/>
                <w:bCs/>
                <w:color w:val="000000" w:themeColor="text1"/>
                <w:sz w:val="16"/>
                <w:szCs w:val="16"/>
                <w:lang w:val="pt-BR"/>
              </w:rPr>
              <w:t>Report</w:t>
            </w:r>
            <w:r w:rsidRPr="0093583F">
              <w:rPr>
                <w:rFonts w:ascii="Cambria" w:hAnsi="Cambria" w:cs="Calibri"/>
                <w:bCs/>
                <w:color w:val="000000" w:themeColor="text1"/>
                <w:sz w:val="16"/>
                <w:szCs w:val="16"/>
                <w:lang w:val="pt-BR"/>
              </w:rPr>
              <w:t xml:space="preserve"> Nº 54/01, Maria da Penha Maia Fernandes (Bra</w:t>
            </w:r>
            <w:r>
              <w:rPr>
                <w:rFonts w:ascii="Cambria" w:hAnsi="Cambria" w:cs="Calibri"/>
                <w:bCs/>
                <w:color w:val="000000" w:themeColor="text1"/>
                <w:sz w:val="16"/>
                <w:szCs w:val="16"/>
                <w:lang w:val="pt-BR"/>
              </w:rPr>
              <w:t>z</w:t>
            </w:r>
            <w:r w:rsidRPr="0093583F">
              <w:rPr>
                <w:rFonts w:ascii="Cambria" w:hAnsi="Cambria" w:cs="Calibri"/>
                <w:bCs/>
                <w:color w:val="000000" w:themeColor="text1"/>
                <w:sz w:val="16"/>
                <w:szCs w:val="16"/>
                <w:lang w:val="pt-BR"/>
              </w:rPr>
              <w:t>il)</w:t>
            </w:r>
          </w:p>
        </w:tc>
        <w:tc>
          <w:tcPr>
            <w:tcW w:w="577" w:type="pct"/>
            <w:shd w:val="clear" w:color="auto" w:fill="E7E6E6" w:themeFill="background2"/>
            <w:vAlign w:val="center"/>
          </w:tcPr>
          <w:p w14:paraId="4BAF63C8"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81">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293C29B"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99D6AB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71376A6"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0BB906D"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6A0826F"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C956B44" w14:textId="77777777" w:rsidTr="3E2B1321">
        <w:trPr>
          <w:trHeight w:val="37"/>
        </w:trPr>
        <w:tc>
          <w:tcPr>
            <w:tcW w:w="962" w:type="pct"/>
            <w:shd w:val="clear" w:color="auto" w:fill="E7E6E6" w:themeFill="background2"/>
          </w:tcPr>
          <w:p w14:paraId="477ED770" w14:textId="77777777" w:rsidR="0096378F" w:rsidRPr="00D677DB" w:rsidRDefault="0096378F">
            <w:pPr>
              <w:rPr>
                <w:rFonts w:ascii="Cambria" w:eastAsia="MS Mincho" w:hAnsi="Cambria" w:cs="Calibri"/>
                <w:color w:val="000000" w:themeColor="text1"/>
                <w:sz w:val="16"/>
                <w:szCs w:val="16"/>
              </w:rPr>
            </w:pPr>
            <w:r w:rsidRPr="00D677DB">
              <w:rPr>
                <w:rFonts w:ascii="Cambria" w:hAnsi="Cambria" w:cs="Calibri"/>
                <w:bCs/>
                <w:color w:val="000000" w:themeColor="text1"/>
                <w:sz w:val="16"/>
                <w:szCs w:val="16"/>
              </w:rPr>
              <w:t xml:space="preserve">Cases 11.286, 11.406, 11.407, 11.412, 11.413, 11.415, 11.416 and 11.417, Report Nº 55/01, Aluísio Cavalcante </w:t>
            </w:r>
            <w:r>
              <w:rPr>
                <w:rFonts w:ascii="Cambria" w:hAnsi="Cambria" w:cs="Calibri"/>
                <w:bCs/>
                <w:color w:val="000000" w:themeColor="text1"/>
                <w:sz w:val="16"/>
                <w:szCs w:val="16"/>
              </w:rPr>
              <w:t>et al. (</w:t>
            </w:r>
            <w:r w:rsidRPr="00D677DB">
              <w:rPr>
                <w:rFonts w:ascii="Cambria" w:hAnsi="Cambria" w:cs="Calibri"/>
                <w:bCs/>
                <w:color w:val="000000" w:themeColor="text1"/>
                <w:sz w:val="16"/>
                <w:szCs w:val="16"/>
              </w:rPr>
              <w:t>Brazil)</w:t>
            </w:r>
          </w:p>
        </w:tc>
        <w:tc>
          <w:tcPr>
            <w:tcW w:w="577" w:type="pct"/>
            <w:shd w:val="clear" w:color="auto" w:fill="E7E6E6" w:themeFill="background2"/>
            <w:vAlign w:val="center"/>
          </w:tcPr>
          <w:p w14:paraId="681BC0E5"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82">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0BC40FE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BA2A3F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978805D"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EE13699"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0F831A5"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481F7B21" w14:textId="77777777" w:rsidTr="3E2B1321">
        <w:trPr>
          <w:trHeight w:val="33"/>
        </w:trPr>
        <w:tc>
          <w:tcPr>
            <w:tcW w:w="962" w:type="pct"/>
            <w:shd w:val="clear" w:color="auto" w:fill="E7E6E6" w:themeFill="background2"/>
          </w:tcPr>
          <w:p w14:paraId="0B41184D" w14:textId="77777777" w:rsidR="0096378F" w:rsidRPr="0093583F" w:rsidRDefault="0096378F">
            <w:pPr>
              <w:rPr>
                <w:rFonts w:ascii="Cambria" w:eastAsia="MS Mincho" w:hAnsi="Cambria" w:cs="Calibri"/>
                <w:color w:val="000000" w:themeColor="text1"/>
                <w:sz w:val="16"/>
                <w:szCs w:val="16"/>
                <w:lang w:val="pt-BR"/>
              </w:rPr>
            </w:pPr>
            <w:r>
              <w:rPr>
                <w:rFonts w:ascii="Cambria" w:hAnsi="Cambria" w:cs="Calibri"/>
                <w:bCs/>
                <w:color w:val="000000" w:themeColor="text1"/>
                <w:sz w:val="16"/>
                <w:szCs w:val="16"/>
                <w:lang w:val="pt-BR"/>
              </w:rPr>
              <w:t xml:space="preserve">Case </w:t>
            </w:r>
            <w:r w:rsidRPr="0093583F">
              <w:rPr>
                <w:rFonts w:ascii="Cambria" w:hAnsi="Cambria" w:cs="Calibri"/>
                <w:bCs/>
                <w:color w:val="000000" w:themeColor="text1"/>
                <w:sz w:val="16"/>
                <w:szCs w:val="16"/>
                <w:lang w:val="pt-BR"/>
              </w:rPr>
              <w:t xml:space="preserve">11.517, </w:t>
            </w:r>
            <w:r>
              <w:rPr>
                <w:rFonts w:ascii="Cambria" w:hAnsi="Cambria" w:cs="Calibri"/>
                <w:bCs/>
                <w:color w:val="000000" w:themeColor="text1"/>
                <w:sz w:val="16"/>
                <w:szCs w:val="16"/>
                <w:lang w:val="pt-BR"/>
              </w:rPr>
              <w:t>Report</w:t>
            </w:r>
            <w:r w:rsidRPr="0093583F">
              <w:rPr>
                <w:rFonts w:ascii="Cambria" w:hAnsi="Cambria" w:cs="Calibri"/>
                <w:bCs/>
                <w:color w:val="000000" w:themeColor="text1"/>
                <w:sz w:val="16"/>
                <w:szCs w:val="16"/>
                <w:lang w:val="pt-BR"/>
              </w:rPr>
              <w:t xml:space="preserve"> Nº 23/02, Diniz Bento da Silva (</w:t>
            </w:r>
            <w:r>
              <w:rPr>
                <w:rFonts w:ascii="Cambria" w:hAnsi="Cambria" w:cs="Calibri"/>
                <w:bCs/>
                <w:color w:val="000000" w:themeColor="text1"/>
                <w:sz w:val="16"/>
                <w:szCs w:val="16"/>
                <w:lang w:val="pt-BR"/>
              </w:rPr>
              <w:t>Brazil</w:t>
            </w:r>
            <w:r w:rsidRPr="0093583F">
              <w:rPr>
                <w:rFonts w:ascii="Cambria" w:hAnsi="Cambria" w:cs="Calibri"/>
                <w:bCs/>
                <w:color w:val="000000" w:themeColor="text1"/>
                <w:sz w:val="16"/>
                <w:szCs w:val="16"/>
                <w:lang w:val="pt-BR"/>
              </w:rPr>
              <w:t>)</w:t>
            </w:r>
          </w:p>
        </w:tc>
        <w:tc>
          <w:tcPr>
            <w:tcW w:w="577" w:type="pct"/>
            <w:shd w:val="clear" w:color="auto" w:fill="E7E6E6" w:themeFill="background2"/>
            <w:vAlign w:val="center"/>
          </w:tcPr>
          <w:p w14:paraId="5B4DFA8B"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83">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599185A7"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EC14BBB"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8832CA3"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B542BAC"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71C6A1B"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2B4AA29" w14:textId="77777777" w:rsidTr="3E2B1321">
        <w:trPr>
          <w:trHeight w:val="30"/>
        </w:trPr>
        <w:tc>
          <w:tcPr>
            <w:tcW w:w="962" w:type="pct"/>
            <w:shd w:val="clear" w:color="auto" w:fill="E7E6E6" w:themeFill="background2"/>
          </w:tcPr>
          <w:p w14:paraId="7AC37B59" w14:textId="77777777" w:rsidR="0096378F" w:rsidRPr="0093583F" w:rsidRDefault="0096378F">
            <w:pPr>
              <w:rPr>
                <w:rFonts w:ascii="Cambria" w:eastAsia="MS Mincho" w:hAnsi="Cambria" w:cs="Calibri"/>
                <w:color w:val="000000" w:themeColor="text1"/>
                <w:sz w:val="16"/>
                <w:szCs w:val="16"/>
                <w:lang w:val="pt-BR"/>
              </w:rPr>
            </w:pPr>
            <w:r>
              <w:rPr>
                <w:rFonts w:ascii="Cambria" w:hAnsi="Cambria" w:cs="Calibri"/>
                <w:bCs/>
                <w:color w:val="000000" w:themeColor="text1"/>
                <w:sz w:val="16"/>
                <w:szCs w:val="16"/>
                <w:lang w:val="pt-BR"/>
              </w:rPr>
              <w:t xml:space="preserve">Case </w:t>
            </w:r>
            <w:r w:rsidRPr="0093583F">
              <w:rPr>
                <w:rFonts w:ascii="Cambria" w:hAnsi="Cambria" w:cs="Calibri"/>
                <w:bCs/>
                <w:color w:val="000000" w:themeColor="text1"/>
                <w:sz w:val="16"/>
                <w:szCs w:val="16"/>
                <w:lang w:val="pt-BR"/>
              </w:rPr>
              <w:t xml:space="preserve">10.301, </w:t>
            </w:r>
            <w:r>
              <w:rPr>
                <w:rFonts w:ascii="Cambria" w:hAnsi="Cambria" w:cs="Calibri"/>
                <w:bCs/>
                <w:color w:val="000000" w:themeColor="text1"/>
                <w:sz w:val="16"/>
                <w:szCs w:val="16"/>
                <w:lang w:val="pt-BR"/>
              </w:rPr>
              <w:t>Report</w:t>
            </w:r>
            <w:r w:rsidRPr="0093583F">
              <w:rPr>
                <w:rFonts w:ascii="Cambria" w:hAnsi="Cambria" w:cs="Calibri"/>
                <w:bCs/>
                <w:color w:val="000000" w:themeColor="text1"/>
                <w:sz w:val="16"/>
                <w:szCs w:val="16"/>
                <w:lang w:val="pt-BR"/>
              </w:rPr>
              <w:t xml:space="preserve"> Nº 40/03, Parque São Lucas (</w:t>
            </w:r>
            <w:r>
              <w:rPr>
                <w:rFonts w:ascii="Cambria" w:hAnsi="Cambria" w:cs="Calibri"/>
                <w:bCs/>
                <w:color w:val="000000" w:themeColor="text1"/>
                <w:sz w:val="16"/>
                <w:szCs w:val="16"/>
                <w:lang w:val="pt-BR"/>
              </w:rPr>
              <w:t>Brazil</w:t>
            </w:r>
            <w:r w:rsidRPr="0093583F">
              <w:rPr>
                <w:rFonts w:ascii="Cambria" w:hAnsi="Cambria" w:cs="Calibri"/>
                <w:bCs/>
                <w:color w:val="000000" w:themeColor="text1"/>
                <w:sz w:val="16"/>
                <w:szCs w:val="16"/>
                <w:lang w:val="pt-BR"/>
              </w:rPr>
              <w:t>)</w:t>
            </w:r>
          </w:p>
        </w:tc>
        <w:tc>
          <w:tcPr>
            <w:tcW w:w="577" w:type="pct"/>
            <w:shd w:val="clear" w:color="auto" w:fill="E7E6E6" w:themeFill="background2"/>
            <w:vAlign w:val="center"/>
          </w:tcPr>
          <w:p w14:paraId="386007C8"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84">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571766A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7C9530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1832F40"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0B87FD1"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10C5F67"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4D013C13" w14:textId="77777777" w:rsidTr="3E2B1321">
        <w:trPr>
          <w:trHeight w:val="29"/>
        </w:trPr>
        <w:tc>
          <w:tcPr>
            <w:tcW w:w="962" w:type="pct"/>
            <w:shd w:val="clear" w:color="auto" w:fill="E7E6E6" w:themeFill="background2"/>
          </w:tcPr>
          <w:p w14:paraId="17F0EC7F" w14:textId="77777777" w:rsidR="0096378F" w:rsidRPr="0093583F" w:rsidRDefault="0096378F">
            <w:pPr>
              <w:rPr>
                <w:rFonts w:ascii="Cambria" w:eastAsia="MS Mincho" w:hAnsi="Cambria" w:cs="Calibri"/>
                <w:color w:val="000000" w:themeColor="text1"/>
                <w:sz w:val="16"/>
                <w:szCs w:val="16"/>
                <w:lang w:val="pt-BR"/>
              </w:rPr>
            </w:pPr>
            <w:r>
              <w:rPr>
                <w:rFonts w:ascii="Cambria" w:hAnsi="Cambria" w:cs="Calibri"/>
                <w:bCs/>
                <w:color w:val="000000" w:themeColor="text1"/>
                <w:sz w:val="16"/>
                <w:szCs w:val="16"/>
                <w:lang w:val="pt-BR"/>
              </w:rPr>
              <w:t xml:space="preserve">Case </w:t>
            </w:r>
            <w:r w:rsidRPr="0093583F">
              <w:rPr>
                <w:rFonts w:ascii="Cambria" w:hAnsi="Cambria" w:cs="Calibri"/>
                <w:bCs/>
                <w:color w:val="000000" w:themeColor="text1"/>
                <w:sz w:val="16"/>
                <w:szCs w:val="16"/>
                <w:lang w:val="pt-BR"/>
              </w:rPr>
              <w:t xml:space="preserve">11.556, </w:t>
            </w:r>
            <w:r>
              <w:rPr>
                <w:rFonts w:ascii="Cambria" w:hAnsi="Cambria" w:cs="Calibri"/>
                <w:bCs/>
                <w:color w:val="000000" w:themeColor="text1"/>
                <w:sz w:val="16"/>
                <w:szCs w:val="16"/>
                <w:lang w:val="pt-BR"/>
              </w:rPr>
              <w:t>Report</w:t>
            </w:r>
            <w:r w:rsidRPr="0093583F">
              <w:rPr>
                <w:rFonts w:ascii="Cambria" w:hAnsi="Cambria" w:cs="Calibri"/>
                <w:bCs/>
                <w:color w:val="000000" w:themeColor="text1"/>
                <w:sz w:val="16"/>
                <w:szCs w:val="16"/>
                <w:lang w:val="pt-BR"/>
              </w:rPr>
              <w:t xml:space="preserve"> Nº 32/04, Corumbiara (</w:t>
            </w:r>
            <w:r>
              <w:rPr>
                <w:rFonts w:ascii="Cambria" w:hAnsi="Cambria" w:cs="Calibri"/>
                <w:bCs/>
                <w:color w:val="000000" w:themeColor="text1"/>
                <w:sz w:val="16"/>
                <w:szCs w:val="16"/>
                <w:lang w:val="pt-BR"/>
              </w:rPr>
              <w:t>Brazil</w:t>
            </w:r>
            <w:r w:rsidRPr="0093583F">
              <w:rPr>
                <w:rFonts w:ascii="Cambria" w:hAnsi="Cambria" w:cs="Calibri"/>
                <w:bCs/>
                <w:color w:val="000000" w:themeColor="text1"/>
                <w:sz w:val="16"/>
                <w:szCs w:val="16"/>
                <w:lang w:val="pt-BR"/>
              </w:rPr>
              <w:t>)</w:t>
            </w:r>
          </w:p>
        </w:tc>
        <w:tc>
          <w:tcPr>
            <w:tcW w:w="577" w:type="pct"/>
            <w:shd w:val="clear" w:color="auto" w:fill="E7E6E6" w:themeFill="background2"/>
            <w:vAlign w:val="center"/>
          </w:tcPr>
          <w:p w14:paraId="10AD7285"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85">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90F1C80"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3C53F9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124EBE1"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079EBC8"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05737B7"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5101304" w14:textId="77777777" w:rsidTr="3E2B1321">
        <w:trPr>
          <w:trHeight w:val="30"/>
        </w:trPr>
        <w:tc>
          <w:tcPr>
            <w:tcW w:w="962" w:type="pct"/>
            <w:shd w:val="clear" w:color="auto" w:fill="E7E6E6" w:themeFill="background2"/>
          </w:tcPr>
          <w:p w14:paraId="436A8184" w14:textId="77777777" w:rsidR="0096378F" w:rsidRPr="0093583F" w:rsidRDefault="0096378F">
            <w:pPr>
              <w:rPr>
                <w:rFonts w:ascii="Cambria" w:eastAsia="MS Mincho" w:hAnsi="Cambria" w:cs="Calibri"/>
                <w:color w:val="000000" w:themeColor="text1"/>
                <w:sz w:val="16"/>
                <w:szCs w:val="16"/>
                <w:lang w:val="pt-BR"/>
              </w:rPr>
            </w:pPr>
            <w:r>
              <w:rPr>
                <w:rFonts w:ascii="Cambria" w:hAnsi="Cambria" w:cs="Calibri"/>
                <w:bCs/>
                <w:color w:val="000000" w:themeColor="text1"/>
                <w:sz w:val="16"/>
                <w:szCs w:val="16"/>
                <w:lang w:val="pt-BR"/>
              </w:rPr>
              <w:t xml:space="preserve">Case </w:t>
            </w:r>
            <w:r w:rsidRPr="0093583F">
              <w:rPr>
                <w:rFonts w:ascii="Cambria" w:hAnsi="Cambria" w:cs="Calibri"/>
                <w:bCs/>
                <w:color w:val="000000" w:themeColor="text1"/>
                <w:sz w:val="16"/>
                <w:szCs w:val="16"/>
                <w:lang w:val="pt-BR"/>
              </w:rPr>
              <w:t xml:space="preserve">11.634, </w:t>
            </w:r>
            <w:r>
              <w:rPr>
                <w:rFonts w:ascii="Cambria" w:hAnsi="Cambria" w:cs="Calibri"/>
                <w:bCs/>
                <w:color w:val="000000" w:themeColor="text1"/>
                <w:sz w:val="16"/>
                <w:szCs w:val="16"/>
                <w:lang w:val="pt-BR"/>
              </w:rPr>
              <w:t>Report</w:t>
            </w:r>
            <w:r w:rsidRPr="0093583F">
              <w:rPr>
                <w:rFonts w:ascii="Cambria" w:hAnsi="Cambria" w:cs="Calibri"/>
                <w:bCs/>
                <w:color w:val="000000" w:themeColor="text1"/>
                <w:sz w:val="16"/>
                <w:szCs w:val="16"/>
                <w:lang w:val="pt-BR"/>
              </w:rPr>
              <w:t xml:space="preserve"> Nº 33/04, Jailton Neri da Fonseca (</w:t>
            </w:r>
            <w:r>
              <w:rPr>
                <w:rFonts w:ascii="Cambria" w:hAnsi="Cambria" w:cs="Calibri"/>
                <w:bCs/>
                <w:color w:val="000000" w:themeColor="text1"/>
                <w:sz w:val="16"/>
                <w:szCs w:val="16"/>
                <w:lang w:val="pt-BR"/>
              </w:rPr>
              <w:t>Brazil</w:t>
            </w:r>
            <w:r w:rsidRPr="0093583F">
              <w:rPr>
                <w:rFonts w:ascii="Cambria" w:hAnsi="Cambria" w:cs="Calibri"/>
                <w:bCs/>
                <w:color w:val="000000" w:themeColor="text1"/>
                <w:sz w:val="16"/>
                <w:szCs w:val="16"/>
                <w:lang w:val="pt-BR"/>
              </w:rPr>
              <w:t>)</w:t>
            </w:r>
          </w:p>
        </w:tc>
        <w:tc>
          <w:tcPr>
            <w:tcW w:w="577" w:type="pct"/>
            <w:shd w:val="clear" w:color="auto" w:fill="E7E6E6" w:themeFill="background2"/>
            <w:vAlign w:val="center"/>
          </w:tcPr>
          <w:p w14:paraId="67F76BE8"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86">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9F3A40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2E7BCD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F435A77"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5F27E71"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2E98E97"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A5D481A" w14:textId="77777777" w:rsidTr="3E2B1321">
        <w:trPr>
          <w:trHeight w:val="29"/>
        </w:trPr>
        <w:tc>
          <w:tcPr>
            <w:tcW w:w="962" w:type="pct"/>
            <w:shd w:val="clear" w:color="auto" w:fill="E7E6E6" w:themeFill="background2"/>
          </w:tcPr>
          <w:p w14:paraId="34B66A54" w14:textId="77777777" w:rsidR="0096378F" w:rsidRPr="0093583F" w:rsidRDefault="0096378F">
            <w:pPr>
              <w:rPr>
                <w:rFonts w:ascii="Cambria" w:eastAsia="MS Mincho" w:hAnsi="Cambria" w:cs="Calibri"/>
                <w:color w:val="000000" w:themeColor="text1"/>
                <w:sz w:val="16"/>
                <w:szCs w:val="16"/>
                <w:lang w:val="pt-BR"/>
              </w:rPr>
            </w:pPr>
            <w:r>
              <w:rPr>
                <w:rFonts w:ascii="Cambria" w:hAnsi="Cambria" w:cs="Calibri"/>
                <w:bCs/>
                <w:color w:val="000000" w:themeColor="text1"/>
                <w:sz w:val="16"/>
                <w:szCs w:val="16"/>
                <w:lang w:val="pt-BR"/>
              </w:rPr>
              <w:t xml:space="preserve">Case </w:t>
            </w:r>
            <w:r w:rsidRPr="0093583F">
              <w:rPr>
                <w:rFonts w:ascii="Cambria" w:hAnsi="Cambria" w:cs="Calibri"/>
                <w:bCs/>
                <w:color w:val="000000" w:themeColor="text1"/>
                <w:sz w:val="16"/>
                <w:szCs w:val="16"/>
                <w:lang w:val="pt-BR"/>
              </w:rPr>
              <w:t xml:space="preserve">12.001, </w:t>
            </w:r>
            <w:r>
              <w:rPr>
                <w:rFonts w:ascii="Cambria" w:hAnsi="Cambria" w:cs="Calibri"/>
                <w:bCs/>
                <w:color w:val="000000" w:themeColor="text1"/>
                <w:sz w:val="16"/>
                <w:szCs w:val="16"/>
                <w:lang w:val="pt-BR"/>
              </w:rPr>
              <w:t>Report</w:t>
            </w:r>
            <w:r w:rsidRPr="0093583F">
              <w:rPr>
                <w:rFonts w:ascii="Cambria" w:hAnsi="Cambria" w:cs="Calibri"/>
                <w:bCs/>
                <w:color w:val="000000" w:themeColor="text1"/>
                <w:sz w:val="16"/>
                <w:szCs w:val="16"/>
                <w:lang w:val="pt-BR"/>
              </w:rPr>
              <w:t xml:space="preserve"> Nº 66/06, Simone André Diniz (</w:t>
            </w:r>
            <w:r>
              <w:rPr>
                <w:rFonts w:ascii="Cambria" w:hAnsi="Cambria" w:cs="Calibri"/>
                <w:bCs/>
                <w:color w:val="000000" w:themeColor="text1"/>
                <w:sz w:val="16"/>
                <w:szCs w:val="16"/>
                <w:lang w:val="pt-BR"/>
              </w:rPr>
              <w:t>Brazil</w:t>
            </w:r>
            <w:r w:rsidRPr="0093583F">
              <w:rPr>
                <w:rFonts w:ascii="Cambria" w:hAnsi="Cambria" w:cs="Calibri"/>
                <w:bCs/>
                <w:color w:val="000000" w:themeColor="text1"/>
                <w:sz w:val="16"/>
                <w:szCs w:val="16"/>
                <w:lang w:val="pt-BR"/>
              </w:rPr>
              <w:t>)</w:t>
            </w:r>
          </w:p>
        </w:tc>
        <w:tc>
          <w:tcPr>
            <w:tcW w:w="577" w:type="pct"/>
            <w:shd w:val="clear" w:color="auto" w:fill="E7E6E6" w:themeFill="background2"/>
            <w:vAlign w:val="center"/>
          </w:tcPr>
          <w:p w14:paraId="5519E53E"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87">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5D7C555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5E3A27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8DC3BE6"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3F28E6C"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B4E6AA1"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3AA40389" w14:textId="77777777" w:rsidTr="3E2B1321">
        <w:trPr>
          <w:trHeight w:val="29"/>
        </w:trPr>
        <w:tc>
          <w:tcPr>
            <w:tcW w:w="962" w:type="pct"/>
            <w:shd w:val="clear" w:color="auto" w:fill="E7E6E6" w:themeFill="background2"/>
          </w:tcPr>
          <w:p w14:paraId="47A3EE54" w14:textId="77777777" w:rsidR="0096378F" w:rsidRPr="0093583F" w:rsidRDefault="0096378F">
            <w:pPr>
              <w:rPr>
                <w:rFonts w:ascii="Cambria" w:eastAsia="MS Mincho" w:hAnsi="Cambria" w:cs="Calibri"/>
                <w:color w:val="000000" w:themeColor="text1"/>
                <w:sz w:val="16"/>
                <w:szCs w:val="16"/>
                <w:lang w:val="pt-BR"/>
              </w:rPr>
            </w:pPr>
            <w:r>
              <w:rPr>
                <w:rFonts w:ascii="Cambria" w:hAnsi="Cambria" w:cs="Calibri"/>
                <w:color w:val="000000" w:themeColor="text1"/>
                <w:sz w:val="16"/>
                <w:szCs w:val="16"/>
                <w:lang w:val="pt-BR"/>
              </w:rPr>
              <w:t xml:space="preserve">Case </w:t>
            </w:r>
            <w:r w:rsidRPr="0093583F">
              <w:rPr>
                <w:rFonts w:ascii="Cambria" w:hAnsi="Cambria" w:cs="Calibri"/>
                <w:color w:val="000000" w:themeColor="text1"/>
                <w:sz w:val="16"/>
                <w:szCs w:val="16"/>
                <w:lang w:val="pt-BR"/>
              </w:rPr>
              <w:t xml:space="preserve">12.019, </w:t>
            </w:r>
            <w:r>
              <w:rPr>
                <w:rFonts w:ascii="Cambria" w:hAnsi="Cambria" w:cs="Calibri"/>
                <w:color w:val="000000" w:themeColor="text1"/>
                <w:sz w:val="16"/>
                <w:szCs w:val="16"/>
                <w:lang w:val="pt-BR"/>
              </w:rPr>
              <w:t>Report</w:t>
            </w:r>
            <w:r w:rsidRPr="0093583F">
              <w:rPr>
                <w:rFonts w:ascii="Cambria" w:hAnsi="Cambria" w:cs="Calibri"/>
                <w:color w:val="000000" w:themeColor="text1"/>
                <w:sz w:val="16"/>
                <w:szCs w:val="16"/>
                <w:lang w:val="pt-BR"/>
              </w:rPr>
              <w:t xml:space="preserve"> Nº 35/08 Antonio Ferreira Braga (</w:t>
            </w:r>
            <w:r>
              <w:rPr>
                <w:rFonts w:ascii="Cambria" w:hAnsi="Cambria" w:cs="Calibri"/>
                <w:color w:val="000000" w:themeColor="text1"/>
                <w:sz w:val="16"/>
                <w:szCs w:val="16"/>
                <w:lang w:val="pt-BR"/>
              </w:rPr>
              <w:t>Brazil</w:t>
            </w:r>
            <w:r w:rsidRPr="0093583F">
              <w:rPr>
                <w:rFonts w:ascii="Cambria" w:hAnsi="Cambria" w:cs="Calibri"/>
                <w:color w:val="000000" w:themeColor="text1"/>
                <w:sz w:val="16"/>
                <w:szCs w:val="16"/>
                <w:lang w:val="pt-BR"/>
              </w:rPr>
              <w:t>)</w:t>
            </w:r>
          </w:p>
        </w:tc>
        <w:tc>
          <w:tcPr>
            <w:tcW w:w="577" w:type="pct"/>
            <w:shd w:val="clear" w:color="auto" w:fill="E7E6E6" w:themeFill="background2"/>
            <w:vAlign w:val="center"/>
          </w:tcPr>
          <w:p w14:paraId="76FAE108"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88">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197EBEA"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C423B2A"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3E474DA"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E63AAAF"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097CD18"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47BBB089" w14:textId="77777777" w:rsidTr="3E2B1321">
        <w:trPr>
          <w:trHeight w:val="33"/>
        </w:trPr>
        <w:tc>
          <w:tcPr>
            <w:tcW w:w="962" w:type="pct"/>
            <w:shd w:val="clear" w:color="auto" w:fill="E7E6E6" w:themeFill="background2"/>
          </w:tcPr>
          <w:p w14:paraId="4128753D" w14:textId="77777777" w:rsidR="0096378F" w:rsidRPr="0093583F" w:rsidRDefault="0096378F">
            <w:pPr>
              <w:rPr>
                <w:rFonts w:ascii="Cambria" w:eastAsia="MS Mincho" w:hAnsi="Cambria" w:cs="Calibri"/>
                <w:color w:val="000000" w:themeColor="text1"/>
                <w:sz w:val="16"/>
                <w:szCs w:val="16"/>
                <w:lang w:val="pt-BR"/>
              </w:rPr>
            </w:pPr>
            <w:r>
              <w:rPr>
                <w:rFonts w:ascii="Cambria" w:hAnsi="Cambria" w:cs="Calibri"/>
                <w:color w:val="000000" w:themeColor="text1"/>
                <w:sz w:val="16"/>
                <w:szCs w:val="16"/>
                <w:lang w:val="pt-BR"/>
              </w:rPr>
              <w:t xml:space="preserve">Case </w:t>
            </w:r>
            <w:r w:rsidRPr="0093583F">
              <w:rPr>
                <w:rFonts w:ascii="Cambria" w:hAnsi="Cambria" w:cs="Calibri"/>
                <w:color w:val="000000" w:themeColor="text1"/>
                <w:sz w:val="16"/>
                <w:szCs w:val="16"/>
                <w:lang w:val="pt-BR"/>
              </w:rPr>
              <w:t xml:space="preserve">12.310, </w:t>
            </w:r>
            <w:r>
              <w:rPr>
                <w:rFonts w:ascii="Cambria" w:hAnsi="Cambria" w:cs="Calibri"/>
                <w:color w:val="000000" w:themeColor="text1"/>
                <w:sz w:val="16"/>
                <w:szCs w:val="16"/>
                <w:lang w:val="pt-BR"/>
              </w:rPr>
              <w:t>Report</w:t>
            </w:r>
            <w:r w:rsidRPr="0093583F">
              <w:rPr>
                <w:rFonts w:ascii="Cambria" w:hAnsi="Cambria" w:cs="Calibri"/>
                <w:color w:val="000000" w:themeColor="text1"/>
                <w:sz w:val="16"/>
                <w:szCs w:val="16"/>
                <w:lang w:val="pt-BR"/>
              </w:rPr>
              <w:t xml:space="preserve"> Nº 25/09 Sebastião Camargo Filho (</w:t>
            </w:r>
            <w:r>
              <w:rPr>
                <w:rFonts w:ascii="Cambria" w:hAnsi="Cambria" w:cs="Calibri"/>
                <w:color w:val="000000" w:themeColor="text1"/>
                <w:sz w:val="16"/>
                <w:szCs w:val="16"/>
                <w:lang w:val="pt-BR"/>
              </w:rPr>
              <w:t>Brazil</w:t>
            </w:r>
            <w:r w:rsidRPr="0093583F">
              <w:rPr>
                <w:rFonts w:ascii="Cambria" w:hAnsi="Cambria" w:cs="Calibri"/>
                <w:color w:val="000000" w:themeColor="text1"/>
                <w:sz w:val="16"/>
                <w:szCs w:val="16"/>
                <w:lang w:val="pt-BR"/>
              </w:rPr>
              <w:t>)</w:t>
            </w:r>
          </w:p>
        </w:tc>
        <w:tc>
          <w:tcPr>
            <w:tcW w:w="577" w:type="pct"/>
            <w:shd w:val="clear" w:color="auto" w:fill="E7E6E6" w:themeFill="background2"/>
            <w:vAlign w:val="center"/>
          </w:tcPr>
          <w:p w14:paraId="4826702A"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89">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05A9CE4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E5B5D8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21FAE73"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4746AA3"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12BC89B"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34D305A9" w14:textId="77777777" w:rsidTr="3E2B1321">
        <w:trPr>
          <w:trHeight w:val="31"/>
        </w:trPr>
        <w:tc>
          <w:tcPr>
            <w:tcW w:w="962" w:type="pct"/>
            <w:shd w:val="clear" w:color="auto" w:fill="E7E6E6" w:themeFill="background2"/>
          </w:tcPr>
          <w:p w14:paraId="06704387" w14:textId="77777777" w:rsidR="0096378F" w:rsidRPr="0093583F" w:rsidRDefault="0096378F">
            <w:pPr>
              <w:rPr>
                <w:rFonts w:ascii="Cambria" w:eastAsia="MS Mincho" w:hAnsi="Cambria" w:cs="Calibri"/>
                <w:color w:val="000000" w:themeColor="text1"/>
                <w:sz w:val="16"/>
                <w:szCs w:val="16"/>
                <w:lang w:val="pt-BR"/>
              </w:rPr>
            </w:pPr>
            <w:r>
              <w:rPr>
                <w:rFonts w:ascii="Cambria" w:hAnsi="Cambria" w:cs="Calibri"/>
                <w:color w:val="000000" w:themeColor="text1"/>
                <w:sz w:val="16"/>
                <w:szCs w:val="16"/>
                <w:lang w:val="pt-BR"/>
              </w:rPr>
              <w:t xml:space="preserve">Case </w:t>
            </w:r>
            <w:r w:rsidRPr="0093583F">
              <w:rPr>
                <w:rFonts w:ascii="Cambria" w:hAnsi="Cambria" w:cs="Calibri"/>
                <w:color w:val="000000" w:themeColor="text1"/>
                <w:sz w:val="16"/>
                <w:szCs w:val="16"/>
                <w:lang w:val="pt-BR"/>
              </w:rPr>
              <w:t xml:space="preserve">12.440, </w:t>
            </w:r>
            <w:r>
              <w:rPr>
                <w:rFonts w:ascii="Cambria" w:hAnsi="Cambria" w:cs="Calibri"/>
                <w:color w:val="000000" w:themeColor="text1"/>
                <w:sz w:val="16"/>
                <w:szCs w:val="16"/>
                <w:lang w:val="pt-BR"/>
              </w:rPr>
              <w:t>Report</w:t>
            </w:r>
            <w:r w:rsidRPr="0093583F">
              <w:rPr>
                <w:rFonts w:ascii="Cambria" w:hAnsi="Cambria" w:cs="Calibri"/>
                <w:color w:val="000000" w:themeColor="text1"/>
                <w:sz w:val="16"/>
                <w:szCs w:val="16"/>
                <w:lang w:val="pt-BR"/>
              </w:rPr>
              <w:t xml:space="preserve"> Nº 26/09 Wallace de Almeida (</w:t>
            </w:r>
            <w:r>
              <w:rPr>
                <w:rFonts w:ascii="Cambria" w:hAnsi="Cambria" w:cs="Calibri"/>
                <w:color w:val="000000" w:themeColor="text1"/>
                <w:sz w:val="16"/>
                <w:szCs w:val="16"/>
                <w:lang w:val="pt-BR"/>
              </w:rPr>
              <w:t>Brazil</w:t>
            </w:r>
            <w:r w:rsidRPr="0093583F">
              <w:rPr>
                <w:rFonts w:ascii="Cambria" w:hAnsi="Cambria" w:cs="Calibri"/>
                <w:color w:val="000000" w:themeColor="text1"/>
                <w:sz w:val="16"/>
                <w:szCs w:val="16"/>
                <w:lang w:val="pt-BR"/>
              </w:rPr>
              <w:t>)</w:t>
            </w:r>
          </w:p>
        </w:tc>
        <w:tc>
          <w:tcPr>
            <w:tcW w:w="577" w:type="pct"/>
            <w:shd w:val="clear" w:color="auto" w:fill="E7E6E6" w:themeFill="background2"/>
            <w:vAlign w:val="center"/>
          </w:tcPr>
          <w:p w14:paraId="1BDB37A9"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90">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3F308EA"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DA9CD87"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63E89AF"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834F00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1E8A371"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03219B4B" w14:textId="77777777" w:rsidTr="3E2B1321">
        <w:trPr>
          <w:trHeight w:val="29"/>
        </w:trPr>
        <w:tc>
          <w:tcPr>
            <w:tcW w:w="962" w:type="pct"/>
            <w:shd w:val="clear" w:color="auto" w:fill="E7E6E6" w:themeFill="background2"/>
          </w:tcPr>
          <w:p w14:paraId="1E8CF58B" w14:textId="77777777" w:rsidR="0096378F" w:rsidRPr="0093583F" w:rsidRDefault="0096378F">
            <w:pPr>
              <w:rPr>
                <w:rFonts w:ascii="Cambria" w:eastAsia="MS Mincho" w:hAnsi="Cambria" w:cs="Calibri"/>
                <w:color w:val="000000" w:themeColor="text1"/>
                <w:sz w:val="16"/>
                <w:szCs w:val="16"/>
                <w:lang w:val="pt-BR"/>
              </w:rPr>
            </w:pPr>
            <w:r>
              <w:rPr>
                <w:rFonts w:ascii="Cambria" w:hAnsi="Cambria" w:cs="Calibri"/>
                <w:color w:val="000000" w:themeColor="text1"/>
                <w:sz w:val="16"/>
                <w:szCs w:val="16"/>
                <w:lang w:val="pt-BR"/>
              </w:rPr>
              <w:t xml:space="preserve">Case </w:t>
            </w:r>
            <w:r w:rsidRPr="0093583F">
              <w:rPr>
                <w:rFonts w:ascii="Cambria" w:hAnsi="Cambria" w:cs="Calibri"/>
                <w:color w:val="000000" w:themeColor="text1"/>
                <w:sz w:val="16"/>
                <w:szCs w:val="16"/>
                <w:lang w:val="pt-BR"/>
              </w:rPr>
              <w:t xml:space="preserve">12.308, </w:t>
            </w:r>
            <w:r>
              <w:rPr>
                <w:rFonts w:ascii="Cambria" w:hAnsi="Cambria" w:cs="Calibri"/>
                <w:color w:val="000000" w:themeColor="text1"/>
                <w:sz w:val="16"/>
                <w:szCs w:val="16"/>
                <w:lang w:val="pt-BR"/>
              </w:rPr>
              <w:t>Report</w:t>
            </w:r>
            <w:r w:rsidRPr="0093583F">
              <w:rPr>
                <w:rFonts w:ascii="Cambria" w:hAnsi="Cambria" w:cs="Calibri"/>
                <w:color w:val="000000" w:themeColor="text1"/>
                <w:sz w:val="16"/>
                <w:szCs w:val="16"/>
                <w:lang w:val="pt-BR"/>
              </w:rPr>
              <w:t xml:space="preserve"> Nº 37/10, Manoel Leal de Oliveira (</w:t>
            </w:r>
            <w:r>
              <w:rPr>
                <w:rFonts w:ascii="Cambria" w:hAnsi="Cambria" w:cs="Calibri"/>
                <w:color w:val="000000" w:themeColor="text1"/>
                <w:sz w:val="16"/>
                <w:szCs w:val="16"/>
                <w:lang w:val="pt-BR"/>
              </w:rPr>
              <w:t>Brazil</w:t>
            </w:r>
            <w:r w:rsidRPr="0093583F">
              <w:rPr>
                <w:rFonts w:ascii="Cambria" w:hAnsi="Cambria" w:cs="Calibri"/>
                <w:color w:val="000000" w:themeColor="text1"/>
                <w:sz w:val="16"/>
                <w:szCs w:val="16"/>
                <w:lang w:val="pt-BR"/>
              </w:rPr>
              <w:t>)</w:t>
            </w:r>
          </w:p>
        </w:tc>
        <w:tc>
          <w:tcPr>
            <w:tcW w:w="577" w:type="pct"/>
            <w:shd w:val="clear" w:color="auto" w:fill="E7E6E6" w:themeFill="background2"/>
            <w:vAlign w:val="center"/>
          </w:tcPr>
          <w:p w14:paraId="20B4A479"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91">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D167AAA"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26CBB40"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0586AE1"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B09117A"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5F06A0F"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06901A3F" w14:textId="77777777" w:rsidTr="3E2B1321">
        <w:trPr>
          <w:trHeight w:val="32"/>
        </w:trPr>
        <w:tc>
          <w:tcPr>
            <w:tcW w:w="962" w:type="pct"/>
            <w:shd w:val="clear" w:color="auto" w:fill="E7E6E6" w:themeFill="background2"/>
          </w:tcPr>
          <w:p w14:paraId="3B4F378E" w14:textId="3967907E" w:rsidR="0096378F" w:rsidRPr="00D677DB" w:rsidRDefault="0096378F" w:rsidP="3E2B1321">
            <w:pPr>
              <w:rPr>
                <w:rFonts w:ascii="Cambria" w:hAnsi="Cambria" w:cs="Calibri"/>
                <w:color w:val="000000" w:themeColor="text1"/>
                <w:sz w:val="16"/>
                <w:szCs w:val="16"/>
              </w:rPr>
            </w:pPr>
            <w:bookmarkStart w:id="11" w:name="_Hlk91083321"/>
            <w:r w:rsidRPr="3E2B1321">
              <w:rPr>
                <w:rFonts w:ascii="Cambria" w:hAnsi="Cambria" w:cs="Calibri"/>
                <w:color w:val="000000" w:themeColor="text1"/>
                <w:sz w:val="16"/>
                <w:szCs w:val="16"/>
              </w:rPr>
              <w:t xml:space="preserve">Case 12.213, Report Nº 7/16, Aristeu Guida da Silva and </w:t>
            </w:r>
            <w:r w:rsidR="2EE3EE10" w:rsidRPr="3E2B1321">
              <w:rPr>
                <w:rFonts w:ascii="Cambria" w:hAnsi="Cambria" w:cs="Calibri"/>
                <w:color w:val="000000" w:themeColor="text1"/>
                <w:sz w:val="16"/>
                <w:szCs w:val="16"/>
              </w:rPr>
              <w:t>Family</w:t>
            </w:r>
            <w:r w:rsidRPr="3E2B1321">
              <w:rPr>
                <w:rFonts w:ascii="Cambria" w:hAnsi="Cambria" w:cs="Calibri"/>
                <w:color w:val="000000" w:themeColor="text1"/>
                <w:sz w:val="16"/>
                <w:szCs w:val="16"/>
              </w:rPr>
              <w:t xml:space="preserve"> (Brazil)</w:t>
            </w:r>
            <w:bookmarkEnd w:id="11"/>
          </w:p>
        </w:tc>
        <w:tc>
          <w:tcPr>
            <w:tcW w:w="577" w:type="pct"/>
            <w:shd w:val="clear" w:color="auto" w:fill="E7E6E6" w:themeFill="background2"/>
            <w:vAlign w:val="center"/>
          </w:tcPr>
          <w:p w14:paraId="69131BFA"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92">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D252B0D"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5F1546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6400CF3"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23D80B8"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C8006C1"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1985C980" w14:textId="77777777" w:rsidTr="3E2B1321">
        <w:trPr>
          <w:trHeight w:val="32"/>
        </w:trPr>
        <w:tc>
          <w:tcPr>
            <w:tcW w:w="962" w:type="pct"/>
            <w:shd w:val="clear" w:color="auto" w:fill="E7E6E6" w:themeFill="background2"/>
          </w:tcPr>
          <w:p w14:paraId="614B8760" w14:textId="698C0349" w:rsidR="0096378F" w:rsidRPr="008E630F" w:rsidRDefault="0096378F">
            <w:pPr>
              <w:rPr>
                <w:rFonts w:ascii="Cambria" w:hAnsi="Cambria" w:cs="Calibri"/>
                <w:color w:val="000000" w:themeColor="text1"/>
                <w:sz w:val="16"/>
                <w:szCs w:val="16"/>
              </w:rPr>
            </w:pPr>
            <w:bookmarkStart w:id="12" w:name="_Hlk90999639"/>
            <w:r w:rsidRPr="3E2B1321">
              <w:rPr>
                <w:rFonts w:ascii="Cambria" w:hAnsi="Cambria" w:cs="Calibri"/>
                <w:color w:val="000000" w:themeColor="text1"/>
                <w:sz w:val="16"/>
                <w:szCs w:val="16"/>
              </w:rPr>
              <w:t xml:space="preserve">Case 12.332, Report Nº 31/20, Margarida Maria Alves and </w:t>
            </w:r>
            <w:r w:rsidR="79BC646F" w:rsidRPr="3E2B1321">
              <w:rPr>
                <w:rFonts w:ascii="Cambria" w:hAnsi="Cambria" w:cs="Calibri"/>
                <w:color w:val="000000" w:themeColor="text1"/>
                <w:sz w:val="16"/>
                <w:szCs w:val="16"/>
              </w:rPr>
              <w:t>Family</w:t>
            </w:r>
            <w:bookmarkEnd w:id="12"/>
            <w:r w:rsidRPr="3E2B1321">
              <w:rPr>
                <w:rFonts w:ascii="Cambria" w:hAnsi="Cambria" w:cs="Calibri"/>
                <w:color w:val="000000" w:themeColor="text1"/>
                <w:sz w:val="16"/>
                <w:szCs w:val="16"/>
              </w:rPr>
              <w:t xml:space="preserve"> (Brazil)</w:t>
            </w:r>
          </w:p>
        </w:tc>
        <w:tc>
          <w:tcPr>
            <w:tcW w:w="577" w:type="pct"/>
            <w:shd w:val="clear" w:color="auto" w:fill="E7E6E6" w:themeFill="background2"/>
            <w:vAlign w:val="center"/>
          </w:tcPr>
          <w:p w14:paraId="29955953" w14:textId="77777777" w:rsidR="0096378F" w:rsidRPr="0093583F" w:rsidRDefault="0071198A" w:rsidP="3E2B1321">
            <w:pPr>
              <w:ind w:left="72"/>
              <w:jc w:val="center"/>
              <w:rPr>
                <w:rFonts w:ascii="Cambria" w:eastAsia="MS Mincho" w:hAnsi="Cambria" w:cs="Calibri"/>
                <w:color w:val="000000" w:themeColor="text1"/>
                <w:sz w:val="16"/>
                <w:szCs w:val="16"/>
                <w:lang w:val="pt-BR" w:eastAsia="es-ES"/>
              </w:rPr>
            </w:pPr>
            <w:hyperlink r:id="rId93">
              <w:r w:rsidR="0096378F" w:rsidRPr="3E2B1321">
                <w:rPr>
                  <w:rStyle w:val="Hyperlink"/>
                  <w:rFonts w:ascii="Cambria" w:eastAsia="MS Mincho" w:hAnsi="Cambria" w:cs="Calibri"/>
                  <w:sz w:val="16"/>
                  <w:szCs w:val="16"/>
                  <w:lang w:val="pt-BR" w:eastAsia="es-ES"/>
                </w:rPr>
                <w:t>Link</w:t>
              </w:r>
            </w:hyperlink>
          </w:p>
        </w:tc>
        <w:tc>
          <w:tcPr>
            <w:tcW w:w="721" w:type="pct"/>
            <w:shd w:val="clear" w:color="auto" w:fill="E7E6E6" w:themeFill="background2"/>
          </w:tcPr>
          <w:p w14:paraId="61908AC2" w14:textId="77777777" w:rsidR="0096378F" w:rsidRPr="0093583F" w:rsidRDefault="0096378F">
            <w:pPr>
              <w:ind w:left="72"/>
              <w:jc w:val="center"/>
              <w:rPr>
                <w:rFonts w:ascii="Cambria" w:eastAsia="MS Mincho" w:hAnsi="Cambria" w:cs="Calibri"/>
                <w:color w:val="000000" w:themeColor="text1"/>
                <w:sz w:val="16"/>
                <w:szCs w:val="16"/>
                <w:lang w:val="pt-BR" w:eastAsia="es-ES_tradnl"/>
              </w:rPr>
            </w:pPr>
          </w:p>
        </w:tc>
        <w:tc>
          <w:tcPr>
            <w:tcW w:w="721" w:type="pct"/>
            <w:shd w:val="clear" w:color="auto" w:fill="E7E6E6" w:themeFill="background2"/>
            <w:vAlign w:val="center"/>
          </w:tcPr>
          <w:p w14:paraId="01282ADE" w14:textId="77777777" w:rsidR="0096378F" w:rsidRPr="0093583F" w:rsidRDefault="0096378F">
            <w:pPr>
              <w:ind w:left="72"/>
              <w:jc w:val="center"/>
              <w:rPr>
                <w:rFonts w:ascii="Cambria" w:eastAsia="MS Mincho" w:hAnsi="Cambria" w:cs="Calibri"/>
                <w:color w:val="000000" w:themeColor="text1"/>
                <w:sz w:val="16"/>
                <w:szCs w:val="16"/>
                <w:lang w:val="pt-BR" w:eastAsia="es-ES_tradnl"/>
              </w:rPr>
            </w:pPr>
          </w:p>
        </w:tc>
        <w:tc>
          <w:tcPr>
            <w:tcW w:w="721" w:type="pct"/>
            <w:shd w:val="clear" w:color="auto" w:fill="E7E6E6" w:themeFill="background2"/>
            <w:vAlign w:val="center"/>
          </w:tcPr>
          <w:p w14:paraId="7D0139D2" w14:textId="77777777" w:rsidR="0096378F" w:rsidRPr="0093583F" w:rsidRDefault="0096378F">
            <w:pPr>
              <w:jc w:val="center"/>
              <w:rPr>
                <w:rFonts w:ascii="Cambria" w:eastAsia="MS Mincho" w:hAnsi="Cambria" w:cs="Calibri"/>
                <w:color w:val="000000" w:themeColor="text1"/>
                <w:sz w:val="16"/>
                <w:szCs w:val="16"/>
                <w:lang w:val="pt-BR" w:eastAsia="es-ES_tradnl"/>
              </w:rPr>
            </w:pPr>
            <w:r w:rsidRPr="0093583F">
              <w:rPr>
                <w:rFonts w:ascii="Cambria" w:eastAsia="MS Mincho" w:hAnsi="Cambria" w:cs="Calibri"/>
                <w:color w:val="000000" w:themeColor="text1"/>
                <w:sz w:val="16"/>
                <w:szCs w:val="16"/>
                <w:lang w:val="pt-BR" w:eastAsia="es-ES_tradnl"/>
              </w:rPr>
              <w:t>X</w:t>
            </w:r>
          </w:p>
        </w:tc>
        <w:tc>
          <w:tcPr>
            <w:tcW w:w="673" w:type="pct"/>
            <w:shd w:val="clear" w:color="auto" w:fill="E7E6E6" w:themeFill="background2"/>
            <w:vAlign w:val="center"/>
          </w:tcPr>
          <w:p w14:paraId="33142FD1" w14:textId="77777777" w:rsidR="0096378F" w:rsidRPr="0093583F" w:rsidRDefault="0096378F">
            <w:pPr>
              <w:jc w:val="center"/>
              <w:rPr>
                <w:rFonts w:ascii="Cambria" w:eastAsia="MS Mincho" w:hAnsi="Cambria" w:cs="Calibri"/>
                <w:color w:val="000000" w:themeColor="text1"/>
                <w:sz w:val="16"/>
                <w:szCs w:val="16"/>
                <w:lang w:val="pt-BR" w:eastAsia="es-ES_tradnl"/>
              </w:rPr>
            </w:pPr>
          </w:p>
        </w:tc>
        <w:tc>
          <w:tcPr>
            <w:tcW w:w="625" w:type="pct"/>
            <w:shd w:val="clear" w:color="auto" w:fill="E7E6E6" w:themeFill="background2"/>
            <w:vAlign w:val="center"/>
          </w:tcPr>
          <w:p w14:paraId="287B33FA" w14:textId="77777777" w:rsidR="0096378F" w:rsidRPr="0093583F" w:rsidRDefault="0096378F">
            <w:pPr>
              <w:jc w:val="center"/>
              <w:rPr>
                <w:rFonts w:ascii="Cambria" w:eastAsia="MS Mincho" w:hAnsi="Cambria" w:cs="Calibri"/>
                <w:color w:val="000000" w:themeColor="text1"/>
                <w:sz w:val="16"/>
                <w:szCs w:val="16"/>
                <w:lang w:val="pt-BR"/>
              </w:rPr>
            </w:pPr>
            <w:r>
              <w:rPr>
                <w:rFonts w:ascii="Cambria" w:eastAsia="MS Mincho" w:hAnsi="Cambria" w:cs="Calibri"/>
                <w:color w:val="000000" w:themeColor="text1"/>
                <w:sz w:val="16"/>
                <w:szCs w:val="16"/>
                <w:lang w:val="pt-BR"/>
              </w:rPr>
              <w:t>Open</w:t>
            </w:r>
          </w:p>
        </w:tc>
      </w:tr>
      <w:tr w:rsidR="0096378F" w:rsidRPr="0093583F" w14:paraId="63FA2D49" w14:textId="77777777" w:rsidTr="3E2B1321">
        <w:trPr>
          <w:trHeight w:val="17"/>
        </w:trPr>
        <w:tc>
          <w:tcPr>
            <w:tcW w:w="962" w:type="pct"/>
            <w:shd w:val="clear" w:color="auto" w:fill="E7E6E6" w:themeFill="background2"/>
          </w:tcPr>
          <w:p w14:paraId="3C8FF882" w14:textId="6A4C84C8" w:rsidR="0096378F" w:rsidRPr="008E630F" w:rsidRDefault="0096378F">
            <w:pPr>
              <w:rPr>
                <w:rFonts w:ascii="Cambria" w:eastAsia="MS Mincho" w:hAnsi="Cambria" w:cs="Calibri"/>
                <w:color w:val="000000" w:themeColor="text1"/>
                <w:sz w:val="16"/>
                <w:szCs w:val="16"/>
              </w:rPr>
            </w:pPr>
            <w:bookmarkStart w:id="13" w:name="_Hlk91093055"/>
            <w:r w:rsidRPr="3E2B1321">
              <w:rPr>
                <w:rFonts w:ascii="Cambria" w:hAnsi="Cambria" w:cs="Calibri"/>
                <w:color w:val="000000" w:themeColor="text1"/>
                <w:sz w:val="16"/>
                <w:szCs w:val="16"/>
              </w:rPr>
              <w:t>Case 12.586, Report Nº 78/11, John Doe (Canada)</w:t>
            </w:r>
            <w:bookmarkEnd w:id="13"/>
          </w:p>
        </w:tc>
        <w:tc>
          <w:tcPr>
            <w:tcW w:w="577" w:type="pct"/>
            <w:shd w:val="clear" w:color="auto" w:fill="E7E6E6" w:themeFill="background2"/>
            <w:vAlign w:val="center"/>
          </w:tcPr>
          <w:p w14:paraId="7A3D783A"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94">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33A439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D3F5E0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3063304"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FDFF473"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DB1AB01"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1F9061E" w14:textId="77777777" w:rsidTr="3E2B1321">
        <w:trPr>
          <w:trHeight w:val="37"/>
        </w:trPr>
        <w:tc>
          <w:tcPr>
            <w:tcW w:w="962" w:type="pct"/>
            <w:shd w:val="clear" w:color="auto" w:fill="E7E6E6" w:themeFill="background2"/>
          </w:tcPr>
          <w:p w14:paraId="0FA84741" w14:textId="77777777" w:rsidR="0096378F" w:rsidRPr="008E630F" w:rsidRDefault="0096378F">
            <w:pPr>
              <w:rPr>
                <w:rFonts w:ascii="Cambria" w:eastAsia="MS Mincho" w:hAnsi="Cambria" w:cs="Calibri"/>
                <w:color w:val="000000" w:themeColor="text1"/>
                <w:sz w:val="16"/>
                <w:szCs w:val="16"/>
              </w:rPr>
            </w:pPr>
            <w:r w:rsidRPr="008E630F">
              <w:rPr>
                <w:rFonts w:ascii="Cambria" w:hAnsi="Cambria" w:cs="Calibri"/>
                <w:color w:val="000000" w:themeColor="text1"/>
                <w:sz w:val="16"/>
                <w:szCs w:val="16"/>
              </w:rPr>
              <w:t>Case 11.661, Report Nº 8/16, Manickavasagam Suresh (Canada)</w:t>
            </w:r>
          </w:p>
        </w:tc>
        <w:tc>
          <w:tcPr>
            <w:tcW w:w="577" w:type="pct"/>
            <w:shd w:val="clear" w:color="auto" w:fill="E7E6E6" w:themeFill="background2"/>
            <w:vAlign w:val="center"/>
          </w:tcPr>
          <w:p w14:paraId="45C23426"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95">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6575DB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0B3DD8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F462A8F"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1DB715D"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A98C637"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015284E5" w14:textId="77777777" w:rsidTr="3E2B1321">
        <w:trPr>
          <w:trHeight w:val="33"/>
        </w:trPr>
        <w:tc>
          <w:tcPr>
            <w:tcW w:w="962" w:type="pct"/>
            <w:shd w:val="clear" w:color="auto" w:fill="E7E6E6" w:themeFill="background2"/>
          </w:tcPr>
          <w:p w14:paraId="296C9A72" w14:textId="77777777" w:rsidR="0096378F" w:rsidRPr="0093583F" w:rsidRDefault="0096378F">
            <w:pPr>
              <w:rPr>
                <w:rFonts w:ascii="Cambria" w:eastAsia="MS Mincho" w:hAnsi="Cambria" w:cs="Calibri"/>
                <w:color w:val="000000" w:themeColor="text1"/>
                <w:sz w:val="16"/>
                <w:szCs w:val="16"/>
                <w:lang w:val="es-US"/>
              </w:rPr>
            </w:pPr>
            <w:bookmarkStart w:id="14" w:name="_Hlk91084522"/>
            <w:r>
              <w:rPr>
                <w:rFonts w:ascii="Cambria" w:hAnsi="Cambria" w:cs="Calibri"/>
                <w:bCs/>
                <w:color w:val="000000" w:themeColor="text1"/>
                <w:sz w:val="16"/>
                <w:szCs w:val="16"/>
                <w:lang w:val="es-US"/>
              </w:rPr>
              <w:t xml:space="preserve">Case </w:t>
            </w:r>
            <w:r w:rsidRPr="0093583F">
              <w:rPr>
                <w:rFonts w:ascii="Cambria" w:hAnsi="Cambria" w:cs="Calibri"/>
                <w:bCs/>
                <w:color w:val="000000" w:themeColor="text1"/>
                <w:sz w:val="16"/>
                <w:szCs w:val="16"/>
                <w:lang w:val="es-US"/>
              </w:rPr>
              <w:t xml:space="preserve">11.771, </w:t>
            </w:r>
            <w:r>
              <w:rPr>
                <w:rFonts w:ascii="Cambria" w:hAnsi="Cambria" w:cs="Calibri"/>
                <w:bCs/>
                <w:color w:val="000000" w:themeColor="text1"/>
                <w:sz w:val="16"/>
                <w:szCs w:val="16"/>
                <w:lang w:val="es-US"/>
              </w:rPr>
              <w:t>Report</w:t>
            </w:r>
            <w:r w:rsidRPr="0093583F">
              <w:rPr>
                <w:rFonts w:ascii="Cambria" w:hAnsi="Cambria" w:cs="Calibri"/>
                <w:bCs/>
                <w:color w:val="000000" w:themeColor="text1"/>
                <w:sz w:val="16"/>
                <w:szCs w:val="16"/>
                <w:lang w:val="es-US"/>
              </w:rPr>
              <w:t xml:space="preserve"> Nº 61/01, Samuel Alfonso Catalán Lincoleo (Chile)</w:t>
            </w:r>
            <w:bookmarkEnd w:id="14"/>
          </w:p>
        </w:tc>
        <w:tc>
          <w:tcPr>
            <w:tcW w:w="577" w:type="pct"/>
            <w:shd w:val="clear" w:color="auto" w:fill="E7E6E6" w:themeFill="background2"/>
            <w:vAlign w:val="center"/>
          </w:tcPr>
          <w:p w14:paraId="466DD052"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96">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DDDA98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BBCEA9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9819C1E"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C4F1A3E"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1AE9337"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D727457" w14:textId="77777777" w:rsidTr="3E2B1321">
        <w:trPr>
          <w:trHeight w:val="30"/>
        </w:trPr>
        <w:tc>
          <w:tcPr>
            <w:tcW w:w="962" w:type="pct"/>
            <w:shd w:val="clear" w:color="auto" w:fill="E7E6E6" w:themeFill="background2"/>
          </w:tcPr>
          <w:p w14:paraId="55C0E57C" w14:textId="77777777" w:rsidR="0096378F" w:rsidRPr="0093583F" w:rsidRDefault="0096378F">
            <w:pPr>
              <w:rPr>
                <w:rFonts w:ascii="Cambria" w:eastAsia="MS Mincho" w:hAnsi="Cambria" w:cs="Calibri"/>
                <w:color w:val="000000" w:themeColor="text1"/>
                <w:sz w:val="16"/>
                <w:szCs w:val="16"/>
                <w:lang w:val="pt-BR"/>
              </w:rPr>
            </w:pPr>
            <w:bookmarkStart w:id="15" w:name="_Hlk91084541"/>
            <w:r>
              <w:rPr>
                <w:rFonts w:ascii="Cambria" w:hAnsi="Cambria" w:cs="Calibri"/>
                <w:bCs/>
                <w:color w:val="000000" w:themeColor="text1"/>
                <w:sz w:val="16"/>
                <w:szCs w:val="16"/>
                <w:lang w:val="pt-BR"/>
              </w:rPr>
              <w:t xml:space="preserve">Case </w:t>
            </w:r>
            <w:r w:rsidRPr="0093583F">
              <w:rPr>
                <w:rFonts w:ascii="Cambria" w:hAnsi="Cambria" w:cs="Calibri"/>
                <w:bCs/>
                <w:color w:val="000000" w:themeColor="text1"/>
                <w:sz w:val="16"/>
                <w:szCs w:val="16"/>
                <w:lang w:val="pt-BR"/>
              </w:rPr>
              <w:t xml:space="preserve">11.725, </w:t>
            </w:r>
            <w:r>
              <w:rPr>
                <w:rFonts w:ascii="Cambria" w:hAnsi="Cambria" w:cs="Calibri"/>
                <w:bCs/>
                <w:color w:val="000000" w:themeColor="text1"/>
                <w:sz w:val="16"/>
                <w:szCs w:val="16"/>
                <w:lang w:val="pt-BR"/>
              </w:rPr>
              <w:t>Report</w:t>
            </w:r>
            <w:r w:rsidRPr="0093583F">
              <w:rPr>
                <w:rFonts w:ascii="Cambria" w:hAnsi="Cambria" w:cs="Calibri"/>
                <w:bCs/>
                <w:color w:val="000000" w:themeColor="text1"/>
                <w:sz w:val="16"/>
                <w:szCs w:val="16"/>
                <w:lang w:val="pt-BR"/>
              </w:rPr>
              <w:t xml:space="preserve"> Nº 139/99, Carmelo Soria Espinoza (Chile)</w:t>
            </w:r>
            <w:bookmarkEnd w:id="15"/>
          </w:p>
        </w:tc>
        <w:tc>
          <w:tcPr>
            <w:tcW w:w="577" w:type="pct"/>
            <w:shd w:val="clear" w:color="auto" w:fill="E7E6E6" w:themeFill="background2"/>
            <w:vAlign w:val="center"/>
          </w:tcPr>
          <w:p w14:paraId="6430AAE6"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97">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3A193197"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390473E"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10A0A1E"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932C649"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BEDD0DD"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C9275DD" w14:textId="77777777" w:rsidTr="3E2B1321">
        <w:trPr>
          <w:trHeight w:val="30"/>
        </w:trPr>
        <w:tc>
          <w:tcPr>
            <w:tcW w:w="962" w:type="pct"/>
            <w:shd w:val="clear" w:color="auto" w:fill="D0CECE" w:themeFill="background2" w:themeFillShade="E6"/>
          </w:tcPr>
          <w:p w14:paraId="0AE62771" w14:textId="77777777" w:rsidR="0096378F" w:rsidRPr="008E630F" w:rsidRDefault="0096378F">
            <w:pPr>
              <w:rPr>
                <w:rFonts w:ascii="Cambria" w:eastAsia="MS Mincho" w:hAnsi="Cambria" w:cs="Calibri"/>
                <w:color w:val="000000" w:themeColor="text1"/>
                <w:sz w:val="16"/>
                <w:szCs w:val="16"/>
                <w:lang w:val="es-CO"/>
              </w:rPr>
            </w:pPr>
            <w:r w:rsidRPr="00D677DB">
              <w:rPr>
                <w:rFonts w:ascii="Cambria" w:hAnsi="Cambria" w:cs="Calibri"/>
                <w:bCs/>
                <w:color w:val="000000" w:themeColor="text1"/>
                <w:sz w:val="16"/>
                <w:szCs w:val="16"/>
                <w:lang w:val="es-MX"/>
              </w:rPr>
              <w:lastRenderedPageBreak/>
              <w:t>Ca</w:t>
            </w:r>
            <w:r>
              <w:rPr>
                <w:rFonts w:ascii="Cambria" w:hAnsi="Cambria" w:cs="Calibri"/>
                <w:bCs/>
                <w:color w:val="000000" w:themeColor="text1"/>
                <w:sz w:val="16"/>
                <w:szCs w:val="16"/>
                <w:lang w:val="es-MX"/>
              </w:rPr>
              <w:t>se 12.142</w:t>
            </w:r>
            <w:r w:rsidRPr="00D677DB">
              <w:rPr>
                <w:rFonts w:ascii="Cambria" w:hAnsi="Cambria" w:cs="Calibri"/>
                <w:caps/>
                <w:color w:val="000000" w:themeColor="text1"/>
                <w:sz w:val="16"/>
                <w:szCs w:val="16"/>
                <w:lang w:val="es-MX"/>
              </w:rPr>
              <w:t>,</w:t>
            </w:r>
            <w:r w:rsidRPr="00D677DB">
              <w:rPr>
                <w:rFonts w:ascii="Cambria" w:hAnsi="Cambria" w:cs="Calibri"/>
                <w:color w:val="000000" w:themeColor="text1"/>
                <w:sz w:val="16"/>
                <w:szCs w:val="16"/>
                <w:lang w:val="es-MX"/>
              </w:rPr>
              <w:t xml:space="preserve"> Report Nº 90/05, Alejandra Marcela Matus Acuña et al. </w:t>
            </w:r>
            <w:r w:rsidRPr="008E630F">
              <w:rPr>
                <w:rFonts w:ascii="Cambria" w:hAnsi="Cambria" w:cs="Calibri"/>
                <w:color w:val="000000" w:themeColor="text1"/>
                <w:sz w:val="16"/>
                <w:szCs w:val="16"/>
                <w:lang w:val="es-CO"/>
              </w:rPr>
              <w:t>(Chile)</w:t>
            </w:r>
            <w:r w:rsidRPr="0093583F">
              <w:rPr>
                <w:rFonts w:ascii="Cambria" w:hAnsi="Cambria" w:cs="Calibri"/>
                <w:color w:val="000000" w:themeColor="text1"/>
                <w:sz w:val="16"/>
                <w:szCs w:val="16"/>
                <w:vertAlign w:val="superscript"/>
                <w:lang w:val="es-US"/>
              </w:rPr>
              <w:footnoteReference w:id="140"/>
            </w:r>
          </w:p>
        </w:tc>
        <w:tc>
          <w:tcPr>
            <w:tcW w:w="577" w:type="pct"/>
            <w:shd w:val="clear" w:color="auto" w:fill="D0CECE" w:themeFill="background2" w:themeFillShade="E6"/>
            <w:vAlign w:val="center"/>
          </w:tcPr>
          <w:p w14:paraId="3A83DADD" w14:textId="77777777" w:rsidR="0096378F" w:rsidRPr="008E630F" w:rsidRDefault="0096378F">
            <w:pPr>
              <w:ind w:left="72"/>
              <w:jc w:val="center"/>
              <w:rPr>
                <w:rFonts w:ascii="Cambria" w:eastAsia="MS Mincho" w:hAnsi="Cambria" w:cs="Calibri"/>
                <w:color w:val="000000" w:themeColor="text1"/>
                <w:sz w:val="16"/>
                <w:szCs w:val="16"/>
                <w:u w:val="single"/>
                <w:lang w:val="es-CO" w:eastAsia="es-ES_tradnl"/>
              </w:rPr>
            </w:pPr>
          </w:p>
        </w:tc>
        <w:tc>
          <w:tcPr>
            <w:tcW w:w="721" w:type="pct"/>
            <w:shd w:val="clear" w:color="auto" w:fill="D0CECE" w:themeFill="background2" w:themeFillShade="E6"/>
          </w:tcPr>
          <w:p w14:paraId="6F702EB1" w14:textId="77777777" w:rsidR="0096378F" w:rsidRPr="008E630F" w:rsidRDefault="0096378F">
            <w:pPr>
              <w:ind w:left="72"/>
              <w:jc w:val="center"/>
              <w:rPr>
                <w:rFonts w:ascii="Cambria" w:eastAsia="MS Mincho" w:hAnsi="Cambria" w:cs="Calibri"/>
                <w:color w:val="000000" w:themeColor="text1"/>
                <w:sz w:val="16"/>
                <w:szCs w:val="16"/>
                <w:lang w:val="es-CO" w:eastAsia="es-ES_tradnl"/>
              </w:rPr>
            </w:pPr>
          </w:p>
        </w:tc>
        <w:tc>
          <w:tcPr>
            <w:tcW w:w="721" w:type="pct"/>
            <w:shd w:val="clear" w:color="auto" w:fill="D0CECE" w:themeFill="background2" w:themeFillShade="E6"/>
            <w:vAlign w:val="center"/>
          </w:tcPr>
          <w:p w14:paraId="3DBC376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78A67B67"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25D90A77"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12734E60"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Closed</w:t>
            </w:r>
          </w:p>
        </w:tc>
      </w:tr>
      <w:tr w:rsidR="0096378F" w:rsidRPr="0093583F" w14:paraId="227295F1" w14:textId="77777777" w:rsidTr="3E2B1321">
        <w:trPr>
          <w:trHeight w:val="37"/>
        </w:trPr>
        <w:tc>
          <w:tcPr>
            <w:tcW w:w="962" w:type="pct"/>
            <w:shd w:val="clear" w:color="auto" w:fill="E7E6E6" w:themeFill="background2"/>
          </w:tcPr>
          <w:p w14:paraId="49C099F1" w14:textId="77777777" w:rsidR="0096378F" w:rsidRPr="0093583F" w:rsidRDefault="0096378F">
            <w:pPr>
              <w:rPr>
                <w:rFonts w:ascii="Cambria" w:hAnsi="Cambria" w:cs="Calibri"/>
                <w:color w:val="000000" w:themeColor="text1"/>
                <w:sz w:val="16"/>
                <w:szCs w:val="16"/>
                <w:lang w:val="es-US"/>
              </w:rPr>
            </w:pPr>
            <w:r>
              <w:rPr>
                <w:rFonts w:ascii="Cambria" w:hAnsi="Cambria" w:cs="Calibri"/>
                <w:bCs/>
                <w:color w:val="000000" w:themeColor="text1"/>
                <w:sz w:val="16"/>
                <w:szCs w:val="16"/>
                <w:lang w:val="es-US"/>
              </w:rPr>
              <w:t xml:space="preserve">Case </w:t>
            </w:r>
            <w:r w:rsidRPr="0093583F">
              <w:rPr>
                <w:rFonts w:ascii="Cambria" w:hAnsi="Cambria" w:cs="Calibri"/>
                <w:bCs/>
                <w:color w:val="000000" w:themeColor="text1"/>
                <w:sz w:val="16"/>
                <w:szCs w:val="16"/>
                <w:lang w:val="es-US"/>
              </w:rPr>
              <w:t xml:space="preserve">12.469, </w:t>
            </w:r>
            <w:r>
              <w:rPr>
                <w:rFonts w:ascii="Cambria" w:hAnsi="Cambria" w:cs="Calibri"/>
                <w:bCs/>
                <w:color w:val="000000" w:themeColor="text1"/>
                <w:sz w:val="16"/>
                <w:szCs w:val="16"/>
                <w:lang w:val="es-US"/>
              </w:rPr>
              <w:t>Report</w:t>
            </w:r>
            <w:r w:rsidRPr="0093583F">
              <w:rPr>
                <w:rFonts w:ascii="Cambria" w:hAnsi="Cambria" w:cs="Calibri"/>
                <w:bCs/>
                <w:color w:val="000000" w:themeColor="text1"/>
                <w:sz w:val="16"/>
                <w:szCs w:val="16"/>
                <w:lang w:val="es-US"/>
              </w:rPr>
              <w:t xml:space="preserve"> Nº 56/10, Margarita Barbería Miranda (Chile)</w:t>
            </w:r>
          </w:p>
        </w:tc>
        <w:tc>
          <w:tcPr>
            <w:tcW w:w="577" w:type="pct"/>
            <w:shd w:val="clear" w:color="auto" w:fill="E7E6E6" w:themeFill="background2"/>
            <w:vAlign w:val="center"/>
          </w:tcPr>
          <w:p w14:paraId="7CDE99B9" w14:textId="77777777" w:rsidR="0096378F" w:rsidRPr="0093583F" w:rsidDel="00F631F8" w:rsidRDefault="0071198A" w:rsidP="3E2B1321">
            <w:pPr>
              <w:ind w:left="72"/>
              <w:jc w:val="center"/>
              <w:rPr>
                <w:rFonts w:ascii="Cambria" w:eastAsia="MS Mincho" w:hAnsi="Cambria" w:cs="Calibri"/>
                <w:color w:val="000000" w:themeColor="text1"/>
                <w:sz w:val="16"/>
                <w:szCs w:val="16"/>
                <w:lang w:val="es-US" w:eastAsia="es-ES"/>
              </w:rPr>
            </w:pPr>
            <w:hyperlink r:id="rId98">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02BC52F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DC83BEE"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5AFDDA6"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6D6FF06"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1025B3B"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7BF94AC" w14:textId="77777777" w:rsidTr="3E2B1321">
        <w:trPr>
          <w:trHeight w:val="37"/>
        </w:trPr>
        <w:tc>
          <w:tcPr>
            <w:tcW w:w="962" w:type="pct"/>
            <w:shd w:val="clear" w:color="auto" w:fill="E7E6E6" w:themeFill="background2"/>
          </w:tcPr>
          <w:p w14:paraId="20EEF82C" w14:textId="77777777" w:rsidR="0096378F" w:rsidRPr="0093583F" w:rsidRDefault="0096378F">
            <w:pPr>
              <w:rPr>
                <w:rFonts w:ascii="Cambria" w:eastAsia="MS Mincho" w:hAnsi="Cambria" w:cs="Calibri"/>
                <w:color w:val="000000" w:themeColor="text1"/>
                <w:sz w:val="16"/>
                <w:szCs w:val="16"/>
                <w:lang w:val="es-US"/>
              </w:rPr>
            </w:pPr>
            <w:bookmarkStart w:id="16" w:name="_Hlk91082856"/>
            <w:r>
              <w:rPr>
                <w:rFonts w:ascii="Cambria" w:hAnsi="Cambria" w:cs="Calibri"/>
                <w:color w:val="000000" w:themeColor="text1"/>
                <w:sz w:val="16"/>
                <w:szCs w:val="16"/>
                <w:lang w:val="es-US"/>
              </w:rPr>
              <w:t xml:space="preserve">Case </w:t>
            </w:r>
            <w:r w:rsidRPr="0093583F">
              <w:rPr>
                <w:rFonts w:ascii="Cambria" w:hAnsi="Cambria" w:cs="Calibri"/>
                <w:color w:val="000000" w:themeColor="text1"/>
                <w:sz w:val="16"/>
                <w:szCs w:val="16"/>
                <w:lang w:val="es-US"/>
              </w:rPr>
              <w:t xml:space="preserve">12.799, </w:t>
            </w:r>
            <w:r>
              <w:rPr>
                <w:rFonts w:ascii="Cambria" w:hAnsi="Cambria" w:cs="Calibri"/>
                <w:color w:val="000000" w:themeColor="text1"/>
                <w:sz w:val="16"/>
                <w:szCs w:val="16"/>
                <w:lang w:val="es-US"/>
              </w:rPr>
              <w:t>Report</w:t>
            </w:r>
            <w:r w:rsidRPr="0093583F">
              <w:rPr>
                <w:rFonts w:ascii="Cambria" w:hAnsi="Cambria" w:cs="Calibri"/>
                <w:color w:val="000000" w:themeColor="text1"/>
                <w:sz w:val="16"/>
                <w:szCs w:val="16"/>
                <w:lang w:val="es-US"/>
              </w:rPr>
              <w:t xml:space="preserve"> Nº 48/16, Miguel Ángel Millar Silva</w:t>
            </w:r>
            <w:r>
              <w:rPr>
                <w:rFonts w:ascii="Cambria" w:hAnsi="Cambria" w:cs="Calibri"/>
                <w:color w:val="000000" w:themeColor="text1"/>
                <w:sz w:val="16"/>
                <w:szCs w:val="16"/>
                <w:lang w:val="es-US"/>
              </w:rPr>
              <w:t xml:space="preserve"> et al. (</w:t>
            </w:r>
            <w:r w:rsidRPr="0093583F">
              <w:rPr>
                <w:rFonts w:ascii="Cambria" w:hAnsi="Cambria" w:cs="Calibri"/>
                <w:color w:val="000000" w:themeColor="text1"/>
                <w:sz w:val="16"/>
                <w:szCs w:val="16"/>
                <w:lang w:val="es-US"/>
              </w:rPr>
              <w:t>Radio Estrella del Mar de Melinka) (Chile)</w:t>
            </w:r>
            <w:bookmarkEnd w:id="16"/>
          </w:p>
        </w:tc>
        <w:tc>
          <w:tcPr>
            <w:tcW w:w="577" w:type="pct"/>
            <w:shd w:val="clear" w:color="auto" w:fill="E7E6E6" w:themeFill="background2"/>
            <w:vAlign w:val="center"/>
          </w:tcPr>
          <w:p w14:paraId="0AB37D9D"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99">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2E6AA6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6241E5E"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2ADB3AC"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CD297D0"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616E798"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B55D5B" w14:paraId="4E078CB5" w14:textId="77777777" w:rsidTr="3E2B1321">
        <w:trPr>
          <w:trHeight w:val="37"/>
        </w:trPr>
        <w:tc>
          <w:tcPr>
            <w:tcW w:w="962" w:type="pct"/>
            <w:shd w:val="clear" w:color="auto" w:fill="E7E6E6" w:themeFill="background2"/>
          </w:tcPr>
          <w:p w14:paraId="0BB77E41" w14:textId="77777777" w:rsidR="0096378F" w:rsidRPr="00546EA5" w:rsidRDefault="0096378F">
            <w:pPr>
              <w:rPr>
                <w:rFonts w:ascii="Cambria" w:hAnsi="Cambria" w:cs="Calibri"/>
                <w:color w:val="000000" w:themeColor="text1"/>
                <w:sz w:val="16"/>
                <w:szCs w:val="16"/>
              </w:rPr>
            </w:pPr>
            <w:r w:rsidRPr="00546EA5">
              <w:rPr>
                <w:rFonts w:ascii="Cambria" w:eastAsia="MS Mincho" w:hAnsi="Cambria" w:cs="Calibri"/>
                <w:color w:val="000000" w:themeColor="text1"/>
                <w:sz w:val="16"/>
                <w:szCs w:val="16"/>
                <w:lang w:val="es-MX"/>
              </w:rPr>
              <w:t xml:space="preserve">Case 12.880, Report 458/21, Edmundo Alex Lemun Saavedra et al. </w:t>
            </w:r>
            <w:r w:rsidRPr="00546EA5">
              <w:rPr>
                <w:rFonts w:ascii="Cambria" w:eastAsia="MS Mincho" w:hAnsi="Cambria" w:cs="Calibri"/>
                <w:color w:val="000000" w:themeColor="text1"/>
                <w:sz w:val="16"/>
                <w:szCs w:val="16"/>
              </w:rPr>
              <w:t>(Chile)</w:t>
            </w:r>
          </w:p>
        </w:tc>
        <w:tc>
          <w:tcPr>
            <w:tcW w:w="577" w:type="pct"/>
            <w:shd w:val="clear" w:color="auto" w:fill="E7E6E6" w:themeFill="background2"/>
            <w:vAlign w:val="center"/>
          </w:tcPr>
          <w:p w14:paraId="19732928" w14:textId="77777777" w:rsidR="0096378F" w:rsidRPr="00546EA5" w:rsidRDefault="0071198A" w:rsidP="3E2B1321">
            <w:pPr>
              <w:ind w:left="72"/>
              <w:jc w:val="center"/>
              <w:rPr>
                <w:rFonts w:ascii="Cambria" w:eastAsia="MS Mincho" w:hAnsi="Cambria" w:cs="Calibri"/>
                <w:color w:val="000000" w:themeColor="text1"/>
                <w:sz w:val="16"/>
                <w:szCs w:val="16"/>
                <w:lang w:val="es-US" w:eastAsia="es-ES"/>
              </w:rPr>
            </w:pPr>
            <w:hyperlink r:id="rId100">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1FE9714" w14:textId="77777777" w:rsidR="0096378F" w:rsidRPr="00546EA5"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EF6D945" w14:textId="77777777" w:rsidR="0096378F" w:rsidRPr="00546EA5"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EFA0168" w14:textId="77777777" w:rsidR="0096378F" w:rsidRPr="00546EA5" w:rsidRDefault="0096378F">
            <w:pPr>
              <w:jc w:val="center"/>
              <w:rPr>
                <w:rFonts w:ascii="Cambria" w:eastAsia="MS Mincho" w:hAnsi="Cambria" w:cs="Calibri"/>
                <w:color w:val="000000" w:themeColor="text1"/>
                <w:sz w:val="16"/>
                <w:szCs w:val="16"/>
                <w:lang w:val="es-US" w:eastAsia="es-ES_tradnl"/>
              </w:rPr>
            </w:pPr>
            <w:r w:rsidRPr="00546EA5">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814EEB7" w14:textId="77777777" w:rsidR="0096378F" w:rsidRPr="00546EA5"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616A6BE" w14:textId="77777777" w:rsidR="0096378F" w:rsidRPr="00546EA5" w:rsidRDefault="0096378F">
            <w:pPr>
              <w:jc w:val="center"/>
              <w:rPr>
                <w:rFonts w:ascii="Cambria" w:eastAsia="MS Mincho" w:hAnsi="Cambria" w:cs="Calibri"/>
                <w:color w:val="000000" w:themeColor="text1"/>
                <w:sz w:val="16"/>
                <w:szCs w:val="16"/>
                <w:lang w:val="es-US"/>
              </w:rPr>
            </w:pPr>
            <w:r w:rsidRPr="00546EA5">
              <w:rPr>
                <w:rFonts w:ascii="Cambria" w:eastAsia="MS Mincho" w:hAnsi="Cambria" w:cs="Calibri"/>
                <w:color w:val="000000" w:themeColor="text1"/>
                <w:sz w:val="16"/>
                <w:szCs w:val="16"/>
                <w:lang w:val="es-US"/>
              </w:rPr>
              <w:t>Open</w:t>
            </w:r>
          </w:p>
        </w:tc>
      </w:tr>
      <w:tr w:rsidR="0096378F" w:rsidRPr="0093583F" w14:paraId="06C8EFCD" w14:textId="77777777" w:rsidTr="3E2B1321">
        <w:trPr>
          <w:trHeight w:val="32"/>
        </w:trPr>
        <w:tc>
          <w:tcPr>
            <w:tcW w:w="962" w:type="pct"/>
            <w:shd w:val="clear" w:color="auto" w:fill="E7E6E6" w:themeFill="background2"/>
          </w:tcPr>
          <w:p w14:paraId="12ADD2C0" w14:textId="77777777" w:rsidR="0096378F" w:rsidRPr="0093583F" w:rsidRDefault="0096378F">
            <w:pPr>
              <w:rPr>
                <w:rFonts w:ascii="Cambria" w:eastAsia="MS Mincho" w:hAnsi="Cambria" w:cs="Calibri"/>
                <w:color w:val="000000" w:themeColor="text1"/>
                <w:sz w:val="16"/>
                <w:szCs w:val="16"/>
                <w:lang w:val="es-US"/>
              </w:rPr>
            </w:pPr>
            <w:r>
              <w:rPr>
                <w:rFonts w:ascii="Cambria" w:hAnsi="Cambria" w:cs="Calibri"/>
                <w:color w:val="000000" w:themeColor="text1"/>
                <w:sz w:val="16"/>
                <w:szCs w:val="16"/>
                <w:lang w:val="es-US"/>
              </w:rPr>
              <w:t xml:space="preserve">Case </w:t>
            </w:r>
            <w:r w:rsidRPr="0093583F">
              <w:rPr>
                <w:rFonts w:ascii="Cambria" w:hAnsi="Cambria" w:cs="Calibri"/>
                <w:color w:val="000000" w:themeColor="text1"/>
                <w:sz w:val="16"/>
                <w:szCs w:val="16"/>
                <w:lang w:val="es-US"/>
              </w:rPr>
              <w:t xml:space="preserve">11.654, </w:t>
            </w:r>
            <w:r>
              <w:rPr>
                <w:rFonts w:ascii="Cambria" w:hAnsi="Cambria" w:cs="Calibri"/>
                <w:color w:val="000000" w:themeColor="text1"/>
                <w:sz w:val="16"/>
                <w:szCs w:val="16"/>
                <w:lang w:val="es-US"/>
              </w:rPr>
              <w:t>Report</w:t>
            </w:r>
            <w:r w:rsidRPr="0093583F">
              <w:rPr>
                <w:rFonts w:ascii="Cambria" w:hAnsi="Cambria" w:cs="Calibri"/>
                <w:color w:val="000000" w:themeColor="text1"/>
                <w:sz w:val="16"/>
                <w:szCs w:val="16"/>
                <w:lang w:val="es-US"/>
              </w:rPr>
              <w:t xml:space="preserve"> Nº 62/01, Ríofrío Mas</w:t>
            </w:r>
            <w:r>
              <w:rPr>
                <w:rFonts w:ascii="Cambria" w:hAnsi="Cambria" w:cs="Calibri"/>
                <w:color w:val="000000" w:themeColor="text1"/>
                <w:sz w:val="16"/>
                <w:szCs w:val="16"/>
                <w:lang w:val="es-US"/>
              </w:rPr>
              <w:t>s</w:t>
            </w:r>
            <w:r w:rsidRPr="0093583F">
              <w:rPr>
                <w:rFonts w:ascii="Cambria" w:hAnsi="Cambria" w:cs="Calibri"/>
                <w:color w:val="000000" w:themeColor="text1"/>
                <w:sz w:val="16"/>
                <w:szCs w:val="16"/>
                <w:lang w:val="es-US"/>
              </w:rPr>
              <w:t>acre (Colombia)</w:t>
            </w:r>
          </w:p>
        </w:tc>
        <w:tc>
          <w:tcPr>
            <w:tcW w:w="577" w:type="pct"/>
            <w:shd w:val="clear" w:color="auto" w:fill="E7E6E6" w:themeFill="background2"/>
            <w:vAlign w:val="center"/>
          </w:tcPr>
          <w:p w14:paraId="317ABECE"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01">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CF6C15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1653FDD"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44FDFC6"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7486447"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F3BDE39"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88010A5" w14:textId="77777777" w:rsidTr="3E2B1321">
        <w:trPr>
          <w:trHeight w:val="37"/>
        </w:trPr>
        <w:tc>
          <w:tcPr>
            <w:tcW w:w="962" w:type="pct"/>
            <w:shd w:val="clear" w:color="auto" w:fill="E7E6E6" w:themeFill="background2"/>
          </w:tcPr>
          <w:p w14:paraId="65A43CB3" w14:textId="77777777" w:rsidR="0096378F" w:rsidRPr="0093583F" w:rsidRDefault="0096378F">
            <w:pPr>
              <w:rPr>
                <w:rFonts w:ascii="Cambria" w:eastAsia="MS Mincho" w:hAnsi="Cambria" w:cs="Calibri"/>
                <w:color w:val="000000" w:themeColor="text1"/>
                <w:sz w:val="16"/>
                <w:szCs w:val="16"/>
                <w:lang w:val="es-US"/>
              </w:rPr>
            </w:pPr>
            <w:bookmarkStart w:id="17" w:name="_Hlk91093071"/>
            <w:r>
              <w:rPr>
                <w:rFonts w:ascii="Cambria" w:hAnsi="Cambria" w:cs="Calibri"/>
                <w:color w:val="000000" w:themeColor="text1"/>
                <w:sz w:val="16"/>
                <w:szCs w:val="16"/>
                <w:lang w:val="es-US"/>
              </w:rPr>
              <w:t xml:space="preserve">Case </w:t>
            </w:r>
            <w:r w:rsidRPr="0093583F">
              <w:rPr>
                <w:rFonts w:ascii="Cambria" w:hAnsi="Cambria" w:cs="Calibri"/>
                <w:color w:val="000000" w:themeColor="text1"/>
                <w:sz w:val="16"/>
                <w:szCs w:val="16"/>
                <w:lang w:val="es-US"/>
              </w:rPr>
              <w:t xml:space="preserve">11.710, </w:t>
            </w:r>
            <w:r>
              <w:rPr>
                <w:rFonts w:ascii="Cambria" w:hAnsi="Cambria" w:cs="Calibri"/>
                <w:color w:val="000000" w:themeColor="text1"/>
                <w:sz w:val="16"/>
                <w:szCs w:val="16"/>
                <w:lang w:val="es-US"/>
              </w:rPr>
              <w:t>Report</w:t>
            </w:r>
            <w:r w:rsidRPr="0093583F">
              <w:rPr>
                <w:rFonts w:ascii="Cambria" w:hAnsi="Cambria" w:cs="Calibri"/>
                <w:color w:val="000000" w:themeColor="text1"/>
                <w:sz w:val="16"/>
                <w:szCs w:val="16"/>
                <w:lang w:val="es-US"/>
              </w:rPr>
              <w:t xml:space="preserve"> Nº 63/01, Carlos Manuel Prada González</w:t>
            </w:r>
            <w:r>
              <w:rPr>
                <w:rFonts w:ascii="Cambria" w:hAnsi="Cambria" w:cs="Calibri"/>
                <w:color w:val="000000" w:themeColor="text1"/>
                <w:sz w:val="16"/>
                <w:szCs w:val="16"/>
                <w:lang w:val="es-US"/>
              </w:rPr>
              <w:t xml:space="preserve"> and </w:t>
            </w:r>
            <w:r w:rsidRPr="0093583F">
              <w:rPr>
                <w:rFonts w:ascii="Cambria" w:hAnsi="Cambria" w:cs="Calibri"/>
                <w:color w:val="000000" w:themeColor="text1"/>
                <w:sz w:val="16"/>
                <w:szCs w:val="16"/>
                <w:lang w:val="es-US"/>
              </w:rPr>
              <w:t>Evelio Antonio Bolaño Castro (Colombia)</w:t>
            </w:r>
            <w:bookmarkEnd w:id="17"/>
          </w:p>
        </w:tc>
        <w:tc>
          <w:tcPr>
            <w:tcW w:w="577" w:type="pct"/>
            <w:shd w:val="clear" w:color="auto" w:fill="E7E6E6" w:themeFill="background2"/>
            <w:vAlign w:val="center"/>
          </w:tcPr>
          <w:p w14:paraId="68B985D4"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02">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304FF7F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6E7E844"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9C63B05"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4D2D8C7"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7D31957"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2C323ED2" w14:textId="77777777" w:rsidTr="3E2B1321">
        <w:trPr>
          <w:trHeight w:val="33"/>
        </w:trPr>
        <w:tc>
          <w:tcPr>
            <w:tcW w:w="962" w:type="pct"/>
            <w:shd w:val="clear" w:color="auto" w:fill="E7E6E6" w:themeFill="background2"/>
          </w:tcPr>
          <w:p w14:paraId="640B7576" w14:textId="77777777" w:rsidR="0096378F" w:rsidRPr="0093583F" w:rsidRDefault="0096378F">
            <w:pPr>
              <w:rPr>
                <w:rFonts w:ascii="Cambria" w:eastAsia="MS Mincho" w:hAnsi="Cambria" w:cs="Calibri"/>
                <w:color w:val="000000" w:themeColor="text1"/>
                <w:sz w:val="16"/>
                <w:szCs w:val="16"/>
                <w:lang w:val="es-US"/>
              </w:rPr>
            </w:pPr>
            <w:r>
              <w:rPr>
                <w:rFonts w:ascii="Cambria" w:hAnsi="Cambria" w:cs="Calibri"/>
                <w:color w:val="000000" w:themeColor="text1"/>
                <w:sz w:val="16"/>
                <w:szCs w:val="16"/>
                <w:lang w:val="es-US"/>
              </w:rPr>
              <w:t xml:space="preserve">Case </w:t>
            </w:r>
            <w:r w:rsidRPr="0093583F">
              <w:rPr>
                <w:rFonts w:ascii="Cambria" w:hAnsi="Cambria" w:cs="Calibri"/>
                <w:color w:val="000000" w:themeColor="text1"/>
                <w:sz w:val="16"/>
                <w:szCs w:val="16"/>
                <w:lang w:val="es-US"/>
              </w:rPr>
              <w:t xml:space="preserve">11.712, </w:t>
            </w:r>
            <w:r>
              <w:rPr>
                <w:rFonts w:ascii="Cambria" w:hAnsi="Cambria" w:cs="Calibri"/>
                <w:color w:val="000000" w:themeColor="text1"/>
                <w:sz w:val="16"/>
                <w:szCs w:val="16"/>
                <w:lang w:val="es-US"/>
              </w:rPr>
              <w:t>Report</w:t>
            </w:r>
            <w:r w:rsidRPr="0093583F">
              <w:rPr>
                <w:rFonts w:ascii="Cambria" w:hAnsi="Cambria" w:cs="Calibri"/>
                <w:color w:val="000000" w:themeColor="text1"/>
                <w:sz w:val="16"/>
                <w:szCs w:val="16"/>
                <w:lang w:val="es-US"/>
              </w:rPr>
              <w:t xml:space="preserve"> Nº 64/01, Leonel de Jesús Isaza Echeverry (Colombia)</w:t>
            </w:r>
          </w:p>
        </w:tc>
        <w:tc>
          <w:tcPr>
            <w:tcW w:w="577" w:type="pct"/>
            <w:shd w:val="clear" w:color="auto" w:fill="E7E6E6" w:themeFill="background2"/>
            <w:vAlign w:val="center"/>
          </w:tcPr>
          <w:p w14:paraId="26A622E2"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03">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E950AF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6D2C840"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F591844"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804BA73"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871AE23"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311F7A30" w14:textId="77777777" w:rsidTr="3E2B1321">
        <w:trPr>
          <w:trHeight w:val="28"/>
        </w:trPr>
        <w:tc>
          <w:tcPr>
            <w:tcW w:w="962" w:type="pct"/>
            <w:shd w:val="clear" w:color="auto" w:fill="D0CECE" w:themeFill="background2" w:themeFillShade="E6"/>
          </w:tcPr>
          <w:p w14:paraId="1EA0CA6B" w14:textId="77777777" w:rsidR="0096378F" w:rsidRPr="0093583F" w:rsidRDefault="0096378F">
            <w:pPr>
              <w:rPr>
                <w:rFonts w:ascii="Cambria" w:eastAsia="MS Mincho" w:hAnsi="Cambria" w:cs="Calibri"/>
                <w:color w:val="000000" w:themeColor="text1"/>
                <w:sz w:val="16"/>
                <w:szCs w:val="16"/>
                <w:lang w:val="es-US"/>
              </w:rPr>
            </w:pPr>
            <w:r>
              <w:rPr>
                <w:rFonts w:ascii="Cambria" w:hAnsi="Cambria" w:cs="Calibri"/>
                <w:color w:val="000000" w:themeColor="text1"/>
                <w:sz w:val="16"/>
                <w:szCs w:val="16"/>
                <w:lang w:val="es-US"/>
              </w:rPr>
              <w:t xml:space="preserve">Case </w:t>
            </w:r>
            <w:r w:rsidRPr="0093583F">
              <w:rPr>
                <w:rFonts w:ascii="Cambria" w:hAnsi="Cambria" w:cs="Calibri"/>
                <w:color w:val="000000" w:themeColor="text1"/>
                <w:sz w:val="16"/>
                <w:szCs w:val="16"/>
                <w:lang w:val="es-US"/>
              </w:rPr>
              <w:t xml:space="preserve">12.009, </w:t>
            </w:r>
            <w:r>
              <w:rPr>
                <w:rFonts w:ascii="Cambria" w:hAnsi="Cambria" w:cs="Calibri"/>
                <w:color w:val="000000" w:themeColor="text1"/>
                <w:sz w:val="16"/>
                <w:szCs w:val="16"/>
                <w:lang w:val="es-US"/>
              </w:rPr>
              <w:t>Report</w:t>
            </w:r>
            <w:r w:rsidRPr="0093583F">
              <w:rPr>
                <w:rFonts w:ascii="Cambria" w:hAnsi="Cambria" w:cs="Calibri"/>
                <w:color w:val="000000" w:themeColor="text1"/>
                <w:sz w:val="16"/>
                <w:szCs w:val="16"/>
                <w:lang w:val="es-US"/>
              </w:rPr>
              <w:t xml:space="preserve"> Nº 43/08, Leydi Dayan Sánchez (Colombia)</w:t>
            </w:r>
            <w:r w:rsidRPr="0093583F">
              <w:rPr>
                <w:rFonts w:ascii="Cambria" w:hAnsi="Cambria" w:cs="Calibri"/>
                <w:color w:val="000000" w:themeColor="text1"/>
                <w:sz w:val="16"/>
                <w:szCs w:val="16"/>
                <w:vertAlign w:val="superscript"/>
                <w:lang w:val="es-US"/>
              </w:rPr>
              <w:footnoteReference w:id="141"/>
            </w:r>
          </w:p>
        </w:tc>
        <w:tc>
          <w:tcPr>
            <w:tcW w:w="577" w:type="pct"/>
            <w:shd w:val="clear" w:color="auto" w:fill="D0CECE" w:themeFill="background2" w:themeFillShade="E6"/>
            <w:vAlign w:val="center"/>
          </w:tcPr>
          <w:p w14:paraId="19823354" w14:textId="77777777" w:rsidR="0096378F" w:rsidRPr="0093583F" w:rsidRDefault="0096378F">
            <w:pPr>
              <w:ind w:left="72"/>
              <w:jc w:val="center"/>
              <w:rPr>
                <w:rFonts w:ascii="Cambria" w:eastAsia="MS Mincho" w:hAnsi="Cambria" w:cs="Calibri"/>
                <w:color w:val="000000" w:themeColor="text1"/>
                <w:sz w:val="16"/>
                <w:szCs w:val="16"/>
                <w:highlight w:val="yellow"/>
                <w:lang w:val="es-US" w:eastAsia="es-ES_tradnl"/>
              </w:rPr>
            </w:pPr>
          </w:p>
        </w:tc>
        <w:tc>
          <w:tcPr>
            <w:tcW w:w="721" w:type="pct"/>
            <w:shd w:val="clear" w:color="auto" w:fill="D0CECE" w:themeFill="background2" w:themeFillShade="E6"/>
          </w:tcPr>
          <w:p w14:paraId="32F7E9CB"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vAlign w:val="center"/>
          </w:tcPr>
          <w:p w14:paraId="6BD0E72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4840141D"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5D5073AD"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72729733"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Closed</w:t>
            </w:r>
          </w:p>
        </w:tc>
      </w:tr>
      <w:tr w:rsidR="0096378F" w:rsidRPr="0093583F" w14:paraId="3A70C152" w14:textId="77777777" w:rsidTr="3E2B1321">
        <w:trPr>
          <w:trHeight w:val="28"/>
        </w:trPr>
        <w:tc>
          <w:tcPr>
            <w:tcW w:w="962" w:type="pct"/>
            <w:shd w:val="clear" w:color="auto" w:fill="D0CECE" w:themeFill="background2" w:themeFillShade="E6"/>
          </w:tcPr>
          <w:p w14:paraId="1F9F4441" w14:textId="77777777" w:rsidR="0096378F" w:rsidRPr="0093583F" w:rsidRDefault="0096378F">
            <w:pPr>
              <w:rPr>
                <w:rFonts w:ascii="Cambria" w:eastAsia="MS Mincho" w:hAnsi="Cambria" w:cs="Calibri"/>
                <w:color w:val="000000" w:themeColor="text1"/>
                <w:sz w:val="16"/>
                <w:szCs w:val="16"/>
                <w:lang w:val="es-US"/>
              </w:rPr>
            </w:pPr>
            <w:r>
              <w:rPr>
                <w:rFonts w:ascii="Cambria" w:hAnsi="Cambria" w:cs="Calibri"/>
                <w:color w:val="000000" w:themeColor="text1"/>
                <w:sz w:val="16"/>
                <w:szCs w:val="16"/>
                <w:lang w:val="es-US"/>
              </w:rPr>
              <w:t xml:space="preserve">Case </w:t>
            </w:r>
            <w:r w:rsidRPr="0093583F">
              <w:rPr>
                <w:rFonts w:ascii="Cambria" w:hAnsi="Cambria" w:cs="Calibri"/>
                <w:color w:val="000000" w:themeColor="text1"/>
                <w:sz w:val="16"/>
                <w:szCs w:val="16"/>
                <w:lang w:val="es-US"/>
              </w:rPr>
              <w:t xml:space="preserve">12.448, </w:t>
            </w:r>
            <w:r>
              <w:rPr>
                <w:rFonts w:ascii="Cambria" w:hAnsi="Cambria" w:cs="Calibri"/>
                <w:color w:val="000000" w:themeColor="text1"/>
                <w:sz w:val="16"/>
                <w:szCs w:val="16"/>
                <w:lang w:val="es-US"/>
              </w:rPr>
              <w:t>Report</w:t>
            </w:r>
            <w:r w:rsidRPr="0093583F">
              <w:rPr>
                <w:rFonts w:ascii="Cambria" w:hAnsi="Cambria" w:cs="Calibri"/>
                <w:color w:val="000000" w:themeColor="text1"/>
                <w:sz w:val="16"/>
                <w:szCs w:val="16"/>
                <w:lang w:val="es-US"/>
              </w:rPr>
              <w:t xml:space="preserve"> Nº 44/08, Sergio Emilio Cadena Antolinez (Colombia)</w:t>
            </w:r>
            <w:r w:rsidRPr="0093583F">
              <w:rPr>
                <w:rFonts w:ascii="Cambria" w:hAnsi="Cambria" w:cs="Calibri"/>
                <w:color w:val="000000" w:themeColor="text1"/>
                <w:sz w:val="16"/>
                <w:szCs w:val="16"/>
                <w:vertAlign w:val="superscript"/>
                <w:lang w:val="es-US"/>
              </w:rPr>
              <w:footnoteReference w:id="142"/>
            </w:r>
          </w:p>
        </w:tc>
        <w:tc>
          <w:tcPr>
            <w:tcW w:w="577" w:type="pct"/>
            <w:shd w:val="clear" w:color="auto" w:fill="D0CECE" w:themeFill="background2" w:themeFillShade="E6"/>
            <w:vAlign w:val="center"/>
          </w:tcPr>
          <w:p w14:paraId="3C0A29A9" w14:textId="77777777" w:rsidR="0096378F" w:rsidRPr="0093583F" w:rsidRDefault="0096378F">
            <w:pPr>
              <w:ind w:left="72"/>
              <w:jc w:val="center"/>
              <w:rPr>
                <w:rFonts w:ascii="Cambria" w:eastAsia="MS Mincho" w:hAnsi="Cambria" w:cs="Calibri"/>
                <w:color w:val="000000" w:themeColor="text1"/>
                <w:sz w:val="16"/>
                <w:szCs w:val="16"/>
                <w:highlight w:val="yellow"/>
                <w:lang w:val="es-US" w:eastAsia="es-ES_tradnl"/>
              </w:rPr>
            </w:pPr>
          </w:p>
        </w:tc>
        <w:tc>
          <w:tcPr>
            <w:tcW w:w="721" w:type="pct"/>
            <w:shd w:val="clear" w:color="auto" w:fill="D0CECE" w:themeFill="background2" w:themeFillShade="E6"/>
          </w:tcPr>
          <w:p w14:paraId="6CED0D2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vAlign w:val="center"/>
          </w:tcPr>
          <w:p w14:paraId="5D1DE24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5E7E0991"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2441E8BA"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0F89F460"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Closed</w:t>
            </w:r>
          </w:p>
        </w:tc>
      </w:tr>
      <w:tr w:rsidR="0096378F" w:rsidRPr="0093583F" w14:paraId="58A7DA85" w14:textId="77777777" w:rsidTr="3E2B1321">
        <w:trPr>
          <w:trHeight w:val="33"/>
        </w:trPr>
        <w:tc>
          <w:tcPr>
            <w:tcW w:w="962" w:type="pct"/>
            <w:shd w:val="clear" w:color="auto" w:fill="E7E6E6" w:themeFill="background2"/>
          </w:tcPr>
          <w:p w14:paraId="12B53458" w14:textId="77777777" w:rsidR="0096378F" w:rsidRPr="0093583F" w:rsidRDefault="0096378F">
            <w:pPr>
              <w:rPr>
                <w:rFonts w:ascii="Cambria" w:eastAsia="MS Mincho" w:hAnsi="Cambria" w:cs="Calibri"/>
                <w:color w:val="000000" w:themeColor="text1"/>
                <w:sz w:val="16"/>
                <w:szCs w:val="16"/>
                <w:lang w:val="es-US"/>
              </w:rPr>
            </w:pPr>
            <w:r>
              <w:rPr>
                <w:rFonts w:ascii="Cambria" w:hAnsi="Cambria" w:cs="Calibri"/>
                <w:color w:val="000000" w:themeColor="text1"/>
                <w:sz w:val="16"/>
                <w:szCs w:val="16"/>
                <w:lang w:val="es-US"/>
              </w:rPr>
              <w:t xml:space="preserve">Case </w:t>
            </w:r>
            <w:r w:rsidRPr="0093583F">
              <w:rPr>
                <w:rFonts w:ascii="Cambria" w:hAnsi="Cambria" w:cs="Calibri"/>
                <w:color w:val="000000" w:themeColor="text1"/>
                <w:sz w:val="16"/>
                <w:szCs w:val="16"/>
                <w:lang w:val="es-US"/>
              </w:rPr>
              <w:t xml:space="preserve">10.916, </w:t>
            </w:r>
            <w:r>
              <w:rPr>
                <w:rFonts w:ascii="Cambria" w:hAnsi="Cambria" w:cs="Calibri"/>
                <w:color w:val="000000" w:themeColor="text1"/>
                <w:sz w:val="16"/>
                <w:szCs w:val="16"/>
                <w:lang w:val="es-US"/>
              </w:rPr>
              <w:t>Report</w:t>
            </w:r>
            <w:r w:rsidRPr="0093583F">
              <w:rPr>
                <w:rFonts w:ascii="Cambria" w:hAnsi="Cambria" w:cs="Calibri"/>
                <w:color w:val="000000" w:themeColor="text1"/>
                <w:sz w:val="16"/>
                <w:szCs w:val="16"/>
                <w:lang w:val="es-US"/>
              </w:rPr>
              <w:t xml:space="preserve"> Nº 79/11, James Zapata Valencia</w:t>
            </w:r>
            <w:r>
              <w:rPr>
                <w:rFonts w:ascii="Cambria" w:hAnsi="Cambria" w:cs="Calibri"/>
                <w:color w:val="000000" w:themeColor="text1"/>
                <w:sz w:val="16"/>
                <w:szCs w:val="16"/>
                <w:lang w:val="es-US"/>
              </w:rPr>
              <w:t xml:space="preserve"> and </w:t>
            </w:r>
            <w:r w:rsidRPr="0093583F">
              <w:rPr>
                <w:rFonts w:ascii="Cambria" w:hAnsi="Cambria" w:cs="Calibri"/>
                <w:color w:val="000000" w:themeColor="text1"/>
                <w:sz w:val="16"/>
                <w:szCs w:val="16"/>
                <w:lang w:val="es-US"/>
              </w:rPr>
              <w:t>José Heriberto Ramírez (Colombia)</w:t>
            </w:r>
          </w:p>
        </w:tc>
        <w:tc>
          <w:tcPr>
            <w:tcW w:w="577" w:type="pct"/>
            <w:shd w:val="clear" w:color="auto" w:fill="E7E6E6" w:themeFill="background2"/>
            <w:vAlign w:val="center"/>
          </w:tcPr>
          <w:p w14:paraId="4CA5C75E" w14:textId="77777777" w:rsidR="0096378F" w:rsidRPr="0093583F" w:rsidDel="00F631F8" w:rsidRDefault="0071198A" w:rsidP="3E2B1321">
            <w:pPr>
              <w:ind w:left="72"/>
              <w:jc w:val="center"/>
              <w:rPr>
                <w:rFonts w:ascii="Cambria" w:eastAsia="MS Mincho" w:hAnsi="Cambria" w:cs="Calibri"/>
                <w:color w:val="000000" w:themeColor="text1"/>
                <w:sz w:val="16"/>
                <w:szCs w:val="16"/>
                <w:lang w:val="es-US" w:eastAsia="es-ES"/>
              </w:rPr>
            </w:pPr>
            <w:hyperlink r:id="rId104">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0EDE523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204E57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0E4E0A1"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78A2967"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A6325A4"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289C403B" w14:textId="77777777" w:rsidTr="3E2B1321">
        <w:trPr>
          <w:trHeight w:val="33"/>
        </w:trPr>
        <w:tc>
          <w:tcPr>
            <w:tcW w:w="962" w:type="pct"/>
            <w:shd w:val="clear" w:color="auto" w:fill="E7E6E6" w:themeFill="background2"/>
          </w:tcPr>
          <w:p w14:paraId="3A770745" w14:textId="77777777" w:rsidR="0096378F" w:rsidRPr="0093583F" w:rsidRDefault="0096378F">
            <w:pPr>
              <w:rPr>
                <w:rFonts w:ascii="Cambria" w:eastAsia="MS Mincho" w:hAnsi="Cambria" w:cs="Calibri"/>
                <w:color w:val="000000" w:themeColor="text1"/>
                <w:sz w:val="16"/>
                <w:szCs w:val="16"/>
                <w:lang w:val="es-US"/>
              </w:rPr>
            </w:pPr>
            <w:bookmarkStart w:id="18" w:name="_Hlk91083357"/>
            <w:r>
              <w:rPr>
                <w:rFonts w:ascii="Cambria" w:eastAsia="MS Mincho" w:hAnsi="Cambria" w:cs="Calibri"/>
                <w:color w:val="000000" w:themeColor="text1"/>
                <w:sz w:val="16"/>
                <w:szCs w:val="16"/>
                <w:lang w:val="es-US"/>
              </w:rPr>
              <w:t xml:space="preserve">Case </w:t>
            </w:r>
            <w:r w:rsidRPr="0093583F">
              <w:rPr>
                <w:rFonts w:ascii="Cambria" w:eastAsia="MS Mincho" w:hAnsi="Cambria" w:cs="Calibri"/>
                <w:color w:val="000000" w:themeColor="text1"/>
                <w:sz w:val="16"/>
                <w:szCs w:val="16"/>
                <w:lang w:val="es-US"/>
              </w:rPr>
              <w:t xml:space="preserve">12.414, </w:t>
            </w:r>
            <w:r>
              <w:rPr>
                <w:rFonts w:ascii="Cambria" w:eastAsia="MS Mincho" w:hAnsi="Cambria" w:cs="Calibri"/>
                <w:color w:val="000000" w:themeColor="text1"/>
                <w:sz w:val="16"/>
                <w:szCs w:val="16"/>
                <w:lang w:val="es-US"/>
              </w:rPr>
              <w:t>Report</w:t>
            </w:r>
            <w:r w:rsidRPr="0093583F">
              <w:rPr>
                <w:rFonts w:ascii="Cambria" w:eastAsia="MS Mincho" w:hAnsi="Cambria" w:cs="Calibri"/>
                <w:color w:val="000000" w:themeColor="text1"/>
                <w:sz w:val="16"/>
                <w:szCs w:val="16"/>
                <w:lang w:val="es-US"/>
              </w:rPr>
              <w:t xml:space="preserve"> Nº 101/17, Alcides Torres Arias, Ángel David Quintero</w:t>
            </w:r>
            <w:r>
              <w:rPr>
                <w:rFonts w:ascii="Cambria" w:eastAsia="MS Mincho" w:hAnsi="Cambria" w:cs="Calibri"/>
                <w:color w:val="000000" w:themeColor="text1"/>
                <w:sz w:val="16"/>
                <w:szCs w:val="16"/>
                <w:lang w:val="es-US"/>
              </w:rPr>
              <w:t xml:space="preserve"> et al. (</w:t>
            </w:r>
            <w:r w:rsidRPr="0093583F">
              <w:rPr>
                <w:rFonts w:ascii="Cambria" w:eastAsia="MS Mincho" w:hAnsi="Cambria" w:cs="Calibri"/>
                <w:color w:val="000000" w:themeColor="text1"/>
                <w:sz w:val="16"/>
                <w:szCs w:val="16"/>
                <w:lang w:val="es-US"/>
              </w:rPr>
              <w:t>Colombia)</w:t>
            </w:r>
            <w:bookmarkEnd w:id="18"/>
          </w:p>
        </w:tc>
        <w:tc>
          <w:tcPr>
            <w:tcW w:w="577" w:type="pct"/>
            <w:shd w:val="clear" w:color="auto" w:fill="E7E6E6" w:themeFill="background2"/>
            <w:vAlign w:val="center"/>
          </w:tcPr>
          <w:p w14:paraId="035EAB93"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05">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1E8E12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E1231DE"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B0FDAED"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A4EA8AB"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6A95130"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382DE04D" w14:textId="77777777" w:rsidTr="3E2B1321">
        <w:trPr>
          <w:trHeight w:val="33"/>
        </w:trPr>
        <w:tc>
          <w:tcPr>
            <w:tcW w:w="962" w:type="pct"/>
            <w:shd w:val="clear" w:color="auto" w:fill="E7E6E6" w:themeFill="background2"/>
          </w:tcPr>
          <w:p w14:paraId="0D58EE34" w14:textId="77777777" w:rsidR="0096378F" w:rsidRPr="0093583F" w:rsidRDefault="0096378F">
            <w:pPr>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 xml:space="preserve">Case </w:t>
            </w:r>
            <w:r w:rsidRPr="0093583F">
              <w:rPr>
                <w:rFonts w:ascii="Cambria" w:eastAsia="MS Mincho" w:hAnsi="Cambria" w:cs="Calibri"/>
                <w:color w:val="000000" w:themeColor="text1"/>
                <w:sz w:val="16"/>
                <w:szCs w:val="16"/>
                <w:lang w:val="es-US"/>
              </w:rPr>
              <w:t xml:space="preserve">10.455, </w:t>
            </w:r>
            <w:r>
              <w:rPr>
                <w:rFonts w:ascii="Cambria" w:eastAsia="MS Mincho" w:hAnsi="Cambria" w:cs="Calibri"/>
                <w:color w:val="000000" w:themeColor="text1"/>
                <w:sz w:val="16"/>
                <w:szCs w:val="16"/>
                <w:lang w:val="es-US"/>
              </w:rPr>
              <w:t>Report</w:t>
            </w:r>
            <w:r w:rsidRPr="0093583F">
              <w:rPr>
                <w:rFonts w:ascii="Cambria" w:eastAsia="MS Mincho" w:hAnsi="Cambria" w:cs="Calibri"/>
                <w:color w:val="000000" w:themeColor="text1"/>
                <w:sz w:val="16"/>
                <w:szCs w:val="16"/>
                <w:lang w:val="es-US"/>
              </w:rPr>
              <w:t xml:space="preserve"> Nº 45/17, Valentín Basto Calderón</w:t>
            </w:r>
            <w:r>
              <w:rPr>
                <w:rFonts w:ascii="Cambria" w:eastAsia="MS Mincho" w:hAnsi="Cambria" w:cs="Calibri"/>
                <w:color w:val="000000" w:themeColor="text1"/>
                <w:sz w:val="16"/>
                <w:szCs w:val="16"/>
                <w:lang w:val="es-US"/>
              </w:rPr>
              <w:t xml:space="preserve"> et al. (</w:t>
            </w:r>
            <w:r w:rsidRPr="0093583F">
              <w:rPr>
                <w:rFonts w:ascii="Cambria" w:eastAsia="MS Mincho" w:hAnsi="Cambria" w:cs="Calibri"/>
                <w:color w:val="000000" w:themeColor="text1"/>
                <w:sz w:val="16"/>
                <w:szCs w:val="16"/>
                <w:lang w:val="es-US"/>
              </w:rPr>
              <w:t xml:space="preserve">Colombia) </w:t>
            </w:r>
          </w:p>
        </w:tc>
        <w:tc>
          <w:tcPr>
            <w:tcW w:w="577" w:type="pct"/>
            <w:shd w:val="clear" w:color="auto" w:fill="E7E6E6" w:themeFill="background2"/>
            <w:vAlign w:val="center"/>
          </w:tcPr>
          <w:p w14:paraId="27B70168"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06">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32BDB55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2E1C9A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B01F4B8"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51603A5"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896B1C0"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087C08B" w14:textId="77777777" w:rsidTr="3E2B1321">
        <w:trPr>
          <w:trHeight w:val="33"/>
        </w:trPr>
        <w:tc>
          <w:tcPr>
            <w:tcW w:w="962" w:type="pct"/>
            <w:shd w:val="clear" w:color="auto" w:fill="E7E6E6" w:themeFill="background2"/>
          </w:tcPr>
          <w:p w14:paraId="5302C3BC" w14:textId="77777777" w:rsidR="0096378F" w:rsidRPr="00D677DB" w:rsidRDefault="0096378F">
            <w:pPr>
              <w:rPr>
                <w:rFonts w:ascii="Cambria" w:eastAsia="MS Mincho" w:hAnsi="Cambria" w:cs="Calibri"/>
                <w:color w:val="000000" w:themeColor="text1"/>
                <w:sz w:val="16"/>
                <w:szCs w:val="16"/>
                <w:lang w:val="es-MX"/>
              </w:rPr>
            </w:pPr>
            <w:bookmarkStart w:id="19" w:name="_Hlk91093090"/>
            <w:r w:rsidRPr="0096378F">
              <w:rPr>
                <w:rFonts w:ascii="Cambria" w:eastAsia="MS Mincho" w:hAnsi="Cambria" w:cs="Calibri"/>
                <w:color w:val="000000" w:themeColor="text1"/>
                <w:sz w:val="16"/>
                <w:szCs w:val="16"/>
                <w:lang w:val="fr-CA"/>
              </w:rPr>
              <w:t xml:space="preserve">Case 12.713, Report Nº 35/17, José Rusbel Lara et al. </w:t>
            </w:r>
            <w:r w:rsidRPr="00D677DB">
              <w:rPr>
                <w:rFonts w:ascii="Cambria" w:eastAsia="MS Mincho" w:hAnsi="Cambria" w:cs="Calibri"/>
                <w:color w:val="000000" w:themeColor="text1"/>
                <w:sz w:val="16"/>
                <w:szCs w:val="16"/>
                <w:lang w:val="es-MX"/>
              </w:rPr>
              <w:t>(Colombia)</w:t>
            </w:r>
            <w:bookmarkEnd w:id="19"/>
          </w:p>
        </w:tc>
        <w:tc>
          <w:tcPr>
            <w:tcW w:w="577" w:type="pct"/>
            <w:shd w:val="clear" w:color="auto" w:fill="E7E6E6" w:themeFill="background2"/>
            <w:vAlign w:val="center"/>
          </w:tcPr>
          <w:p w14:paraId="2C1BF45D"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07">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77A714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F593E7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DBE0424"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DB1B9A9"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62C6768"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E198915" w14:textId="77777777" w:rsidTr="3E2B1321">
        <w:trPr>
          <w:trHeight w:val="33"/>
        </w:trPr>
        <w:tc>
          <w:tcPr>
            <w:tcW w:w="962" w:type="pct"/>
            <w:shd w:val="clear" w:color="auto" w:fill="E7E6E6" w:themeFill="background2"/>
          </w:tcPr>
          <w:p w14:paraId="22F28471" w14:textId="77777777" w:rsidR="0096378F" w:rsidRPr="0093583F" w:rsidRDefault="0096378F">
            <w:pPr>
              <w:rPr>
                <w:rFonts w:ascii="Cambria" w:eastAsia="MS Mincho" w:hAnsi="Cambria" w:cs="Calibri"/>
                <w:color w:val="000000" w:themeColor="text1"/>
                <w:sz w:val="16"/>
                <w:szCs w:val="16"/>
                <w:lang w:val="es-US"/>
              </w:rPr>
            </w:pPr>
            <w:bookmarkStart w:id="20" w:name="_Hlk91082907"/>
            <w:r>
              <w:rPr>
                <w:rFonts w:ascii="Cambria" w:eastAsia="MS Mincho" w:hAnsi="Cambria" w:cs="Calibri"/>
                <w:color w:val="000000" w:themeColor="text1"/>
                <w:sz w:val="16"/>
                <w:szCs w:val="16"/>
                <w:lang w:val="es-US"/>
              </w:rPr>
              <w:t xml:space="preserve">Case </w:t>
            </w:r>
            <w:r w:rsidRPr="0093583F">
              <w:rPr>
                <w:rFonts w:ascii="Cambria" w:eastAsia="MS Mincho" w:hAnsi="Cambria" w:cs="Calibri"/>
                <w:color w:val="000000" w:themeColor="text1"/>
                <w:sz w:val="16"/>
                <w:szCs w:val="16"/>
                <w:lang w:val="es-US"/>
              </w:rPr>
              <w:t xml:space="preserve">11.656, </w:t>
            </w:r>
            <w:r>
              <w:rPr>
                <w:rFonts w:ascii="Cambria" w:eastAsia="MS Mincho" w:hAnsi="Cambria" w:cs="Calibri"/>
                <w:color w:val="000000" w:themeColor="text1"/>
                <w:sz w:val="16"/>
                <w:szCs w:val="16"/>
                <w:lang w:val="es-US" w:eastAsia="es-ES_tradnl"/>
              </w:rPr>
              <w:t>Report</w:t>
            </w:r>
            <w:r w:rsidRPr="0093583F">
              <w:rPr>
                <w:rFonts w:ascii="Cambria" w:eastAsia="MS Mincho" w:hAnsi="Cambria" w:cs="Calibri"/>
                <w:color w:val="000000" w:themeColor="text1"/>
                <w:sz w:val="16"/>
                <w:szCs w:val="16"/>
                <w:lang w:val="es-US" w:eastAsia="es-ES_tradnl"/>
              </w:rPr>
              <w:t xml:space="preserve"> Nº 122/18, </w:t>
            </w:r>
            <w:r w:rsidRPr="0093583F">
              <w:rPr>
                <w:rFonts w:ascii="Cambria" w:eastAsia="MS Mincho" w:hAnsi="Cambria" w:cs="Calibri"/>
                <w:color w:val="000000" w:themeColor="text1"/>
                <w:sz w:val="16"/>
                <w:szCs w:val="16"/>
                <w:lang w:val="es-US"/>
              </w:rPr>
              <w:t xml:space="preserve">Marta Lucía </w:t>
            </w:r>
            <w:r w:rsidRPr="0093583F">
              <w:rPr>
                <w:rFonts w:ascii="Cambria" w:eastAsia="MS Mincho" w:hAnsi="Cambria" w:cs="Calibri"/>
                <w:color w:val="000000" w:themeColor="text1"/>
                <w:sz w:val="16"/>
                <w:szCs w:val="16"/>
                <w:lang w:val="es-US" w:eastAsia="es-ES_tradnl"/>
              </w:rPr>
              <w:t>Álvarez Giraldo</w:t>
            </w:r>
            <w:r w:rsidRPr="0093583F">
              <w:rPr>
                <w:rFonts w:ascii="Cambria" w:eastAsia="MS Mincho" w:hAnsi="Cambria" w:cs="Calibri"/>
                <w:color w:val="000000" w:themeColor="text1"/>
                <w:sz w:val="16"/>
                <w:szCs w:val="16"/>
                <w:lang w:val="es-US"/>
              </w:rPr>
              <w:t xml:space="preserve"> (Colombia)</w:t>
            </w:r>
            <w:bookmarkEnd w:id="20"/>
          </w:p>
        </w:tc>
        <w:tc>
          <w:tcPr>
            <w:tcW w:w="577" w:type="pct"/>
            <w:shd w:val="clear" w:color="auto" w:fill="E7E6E6" w:themeFill="background2"/>
            <w:vAlign w:val="center"/>
          </w:tcPr>
          <w:p w14:paraId="4CCFA4EA"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08">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54F671E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D7BD2E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255CB2B"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0600AC3" w14:textId="77777777" w:rsidR="0096378F" w:rsidRPr="0093583F" w:rsidRDefault="0096378F">
            <w:pPr>
              <w:jc w:val="center"/>
              <w:rPr>
                <w:rFonts w:ascii="Cambria" w:eastAsia="MS Mincho" w:hAnsi="Cambria" w:cs="Calibri"/>
                <w:color w:val="000000" w:themeColor="text1"/>
                <w:sz w:val="16"/>
                <w:szCs w:val="16"/>
                <w:highlight w:val="green"/>
                <w:lang w:val="es-US" w:eastAsia="es-ES_tradnl"/>
              </w:rPr>
            </w:pPr>
          </w:p>
        </w:tc>
        <w:tc>
          <w:tcPr>
            <w:tcW w:w="625" w:type="pct"/>
            <w:shd w:val="clear" w:color="auto" w:fill="E7E6E6" w:themeFill="background2"/>
            <w:vAlign w:val="center"/>
          </w:tcPr>
          <w:p w14:paraId="4F89A205" w14:textId="77777777" w:rsidR="0096378F" w:rsidRPr="0093583F" w:rsidRDefault="0096378F">
            <w:pPr>
              <w:jc w:val="center"/>
              <w:rPr>
                <w:rFonts w:ascii="Cambria" w:eastAsia="MS Mincho" w:hAnsi="Cambria" w:cs="Calibri"/>
                <w:color w:val="000000" w:themeColor="text1"/>
                <w:sz w:val="16"/>
                <w:szCs w:val="16"/>
                <w:highlight w:val="green"/>
                <w:lang w:val="es-US" w:eastAsia="es-ES_tradnl"/>
              </w:rPr>
            </w:pPr>
            <w:r>
              <w:rPr>
                <w:rFonts w:ascii="Cambria" w:eastAsia="MS Mincho" w:hAnsi="Cambria" w:cs="Calibri"/>
                <w:color w:val="000000" w:themeColor="text1"/>
                <w:sz w:val="16"/>
                <w:szCs w:val="16"/>
                <w:lang w:val="es-US"/>
              </w:rPr>
              <w:t>Open</w:t>
            </w:r>
          </w:p>
        </w:tc>
      </w:tr>
      <w:tr w:rsidR="0096378F" w:rsidRPr="0093583F" w14:paraId="6AD2FB42" w14:textId="77777777" w:rsidTr="3E2B1321">
        <w:trPr>
          <w:trHeight w:val="33"/>
        </w:trPr>
        <w:tc>
          <w:tcPr>
            <w:tcW w:w="962" w:type="pct"/>
            <w:shd w:val="clear" w:color="auto" w:fill="E7E6E6" w:themeFill="background2"/>
          </w:tcPr>
          <w:p w14:paraId="64ACE0B7" w14:textId="77777777" w:rsidR="0096378F" w:rsidRPr="0093583F" w:rsidRDefault="0096378F">
            <w:pPr>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lastRenderedPageBreak/>
              <w:t xml:space="preserve">Case </w:t>
            </w:r>
            <w:r w:rsidRPr="0093583F">
              <w:rPr>
                <w:rFonts w:ascii="Cambria" w:eastAsia="MS Mincho" w:hAnsi="Cambria" w:cs="Calibri"/>
                <w:color w:val="000000" w:themeColor="text1"/>
                <w:sz w:val="16"/>
                <w:szCs w:val="16"/>
                <w:lang w:val="es-US"/>
              </w:rPr>
              <w:t xml:space="preserve">11.726, </w:t>
            </w:r>
            <w:r>
              <w:rPr>
                <w:rFonts w:ascii="Cambria" w:eastAsia="MS Mincho" w:hAnsi="Cambria" w:cs="Calibri"/>
                <w:color w:val="000000" w:themeColor="text1"/>
                <w:sz w:val="16"/>
                <w:szCs w:val="16"/>
                <w:lang w:val="es-US"/>
              </w:rPr>
              <w:t>Report</w:t>
            </w:r>
            <w:r w:rsidRPr="0093583F">
              <w:rPr>
                <w:rFonts w:ascii="Cambria" w:eastAsia="MS Mincho" w:hAnsi="Cambria" w:cs="Calibri"/>
                <w:color w:val="000000" w:themeColor="text1"/>
                <w:sz w:val="16"/>
                <w:szCs w:val="16"/>
                <w:lang w:val="es-US"/>
              </w:rPr>
              <w:t xml:space="preserve"> Nº 96/19, Norberto Javier Restrepo (Colombia)</w:t>
            </w:r>
          </w:p>
        </w:tc>
        <w:tc>
          <w:tcPr>
            <w:tcW w:w="577" w:type="pct"/>
            <w:shd w:val="clear" w:color="auto" w:fill="E7E6E6" w:themeFill="background2"/>
            <w:vAlign w:val="center"/>
          </w:tcPr>
          <w:p w14:paraId="5735B082" w14:textId="77777777" w:rsidR="0096378F" w:rsidRPr="0093583F" w:rsidRDefault="0071198A">
            <w:pPr>
              <w:ind w:left="72"/>
              <w:jc w:val="center"/>
              <w:rPr>
                <w:rFonts w:ascii="Cambria" w:hAnsi="Cambria"/>
                <w:color w:val="000000" w:themeColor="text1"/>
                <w:sz w:val="16"/>
                <w:szCs w:val="16"/>
                <w:lang w:val="es-ES"/>
              </w:rPr>
            </w:pPr>
            <w:hyperlink r:id="rId109">
              <w:r w:rsidR="0096378F" w:rsidRPr="3E2B1321">
                <w:rPr>
                  <w:rStyle w:val="Hyperlink"/>
                  <w:rFonts w:ascii="Cambria" w:eastAsia="MS Mincho" w:hAnsi="Cambria" w:cs="Calibri"/>
                  <w:sz w:val="16"/>
                  <w:szCs w:val="16"/>
                  <w:lang w:val="es-US"/>
                </w:rPr>
                <w:t>Link</w:t>
              </w:r>
            </w:hyperlink>
          </w:p>
        </w:tc>
        <w:tc>
          <w:tcPr>
            <w:tcW w:w="721" w:type="pct"/>
            <w:shd w:val="clear" w:color="auto" w:fill="E7E6E6" w:themeFill="background2"/>
          </w:tcPr>
          <w:p w14:paraId="41C157D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154EE6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24A26C8"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1BE7FD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43AB232" w14:textId="77777777" w:rsidR="0096378F" w:rsidRPr="0093583F" w:rsidRDefault="0096378F">
            <w:pPr>
              <w:jc w:val="center"/>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Open</w:t>
            </w:r>
          </w:p>
        </w:tc>
      </w:tr>
      <w:tr w:rsidR="0096378F" w:rsidRPr="0093583F" w14:paraId="6720153F" w14:textId="77777777" w:rsidTr="3E2B1321">
        <w:trPr>
          <w:trHeight w:val="33"/>
        </w:trPr>
        <w:tc>
          <w:tcPr>
            <w:tcW w:w="962" w:type="pct"/>
            <w:shd w:val="clear" w:color="auto" w:fill="E7E6E6" w:themeFill="background2"/>
          </w:tcPr>
          <w:p w14:paraId="3AFDFDAD" w14:textId="1B334034" w:rsidR="0096378F" w:rsidRPr="0093583F" w:rsidRDefault="0096378F">
            <w:pPr>
              <w:rPr>
                <w:rFonts w:ascii="Cambria" w:eastAsia="MS Mincho" w:hAnsi="Cambria" w:cs="Calibri"/>
                <w:color w:val="000000" w:themeColor="text1"/>
                <w:sz w:val="16"/>
                <w:szCs w:val="16"/>
                <w:lang w:val="es-CO"/>
              </w:rPr>
            </w:pPr>
            <w:bookmarkStart w:id="21" w:name="_Hlk90999646"/>
            <w:r w:rsidRPr="3E2B1321">
              <w:rPr>
                <w:rFonts w:ascii="Cambria" w:eastAsia="MS Mincho" w:hAnsi="Cambria" w:cs="Calibri"/>
                <w:color w:val="000000" w:themeColor="text1"/>
                <w:sz w:val="16"/>
                <w:szCs w:val="16"/>
                <w:lang w:val="es-CO"/>
              </w:rPr>
              <w:t xml:space="preserve">Case 12.780, Report Nº 25/20, Carlos Arturo Betancourt Estrada </w:t>
            </w:r>
            <w:r w:rsidR="33487FE7" w:rsidRPr="3E2B1321">
              <w:rPr>
                <w:rFonts w:ascii="Cambria" w:eastAsia="MS Mincho" w:hAnsi="Cambria" w:cs="Calibri"/>
                <w:color w:val="000000" w:themeColor="text1"/>
                <w:sz w:val="16"/>
                <w:szCs w:val="16"/>
                <w:lang w:val="es-CO"/>
              </w:rPr>
              <w:t>and Family</w:t>
            </w:r>
            <w:r w:rsidRPr="3E2B1321">
              <w:rPr>
                <w:rFonts w:ascii="Cambria" w:eastAsia="MS Mincho" w:hAnsi="Cambria" w:cs="Calibri"/>
                <w:color w:val="000000" w:themeColor="text1"/>
                <w:sz w:val="16"/>
                <w:szCs w:val="16"/>
                <w:lang w:val="es-CO"/>
              </w:rPr>
              <w:t xml:space="preserve"> (Colombia)</w:t>
            </w:r>
            <w:bookmarkEnd w:id="21"/>
          </w:p>
        </w:tc>
        <w:tc>
          <w:tcPr>
            <w:tcW w:w="577" w:type="pct"/>
            <w:shd w:val="clear" w:color="auto" w:fill="E7E6E6" w:themeFill="background2"/>
            <w:vAlign w:val="center"/>
          </w:tcPr>
          <w:p w14:paraId="3CF9A280" w14:textId="77777777" w:rsidR="0096378F" w:rsidRPr="0093583F" w:rsidRDefault="0071198A">
            <w:pPr>
              <w:ind w:left="72"/>
              <w:jc w:val="center"/>
              <w:rPr>
                <w:rFonts w:ascii="Cambria" w:eastAsia="MS Mincho" w:hAnsi="Cambria" w:cs="Calibri"/>
                <w:color w:val="000000" w:themeColor="text1"/>
                <w:sz w:val="16"/>
                <w:szCs w:val="16"/>
                <w:lang w:val="es-CO"/>
              </w:rPr>
            </w:pPr>
            <w:hyperlink r:id="rId110">
              <w:r w:rsidR="0096378F" w:rsidRPr="3E2B1321">
                <w:rPr>
                  <w:rStyle w:val="Hyperlink"/>
                  <w:rFonts w:ascii="Cambria" w:eastAsia="MS Mincho" w:hAnsi="Cambria" w:cs="Calibri"/>
                  <w:sz w:val="16"/>
                  <w:szCs w:val="16"/>
                  <w:lang w:val="es-US"/>
                </w:rPr>
                <w:t>Link</w:t>
              </w:r>
            </w:hyperlink>
          </w:p>
        </w:tc>
        <w:tc>
          <w:tcPr>
            <w:tcW w:w="721" w:type="pct"/>
            <w:shd w:val="clear" w:color="auto" w:fill="E7E6E6" w:themeFill="background2"/>
          </w:tcPr>
          <w:p w14:paraId="4FDBDB5F" w14:textId="77777777" w:rsidR="0096378F" w:rsidRPr="0093583F" w:rsidRDefault="0096378F">
            <w:pPr>
              <w:ind w:left="72"/>
              <w:jc w:val="center"/>
              <w:rPr>
                <w:rFonts w:ascii="Cambria" w:eastAsia="MS Mincho" w:hAnsi="Cambria" w:cs="Calibri"/>
                <w:color w:val="000000" w:themeColor="text1"/>
                <w:sz w:val="16"/>
                <w:szCs w:val="16"/>
                <w:lang w:val="es-CO" w:eastAsia="es-ES_tradnl"/>
              </w:rPr>
            </w:pPr>
          </w:p>
        </w:tc>
        <w:tc>
          <w:tcPr>
            <w:tcW w:w="721" w:type="pct"/>
            <w:shd w:val="clear" w:color="auto" w:fill="E7E6E6" w:themeFill="background2"/>
            <w:vAlign w:val="center"/>
          </w:tcPr>
          <w:p w14:paraId="407BA14E" w14:textId="77777777" w:rsidR="0096378F" w:rsidRPr="0093583F" w:rsidRDefault="0096378F">
            <w:pPr>
              <w:ind w:left="72"/>
              <w:jc w:val="center"/>
              <w:rPr>
                <w:rFonts w:ascii="Cambria" w:eastAsia="MS Mincho" w:hAnsi="Cambria" w:cs="Calibri"/>
                <w:color w:val="000000" w:themeColor="text1"/>
                <w:sz w:val="16"/>
                <w:szCs w:val="16"/>
                <w:lang w:val="es-CO" w:eastAsia="es-ES_tradnl"/>
              </w:rPr>
            </w:pPr>
          </w:p>
        </w:tc>
        <w:tc>
          <w:tcPr>
            <w:tcW w:w="721" w:type="pct"/>
            <w:shd w:val="clear" w:color="auto" w:fill="E7E6E6" w:themeFill="background2"/>
            <w:vAlign w:val="center"/>
          </w:tcPr>
          <w:p w14:paraId="61E80659" w14:textId="77777777" w:rsidR="0096378F" w:rsidRPr="0093583F" w:rsidRDefault="0096378F">
            <w:pPr>
              <w:jc w:val="center"/>
              <w:rPr>
                <w:rFonts w:ascii="Cambria" w:eastAsia="MS Mincho" w:hAnsi="Cambria" w:cs="Calibri"/>
                <w:color w:val="000000" w:themeColor="text1"/>
                <w:sz w:val="16"/>
                <w:szCs w:val="16"/>
                <w:lang w:val="es-CO" w:eastAsia="es-ES_tradnl"/>
              </w:rPr>
            </w:pPr>
            <w:r w:rsidRPr="0093583F">
              <w:rPr>
                <w:rFonts w:ascii="Cambria" w:eastAsia="MS Mincho" w:hAnsi="Cambria" w:cs="Calibri"/>
                <w:color w:val="000000" w:themeColor="text1"/>
                <w:sz w:val="16"/>
                <w:szCs w:val="16"/>
                <w:lang w:val="es-CO" w:eastAsia="es-ES_tradnl"/>
              </w:rPr>
              <w:t>X</w:t>
            </w:r>
          </w:p>
        </w:tc>
        <w:tc>
          <w:tcPr>
            <w:tcW w:w="673" w:type="pct"/>
            <w:shd w:val="clear" w:color="auto" w:fill="E7E6E6" w:themeFill="background2"/>
            <w:vAlign w:val="center"/>
          </w:tcPr>
          <w:p w14:paraId="1D487C72" w14:textId="77777777" w:rsidR="0096378F" w:rsidRPr="0093583F" w:rsidRDefault="0096378F">
            <w:pPr>
              <w:jc w:val="center"/>
              <w:rPr>
                <w:rFonts w:ascii="Cambria" w:eastAsia="MS Mincho" w:hAnsi="Cambria" w:cs="Calibri"/>
                <w:color w:val="000000" w:themeColor="text1"/>
                <w:sz w:val="16"/>
                <w:szCs w:val="16"/>
                <w:lang w:val="es-CO" w:eastAsia="es-ES_tradnl"/>
              </w:rPr>
            </w:pPr>
          </w:p>
        </w:tc>
        <w:tc>
          <w:tcPr>
            <w:tcW w:w="625" w:type="pct"/>
            <w:shd w:val="clear" w:color="auto" w:fill="E7E6E6" w:themeFill="background2"/>
            <w:vAlign w:val="center"/>
          </w:tcPr>
          <w:p w14:paraId="00DADB6A" w14:textId="77777777" w:rsidR="0096378F" w:rsidRPr="0093583F" w:rsidRDefault="0096378F">
            <w:pPr>
              <w:jc w:val="center"/>
              <w:rPr>
                <w:rFonts w:ascii="Cambria" w:eastAsia="MS Mincho" w:hAnsi="Cambria" w:cs="Calibri"/>
                <w:color w:val="000000" w:themeColor="text1"/>
                <w:sz w:val="16"/>
                <w:szCs w:val="16"/>
                <w:lang w:val="es-CO"/>
              </w:rPr>
            </w:pPr>
            <w:r>
              <w:rPr>
                <w:rFonts w:ascii="Cambria" w:eastAsia="MS Mincho" w:hAnsi="Cambria" w:cs="Calibri"/>
                <w:color w:val="000000" w:themeColor="text1"/>
                <w:sz w:val="16"/>
                <w:szCs w:val="16"/>
                <w:lang w:val="es-CO"/>
              </w:rPr>
              <w:t>Open</w:t>
            </w:r>
          </w:p>
        </w:tc>
      </w:tr>
      <w:tr w:rsidR="0096378F" w:rsidRPr="0093583F" w14:paraId="498B66E3" w14:textId="77777777" w:rsidTr="3E2B1321">
        <w:trPr>
          <w:trHeight w:val="35"/>
        </w:trPr>
        <w:tc>
          <w:tcPr>
            <w:tcW w:w="962" w:type="pct"/>
            <w:shd w:val="clear" w:color="auto" w:fill="E7E6E6" w:themeFill="background2"/>
          </w:tcPr>
          <w:p w14:paraId="54DC0461" w14:textId="77777777" w:rsidR="0096378F" w:rsidRPr="008E630F" w:rsidRDefault="0096378F">
            <w:pPr>
              <w:rPr>
                <w:rFonts w:ascii="Cambria" w:eastAsia="MS Mincho" w:hAnsi="Cambria" w:cs="Calibri"/>
                <w:color w:val="000000" w:themeColor="text1"/>
                <w:sz w:val="16"/>
                <w:szCs w:val="16"/>
                <w:lang w:val="es-CO"/>
              </w:rPr>
            </w:pPr>
            <w:r w:rsidRPr="008E630F">
              <w:rPr>
                <w:rFonts w:ascii="Cambria" w:hAnsi="Cambria" w:cs="Calibri"/>
                <w:bCs/>
                <w:color w:val="000000" w:themeColor="text1"/>
                <w:sz w:val="16"/>
                <w:szCs w:val="16"/>
                <w:lang w:val="es-CO"/>
              </w:rPr>
              <w:t>Case 12.476, Report Nº 67/06, Oscar Elías Biscet et al. (Cuba)</w:t>
            </w:r>
          </w:p>
        </w:tc>
        <w:tc>
          <w:tcPr>
            <w:tcW w:w="577" w:type="pct"/>
            <w:shd w:val="clear" w:color="auto" w:fill="E7E6E6" w:themeFill="background2"/>
            <w:vAlign w:val="center"/>
          </w:tcPr>
          <w:p w14:paraId="17A0D129"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11">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0F84D62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618823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5484EF9"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20A7BF3"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741FCC8"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2D89F399" w14:textId="77777777" w:rsidTr="3E2B1321">
        <w:trPr>
          <w:trHeight w:val="37"/>
        </w:trPr>
        <w:tc>
          <w:tcPr>
            <w:tcW w:w="962" w:type="pct"/>
            <w:shd w:val="clear" w:color="auto" w:fill="E7E6E6" w:themeFill="background2"/>
          </w:tcPr>
          <w:p w14:paraId="03F6F154" w14:textId="77777777" w:rsidR="0096378F" w:rsidRPr="0093583F" w:rsidRDefault="0096378F">
            <w:pPr>
              <w:rPr>
                <w:rFonts w:ascii="Cambria" w:hAnsi="Cambria" w:cs="Calibri"/>
                <w:color w:val="000000" w:themeColor="text1"/>
                <w:sz w:val="16"/>
                <w:szCs w:val="16"/>
                <w:lang w:val="es-US"/>
              </w:rPr>
            </w:pPr>
            <w:bookmarkStart w:id="22" w:name="_Hlk91093105"/>
            <w:r>
              <w:rPr>
                <w:rFonts w:ascii="Cambria" w:hAnsi="Cambria" w:cs="Calibri"/>
                <w:bCs/>
                <w:color w:val="000000" w:themeColor="text1"/>
                <w:sz w:val="16"/>
                <w:szCs w:val="16"/>
                <w:lang w:val="es-US"/>
              </w:rPr>
              <w:t xml:space="preserve">Case </w:t>
            </w:r>
            <w:r w:rsidRPr="0093583F">
              <w:rPr>
                <w:rFonts w:ascii="Cambria" w:hAnsi="Cambria" w:cs="Calibri"/>
                <w:bCs/>
                <w:color w:val="000000" w:themeColor="text1"/>
                <w:sz w:val="16"/>
                <w:szCs w:val="16"/>
                <w:lang w:val="es-US"/>
              </w:rPr>
              <w:t xml:space="preserve">12.477, </w:t>
            </w:r>
            <w:r>
              <w:rPr>
                <w:rFonts w:ascii="Cambria" w:hAnsi="Cambria" w:cs="Calibri"/>
                <w:bCs/>
                <w:color w:val="000000" w:themeColor="text1"/>
                <w:sz w:val="16"/>
                <w:szCs w:val="16"/>
                <w:lang w:val="es-US"/>
              </w:rPr>
              <w:t>Report</w:t>
            </w:r>
            <w:r w:rsidRPr="0093583F">
              <w:rPr>
                <w:rFonts w:ascii="Cambria" w:hAnsi="Cambria" w:cs="Calibri"/>
                <w:bCs/>
                <w:color w:val="000000" w:themeColor="text1"/>
                <w:sz w:val="16"/>
                <w:szCs w:val="16"/>
                <w:lang w:val="es-US"/>
              </w:rPr>
              <w:t xml:space="preserve"> Nº 68/06, Lorenzo Enrique Copello Castillo</w:t>
            </w:r>
            <w:r>
              <w:rPr>
                <w:rFonts w:ascii="Cambria" w:hAnsi="Cambria" w:cs="Calibri"/>
                <w:bCs/>
                <w:color w:val="000000" w:themeColor="text1"/>
                <w:sz w:val="16"/>
                <w:szCs w:val="16"/>
                <w:lang w:val="es-US"/>
              </w:rPr>
              <w:t xml:space="preserve"> et al. (</w:t>
            </w:r>
            <w:r w:rsidRPr="0093583F">
              <w:rPr>
                <w:rFonts w:ascii="Cambria" w:hAnsi="Cambria" w:cs="Calibri"/>
                <w:bCs/>
                <w:color w:val="000000" w:themeColor="text1"/>
                <w:sz w:val="16"/>
                <w:szCs w:val="16"/>
                <w:lang w:val="es-US"/>
              </w:rPr>
              <w:t>Cuba)</w:t>
            </w:r>
            <w:bookmarkEnd w:id="22"/>
          </w:p>
        </w:tc>
        <w:tc>
          <w:tcPr>
            <w:tcW w:w="577" w:type="pct"/>
            <w:shd w:val="clear" w:color="auto" w:fill="E7E6E6" w:themeFill="background2"/>
            <w:vAlign w:val="center"/>
          </w:tcPr>
          <w:p w14:paraId="3394D558"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12">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FC962CA"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BDFC6B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2D6FA2C"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3C4863D1"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402A3041"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6C2CC1E" w14:textId="77777777" w:rsidTr="3E2B1321">
        <w:trPr>
          <w:trHeight w:val="37"/>
        </w:trPr>
        <w:tc>
          <w:tcPr>
            <w:tcW w:w="962" w:type="pct"/>
            <w:shd w:val="clear" w:color="auto" w:fill="E7E6E6" w:themeFill="background2"/>
          </w:tcPr>
          <w:p w14:paraId="20530116" w14:textId="64BDE43D" w:rsidR="0096378F" w:rsidRPr="00D677DB" w:rsidRDefault="0096378F" w:rsidP="30AEB02D">
            <w:pPr>
              <w:rPr>
                <w:rFonts w:ascii="Cambria" w:hAnsi="Cambria" w:cs="Calibri"/>
                <w:color w:val="000000" w:themeColor="text1"/>
                <w:sz w:val="16"/>
                <w:szCs w:val="16"/>
              </w:rPr>
            </w:pPr>
            <w:bookmarkStart w:id="23" w:name="_Hlk91093114"/>
            <w:r w:rsidRPr="30AEB02D">
              <w:rPr>
                <w:rFonts w:ascii="Cambria" w:hAnsi="Cambria" w:cs="Calibri"/>
                <w:color w:val="000000" w:themeColor="text1"/>
                <w:sz w:val="16"/>
                <w:szCs w:val="16"/>
                <w:lang w:val="pt-BR"/>
              </w:rPr>
              <w:t>Case 12.127, Report Nº 27/18, Vl</w:t>
            </w:r>
            <w:r w:rsidR="08588C21" w:rsidRPr="30AEB02D">
              <w:rPr>
                <w:rFonts w:ascii="Cambria" w:hAnsi="Cambria" w:cs="Calibri"/>
                <w:color w:val="000000" w:themeColor="text1"/>
                <w:sz w:val="16"/>
                <w:szCs w:val="16"/>
                <w:lang w:val="pt-BR"/>
              </w:rPr>
              <w:t>a</w:t>
            </w:r>
            <w:r w:rsidRPr="30AEB02D">
              <w:rPr>
                <w:rFonts w:ascii="Cambria" w:hAnsi="Cambria" w:cs="Calibri"/>
                <w:color w:val="000000" w:themeColor="text1"/>
                <w:sz w:val="16"/>
                <w:szCs w:val="16"/>
                <w:lang w:val="pt-BR"/>
              </w:rPr>
              <w:t xml:space="preserve">dimiro Roca Antunez et al. </w:t>
            </w:r>
            <w:r w:rsidRPr="30AEB02D">
              <w:rPr>
                <w:rFonts w:ascii="Cambria" w:hAnsi="Cambria" w:cs="Calibri"/>
                <w:color w:val="000000" w:themeColor="text1"/>
                <w:sz w:val="16"/>
                <w:szCs w:val="16"/>
              </w:rPr>
              <w:t>(Cuba)</w:t>
            </w:r>
            <w:bookmarkEnd w:id="23"/>
          </w:p>
        </w:tc>
        <w:tc>
          <w:tcPr>
            <w:tcW w:w="577" w:type="pct"/>
            <w:shd w:val="clear" w:color="auto" w:fill="E7E6E6" w:themeFill="background2"/>
            <w:vAlign w:val="center"/>
          </w:tcPr>
          <w:p w14:paraId="2B5D6DEE"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13">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3A4EFB2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3051F9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69AC92F"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2B2519A6"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4955AC60"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B55D5B" w14:paraId="6F57E582" w14:textId="77777777" w:rsidTr="3E2B1321">
        <w:trPr>
          <w:trHeight w:val="37"/>
        </w:trPr>
        <w:tc>
          <w:tcPr>
            <w:tcW w:w="962" w:type="pct"/>
            <w:shd w:val="clear" w:color="auto" w:fill="E7E6E6" w:themeFill="background2"/>
          </w:tcPr>
          <w:p w14:paraId="2A1D94A9" w14:textId="77777777" w:rsidR="0096378F" w:rsidRPr="00546EA5" w:rsidRDefault="0096378F">
            <w:pPr>
              <w:rPr>
                <w:rFonts w:ascii="Cambria" w:hAnsi="Cambria" w:cs="Calibri"/>
                <w:bCs/>
                <w:color w:val="000000" w:themeColor="text1"/>
                <w:sz w:val="16"/>
                <w:szCs w:val="16"/>
                <w:lang w:val="es-ES"/>
              </w:rPr>
            </w:pPr>
            <w:r w:rsidRPr="00546EA5">
              <w:rPr>
                <w:rFonts w:ascii="Cambria" w:eastAsia="MS Mincho" w:hAnsi="Cambria" w:cs="Calibri"/>
                <w:color w:val="000000" w:themeColor="text1"/>
                <w:sz w:val="16"/>
                <w:szCs w:val="16"/>
                <w:lang w:val="es-US"/>
              </w:rPr>
              <w:t>Case 13.639, Report 297/21, Yoani María Sánchez Cordero (Cuba)</w:t>
            </w:r>
          </w:p>
        </w:tc>
        <w:tc>
          <w:tcPr>
            <w:tcW w:w="577" w:type="pct"/>
            <w:shd w:val="clear" w:color="auto" w:fill="E7E6E6" w:themeFill="background2"/>
            <w:vAlign w:val="center"/>
          </w:tcPr>
          <w:p w14:paraId="4BDCD150" w14:textId="77777777" w:rsidR="0096378F" w:rsidRPr="00546EA5" w:rsidRDefault="0071198A" w:rsidP="30AEB02D">
            <w:pPr>
              <w:ind w:left="72"/>
              <w:jc w:val="center"/>
              <w:rPr>
                <w:rFonts w:ascii="Cambria" w:eastAsia="MS Mincho" w:hAnsi="Cambria" w:cs="Calibri"/>
                <w:color w:val="000000" w:themeColor="text1"/>
                <w:sz w:val="16"/>
                <w:szCs w:val="16"/>
                <w:lang w:val="es-US" w:eastAsia="es-ES"/>
              </w:rPr>
            </w:pPr>
            <w:hyperlink r:id="rId114">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156D38F" w14:textId="77777777" w:rsidR="0096378F" w:rsidRPr="00546EA5"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AFF0B90" w14:textId="77777777" w:rsidR="0096378F" w:rsidRPr="00546EA5"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56B5B79" w14:textId="77777777" w:rsidR="0096378F" w:rsidRPr="00546EA5"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52A0E15C" w14:textId="77777777" w:rsidR="0096378F" w:rsidRPr="00546EA5" w:rsidRDefault="0096378F">
            <w:pPr>
              <w:jc w:val="center"/>
              <w:rPr>
                <w:rFonts w:ascii="Cambria" w:eastAsia="MS Mincho" w:hAnsi="Cambria" w:cs="Calibri"/>
                <w:color w:val="000000" w:themeColor="text1"/>
                <w:sz w:val="16"/>
                <w:szCs w:val="16"/>
                <w:lang w:val="es-US" w:eastAsia="es-ES_tradnl"/>
              </w:rPr>
            </w:pPr>
            <w:r w:rsidRPr="00546EA5">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00F26D4D" w14:textId="77777777" w:rsidR="0096378F" w:rsidRPr="00546EA5" w:rsidRDefault="0096378F">
            <w:pPr>
              <w:jc w:val="center"/>
              <w:rPr>
                <w:rFonts w:ascii="Cambria" w:eastAsia="MS Mincho" w:hAnsi="Cambria" w:cs="Calibri"/>
                <w:color w:val="000000" w:themeColor="text1"/>
                <w:sz w:val="16"/>
                <w:szCs w:val="16"/>
                <w:lang w:val="es-US"/>
              </w:rPr>
            </w:pPr>
            <w:r w:rsidRPr="00546EA5">
              <w:rPr>
                <w:rFonts w:ascii="Cambria" w:eastAsia="MS Mincho" w:hAnsi="Cambria" w:cs="Calibri"/>
                <w:color w:val="000000" w:themeColor="text1"/>
                <w:sz w:val="16"/>
                <w:szCs w:val="16"/>
                <w:lang w:val="es-US"/>
              </w:rPr>
              <w:t>Open</w:t>
            </w:r>
          </w:p>
        </w:tc>
      </w:tr>
      <w:tr w:rsidR="0096378F" w:rsidRPr="0093583F" w14:paraId="32B5700E" w14:textId="77777777" w:rsidTr="3E2B1321">
        <w:trPr>
          <w:trHeight w:val="29"/>
        </w:trPr>
        <w:tc>
          <w:tcPr>
            <w:tcW w:w="962" w:type="pct"/>
            <w:shd w:val="clear" w:color="auto" w:fill="E7E6E6" w:themeFill="background2"/>
          </w:tcPr>
          <w:p w14:paraId="1A0C9175" w14:textId="77777777" w:rsidR="0096378F" w:rsidRPr="0093583F" w:rsidRDefault="0096378F">
            <w:pPr>
              <w:rPr>
                <w:rFonts w:ascii="Cambria" w:eastAsia="MS Mincho" w:hAnsi="Cambria" w:cs="Calibri"/>
                <w:color w:val="000000" w:themeColor="text1"/>
                <w:sz w:val="16"/>
                <w:szCs w:val="16"/>
                <w:lang w:val="es-US"/>
              </w:rPr>
            </w:pPr>
            <w:r w:rsidRPr="0093583F">
              <w:rPr>
                <w:rFonts w:ascii="Cambria" w:hAnsi="Cambria" w:cs="Calibri"/>
                <w:color w:val="000000" w:themeColor="text1"/>
                <w:sz w:val="16"/>
                <w:szCs w:val="16"/>
                <w:lang w:val="es-US"/>
              </w:rPr>
              <w:br w:type="page"/>
            </w:r>
            <w:bookmarkStart w:id="24" w:name="_Hlk91093127"/>
            <w:r>
              <w:rPr>
                <w:rFonts w:ascii="Cambria" w:hAnsi="Cambria" w:cs="Calibri"/>
                <w:color w:val="000000" w:themeColor="text1"/>
                <w:sz w:val="16"/>
                <w:szCs w:val="16"/>
                <w:lang w:val="es-US"/>
              </w:rPr>
              <w:t xml:space="preserve">Case </w:t>
            </w:r>
            <w:r w:rsidRPr="0093583F">
              <w:rPr>
                <w:rFonts w:ascii="Cambria" w:hAnsi="Cambria" w:cs="Calibri"/>
                <w:color w:val="000000" w:themeColor="text1"/>
                <w:sz w:val="16"/>
                <w:szCs w:val="16"/>
                <w:lang w:val="es-US"/>
              </w:rPr>
              <w:t xml:space="preserve">11.992, </w:t>
            </w:r>
            <w:r>
              <w:rPr>
                <w:rFonts w:ascii="Cambria" w:hAnsi="Cambria" w:cs="Calibri"/>
                <w:color w:val="000000" w:themeColor="text1"/>
                <w:sz w:val="16"/>
                <w:szCs w:val="16"/>
                <w:lang w:val="es-US"/>
              </w:rPr>
              <w:t>Report</w:t>
            </w:r>
            <w:r w:rsidRPr="0093583F">
              <w:rPr>
                <w:rFonts w:ascii="Cambria" w:hAnsi="Cambria" w:cs="Calibri"/>
                <w:color w:val="000000" w:themeColor="text1"/>
                <w:sz w:val="16"/>
                <w:szCs w:val="16"/>
                <w:lang w:val="es-US"/>
              </w:rPr>
              <w:t xml:space="preserve"> Nº 66/01, Dayra María Levoyer Jiménez (Ecuador)</w:t>
            </w:r>
            <w:bookmarkEnd w:id="24"/>
          </w:p>
        </w:tc>
        <w:tc>
          <w:tcPr>
            <w:tcW w:w="577" w:type="pct"/>
            <w:shd w:val="clear" w:color="auto" w:fill="E7E6E6" w:themeFill="background2"/>
            <w:vAlign w:val="center"/>
          </w:tcPr>
          <w:p w14:paraId="6F3503CD"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15">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5FDFC88E"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71DDDC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FD30918"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E10AEB8"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10B89E3"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4269E12" w14:textId="77777777" w:rsidTr="3E2B1321">
        <w:trPr>
          <w:trHeight w:val="35"/>
        </w:trPr>
        <w:tc>
          <w:tcPr>
            <w:tcW w:w="962" w:type="pct"/>
            <w:shd w:val="clear" w:color="auto" w:fill="E7E6E6" w:themeFill="background2"/>
          </w:tcPr>
          <w:p w14:paraId="75989177" w14:textId="386B1430" w:rsidR="0096378F" w:rsidRPr="0093583F" w:rsidRDefault="0096378F">
            <w:pPr>
              <w:rPr>
                <w:rFonts w:ascii="Cambria" w:eastAsia="MS Mincho" w:hAnsi="Cambria" w:cs="Calibri"/>
                <w:color w:val="000000" w:themeColor="text1"/>
                <w:sz w:val="16"/>
                <w:szCs w:val="16"/>
                <w:lang w:val="es-US"/>
              </w:rPr>
            </w:pPr>
            <w:bookmarkStart w:id="25" w:name="_Hlk91093141"/>
            <w:r w:rsidRPr="3E2B1321">
              <w:rPr>
                <w:rFonts w:ascii="Cambria" w:hAnsi="Cambria" w:cs="Calibri"/>
                <w:color w:val="000000" w:themeColor="text1"/>
                <w:sz w:val="16"/>
                <w:szCs w:val="16"/>
                <w:lang w:val="es-US"/>
              </w:rPr>
              <w:t xml:space="preserve">Case 12.487, Report Nº </w:t>
            </w:r>
            <w:r w:rsidR="6861D06D" w:rsidRPr="3E2B1321">
              <w:rPr>
                <w:rFonts w:ascii="Cambria" w:hAnsi="Cambria" w:cs="Calibri"/>
                <w:color w:val="000000" w:themeColor="text1"/>
                <w:sz w:val="16"/>
                <w:szCs w:val="16"/>
                <w:lang w:val="es-US"/>
              </w:rPr>
              <w:t>36</w:t>
            </w:r>
            <w:r w:rsidRPr="3E2B1321">
              <w:rPr>
                <w:rFonts w:ascii="Cambria" w:hAnsi="Cambria" w:cs="Calibri"/>
                <w:color w:val="000000" w:themeColor="text1"/>
                <w:sz w:val="16"/>
                <w:szCs w:val="16"/>
                <w:lang w:val="es-US"/>
              </w:rPr>
              <w:t>/08, Rafael Ignacio Cuesta Caputi (Ecuador)</w:t>
            </w:r>
            <w:bookmarkEnd w:id="25"/>
          </w:p>
        </w:tc>
        <w:tc>
          <w:tcPr>
            <w:tcW w:w="577" w:type="pct"/>
            <w:shd w:val="clear" w:color="auto" w:fill="E7E6E6" w:themeFill="background2"/>
            <w:vAlign w:val="center"/>
          </w:tcPr>
          <w:p w14:paraId="79117967"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16">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E6B4DB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590611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EE93E0A"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4FDF68E"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DE84EE0"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B7370FC" w14:textId="77777777" w:rsidTr="3E2B1321">
        <w:trPr>
          <w:trHeight w:val="29"/>
        </w:trPr>
        <w:tc>
          <w:tcPr>
            <w:tcW w:w="962" w:type="pct"/>
            <w:shd w:val="clear" w:color="auto" w:fill="E7E6E6" w:themeFill="background2"/>
          </w:tcPr>
          <w:p w14:paraId="088B094F" w14:textId="77777777" w:rsidR="0096378F" w:rsidRPr="0093583F" w:rsidRDefault="0096378F">
            <w:pPr>
              <w:rPr>
                <w:rFonts w:ascii="Cambria" w:eastAsia="MS Mincho" w:hAnsi="Cambria" w:cs="Calibri"/>
                <w:color w:val="000000" w:themeColor="text1"/>
                <w:sz w:val="16"/>
                <w:szCs w:val="16"/>
                <w:lang w:val="es-US"/>
              </w:rPr>
            </w:pPr>
            <w:bookmarkStart w:id="26" w:name="_Hlk91093157"/>
            <w:r>
              <w:rPr>
                <w:rFonts w:ascii="Cambria" w:hAnsi="Cambria" w:cs="Calibri"/>
                <w:color w:val="000000" w:themeColor="text1"/>
                <w:sz w:val="16"/>
                <w:szCs w:val="16"/>
                <w:lang w:val="es-US"/>
              </w:rPr>
              <w:t xml:space="preserve">Case </w:t>
            </w:r>
            <w:r w:rsidRPr="0093583F">
              <w:rPr>
                <w:rFonts w:ascii="Cambria" w:hAnsi="Cambria" w:cs="Calibri"/>
                <w:color w:val="000000" w:themeColor="text1"/>
                <w:sz w:val="16"/>
                <w:szCs w:val="16"/>
                <w:lang w:val="es-US"/>
              </w:rPr>
              <w:t xml:space="preserve">12.525, </w:t>
            </w:r>
            <w:r>
              <w:rPr>
                <w:rFonts w:ascii="Cambria" w:hAnsi="Cambria" w:cs="Calibri"/>
                <w:color w:val="000000" w:themeColor="text1"/>
                <w:sz w:val="16"/>
                <w:szCs w:val="16"/>
                <w:lang w:val="es-US"/>
              </w:rPr>
              <w:t>Report</w:t>
            </w:r>
            <w:r w:rsidRPr="0093583F">
              <w:rPr>
                <w:rFonts w:ascii="Cambria" w:hAnsi="Cambria" w:cs="Calibri"/>
                <w:color w:val="000000" w:themeColor="text1"/>
                <w:sz w:val="16"/>
                <w:szCs w:val="16"/>
                <w:lang w:val="es-US"/>
              </w:rPr>
              <w:t xml:space="preserve"> Nº 84/09, Nelson Iván Serano Sáenz (Ecuador)</w:t>
            </w:r>
            <w:bookmarkEnd w:id="26"/>
          </w:p>
        </w:tc>
        <w:tc>
          <w:tcPr>
            <w:tcW w:w="577" w:type="pct"/>
            <w:shd w:val="clear" w:color="auto" w:fill="E7E6E6" w:themeFill="background2"/>
            <w:vAlign w:val="center"/>
          </w:tcPr>
          <w:p w14:paraId="58F0DD69"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17">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B6AEA7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FB1076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576F602"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FC8658C"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5EC75E4"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3B6434EE" w14:textId="77777777" w:rsidTr="3E2B1321">
        <w:trPr>
          <w:trHeight w:val="30"/>
        </w:trPr>
        <w:tc>
          <w:tcPr>
            <w:tcW w:w="962" w:type="pct"/>
            <w:shd w:val="clear" w:color="auto" w:fill="D0CECE" w:themeFill="background2" w:themeFillShade="E6"/>
          </w:tcPr>
          <w:p w14:paraId="76C2667C" w14:textId="77777777" w:rsidR="0096378F" w:rsidRPr="008E630F" w:rsidRDefault="0096378F">
            <w:pPr>
              <w:rPr>
                <w:rFonts w:ascii="Cambria" w:hAnsi="Cambria" w:cs="Calibri"/>
                <w:color w:val="000000" w:themeColor="text1"/>
                <w:sz w:val="16"/>
                <w:szCs w:val="16"/>
              </w:rPr>
            </w:pPr>
            <w:r w:rsidRPr="008E630F">
              <w:rPr>
                <w:rFonts w:ascii="Cambria" w:hAnsi="Cambria" w:cs="Calibri"/>
                <w:color w:val="000000" w:themeColor="text1"/>
                <w:sz w:val="16"/>
                <w:szCs w:val="16"/>
              </w:rPr>
              <w:t>Case 12.393, Report Nº 44/17, James Judge (Ecuador)</w:t>
            </w:r>
            <w:r w:rsidRPr="0093583F">
              <w:rPr>
                <w:rFonts w:ascii="Cambria" w:hAnsi="Cambria" w:cs="Calibri"/>
                <w:color w:val="000000" w:themeColor="text1"/>
                <w:sz w:val="16"/>
                <w:szCs w:val="16"/>
                <w:vertAlign w:val="superscript"/>
                <w:lang w:val="es-US"/>
              </w:rPr>
              <w:footnoteReference w:id="143"/>
            </w:r>
            <w:r w:rsidRPr="008E630F">
              <w:rPr>
                <w:rFonts w:ascii="Cambria" w:hAnsi="Cambria" w:cs="Calibri"/>
                <w:color w:val="000000" w:themeColor="text1"/>
                <w:sz w:val="16"/>
                <w:szCs w:val="16"/>
              </w:rPr>
              <w:t xml:space="preserve"> </w:t>
            </w:r>
          </w:p>
        </w:tc>
        <w:tc>
          <w:tcPr>
            <w:tcW w:w="577" w:type="pct"/>
            <w:shd w:val="clear" w:color="auto" w:fill="D0CECE" w:themeFill="background2" w:themeFillShade="E6"/>
            <w:vAlign w:val="center"/>
          </w:tcPr>
          <w:p w14:paraId="1AE29551" w14:textId="77777777" w:rsidR="0096378F" w:rsidRPr="008E630F" w:rsidRDefault="0096378F">
            <w:pPr>
              <w:ind w:left="72"/>
              <w:jc w:val="center"/>
              <w:rPr>
                <w:rFonts w:ascii="Cambria" w:eastAsia="MS Mincho" w:hAnsi="Cambria" w:cs="Calibri"/>
                <w:color w:val="000000" w:themeColor="text1"/>
                <w:sz w:val="16"/>
                <w:szCs w:val="16"/>
                <w:lang w:eastAsia="es-ES_tradnl"/>
              </w:rPr>
            </w:pPr>
          </w:p>
        </w:tc>
        <w:tc>
          <w:tcPr>
            <w:tcW w:w="721" w:type="pct"/>
            <w:shd w:val="clear" w:color="auto" w:fill="D0CECE" w:themeFill="background2" w:themeFillShade="E6"/>
          </w:tcPr>
          <w:p w14:paraId="0186F80E" w14:textId="77777777" w:rsidR="0096378F" w:rsidRPr="008E630F" w:rsidRDefault="0096378F">
            <w:pPr>
              <w:ind w:left="72"/>
              <w:jc w:val="center"/>
              <w:rPr>
                <w:rFonts w:ascii="Cambria" w:eastAsia="MS Mincho" w:hAnsi="Cambria" w:cs="Calibri"/>
                <w:color w:val="000000" w:themeColor="text1"/>
                <w:sz w:val="16"/>
                <w:szCs w:val="16"/>
                <w:lang w:eastAsia="es-ES_tradnl"/>
              </w:rPr>
            </w:pPr>
          </w:p>
        </w:tc>
        <w:tc>
          <w:tcPr>
            <w:tcW w:w="721" w:type="pct"/>
            <w:shd w:val="clear" w:color="auto" w:fill="D0CECE" w:themeFill="background2" w:themeFillShade="E6"/>
            <w:vAlign w:val="center"/>
          </w:tcPr>
          <w:p w14:paraId="31E6EA5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02B89008"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7D7A370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549D8E2D"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Closed</w:t>
            </w:r>
          </w:p>
        </w:tc>
      </w:tr>
      <w:tr w:rsidR="0096378F" w:rsidRPr="0093583F" w14:paraId="3E5FFA4A" w14:textId="77777777" w:rsidTr="3E2B1321">
        <w:trPr>
          <w:trHeight w:val="30"/>
        </w:trPr>
        <w:tc>
          <w:tcPr>
            <w:tcW w:w="962" w:type="pct"/>
            <w:shd w:val="clear" w:color="auto" w:fill="E7E6E6" w:themeFill="background2"/>
          </w:tcPr>
          <w:p w14:paraId="0E4F6D79" w14:textId="658E6B83" w:rsidR="0096378F" w:rsidRPr="00A66F64" w:rsidRDefault="0096378F">
            <w:pPr>
              <w:rPr>
                <w:rFonts w:ascii="Cambria" w:hAnsi="Cambria" w:cs="Calibri"/>
                <w:color w:val="000000" w:themeColor="text1"/>
                <w:sz w:val="16"/>
                <w:szCs w:val="16"/>
              </w:rPr>
            </w:pPr>
            <w:bookmarkStart w:id="27" w:name="_Hlk91093172"/>
            <w:r w:rsidRPr="3E2B1321">
              <w:rPr>
                <w:rFonts w:ascii="Cambria" w:hAnsi="Cambria" w:cs="Calibri"/>
                <w:color w:val="000000" w:themeColor="text1"/>
                <w:sz w:val="16"/>
                <w:szCs w:val="16"/>
              </w:rPr>
              <w:t>Case 11.624, Report Nº 92/19, Jorge Darwin and</w:t>
            </w:r>
            <w:r w:rsidR="0671DA71" w:rsidRPr="3E2B1321">
              <w:rPr>
                <w:rFonts w:ascii="Cambria" w:hAnsi="Cambria" w:cs="Calibri"/>
                <w:color w:val="000000" w:themeColor="text1"/>
                <w:sz w:val="16"/>
                <w:szCs w:val="16"/>
              </w:rPr>
              <w:t xml:space="preserve"> Family</w:t>
            </w:r>
            <w:r w:rsidRPr="3E2B1321">
              <w:rPr>
                <w:rFonts w:ascii="Cambria" w:hAnsi="Cambria" w:cs="Calibri"/>
                <w:color w:val="000000" w:themeColor="text1"/>
                <w:sz w:val="16"/>
                <w:szCs w:val="16"/>
              </w:rPr>
              <w:t xml:space="preserve"> (Ecuador)</w:t>
            </w:r>
            <w:bookmarkEnd w:id="27"/>
          </w:p>
        </w:tc>
        <w:tc>
          <w:tcPr>
            <w:tcW w:w="577" w:type="pct"/>
            <w:shd w:val="clear" w:color="auto" w:fill="E7E6E6" w:themeFill="background2"/>
            <w:vAlign w:val="center"/>
          </w:tcPr>
          <w:p w14:paraId="18277AB9"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18">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3D9BD4C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E3F0B1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3997D05"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25E18D5"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EEB927F" w14:textId="77777777" w:rsidR="0096378F" w:rsidRPr="0093583F" w:rsidRDefault="0096378F">
            <w:pPr>
              <w:jc w:val="center"/>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Open</w:t>
            </w:r>
          </w:p>
        </w:tc>
      </w:tr>
      <w:tr w:rsidR="0096378F" w:rsidRPr="00B55D5B" w14:paraId="0B074E9E" w14:textId="77777777" w:rsidTr="3E2B1321">
        <w:trPr>
          <w:trHeight w:val="30"/>
        </w:trPr>
        <w:tc>
          <w:tcPr>
            <w:tcW w:w="962" w:type="pct"/>
            <w:shd w:val="clear" w:color="auto" w:fill="E7E6E6" w:themeFill="background2"/>
          </w:tcPr>
          <w:p w14:paraId="0311AECC" w14:textId="77777777" w:rsidR="0096378F" w:rsidRPr="00546EA5" w:rsidRDefault="0096378F">
            <w:pPr>
              <w:rPr>
                <w:rFonts w:ascii="Cambria" w:hAnsi="Cambria" w:cs="Calibri"/>
                <w:color w:val="000000" w:themeColor="text1"/>
                <w:sz w:val="16"/>
                <w:szCs w:val="16"/>
                <w:lang w:val="es-ES"/>
              </w:rPr>
            </w:pPr>
            <w:r w:rsidRPr="00546EA5">
              <w:rPr>
                <w:rFonts w:ascii="Cambria" w:eastAsia="MS Mincho" w:hAnsi="Cambria" w:cs="Calibri"/>
                <w:color w:val="000000" w:themeColor="text1"/>
                <w:sz w:val="16"/>
                <w:szCs w:val="16"/>
                <w:lang w:val="es-US" w:eastAsia="es-ES_tradnl"/>
              </w:rPr>
              <w:t>Case 11.444, Report 457/21, Amparo Constante Merizalde (Ecuador)</w:t>
            </w:r>
          </w:p>
        </w:tc>
        <w:tc>
          <w:tcPr>
            <w:tcW w:w="577" w:type="pct"/>
            <w:shd w:val="clear" w:color="auto" w:fill="E7E6E6" w:themeFill="background2"/>
            <w:vAlign w:val="center"/>
          </w:tcPr>
          <w:p w14:paraId="586B6747" w14:textId="77777777" w:rsidR="0096378F" w:rsidRPr="00546EA5" w:rsidRDefault="0071198A" w:rsidP="30AEB02D">
            <w:pPr>
              <w:ind w:left="72"/>
              <w:jc w:val="center"/>
              <w:rPr>
                <w:rFonts w:ascii="Cambria" w:eastAsia="MS Mincho" w:hAnsi="Cambria" w:cs="Calibri"/>
                <w:color w:val="000000" w:themeColor="text1"/>
                <w:sz w:val="16"/>
                <w:szCs w:val="16"/>
                <w:lang w:val="es-US" w:eastAsia="es-ES"/>
              </w:rPr>
            </w:pPr>
            <w:hyperlink r:id="rId119">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B65FE37" w14:textId="77777777" w:rsidR="0096378F" w:rsidRPr="00546EA5"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2D65249" w14:textId="77777777" w:rsidR="0096378F" w:rsidRPr="00546EA5"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31F66E0" w14:textId="77777777" w:rsidR="0096378F" w:rsidRPr="00546EA5" w:rsidRDefault="0096378F">
            <w:pPr>
              <w:jc w:val="center"/>
              <w:rPr>
                <w:rFonts w:ascii="Cambria" w:eastAsia="MS Mincho" w:hAnsi="Cambria" w:cs="Calibri"/>
                <w:color w:val="000000" w:themeColor="text1"/>
                <w:sz w:val="16"/>
                <w:szCs w:val="16"/>
                <w:lang w:val="es-US" w:eastAsia="es-ES_tradnl"/>
              </w:rPr>
            </w:pPr>
            <w:r w:rsidRPr="00546EA5">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6BA8D9A" w14:textId="77777777" w:rsidR="0096378F" w:rsidRPr="00546EA5"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DD6F87B" w14:textId="77777777" w:rsidR="0096378F" w:rsidRPr="00546EA5" w:rsidRDefault="0096378F">
            <w:pPr>
              <w:jc w:val="center"/>
              <w:rPr>
                <w:rFonts w:ascii="Cambria" w:eastAsia="MS Mincho" w:hAnsi="Cambria" w:cs="Calibri"/>
                <w:color w:val="000000" w:themeColor="text1"/>
                <w:sz w:val="16"/>
                <w:szCs w:val="16"/>
                <w:lang w:val="es-US"/>
              </w:rPr>
            </w:pPr>
            <w:r w:rsidRPr="00546EA5">
              <w:rPr>
                <w:rFonts w:ascii="Cambria" w:eastAsia="MS Mincho" w:hAnsi="Cambria" w:cs="Calibri"/>
                <w:color w:val="000000" w:themeColor="text1"/>
                <w:sz w:val="16"/>
                <w:szCs w:val="16"/>
                <w:lang w:val="es-US"/>
              </w:rPr>
              <w:t>Open</w:t>
            </w:r>
          </w:p>
        </w:tc>
      </w:tr>
      <w:tr w:rsidR="0096378F" w:rsidRPr="00B55D5B" w14:paraId="20FAFF05" w14:textId="77777777" w:rsidTr="3E2B1321">
        <w:trPr>
          <w:trHeight w:val="30"/>
        </w:trPr>
        <w:tc>
          <w:tcPr>
            <w:tcW w:w="962" w:type="pct"/>
            <w:shd w:val="clear" w:color="auto" w:fill="D0CECE" w:themeFill="background2" w:themeFillShade="E6"/>
          </w:tcPr>
          <w:p w14:paraId="325FC543" w14:textId="77777777" w:rsidR="0096378F" w:rsidRPr="00546EA5" w:rsidRDefault="0096378F">
            <w:pPr>
              <w:rPr>
                <w:rFonts w:ascii="Cambria" w:eastAsia="MS Mincho" w:hAnsi="Cambria" w:cs="Calibri"/>
                <w:color w:val="000000" w:themeColor="text1"/>
                <w:sz w:val="16"/>
                <w:szCs w:val="16"/>
                <w:lang w:val="es-US" w:eastAsia="es-ES_tradnl"/>
              </w:rPr>
            </w:pPr>
            <w:r w:rsidRPr="00546EA5">
              <w:rPr>
                <w:rFonts w:ascii="Cambria" w:eastAsia="MS Mincho" w:hAnsi="Cambria" w:cs="Calibri"/>
                <w:color w:val="000000" w:themeColor="text1"/>
                <w:sz w:val="16"/>
                <w:szCs w:val="16"/>
                <w:lang w:val="es-US" w:eastAsia="es-ES_tradnl"/>
              </w:rPr>
              <w:t>Case 12.931, Report 328/21, Daría Olinda Puertocarrero Hurtado (Ecuador)</w:t>
            </w:r>
          </w:p>
        </w:tc>
        <w:tc>
          <w:tcPr>
            <w:tcW w:w="577" w:type="pct"/>
            <w:shd w:val="clear" w:color="auto" w:fill="D0CECE" w:themeFill="background2" w:themeFillShade="E6"/>
            <w:vAlign w:val="center"/>
          </w:tcPr>
          <w:p w14:paraId="1F1F6838" w14:textId="77777777" w:rsidR="0096378F" w:rsidRPr="00546EA5" w:rsidRDefault="0071198A" w:rsidP="30AEB02D">
            <w:pPr>
              <w:ind w:left="72"/>
              <w:jc w:val="center"/>
              <w:rPr>
                <w:rFonts w:ascii="Cambria" w:eastAsia="MS Mincho" w:hAnsi="Cambria" w:cs="Calibri"/>
                <w:color w:val="000000" w:themeColor="text1"/>
                <w:sz w:val="16"/>
                <w:szCs w:val="16"/>
                <w:lang w:val="es-US" w:eastAsia="es-ES"/>
              </w:rPr>
            </w:pPr>
            <w:hyperlink r:id="rId120">
              <w:r w:rsidR="0096378F" w:rsidRPr="30AEB02D">
                <w:rPr>
                  <w:rStyle w:val="Hyperlink"/>
                  <w:rFonts w:ascii="Cambria" w:eastAsia="MS Mincho" w:hAnsi="Cambria" w:cs="Calibri"/>
                  <w:sz w:val="16"/>
                  <w:szCs w:val="16"/>
                  <w:lang w:val="es-US" w:eastAsia="es-ES"/>
                </w:rPr>
                <w:t>Link</w:t>
              </w:r>
            </w:hyperlink>
          </w:p>
        </w:tc>
        <w:tc>
          <w:tcPr>
            <w:tcW w:w="721" w:type="pct"/>
            <w:shd w:val="clear" w:color="auto" w:fill="D0CECE" w:themeFill="background2" w:themeFillShade="E6"/>
          </w:tcPr>
          <w:p w14:paraId="12EDEDC2" w14:textId="77777777" w:rsidR="0096378F" w:rsidRPr="00546EA5"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vAlign w:val="center"/>
          </w:tcPr>
          <w:p w14:paraId="4CC6F4E8" w14:textId="77777777" w:rsidR="0096378F" w:rsidRPr="00546EA5" w:rsidRDefault="0096378F">
            <w:pPr>
              <w:ind w:left="72"/>
              <w:jc w:val="center"/>
              <w:rPr>
                <w:rFonts w:ascii="Cambria" w:eastAsia="MS Mincho" w:hAnsi="Cambria" w:cs="Calibri"/>
                <w:color w:val="000000" w:themeColor="text1"/>
                <w:sz w:val="16"/>
                <w:szCs w:val="16"/>
                <w:lang w:val="es-US" w:eastAsia="es-ES_tradnl"/>
              </w:rPr>
            </w:pPr>
            <w:r w:rsidRPr="00546EA5">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07AE426C" w14:textId="77777777" w:rsidR="0096378F" w:rsidRPr="00B55D5B" w:rsidRDefault="0096378F">
            <w:pPr>
              <w:jc w:val="center"/>
              <w:rPr>
                <w:rFonts w:ascii="Cambria" w:eastAsia="MS Mincho" w:hAnsi="Cambria" w:cs="Calibri"/>
                <w:color w:val="000000" w:themeColor="text1"/>
                <w:sz w:val="16"/>
                <w:szCs w:val="16"/>
                <w:highlight w:val="cyan"/>
                <w:lang w:val="es-US" w:eastAsia="es-ES_tradnl"/>
              </w:rPr>
            </w:pPr>
          </w:p>
        </w:tc>
        <w:tc>
          <w:tcPr>
            <w:tcW w:w="673" w:type="pct"/>
            <w:shd w:val="clear" w:color="auto" w:fill="D0CECE" w:themeFill="background2" w:themeFillShade="E6"/>
            <w:vAlign w:val="center"/>
          </w:tcPr>
          <w:p w14:paraId="4336F06B"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2DB201C7" w14:textId="77777777" w:rsidR="0096378F" w:rsidRPr="00B55D5B" w:rsidRDefault="0096378F">
            <w:pPr>
              <w:jc w:val="center"/>
              <w:rPr>
                <w:rFonts w:ascii="Cambria" w:eastAsia="MS Mincho" w:hAnsi="Cambria" w:cs="Calibri"/>
                <w:color w:val="000000" w:themeColor="text1"/>
                <w:sz w:val="16"/>
                <w:szCs w:val="16"/>
                <w:highlight w:val="cyan"/>
                <w:lang w:val="es-US"/>
              </w:rPr>
            </w:pPr>
            <w:r>
              <w:rPr>
                <w:rFonts w:ascii="Cambria" w:eastAsia="MS Mincho" w:hAnsi="Cambria" w:cs="Calibri"/>
                <w:color w:val="000000" w:themeColor="text1"/>
                <w:sz w:val="16"/>
                <w:szCs w:val="16"/>
                <w:lang w:val="es-US"/>
              </w:rPr>
              <w:t>Closed</w:t>
            </w:r>
            <w:r w:rsidRPr="00554EB7">
              <w:rPr>
                <w:rStyle w:val="FootnoteReference"/>
                <w:rFonts w:ascii="Cambria" w:hAnsi="Cambria"/>
                <w:bCs/>
                <w:color w:val="000000" w:themeColor="text1"/>
                <w:sz w:val="20"/>
                <w:szCs w:val="20"/>
                <w:lang w:val="es-CO"/>
              </w:rPr>
              <w:footnoteReference w:id="144"/>
            </w:r>
          </w:p>
        </w:tc>
      </w:tr>
      <w:tr w:rsidR="0096378F" w:rsidRPr="0093583F" w14:paraId="5BBB6DFD" w14:textId="77777777" w:rsidTr="3E2B1321">
        <w:trPr>
          <w:trHeight w:val="32"/>
        </w:trPr>
        <w:tc>
          <w:tcPr>
            <w:tcW w:w="962" w:type="pct"/>
            <w:shd w:val="clear" w:color="auto" w:fill="E7E6E6" w:themeFill="background2"/>
          </w:tcPr>
          <w:p w14:paraId="5816207B" w14:textId="7FAEB0AD" w:rsidR="0096378F" w:rsidRPr="0093583F" w:rsidRDefault="0096378F" w:rsidP="3E2B1321">
            <w:pPr>
              <w:rPr>
                <w:rFonts w:ascii="Cambria" w:hAnsi="Cambria" w:cs="Calibri"/>
                <w:color w:val="000000" w:themeColor="text1"/>
                <w:sz w:val="16"/>
                <w:szCs w:val="16"/>
                <w:lang w:val="es-US"/>
              </w:rPr>
            </w:pPr>
            <w:r w:rsidRPr="3E2B1321">
              <w:rPr>
                <w:rFonts w:ascii="Cambria" w:hAnsi="Cambria" w:cs="Calibri"/>
                <w:color w:val="000000" w:themeColor="text1"/>
                <w:sz w:val="16"/>
                <w:szCs w:val="16"/>
                <w:lang w:val="pt-BR"/>
              </w:rPr>
              <w:t xml:space="preserve">Case 12.249, Report Nº 27/09, Jorge Odir Miranda Cortez </w:t>
            </w:r>
            <w:r w:rsidR="31C9F426" w:rsidRPr="3E2B1321">
              <w:rPr>
                <w:rFonts w:ascii="Cambria" w:hAnsi="Cambria" w:cs="Calibri"/>
                <w:color w:val="000000" w:themeColor="text1"/>
                <w:sz w:val="16"/>
                <w:szCs w:val="16"/>
                <w:lang w:val="pt-BR"/>
              </w:rPr>
              <w:t>and Others</w:t>
            </w:r>
            <w:r w:rsidRPr="3E2B1321">
              <w:rPr>
                <w:rFonts w:ascii="Cambria" w:hAnsi="Cambria" w:cs="Calibri"/>
                <w:color w:val="000000" w:themeColor="text1"/>
                <w:sz w:val="16"/>
                <w:szCs w:val="16"/>
                <w:lang w:val="pt-BR"/>
              </w:rPr>
              <w:t xml:space="preserve"> </w:t>
            </w:r>
            <w:r w:rsidRPr="3E2B1321">
              <w:rPr>
                <w:rFonts w:ascii="Cambria" w:hAnsi="Cambria" w:cs="Calibri"/>
                <w:color w:val="000000" w:themeColor="text1"/>
                <w:sz w:val="16"/>
                <w:szCs w:val="16"/>
                <w:lang w:val="es-US"/>
              </w:rPr>
              <w:t>(El Salvador)</w:t>
            </w:r>
          </w:p>
        </w:tc>
        <w:tc>
          <w:tcPr>
            <w:tcW w:w="577" w:type="pct"/>
            <w:shd w:val="clear" w:color="auto" w:fill="E7E6E6" w:themeFill="background2"/>
            <w:vAlign w:val="center"/>
          </w:tcPr>
          <w:p w14:paraId="63E8FB54" w14:textId="77777777" w:rsidR="0096378F" w:rsidRPr="0093583F" w:rsidDel="00F631F8" w:rsidRDefault="0071198A" w:rsidP="3E2B1321">
            <w:pPr>
              <w:ind w:left="72"/>
              <w:jc w:val="center"/>
              <w:rPr>
                <w:rFonts w:ascii="Cambria" w:eastAsia="MS Mincho" w:hAnsi="Cambria" w:cs="Calibri"/>
                <w:color w:val="000000" w:themeColor="text1"/>
                <w:sz w:val="16"/>
                <w:szCs w:val="16"/>
                <w:lang w:val="es-US" w:eastAsia="es-ES"/>
              </w:rPr>
            </w:pPr>
            <w:hyperlink r:id="rId121">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BFEADE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461DEA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9A7191C"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A7B37CA"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4181A72"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04B0CDB" w14:textId="77777777" w:rsidTr="3E2B1321">
        <w:trPr>
          <w:trHeight w:val="32"/>
        </w:trPr>
        <w:tc>
          <w:tcPr>
            <w:tcW w:w="962" w:type="pct"/>
            <w:shd w:val="clear" w:color="auto" w:fill="E7E6E6" w:themeFill="background2"/>
          </w:tcPr>
          <w:p w14:paraId="40777660" w14:textId="77777777" w:rsidR="0096378F" w:rsidRPr="00D677DB" w:rsidRDefault="0096378F">
            <w:pPr>
              <w:rPr>
                <w:rFonts w:ascii="Cambria" w:hAnsi="Cambria" w:cs="Calibri"/>
                <w:bCs/>
                <w:color w:val="000000" w:themeColor="text1"/>
                <w:sz w:val="16"/>
                <w:szCs w:val="16"/>
              </w:rPr>
            </w:pPr>
            <w:r w:rsidRPr="00D677DB">
              <w:rPr>
                <w:rFonts w:ascii="Cambria" w:hAnsi="Cambria" w:cs="Calibri"/>
                <w:bCs/>
                <w:color w:val="000000" w:themeColor="text1"/>
                <w:sz w:val="16"/>
                <w:szCs w:val="16"/>
              </w:rPr>
              <w:t xml:space="preserve">Case 9.903, Report Nº 51/01, Rafael Ferrer Mazorra </w:t>
            </w:r>
            <w:r>
              <w:rPr>
                <w:rFonts w:ascii="Cambria" w:hAnsi="Cambria" w:cs="Calibri"/>
                <w:bCs/>
                <w:color w:val="000000" w:themeColor="text1"/>
                <w:sz w:val="16"/>
                <w:szCs w:val="16"/>
              </w:rPr>
              <w:t>et al. (</w:t>
            </w:r>
            <w:r w:rsidRPr="00D677DB">
              <w:rPr>
                <w:rFonts w:ascii="Cambria" w:hAnsi="Cambria" w:cs="Calibri"/>
                <w:bCs/>
                <w:color w:val="000000" w:themeColor="text1"/>
                <w:sz w:val="16"/>
                <w:szCs w:val="16"/>
              </w:rPr>
              <w:t>United States)</w:t>
            </w:r>
          </w:p>
        </w:tc>
        <w:tc>
          <w:tcPr>
            <w:tcW w:w="577" w:type="pct"/>
            <w:shd w:val="clear" w:color="auto" w:fill="E7E6E6" w:themeFill="background2"/>
            <w:vAlign w:val="center"/>
          </w:tcPr>
          <w:p w14:paraId="42051731"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22">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5857963B"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32B30B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AF7FFA6"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71734C2"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04FCBD3"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A7E37B3" w14:textId="77777777" w:rsidTr="3E2B1321">
        <w:trPr>
          <w:trHeight w:val="30"/>
        </w:trPr>
        <w:tc>
          <w:tcPr>
            <w:tcW w:w="962" w:type="pct"/>
            <w:shd w:val="clear" w:color="auto" w:fill="E7E6E6" w:themeFill="background2"/>
          </w:tcPr>
          <w:p w14:paraId="3A391808" w14:textId="77777777" w:rsidR="0096378F" w:rsidRPr="00D677DB" w:rsidRDefault="0096378F">
            <w:pPr>
              <w:rPr>
                <w:rFonts w:ascii="Cambria" w:hAnsi="Cambria" w:cs="Calibri"/>
                <w:bCs/>
                <w:color w:val="000000" w:themeColor="text1"/>
                <w:sz w:val="16"/>
                <w:szCs w:val="16"/>
              </w:rPr>
            </w:pPr>
            <w:r w:rsidRPr="00D677DB">
              <w:rPr>
                <w:rFonts w:ascii="Cambria" w:hAnsi="Cambria" w:cs="Calibri"/>
                <w:bCs/>
                <w:color w:val="000000" w:themeColor="text1"/>
                <w:sz w:val="16"/>
                <w:szCs w:val="16"/>
              </w:rPr>
              <w:lastRenderedPageBreak/>
              <w:t>Case 12.243, Report Nº 52/01, Juan Raúl Garza (United States)</w:t>
            </w:r>
          </w:p>
        </w:tc>
        <w:tc>
          <w:tcPr>
            <w:tcW w:w="577" w:type="pct"/>
            <w:shd w:val="clear" w:color="auto" w:fill="E7E6E6" w:themeFill="background2"/>
            <w:vAlign w:val="center"/>
          </w:tcPr>
          <w:p w14:paraId="3B5BC904"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23">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B3B7DB0"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4519D9B"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A1826E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5B98BBAA"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0D644380"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4E3E4716" w14:textId="77777777" w:rsidTr="3E2B1321">
        <w:trPr>
          <w:trHeight w:val="36"/>
        </w:trPr>
        <w:tc>
          <w:tcPr>
            <w:tcW w:w="962" w:type="pct"/>
            <w:shd w:val="clear" w:color="auto" w:fill="E7E6E6" w:themeFill="background2"/>
          </w:tcPr>
          <w:p w14:paraId="372BC2B1" w14:textId="77777777" w:rsidR="0096378F" w:rsidRPr="00D677DB" w:rsidRDefault="0096378F">
            <w:pPr>
              <w:rPr>
                <w:rFonts w:ascii="Cambria" w:hAnsi="Cambria" w:cs="Calibri"/>
                <w:bCs/>
                <w:color w:val="000000" w:themeColor="text1"/>
                <w:sz w:val="16"/>
                <w:szCs w:val="16"/>
              </w:rPr>
            </w:pPr>
            <w:r w:rsidRPr="00D677DB">
              <w:rPr>
                <w:rFonts w:ascii="Cambria" w:hAnsi="Cambria" w:cs="Calibri"/>
                <w:bCs/>
                <w:color w:val="000000" w:themeColor="text1"/>
                <w:sz w:val="16"/>
                <w:szCs w:val="16"/>
              </w:rPr>
              <w:t>Case 11.753, Report Nº 52/02, Ramón Martinez Villarreal (United States)</w:t>
            </w:r>
          </w:p>
        </w:tc>
        <w:tc>
          <w:tcPr>
            <w:tcW w:w="577" w:type="pct"/>
            <w:shd w:val="clear" w:color="auto" w:fill="E7E6E6" w:themeFill="background2"/>
            <w:vAlign w:val="center"/>
          </w:tcPr>
          <w:p w14:paraId="24D8D306"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24">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D24550A"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5DF1B8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B2FDB0B"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5F2F609"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4D58439"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4E156D94" w14:textId="77777777" w:rsidTr="3E2B1321">
        <w:trPr>
          <w:trHeight w:val="36"/>
        </w:trPr>
        <w:tc>
          <w:tcPr>
            <w:tcW w:w="962" w:type="pct"/>
            <w:tcBorders>
              <w:top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tcPr>
          <w:p w14:paraId="463A02AA" w14:textId="77777777" w:rsidR="0096378F" w:rsidRPr="0096378F" w:rsidRDefault="0096378F">
            <w:pPr>
              <w:rPr>
                <w:rFonts w:ascii="Cambria" w:hAnsi="Cambria" w:cs="Calibri"/>
                <w:bCs/>
                <w:color w:val="000000" w:themeColor="text1"/>
                <w:sz w:val="16"/>
                <w:szCs w:val="16"/>
              </w:rPr>
            </w:pPr>
            <w:r w:rsidRPr="008E630F">
              <w:rPr>
                <w:rFonts w:ascii="Cambria" w:hAnsi="Cambria" w:cs="Calibri"/>
                <w:bCs/>
                <w:color w:val="000000" w:themeColor="text1"/>
                <w:sz w:val="16"/>
                <w:szCs w:val="16"/>
              </w:rPr>
              <w:t>Cas</w:t>
            </w:r>
            <w:r>
              <w:rPr>
                <w:rFonts w:ascii="Cambria" w:hAnsi="Cambria" w:cs="Calibri"/>
                <w:bCs/>
                <w:color w:val="000000" w:themeColor="text1"/>
                <w:sz w:val="16"/>
                <w:szCs w:val="16"/>
              </w:rPr>
              <w:t>e 12.285</w:t>
            </w:r>
            <w:r w:rsidRPr="008E630F">
              <w:rPr>
                <w:rFonts w:ascii="Cambria" w:hAnsi="Cambria" w:cs="Calibri"/>
                <w:bCs/>
                <w:color w:val="000000" w:themeColor="text1"/>
                <w:sz w:val="16"/>
                <w:szCs w:val="16"/>
              </w:rPr>
              <w:t>, Report Nº 62/02, Michael Domingues (United States)</w:t>
            </w:r>
            <w:r w:rsidRPr="0093583F">
              <w:rPr>
                <w:rFonts w:ascii="Cambria" w:hAnsi="Cambria" w:cs="Calibri"/>
                <w:color w:val="000000" w:themeColor="text1"/>
                <w:sz w:val="16"/>
                <w:szCs w:val="16"/>
                <w:vertAlign w:val="superscript"/>
                <w:lang w:val="es-US"/>
              </w:rPr>
              <w:footnoteReference w:id="145"/>
            </w:r>
          </w:p>
        </w:tc>
        <w:tc>
          <w:tcPr>
            <w:tcW w:w="5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14:paraId="3A850E46" w14:textId="77777777" w:rsidR="0096378F" w:rsidRPr="008E630F" w:rsidRDefault="0096378F">
            <w:pPr>
              <w:ind w:left="72"/>
              <w:jc w:val="center"/>
              <w:rPr>
                <w:rFonts w:ascii="Cambria" w:eastAsia="MS Mincho" w:hAnsi="Cambria" w:cs="Calibri"/>
                <w:color w:val="000000" w:themeColor="text1"/>
                <w:sz w:val="16"/>
                <w:szCs w:val="16"/>
                <w:u w:val="single"/>
                <w:lang w:eastAsia="es-ES_tradnl"/>
              </w:rPr>
            </w:pPr>
          </w:p>
        </w:tc>
        <w:tc>
          <w:tcPr>
            <w:tcW w:w="72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tcPr>
          <w:p w14:paraId="1D815718" w14:textId="77777777" w:rsidR="0096378F" w:rsidRPr="008E630F" w:rsidRDefault="0096378F">
            <w:pPr>
              <w:ind w:left="72"/>
              <w:jc w:val="center"/>
              <w:rPr>
                <w:rFonts w:ascii="Cambria" w:eastAsia="MS Mincho" w:hAnsi="Cambria" w:cs="Calibri"/>
                <w:color w:val="000000" w:themeColor="text1"/>
                <w:sz w:val="16"/>
                <w:szCs w:val="16"/>
                <w:lang w:eastAsia="es-ES_tradnl"/>
              </w:rPr>
            </w:pPr>
          </w:p>
        </w:tc>
        <w:tc>
          <w:tcPr>
            <w:tcW w:w="72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14:paraId="05F6E80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72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14:paraId="6C2FD969"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tcBorders>
              <w:top w:val="single" w:sz="18" w:space="0" w:color="FFFFFF" w:themeColor="background1"/>
              <w:left w:val="single" w:sz="18" w:space="0" w:color="FFFFFF" w:themeColor="background1"/>
              <w:bottom w:val="single" w:sz="18" w:space="0" w:color="FFFFFF" w:themeColor="background1"/>
            </w:tcBorders>
            <w:shd w:val="clear" w:color="auto" w:fill="D0CECE" w:themeFill="background2" w:themeFillShade="E6"/>
            <w:vAlign w:val="center"/>
          </w:tcPr>
          <w:p w14:paraId="02B489EF"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tcBorders>
              <w:top w:val="single" w:sz="18" w:space="0" w:color="FFFFFF" w:themeColor="background1"/>
              <w:left w:val="single" w:sz="18" w:space="0" w:color="FFFFFF" w:themeColor="background1"/>
              <w:bottom w:val="single" w:sz="18" w:space="0" w:color="FFFFFF" w:themeColor="background1"/>
            </w:tcBorders>
            <w:shd w:val="clear" w:color="auto" w:fill="D0CECE" w:themeFill="background2" w:themeFillShade="E6"/>
            <w:vAlign w:val="center"/>
          </w:tcPr>
          <w:p w14:paraId="631C41CE"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Closed</w:t>
            </w:r>
          </w:p>
        </w:tc>
      </w:tr>
      <w:tr w:rsidR="0096378F" w:rsidRPr="0093583F" w14:paraId="25735721" w14:textId="77777777" w:rsidTr="3E2B1321">
        <w:trPr>
          <w:trHeight w:val="36"/>
        </w:trPr>
        <w:tc>
          <w:tcPr>
            <w:tcW w:w="962" w:type="pct"/>
            <w:shd w:val="clear" w:color="auto" w:fill="E7E6E6" w:themeFill="background2"/>
          </w:tcPr>
          <w:p w14:paraId="2719AD45" w14:textId="77777777" w:rsidR="0096378F" w:rsidRPr="00D677DB" w:rsidRDefault="0096378F">
            <w:pPr>
              <w:rPr>
                <w:rFonts w:ascii="Cambria" w:hAnsi="Cambria" w:cs="Calibri"/>
                <w:bCs/>
                <w:color w:val="000000" w:themeColor="text1"/>
                <w:sz w:val="16"/>
                <w:szCs w:val="16"/>
              </w:rPr>
            </w:pPr>
            <w:r w:rsidRPr="00D677DB">
              <w:rPr>
                <w:rFonts w:ascii="Cambria" w:hAnsi="Cambria" w:cs="Calibri"/>
                <w:bCs/>
                <w:color w:val="000000" w:themeColor="text1"/>
                <w:sz w:val="16"/>
                <w:szCs w:val="16"/>
              </w:rPr>
              <w:t>Case 11.140, Report Nº 75/02, Mary and Carrie Dann (United States)</w:t>
            </w:r>
          </w:p>
        </w:tc>
        <w:tc>
          <w:tcPr>
            <w:tcW w:w="577" w:type="pct"/>
            <w:shd w:val="clear" w:color="auto" w:fill="E7E6E6" w:themeFill="background2"/>
            <w:vAlign w:val="center"/>
          </w:tcPr>
          <w:p w14:paraId="1F18F620"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25">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BA6FD1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04868E4"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4ECF79A"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31E3A3B1"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050B817D"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8EEAC02" w14:textId="77777777" w:rsidTr="3E2B1321">
        <w:trPr>
          <w:trHeight w:val="35"/>
        </w:trPr>
        <w:tc>
          <w:tcPr>
            <w:tcW w:w="962" w:type="pct"/>
            <w:shd w:val="clear" w:color="auto" w:fill="E7E6E6" w:themeFill="background2"/>
          </w:tcPr>
          <w:p w14:paraId="54E241BD" w14:textId="77777777" w:rsidR="0096378F" w:rsidRPr="008E630F" w:rsidRDefault="0096378F">
            <w:pPr>
              <w:rPr>
                <w:rFonts w:ascii="Cambria" w:hAnsi="Cambria" w:cs="Calibri"/>
                <w:bCs/>
                <w:color w:val="000000" w:themeColor="text1"/>
                <w:sz w:val="16"/>
                <w:szCs w:val="16"/>
              </w:rPr>
            </w:pPr>
            <w:r w:rsidRPr="008E630F">
              <w:rPr>
                <w:rFonts w:ascii="Cambria" w:hAnsi="Cambria" w:cs="Calibri"/>
                <w:bCs/>
                <w:color w:val="000000" w:themeColor="text1"/>
                <w:sz w:val="16"/>
                <w:szCs w:val="16"/>
              </w:rPr>
              <w:t>Case 11.193, Report Nº 97/03, Shaka Sankofa (United States)</w:t>
            </w:r>
          </w:p>
        </w:tc>
        <w:tc>
          <w:tcPr>
            <w:tcW w:w="577" w:type="pct"/>
            <w:shd w:val="clear" w:color="auto" w:fill="E7E6E6" w:themeFill="background2"/>
            <w:vAlign w:val="center"/>
          </w:tcPr>
          <w:p w14:paraId="0700C4B5"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26">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3870D7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F1BC95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8091E1F"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0D5789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87FC67E"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17481A3" w14:textId="77777777" w:rsidTr="3E2B1321">
        <w:trPr>
          <w:trHeight w:val="32"/>
        </w:trPr>
        <w:tc>
          <w:tcPr>
            <w:tcW w:w="962" w:type="pct"/>
            <w:shd w:val="clear" w:color="auto" w:fill="E7E6E6" w:themeFill="background2"/>
          </w:tcPr>
          <w:p w14:paraId="2749B992" w14:textId="77777777" w:rsidR="0096378F" w:rsidRPr="00B33826" w:rsidRDefault="0096378F">
            <w:pPr>
              <w:rPr>
                <w:rFonts w:ascii="Cambria" w:hAnsi="Cambria" w:cs="Calibri"/>
                <w:bCs/>
                <w:color w:val="000000" w:themeColor="text1"/>
                <w:sz w:val="16"/>
                <w:szCs w:val="16"/>
              </w:rPr>
            </w:pPr>
            <w:r w:rsidRPr="00B33826">
              <w:rPr>
                <w:rFonts w:ascii="Cambria" w:hAnsi="Cambria" w:cs="Calibri"/>
                <w:bCs/>
                <w:color w:val="000000" w:themeColor="text1"/>
                <w:sz w:val="16"/>
                <w:szCs w:val="16"/>
              </w:rPr>
              <w:t>Case 11.204, Report Nº 98/03, Statehood Solidarity Committee (</w:t>
            </w:r>
            <w:r>
              <w:rPr>
                <w:rFonts w:ascii="Cambria" w:hAnsi="Cambria" w:cs="Calibri"/>
                <w:bCs/>
                <w:color w:val="000000" w:themeColor="text1"/>
                <w:sz w:val="16"/>
                <w:szCs w:val="16"/>
              </w:rPr>
              <w:t>United States)</w:t>
            </w:r>
          </w:p>
        </w:tc>
        <w:tc>
          <w:tcPr>
            <w:tcW w:w="577" w:type="pct"/>
            <w:shd w:val="clear" w:color="auto" w:fill="E7E6E6" w:themeFill="background2"/>
            <w:vAlign w:val="center"/>
          </w:tcPr>
          <w:p w14:paraId="5260DEA5"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27">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94A3A27"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FA5DEAE"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95CA45B"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721A2D84"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715127E5"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FD5BAB7" w14:textId="77777777" w:rsidTr="3E2B1321">
        <w:trPr>
          <w:trHeight w:val="30"/>
        </w:trPr>
        <w:tc>
          <w:tcPr>
            <w:tcW w:w="962" w:type="pct"/>
            <w:shd w:val="clear" w:color="auto" w:fill="E7E6E6" w:themeFill="background2"/>
          </w:tcPr>
          <w:p w14:paraId="7D9E3762" w14:textId="77777777" w:rsidR="0096378F" w:rsidRPr="00D677DB" w:rsidRDefault="0096378F">
            <w:pPr>
              <w:rPr>
                <w:rFonts w:ascii="Cambria" w:hAnsi="Cambria" w:cs="Calibri"/>
                <w:bCs/>
                <w:color w:val="000000" w:themeColor="text1"/>
                <w:sz w:val="16"/>
                <w:szCs w:val="16"/>
              </w:rPr>
            </w:pPr>
            <w:r w:rsidRPr="00D677DB">
              <w:rPr>
                <w:rFonts w:ascii="Cambria" w:hAnsi="Cambria" w:cs="Calibri"/>
                <w:bCs/>
                <w:color w:val="000000" w:themeColor="text1"/>
                <w:sz w:val="16"/>
                <w:szCs w:val="16"/>
              </w:rPr>
              <w:t>Case 11.331, Report Nº 99/03, Cesar Fierro (United States)</w:t>
            </w:r>
          </w:p>
        </w:tc>
        <w:tc>
          <w:tcPr>
            <w:tcW w:w="577" w:type="pct"/>
            <w:shd w:val="clear" w:color="auto" w:fill="E7E6E6" w:themeFill="background2"/>
            <w:vAlign w:val="center"/>
          </w:tcPr>
          <w:p w14:paraId="39BF9D64"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28">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0705E9A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8E1B43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5CA6D54"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1D10BD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BBF9576"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06865B84" w14:textId="77777777" w:rsidTr="3E2B1321">
        <w:trPr>
          <w:trHeight w:val="35"/>
        </w:trPr>
        <w:tc>
          <w:tcPr>
            <w:tcW w:w="962" w:type="pct"/>
            <w:shd w:val="clear" w:color="auto" w:fill="E7E6E6" w:themeFill="background2"/>
          </w:tcPr>
          <w:p w14:paraId="2568D912" w14:textId="77777777" w:rsidR="0096378F" w:rsidRPr="008E630F" w:rsidRDefault="0096378F">
            <w:pPr>
              <w:rPr>
                <w:rFonts w:ascii="Cambria" w:hAnsi="Cambria" w:cs="Calibri"/>
                <w:bCs/>
                <w:color w:val="000000" w:themeColor="text1"/>
                <w:sz w:val="16"/>
                <w:szCs w:val="16"/>
              </w:rPr>
            </w:pPr>
            <w:r w:rsidRPr="008E630F">
              <w:rPr>
                <w:rFonts w:ascii="Cambria" w:hAnsi="Cambria" w:cs="Calibri"/>
                <w:bCs/>
                <w:color w:val="000000" w:themeColor="text1"/>
                <w:sz w:val="16"/>
                <w:szCs w:val="16"/>
              </w:rPr>
              <w:t>Case 12.240, Report Nº 100/03, Douglas Christopher Thomas (United States)</w:t>
            </w:r>
          </w:p>
        </w:tc>
        <w:tc>
          <w:tcPr>
            <w:tcW w:w="577" w:type="pct"/>
            <w:shd w:val="clear" w:color="auto" w:fill="E7E6E6" w:themeFill="background2"/>
            <w:vAlign w:val="center"/>
          </w:tcPr>
          <w:p w14:paraId="425C522B"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29">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AC9122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ECAA73B"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F7E517B"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C08CDBA"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8C91DBA"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2C281E1" w14:textId="77777777" w:rsidTr="3E2B1321">
        <w:trPr>
          <w:trHeight w:val="31"/>
        </w:trPr>
        <w:tc>
          <w:tcPr>
            <w:tcW w:w="962" w:type="pct"/>
            <w:shd w:val="clear" w:color="auto" w:fill="E7E6E6" w:themeFill="background2"/>
          </w:tcPr>
          <w:p w14:paraId="6B717C7D" w14:textId="77777777" w:rsidR="0096378F" w:rsidRPr="00D677DB" w:rsidRDefault="0096378F">
            <w:pPr>
              <w:rPr>
                <w:rFonts w:ascii="Cambria" w:hAnsi="Cambria" w:cs="Calibri"/>
                <w:bCs/>
                <w:color w:val="000000" w:themeColor="text1"/>
                <w:sz w:val="16"/>
                <w:szCs w:val="16"/>
              </w:rPr>
            </w:pPr>
            <w:r w:rsidRPr="00D677DB">
              <w:rPr>
                <w:rFonts w:ascii="Cambria" w:hAnsi="Cambria" w:cs="Calibri"/>
                <w:bCs/>
                <w:color w:val="000000" w:themeColor="text1"/>
                <w:sz w:val="16"/>
                <w:szCs w:val="16"/>
              </w:rPr>
              <w:t>Case 12.412, Report Nº 101/03, Napoleón Beazley (United States)</w:t>
            </w:r>
          </w:p>
        </w:tc>
        <w:tc>
          <w:tcPr>
            <w:tcW w:w="577" w:type="pct"/>
            <w:shd w:val="clear" w:color="auto" w:fill="E7E6E6" w:themeFill="background2"/>
            <w:vAlign w:val="center"/>
          </w:tcPr>
          <w:p w14:paraId="7BC1C7AF"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30">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54168394"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EC29A1B"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A9EF9BE"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FDFB249"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3C76035"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696E9B6" w14:textId="77777777" w:rsidTr="3E2B1321">
        <w:trPr>
          <w:trHeight w:val="29"/>
        </w:trPr>
        <w:tc>
          <w:tcPr>
            <w:tcW w:w="962" w:type="pct"/>
            <w:shd w:val="clear" w:color="auto" w:fill="E7E6E6" w:themeFill="background2"/>
          </w:tcPr>
          <w:p w14:paraId="5AFD9085" w14:textId="77777777" w:rsidR="0096378F" w:rsidRPr="008E630F" w:rsidRDefault="0096378F">
            <w:pPr>
              <w:rPr>
                <w:rFonts w:ascii="Cambria" w:hAnsi="Cambria" w:cs="Calibri"/>
                <w:bCs/>
                <w:color w:val="000000" w:themeColor="text1"/>
                <w:sz w:val="16"/>
                <w:szCs w:val="16"/>
              </w:rPr>
            </w:pPr>
            <w:r w:rsidRPr="008E630F">
              <w:rPr>
                <w:rFonts w:ascii="Cambria" w:hAnsi="Cambria" w:cs="Calibri"/>
                <w:bCs/>
                <w:color w:val="000000" w:themeColor="text1"/>
                <w:sz w:val="16"/>
                <w:szCs w:val="16"/>
              </w:rPr>
              <w:t>Case 12.430, Report Nº 1/05, Roberto Moreno Ramos (United States)</w:t>
            </w:r>
          </w:p>
        </w:tc>
        <w:tc>
          <w:tcPr>
            <w:tcW w:w="577" w:type="pct"/>
            <w:shd w:val="clear" w:color="auto" w:fill="E7E6E6" w:themeFill="background2"/>
            <w:vAlign w:val="center"/>
          </w:tcPr>
          <w:p w14:paraId="4C9E1ADA"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31">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879038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589F05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7D63BAF"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0BC68A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7071AAB"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A160F2E" w14:textId="77777777" w:rsidTr="3E2B1321">
        <w:trPr>
          <w:trHeight w:val="35"/>
        </w:trPr>
        <w:tc>
          <w:tcPr>
            <w:tcW w:w="962" w:type="pct"/>
            <w:shd w:val="clear" w:color="auto" w:fill="E7E6E6" w:themeFill="background2"/>
          </w:tcPr>
          <w:p w14:paraId="7690D1EA" w14:textId="77777777" w:rsidR="0096378F" w:rsidRPr="00D677DB" w:rsidRDefault="0096378F">
            <w:pPr>
              <w:rPr>
                <w:rFonts w:ascii="Cambria" w:hAnsi="Cambria" w:cs="Calibri"/>
                <w:bCs/>
                <w:color w:val="000000" w:themeColor="text1"/>
                <w:sz w:val="16"/>
                <w:szCs w:val="16"/>
              </w:rPr>
            </w:pPr>
            <w:r w:rsidRPr="00D677DB">
              <w:rPr>
                <w:rFonts w:ascii="Cambria" w:hAnsi="Cambria" w:cs="Calibri"/>
                <w:bCs/>
                <w:color w:val="000000" w:themeColor="text1"/>
                <w:sz w:val="16"/>
                <w:szCs w:val="16"/>
              </w:rPr>
              <w:t>Case 12.439, Report Nº 25/05, Toronto Markkey Patterson (United States)</w:t>
            </w:r>
          </w:p>
        </w:tc>
        <w:tc>
          <w:tcPr>
            <w:tcW w:w="577" w:type="pct"/>
            <w:shd w:val="clear" w:color="auto" w:fill="E7E6E6" w:themeFill="background2"/>
            <w:vAlign w:val="center"/>
          </w:tcPr>
          <w:p w14:paraId="2CD2064E"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32">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048A16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D648F5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5DBA272"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5F3BED6"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2ED0643"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0E69BE6" w14:textId="77777777" w:rsidTr="3E2B1321">
        <w:trPr>
          <w:trHeight w:val="30"/>
        </w:trPr>
        <w:tc>
          <w:tcPr>
            <w:tcW w:w="962" w:type="pct"/>
            <w:shd w:val="clear" w:color="auto" w:fill="E7E6E6" w:themeFill="background2"/>
          </w:tcPr>
          <w:p w14:paraId="3B51458E" w14:textId="77777777" w:rsidR="0096378F" w:rsidRPr="00D677DB" w:rsidRDefault="0096378F">
            <w:pPr>
              <w:rPr>
                <w:rFonts w:ascii="Cambria" w:hAnsi="Cambria" w:cs="Calibri"/>
                <w:bCs/>
                <w:color w:val="000000" w:themeColor="text1"/>
                <w:sz w:val="16"/>
                <w:szCs w:val="16"/>
              </w:rPr>
            </w:pPr>
            <w:r w:rsidRPr="00D677DB">
              <w:rPr>
                <w:rFonts w:ascii="Cambria" w:hAnsi="Cambria" w:cs="Calibri"/>
                <w:bCs/>
                <w:color w:val="000000" w:themeColor="text1"/>
                <w:sz w:val="16"/>
                <w:szCs w:val="16"/>
              </w:rPr>
              <w:t>Case 12.421, Report Nº 91/05, Javier Suarez Medina (United States)</w:t>
            </w:r>
          </w:p>
        </w:tc>
        <w:tc>
          <w:tcPr>
            <w:tcW w:w="577" w:type="pct"/>
            <w:shd w:val="clear" w:color="auto" w:fill="E7E6E6" w:themeFill="background2"/>
            <w:vAlign w:val="center"/>
          </w:tcPr>
          <w:p w14:paraId="37E63D84"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33">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6D2BE2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DD4D547"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906BDBD"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2A9D74B"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8B55E11"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0D2F0460" w14:textId="77777777" w:rsidTr="3E2B1321">
        <w:trPr>
          <w:trHeight w:val="29"/>
        </w:trPr>
        <w:tc>
          <w:tcPr>
            <w:tcW w:w="962" w:type="pct"/>
            <w:shd w:val="clear" w:color="auto" w:fill="E7E6E6" w:themeFill="background2"/>
          </w:tcPr>
          <w:p w14:paraId="09F7ABC9" w14:textId="77777777" w:rsidR="0096378F" w:rsidRPr="00D677DB" w:rsidRDefault="0096378F">
            <w:pPr>
              <w:rPr>
                <w:rFonts w:ascii="Cambria" w:hAnsi="Cambria" w:cs="Calibri"/>
                <w:bCs/>
                <w:color w:val="000000" w:themeColor="text1"/>
                <w:sz w:val="16"/>
                <w:szCs w:val="16"/>
              </w:rPr>
            </w:pPr>
            <w:r w:rsidRPr="00D677DB">
              <w:rPr>
                <w:rFonts w:ascii="Cambria" w:hAnsi="Cambria" w:cs="Calibri"/>
                <w:color w:val="000000" w:themeColor="text1"/>
                <w:sz w:val="16"/>
                <w:szCs w:val="16"/>
              </w:rPr>
              <w:t>Case 12.534, Report Nº 63/08, Andrea Mortlock (</w:t>
            </w:r>
            <w:r w:rsidRPr="00D677DB">
              <w:rPr>
                <w:rFonts w:ascii="Cambria" w:hAnsi="Cambria" w:cs="Calibri"/>
                <w:bCs/>
                <w:color w:val="000000" w:themeColor="text1"/>
                <w:sz w:val="16"/>
                <w:szCs w:val="16"/>
              </w:rPr>
              <w:t>United States)</w:t>
            </w:r>
          </w:p>
        </w:tc>
        <w:tc>
          <w:tcPr>
            <w:tcW w:w="577" w:type="pct"/>
            <w:shd w:val="clear" w:color="auto" w:fill="E7E6E6" w:themeFill="background2"/>
            <w:vAlign w:val="center"/>
          </w:tcPr>
          <w:p w14:paraId="7D8600B4"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34">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8D5EC8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1E0E477"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BA9A41E"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609C22F"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F6B29CA"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BCCA49A" w14:textId="77777777" w:rsidTr="3E2B1321">
        <w:trPr>
          <w:trHeight w:val="33"/>
        </w:trPr>
        <w:tc>
          <w:tcPr>
            <w:tcW w:w="962" w:type="pct"/>
            <w:shd w:val="clear" w:color="auto" w:fill="E7E6E6" w:themeFill="background2"/>
          </w:tcPr>
          <w:p w14:paraId="5FC7901E" w14:textId="77777777" w:rsidR="0096378F" w:rsidRPr="00D677DB" w:rsidRDefault="0096378F">
            <w:pPr>
              <w:rPr>
                <w:rFonts w:ascii="Cambria" w:hAnsi="Cambria" w:cs="Calibri"/>
                <w:bCs/>
                <w:color w:val="000000" w:themeColor="text1"/>
                <w:sz w:val="16"/>
                <w:szCs w:val="16"/>
              </w:rPr>
            </w:pPr>
            <w:r w:rsidRPr="00D677DB">
              <w:rPr>
                <w:rFonts w:ascii="Cambria" w:hAnsi="Cambria" w:cs="Calibri"/>
                <w:color w:val="000000" w:themeColor="text1"/>
                <w:sz w:val="16"/>
                <w:szCs w:val="16"/>
              </w:rPr>
              <w:t>Case 12.644, Report Nº 90/09, Medellín, Ramírez Cárdenas and Leal García (</w:t>
            </w:r>
            <w:r w:rsidRPr="00D677DB">
              <w:rPr>
                <w:rFonts w:ascii="Cambria" w:hAnsi="Cambria" w:cs="Calibri"/>
                <w:bCs/>
                <w:color w:val="000000" w:themeColor="text1"/>
                <w:sz w:val="16"/>
                <w:szCs w:val="16"/>
              </w:rPr>
              <w:t>United States)</w:t>
            </w:r>
          </w:p>
        </w:tc>
        <w:tc>
          <w:tcPr>
            <w:tcW w:w="577" w:type="pct"/>
            <w:shd w:val="clear" w:color="auto" w:fill="E7E6E6" w:themeFill="background2"/>
            <w:vAlign w:val="center"/>
          </w:tcPr>
          <w:p w14:paraId="05F0C66A"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35">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00F87920"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74B5EF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1873F98"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C9F4D96"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6704324"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03064599" w14:textId="77777777" w:rsidTr="3E2B1321">
        <w:trPr>
          <w:trHeight w:val="31"/>
        </w:trPr>
        <w:tc>
          <w:tcPr>
            <w:tcW w:w="962" w:type="pct"/>
            <w:shd w:val="clear" w:color="auto" w:fill="E7E6E6" w:themeFill="background2"/>
          </w:tcPr>
          <w:p w14:paraId="54D390B2" w14:textId="43EEA5A8" w:rsidR="0096378F" w:rsidRPr="00D677DB" w:rsidRDefault="0096378F" w:rsidP="3E2B1321">
            <w:pPr>
              <w:rPr>
                <w:rFonts w:ascii="Cambria" w:hAnsi="Cambria" w:cs="Calibri"/>
                <w:color w:val="000000" w:themeColor="text1"/>
                <w:sz w:val="16"/>
                <w:szCs w:val="16"/>
              </w:rPr>
            </w:pPr>
            <w:bookmarkStart w:id="28" w:name="_Hlk90999653"/>
            <w:r w:rsidRPr="3E2B1321">
              <w:rPr>
                <w:rFonts w:ascii="Cambria" w:hAnsi="Cambria" w:cs="Calibri"/>
                <w:color w:val="000000" w:themeColor="text1"/>
                <w:sz w:val="16"/>
                <w:szCs w:val="16"/>
              </w:rPr>
              <w:t>Case</w:t>
            </w:r>
            <w:r w:rsidR="5837B5E9" w:rsidRPr="3E2B1321">
              <w:rPr>
                <w:rFonts w:ascii="Cambria" w:hAnsi="Cambria" w:cs="Calibri"/>
                <w:color w:val="000000" w:themeColor="text1"/>
                <w:sz w:val="16"/>
                <w:szCs w:val="16"/>
              </w:rPr>
              <w:t>s 12.561,</w:t>
            </w:r>
            <w:r w:rsidRPr="3E2B1321">
              <w:rPr>
                <w:rFonts w:ascii="Cambria" w:hAnsi="Cambria" w:cs="Calibri"/>
                <w:color w:val="000000" w:themeColor="text1"/>
                <w:sz w:val="16"/>
                <w:szCs w:val="16"/>
              </w:rPr>
              <w:t xml:space="preserve"> 12.56</w:t>
            </w:r>
            <w:r w:rsidR="3A5C6485" w:rsidRPr="3E2B1321">
              <w:rPr>
                <w:rFonts w:ascii="Cambria" w:hAnsi="Cambria" w:cs="Calibri"/>
                <w:color w:val="000000" w:themeColor="text1"/>
                <w:sz w:val="16"/>
                <w:szCs w:val="16"/>
              </w:rPr>
              <w:t>2</w:t>
            </w:r>
            <w:r w:rsidRPr="3E2B1321">
              <w:rPr>
                <w:rFonts w:ascii="Cambria" w:hAnsi="Cambria" w:cs="Calibri"/>
                <w:color w:val="000000" w:themeColor="text1"/>
                <w:sz w:val="16"/>
                <w:szCs w:val="16"/>
              </w:rPr>
              <w:t>, Report Nº 81/10, Wayne Smith, Hugo Armendariz et al. (United States)</w:t>
            </w:r>
            <w:bookmarkEnd w:id="28"/>
          </w:p>
        </w:tc>
        <w:tc>
          <w:tcPr>
            <w:tcW w:w="577" w:type="pct"/>
            <w:shd w:val="clear" w:color="auto" w:fill="E7E6E6" w:themeFill="background2"/>
            <w:vAlign w:val="center"/>
          </w:tcPr>
          <w:p w14:paraId="5362D3F4"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36">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16A28E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0B124E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6E08D3A"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F96BA78"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47C639D"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6243DFA" w14:textId="77777777" w:rsidTr="3E2B1321">
        <w:trPr>
          <w:trHeight w:val="36"/>
        </w:trPr>
        <w:tc>
          <w:tcPr>
            <w:tcW w:w="962" w:type="pct"/>
            <w:shd w:val="clear" w:color="auto" w:fill="E7E6E6" w:themeFill="background2"/>
          </w:tcPr>
          <w:p w14:paraId="22A89D9B" w14:textId="77777777" w:rsidR="0096378F" w:rsidRPr="00D677DB" w:rsidRDefault="0096378F">
            <w:pPr>
              <w:rPr>
                <w:rFonts w:ascii="Cambria" w:hAnsi="Cambria" w:cs="Calibri"/>
                <w:bCs/>
                <w:color w:val="000000" w:themeColor="text1"/>
                <w:sz w:val="16"/>
                <w:szCs w:val="16"/>
              </w:rPr>
            </w:pPr>
            <w:r w:rsidRPr="00D677DB">
              <w:rPr>
                <w:rFonts w:ascii="Cambria" w:hAnsi="Cambria" w:cs="Calibri"/>
                <w:color w:val="000000" w:themeColor="text1"/>
                <w:sz w:val="16"/>
                <w:szCs w:val="16"/>
              </w:rPr>
              <w:lastRenderedPageBreak/>
              <w:t>Case 12.626, Report Nº 80/11, Jessica Lenahan (Gonzales) (</w:t>
            </w:r>
            <w:r w:rsidRPr="00D677DB">
              <w:rPr>
                <w:rFonts w:ascii="Cambria" w:hAnsi="Cambria" w:cs="Calibri"/>
                <w:bCs/>
                <w:color w:val="000000" w:themeColor="text1"/>
                <w:sz w:val="16"/>
                <w:szCs w:val="16"/>
              </w:rPr>
              <w:t>United States)</w:t>
            </w:r>
          </w:p>
        </w:tc>
        <w:tc>
          <w:tcPr>
            <w:tcW w:w="577" w:type="pct"/>
            <w:shd w:val="clear" w:color="auto" w:fill="E7E6E6" w:themeFill="background2"/>
            <w:vAlign w:val="center"/>
          </w:tcPr>
          <w:p w14:paraId="39B2FE6E"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37">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2D7988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4025ED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9FD06A5"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AF4A5AE"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684F7D3"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2C9090AA" w14:textId="77777777" w:rsidTr="3E2B1321">
        <w:trPr>
          <w:trHeight w:val="31"/>
        </w:trPr>
        <w:tc>
          <w:tcPr>
            <w:tcW w:w="962" w:type="pct"/>
            <w:shd w:val="clear" w:color="auto" w:fill="E7E6E6" w:themeFill="background2"/>
          </w:tcPr>
          <w:p w14:paraId="676AA856" w14:textId="77777777" w:rsidR="0096378F" w:rsidRPr="00D677DB" w:rsidRDefault="0096378F">
            <w:pPr>
              <w:rPr>
                <w:rFonts w:ascii="Cambria" w:hAnsi="Cambria" w:cs="Calibri"/>
                <w:bCs/>
                <w:color w:val="000000" w:themeColor="text1"/>
                <w:sz w:val="16"/>
                <w:szCs w:val="16"/>
              </w:rPr>
            </w:pPr>
            <w:r w:rsidRPr="00D677DB">
              <w:rPr>
                <w:rFonts w:ascii="Cambria" w:hAnsi="Cambria" w:cs="Calibri"/>
                <w:color w:val="000000" w:themeColor="text1"/>
                <w:sz w:val="16"/>
                <w:szCs w:val="16"/>
              </w:rPr>
              <w:t>Case 12.776, Report Nº 81/11, Jeffrey Timothy Landrigan (</w:t>
            </w:r>
            <w:r w:rsidRPr="00D677DB">
              <w:rPr>
                <w:rFonts w:ascii="Cambria" w:hAnsi="Cambria" w:cs="Calibri"/>
                <w:bCs/>
                <w:color w:val="000000" w:themeColor="text1"/>
                <w:sz w:val="16"/>
                <w:szCs w:val="16"/>
              </w:rPr>
              <w:t>United States)</w:t>
            </w:r>
          </w:p>
        </w:tc>
        <w:tc>
          <w:tcPr>
            <w:tcW w:w="577" w:type="pct"/>
            <w:shd w:val="clear" w:color="auto" w:fill="E7E6E6" w:themeFill="background2"/>
            <w:vAlign w:val="center"/>
          </w:tcPr>
          <w:p w14:paraId="01C8E9A6"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38">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3B8493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FDCA60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ED976F6"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27B5AC36"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7F9C5C5E"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DA17C41" w14:textId="77777777" w:rsidTr="3E2B1321">
        <w:trPr>
          <w:trHeight w:val="37"/>
        </w:trPr>
        <w:tc>
          <w:tcPr>
            <w:tcW w:w="962" w:type="pct"/>
            <w:shd w:val="clear" w:color="auto" w:fill="E7E6E6" w:themeFill="background2"/>
          </w:tcPr>
          <w:p w14:paraId="410A8FD1" w14:textId="7C69B6CD" w:rsidR="0096378F" w:rsidRPr="00A66F64" w:rsidRDefault="0096378F" w:rsidP="3E2B1321">
            <w:pPr>
              <w:rPr>
                <w:rFonts w:ascii="Cambria" w:hAnsi="Cambria" w:cs="Calibri"/>
                <w:color w:val="000000" w:themeColor="text1"/>
                <w:sz w:val="16"/>
                <w:szCs w:val="16"/>
              </w:rPr>
            </w:pPr>
            <w:r w:rsidRPr="3E2B1321">
              <w:rPr>
                <w:rFonts w:ascii="Cambria" w:hAnsi="Cambria" w:cs="Calibri"/>
                <w:color w:val="000000" w:themeColor="text1"/>
                <w:sz w:val="16"/>
                <w:szCs w:val="16"/>
              </w:rPr>
              <w:t xml:space="preserve">Case 11.575, 12.333 and 12.341, Report Nº 52/13, Clarence Allen </w:t>
            </w:r>
            <w:r w:rsidR="32CC5F1B" w:rsidRPr="3E2B1321">
              <w:rPr>
                <w:rFonts w:ascii="Cambria" w:hAnsi="Cambria" w:cs="Calibri"/>
                <w:color w:val="000000" w:themeColor="text1"/>
                <w:sz w:val="16"/>
                <w:szCs w:val="16"/>
              </w:rPr>
              <w:t>L</w:t>
            </w:r>
            <w:r w:rsidRPr="3E2B1321">
              <w:rPr>
                <w:rFonts w:ascii="Cambria" w:hAnsi="Cambria" w:cs="Calibri"/>
                <w:color w:val="000000" w:themeColor="text1"/>
                <w:sz w:val="16"/>
                <w:szCs w:val="16"/>
              </w:rPr>
              <w:t>ackey et al.; Miguel Ángel Flores, James Wilson Chambers (United States)</w:t>
            </w:r>
          </w:p>
        </w:tc>
        <w:tc>
          <w:tcPr>
            <w:tcW w:w="577" w:type="pct"/>
            <w:shd w:val="clear" w:color="auto" w:fill="E7E6E6" w:themeFill="background2"/>
            <w:vAlign w:val="center"/>
          </w:tcPr>
          <w:p w14:paraId="4D3C1865"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39">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580C1D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79A4010"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3985431"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45E2C659"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27E02969"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26B695C" w14:textId="77777777" w:rsidTr="3E2B1321">
        <w:trPr>
          <w:trHeight w:val="33"/>
        </w:trPr>
        <w:tc>
          <w:tcPr>
            <w:tcW w:w="962" w:type="pct"/>
            <w:shd w:val="clear" w:color="auto" w:fill="E7E6E6" w:themeFill="background2"/>
          </w:tcPr>
          <w:p w14:paraId="1728C506" w14:textId="77777777" w:rsidR="0096378F" w:rsidRPr="00D677DB" w:rsidRDefault="0096378F">
            <w:pPr>
              <w:rPr>
                <w:rFonts w:ascii="Cambria" w:hAnsi="Cambria" w:cs="Calibri"/>
                <w:bCs/>
                <w:color w:val="000000" w:themeColor="text1"/>
                <w:sz w:val="16"/>
                <w:szCs w:val="16"/>
              </w:rPr>
            </w:pPr>
            <w:bookmarkStart w:id="29" w:name="_Hlk91084664"/>
            <w:r w:rsidRPr="00D677DB">
              <w:rPr>
                <w:rFonts w:ascii="Cambria" w:hAnsi="Cambria" w:cs="Calibri"/>
                <w:color w:val="000000" w:themeColor="text1"/>
                <w:sz w:val="16"/>
                <w:szCs w:val="16"/>
              </w:rPr>
              <w:t>Case 12.864, Report Nº 53/13, Iván Teleguz (</w:t>
            </w:r>
            <w:r w:rsidRPr="00D677DB">
              <w:rPr>
                <w:rFonts w:ascii="Cambria" w:hAnsi="Cambria" w:cs="Calibri"/>
                <w:bCs/>
                <w:color w:val="000000" w:themeColor="text1"/>
                <w:sz w:val="16"/>
                <w:szCs w:val="16"/>
              </w:rPr>
              <w:t>United States)</w:t>
            </w:r>
            <w:bookmarkEnd w:id="29"/>
          </w:p>
        </w:tc>
        <w:tc>
          <w:tcPr>
            <w:tcW w:w="577" w:type="pct"/>
            <w:shd w:val="clear" w:color="auto" w:fill="E7E6E6" w:themeFill="background2"/>
            <w:vAlign w:val="center"/>
          </w:tcPr>
          <w:p w14:paraId="121B30E1"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40">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382ED5F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7D367B4"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43E51B7"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5D18D8E"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33063A4"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1678523F" w14:textId="77777777" w:rsidTr="3E2B1321">
        <w:trPr>
          <w:trHeight w:val="37"/>
        </w:trPr>
        <w:tc>
          <w:tcPr>
            <w:tcW w:w="962" w:type="pct"/>
            <w:shd w:val="clear" w:color="auto" w:fill="E7E6E6" w:themeFill="background2"/>
          </w:tcPr>
          <w:p w14:paraId="4DB5E602" w14:textId="77777777" w:rsidR="0096378F" w:rsidRPr="008E630F" w:rsidRDefault="0096378F">
            <w:pPr>
              <w:rPr>
                <w:rFonts w:ascii="Cambria" w:hAnsi="Cambria" w:cs="Calibri"/>
                <w:bCs/>
                <w:color w:val="000000" w:themeColor="text1"/>
                <w:sz w:val="16"/>
                <w:szCs w:val="16"/>
              </w:rPr>
            </w:pPr>
            <w:bookmarkStart w:id="30" w:name="_Hlk90999659"/>
            <w:r w:rsidRPr="008E630F">
              <w:rPr>
                <w:rFonts w:ascii="Cambria" w:hAnsi="Cambria" w:cs="Calibri"/>
                <w:color w:val="000000" w:themeColor="text1"/>
                <w:sz w:val="16"/>
                <w:szCs w:val="16"/>
              </w:rPr>
              <w:t>Case 12.422, Report Nº 13/14, Abu-Ali Abdur' Rahman (</w:t>
            </w:r>
            <w:r w:rsidRPr="008E630F">
              <w:rPr>
                <w:rFonts w:ascii="Cambria" w:hAnsi="Cambria" w:cs="Calibri"/>
                <w:bCs/>
                <w:color w:val="000000" w:themeColor="text1"/>
                <w:sz w:val="16"/>
                <w:szCs w:val="16"/>
              </w:rPr>
              <w:t>United States)</w:t>
            </w:r>
            <w:bookmarkEnd w:id="30"/>
          </w:p>
        </w:tc>
        <w:tc>
          <w:tcPr>
            <w:tcW w:w="577" w:type="pct"/>
            <w:shd w:val="clear" w:color="auto" w:fill="E7E6E6" w:themeFill="background2"/>
            <w:vAlign w:val="center"/>
          </w:tcPr>
          <w:p w14:paraId="5645B0AB"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41">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A97771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FBFDD6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E9DBFE3"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4D750E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347042F"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1CE3B94" w14:textId="77777777" w:rsidTr="3E2B1321">
        <w:trPr>
          <w:trHeight w:val="29"/>
        </w:trPr>
        <w:tc>
          <w:tcPr>
            <w:tcW w:w="962" w:type="pct"/>
            <w:shd w:val="clear" w:color="auto" w:fill="E7E6E6" w:themeFill="background2"/>
          </w:tcPr>
          <w:p w14:paraId="20F80631" w14:textId="77777777" w:rsidR="0096378F" w:rsidRPr="00D677DB" w:rsidRDefault="0096378F">
            <w:pPr>
              <w:rPr>
                <w:rFonts w:ascii="Cambria" w:hAnsi="Cambria" w:cs="Calibri"/>
                <w:bCs/>
                <w:color w:val="000000" w:themeColor="text1"/>
                <w:sz w:val="16"/>
                <w:szCs w:val="16"/>
              </w:rPr>
            </w:pPr>
            <w:r w:rsidRPr="00D677DB">
              <w:rPr>
                <w:rFonts w:ascii="Cambria" w:hAnsi="Cambria" w:cs="Calibri"/>
                <w:color w:val="000000" w:themeColor="text1"/>
                <w:sz w:val="16"/>
                <w:szCs w:val="16"/>
              </w:rPr>
              <w:t>Case 12.873, Report Nº 44/14, Edgar Tamayo Arias (</w:t>
            </w:r>
            <w:r w:rsidRPr="00D677DB">
              <w:rPr>
                <w:rFonts w:ascii="Cambria" w:hAnsi="Cambria" w:cs="Calibri"/>
                <w:bCs/>
                <w:color w:val="000000" w:themeColor="text1"/>
                <w:sz w:val="16"/>
                <w:szCs w:val="16"/>
              </w:rPr>
              <w:t>United States)</w:t>
            </w:r>
          </w:p>
        </w:tc>
        <w:tc>
          <w:tcPr>
            <w:tcW w:w="577" w:type="pct"/>
            <w:shd w:val="clear" w:color="auto" w:fill="E7E6E6" w:themeFill="background2"/>
            <w:vAlign w:val="center"/>
          </w:tcPr>
          <w:p w14:paraId="66124E54"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42">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753E61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8B02BE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990DAF7"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52D095B"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BCC9072"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2F89089E" w14:textId="77777777" w:rsidTr="3E2B1321">
        <w:trPr>
          <w:trHeight w:val="37"/>
        </w:trPr>
        <w:tc>
          <w:tcPr>
            <w:tcW w:w="962" w:type="pct"/>
            <w:shd w:val="clear" w:color="auto" w:fill="E7E6E6" w:themeFill="background2"/>
          </w:tcPr>
          <w:p w14:paraId="3FD0989F" w14:textId="77777777" w:rsidR="0096378F" w:rsidRPr="008E630F" w:rsidRDefault="0096378F">
            <w:pPr>
              <w:rPr>
                <w:rFonts w:ascii="Cambria" w:hAnsi="Cambria" w:cs="Calibri"/>
                <w:bCs/>
                <w:color w:val="000000" w:themeColor="text1"/>
                <w:sz w:val="16"/>
                <w:szCs w:val="16"/>
              </w:rPr>
            </w:pPr>
            <w:r w:rsidRPr="008E630F">
              <w:rPr>
                <w:rFonts w:ascii="Cambria" w:hAnsi="Cambria" w:cs="Calibri"/>
                <w:color w:val="000000" w:themeColor="text1"/>
                <w:sz w:val="16"/>
                <w:szCs w:val="16"/>
              </w:rPr>
              <w:t>Case 12.833, Report Nº 11/15, Felix Rocha Diaz (</w:t>
            </w:r>
            <w:r w:rsidRPr="008E630F">
              <w:rPr>
                <w:rFonts w:ascii="Cambria" w:hAnsi="Cambria" w:cs="Calibri"/>
                <w:bCs/>
                <w:color w:val="000000" w:themeColor="text1"/>
                <w:sz w:val="16"/>
                <w:szCs w:val="16"/>
              </w:rPr>
              <w:t>United States)</w:t>
            </w:r>
          </w:p>
        </w:tc>
        <w:tc>
          <w:tcPr>
            <w:tcW w:w="577" w:type="pct"/>
            <w:shd w:val="clear" w:color="auto" w:fill="E7E6E6" w:themeFill="background2"/>
            <w:vAlign w:val="center"/>
          </w:tcPr>
          <w:p w14:paraId="407BEF44"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43">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D96E5E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0FFE0A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35B71EB"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62DFDC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D6D274A"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48716566" w14:textId="77777777" w:rsidTr="3E2B1321">
        <w:trPr>
          <w:trHeight w:val="30"/>
        </w:trPr>
        <w:tc>
          <w:tcPr>
            <w:tcW w:w="962" w:type="pct"/>
            <w:shd w:val="clear" w:color="auto" w:fill="E7E6E6" w:themeFill="background2"/>
          </w:tcPr>
          <w:p w14:paraId="371C5ADC" w14:textId="77777777" w:rsidR="0096378F" w:rsidRPr="008E630F" w:rsidRDefault="0096378F">
            <w:pPr>
              <w:rPr>
                <w:rFonts w:ascii="Cambria" w:hAnsi="Cambria" w:cs="Calibri"/>
                <w:bCs/>
                <w:color w:val="000000" w:themeColor="text1"/>
                <w:sz w:val="16"/>
                <w:szCs w:val="16"/>
              </w:rPr>
            </w:pPr>
            <w:r w:rsidRPr="008E630F">
              <w:rPr>
                <w:rFonts w:ascii="Cambria" w:hAnsi="Cambria" w:cs="Calibri"/>
                <w:color w:val="000000" w:themeColor="text1"/>
                <w:sz w:val="16"/>
                <w:szCs w:val="16"/>
              </w:rPr>
              <w:t>Case 12.831, Report Nº 78/15, Kevin Cooper (</w:t>
            </w:r>
            <w:r w:rsidRPr="008E630F">
              <w:rPr>
                <w:rFonts w:ascii="Cambria" w:hAnsi="Cambria" w:cs="Calibri"/>
                <w:bCs/>
                <w:color w:val="000000" w:themeColor="text1"/>
                <w:sz w:val="16"/>
                <w:szCs w:val="16"/>
              </w:rPr>
              <w:t>United States)</w:t>
            </w:r>
          </w:p>
        </w:tc>
        <w:tc>
          <w:tcPr>
            <w:tcW w:w="577" w:type="pct"/>
            <w:shd w:val="clear" w:color="auto" w:fill="E7E6E6" w:themeFill="background2"/>
            <w:vAlign w:val="center"/>
          </w:tcPr>
          <w:p w14:paraId="55D66C02"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44">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DFA6A8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AD4D8A4"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287D622"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02EA5EC"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8A04B31"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64EA617" w14:textId="77777777" w:rsidTr="3E2B1321">
        <w:trPr>
          <w:trHeight w:val="32"/>
        </w:trPr>
        <w:tc>
          <w:tcPr>
            <w:tcW w:w="962" w:type="pct"/>
            <w:shd w:val="clear" w:color="auto" w:fill="E7E6E6" w:themeFill="background2"/>
          </w:tcPr>
          <w:p w14:paraId="414BE8A6" w14:textId="77777777" w:rsidR="0096378F" w:rsidRPr="00D677DB" w:rsidRDefault="0096378F">
            <w:pPr>
              <w:rPr>
                <w:rFonts w:ascii="Cambria" w:hAnsi="Cambria" w:cs="Calibri"/>
                <w:bCs/>
                <w:color w:val="000000" w:themeColor="text1"/>
                <w:sz w:val="16"/>
                <w:szCs w:val="16"/>
              </w:rPr>
            </w:pPr>
            <w:r w:rsidRPr="00D677DB">
              <w:rPr>
                <w:rFonts w:ascii="Cambria" w:hAnsi="Cambria" w:cs="Calibri"/>
                <w:color w:val="000000" w:themeColor="text1"/>
                <w:sz w:val="16"/>
                <w:szCs w:val="16"/>
              </w:rPr>
              <w:t>Case 12.994, Report Nº 79/15, Bernardo Aban Tercero (</w:t>
            </w:r>
            <w:r w:rsidRPr="00D677DB">
              <w:rPr>
                <w:rFonts w:ascii="Cambria" w:hAnsi="Cambria" w:cs="Calibri"/>
                <w:bCs/>
                <w:color w:val="000000" w:themeColor="text1"/>
                <w:sz w:val="16"/>
                <w:szCs w:val="16"/>
              </w:rPr>
              <w:t>United States)</w:t>
            </w:r>
          </w:p>
        </w:tc>
        <w:tc>
          <w:tcPr>
            <w:tcW w:w="577" w:type="pct"/>
            <w:shd w:val="clear" w:color="auto" w:fill="E7E6E6" w:themeFill="background2"/>
            <w:vAlign w:val="center"/>
          </w:tcPr>
          <w:p w14:paraId="1829060B"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45">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8D9906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D850F3D"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4A678F2"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17A90F8"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6181E48"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DE0F605" w14:textId="77777777" w:rsidTr="3E2B1321">
        <w:trPr>
          <w:trHeight w:val="30"/>
        </w:trPr>
        <w:tc>
          <w:tcPr>
            <w:tcW w:w="962" w:type="pct"/>
            <w:shd w:val="clear" w:color="auto" w:fill="E7E6E6" w:themeFill="background2"/>
          </w:tcPr>
          <w:p w14:paraId="4246C847" w14:textId="5BAAA09D" w:rsidR="0096378F" w:rsidRPr="00E14582" w:rsidRDefault="0096378F" w:rsidP="3E2B1321">
            <w:pPr>
              <w:rPr>
                <w:rFonts w:ascii="Cambria" w:hAnsi="Cambria" w:cs="Calibri"/>
                <w:color w:val="000000" w:themeColor="text1"/>
                <w:sz w:val="16"/>
                <w:szCs w:val="16"/>
              </w:rPr>
            </w:pPr>
            <w:r w:rsidRPr="00E14582">
              <w:rPr>
                <w:rFonts w:ascii="Cambria" w:hAnsi="Cambria" w:cs="Calibri"/>
                <w:color w:val="000000" w:themeColor="text1"/>
                <w:sz w:val="16"/>
                <w:szCs w:val="16"/>
              </w:rPr>
              <w:t xml:space="preserve">Case 12.834, Report Nº 50/16, </w:t>
            </w:r>
            <w:r w:rsidR="1E9D6E80" w:rsidRPr="00E14582">
              <w:rPr>
                <w:rFonts w:ascii="Cambria" w:hAnsi="Cambria" w:cs="Calibri"/>
                <w:color w:val="000000" w:themeColor="text1"/>
                <w:sz w:val="16"/>
                <w:szCs w:val="16"/>
              </w:rPr>
              <w:t>Undocumented Workers</w:t>
            </w:r>
            <w:r w:rsidRPr="00E14582">
              <w:rPr>
                <w:rFonts w:ascii="Cambria" w:hAnsi="Cambria" w:cs="Calibri"/>
                <w:color w:val="000000" w:themeColor="text1"/>
                <w:sz w:val="16"/>
                <w:szCs w:val="16"/>
              </w:rPr>
              <w:t xml:space="preserve"> (United States)</w:t>
            </w:r>
          </w:p>
        </w:tc>
        <w:tc>
          <w:tcPr>
            <w:tcW w:w="577" w:type="pct"/>
            <w:shd w:val="clear" w:color="auto" w:fill="E7E6E6" w:themeFill="background2"/>
            <w:vAlign w:val="center"/>
          </w:tcPr>
          <w:p w14:paraId="307E1274"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46">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F96AAA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21CCF10"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64053EF"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0CE0B75F"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23E75CD4"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D3E8318" w14:textId="77777777" w:rsidTr="3E2B1321">
        <w:trPr>
          <w:trHeight w:val="37"/>
        </w:trPr>
        <w:tc>
          <w:tcPr>
            <w:tcW w:w="962" w:type="pct"/>
            <w:shd w:val="clear" w:color="auto" w:fill="E7E6E6" w:themeFill="background2"/>
          </w:tcPr>
          <w:p w14:paraId="3A4B292F" w14:textId="77777777" w:rsidR="0096378F" w:rsidRPr="00D677DB" w:rsidRDefault="0096378F">
            <w:pPr>
              <w:rPr>
                <w:rFonts w:ascii="Cambria" w:hAnsi="Cambria" w:cs="Calibri"/>
                <w:color w:val="000000" w:themeColor="text1"/>
                <w:sz w:val="16"/>
                <w:szCs w:val="16"/>
              </w:rPr>
            </w:pPr>
            <w:r w:rsidRPr="00D677DB">
              <w:rPr>
                <w:rFonts w:ascii="Cambria" w:hAnsi="Cambria" w:cs="Calibri"/>
                <w:color w:val="000000" w:themeColor="text1"/>
                <w:sz w:val="16"/>
                <w:szCs w:val="16"/>
              </w:rPr>
              <w:t>Case 12.254, Report Nº 24/17, Víctor Hugo Saldaño (United States)</w:t>
            </w:r>
          </w:p>
        </w:tc>
        <w:tc>
          <w:tcPr>
            <w:tcW w:w="577" w:type="pct"/>
            <w:shd w:val="clear" w:color="auto" w:fill="E7E6E6" w:themeFill="background2"/>
            <w:vAlign w:val="center"/>
          </w:tcPr>
          <w:p w14:paraId="7077C437"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47">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3DAF718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EA26810"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77EED81"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2B6A307A"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23D27E28"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3FFA7A1" w14:textId="77777777" w:rsidTr="3E2B1321">
        <w:trPr>
          <w:trHeight w:val="37"/>
        </w:trPr>
        <w:tc>
          <w:tcPr>
            <w:tcW w:w="962" w:type="pct"/>
            <w:shd w:val="clear" w:color="auto" w:fill="E7E6E6" w:themeFill="background2"/>
          </w:tcPr>
          <w:p w14:paraId="42382342" w14:textId="77777777" w:rsidR="0096378F" w:rsidRPr="00D677DB" w:rsidRDefault="0096378F">
            <w:pPr>
              <w:rPr>
                <w:rFonts w:ascii="Cambria" w:hAnsi="Cambria" w:cs="Calibri"/>
                <w:color w:val="000000" w:themeColor="text1"/>
                <w:sz w:val="16"/>
                <w:szCs w:val="16"/>
              </w:rPr>
            </w:pPr>
            <w:r w:rsidRPr="004A4A36">
              <w:rPr>
                <w:rFonts w:ascii="Cambria" w:hAnsi="Cambria" w:cs="Calibri"/>
                <w:color w:val="000000" w:themeColor="text1"/>
                <w:sz w:val="16"/>
                <w:szCs w:val="16"/>
              </w:rPr>
              <w:t xml:space="preserve">Case 10.573, Merits Report Nº 121/18, José Isabel Salas Galindo et al. </w:t>
            </w:r>
            <w:r>
              <w:rPr>
                <w:rFonts w:ascii="Cambria" w:hAnsi="Cambria" w:cs="Calibri"/>
                <w:color w:val="000000" w:themeColor="text1"/>
                <w:sz w:val="16"/>
                <w:szCs w:val="16"/>
              </w:rPr>
              <w:t>(</w:t>
            </w:r>
            <w:r w:rsidRPr="00D677DB">
              <w:rPr>
                <w:rFonts w:ascii="Cambria" w:hAnsi="Cambria" w:cs="Calibri"/>
                <w:bCs/>
                <w:color w:val="000000" w:themeColor="text1"/>
                <w:sz w:val="16"/>
                <w:szCs w:val="16"/>
              </w:rPr>
              <w:t>United States)</w:t>
            </w:r>
          </w:p>
        </w:tc>
        <w:tc>
          <w:tcPr>
            <w:tcW w:w="577" w:type="pct"/>
            <w:shd w:val="clear" w:color="auto" w:fill="E7E6E6" w:themeFill="background2"/>
            <w:vAlign w:val="center"/>
          </w:tcPr>
          <w:p w14:paraId="7EAD7842"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48">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5FEB81A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8D998F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ECD3502"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2177774D"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7F289C43"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EFE4393" w14:textId="77777777" w:rsidTr="3E2B1321">
        <w:trPr>
          <w:trHeight w:val="37"/>
        </w:trPr>
        <w:tc>
          <w:tcPr>
            <w:tcW w:w="962" w:type="pct"/>
            <w:shd w:val="clear" w:color="auto" w:fill="E7E6E6" w:themeFill="background2"/>
          </w:tcPr>
          <w:p w14:paraId="11CEBDE8" w14:textId="77777777" w:rsidR="0096378F" w:rsidRPr="00D677DB" w:rsidRDefault="0096378F">
            <w:pPr>
              <w:rPr>
                <w:rFonts w:ascii="Cambria" w:hAnsi="Cambria" w:cs="Calibri"/>
                <w:color w:val="000000" w:themeColor="text1"/>
                <w:sz w:val="16"/>
                <w:szCs w:val="16"/>
              </w:rPr>
            </w:pPr>
            <w:r w:rsidRPr="00D677DB">
              <w:rPr>
                <w:rFonts w:ascii="Cambria" w:hAnsi="Cambria" w:cs="Calibri"/>
                <w:color w:val="000000" w:themeColor="text1"/>
                <w:sz w:val="16"/>
                <w:szCs w:val="16"/>
              </w:rPr>
              <w:t xml:space="preserve">Case 12.958, </w:t>
            </w:r>
            <w:r>
              <w:rPr>
                <w:rFonts w:ascii="Cambria" w:hAnsi="Cambria" w:cs="Calibri"/>
                <w:color w:val="000000" w:themeColor="text1"/>
                <w:sz w:val="16"/>
                <w:szCs w:val="16"/>
              </w:rPr>
              <w:t>Merits Report</w:t>
            </w:r>
            <w:r w:rsidRPr="00D677DB">
              <w:rPr>
                <w:rFonts w:ascii="Cambria" w:hAnsi="Cambria" w:cs="Calibri"/>
                <w:color w:val="000000" w:themeColor="text1"/>
                <w:sz w:val="16"/>
                <w:szCs w:val="16"/>
              </w:rPr>
              <w:t xml:space="preserve"> Nº 71/18, Russell Bucklew (</w:t>
            </w:r>
            <w:r w:rsidRPr="00D677DB">
              <w:rPr>
                <w:rFonts w:ascii="Cambria" w:hAnsi="Cambria" w:cs="Calibri"/>
                <w:bCs/>
                <w:color w:val="000000" w:themeColor="text1"/>
                <w:sz w:val="16"/>
                <w:szCs w:val="16"/>
              </w:rPr>
              <w:t>United States)</w:t>
            </w:r>
          </w:p>
        </w:tc>
        <w:tc>
          <w:tcPr>
            <w:tcW w:w="577" w:type="pct"/>
            <w:shd w:val="clear" w:color="auto" w:fill="E7E6E6" w:themeFill="background2"/>
            <w:vAlign w:val="center"/>
          </w:tcPr>
          <w:p w14:paraId="43582EC5"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49">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9070BF7"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E62D8C0"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1220550"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11326D16"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568FA01C"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3AA7344" w14:textId="77777777" w:rsidTr="3E2B1321">
        <w:trPr>
          <w:trHeight w:val="37"/>
        </w:trPr>
        <w:tc>
          <w:tcPr>
            <w:tcW w:w="962" w:type="pct"/>
            <w:shd w:val="clear" w:color="auto" w:fill="E7E6E6" w:themeFill="background2"/>
          </w:tcPr>
          <w:p w14:paraId="5B73480D" w14:textId="77777777" w:rsidR="0096378F" w:rsidRPr="00D677DB" w:rsidRDefault="0096378F">
            <w:pPr>
              <w:rPr>
                <w:rFonts w:ascii="Cambria" w:hAnsi="Cambria" w:cs="Calibri"/>
                <w:color w:val="000000" w:themeColor="text1"/>
                <w:sz w:val="16"/>
                <w:szCs w:val="16"/>
              </w:rPr>
            </w:pPr>
            <w:bookmarkStart w:id="31" w:name="_Hlk91002286"/>
            <w:r w:rsidRPr="00D677DB">
              <w:rPr>
                <w:rFonts w:ascii="Cambria" w:hAnsi="Cambria" w:cs="Calibri"/>
                <w:color w:val="000000" w:themeColor="text1"/>
                <w:sz w:val="16"/>
                <w:szCs w:val="16"/>
              </w:rPr>
              <w:t xml:space="preserve">Case 13.570, </w:t>
            </w:r>
            <w:r>
              <w:rPr>
                <w:rFonts w:ascii="Cambria" w:hAnsi="Cambria" w:cs="Calibri"/>
                <w:color w:val="000000" w:themeColor="text1"/>
                <w:sz w:val="16"/>
                <w:szCs w:val="16"/>
              </w:rPr>
              <w:t>Merits Report</w:t>
            </w:r>
            <w:r w:rsidRPr="00D677DB">
              <w:rPr>
                <w:rFonts w:ascii="Cambria" w:hAnsi="Cambria" w:cs="Calibri"/>
                <w:color w:val="000000" w:themeColor="text1"/>
                <w:sz w:val="16"/>
                <w:szCs w:val="16"/>
              </w:rPr>
              <w:t xml:space="preserve"> Nº 211/20, </w:t>
            </w:r>
            <w:r w:rsidRPr="00D677DB">
              <w:rPr>
                <w:rFonts w:ascii="Cambria" w:hAnsi="Cambria"/>
                <w:color w:val="000000" w:themeColor="text1"/>
                <w:sz w:val="16"/>
                <w:szCs w:val="16"/>
              </w:rPr>
              <w:t xml:space="preserve">Lezmond C. Mitchell </w:t>
            </w:r>
            <w:r w:rsidRPr="00D677DB">
              <w:rPr>
                <w:rFonts w:ascii="Cambria" w:hAnsi="Cambria" w:cs="Calibri"/>
                <w:color w:val="000000" w:themeColor="text1"/>
                <w:sz w:val="16"/>
                <w:szCs w:val="16"/>
              </w:rPr>
              <w:t>(</w:t>
            </w:r>
            <w:r w:rsidRPr="00D677DB">
              <w:rPr>
                <w:rFonts w:ascii="Cambria" w:hAnsi="Cambria" w:cs="Calibri"/>
                <w:bCs/>
                <w:color w:val="000000" w:themeColor="text1"/>
                <w:sz w:val="16"/>
                <w:szCs w:val="16"/>
              </w:rPr>
              <w:t>United States)</w:t>
            </w:r>
            <w:r w:rsidRPr="00D677DB">
              <w:rPr>
                <w:rFonts w:ascii="Cambria" w:hAnsi="Cambria"/>
                <w:color w:val="000000" w:themeColor="text1"/>
                <w:sz w:val="16"/>
                <w:szCs w:val="16"/>
              </w:rPr>
              <w:t xml:space="preserve"> </w:t>
            </w:r>
            <w:bookmarkEnd w:id="31"/>
          </w:p>
        </w:tc>
        <w:tc>
          <w:tcPr>
            <w:tcW w:w="577" w:type="pct"/>
            <w:shd w:val="clear" w:color="auto" w:fill="E7E6E6" w:themeFill="background2"/>
            <w:vAlign w:val="center"/>
          </w:tcPr>
          <w:p w14:paraId="709FF8E8"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50">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41CC27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E5DDF9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257AE2D"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48C1B3A9"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4A1646E4" w14:textId="77777777" w:rsidR="0096378F" w:rsidRPr="0093583F" w:rsidRDefault="0096378F">
            <w:pPr>
              <w:jc w:val="center"/>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Open</w:t>
            </w:r>
          </w:p>
        </w:tc>
      </w:tr>
      <w:tr w:rsidR="0096378F" w:rsidRPr="0093583F" w14:paraId="3257585A" w14:textId="77777777" w:rsidTr="3E2B1321">
        <w:trPr>
          <w:trHeight w:val="37"/>
        </w:trPr>
        <w:tc>
          <w:tcPr>
            <w:tcW w:w="962" w:type="pct"/>
            <w:shd w:val="clear" w:color="auto" w:fill="E7E6E6" w:themeFill="background2"/>
          </w:tcPr>
          <w:p w14:paraId="4D14DAC2" w14:textId="6D261853" w:rsidR="0096378F" w:rsidRPr="004A4A36" w:rsidRDefault="0096378F" w:rsidP="3E2B1321">
            <w:pPr>
              <w:spacing w:before="120"/>
              <w:jc w:val="both"/>
              <w:rPr>
                <w:rFonts w:ascii="Cambria" w:eastAsia="Times New Roman" w:hAnsi="Cambria"/>
                <w:b/>
                <w:bCs/>
                <w:color w:val="000000" w:themeColor="text1"/>
                <w:sz w:val="16"/>
                <w:szCs w:val="16"/>
              </w:rPr>
            </w:pPr>
            <w:bookmarkStart w:id="32" w:name="_Hlk91002290"/>
            <w:r w:rsidRPr="3E2B1321">
              <w:rPr>
                <w:rFonts w:ascii="Cambria" w:hAnsi="Cambria" w:cs="Calibri"/>
                <w:color w:val="000000" w:themeColor="text1"/>
                <w:sz w:val="16"/>
                <w:szCs w:val="16"/>
              </w:rPr>
              <w:t>Case 13.361, Merits Report Nº 2</w:t>
            </w:r>
            <w:r w:rsidR="52DE954D" w:rsidRPr="3E2B1321">
              <w:rPr>
                <w:rFonts w:ascii="Cambria" w:hAnsi="Cambria" w:cs="Calibri"/>
                <w:color w:val="000000" w:themeColor="text1"/>
                <w:sz w:val="16"/>
                <w:szCs w:val="16"/>
              </w:rPr>
              <w:t>1</w:t>
            </w:r>
            <w:r w:rsidRPr="3E2B1321">
              <w:rPr>
                <w:rFonts w:ascii="Cambria" w:hAnsi="Cambria" w:cs="Calibri"/>
                <w:color w:val="000000" w:themeColor="text1"/>
                <w:sz w:val="16"/>
                <w:szCs w:val="16"/>
              </w:rPr>
              <w:t xml:space="preserve">0/20, </w:t>
            </w:r>
            <w:r w:rsidRPr="3E2B1321">
              <w:rPr>
                <w:rFonts w:ascii="Cambria" w:eastAsia="Times New Roman" w:hAnsi="Cambria"/>
                <w:color w:val="000000" w:themeColor="text1"/>
                <w:sz w:val="16"/>
                <w:szCs w:val="16"/>
              </w:rPr>
              <w:t xml:space="preserve">Julius Omar Robinson </w:t>
            </w:r>
            <w:r w:rsidRPr="3E2B1321">
              <w:rPr>
                <w:rFonts w:ascii="Cambria" w:hAnsi="Cambria" w:cs="Calibri"/>
                <w:color w:val="000000" w:themeColor="text1"/>
                <w:sz w:val="16"/>
                <w:szCs w:val="16"/>
              </w:rPr>
              <w:t>(United States)</w:t>
            </w:r>
            <w:bookmarkEnd w:id="32"/>
          </w:p>
        </w:tc>
        <w:tc>
          <w:tcPr>
            <w:tcW w:w="577" w:type="pct"/>
            <w:shd w:val="clear" w:color="auto" w:fill="E7E6E6" w:themeFill="background2"/>
            <w:vAlign w:val="center"/>
          </w:tcPr>
          <w:p w14:paraId="34192343"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51">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36A9290"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A85744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CC9C891"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04202C2F"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614BC1D1" w14:textId="77777777" w:rsidR="0096378F" w:rsidRPr="0093583F" w:rsidRDefault="0096378F">
            <w:pPr>
              <w:jc w:val="center"/>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Open</w:t>
            </w:r>
          </w:p>
        </w:tc>
      </w:tr>
      <w:tr w:rsidR="0096378F" w:rsidRPr="0093583F" w14:paraId="0FF39DA5" w14:textId="77777777" w:rsidTr="3E2B1321">
        <w:trPr>
          <w:trHeight w:val="37"/>
        </w:trPr>
        <w:tc>
          <w:tcPr>
            <w:tcW w:w="962" w:type="pct"/>
            <w:shd w:val="clear" w:color="auto" w:fill="E7E6E6" w:themeFill="background2"/>
          </w:tcPr>
          <w:p w14:paraId="5BE53DF9" w14:textId="77777777" w:rsidR="0096378F" w:rsidRPr="004A4A36" w:rsidRDefault="0096378F">
            <w:pPr>
              <w:rPr>
                <w:rFonts w:ascii="Cambria" w:hAnsi="Cambria" w:cs="Calibri"/>
                <w:color w:val="000000" w:themeColor="text1"/>
                <w:sz w:val="16"/>
                <w:szCs w:val="16"/>
              </w:rPr>
            </w:pPr>
            <w:bookmarkStart w:id="33" w:name="_Hlk90999666"/>
            <w:bookmarkStart w:id="34" w:name="_Hlk91084727"/>
            <w:r w:rsidRPr="004A4A36">
              <w:rPr>
                <w:rFonts w:ascii="Cambria" w:hAnsi="Cambria" w:cs="Calibri"/>
                <w:color w:val="000000" w:themeColor="text1"/>
                <w:sz w:val="16"/>
                <w:szCs w:val="16"/>
              </w:rPr>
              <w:lastRenderedPageBreak/>
              <w:t xml:space="preserve">Case 13.356, Merits Report Nº 200/20, </w:t>
            </w:r>
            <w:r w:rsidRPr="004A4A36">
              <w:rPr>
                <w:rFonts w:ascii="Cambria" w:hAnsi="Cambria"/>
                <w:bCs/>
                <w:color w:val="000000" w:themeColor="text1"/>
                <w:sz w:val="16"/>
                <w:szCs w:val="16"/>
              </w:rPr>
              <w:t xml:space="preserve">Nelson Iván Serrano Sáenz </w:t>
            </w:r>
            <w:r w:rsidRPr="004A4A36">
              <w:rPr>
                <w:rFonts w:ascii="Cambria" w:hAnsi="Cambria" w:cs="Calibri"/>
                <w:color w:val="000000" w:themeColor="text1"/>
                <w:sz w:val="16"/>
                <w:szCs w:val="16"/>
              </w:rPr>
              <w:t>(</w:t>
            </w:r>
            <w:r w:rsidRPr="004A4A36">
              <w:rPr>
                <w:rFonts w:ascii="Cambria" w:hAnsi="Cambria" w:cs="Calibri"/>
                <w:bCs/>
                <w:color w:val="000000" w:themeColor="text1"/>
                <w:sz w:val="16"/>
                <w:szCs w:val="16"/>
              </w:rPr>
              <w:t>United States)</w:t>
            </w:r>
            <w:bookmarkEnd w:id="33"/>
          </w:p>
        </w:tc>
        <w:tc>
          <w:tcPr>
            <w:tcW w:w="577" w:type="pct"/>
            <w:shd w:val="clear" w:color="auto" w:fill="E7E6E6" w:themeFill="background2"/>
            <w:vAlign w:val="center"/>
          </w:tcPr>
          <w:p w14:paraId="04876C07"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52">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5A47F19A"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50C8F7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DE89F00"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028838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D4A217E" w14:textId="77777777" w:rsidR="0096378F" w:rsidRPr="0093583F" w:rsidRDefault="0096378F">
            <w:pPr>
              <w:jc w:val="center"/>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Open</w:t>
            </w:r>
          </w:p>
        </w:tc>
      </w:tr>
      <w:tr w:rsidR="0096378F" w:rsidRPr="0093583F" w14:paraId="3156B51D" w14:textId="77777777" w:rsidTr="3E2B1321">
        <w:trPr>
          <w:trHeight w:val="37"/>
        </w:trPr>
        <w:tc>
          <w:tcPr>
            <w:tcW w:w="962" w:type="pct"/>
            <w:shd w:val="clear" w:color="auto" w:fill="E7E6E6" w:themeFill="background2"/>
          </w:tcPr>
          <w:p w14:paraId="0FF36DA7" w14:textId="77777777" w:rsidR="0096378F" w:rsidRPr="00D677DB" w:rsidRDefault="0096378F">
            <w:pPr>
              <w:rPr>
                <w:rFonts w:ascii="Cambria" w:hAnsi="Cambria" w:cs="Calibri"/>
                <w:color w:val="000000" w:themeColor="text1"/>
                <w:sz w:val="16"/>
                <w:szCs w:val="16"/>
              </w:rPr>
            </w:pPr>
            <w:bookmarkStart w:id="35" w:name="_Hlk91002299"/>
            <w:bookmarkEnd w:id="34"/>
            <w:r w:rsidRPr="00D677DB">
              <w:rPr>
                <w:rFonts w:ascii="Cambria" w:hAnsi="Cambria" w:cs="Calibri"/>
                <w:color w:val="000000" w:themeColor="text1"/>
                <w:sz w:val="16"/>
                <w:szCs w:val="16"/>
              </w:rPr>
              <w:t xml:space="preserve">Case 12.865, </w:t>
            </w:r>
            <w:r>
              <w:rPr>
                <w:rFonts w:ascii="Cambria" w:hAnsi="Cambria" w:cs="Calibri"/>
                <w:color w:val="000000" w:themeColor="text1"/>
                <w:sz w:val="16"/>
                <w:szCs w:val="16"/>
              </w:rPr>
              <w:t>Merits Report</w:t>
            </w:r>
            <w:r w:rsidRPr="00D677DB">
              <w:rPr>
                <w:rFonts w:ascii="Cambria" w:hAnsi="Cambria" w:cs="Calibri"/>
                <w:color w:val="000000" w:themeColor="text1"/>
                <w:sz w:val="16"/>
                <w:szCs w:val="16"/>
              </w:rPr>
              <w:t xml:space="preserve"> Nº 29/20, </w:t>
            </w:r>
            <w:r w:rsidRPr="00D677DB">
              <w:rPr>
                <w:rFonts w:ascii="Cambria" w:hAnsi="Cambria"/>
                <w:bCs/>
                <w:color w:val="000000" w:themeColor="text1"/>
                <w:sz w:val="16"/>
                <w:szCs w:val="16"/>
              </w:rPr>
              <w:t xml:space="preserve">Djamel Ameziane </w:t>
            </w:r>
            <w:r w:rsidRPr="00D677DB">
              <w:rPr>
                <w:rFonts w:ascii="Cambria" w:hAnsi="Cambria" w:cs="Calibri"/>
                <w:color w:val="000000" w:themeColor="text1"/>
                <w:sz w:val="16"/>
                <w:szCs w:val="16"/>
              </w:rPr>
              <w:t>(</w:t>
            </w:r>
            <w:r w:rsidRPr="00D677DB">
              <w:rPr>
                <w:rFonts w:ascii="Cambria" w:hAnsi="Cambria" w:cs="Calibri"/>
                <w:bCs/>
                <w:color w:val="000000" w:themeColor="text1"/>
                <w:sz w:val="16"/>
                <w:szCs w:val="16"/>
              </w:rPr>
              <w:t>United States)</w:t>
            </w:r>
            <w:bookmarkEnd w:id="35"/>
          </w:p>
        </w:tc>
        <w:tc>
          <w:tcPr>
            <w:tcW w:w="577" w:type="pct"/>
            <w:shd w:val="clear" w:color="auto" w:fill="E7E6E6" w:themeFill="background2"/>
            <w:vAlign w:val="center"/>
          </w:tcPr>
          <w:p w14:paraId="08C267AE"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53">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51020AE"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6C27BF7"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E1A9AE2"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7DB49628"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13F1765E" w14:textId="77777777" w:rsidR="0096378F" w:rsidRPr="0093583F" w:rsidRDefault="0096378F">
            <w:pPr>
              <w:jc w:val="center"/>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Open</w:t>
            </w:r>
          </w:p>
        </w:tc>
      </w:tr>
      <w:tr w:rsidR="0096378F" w:rsidRPr="0093583F" w14:paraId="5E3713DC" w14:textId="77777777" w:rsidTr="3E2B1321">
        <w:trPr>
          <w:trHeight w:val="37"/>
        </w:trPr>
        <w:tc>
          <w:tcPr>
            <w:tcW w:w="962" w:type="pct"/>
            <w:shd w:val="clear" w:color="auto" w:fill="E7E6E6" w:themeFill="background2"/>
          </w:tcPr>
          <w:p w14:paraId="666EDF84" w14:textId="77777777" w:rsidR="0096378F" w:rsidRPr="00D677DB" w:rsidRDefault="0096378F">
            <w:pPr>
              <w:rPr>
                <w:rFonts w:ascii="Cambria" w:hAnsi="Cambria" w:cs="Calibri"/>
                <w:color w:val="000000" w:themeColor="text1"/>
                <w:sz w:val="16"/>
                <w:szCs w:val="16"/>
              </w:rPr>
            </w:pPr>
            <w:bookmarkStart w:id="36" w:name="_Hlk91002303"/>
            <w:r w:rsidRPr="00D677DB">
              <w:rPr>
                <w:rFonts w:ascii="Cambria" w:hAnsi="Cambria" w:cs="Calibri"/>
                <w:color w:val="000000" w:themeColor="text1"/>
                <w:sz w:val="16"/>
                <w:szCs w:val="16"/>
              </w:rPr>
              <w:t xml:space="preserve">Case 12.719, </w:t>
            </w:r>
            <w:r>
              <w:rPr>
                <w:rFonts w:ascii="Cambria" w:hAnsi="Cambria" w:cs="Calibri"/>
                <w:color w:val="000000" w:themeColor="text1"/>
                <w:sz w:val="16"/>
                <w:szCs w:val="16"/>
              </w:rPr>
              <w:t>Merits Report</w:t>
            </w:r>
            <w:r w:rsidRPr="00D677DB">
              <w:rPr>
                <w:rFonts w:ascii="Cambria" w:hAnsi="Cambria" w:cs="Calibri"/>
                <w:color w:val="000000" w:themeColor="text1"/>
                <w:sz w:val="16"/>
                <w:szCs w:val="16"/>
              </w:rPr>
              <w:t xml:space="preserve"> Nº 28/20, </w:t>
            </w:r>
            <w:r w:rsidRPr="00D677DB">
              <w:rPr>
                <w:rFonts w:ascii="Cambria" w:hAnsi="Cambria"/>
                <w:bCs/>
                <w:color w:val="000000" w:themeColor="text1"/>
                <w:sz w:val="16"/>
                <w:szCs w:val="16"/>
              </w:rPr>
              <w:t xml:space="preserve">Orlando Cordia Hall </w:t>
            </w:r>
            <w:r w:rsidRPr="00D677DB">
              <w:rPr>
                <w:rFonts w:ascii="Cambria" w:hAnsi="Cambria" w:cs="Calibri"/>
                <w:color w:val="000000" w:themeColor="text1"/>
                <w:sz w:val="16"/>
                <w:szCs w:val="16"/>
              </w:rPr>
              <w:t>(</w:t>
            </w:r>
            <w:r w:rsidRPr="00D677DB">
              <w:rPr>
                <w:rFonts w:ascii="Cambria" w:hAnsi="Cambria" w:cs="Calibri"/>
                <w:bCs/>
                <w:color w:val="000000" w:themeColor="text1"/>
                <w:sz w:val="16"/>
                <w:szCs w:val="16"/>
              </w:rPr>
              <w:t>United States)</w:t>
            </w:r>
            <w:bookmarkEnd w:id="36"/>
          </w:p>
        </w:tc>
        <w:tc>
          <w:tcPr>
            <w:tcW w:w="577" w:type="pct"/>
            <w:shd w:val="clear" w:color="auto" w:fill="E7E6E6" w:themeFill="background2"/>
            <w:vAlign w:val="center"/>
          </w:tcPr>
          <w:p w14:paraId="4681BDD1"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54">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A5BE63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29BF6BE"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455AF5E"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0635628C"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49124D94" w14:textId="77777777" w:rsidR="0096378F" w:rsidRPr="0093583F" w:rsidRDefault="0096378F">
            <w:pPr>
              <w:jc w:val="center"/>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Open</w:t>
            </w:r>
          </w:p>
        </w:tc>
      </w:tr>
      <w:tr w:rsidR="0096378F" w:rsidRPr="0093583F" w14:paraId="7A2FC619" w14:textId="77777777" w:rsidTr="3E2B1321">
        <w:trPr>
          <w:trHeight w:val="37"/>
        </w:trPr>
        <w:tc>
          <w:tcPr>
            <w:tcW w:w="962" w:type="pct"/>
            <w:shd w:val="clear" w:color="auto" w:fill="E7E6E6" w:themeFill="background2"/>
          </w:tcPr>
          <w:p w14:paraId="0201CABF" w14:textId="77777777" w:rsidR="0096378F" w:rsidRPr="00D677DB" w:rsidRDefault="0096378F">
            <w:pPr>
              <w:rPr>
                <w:rFonts w:ascii="Cambria" w:hAnsi="Cambria" w:cs="Calibri"/>
                <w:color w:val="000000" w:themeColor="text1"/>
                <w:sz w:val="16"/>
                <w:szCs w:val="16"/>
              </w:rPr>
            </w:pPr>
            <w:bookmarkStart w:id="37" w:name="_Hlk91002308"/>
            <w:r w:rsidRPr="00D677DB">
              <w:rPr>
                <w:rFonts w:ascii="Cambria" w:hAnsi="Cambria" w:cs="Calibri"/>
                <w:color w:val="000000" w:themeColor="text1"/>
                <w:sz w:val="16"/>
                <w:szCs w:val="16"/>
              </w:rPr>
              <w:t xml:space="preserve">Case 12.754, </w:t>
            </w:r>
            <w:r>
              <w:rPr>
                <w:rFonts w:ascii="Cambria" w:hAnsi="Cambria" w:cs="Calibri"/>
                <w:color w:val="000000" w:themeColor="text1"/>
                <w:sz w:val="16"/>
                <w:szCs w:val="16"/>
              </w:rPr>
              <w:t>Merits Report</w:t>
            </w:r>
            <w:r w:rsidRPr="00D677DB">
              <w:rPr>
                <w:rFonts w:ascii="Cambria" w:hAnsi="Cambria" w:cs="Calibri"/>
                <w:color w:val="000000" w:themeColor="text1"/>
                <w:sz w:val="16"/>
                <w:szCs w:val="16"/>
              </w:rPr>
              <w:t xml:space="preserve"> Nº 27/20, </w:t>
            </w:r>
            <w:r w:rsidRPr="00D677DB">
              <w:rPr>
                <w:rFonts w:ascii="Cambria" w:hAnsi="Cambria"/>
                <w:bCs/>
                <w:color w:val="000000" w:themeColor="text1"/>
                <w:sz w:val="16"/>
                <w:szCs w:val="16"/>
              </w:rPr>
              <w:t xml:space="preserve">Nvwtohiyada Idehesdi Sequoyah </w:t>
            </w:r>
            <w:r w:rsidRPr="00D677DB">
              <w:rPr>
                <w:rFonts w:ascii="Cambria" w:hAnsi="Cambria" w:cs="Calibri"/>
                <w:color w:val="000000" w:themeColor="text1"/>
                <w:sz w:val="16"/>
                <w:szCs w:val="16"/>
              </w:rPr>
              <w:t>(</w:t>
            </w:r>
            <w:r w:rsidRPr="00D677DB">
              <w:rPr>
                <w:rFonts w:ascii="Cambria" w:hAnsi="Cambria" w:cs="Calibri"/>
                <w:bCs/>
                <w:color w:val="000000" w:themeColor="text1"/>
                <w:sz w:val="16"/>
                <w:szCs w:val="16"/>
              </w:rPr>
              <w:t>United States)</w:t>
            </w:r>
            <w:bookmarkEnd w:id="37"/>
          </w:p>
        </w:tc>
        <w:tc>
          <w:tcPr>
            <w:tcW w:w="577" w:type="pct"/>
            <w:shd w:val="clear" w:color="auto" w:fill="E7E6E6" w:themeFill="background2"/>
            <w:vAlign w:val="center"/>
          </w:tcPr>
          <w:p w14:paraId="19CBC37A"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55">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3916DABE"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CD27714"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12EFBC0"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327CEB83"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7D63D6AE" w14:textId="77777777" w:rsidR="0096378F" w:rsidRPr="0093583F" w:rsidRDefault="0096378F">
            <w:pPr>
              <w:jc w:val="center"/>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Open</w:t>
            </w:r>
          </w:p>
        </w:tc>
      </w:tr>
      <w:tr w:rsidR="0096378F" w:rsidRPr="0093583F" w14:paraId="5EF21CC5" w14:textId="77777777" w:rsidTr="3E2B1321">
        <w:trPr>
          <w:trHeight w:val="37"/>
        </w:trPr>
        <w:tc>
          <w:tcPr>
            <w:tcW w:w="962" w:type="pct"/>
            <w:shd w:val="clear" w:color="auto" w:fill="E7E6E6" w:themeFill="background2"/>
          </w:tcPr>
          <w:p w14:paraId="15CF94B6" w14:textId="77777777" w:rsidR="0096378F" w:rsidRPr="004A4A36" w:rsidRDefault="0096378F">
            <w:pPr>
              <w:rPr>
                <w:rFonts w:ascii="Cambria" w:hAnsi="Cambria" w:cs="Calibri"/>
                <w:color w:val="000000" w:themeColor="text1"/>
                <w:sz w:val="16"/>
                <w:szCs w:val="16"/>
              </w:rPr>
            </w:pPr>
            <w:bookmarkStart w:id="38" w:name="_Hlk91002313"/>
            <w:r w:rsidRPr="004A4A36">
              <w:rPr>
                <w:rFonts w:ascii="Cambria" w:hAnsi="Cambria" w:cs="Calibri"/>
                <w:color w:val="000000" w:themeColor="text1"/>
                <w:sz w:val="16"/>
                <w:szCs w:val="16"/>
              </w:rPr>
              <w:t xml:space="preserve">Case 12.545, Merits Report Nº 26/20, </w:t>
            </w:r>
            <w:r w:rsidRPr="004A4A36">
              <w:rPr>
                <w:rFonts w:ascii="Cambria" w:hAnsi="Cambria"/>
                <w:bCs/>
                <w:color w:val="000000" w:themeColor="text1"/>
                <w:sz w:val="16"/>
                <w:szCs w:val="16"/>
              </w:rPr>
              <w:t xml:space="preserve">Isamu Carlos Shibayama, Kenichi Javier Shibayama, Takeshi Jorge Shibayama </w:t>
            </w:r>
            <w:r w:rsidRPr="004A4A36">
              <w:rPr>
                <w:rFonts w:ascii="Cambria" w:hAnsi="Cambria" w:cs="Calibri"/>
                <w:color w:val="000000" w:themeColor="text1"/>
                <w:sz w:val="16"/>
                <w:szCs w:val="16"/>
              </w:rPr>
              <w:t>(</w:t>
            </w:r>
            <w:r w:rsidRPr="004A4A36">
              <w:rPr>
                <w:rFonts w:ascii="Cambria" w:hAnsi="Cambria" w:cs="Calibri"/>
                <w:bCs/>
                <w:color w:val="000000" w:themeColor="text1"/>
                <w:sz w:val="16"/>
                <w:szCs w:val="16"/>
              </w:rPr>
              <w:t>United States)</w:t>
            </w:r>
            <w:bookmarkEnd w:id="38"/>
          </w:p>
        </w:tc>
        <w:tc>
          <w:tcPr>
            <w:tcW w:w="577" w:type="pct"/>
            <w:shd w:val="clear" w:color="auto" w:fill="E7E6E6" w:themeFill="background2"/>
            <w:vAlign w:val="center"/>
          </w:tcPr>
          <w:p w14:paraId="5788C5AF"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56">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3514B3ED"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6474D6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8718578"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261A1BA5"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52A3549E" w14:textId="77777777" w:rsidR="0096378F" w:rsidRPr="0093583F" w:rsidRDefault="0096378F">
            <w:pPr>
              <w:jc w:val="center"/>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Open</w:t>
            </w:r>
          </w:p>
        </w:tc>
      </w:tr>
      <w:tr w:rsidR="0096378F" w:rsidRPr="0093583F" w14:paraId="7E6C597E" w14:textId="77777777" w:rsidTr="3E2B1321">
        <w:trPr>
          <w:trHeight w:val="37"/>
        </w:trPr>
        <w:tc>
          <w:tcPr>
            <w:tcW w:w="962" w:type="pct"/>
            <w:shd w:val="clear" w:color="auto" w:fill="E7E6E6" w:themeFill="background2"/>
          </w:tcPr>
          <w:p w14:paraId="09469693" w14:textId="77777777" w:rsidR="0096378F" w:rsidRPr="00415C24" w:rsidRDefault="0096378F">
            <w:pPr>
              <w:rPr>
                <w:rFonts w:ascii="Cambria" w:hAnsi="Cambria" w:cs="Calibri"/>
                <w:color w:val="000000" w:themeColor="text1"/>
                <w:sz w:val="16"/>
                <w:szCs w:val="16"/>
              </w:rPr>
            </w:pPr>
            <w:r w:rsidRPr="00415C24">
              <w:rPr>
                <w:rFonts w:ascii="Cambria" w:eastAsia="MS Mincho" w:hAnsi="Cambria" w:cs="Calibri"/>
                <w:color w:val="000000" w:themeColor="text1"/>
                <w:sz w:val="16"/>
                <w:szCs w:val="16"/>
                <w:lang w:eastAsia="es-ES_tradnl"/>
              </w:rPr>
              <w:t>Case 12.505, Report 462/21, Marlin Gray (United States)</w:t>
            </w:r>
          </w:p>
        </w:tc>
        <w:tc>
          <w:tcPr>
            <w:tcW w:w="577" w:type="pct"/>
            <w:shd w:val="clear" w:color="auto" w:fill="E7E6E6" w:themeFill="background2"/>
            <w:vAlign w:val="center"/>
          </w:tcPr>
          <w:p w14:paraId="740B332E" w14:textId="77777777" w:rsidR="0096378F" w:rsidRPr="00415C24" w:rsidRDefault="0071198A" w:rsidP="3E2B1321">
            <w:pPr>
              <w:ind w:left="72"/>
              <w:jc w:val="center"/>
              <w:rPr>
                <w:rFonts w:ascii="Cambria" w:eastAsia="MS Mincho" w:hAnsi="Cambria" w:cs="Calibri"/>
                <w:color w:val="000000" w:themeColor="text1"/>
                <w:sz w:val="16"/>
                <w:szCs w:val="16"/>
                <w:lang w:val="es-US" w:eastAsia="es-ES"/>
              </w:rPr>
            </w:pPr>
            <w:hyperlink r:id="rId157">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CB76B3D" w14:textId="77777777" w:rsidR="0096378F" w:rsidRPr="00415C24"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399E2FE" w14:textId="77777777" w:rsidR="0096378F" w:rsidRPr="00415C24"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1A61066" w14:textId="77777777" w:rsidR="0096378F" w:rsidRPr="00415C24"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6AD008FF" w14:textId="77777777" w:rsidR="0096378F" w:rsidRPr="00415C24" w:rsidRDefault="0096378F">
            <w:pPr>
              <w:jc w:val="center"/>
              <w:rPr>
                <w:rFonts w:ascii="Cambria" w:eastAsia="MS Mincho" w:hAnsi="Cambria" w:cs="Calibri"/>
                <w:color w:val="000000" w:themeColor="text1"/>
                <w:sz w:val="16"/>
                <w:szCs w:val="16"/>
                <w:lang w:val="es-US" w:eastAsia="es-ES_tradnl"/>
              </w:rPr>
            </w:pPr>
            <w:r w:rsidRPr="00415C24">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49F606B6" w14:textId="77777777" w:rsidR="0096378F" w:rsidRPr="00415C24" w:rsidRDefault="0096378F">
            <w:pPr>
              <w:jc w:val="center"/>
              <w:rPr>
                <w:rFonts w:ascii="Cambria" w:eastAsia="MS Mincho" w:hAnsi="Cambria" w:cs="Calibri"/>
                <w:color w:val="000000" w:themeColor="text1"/>
                <w:sz w:val="16"/>
                <w:szCs w:val="16"/>
                <w:lang w:val="es-US"/>
              </w:rPr>
            </w:pPr>
            <w:r w:rsidRPr="00415C24">
              <w:rPr>
                <w:rFonts w:ascii="Cambria" w:eastAsia="MS Mincho" w:hAnsi="Cambria" w:cs="Calibri"/>
                <w:color w:val="000000" w:themeColor="text1"/>
                <w:sz w:val="16"/>
                <w:szCs w:val="16"/>
                <w:lang w:val="es-US"/>
              </w:rPr>
              <w:t>Open</w:t>
            </w:r>
          </w:p>
        </w:tc>
      </w:tr>
      <w:tr w:rsidR="0096378F" w:rsidRPr="0093583F" w14:paraId="3EFDC05F" w14:textId="77777777" w:rsidTr="3E2B1321">
        <w:trPr>
          <w:trHeight w:val="37"/>
        </w:trPr>
        <w:tc>
          <w:tcPr>
            <w:tcW w:w="962" w:type="pct"/>
            <w:shd w:val="clear" w:color="auto" w:fill="E7E6E6" w:themeFill="background2"/>
          </w:tcPr>
          <w:p w14:paraId="1DB22DC3" w14:textId="77777777" w:rsidR="0096378F" w:rsidRPr="00415C24" w:rsidRDefault="0096378F">
            <w:pPr>
              <w:rPr>
                <w:rFonts w:ascii="Cambria" w:eastAsia="MS Mincho" w:hAnsi="Cambria" w:cs="Calibri"/>
                <w:color w:val="000000" w:themeColor="text1"/>
                <w:sz w:val="16"/>
                <w:szCs w:val="16"/>
                <w:lang w:eastAsia="es-ES_tradnl"/>
              </w:rPr>
            </w:pPr>
            <w:r w:rsidRPr="00415C24">
              <w:rPr>
                <w:rFonts w:ascii="Cambria" w:eastAsia="MS Mincho" w:hAnsi="Cambria" w:cs="Calibri"/>
                <w:color w:val="000000" w:themeColor="text1"/>
                <w:sz w:val="16"/>
                <w:szCs w:val="16"/>
                <w:lang w:eastAsia="es-ES_tradnl"/>
              </w:rPr>
              <w:t>Case 13.394, Report 461/21, Pete Carl Rogovich (United States)</w:t>
            </w:r>
          </w:p>
        </w:tc>
        <w:tc>
          <w:tcPr>
            <w:tcW w:w="577" w:type="pct"/>
            <w:shd w:val="clear" w:color="auto" w:fill="E7E6E6" w:themeFill="background2"/>
            <w:vAlign w:val="center"/>
          </w:tcPr>
          <w:p w14:paraId="57925666" w14:textId="77777777" w:rsidR="0096378F" w:rsidRPr="00415C24" w:rsidRDefault="0071198A" w:rsidP="3E2B1321">
            <w:pPr>
              <w:ind w:left="72"/>
              <w:jc w:val="center"/>
              <w:rPr>
                <w:rFonts w:ascii="Cambria" w:eastAsia="MS Mincho" w:hAnsi="Cambria" w:cs="Calibri"/>
                <w:color w:val="000000" w:themeColor="text1"/>
                <w:sz w:val="16"/>
                <w:szCs w:val="16"/>
                <w:lang w:val="es-US" w:eastAsia="es-ES"/>
              </w:rPr>
            </w:pPr>
            <w:hyperlink r:id="rId158">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409689D" w14:textId="77777777" w:rsidR="0096378F" w:rsidRPr="00415C24"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7FF158C" w14:textId="77777777" w:rsidR="0096378F" w:rsidRPr="00415C24"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FEA4C6A" w14:textId="77777777" w:rsidR="0096378F" w:rsidRPr="00415C24"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4A824CF5" w14:textId="77777777" w:rsidR="0096378F" w:rsidRPr="00415C24" w:rsidRDefault="0096378F">
            <w:pPr>
              <w:jc w:val="center"/>
              <w:rPr>
                <w:rFonts w:ascii="Cambria" w:eastAsia="MS Mincho" w:hAnsi="Cambria" w:cs="Calibri"/>
                <w:color w:val="000000" w:themeColor="text1"/>
                <w:sz w:val="16"/>
                <w:szCs w:val="16"/>
                <w:lang w:val="es-US" w:eastAsia="es-ES_tradnl"/>
              </w:rPr>
            </w:pPr>
            <w:r w:rsidRPr="00415C24">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03CF33AA" w14:textId="77777777" w:rsidR="0096378F" w:rsidRPr="00415C24" w:rsidRDefault="0096378F">
            <w:pPr>
              <w:jc w:val="center"/>
              <w:rPr>
                <w:rFonts w:ascii="Cambria" w:eastAsia="MS Mincho" w:hAnsi="Cambria" w:cs="Calibri"/>
                <w:color w:val="000000" w:themeColor="text1"/>
                <w:sz w:val="16"/>
                <w:szCs w:val="16"/>
                <w:lang w:val="es-US"/>
              </w:rPr>
            </w:pPr>
            <w:r w:rsidRPr="00415C24">
              <w:rPr>
                <w:rFonts w:ascii="Cambria" w:eastAsia="MS Mincho" w:hAnsi="Cambria" w:cs="Calibri"/>
                <w:color w:val="000000" w:themeColor="text1"/>
                <w:sz w:val="16"/>
                <w:szCs w:val="16"/>
                <w:lang w:val="es-US"/>
              </w:rPr>
              <w:t>Open</w:t>
            </w:r>
          </w:p>
        </w:tc>
      </w:tr>
      <w:tr w:rsidR="0096378F" w:rsidRPr="0093583F" w14:paraId="73512967" w14:textId="77777777" w:rsidTr="3E2B1321">
        <w:trPr>
          <w:trHeight w:val="37"/>
        </w:trPr>
        <w:tc>
          <w:tcPr>
            <w:tcW w:w="962" w:type="pct"/>
            <w:shd w:val="clear" w:color="auto" w:fill="E7E6E6" w:themeFill="background2"/>
          </w:tcPr>
          <w:p w14:paraId="27C9DE85" w14:textId="77777777" w:rsidR="0096378F" w:rsidRPr="00415C24" w:rsidRDefault="0096378F">
            <w:pPr>
              <w:rPr>
                <w:rFonts w:ascii="Cambria" w:eastAsia="MS Mincho" w:hAnsi="Cambria" w:cs="Calibri"/>
                <w:color w:val="000000" w:themeColor="text1"/>
                <w:sz w:val="16"/>
                <w:szCs w:val="16"/>
                <w:lang w:eastAsia="es-ES_tradnl"/>
              </w:rPr>
            </w:pPr>
            <w:r w:rsidRPr="00415C24">
              <w:rPr>
                <w:rFonts w:ascii="Cambria" w:eastAsia="MS Mincho" w:hAnsi="Cambria" w:cs="Calibri"/>
                <w:color w:val="000000" w:themeColor="text1"/>
                <w:sz w:val="16"/>
                <w:szCs w:val="16"/>
                <w:lang w:eastAsia="es-ES_tradnl"/>
              </w:rPr>
              <w:t>Case 13.829, Report 456/21, Ramiro Ibarra Rubi (United States)</w:t>
            </w:r>
          </w:p>
        </w:tc>
        <w:tc>
          <w:tcPr>
            <w:tcW w:w="577" w:type="pct"/>
            <w:shd w:val="clear" w:color="auto" w:fill="E7E6E6" w:themeFill="background2"/>
            <w:vAlign w:val="center"/>
          </w:tcPr>
          <w:p w14:paraId="066A5E46" w14:textId="77777777" w:rsidR="0096378F" w:rsidRPr="00415C24" w:rsidRDefault="0071198A" w:rsidP="3E2B1321">
            <w:pPr>
              <w:ind w:left="72"/>
              <w:jc w:val="center"/>
              <w:rPr>
                <w:rFonts w:ascii="Cambria" w:eastAsia="MS Mincho" w:hAnsi="Cambria" w:cs="Calibri"/>
                <w:color w:val="000000" w:themeColor="text1"/>
                <w:sz w:val="16"/>
                <w:szCs w:val="16"/>
                <w:lang w:val="es-US" w:eastAsia="es-ES"/>
              </w:rPr>
            </w:pPr>
            <w:hyperlink r:id="rId159">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39AF619F" w14:textId="77777777" w:rsidR="0096378F" w:rsidRPr="00415C24"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840E176" w14:textId="77777777" w:rsidR="0096378F" w:rsidRPr="00415C24"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C163766" w14:textId="77777777" w:rsidR="0096378F" w:rsidRPr="00415C24"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4B57FB20" w14:textId="77777777" w:rsidR="0096378F" w:rsidRPr="00415C24" w:rsidRDefault="0096378F">
            <w:pPr>
              <w:jc w:val="center"/>
              <w:rPr>
                <w:rFonts w:ascii="Cambria" w:eastAsia="MS Mincho" w:hAnsi="Cambria" w:cs="Calibri"/>
                <w:color w:val="000000" w:themeColor="text1"/>
                <w:sz w:val="16"/>
                <w:szCs w:val="16"/>
                <w:lang w:val="es-US" w:eastAsia="es-ES_tradnl"/>
              </w:rPr>
            </w:pPr>
            <w:r w:rsidRPr="00415C24">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0949E7E0" w14:textId="77777777" w:rsidR="0096378F" w:rsidRPr="00415C24" w:rsidRDefault="0096378F">
            <w:pPr>
              <w:jc w:val="center"/>
              <w:rPr>
                <w:rFonts w:ascii="Cambria" w:eastAsia="MS Mincho" w:hAnsi="Cambria" w:cs="Calibri"/>
                <w:color w:val="000000" w:themeColor="text1"/>
                <w:sz w:val="16"/>
                <w:szCs w:val="16"/>
                <w:lang w:val="es-US"/>
              </w:rPr>
            </w:pPr>
            <w:r w:rsidRPr="00415C24">
              <w:rPr>
                <w:rFonts w:ascii="Cambria" w:eastAsia="MS Mincho" w:hAnsi="Cambria" w:cs="Calibri"/>
                <w:color w:val="000000" w:themeColor="text1"/>
                <w:sz w:val="16"/>
                <w:szCs w:val="16"/>
                <w:lang w:val="es-US"/>
              </w:rPr>
              <w:t>Open</w:t>
            </w:r>
          </w:p>
        </w:tc>
      </w:tr>
      <w:tr w:rsidR="0096378F" w:rsidRPr="0093583F" w14:paraId="4E0E99E9" w14:textId="77777777" w:rsidTr="3E2B1321">
        <w:trPr>
          <w:trHeight w:val="37"/>
        </w:trPr>
        <w:tc>
          <w:tcPr>
            <w:tcW w:w="962" w:type="pct"/>
            <w:shd w:val="clear" w:color="auto" w:fill="E7E6E6" w:themeFill="background2"/>
          </w:tcPr>
          <w:p w14:paraId="0BAE5AFE" w14:textId="77777777" w:rsidR="0096378F" w:rsidRPr="00415C24" w:rsidRDefault="0096378F">
            <w:pPr>
              <w:rPr>
                <w:rFonts w:ascii="Cambria" w:eastAsia="MS Mincho" w:hAnsi="Cambria" w:cs="Calibri"/>
                <w:color w:val="000000" w:themeColor="text1"/>
                <w:sz w:val="16"/>
                <w:szCs w:val="16"/>
                <w:lang w:eastAsia="es-ES_tradnl"/>
              </w:rPr>
            </w:pPr>
            <w:r w:rsidRPr="00415C24">
              <w:rPr>
                <w:rFonts w:ascii="Cambria" w:eastAsia="MS Mincho" w:hAnsi="Cambria" w:cs="Calibri"/>
                <w:color w:val="000000" w:themeColor="text1"/>
                <w:sz w:val="16"/>
                <w:szCs w:val="16"/>
                <w:lang w:eastAsia="es-ES_tradnl"/>
              </w:rPr>
              <w:t>Case 12.832, 455/21, Gregory Thompson (United States)</w:t>
            </w:r>
          </w:p>
        </w:tc>
        <w:tc>
          <w:tcPr>
            <w:tcW w:w="577" w:type="pct"/>
            <w:shd w:val="clear" w:color="auto" w:fill="E7E6E6" w:themeFill="background2"/>
            <w:vAlign w:val="center"/>
          </w:tcPr>
          <w:p w14:paraId="3AE57E71" w14:textId="77777777" w:rsidR="0096378F" w:rsidRPr="00415C24" w:rsidRDefault="0071198A" w:rsidP="3E2B1321">
            <w:pPr>
              <w:ind w:left="72"/>
              <w:jc w:val="center"/>
              <w:rPr>
                <w:rFonts w:ascii="Cambria" w:eastAsia="MS Mincho" w:hAnsi="Cambria" w:cs="Calibri"/>
                <w:color w:val="000000" w:themeColor="text1"/>
                <w:sz w:val="16"/>
                <w:szCs w:val="16"/>
                <w:lang w:val="es-US" w:eastAsia="es-ES"/>
              </w:rPr>
            </w:pPr>
            <w:hyperlink r:id="rId160">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130896C" w14:textId="77777777" w:rsidR="0096378F" w:rsidRPr="00415C24"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E14BBF2" w14:textId="77777777" w:rsidR="0096378F" w:rsidRPr="00415C24"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C7ADFDF" w14:textId="77777777" w:rsidR="0096378F" w:rsidRPr="00415C24"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20EB4741" w14:textId="77777777" w:rsidR="0096378F" w:rsidRPr="00415C24" w:rsidRDefault="0096378F">
            <w:pPr>
              <w:jc w:val="center"/>
              <w:rPr>
                <w:rFonts w:ascii="Cambria" w:eastAsia="MS Mincho" w:hAnsi="Cambria" w:cs="Calibri"/>
                <w:color w:val="000000" w:themeColor="text1"/>
                <w:sz w:val="16"/>
                <w:szCs w:val="16"/>
                <w:lang w:val="es-US" w:eastAsia="es-ES_tradnl"/>
              </w:rPr>
            </w:pPr>
            <w:r w:rsidRPr="00415C24">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7D1948E6" w14:textId="77777777" w:rsidR="0096378F" w:rsidRPr="00415C24" w:rsidRDefault="0096378F">
            <w:pPr>
              <w:jc w:val="center"/>
              <w:rPr>
                <w:rFonts w:ascii="Cambria" w:eastAsia="MS Mincho" w:hAnsi="Cambria" w:cs="Calibri"/>
                <w:color w:val="000000" w:themeColor="text1"/>
                <w:sz w:val="16"/>
                <w:szCs w:val="16"/>
                <w:lang w:val="es-US"/>
              </w:rPr>
            </w:pPr>
            <w:r w:rsidRPr="00415C24">
              <w:rPr>
                <w:rFonts w:ascii="Cambria" w:eastAsia="MS Mincho" w:hAnsi="Cambria" w:cs="Calibri"/>
                <w:color w:val="000000" w:themeColor="text1"/>
                <w:sz w:val="16"/>
                <w:szCs w:val="16"/>
                <w:lang w:val="es-US"/>
              </w:rPr>
              <w:t>Open</w:t>
            </w:r>
          </w:p>
        </w:tc>
      </w:tr>
      <w:tr w:rsidR="0096378F" w:rsidRPr="0093583F" w14:paraId="49D53688" w14:textId="77777777" w:rsidTr="3E2B1321">
        <w:trPr>
          <w:trHeight w:val="37"/>
        </w:trPr>
        <w:tc>
          <w:tcPr>
            <w:tcW w:w="962" w:type="pct"/>
            <w:shd w:val="clear" w:color="auto" w:fill="E7E6E6" w:themeFill="background2"/>
          </w:tcPr>
          <w:p w14:paraId="21337150" w14:textId="77777777" w:rsidR="0096378F" w:rsidRPr="00415C24" w:rsidRDefault="0096378F">
            <w:pPr>
              <w:rPr>
                <w:rFonts w:ascii="Cambria" w:eastAsia="MS Mincho" w:hAnsi="Cambria" w:cs="Calibri"/>
                <w:color w:val="000000" w:themeColor="text1"/>
                <w:sz w:val="16"/>
                <w:szCs w:val="16"/>
                <w:lang w:eastAsia="es-ES_tradnl"/>
              </w:rPr>
            </w:pPr>
            <w:r w:rsidRPr="00415C24">
              <w:rPr>
                <w:rFonts w:ascii="Cambria" w:eastAsia="MS Mincho" w:hAnsi="Cambria" w:cs="Calibri"/>
                <w:color w:val="000000" w:themeColor="text1"/>
                <w:sz w:val="16"/>
                <w:szCs w:val="16"/>
                <w:lang w:eastAsia="es-ES_tradnl"/>
              </w:rPr>
              <w:t>Case 13.339, Report 453/21, Manuel Valle (United States)</w:t>
            </w:r>
          </w:p>
        </w:tc>
        <w:tc>
          <w:tcPr>
            <w:tcW w:w="577" w:type="pct"/>
            <w:shd w:val="clear" w:color="auto" w:fill="E7E6E6" w:themeFill="background2"/>
            <w:vAlign w:val="center"/>
          </w:tcPr>
          <w:p w14:paraId="4D8ED298" w14:textId="77777777" w:rsidR="0096378F" w:rsidRPr="00415C24" w:rsidRDefault="0071198A" w:rsidP="3E2B1321">
            <w:pPr>
              <w:ind w:left="72"/>
              <w:jc w:val="center"/>
              <w:rPr>
                <w:rFonts w:ascii="Cambria" w:eastAsia="MS Mincho" w:hAnsi="Cambria" w:cs="Calibri"/>
                <w:color w:val="000000" w:themeColor="text1"/>
                <w:sz w:val="16"/>
                <w:szCs w:val="16"/>
                <w:lang w:val="es-US" w:eastAsia="es-ES"/>
              </w:rPr>
            </w:pPr>
            <w:hyperlink r:id="rId161">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B31E476" w14:textId="77777777" w:rsidR="0096378F" w:rsidRPr="00415C24"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4167B80" w14:textId="77777777" w:rsidR="0096378F" w:rsidRPr="00415C24"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D8CC86D" w14:textId="77777777" w:rsidR="0096378F" w:rsidRPr="00415C24"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0CF1B8CB" w14:textId="77777777" w:rsidR="0096378F" w:rsidRPr="00415C24" w:rsidRDefault="0096378F">
            <w:pPr>
              <w:jc w:val="center"/>
              <w:rPr>
                <w:rFonts w:ascii="Cambria" w:eastAsia="MS Mincho" w:hAnsi="Cambria" w:cs="Calibri"/>
                <w:color w:val="000000" w:themeColor="text1"/>
                <w:sz w:val="16"/>
                <w:szCs w:val="16"/>
                <w:lang w:val="es-US" w:eastAsia="es-ES_tradnl"/>
              </w:rPr>
            </w:pPr>
            <w:r w:rsidRPr="00415C24">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304B0A41" w14:textId="77777777" w:rsidR="0096378F" w:rsidRPr="00415C24" w:rsidRDefault="0096378F">
            <w:pPr>
              <w:jc w:val="center"/>
              <w:rPr>
                <w:rFonts w:ascii="Cambria" w:eastAsia="MS Mincho" w:hAnsi="Cambria" w:cs="Calibri"/>
                <w:color w:val="000000" w:themeColor="text1"/>
                <w:sz w:val="16"/>
                <w:szCs w:val="16"/>
                <w:lang w:val="es-US"/>
              </w:rPr>
            </w:pPr>
            <w:r w:rsidRPr="00415C24">
              <w:rPr>
                <w:rFonts w:ascii="Cambria" w:eastAsia="MS Mincho" w:hAnsi="Cambria" w:cs="Calibri"/>
                <w:color w:val="000000" w:themeColor="text1"/>
                <w:sz w:val="16"/>
                <w:szCs w:val="16"/>
                <w:lang w:val="es-US"/>
              </w:rPr>
              <w:t>Open</w:t>
            </w:r>
          </w:p>
        </w:tc>
      </w:tr>
      <w:tr w:rsidR="0096378F" w:rsidRPr="0093583F" w14:paraId="03112E28" w14:textId="77777777" w:rsidTr="3E2B1321">
        <w:trPr>
          <w:trHeight w:val="37"/>
        </w:trPr>
        <w:tc>
          <w:tcPr>
            <w:tcW w:w="962" w:type="pct"/>
            <w:shd w:val="clear" w:color="auto" w:fill="E7E6E6" w:themeFill="background2"/>
          </w:tcPr>
          <w:p w14:paraId="1399CDDC" w14:textId="77777777" w:rsidR="0096378F" w:rsidRPr="00415C24" w:rsidRDefault="0096378F">
            <w:pPr>
              <w:rPr>
                <w:rFonts w:ascii="Cambria" w:eastAsia="MS Mincho" w:hAnsi="Cambria" w:cs="Calibri"/>
                <w:color w:val="000000" w:themeColor="text1"/>
                <w:sz w:val="16"/>
                <w:szCs w:val="16"/>
                <w:lang w:eastAsia="es-ES_tradnl"/>
              </w:rPr>
            </w:pPr>
            <w:r w:rsidRPr="00415C24">
              <w:rPr>
                <w:rFonts w:ascii="Cambria" w:eastAsia="MS Mincho" w:hAnsi="Cambria" w:cs="Calibri"/>
                <w:color w:val="000000" w:themeColor="text1"/>
                <w:sz w:val="16"/>
                <w:szCs w:val="16"/>
                <w:lang w:eastAsia="es-ES_tradnl"/>
              </w:rPr>
              <w:t>Case 13.478, Report 451/21, José Trinidad Loza Ventura (United States)</w:t>
            </w:r>
          </w:p>
        </w:tc>
        <w:tc>
          <w:tcPr>
            <w:tcW w:w="577" w:type="pct"/>
            <w:shd w:val="clear" w:color="auto" w:fill="E7E6E6" w:themeFill="background2"/>
            <w:vAlign w:val="center"/>
          </w:tcPr>
          <w:p w14:paraId="0E7B2B38" w14:textId="77777777" w:rsidR="0096378F" w:rsidRPr="00415C24" w:rsidRDefault="0071198A" w:rsidP="3E2B1321">
            <w:pPr>
              <w:ind w:left="72"/>
              <w:jc w:val="center"/>
              <w:rPr>
                <w:rFonts w:ascii="Cambria" w:eastAsia="MS Mincho" w:hAnsi="Cambria" w:cs="Calibri"/>
                <w:color w:val="000000" w:themeColor="text1"/>
                <w:sz w:val="16"/>
                <w:szCs w:val="16"/>
                <w:lang w:val="es-US" w:eastAsia="es-ES"/>
              </w:rPr>
            </w:pPr>
            <w:hyperlink r:id="rId162">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635C2F6" w14:textId="77777777" w:rsidR="0096378F" w:rsidRPr="00415C24"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7851302" w14:textId="77777777" w:rsidR="0096378F" w:rsidRPr="00415C24"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737240B" w14:textId="77777777" w:rsidR="0096378F" w:rsidRPr="00415C24"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296E9EA0" w14:textId="77777777" w:rsidR="0096378F" w:rsidRPr="00415C24" w:rsidRDefault="0096378F">
            <w:pPr>
              <w:jc w:val="center"/>
              <w:rPr>
                <w:rFonts w:ascii="Cambria" w:eastAsia="MS Mincho" w:hAnsi="Cambria" w:cs="Calibri"/>
                <w:color w:val="000000" w:themeColor="text1"/>
                <w:sz w:val="16"/>
                <w:szCs w:val="16"/>
                <w:lang w:val="es-US" w:eastAsia="es-ES_tradnl"/>
              </w:rPr>
            </w:pPr>
            <w:r w:rsidRPr="00415C24">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13C837CB" w14:textId="77777777" w:rsidR="0096378F" w:rsidRPr="00415C24" w:rsidRDefault="0096378F">
            <w:pPr>
              <w:jc w:val="center"/>
              <w:rPr>
                <w:rFonts w:ascii="Cambria" w:eastAsia="MS Mincho" w:hAnsi="Cambria" w:cs="Calibri"/>
                <w:color w:val="000000" w:themeColor="text1"/>
                <w:sz w:val="16"/>
                <w:szCs w:val="16"/>
                <w:lang w:val="es-US"/>
              </w:rPr>
            </w:pPr>
            <w:r w:rsidRPr="00415C24">
              <w:rPr>
                <w:rFonts w:ascii="Cambria" w:eastAsia="MS Mincho" w:hAnsi="Cambria" w:cs="Calibri"/>
                <w:color w:val="000000" w:themeColor="text1"/>
                <w:sz w:val="16"/>
                <w:szCs w:val="16"/>
                <w:lang w:val="es-US"/>
              </w:rPr>
              <w:t>Open</w:t>
            </w:r>
          </w:p>
        </w:tc>
      </w:tr>
      <w:tr w:rsidR="0096378F" w:rsidRPr="0093583F" w14:paraId="71E65CC5" w14:textId="77777777" w:rsidTr="3E2B1321">
        <w:trPr>
          <w:trHeight w:val="37"/>
        </w:trPr>
        <w:tc>
          <w:tcPr>
            <w:tcW w:w="962" w:type="pct"/>
            <w:shd w:val="clear" w:color="auto" w:fill="E7E6E6" w:themeFill="background2"/>
          </w:tcPr>
          <w:p w14:paraId="45246BFA" w14:textId="77777777" w:rsidR="0096378F" w:rsidRPr="00415C24" w:rsidRDefault="0096378F">
            <w:pPr>
              <w:rPr>
                <w:rFonts w:ascii="Cambria" w:eastAsia="MS Mincho" w:hAnsi="Cambria" w:cs="Calibri"/>
                <w:color w:val="000000" w:themeColor="text1"/>
                <w:sz w:val="16"/>
                <w:szCs w:val="16"/>
                <w:lang w:val="es-US" w:eastAsia="es-ES_tradnl"/>
              </w:rPr>
            </w:pPr>
            <w:r w:rsidRPr="00415C24">
              <w:rPr>
                <w:rFonts w:ascii="Cambria" w:eastAsia="MS Mincho" w:hAnsi="Cambria" w:cs="Calibri"/>
                <w:color w:val="000000" w:themeColor="text1"/>
                <w:sz w:val="16"/>
                <w:szCs w:val="16"/>
                <w:lang w:val="es-US" w:eastAsia="es-ES_tradnl"/>
              </w:rPr>
              <w:t>Case 12.871, Report 333/21, Virgilio Maldonado Rodríguez (United States)</w:t>
            </w:r>
          </w:p>
        </w:tc>
        <w:tc>
          <w:tcPr>
            <w:tcW w:w="577" w:type="pct"/>
            <w:shd w:val="clear" w:color="auto" w:fill="E7E6E6" w:themeFill="background2"/>
            <w:vAlign w:val="center"/>
          </w:tcPr>
          <w:p w14:paraId="214F3F8C" w14:textId="77777777" w:rsidR="0096378F" w:rsidRPr="00415C24" w:rsidRDefault="0071198A" w:rsidP="3E2B1321">
            <w:pPr>
              <w:ind w:left="72"/>
              <w:jc w:val="center"/>
              <w:rPr>
                <w:rFonts w:ascii="Cambria" w:eastAsia="MS Mincho" w:hAnsi="Cambria" w:cs="Calibri"/>
                <w:color w:val="000000" w:themeColor="text1"/>
                <w:sz w:val="16"/>
                <w:szCs w:val="16"/>
                <w:lang w:val="es-US" w:eastAsia="es-ES"/>
              </w:rPr>
            </w:pPr>
            <w:hyperlink r:id="rId163">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845B3A6" w14:textId="77777777" w:rsidR="0096378F" w:rsidRPr="00415C24"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509E6AF" w14:textId="77777777" w:rsidR="0096378F" w:rsidRPr="00415C24"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7E39953" w14:textId="77777777" w:rsidR="0096378F" w:rsidRPr="00415C24"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417DBF26" w14:textId="77777777" w:rsidR="0096378F" w:rsidRPr="00415C24"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101ADEE9" w14:textId="77777777" w:rsidR="0096378F" w:rsidRPr="00415C24" w:rsidRDefault="0096378F">
            <w:pPr>
              <w:jc w:val="center"/>
              <w:rPr>
                <w:rFonts w:ascii="Cambria" w:eastAsia="MS Mincho" w:hAnsi="Cambria" w:cs="Calibri"/>
                <w:color w:val="000000" w:themeColor="text1"/>
                <w:sz w:val="16"/>
                <w:szCs w:val="16"/>
                <w:lang w:val="es-US"/>
              </w:rPr>
            </w:pPr>
            <w:r w:rsidRPr="00415C24">
              <w:rPr>
                <w:rFonts w:ascii="Cambria" w:eastAsia="MS Mincho" w:hAnsi="Cambria" w:cs="Calibri"/>
                <w:color w:val="000000" w:themeColor="text1"/>
                <w:sz w:val="16"/>
                <w:szCs w:val="16"/>
                <w:lang w:val="es-US"/>
              </w:rPr>
              <w:t>Open</w:t>
            </w:r>
          </w:p>
        </w:tc>
      </w:tr>
      <w:tr w:rsidR="0096378F" w:rsidRPr="0093583F" w14:paraId="1394D790" w14:textId="77777777" w:rsidTr="3E2B1321">
        <w:trPr>
          <w:trHeight w:val="28"/>
        </w:trPr>
        <w:tc>
          <w:tcPr>
            <w:tcW w:w="962" w:type="pct"/>
            <w:shd w:val="clear" w:color="auto" w:fill="E7E6E6" w:themeFill="background2"/>
          </w:tcPr>
          <w:p w14:paraId="2D81E063" w14:textId="77777777" w:rsidR="0096378F" w:rsidRPr="00A66F64" w:rsidRDefault="0096378F">
            <w:pPr>
              <w:rPr>
                <w:rFonts w:ascii="Cambria" w:eastAsia="MS Mincho" w:hAnsi="Cambria" w:cs="Calibri"/>
                <w:color w:val="000000" w:themeColor="text1"/>
                <w:sz w:val="16"/>
                <w:szCs w:val="16"/>
              </w:rPr>
            </w:pPr>
            <w:bookmarkStart w:id="39" w:name="_Hlk91093193"/>
            <w:r w:rsidRPr="00A66F64">
              <w:rPr>
                <w:rFonts w:ascii="Cambria" w:hAnsi="Cambria" w:cs="Calibri"/>
                <w:bCs/>
                <w:color w:val="000000" w:themeColor="text1"/>
                <w:sz w:val="16"/>
                <w:szCs w:val="16"/>
              </w:rPr>
              <w:t>Case 12.028, Report Nº 47/01, Donnason Knights (Granada)</w:t>
            </w:r>
            <w:bookmarkEnd w:id="39"/>
          </w:p>
        </w:tc>
        <w:tc>
          <w:tcPr>
            <w:tcW w:w="577" w:type="pct"/>
            <w:shd w:val="clear" w:color="auto" w:fill="E7E6E6" w:themeFill="background2"/>
            <w:vAlign w:val="center"/>
          </w:tcPr>
          <w:p w14:paraId="6A8A0251"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64">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B87BAC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115974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45A1621"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F0FA976"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6E4D38F"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1EB1C22" w14:textId="77777777" w:rsidTr="3E2B1321">
        <w:trPr>
          <w:trHeight w:val="34"/>
        </w:trPr>
        <w:tc>
          <w:tcPr>
            <w:tcW w:w="962" w:type="pct"/>
            <w:shd w:val="clear" w:color="auto" w:fill="E7E6E6" w:themeFill="background2"/>
          </w:tcPr>
          <w:p w14:paraId="501E7525" w14:textId="77777777" w:rsidR="0096378F" w:rsidRPr="00A66F64" w:rsidRDefault="0096378F">
            <w:pPr>
              <w:rPr>
                <w:rFonts w:ascii="Cambria" w:eastAsia="MS Mincho" w:hAnsi="Cambria" w:cs="Calibri"/>
                <w:color w:val="000000" w:themeColor="text1"/>
                <w:sz w:val="16"/>
                <w:szCs w:val="16"/>
              </w:rPr>
            </w:pPr>
            <w:bookmarkStart w:id="40" w:name="_Hlk91093202"/>
            <w:r w:rsidRPr="00A66F64">
              <w:rPr>
                <w:rFonts w:ascii="Cambria" w:hAnsi="Cambria" w:cs="Calibri"/>
                <w:color w:val="000000" w:themeColor="text1"/>
                <w:sz w:val="16"/>
                <w:szCs w:val="16"/>
              </w:rPr>
              <w:t>Case 11.765, Report Nº 55/02, Paul Lallion (Granada)</w:t>
            </w:r>
            <w:bookmarkEnd w:id="40"/>
          </w:p>
        </w:tc>
        <w:tc>
          <w:tcPr>
            <w:tcW w:w="577" w:type="pct"/>
            <w:shd w:val="clear" w:color="auto" w:fill="E7E6E6" w:themeFill="background2"/>
            <w:vAlign w:val="center"/>
          </w:tcPr>
          <w:p w14:paraId="3B80F15F"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65">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5CB896B0"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079BB3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9105904"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333CA18"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4DCB3D0"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04267D45" w14:textId="77777777" w:rsidTr="3E2B1321">
        <w:trPr>
          <w:trHeight w:val="30"/>
        </w:trPr>
        <w:tc>
          <w:tcPr>
            <w:tcW w:w="962" w:type="pct"/>
            <w:shd w:val="clear" w:color="auto" w:fill="E7E6E6" w:themeFill="background2"/>
          </w:tcPr>
          <w:p w14:paraId="13A341EF" w14:textId="77777777" w:rsidR="0096378F" w:rsidRPr="008E630F" w:rsidRDefault="0096378F">
            <w:pPr>
              <w:rPr>
                <w:rFonts w:ascii="Cambria" w:eastAsia="MS Mincho" w:hAnsi="Cambria" w:cs="Calibri"/>
                <w:color w:val="000000" w:themeColor="text1"/>
                <w:sz w:val="16"/>
                <w:szCs w:val="16"/>
              </w:rPr>
            </w:pPr>
            <w:bookmarkStart w:id="41" w:name="_Hlk91093206"/>
            <w:r w:rsidRPr="008E630F">
              <w:rPr>
                <w:rFonts w:ascii="Cambria" w:hAnsi="Cambria" w:cs="Calibri"/>
                <w:bCs/>
                <w:color w:val="000000" w:themeColor="text1"/>
                <w:sz w:val="16"/>
                <w:szCs w:val="16"/>
              </w:rPr>
              <w:t>Case 12.158, Report Nº 56/02 Benedict Jacob (Granada)</w:t>
            </w:r>
            <w:bookmarkEnd w:id="41"/>
          </w:p>
        </w:tc>
        <w:tc>
          <w:tcPr>
            <w:tcW w:w="577" w:type="pct"/>
            <w:shd w:val="clear" w:color="auto" w:fill="E7E6E6" w:themeFill="background2"/>
            <w:vAlign w:val="center"/>
          </w:tcPr>
          <w:p w14:paraId="792531C8"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66">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2F3BC3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B878B6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9FCB675"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EF062AD"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70634DB"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3FF0A85F" w14:textId="77777777" w:rsidTr="3E2B1321">
        <w:trPr>
          <w:trHeight w:val="37"/>
        </w:trPr>
        <w:tc>
          <w:tcPr>
            <w:tcW w:w="962" w:type="pct"/>
            <w:shd w:val="clear" w:color="auto" w:fill="E7E6E6" w:themeFill="background2"/>
          </w:tcPr>
          <w:p w14:paraId="53A06D06" w14:textId="77777777" w:rsidR="0096378F" w:rsidRPr="0093583F" w:rsidRDefault="0096378F">
            <w:pPr>
              <w:rPr>
                <w:rFonts w:ascii="Cambria" w:eastAsia="MS Mincho" w:hAnsi="Cambria" w:cs="Calibri"/>
                <w:color w:val="000000" w:themeColor="text1"/>
                <w:sz w:val="16"/>
                <w:szCs w:val="16"/>
                <w:lang w:val="es-US"/>
              </w:rPr>
            </w:pPr>
            <w:bookmarkStart w:id="42" w:name="_Hlk91084754"/>
            <w:r>
              <w:rPr>
                <w:rFonts w:ascii="Cambria" w:hAnsi="Cambria" w:cs="Calibri"/>
                <w:bCs/>
                <w:color w:val="000000" w:themeColor="text1"/>
                <w:sz w:val="16"/>
                <w:szCs w:val="16"/>
                <w:lang w:val="es-US"/>
              </w:rPr>
              <w:t xml:space="preserve">Case </w:t>
            </w:r>
            <w:r w:rsidRPr="0093583F">
              <w:rPr>
                <w:rFonts w:ascii="Cambria" w:hAnsi="Cambria" w:cs="Calibri"/>
                <w:bCs/>
                <w:color w:val="000000" w:themeColor="text1"/>
                <w:sz w:val="16"/>
                <w:szCs w:val="16"/>
                <w:lang w:val="es-US"/>
              </w:rPr>
              <w:t xml:space="preserve">11.625, </w:t>
            </w:r>
            <w:r>
              <w:rPr>
                <w:rFonts w:ascii="Cambria" w:hAnsi="Cambria" w:cs="Calibri"/>
                <w:bCs/>
                <w:color w:val="000000" w:themeColor="text1"/>
                <w:sz w:val="16"/>
                <w:szCs w:val="16"/>
                <w:lang w:val="es-US"/>
              </w:rPr>
              <w:t>Report</w:t>
            </w:r>
            <w:r w:rsidRPr="0093583F">
              <w:rPr>
                <w:rFonts w:ascii="Cambria" w:hAnsi="Cambria" w:cs="Calibri"/>
                <w:bCs/>
                <w:color w:val="000000" w:themeColor="text1"/>
                <w:sz w:val="16"/>
                <w:szCs w:val="16"/>
                <w:lang w:val="es-US"/>
              </w:rPr>
              <w:t xml:space="preserve"> Nº 4/01, María Eugenia Morales de Sierra (Guatemala)</w:t>
            </w:r>
            <w:bookmarkEnd w:id="42"/>
          </w:p>
        </w:tc>
        <w:tc>
          <w:tcPr>
            <w:tcW w:w="577" w:type="pct"/>
            <w:shd w:val="clear" w:color="auto" w:fill="E7E6E6" w:themeFill="background2"/>
            <w:vAlign w:val="center"/>
          </w:tcPr>
          <w:p w14:paraId="4C83586B"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67">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5E3E78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335D3A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3065F13"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67A43D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B88F375"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E27D965" w14:textId="77777777" w:rsidTr="3E2B1321">
        <w:trPr>
          <w:trHeight w:val="35"/>
        </w:trPr>
        <w:tc>
          <w:tcPr>
            <w:tcW w:w="962" w:type="pct"/>
            <w:shd w:val="clear" w:color="auto" w:fill="E7E6E6" w:themeFill="background2"/>
          </w:tcPr>
          <w:p w14:paraId="0E780853" w14:textId="77777777" w:rsidR="0096378F" w:rsidRPr="009A7939" w:rsidRDefault="0096378F">
            <w:pPr>
              <w:rPr>
                <w:rFonts w:ascii="Cambria" w:eastAsia="MS Mincho" w:hAnsi="Cambria" w:cs="Calibri"/>
                <w:color w:val="000000" w:themeColor="text1"/>
                <w:sz w:val="16"/>
                <w:szCs w:val="16"/>
                <w:lang w:val="pt-BR"/>
              </w:rPr>
            </w:pPr>
            <w:r w:rsidRPr="009A7939">
              <w:rPr>
                <w:rFonts w:ascii="Cambria" w:hAnsi="Cambria" w:cs="Calibri"/>
                <w:bCs/>
                <w:color w:val="000000" w:themeColor="text1"/>
                <w:sz w:val="16"/>
                <w:szCs w:val="16"/>
                <w:lang w:val="pt-BR"/>
              </w:rPr>
              <w:lastRenderedPageBreak/>
              <w:t>Case 9.207, Report Nº 58/01, Oscar Manuel Gramajo López (Guatemala)</w:t>
            </w:r>
          </w:p>
        </w:tc>
        <w:tc>
          <w:tcPr>
            <w:tcW w:w="577" w:type="pct"/>
            <w:shd w:val="clear" w:color="auto" w:fill="E7E6E6" w:themeFill="background2"/>
            <w:vAlign w:val="center"/>
          </w:tcPr>
          <w:p w14:paraId="2DE41A64"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68">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2D537A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8C607BE"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023F5B1"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E954FD5"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12471A0"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83CD557" w14:textId="77777777" w:rsidTr="3E2B1321">
        <w:trPr>
          <w:trHeight w:val="37"/>
        </w:trPr>
        <w:tc>
          <w:tcPr>
            <w:tcW w:w="962" w:type="pct"/>
            <w:shd w:val="clear" w:color="auto" w:fill="E7E6E6" w:themeFill="background2"/>
          </w:tcPr>
          <w:p w14:paraId="59CBE277" w14:textId="77777777" w:rsidR="0096378F" w:rsidRPr="009A7939" w:rsidRDefault="0096378F">
            <w:pPr>
              <w:rPr>
                <w:rFonts w:ascii="Cambria" w:eastAsia="MS Mincho" w:hAnsi="Cambria" w:cs="Calibri"/>
                <w:color w:val="000000" w:themeColor="text1"/>
                <w:sz w:val="16"/>
                <w:szCs w:val="16"/>
              </w:rPr>
            </w:pPr>
            <w:r w:rsidRPr="009A7939">
              <w:rPr>
                <w:rFonts w:ascii="Cambria" w:hAnsi="Cambria" w:cs="Calibri"/>
                <w:bCs/>
                <w:color w:val="000000" w:themeColor="text1"/>
                <w:sz w:val="16"/>
                <w:szCs w:val="16"/>
              </w:rPr>
              <w:t>Case 10.626 Remigio Domingo Morales and Rafael Sánchez; Case 10.627 Pedro Tau Cac; Case 11.198(A) José María Ixcaya Pixtay and otros; Case 10.799 Catalino Chochoy and otros; Case 10.751 Juan Galicia Hernández and otros, and Case 10.901 Antulio Delgado, Report Nº 59/01, Remigio Domingo Morales et al. (Guatemala)</w:t>
            </w:r>
          </w:p>
        </w:tc>
        <w:tc>
          <w:tcPr>
            <w:tcW w:w="577" w:type="pct"/>
            <w:shd w:val="clear" w:color="auto" w:fill="E7E6E6" w:themeFill="background2"/>
            <w:vAlign w:val="center"/>
          </w:tcPr>
          <w:p w14:paraId="7DBBC2EC"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69">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731D3D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D97CAF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3528854"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044B82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758E458"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4B1D32ED" w14:textId="77777777" w:rsidTr="3E2B1321">
        <w:trPr>
          <w:trHeight w:val="30"/>
        </w:trPr>
        <w:tc>
          <w:tcPr>
            <w:tcW w:w="962" w:type="pct"/>
            <w:shd w:val="clear" w:color="auto" w:fill="E7E6E6" w:themeFill="background2"/>
          </w:tcPr>
          <w:p w14:paraId="00D14E7D" w14:textId="0ACE8FD2" w:rsidR="0096378F" w:rsidRPr="009A7939" w:rsidRDefault="0096378F" w:rsidP="3E2B1321">
            <w:pPr>
              <w:rPr>
                <w:rFonts w:ascii="Cambria" w:hAnsi="Cambria" w:cs="Calibri"/>
                <w:color w:val="000000" w:themeColor="text1"/>
                <w:sz w:val="16"/>
                <w:szCs w:val="16"/>
                <w:lang w:val="es-US"/>
              </w:rPr>
            </w:pPr>
            <w:r w:rsidRPr="3E2B1321">
              <w:rPr>
                <w:rFonts w:ascii="Cambria" w:hAnsi="Cambria" w:cs="Calibri"/>
                <w:color w:val="000000" w:themeColor="text1"/>
                <w:sz w:val="16"/>
                <w:szCs w:val="16"/>
                <w:lang w:val="es-US"/>
              </w:rPr>
              <w:t xml:space="preserve">Case 9.111, Report Nº 60/01, Ileana del Rosario Solares Castillo </w:t>
            </w:r>
            <w:r w:rsidR="3ACBE841" w:rsidRPr="3E2B1321">
              <w:rPr>
                <w:rFonts w:ascii="Cambria" w:hAnsi="Cambria" w:cs="Calibri"/>
                <w:color w:val="000000" w:themeColor="text1"/>
                <w:sz w:val="16"/>
                <w:szCs w:val="16"/>
                <w:lang w:val="es-US"/>
              </w:rPr>
              <w:t>and Others</w:t>
            </w:r>
            <w:r w:rsidRPr="3E2B1321">
              <w:rPr>
                <w:rFonts w:ascii="Cambria" w:hAnsi="Cambria" w:cs="Calibri"/>
                <w:color w:val="000000" w:themeColor="text1"/>
                <w:sz w:val="16"/>
                <w:szCs w:val="16"/>
                <w:lang w:val="es-US"/>
              </w:rPr>
              <w:t xml:space="preserve"> (Guatemala)</w:t>
            </w:r>
          </w:p>
        </w:tc>
        <w:tc>
          <w:tcPr>
            <w:tcW w:w="577" w:type="pct"/>
            <w:shd w:val="clear" w:color="auto" w:fill="E7E6E6" w:themeFill="background2"/>
            <w:vAlign w:val="center"/>
          </w:tcPr>
          <w:p w14:paraId="78BCC9C1" w14:textId="75B1C192"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70">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D94E1BA"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3A4A89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EE5553E"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F040CED"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970E566"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3841899" w14:textId="77777777" w:rsidTr="3E2B1321">
        <w:trPr>
          <w:trHeight w:val="29"/>
        </w:trPr>
        <w:tc>
          <w:tcPr>
            <w:tcW w:w="962" w:type="pct"/>
            <w:shd w:val="clear" w:color="auto" w:fill="E7E6E6" w:themeFill="background2"/>
          </w:tcPr>
          <w:p w14:paraId="3A3782C4" w14:textId="77777777" w:rsidR="0096378F" w:rsidRPr="009A7939" w:rsidRDefault="0096378F">
            <w:pPr>
              <w:rPr>
                <w:rFonts w:ascii="Cambria" w:eastAsia="MS Mincho" w:hAnsi="Cambria" w:cs="Calibri"/>
                <w:color w:val="000000" w:themeColor="text1"/>
                <w:sz w:val="16"/>
                <w:szCs w:val="16"/>
                <w:lang w:val="es-US"/>
              </w:rPr>
            </w:pPr>
            <w:bookmarkStart w:id="43" w:name="_Hlk91084787"/>
            <w:r w:rsidRPr="009A7939">
              <w:rPr>
                <w:rFonts w:ascii="Cambria" w:hAnsi="Cambria" w:cs="Calibri"/>
                <w:bCs/>
                <w:color w:val="000000" w:themeColor="text1"/>
                <w:sz w:val="16"/>
                <w:szCs w:val="16"/>
                <w:lang w:val="es-US"/>
              </w:rPr>
              <w:t>Case 11.382, Report Nº 57/02, Finca “La Exacta” (Guatemala)</w:t>
            </w:r>
            <w:bookmarkEnd w:id="43"/>
          </w:p>
        </w:tc>
        <w:tc>
          <w:tcPr>
            <w:tcW w:w="577" w:type="pct"/>
            <w:shd w:val="clear" w:color="auto" w:fill="E7E6E6" w:themeFill="background2"/>
            <w:vAlign w:val="center"/>
          </w:tcPr>
          <w:p w14:paraId="7EA07CC8" w14:textId="0338FDDC"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71">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DDFEDDA"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2B4C54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C01CD40"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C2BE58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B10EDEB"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99C5CC9" w14:textId="77777777" w:rsidTr="3E2B1321">
        <w:trPr>
          <w:trHeight w:val="29"/>
        </w:trPr>
        <w:tc>
          <w:tcPr>
            <w:tcW w:w="962" w:type="pct"/>
            <w:shd w:val="clear" w:color="auto" w:fill="E7E6E6" w:themeFill="background2"/>
          </w:tcPr>
          <w:p w14:paraId="2DB0A9AF" w14:textId="77777777" w:rsidR="0096378F" w:rsidRPr="009A7939" w:rsidRDefault="0096378F">
            <w:pPr>
              <w:rPr>
                <w:rFonts w:ascii="Cambria" w:hAnsi="Cambria" w:cs="Calibri"/>
                <w:bCs/>
                <w:color w:val="000000" w:themeColor="text1"/>
                <w:sz w:val="16"/>
                <w:szCs w:val="16"/>
                <w:lang w:val="pt-BR"/>
              </w:rPr>
            </w:pPr>
            <w:r w:rsidRPr="009A7939">
              <w:rPr>
                <w:rFonts w:ascii="Cambria" w:hAnsi="Cambria" w:cs="Calibri"/>
                <w:bCs/>
                <w:color w:val="000000" w:themeColor="text1"/>
                <w:sz w:val="16"/>
                <w:szCs w:val="16"/>
                <w:lang w:val="pt-BR"/>
              </w:rPr>
              <w:t>Case 10.855, Report Nº 100/05, Pedro García Chuc (Guatemala)</w:t>
            </w:r>
          </w:p>
        </w:tc>
        <w:tc>
          <w:tcPr>
            <w:tcW w:w="577" w:type="pct"/>
            <w:shd w:val="clear" w:color="auto" w:fill="E7E6E6" w:themeFill="background2"/>
            <w:vAlign w:val="center"/>
          </w:tcPr>
          <w:p w14:paraId="6D6A5B0A" w14:textId="02B65BD6"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72">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4337EE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697351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1DD55ED"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3364E5F"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5697438"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1AA32520" w14:textId="77777777" w:rsidTr="3E2B1321">
        <w:trPr>
          <w:trHeight w:val="29"/>
        </w:trPr>
        <w:tc>
          <w:tcPr>
            <w:tcW w:w="962" w:type="pct"/>
            <w:shd w:val="clear" w:color="auto" w:fill="E7E6E6" w:themeFill="background2"/>
          </w:tcPr>
          <w:p w14:paraId="7EA0800E" w14:textId="77777777" w:rsidR="0096378F" w:rsidRPr="009A7939" w:rsidRDefault="0096378F">
            <w:pPr>
              <w:rPr>
                <w:rFonts w:ascii="Cambria" w:eastAsia="MS Mincho" w:hAnsi="Cambria" w:cs="Calibri"/>
                <w:color w:val="000000" w:themeColor="text1"/>
                <w:sz w:val="16"/>
                <w:szCs w:val="16"/>
                <w:lang w:val="pt-BR"/>
              </w:rPr>
            </w:pPr>
            <w:r w:rsidRPr="009A7939">
              <w:rPr>
                <w:rFonts w:ascii="Cambria" w:hAnsi="Cambria" w:cs="Calibri"/>
                <w:bCs/>
                <w:color w:val="000000" w:themeColor="text1"/>
                <w:sz w:val="16"/>
                <w:szCs w:val="16"/>
                <w:lang w:val="pt-BR"/>
              </w:rPr>
              <w:t>Case 11.171, Report Nº 69/06, Tomas Lares Cipriano (Guatemala)</w:t>
            </w:r>
          </w:p>
        </w:tc>
        <w:tc>
          <w:tcPr>
            <w:tcW w:w="577" w:type="pct"/>
            <w:shd w:val="clear" w:color="auto" w:fill="E7E6E6" w:themeFill="background2"/>
            <w:vAlign w:val="center"/>
          </w:tcPr>
          <w:p w14:paraId="6E5D8ECC" w14:textId="4981BC26"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73">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63C0FBD"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934813B"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E4E776C"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3482C8B"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2E1C72F"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198569B" w14:textId="77777777" w:rsidTr="3E2B1321">
        <w:trPr>
          <w:trHeight w:val="32"/>
        </w:trPr>
        <w:tc>
          <w:tcPr>
            <w:tcW w:w="962" w:type="pct"/>
            <w:shd w:val="clear" w:color="auto" w:fill="E7E6E6" w:themeFill="background2"/>
          </w:tcPr>
          <w:p w14:paraId="7FD4084D" w14:textId="77777777" w:rsidR="0096378F" w:rsidRPr="009A7939" w:rsidRDefault="0096378F">
            <w:pPr>
              <w:rPr>
                <w:rFonts w:ascii="Cambria" w:eastAsia="MS Mincho" w:hAnsi="Cambria" w:cs="Calibri"/>
                <w:color w:val="000000" w:themeColor="text1"/>
                <w:sz w:val="16"/>
                <w:szCs w:val="16"/>
                <w:lang w:val="es-US"/>
              </w:rPr>
            </w:pPr>
            <w:r w:rsidRPr="009A7939">
              <w:rPr>
                <w:rFonts w:ascii="Cambria" w:hAnsi="Cambria" w:cs="Calibri"/>
                <w:color w:val="000000" w:themeColor="text1"/>
                <w:sz w:val="16"/>
                <w:szCs w:val="16"/>
                <w:lang w:val="es-US"/>
              </w:rPr>
              <w:t>Case 11.658, Report Nº 80/07, Martín Pelicó Coxic (Guatemala)</w:t>
            </w:r>
          </w:p>
        </w:tc>
        <w:tc>
          <w:tcPr>
            <w:tcW w:w="577" w:type="pct"/>
            <w:shd w:val="clear" w:color="auto" w:fill="E7E6E6" w:themeFill="background2"/>
            <w:vAlign w:val="center"/>
          </w:tcPr>
          <w:p w14:paraId="044F5D59" w14:textId="40DEF768"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74">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3BCDE0B"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F9F4D7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D6BF001"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0E31010"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1EBE40C"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2B994142" w14:textId="77777777" w:rsidTr="3E2B1321">
        <w:trPr>
          <w:trHeight w:val="37"/>
        </w:trPr>
        <w:tc>
          <w:tcPr>
            <w:tcW w:w="962" w:type="pct"/>
            <w:shd w:val="clear" w:color="auto" w:fill="E7E6E6" w:themeFill="background2"/>
          </w:tcPr>
          <w:p w14:paraId="7C3F7121" w14:textId="77777777" w:rsidR="0096378F" w:rsidRPr="00A66F64" w:rsidRDefault="0096378F">
            <w:pPr>
              <w:rPr>
                <w:rFonts w:ascii="Cambria" w:hAnsi="Cambria" w:cs="Calibri"/>
                <w:color w:val="000000" w:themeColor="text1"/>
                <w:sz w:val="16"/>
                <w:szCs w:val="16"/>
              </w:rPr>
            </w:pPr>
            <w:r w:rsidRPr="00A66F64">
              <w:rPr>
                <w:rFonts w:ascii="Cambria" w:hAnsi="Cambria" w:cs="Calibri"/>
                <w:bCs/>
                <w:color w:val="000000" w:themeColor="text1"/>
                <w:sz w:val="16"/>
                <w:szCs w:val="16"/>
              </w:rPr>
              <w:t>Case 12.264, Report Nº 1/06, Franz Britton (Guyana)</w:t>
            </w:r>
          </w:p>
        </w:tc>
        <w:tc>
          <w:tcPr>
            <w:tcW w:w="577" w:type="pct"/>
            <w:shd w:val="clear" w:color="auto" w:fill="E7E6E6" w:themeFill="background2"/>
            <w:vAlign w:val="center"/>
          </w:tcPr>
          <w:p w14:paraId="28E3E81D"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75">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A4C746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21990E4"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9D86AFF"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5E8D8F54"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77C0696C"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11D13F8B" w14:textId="77777777" w:rsidTr="3E2B1321">
        <w:trPr>
          <w:trHeight w:val="30"/>
        </w:trPr>
        <w:tc>
          <w:tcPr>
            <w:tcW w:w="962" w:type="pct"/>
            <w:shd w:val="clear" w:color="auto" w:fill="E7E6E6" w:themeFill="background2"/>
          </w:tcPr>
          <w:p w14:paraId="31693F8B" w14:textId="77777777" w:rsidR="0096378F" w:rsidRPr="00A66F64" w:rsidRDefault="0096378F">
            <w:pPr>
              <w:rPr>
                <w:rFonts w:ascii="Cambria" w:hAnsi="Cambria" w:cs="Calibri"/>
                <w:color w:val="000000" w:themeColor="text1"/>
                <w:sz w:val="16"/>
                <w:szCs w:val="16"/>
              </w:rPr>
            </w:pPr>
            <w:bookmarkStart w:id="44" w:name="_Hlk91093223"/>
            <w:r w:rsidRPr="00A66F64">
              <w:rPr>
                <w:rFonts w:ascii="Cambria" w:hAnsi="Cambria" w:cs="Calibri"/>
                <w:bCs/>
                <w:color w:val="000000" w:themeColor="text1"/>
                <w:sz w:val="16"/>
                <w:szCs w:val="16"/>
              </w:rPr>
              <w:t>Case 12.504, Report 81/07 Daniel,</w:t>
            </w:r>
            <w:r>
              <w:rPr>
                <w:rFonts w:ascii="Cambria" w:hAnsi="Cambria" w:cs="Calibri"/>
                <w:bCs/>
                <w:color w:val="000000" w:themeColor="text1"/>
                <w:sz w:val="16"/>
                <w:szCs w:val="16"/>
              </w:rPr>
              <w:t xml:space="preserve"> and </w:t>
            </w:r>
            <w:r w:rsidRPr="00A66F64">
              <w:rPr>
                <w:rFonts w:ascii="Cambria" w:hAnsi="Cambria" w:cs="Calibri"/>
                <w:bCs/>
                <w:color w:val="000000" w:themeColor="text1"/>
                <w:sz w:val="16"/>
                <w:szCs w:val="16"/>
              </w:rPr>
              <w:t>Kornel Vaux (Guyana)</w:t>
            </w:r>
            <w:bookmarkEnd w:id="44"/>
          </w:p>
        </w:tc>
        <w:tc>
          <w:tcPr>
            <w:tcW w:w="577" w:type="pct"/>
            <w:shd w:val="clear" w:color="auto" w:fill="E7E6E6" w:themeFill="background2"/>
            <w:vAlign w:val="center"/>
          </w:tcPr>
          <w:p w14:paraId="2DB784AC"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76">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46997C4"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1F03FE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8CF5003"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43D628C"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1FA7E6F"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B003D48" w14:textId="77777777" w:rsidTr="3E2B1321">
        <w:trPr>
          <w:trHeight w:val="29"/>
        </w:trPr>
        <w:tc>
          <w:tcPr>
            <w:tcW w:w="962" w:type="pct"/>
            <w:shd w:val="clear" w:color="auto" w:fill="E7E6E6" w:themeFill="background2"/>
          </w:tcPr>
          <w:p w14:paraId="237F7B75" w14:textId="77777777" w:rsidR="0096378F" w:rsidRPr="00A66F64" w:rsidRDefault="0096378F">
            <w:pPr>
              <w:rPr>
                <w:rFonts w:ascii="Cambria" w:hAnsi="Cambria" w:cs="Calibri"/>
                <w:color w:val="000000" w:themeColor="text1"/>
                <w:sz w:val="16"/>
                <w:szCs w:val="16"/>
              </w:rPr>
            </w:pPr>
            <w:bookmarkStart w:id="45" w:name="_Hlk91093236"/>
            <w:r w:rsidRPr="00A66F64">
              <w:rPr>
                <w:rFonts w:ascii="Cambria" w:hAnsi="Cambria" w:cs="Calibri"/>
                <w:bCs/>
                <w:color w:val="000000" w:themeColor="text1"/>
                <w:sz w:val="16"/>
                <w:szCs w:val="16"/>
              </w:rPr>
              <w:t xml:space="preserve">Case </w:t>
            </w:r>
            <w:r w:rsidRPr="00A66F64">
              <w:rPr>
                <w:rFonts w:ascii="Cambria" w:hAnsi="Cambria" w:cs="Calibri"/>
                <w:color w:val="000000" w:themeColor="text1"/>
                <w:sz w:val="16"/>
                <w:szCs w:val="16"/>
              </w:rPr>
              <w:t>11.335, Report Nº 78/02, Guy Malary (Hait</w:t>
            </w:r>
            <w:r>
              <w:rPr>
                <w:rFonts w:ascii="Cambria" w:hAnsi="Cambria" w:cs="Calibri"/>
                <w:color w:val="000000" w:themeColor="text1"/>
                <w:sz w:val="16"/>
                <w:szCs w:val="16"/>
              </w:rPr>
              <w:t>i</w:t>
            </w:r>
            <w:r w:rsidRPr="00A66F64">
              <w:rPr>
                <w:rFonts w:ascii="Cambria" w:hAnsi="Cambria" w:cs="Calibri"/>
                <w:color w:val="000000" w:themeColor="text1"/>
                <w:sz w:val="16"/>
                <w:szCs w:val="16"/>
              </w:rPr>
              <w:t>)</w:t>
            </w:r>
            <w:bookmarkEnd w:id="45"/>
          </w:p>
        </w:tc>
        <w:tc>
          <w:tcPr>
            <w:tcW w:w="577" w:type="pct"/>
            <w:shd w:val="clear" w:color="auto" w:fill="E7E6E6" w:themeFill="background2"/>
            <w:vAlign w:val="center"/>
          </w:tcPr>
          <w:p w14:paraId="6CB007AD"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77">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38235F5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00CC72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540C808"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6146C2D5"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72AD3CBE"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4A768469" w14:textId="77777777" w:rsidTr="3E2B1321">
        <w:trPr>
          <w:trHeight w:val="37"/>
        </w:trPr>
        <w:tc>
          <w:tcPr>
            <w:tcW w:w="962" w:type="pct"/>
            <w:shd w:val="clear" w:color="auto" w:fill="E7E6E6" w:themeFill="background2"/>
          </w:tcPr>
          <w:p w14:paraId="533BE186" w14:textId="77777777" w:rsidR="0096378F" w:rsidRPr="00A66F64" w:rsidRDefault="0096378F">
            <w:pPr>
              <w:rPr>
                <w:rFonts w:ascii="Cambria" w:hAnsi="Cambria" w:cs="Calibri"/>
                <w:color w:val="000000" w:themeColor="text1"/>
                <w:sz w:val="16"/>
                <w:szCs w:val="16"/>
              </w:rPr>
            </w:pPr>
            <w:r>
              <w:rPr>
                <w:rFonts w:ascii="Cambria" w:hAnsi="Cambria" w:cs="Calibri"/>
                <w:color w:val="000000" w:themeColor="text1"/>
                <w:sz w:val="16"/>
                <w:szCs w:val="16"/>
              </w:rPr>
              <w:t>Cases</w:t>
            </w:r>
            <w:r w:rsidRPr="00A66F64">
              <w:rPr>
                <w:rFonts w:ascii="Cambria" w:hAnsi="Cambria" w:cs="Calibri"/>
                <w:color w:val="000000" w:themeColor="text1"/>
                <w:sz w:val="16"/>
                <w:szCs w:val="16"/>
              </w:rPr>
              <w:t xml:space="preserve"> 11.826, 11.843, 11.846 and 11.847, Report Nº 49/01, Leroy Lamey, Kevin Mykoo, Milton Montique, and Dalton Daley (Jamaica)</w:t>
            </w:r>
          </w:p>
        </w:tc>
        <w:tc>
          <w:tcPr>
            <w:tcW w:w="577" w:type="pct"/>
            <w:shd w:val="clear" w:color="auto" w:fill="E7E6E6" w:themeFill="background2"/>
            <w:vAlign w:val="center"/>
          </w:tcPr>
          <w:p w14:paraId="3B47C0F3"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78">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AC1FA00"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EA0B60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6741730"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EAA74CF"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C502A61"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2FAE1627" w14:textId="77777777" w:rsidTr="3E2B1321">
        <w:trPr>
          <w:trHeight w:val="33"/>
        </w:trPr>
        <w:tc>
          <w:tcPr>
            <w:tcW w:w="962" w:type="pct"/>
            <w:shd w:val="clear" w:color="auto" w:fill="E7E6E6" w:themeFill="background2"/>
          </w:tcPr>
          <w:p w14:paraId="3FC27A53" w14:textId="77777777" w:rsidR="0096378F" w:rsidRPr="008E630F" w:rsidRDefault="0096378F">
            <w:pPr>
              <w:rPr>
                <w:rFonts w:ascii="Cambria" w:hAnsi="Cambria" w:cs="Calibri"/>
                <w:color w:val="000000" w:themeColor="text1"/>
                <w:sz w:val="16"/>
                <w:szCs w:val="16"/>
              </w:rPr>
            </w:pPr>
            <w:r w:rsidRPr="008E630F">
              <w:rPr>
                <w:rFonts w:ascii="Cambria" w:hAnsi="Cambria" w:cs="Calibri"/>
                <w:color w:val="000000" w:themeColor="text1"/>
                <w:sz w:val="16"/>
                <w:szCs w:val="16"/>
              </w:rPr>
              <w:t>Case 12.069, Report Nº 50/01, Damion Thomas (Jamaica)</w:t>
            </w:r>
          </w:p>
        </w:tc>
        <w:tc>
          <w:tcPr>
            <w:tcW w:w="577" w:type="pct"/>
            <w:shd w:val="clear" w:color="auto" w:fill="E7E6E6" w:themeFill="background2"/>
            <w:vAlign w:val="center"/>
          </w:tcPr>
          <w:p w14:paraId="22DB9540"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79">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5CF97C9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A2D5324"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7DB854F"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B9623DA"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9EA6192"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D7CD42C" w14:textId="77777777" w:rsidTr="3E2B1321">
        <w:trPr>
          <w:trHeight w:val="30"/>
        </w:trPr>
        <w:tc>
          <w:tcPr>
            <w:tcW w:w="962" w:type="pct"/>
            <w:shd w:val="clear" w:color="auto" w:fill="E7E6E6" w:themeFill="background2"/>
          </w:tcPr>
          <w:p w14:paraId="4494903D" w14:textId="77777777" w:rsidR="0096378F" w:rsidRPr="008E630F" w:rsidRDefault="0096378F">
            <w:pPr>
              <w:rPr>
                <w:rFonts w:ascii="Cambria" w:hAnsi="Cambria" w:cs="Calibri"/>
                <w:color w:val="000000" w:themeColor="text1"/>
                <w:sz w:val="16"/>
                <w:szCs w:val="16"/>
              </w:rPr>
            </w:pPr>
            <w:r w:rsidRPr="008E630F">
              <w:rPr>
                <w:rFonts w:ascii="Cambria" w:hAnsi="Cambria" w:cs="Calibri"/>
                <w:color w:val="000000" w:themeColor="text1"/>
                <w:sz w:val="16"/>
                <w:szCs w:val="16"/>
              </w:rPr>
              <w:t>Case 12.183, Report Nº 127/01, Joseph Thomas (Jamaica)</w:t>
            </w:r>
          </w:p>
        </w:tc>
        <w:tc>
          <w:tcPr>
            <w:tcW w:w="577" w:type="pct"/>
            <w:shd w:val="clear" w:color="auto" w:fill="E7E6E6" w:themeFill="background2"/>
            <w:vAlign w:val="center"/>
          </w:tcPr>
          <w:p w14:paraId="126E453C"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80">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B62D6CE"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9D765AB"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76419E1"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6418E86"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C0596F3"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0B2C7E92" w14:textId="77777777" w:rsidTr="3E2B1321">
        <w:trPr>
          <w:trHeight w:val="29"/>
        </w:trPr>
        <w:tc>
          <w:tcPr>
            <w:tcW w:w="962" w:type="pct"/>
            <w:shd w:val="clear" w:color="auto" w:fill="E7E6E6" w:themeFill="background2"/>
          </w:tcPr>
          <w:p w14:paraId="18E48B68" w14:textId="77777777" w:rsidR="0096378F" w:rsidRPr="00A66F64" w:rsidRDefault="0096378F">
            <w:pPr>
              <w:rPr>
                <w:rFonts w:ascii="Cambria" w:hAnsi="Cambria" w:cs="Calibri"/>
                <w:color w:val="000000" w:themeColor="text1"/>
                <w:sz w:val="16"/>
                <w:szCs w:val="16"/>
              </w:rPr>
            </w:pPr>
            <w:r w:rsidRPr="00A66F64">
              <w:rPr>
                <w:rFonts w:ascii="Cambria" w:hAnsi="Cambria" w:cs="Calibri"/>
                <w:bCs/>
                <w:color w:val="000000" w:themeColor="text1"/>
                <w:sz w:val="16"/>
                <w:szCs w:val="16"/>
              </w:rPr>
              <w:t xml:space="preserve">Case </w:t>
            </w:r>
            <w:r w:rsidRPr="00A66F64">
              <w:rPr>
                <w:rFonts w:ascii="Cambria" w:hAnsi="Cambria" w:cs="Calibri"/>
                <w:color w:val="000000" w:themeColor="text1"/>
                <w:sz w:val="16"/>
                <w:szCs w:val="16"/>
              </w:rPr>
              <w:t>12.275, Report Nº 58/02, Denton Aitken (Jamaica)</w:t>
            </w:r>
          </w:p>
        </w:tc>
        <w:tc>
          <w:tcPr>
            <w:tcW w:w="577" w:type="pct"/>
            <w:shd w:val="clear" w:color="auto" w:fill="E7E6E6" w:themeFill="background2"/>
            <w:vAlign w:val="center"/>
          </w:tcPr>
          <w:p w14:paraId="12C4CC15"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81">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2D5F70E"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5739B1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F12AF3B"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AD94266"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BD52657"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0B1B0C66" w14:textId="77777777" w:rsidTr="3E2B1321">
        <w:trPr>
          <w:trHeight w:val="37"/>
        </w:trPr>
        <w:tc>
          <w:tcPr>
            <w:tcW w:w="962" w:type="pct"/>
            <w:shd w:val="clear" w:color="auto" w:fill="E7E6E6" w:themeFill="background2"/>
          </w:tcPr>
          <w:p w14:paraId="45006BE6" w14:textId="77777777" w:rsidR="0096378F" w:rsidRPr="008E630F" w:rsidRDefault="0096378F">
            <w:pPr>
              <w:rPr>
                <w:rFonts w:ascii="Cambria" w:hAnsi="Cambria" w:cs="Calibri"/>
                <w:color w:val="000000" w:themeColor="text1"/>
                <w:sz w:val="16"/>
                <w:szCs w:val="16"/>
              </w:rPr>
            </w:pPr>
            <w:r w:rsidRPr="008E630F">
              <w:rPr>
                <w:rFonts w:ascii="Cambria" w:hAnsi="Cambria" w:cs="Calibri"/>
                <w:bCs/>
                <w:color w:val="000000" w:themeColor="text1"/>
                <w:sz w:val="16"/>
                <w:szCs w:val="16"/>
              </w:rPr>
              <w:lastRenderedPageBreak/>
              <w:t>Case 12.347, Report Nº 76/02, Dave Sewell (Jamaica)</w:t>
            </w:r>
          </w:p>
        </w:tc>
        <w:tc>
          <w:tcPr>
            <w:tcW w:w="577" w:type="pct"/>
            <w:shd w:val="clear" w:color="auto" w:fill="E7E6E6" w:themeFill="background2"/>
            <w:vAlign w:val="center"/>
          </w:tcPr>
          <w:p w14:paraId="3C382D9F"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82">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523B092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DDACF3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E4C7E13"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78D5381"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3C942F8"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47665EB7" w14:textId="77777777" w:rsidTr="3E2B1321">
        <w:trPr>
          <w:trHeight w:val="37"/>
        </w:trPr>
        <w:tc>
          <w:tcPr>
            <w:tcW w:w="962" w:type="pct"/>
            <w:shd w:val="clear" w:color="auto" w:fill="E7E6E6" w:themeFill="background2"/>
          </w:tcPr>
          <w:p w14:paraId="27B7528A" w14:textId="77777777" w:rsidR="0096378F" w:rsidRPr="008E630F" w:rsidRDefault="0096378F">
            <w:pPr>
              <w:rPr>
                <w:rFonts w:ascii="Cambria" w:hAnsi="Cambria" w:cs="Calibri"/>
                <w:color w:val="000000" w:themeColor="text1"/>
                <w:sz w:val="16"/>
                <w:szCs w:val="16"/>
              </w:rPr>
            </w:pPr>
            <w:r w:rsidRPr="008E630F">
              <w:rPr>
                <w:rFonts w:ascii="Cambria" w:hAnsi="Cambria" w:cs="Calibri"/>
                <w:color w:val="000000" w:themeColor="text1"/>
                <w:sz w:val="16"/>
                <w:szCs w:val="16"/>
              </w:rPr>
              <w:t>Case 12.417, Report Nº 41/04, Whitley Myrie (Jamaica)</w:t>
            </w:r>
          </w:p>
        </w:tc>
        <w:tc>
          <w:tcPr>
            <w:tcW w:w="577" w:type="pct"/>
            <w:shd w:val="clear" w:color="auto" w:fill="E7E6E6" w:themeFill="background2"/>
            <w:vAlign w:val="center"/>
          </w:tcPr>
          <w:p w14:paraId="3EE6356D"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83">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09C6067"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A2B260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45F0035"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B97E265"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CD5212B"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14E8097" w14:textId="77777777" w:rsidTr="3E2B1321">
        <w:trPr>
          <w:trHeight w:val="30"/>
        </w:trPr>
        <w:tc>
          <w:tcPr>
            <w:tcW w:w="962" w:type="pct"/>
            <w:shd w:val="clear" w:color="auto" w:fill="E7E6E6" w:themeFill="background2"/>
          </w:tcPr>
          <w:p w14:paraId="3D4C6221" w14:textId="77777777" w:rsidR="0096378F" w:rsidRPr="008E630F" w:rsidRDefault="0096378F">
            <w:pPr>
              <w:rPr>
                <w:rFonts w:ascii="Cambria" w:hAnsi="Cambria" w:cs="Calibri"/>
                <w:color w:val="000000" w:themeColor="text1"/>
                <w:sz w:val="16"/>
                <w:szCs w:val="16"/>
              </w:rPr>
            </w:pPr>
            <w:r w:rsidRPr="008E630F">
              <w:rPr>
                <w:rFonts w:ascii="Cambria" w:hAnsi="Cambria" w:cs="Calibri"/>
                <w:color w:val="000000" w:themeColor="text1"/>
                <w:sz w:val="16"/>
                <w:szCs w:val="16"/>
              </w:rPr>
              <w:t>Case 12.418, Report Nº 92/05, Michael Gayle (Jamaica)</w:t>
            </w:r>
          </w:p>
        </w:tc>
        <w:tc>
          <w:tcPr>
            <w:tcW w:w="577" w:type="pct"/>
            <w:shd w:val="clear" w:color="auto" w:fill="E7E6E6" w:themeFill="background2"/>
            <w:vAlign w:val="center"/>
          </w:tcPr>
          <w:p w14:paraId="365D690D"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84">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3893E22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C56CDA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91B5176"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810E9A5"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BE0273E"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13FFE717" w14:textId="77777777" w:rsidTr="3E2B1321">
        <w:trPr>
          <w:trHeight w:val="32"/>
        </w:trPr>
        <w:tc>
          <w:tcPr>
            <w:tcW w:w="962" w:type="pct"/>
            <w:shd w:val="clear" w:color="auto" w:fill="E7E6E6" w:themeFill="background2"/>
          </w:tcPr>
          <w:p w14:paraId="1BA7FF7E" w14:textId="77777777" w:rsidR="0096378F" w:rsidRPr="008E630F" w:rsidRDefault="0096378F">
            <w:pPr>
              <w:rPr>
                <w:rFonts w:ascii="Cambria" w:hAnsi="Cambria" w:cs="Calibri"/>
                <w:color w:val="000000" w:themeColor="text1"/>
                <w:sz w:val="16"/>
                <w:szCs w:val="16"/>
              </w:rPr>
            </w:pPr>
            <w:r w:rsidRPr="008E630F">
              <w:rPr>
                <w:rFonts w:ascii="Cambria" w:hAnsi="Cambria" w:cs="Calibri"/>
                <w:color w:val="000000" w:themeColor="text1"/>
                <w:sz w:val="16"/>
                <w:szCs w:val="16"/>
              </w:rPr>
              <w:t>Case 12.447, Report Nº 61/06, Derrick Tracey (Jamaica)</w:t>
            </w:r>
          </w:p>
        </w:tc>
        <w:tc>
          <w:tcPr>
            <w:tcW w:w="577" w:type="pct"/>
            <w:shd w:val="clear" w:color="auto" w:fill="E7E6E6" w:themeFill="background2"/>
            <w:vAlign w:val="center"/>
          </w:tcPr>
          <w:p w14:paraId="17014810"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85">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73645A3"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81A3E0D"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1CB6FA2"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4867DCF"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6952D84"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3BCB7101" w14:textId="77777777" w:rsidTr="3E2B1321">
        <w:trPr>
          <w:trHeight w:val="32"/>
        </w:trPr>
        <w:tc>
          <w:tcPr>
            <w:tcW w:w="962" w:type="pct"/>
            <w:shd w:val="clear" w:color="auto" w:fill="E7E6E6" w:themeFill="background2"/>
          </w:tcPr>
          <w:p w14:paraId="5B51116E" w14:textId="77777777" w:rsidR="0096378F" w:rsidRPr="008E630F" w:rsidRDefault="0096378F">
            <w:pPr>
              <w:rPr>
                <w:rFonts w:ascii="Cambria" w:hAnsi="Cambria" w:cs="Calibri"/>
                <w:color w:val="000000" w:themeColor="text1"/>
                <w:sz w:val="16"/>
                <w:szCs w:val="16"/>
              </w:rPr>
            </w:pPr>
            <w:bookmarkStart w:id="46" w:name="_Hlk91002323"/>
            <w:r w:rsidRPr="008E630F">
              <w:rPr>
                <w:rFonts w:ascii="Cambria" w:hAnsi="Cambria" w:cs="Calibri"/>
                <w:color w:val="000000" w:themeColor="text1"/>
                <w:sz w:val="16"/>
                <w:szCs w:val="16"/>
              </w:rPr>
              <w:t xml:space="preserve">Case 13.095, Report Nº 401/20, </w:t>
            </w:r>
            <w:r w:rsidRPr="00A66F64">
              <w:rPr>
                <w:rFonts w:ascii="Cambria" w:hAnsi="Cambria"/>
                <w:color w:val="000000" w:themeColor="text1"/>
                <w:sz w:val="16"/>
                <w:szCs w:val="16"/>
              </w:rPr>
              <w:t>T.B.</w:t>
            </w:r>
            <w:r>
              <w:rPr>
                <w:rFonts w:ascii="Cambria" w:hAnsi="Cambria"/>
                <w:color w:val="000000" w:themeColor="text1"/>
                <w:sz w:val="16"/>
                <w:szCs w:val="16"/>
              </w:rPr>
              <w:t xml:space="preserve"> and </w:t>
            </w:r>
            <w:r w:rsidRPr="00A66F64">
              <w:rPr>
                <w:rFonts w:ascii="Cambria" w:hAnsi="Cambria"/>
                <w:color w:val="000000" w:themeColor="text1"/>
                <w:sz w:val="16"/>
                <w:szCs w:val="16"/>
              </w:rPr>
              <w:t>S.H.</w:t>
            </w:r>
            <w:r w:rsidRPr="008E630F">
              <w:rPr>
                <w:rFonts w:ascii="Cambria" w:hAnsi="Cambria" w:cs="Calibri"/>
                <w:color w:val="000000" w:themeColor="text1"/>
                <w:sz w:val="16"/>
                <w:szCs w:val="16"/>
              </w:rPr>
              <w:t xml:space="preserve"> (Jamaica)</w:t>
            </w:r>
            <w:bookmarkEnd w:id="46"/>
          </w:p>
        </w:tc>
        <w:tc>
          <w:tcPr>
            <w:tcW w:w="577" w:type="pct"/>
            <w:shd w:val="clear" w:color="auto" w:fill="E7E6E6" w:themeFill="background2"/>
            <w:vAlign w:val="center"/>
          </w:tcPr>
          <w:p w14:paraId="50168C04"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86">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0C06543E"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9DA796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D6F7A8A"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38BD0D73"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47B9BE6F" w14:textId="77777777" w:rsidR="0096378F" w:rsidRPr="0093583F" w:rsidRDefault="0096378F">
            <w:pPr>
              <w:jc w:val="center"/>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Open</w:t>
            </w:r>
          </w:p>
        </w:tc>
      </w:tr>
      <w:tr w:rsidR="0096378F" w:rsidRPr="0093583F" w14:paraId="4A5B8123" w14:textId="77777777" w:rsidTr="3E2B1321">
        <w:trPr>
          <w:trHeight w:val="32"/>
        </w:trPr>
        <w:tc>
          <w:tcPr>
            <w:tcW w:w="962" w:type="pct"/>
            <w:shd w:val="clear" w:color="auto" w:fill="E7E6E6" w:themeFill="background2"/>
          </w:tcPr>
          <w:p w14:paraId="06BB148D" w14:textId="6DB98C87" w:rsidR="0096378F" w:rsidRPr="008E630F" w:rsidRDefault="0096378F">
            <w:pPr>
              <w:rPr>
                <w:rFonts w:ascii="Cambria" w:hAnsi="Cambria" w:cs="Calibri"/>
                <w:color w:val="000000" w:themeColor="text1"/>
                <w:sz w:val="16"/>
                <w:szCs w:val="16"/>
              </w:rPr>
            </w:pPr>
            <w:bookmarkStart w:id="47" w:name="_Hlk91002328"/>
            <w:r w:rsidRPr="008E630F">
              <w:rPr>
                <w:rFonts w:ascii="Cambria" w:hAnsi="Cambria" w:cs="Calibri"/>
                <w:color w:val="000000" w:themeColor="text1"/>
                <w:sz w:val="16"/>
                <w:szCs w:val="16"/>
              </w:rPr>
              <w:t>Case 13.</w:t>
            </w:r>
            <w:r w:rsidR="7FC7C538" w:rsidRPr="008E630F">
              <w:rPr>
                <w:rFonts w:ascii="Cambria" w:hAnsi="Cambria" w:cs="Calibri"/>
                <w:color w:val="000000" w:themeColor="text1"/>
                <w:sz w:val="16"/>
                <w:szCs w:val="16"/>
              </w:rPr>
              <w:t>36</w:t>
            </w:r>
            <w:r w:rsidRPr="008E630F">
              <w:rPr>
                <w:rFonts w:ascii="Cambria" w:hAnsi="Cambria" w:cs="Calibri"/>
                <w:color w:val="000000" w:themeColor="text1"/>
                <w:sz w:val="16"/>
                <w:szCs w:val="16"/>
              </w:rPr>
              <w:t xml:space="preserve">7, Report Nº 400/20, </w:t>
            </w:r>
            <w:r w:rsidRPr="3E2B1321">
              <w:rPr>
                <w:rFonts w:ascii="Cambria" w:hAnsi="Cambria" w:cs="Tahoma"/>
                <w:color w:val="000000" w:themeColor="text1"/>
                <w:sz w:val="16"/>
                <w:szCs w:val="16"/>
                <w:shd w:val="clear" w:color="auto" w:fill="F2F2F2"/>
              </w:rPr>
              <w:t>Gareth Henry and Simone Carline Edwards</w:t>
            </w:r>
            <w:r w:rsidRPr="008E630F">
              <w:rPr>
                <w:rFonts w:ascii="Cambria" w:hAnsi="Cambria" w:cs="Calibri"/>
                <w:color w:val="000000" w:themeColor="text1"/>
                <w:sz w:val="16"/>
                <w:szCs w:val="16"/>
              </w:rPr>
              <w:t xml:space="preserve"> (Jamaica)</w:t>
            </w:r>
            <w:bookmarkEnd w:id="47"/>
          </w:p>
        </w:tc>
        <w:tc>
          <w:tcPr>
            <w:tcW w:w="577" w:type="pct"/>
            <w:shd w:val="clear" w:color="auto" w:fill="E7E6E6" w:themeFill="background2"/>
            <w:vAlign w:val="center"/>
          </w:tcPr>
          <w:p w14:paraId="521008E3"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187">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C31D7FD"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F37D17D"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B6C7451"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5AB6FAFA"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38C72176" w14:textId="77777777" w:rsidR="0096378F" w:rsidRPr="0093583F" w:rsidRDefault="0096378F">
            <w:pPr>
              <w:jc w:val="center"/>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Open</w:t>
            </w:r>
          </w:p>
        </w:tc>
      </w:tr>
      <w:tr w:rsidR="0096378F" w:rsidRPr="0093583F" w14:paraId="0334D198" w14:textId="77777777" w:rsidTr="3E2B1321">
        <w:trPr>
          <w:trHeight w:val="30"/>
        </w:trPr>
        <w:tc>
          <w:tcPr>
            <w:tcW w:w="962" w:type="pct"/>
            <w:shd w:val="clear" w:color="auto" w:fill="E7E6E6" w:themeFill="background2"/>
          </w:tcPr>
          <w:p w14:paraId="3375EA51" w14:textId="77777777" w:rsidR="0096378F" w:rsidRPr="0093583F" w:rsidRDefault="0096378F">
            <w:pPr>
              <w:rPr>
                <w:rFonts w:ascii="Cambria" w:hAnsi="Cambria" w:cs="Calibri"/>
                <w:color w:val="000000" w:themeColor="text1"/>
                <w:sz w:val="16"/>
                <w:szCs w:val="16"/>
                <w:lang w:val="es-US"/>
              </w:rPr>
            </w:pPr>
            <w:bookmarkStart w:id="48" w:name="_Hlk91082974"/>
            <w:r>
              <w:rPr>
                <w:rFonts w:ascii="Cambria" w:hAnsi="Cambria" w:cs="Calibri"/>
                <w:bCs/>
                <w:color w:val="000000" w:themeColor="text1"/>
                <w:sz w:val="16"/>
                <w:szCs w:val="16"/>
                <w:lang w:val="es-US"/>
              </w:rPr>
              <w:t xml:space="preserve">Case </w:t>
            </w:r>
            <w:r w:rsidRPr="0093583F">
              <w:rPr>
                <w:rFonts w:ascii="Cambria" w:hAnsi="Cambria" w:cs="Calibri"/>
                <w:bCs/>
                <w:color w:val="000000" w:themeColor="text1"/>
                <w:sz w:val="16"/>
                <w:szCs w:val="16"/>
                <w:lang w:val="es-US"/>
              </w:rPr>
              <w:t xml:space="preserve">11.565, </w:t>
            </w:r>
            <w:r>
              <w:rPr>
                <w:rFonts w:ascii="Cambria" w:hAnsi="Cambria" w:cs="Calibri"/>
                <w:bCs/>
                <w:color w:val="000000" w:themeColor="text1"/>
                <w:sz w:val="16"/>
                <w:szCs w:val="16"/>
                <w:lang w:val="es-US"/>
              </w:rPr>
              <w:t>Report</w:t>
            </w:r>
            <w:r w:rsidRPr="0093583F">
              <w:rPr>
                <w:rFonts w:ascii="Cambria" w:hAnsi="Cambria" w:cs="Calibri"/>
                <w:bCs/>
                <w:color w:val="000000" w:themeColor="text1"/>
                <w:sz w:val="16"/>
                <w:szCs w:val="16"/>
                <w:lang w:val="es-US"/>
              </w:rPr>
              <w:t xml:space="preserve"> Nº 53/01, Hermanas González Pérez </w:t>
            </w:r>
            <w:r>
              <w:rPr>
                <w:rFonts w:ascii="Cambria" w:hAnsi="Cambria" w:cs="Calibri"/>
                <w:bCs/>
                <w:color w:val="000000" w:themeColor="text1"/>
                <w:sz w:val="16"/>
                <w:szCs w:val="16"/>
                <w:lang w:val="es-US"/>
              </w:rPr>
              <w:t>(Mex</w:t>
            </w:r>
            <w:r w:rsidRPr="0093583F">
              <w:rPr>
                <w:rFonts w:ascii="Cambria" w:hAnsi="Cambria" w:cs="Calibri"/>
                <w:bCs/>
                <w:color w:val="000000" w:themeColor="text1"/>
                <w:sz w:val="16"/>
                <w:szCs w:val="16"/>
                <w:lang w:val="es-US"/>
              </w:rPr>
              <w:t>ico)</w:t>
            </w:r>
            <w:bookmarkEnd w:id="48"/>
          </w:p>
        </w:tc>
        <w:tc>
          <w:tcPr>
            <w:tcW w:w="577" w:type="pct"/>
            <w:shd w:val="clear" w:color="auto" w:fill="E7E6E6" w:themeFill="background2"/>
            <w:vAlign w:val="center"/>
          </w:tcPr>
          <w:p w14:paraId="4DAAEDA8" w14:textId="2E523D4E"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88">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316C23C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CA4F8F6" w14:textId="77777777" w:rsidR="0096378F" w:rsidRPr="0093583F" w:rsidRDefault="0096378F">
            <w:pPr>
              <w:ind w:left="72"/>
              <w:jc w:val="center"/>
              <w:rPr>
                <w:rFonts w:ascii="Cambria" w:eastAsia="MS Mincho" w:hAnsi="Cambria" w:cs="Calibri"/>
                <w:color w:val="000000" w:themeColor="text1"/>
                <w:sz w:val="16"/>
                <w:szCs w:val="16"/>
                <w:lang w:eastAsia="es-ES_tradnl"/>
              </w:rPr>
            </w:pPr>
          </w:p>
        </w:tc>
        <w:tc>
          <w:tcPr>
            <w:tcW w:w="721" w:type="pct"/>
            <w:shd w:val="clear" w:color="auto" w:fill="E7E6E6" w:themeFill="background2"/>
            <w:vAlign w:val="center"/>
          </w:tcPr>
          <w:p w14:paraId="7FEFB846"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A7D5D80"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678CBF2"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4F35EE34" w14:textId="77777777" w:rsidTr="3E2B1321">
        <w:trPr>
          <w:trHeight w:val="36"/>
        </w:trPr>
        <w:tc>
          <w:tcPr>
            <w:tcW w:w="962" w:type="pct"/>
            <w:shd w:val="clear" w:color="auto" w:fill="E7E6E6" w:themeFill="background2"/>
          </w:tcPr>
          <w:p w14:paraId="1C595D0F" w14:textId="77777777" w:rsidR="0096378F" w:rsidRPr="0093583F" w:rsidRDefault="0096378F">
            <w:pPr>
              <w:rPr>
                <w:rFonts w:ascii="Cambria" w:hAnsi="Cambria" w:cs="Calibri"/>
                <w:color w:val="000000" w:themeColor="text1"/>
                <w:sz w:val="16"/>
                <w:szCs w:val="16"/>
                <w:lang w:val="pt-BR"/>
              </w:rPr>
            </w:pPr>
            <w:r>
              <w:rPr>
                <w:rFonts w:ascii="Cambria" w:hAnsi="Cambria" w:cs="Calibri"/>
                <w:bCs/>
                <w:color w:val="000000" w:themeColor="text1"/>
                <w:sz w:val="16"/>
                <w:szCs w:val="16"/>
                <w:lang w:val="pt-BR"/>
              </w:rPr>
              <w:t xml:space="preserve">Case </w:t>
            </w:r>
            <w:r w:rsidRPr="0093583F">
              <w:rPr>
                <w:rFonts w:ascii="Cambria" w:hAnsi="Cambria" w:cs="Calibri"/>
                <w:bCs/>
                <w:color w:val="000000" w:themeColor="text1"/>
                <w:sz w:val="16"/>
                <w:szCs w:val="16"/>
                <w:lang w:val="pt-BR"/>
              </w:rPr>
              <w:t xml:space="preserve">12.130, </w:t>
            </w:r>
            <w:r>
              <w:rPr>
                <w:rFonts w:ascii="Cambria" w:hAnsi="Cambria" w:cs="Calibri"/>
                <w:bCs/>
                <w:color w:val="000000" w:themeColor="text1"/>
                <w:sz w:val="16"/>
                <w:szCs w:val="16"/>
                <w:lang w:val="pt-BR"/>
              </w:rPr>
              <w:t>Report</w:t>
            </w:r>
            <w:r w:rsidRPr="0093583F">
              <w:rPr>
                <w:rFonts w:ascii="Cambria" w:hAnsi="Cambria" w:cs="Calibri"/>
                <w:bCs/>
                <w:color w:val="000000" w:themeColor="text1"/>
                <w:sz w:val="16"/>
                <w:szCs w:val="16"/>
                <w:lang w:val="pt-BR"/>
              </w:rPr>
              <w:t xml:space="preserve"> Nº 2/06, Miguel Orlando Muñoz Guzmán </w:t>
            </w:r>
            <w:r>
              <w:rPr>
                <w:rFonts w:ascii="Cambria" w:hAnsi="Cambria" w:cs="Calibri"/>
                <w:bCs/>
                <w:color w:val="000000" w:themeColor="text1"/>
                <w:sz w:val="16"/>
                <w:szCs w:val="16"/>
                <w:lang w:val="pt-BR"/>
              </w:rPr>
              <w:t>(Mex</w:t>
            </w:r>
            <w:r w:rsidRPr="0093583F">
              <w:rPr>
                <w:rFonts w:ascii="Cambria" w:hAnsi="Cambria" w:cs="Calibri"/>
                <w:bCs/>
                <w:color w:val="000000" w:themeColor="text1"/>
                <w:sz w:val="16"/>
                <w:szCs w:val="16"/>
                <w:lang w:val="pt-BR"/>
              </w:rPr>
              <w:t>ico)</w:t>
            </w:r>
          </w:p>
        </w:tc>
        <w:tc>
          <w:tcPr>
            <w:tcW w:w="577" w:type="pct"/>
            <w:shd w:val="clear" w:color="auto" w:fill="E7E6E6" w:themeFill="background2"/>
            <w:vAlign w:val="center"/>
          </w:tcPr>
          <w:p w14:paraId="2B53BBB4" w14:textId="0C5FE8EB"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89">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654BC29"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BC34D9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E841B0E"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3D0EBE54"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79A878F9"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AEBC8AB" w14:textId="77777777" w:rsidTr="3E2B1321">
        <w:trPr>
          <w:trHeight w:val="30"/>
        </w:trPr>
        <w:tc>
          <w:tcPr>
            <w:tcW w:w="962" w:type="pct"/>
            <w:shd w:val="clear" w:color="auto" w:fill="E7E6E6" w:themeFill="background2"/>
          </w:tcPr>
          <w:p w14:paraId="63002392" w14:textId="77777777" w:rsidR="0096378F" w:rsidRPr="0093583F" w:rsidRDefault="0096378F">
            <w:pPr>
              <w:rPr>
                <w:rFonts w:ascii="Cambria" w:hAnsi="Cambria" w:cs="Calibri"/>
                <w:color w:val="000000" w:themeColor="text1"/>
                <w:sz w:val="16"/>
                <w:szCs w:val="16"/>
                <w:lang w:val="es-US"/>
              </w:rPr>
            </w:pPr>
            <w:r>
              <w:rPr>
                <w:rFonts w:ascii="Cambria" w:hAnsi="Cambria" w:cs="Calibri"/>
                <w:bCs/>
                <w:color w:val="000000" w:themeColor="text1"/>
                <w:sz w:val="16"/>
                <w:szCs w:val="16"/>
                <w:lang w:val="es-US"/>
              </w:rPr>
              <w:t xml:space="preserve">Case </w:t>
            </w:r>
            <w:r w:rsidRPr="0093583F">
              <w:rPr>
                <w:rFonts w:ascii="Cambria" w:hAnsi="Cambria" w:cs="Calibri"/>
                <w:bCs/>
                <w:color w:val="000000" w:themeColor="text1"/>
                <w:sz w:val="16"/>
                <w:szCs w:val="16"/>
                <w:lang w:val="es-US"/>
              </w:rPr>
              <w:t xml:space="preserve">12.228, </w:t>
            </w:r>
            <w:r>
              <w:rPr>
                <w:rFonts w:ascii="Cambria" w:hAnsi="Cambria" w:cs="Calibri"/>
                <w:bCs/>
                <w:color w:val="000000" w:themeColor="text1"/>
                <w:sz w:val="16"/>
                <w:szCs w:val="16"/>
                <w:lang w:val="es-US"/>
              </w:rPr>
              <w:t>Report</w:t>
            </w:r>
            <w:r w:rsidRPr="0093583F">
              <w:rPr>
                <w:rFonts w:ascii="Cambria" w:hAnsi="Cambria" w:cs="Calibri"/>
                <w:bCs/>
                <w:color w:val="000000" w:themeColor="text1"/>
                <w:sz w:val="16"/>
                <w:szCs w:val="16"/>
                <w:lang w:val="es-US"/>
              </w:rPr>
              <w:t xml:space="preserve"> Nº 117/09, Alfonso Martín del Campo Dodd </w:t>
            </w:r>
            <w:r>
              <w:rPr>
                <w:rFonts w:ascii="Cambria" w:hAnsi="Cambria" w:cs="Calibri"/>
                <w:bCs/>
                <w:color w:val="000000" w:themeColor="text1"/>
                <w:sz w:val="16"/>
                <w:szCs w:val="16"/>
                <w:lang w:val="es-US"/>
              </w:rPr>
              <w:t>(Mex</w:t>
            </w:r>
            <w:r w:rsidRPr="0093583F">
              <w:rPr>
                <w:rFonts w:ascii="Cambria" w:hAnsi="Cambria" w:cs="Calibri"/>
                <w:bCs/>
                <w:color w:val="000000" w:themeColor="text1"/>
                <w:sz w:val="16"/>
                <w:szCs w:val="16"/>
                <w:lang w:val="es-US"/>
              </w:rPr>
              <w:t>ico)</w:t>
            </w:r>
          </w:p>
        </w:tc>
        <w:tc>
          <w:tcPr>
            <w:tcW w:w="577" w:type="pct"/>
            <w:shd w:val="clear" w:color="auto" w:fill="E7E6E6" w:themeFill="background2"/>
            <w:vAlign w:val="center"/>
          </w:tcPr>
          <w:p w14:paraId="17617A59" w14:textId="09356D50"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90">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19F67CD"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B5DD12E"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92EA3E8"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D52DF17"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F4526BD"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5F1A39CC" w14:textId="77777777" w:rsidTr="3E2B1321">
        <w:trPr>
          <w:trHeight w:val="36"/>
        </w:trPr>
        <w:tc>
          <w:tcPr>
            <w:tcW w:w="962" w:type="pct"/>
            <w:shd w:val="clear" w:color="auto" w:fill="E7E6E6" w:themeFill="background2"/>
          </w:tcPr>
          <w:p w14:paraId="727E482C" w14:textId="77777777" w:rsidR="0096378F" w:rsidRPr="0093583F" w:rsidRDefault="0096378F">
            <w:pPr>
              <w:rPr>
                <w:rFonts w:ascii="Cambria" w:hAnsi="Cambria" w:cs="Calibri"/>
                <w:color w:val="000000" w:themeColor="text1"/>
                <w:sz w:val="16"/>
                <w:szCs w:val="16"/>
                <w:lang w:val="es-US"/>
              </w:rPr>
            </w:pPr>
            <w:r>
              <w:rPr>
                <w:rFonts w:ascii="Cambria" w:hAnsi="Cambria" w:cs="Calibri"/>
                <w:color w:val="000000" w:themeColor="text1"/>
                <w:sz w:val="16"/>
                <w:szCs w:val="16"/>
                <w:lang w:val="es-US"/>
              </w:rPr>
              <w:t xml:space="preserve">Case </w:t>
            </w:r>
            <w:r w:rsidRPr="0093583F">
              <w:rPr>
                <w:rFonts w:ascii="Cambria" w:hAnsi="Cambria" w:cs="Calibri"/>
                <w:color w:val="000000" w:themeColor="text1"/>
                <w:sz w:val="16"/>
                <w:szCs w:val="16"/>
                <w:lang w:val="es-US"/>
              </w:rPr>
              <w:t xml:space="preserve">12.551, </w:t>
            </w:r>
            <w:r>
              <w:rPr>
                <w:rFonts w:ascii="Cambria" w:hAnsi="Cambria" w:cs="Calibri"/>
                <w:color w:val="000000" w:themeColor="text1"/>
                <w:sz w:val="16"/>
                <w:szCs w:val="16"/>
                <w:lang w:val="es-US"/>
              </w:rPr>
              <w:t>Report</w:t>
            </w:r>
            <w:r w:rsidRPr="0093583F">
              <w:rPr>
                <w:rFonts w:ascii="Cambria" w:hAnsi="Cambria" w:cs="Calibri"/>
                <w:color w:val="000000" w:themeColor="text1"/>
                <w:sz w:val="16"/>
                <w:szCs w:val="16"/>
                <w:lang w:val="es-US"/>
              </w:rPr>
              <w:t xml:space="preserve"> Nº 51/13, Paloma Angélica Escobar Ledezma</w:t>
            </w:r>
            <w:r>
              <w:rPr>
                <w:rFonts w:ascii="Cambria" w:hAnsi="Cambria" w:cs="Calibri"/>
                <w:color w:val="000000" w:themeColor="text1"/>
                <w:sz w:val="16"/>
                <w:szCs w:val="16"/>
                <w:lang w:val="es-US"/>
              </w:rPr>
              <w:t xml:space="preserve"> et al. (Mex</w:t>
            </w:r>
            <w:r w:rsidRPr="0093583F">
              <w:rPr>
                <w:rFonts w:ascii="Cambria" w:hAnsi="Cambria" w:cs="Calibri"/>
                <w:color w:val="000000" w:themeColor="text1"/>
                <w:sz w:val="16"/>
                <w:szCs w:val="16"/>
                <w:lang w:val="es-US"/>
              </w:rPr>
              <w:t>ico)</w:t>
            </w:r>
          </w:p>
        </w:tc>
        <w:tc>
          <w:tcPr>
            <w:tcW w:w="577" w:type="pct"/>
            <w:shd w:val="clear" w:color="auto" w:fill="E7E6E6" w:themeFill="background2"/>
            <w:vAlign w:val="center"/>
          </w:tcPr>
          <w:p w14:paraId="71A3AA28" w14:textId="3C0429E9"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91">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2EC3A93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33F26A7"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8BAAAAF"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C32E97F"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8347286"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62034DB2" w14:textId="77777777" w:rsidTr="3E2B1321">
        <w:trPr>
          <w:trHeight w:val="35"/>
        </w:trPr>
        <w:tc>
          <w:tcPr>
            <w:tcW w:w="962" w:type="pct"/>
            <w:shd w:val="clear" w:color="auto" w:fill="D0CECE" w:themeFill="background2" w:themeFillShade="E6"/>
          </w:tcPr>
          <w:p w14:paraId="0C282D04" w14:textId="77777777" w:rsidR="0096378F" w:rsidRPr="00A66F64" w:rsidRDefault="0096378F">
            <w:pPr>
              <w:rPr>
                <w:rFonts w:ascii="Cambria" w:hAnsi="Cambria" w:cs="Calibri"/>
                <w:color w:val="000000" w:themeColor="text1"/>
                <w:sz w:val="16"/>
                <w:szCs w:val="16"/>
              </w:rPr>
            </w:pPr>
            <w:r w:rsidRPr="00A66F64">
              <w:rPr>
                <w:rFonts w:ascii="Cambria" w:hAnsi="Cambria" w:cs="Calibri"/>
                <w:color w:val="000000" w:themeColor="text1"/>
                <w:sz w:val="16"/>
                <w:szCs w:val="16"/>
              </w:rPr>
              <w:t xml:space="preserve">Case 12.689, Report Nº 80/15, J.S.C.H and M.G.S </w:t>
            </w:r>
            <w:r>
              <w:rPr>
                <w:rFonts w:ascii="Cambria" w:hAnsi="Cambria" w:cs="Calibri"/>
                <w:color w:val="000000" w:themeColor="text1"/>
                <w:sz w:val="16"/>
                <w:szCs w:val="16"/>
              </w:rPr>
              <w:t>(Mex</w:t>
            </w:r>
            <w:r w:rsidRPr="00A66F64">
              <w:rPr>
                <w:rFonts w:ascii="Cambria" w:hAnsi="Cambria" w:cs="Calibri"/>
                <w:color w:val="000000" w:themeColor="text1"/>
                <w:sz w:val="16"/>
                <w:szCs w:val="16"/>
              </w:rPr>
              <w:t>ico)</w:t>
            </w:r>
            <w:r w:rsidRPr="0093583F">
              <w:rPr>
                <w:rFonts w:ascii="Cambria" w:hAnsi="Cambria" w:cs="Calibri"/>
                <w:color w:val="000000" w:themeColor="text1"/>
                <w:sz w:val="16"/>
                <w:szCs w:val="16"/>
                <w:vertAlign w:val="superscript"/>
                <w:lang w:val="es-US"/>
              </w:rPr>
              <w:footnoteReference w:id="146"/>
            </w:r>
          </w:p>
        </w:tc>
        <w:tc>
          <w:tcPr>
            <w:tcW w:w="577" w:type="pct"/>
            <w:shd w:val="clear" w:color="auto" w:fill="D0CECE" w:themeFill="background2" w:themeFillShade="E6"/>
            <w:vAlign w:val="center"/>
          </w:tcPr>
          <w:p w14:paraId="7C53A720" w14:textId="77777777" w:rsidR="0096378F" w:rsidRPr="00A66F64" w:rsidRDefault="0096378F">
            <w:pPr>
              <w:ind w:left="72"/>
              <w:jc w:val="center"/>
              <w:rPr>
                <w:rFonts w:ascii="Cambria" w:eastAsia="MS Mincho" w:hAnsi="Cambria" w:cs="Calibri"/>
                <w:color w:val="000000" w:themeColor="text1"/>
                <w:sz w:val="16"/>
                <w:szCs w:val="16"/>
                <w:u w:val="single"/>
                <w:lang w:eastAsia="es-ES_tradnl"/>
              </w:rPr>
            </w:pPr>
          </w:p>
        </w:tc>
        <w:tc>
          <w:tcPr>
            <w:tcW w:w="721" w:type="pct"/>
            <w:shd w:val="clear" w:color="auto" w:fill="D0CECE" w:themeFill="background2" w:themeFillShade="E6"/>
          </w:tcPr>
          <w:p w14:paraId="303F6B11" w14:textId="77777777" w:rsidR="0096378F" w:rsidRPr="00A66F64" w:rsidRDefault="0096378F">
            <w:pPr>
              <w:ind w:left="72"/>
              <w:jc w:val="center"/>
              <w:rPr>
                <w:rFonts w:ascii="Cambria" w:eastAsia="MS Mincho" w:hAnsi="Cambria" w:cs="Calibri"/>
                <w:color w:val="000000" w:themeColor="text1"/>
                <w:sz w:val="16"/>
                <w:szCs w:val="16"/>
                <w:lang w:eastAsia="es-ES_tradnl"/>
              </w:rPr>
            </w:pPr>
          </w:p>
        </w:tc>
        <w:tc>
          <w:tcPr>
            <w:tcW w:w="721" w:type="pct"/>
            <w:shd w:val="clear" w:color="auto" w:fill="D0CECE" w:themeFill="background2" w:themeFillShade="E6"/>
            <w:vAlign w:val="center"/>
          </w:tcPr>
          <w:p w14:paraId="0BFB292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3D662C3C"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13BBD1B1"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27682940"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Closed</w:t>
            </w:r>
          </w:p>
        </w:tc>
      </w:tr>
      <w:tr w:rsidR="0096378F" w:rsidRPr="0093583F" w14:paraId="746E17BB" w14:textId="77777777" w:rsidTr="3E2B1321">
        <w:trPr>
          <w:trHeight w:val="37"/>
        </w:trPr>
        <w:tc>
          <w:tcPr>
            <w:tcW w:w="962" w:type="pct"/>
            <w:shd w:val="clear" w:color="auto" w:fill="E7E6E6" w:themeFill="background2"/>
          </w:tcPr>
          <w:p w14:paraId="33C89083" w14:textId="77777777" w:rsidR="0096378F" w:rsidRPr="0093583F" w:rsidRDefault="0096378F">
            <w:pPr>
              <w:rPr>
                <w:rFonts w:ascii="Cambria" w:hAnsi="Cambria" w:cs="Calibri"/>
                <w:bCs/>
                <w:color w:val="000000" w:themeColor="text1"/>
                <w:sz w:val="16"/>
                <w:szCs w:val="16"/>
                <w:lang w:val="es-US"/>
              </w:rPr>
            </w:pPr>
            <w:r>
              <w:rPr>
                <w:rFonts w:ascii="Cambria" w:hAnsi="Cambria" w:cs="Calibri"/>
                <w:color w:val="000000" w:themeColor="text1"/>
                <w:sz w:val="16"/>
                <w:szCs w:val="16"/>
                <w:lang w:val="es-US"/>
              </w:rPr>
              <w:t xml:space="preserve">Case </w:t>
            </w:r>
            <w:r w:rsidRPr="0093583F">
              <w:rPr>
                <w:rFonts w:ascii="Cambria" w:hAnsi="Cambria" w:cs="Calibri"/>
                <w:color w:val="000000" w:themeColor="text1"/>
                <w:sz w:val="16"/>
                <w:szCs w:val="16"/>
                <w:lang w:val="es-US"/>
              </w:rPr>
              <w:t xml:space="preserve">11.564, </w:t>
            </w:r>
            <w:r>
              <w:rPr>
                <w:rFonts w:ascii="Cambria" w:hAnsi="Cambria" w:cs="Calibri"/>
                <w:color w:val="000000" w:themeColor="text1"/>
                <w:sz w:val="16"/>
                <w:szCs w:val="16"/>
                <w:lang w:val="es-US"/>
              </w:rPr>
              <w:t>Report</w:t>
            </w:r>
            <w:r w:rsidRPr="0093583F">
              <w:rPr>
                <w:rFonts w:ascii="Cambria" w:hAnsi="Cambria" w:cs="Calibri"/>
                <w:color w:val="000000" w:themeColor="text1"/>
                <w:sz w:val="16"/>
                <w:szCs w:val="16"/>
                <w:lang w:val="es-US"/>
              </w:rPr>
              <w:t xml:space="preserve"> Nº 51/16, Gilberto Jiménez Hernández “La Grandeza” </w:t>
            </w:r>
            <w:r>
              <w:rPr>
                <w:rFonts w:ascii="Cambria" w:hAnsi="Cambria" w:cs="Calibri"/>
                <w:color w:val="000000" w:themeColor="text1"/>
                <w:sz w:val="16"/>
                <w:szCs w:val="16"/>
                <w:lang w:val="es-US"/>
              </w:rPr>
              <w:t>(Mex</w:t>
            </w:r>
            <w:r w:rsidRPr="0093583F">
              <w:rPr>
                <w:rFonts w:ascii="Cambria" w:hAnsi="Cambria" w:cs="Calibri"/>
                <w:color w:val="000000" w:themeColor="text1"/>
                <w:sz w:val="16"/>
                <w:szCs w:val="16"/>
                <w:lang w:val="es-US"/>
              </w:rPr>
              <w:t>ico)</w:t>
            </w:r>
          </w:p>
        </w:tc>
        <w:tc>
          <w:tcPr>
            <w:tcW w:w="577" w:type="pct"/>
            <w:shd w:val="clear" w:color="auto" w:fill="E7E6E6" w:themeFill="background2"/>
            <w:vAlign w:val="center"/>
          </w:tcPr>
          <w:p w14:paraId="305CCC2E" w14:textId="77777777" w:rsidR="0096378F" w:rsidRPr="0093583F" w:rsidDel="00F631F8" w:rsidRDefault="0071198A" w:rsidP="30AEB02D">
            <w:pPr>
              <w:ind w:left="72"/>
              <w:jc w:val="center"/>
              <w:rPr>
                <w:rFonts w:ascii="Cambria" w:eastAsia="MS Mincho" w:hAnsi="Cambria" w:cs="Calibri"/>
                <w:color w:val="000000" w:themeColor="text1"/>
                <w:sz w:val="16"/>
                <w:szCs w:val="16"/>
                <w:lang w:val="es-US" w:eastAsia="es-ES"/>
              </w:rPr>
            </w:pPr>
            <w:hyperlink r:id="rId192">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311CB5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CB29F27"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B9046DA"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8FAEF11" w14:textId="77777777" w:rsidR="0096378F" w:rsidRPr="0093583F" w:rsidRDefault="0096378F">
            <w:pPr>
              <w:jc w:val="center"/>
              <w:rPr>
                <w:rFonts w:ascii="Cambria" w:eastAsia="MS Mincho" w:hAnsi="Cambria" w:cs="Calibri"/>
                <w:b/>
                <w:color w:val="000000" w:themeColor="text1"/>
                <w:sz w:val="16"/>
                <w:szCs w:val="16"/>
                <w:lang w:val="es-US" w:eastAsia="es-ES_tradnl"/>
              </w:rPr>
            </w:pPr>
          </w:p>
        </w:tc>
        <w:tc>
          <w:tcPr>
            <w:tcW w:w="625" w:type="pct"/>
            <w:shd w:val="clear" w:color="auto" w:fill="E7E6E6" w:themeFill="background2"/>
            <w:vAlign w:val="center"/>
          </w:tcPr>
          <w:p w14:paraId="3DB218CC"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DB6642" w14:paraId="63DC59E0" w14:textId="77777777" w:rsidTr="3E2B1321">
        <w:trPr>
          <w:trHeight w:val="37"/>
        </w:trPr>
        <w:tc>
          <w:tcPr>
            <w:tcW w:w="962" w:type="pct"/>
            <w:shd w:val="clear" w:color="auto" w:fill="E7E6E6" w:themeFill="background2"/>
          </w:tcPr>
          <w:p w14:paraId="3E916808" w14:textId="77777777" w:rsidR="0096378F" w:rsidRPr="007F54BA" w:rsidRDefault="0096378F">
            <w:pPr>
              <w:rPr>
                <w:rFonts w:ascii="Cambria" w:hAnsi="Cambria" w:cs="Calibri"/>
                <w:color w:val="000000" w:themeColor="text1"/>
                <w:sz w:val="16"/>
                <w:szCs w:val="16"/>
                <w:lang w:val="es-US"/>
              </w:rPr>
            </w:pPr>
            <w:r w:rsidRPr="007F54BA">
              <w:rPr>
                <w:rFonts w:ascii="Cambria" w:hAnsi="Cambria" w:cs="Calibri"/>
                <w:color w:val="000000" w:themeColor="text1"/>
                <w:sz w:val="16"/>
                <w:szCs w:val="16"/>
                <w:lang w:val="es-US"/>
              </w:rPr>
              <w:t>Case 11.430, Report 43/96, José Francisco Gallardo Rodríguez (Mexico)</w:t>
            </w:r>
            <w:r w:rsidRPr="0093583F">
              <w:rPr>
                <w:rFonts w:ascii="Cambria" w:hAnsi="Cambria" w:cs="Calibri"/>
                <w:color w:val="000000" w:themeColor="text1"/>
                <w:sz w:val="16"/>
                <w:szCs w:val="16"/>
                <w:vertAlign w:val="superscript"/>
                <w:lang w:val="es-US"/>
              </w:rPr>
              <w:t xml:space="preserve"> </w:t>
            </w:r>
            <w:r w:rsidRPr="0093583F">
              <w:rPr>
                <w:rFonts w:ascii="Cambria" w:hAnsi="Cambria" w:cs="Calibri"/>
                <w:color w:val="000000" w:themeColor="text1"/>
                <w:sz w:val="16"/>
                <w:szCs w:val="16"/>
                <w:vertAlign w:val="superscript"/>
                <w:lang w:val="es-US"/>
              </w:rPr>
              <w:footnoteReference w:id="147"/>
            </w:r>
          </w:p>
        </w:tc>
        <w:tc>
          <w:tcPr>
            <w:tcW w:w="577" w:type="pct"/>
            <w:shd w:val="clear" w:color="auto" w:fill="E7E6E6" w:themeFill="background2"/>
            <w:vAlign w:val="center"/>
          </w:tcPr>
          <w:p w14:paraId="6B50C190" w14:textId="77777777" w:rsidR="0096378F" w:rsidRPr="007F54BA" w:rsidRDefault="0071198A" w:rsidP="30AEB02D">
            <w:pPr>
              <w:ind w:left="72"/>
              <w:jc w:val="center"/>
              <w:rPr>
                <w:rFonts w:ascii="Cambria" w:eastAsia="MS Mincho" w:hAnsi="Cambria" w:cs="Calibri"/>
                <w:color w:val="000000" w:themeColor="text1"/>
                <w:sz w:val="16"/>
                <w:szCs w:val="16"/>
                <w:lang w:val="es-US" w:eastAsia="es-ES"/>
              </w:rPr>
            </w:pPr>
            <w:hyperlink r:id="rId193">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41E962B" w14:textId="77777777" w:rsidR="0096378F" w:rsidRPr="007F54BA"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473B5FA" w14:textId="77777777" w:rsidR="0096378F" w:rsidRPr="007F54BA"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619272B" w14:textId="77777777" w:rsidR="0096378F" w:rsidRPr="007F54BA" w:rsidRDefault="0096378F">
            <w:pPr>
              <w:jc w:val="center"/>
              <w:rPr>
                <w:rFonts w:ascii="Cambria" w:eastAsia="MS Mincho" w:hAnsi="Cambria" w:cs="Calibri"/>
                <w:color w:val="000000" w:themeColor="text1"/>
                <w:sz w:val="16"/>
                <w:szCs w:val="16"/>
                <w:lang w:val="es-US" w:eastAsia="es-ES_tradnl"/>
              </w:rPr>
            </w:pPr>
            <w:r w:rsidRPr="007F54BA">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E004D19" w14:textId="77777777" w:rsidR="0096378F" w:rsidRPr="007F54BA" w:rsidRDefault="0096378F">
            <w:pPr>
              <w:jc w:val="center"/>
              <w:rPr>
                <w:rFonts w:ascii="Cambria" w:eastAsia="MS Mincho" w:hAnsi="Cambria" w:cs="Calibri"/>
                <w:b/>
                <w:color w:val="000000" w:themeColor="text1"/>
                <w:sz w:val="16"/>
                <w:szCs w:val="16"/>
                <w:lang w:val="es-US" w:eastAsia="es-ES_tradnl"/>
              </w:rPr>
            </w:pPr>
          </w:p>
        </w:tc>
        <w:tc>
          <w:tcPr>
            <w:tcW w:w="625" w:type="pct"/>
            <w:shd w:val="clear" w:color="auto" w:fill="E7E6E6" w:themeFill="background2"/>
            <w:vAlign w:val="center"/>
          </w:tcPr>
          <w:p w14:paraId="4C9AA5ED" w14:textId="77777777" w:rsidR="0096378F" w:rsidRPr="007F54BA" w:rsidRDefault="0096378F">
            <w:pPr>
              <w:jc w:val="center"/>
              <w:rPr>
                <w:rFonts w:ascii="Cambria" w:eastAsia="MS Mincho" w:hAnsi="Cambria" w:cs="Calibri"/>
                <w:color w:val="000000" w:themeColor="text1"/>
                <w:sz w:val="16"/>
                <w:szCs w:val="16"/>
                <w:lang w:val="es-US"/>
              </w:rPr>
            </w:pPr>
            <w:r w:rsidRPr="007F54BA">
              <w:rPr>
                <w:rFonts w:ascii="Cambria" w:eastAsia="MS Mincho" w:hAnsi="Cambria" w:cs="Calibri"/>
                <w:color w:val="000000" w:themeColor="text1"/>
                <w:sz w:val="16"/>
                <w:szCs w:val="16"/>
                <w:lang w:val="es-US"/>
              </w:rPr>
              <w:t>Open</w:t>
            </w:r>
          </w:p>
        </w:tc>
      </w:tr>
      <w:tr w:rsidR="0096378F" w:rsidRPr="00DB6642" w14:paraId="04A0D7B8" w14:textId="77777777" w:rsidTr="3E2B1321">
        <w:trPr>
          <w:trHeight w:val="37"/>
        </w:trPr>
        <w:tc>
          <w:tcPr>
            <w:tcW w:w="962" w:type="pct"/>
            <w:shd w:val="clear" w:color="auto" w:fill="E7E6E6" w:themeFill="background2"/>
          </w:tcPr>
          <w:p w14:paraId="1770CBFB" w14:textId="77777777" w:rsidR="0096378F" w:rsidRPr="007F54BA" w:rsidRDefault="0096378F">
            <w:pPr>
              <w:rPr>
                <w:rFonts w:ascii="Cambria" w:hAnsi="Cambria" w:cs="Calibri"/>
                <w:color w:val="000000" w:themeColor="text1"/>
                <w:sz w:val="16"/>
                <w:szCs w:val="16"/>
                <w:lang w:val="es-US"/>
              </w:rPr>
            </w:pPr>
            <w:r w:rsidRPr="007F54BA">
              <w:rPr>
                <w:rFonts w:ascii="Cambria" w:hAnsi="Cambria" w:cs="Calibri"/>
                <w:color w:val="000000" w:themeColor="text1"/>
                <w:sz w:val="16"/>
                <w:szCs w:val="16"/>
                <w:lang w:val="es-US"/>
              </w:rPr>
              <w:t>Case 11.740, Report 130/90, Víctor Manuel Oropeza (Mexico)</w:t>
            </w:r>
            <w:r w:rsidRPr="0093583F">
              <w:rPr>
                <w:rFonts w:ascii="Cambria" w:hAnsi="Cambria" w:cs="Calibri"/>
                <w:color w:val="000000" w:themeColor="text1"/>
                <w:sz w:val="16"/>
                <w:szCs w:val="16"/>
                <w:vertAlign w:val="superscript"/>
                <w:lang w:val="es-US"/>
              </w:rPr>
              <w:t xml:space="preserve"> </w:t>
            </w:r>
            <w:r w:rsidRPr="0093583F">
              <w:rPr>
                <w:rFonts w:ascii="Cambria" w:hAnsi="Cambria" w:cs="Calibri"/>
                <w:color w:val="000000" w:themeColor="text1"/>
                <w:sz w:val="16"/>
                <w:szCs w:val="16"/>
                <w:vertAlign w:val="superscript"/>
                <w:lang w:val="es-US"/>
              </w:rPr>
              <w:footnoteReference w:id="148"/>
            </w:r>
          </w:p>
        </w:tc>
        <w:tc>
          <w:tcPr>
            <w:tcW w:w="577" w:type="pct"/>
            <w:shd w:val="clear" w:color="auto" w:fill="E7E6E6" w:themeFill="background2"/>
            <w:vAlign w:val="center"/>
          </w:tcPr>
          <w:p w14:paraId="5D4E1B59" w14:textId="77777777" w:rsidR="0096378F" w:rsidRPr="007F54BA" w:rsidRDefault="0071198A" w:rsidP="30AEB02D">
            <w:pPr>
              <w:ind w:left="72"/>
              <w:jc w:val="center"/>
              <w:rPr>
                <w:rFonts w:ascii="Cambria" w:eastAsia="MS Mincho" w:hAnsi="Cambria" w:cs="Calibri"/>
                <w:color w:val="000000" w:themeColor="text1"/>
                <w:sz w:val="16"/>
                <w:szCs w:val="16"/>
                <w:lang w:val="es-US" w:eastAsia="es-ES"/>
              </w:rPr>
            </w:pPr>
            <w:hyperlink r:id="rId194">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87C03E5" w14:textId="77777777" w:rsidR="0096378F" w:rsidRPr="007F54BA"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8AE2482" w14:textId="77777777" w:rsidR="0096378F" w:rsidRPr="007F54BA"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BBB7187" w14:textId="77777777" w:rsidR="0096378F" w:rsidRPr="007F54BA"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60FF543B" w14:textId="77777777" w:rsidR="0096378F" w:rsidRPr="007F54BA" w:rsidRDefault="0096378F">
            <w:pPr>
              <w:jc w:val="center"/>
              <w:rPr>
                <w:rFonts w:ascii="Cambria" w:eastAsia="MS Mincho" w:hAnsi="Cambria" w:cs="Calibri"/>
                <w:bCs/>
                <w:color w:val="000000" w:themeColor="text1"/>
                <w:sz w:val="16"/>
                <w:szCs w:val="16"/>
                <w:lang w:val="es-US" w:eastAsia="es-ES_tradnl"/>
              </w:rPr>
            </w:pPr>
            <w:r w:rsidRPr="007F54BA">
              <w:rPr>
                <w:rFonts w:ascii="Cambria" w:eastAsia="MS Mincho" w:hAnsi="Cambria" w:cs="Calibri"/>
                <w:bCs/>
                <w:color w:val="000000" w:themeColor="text1"/>
                <w:sz w:val="16"/>
                <w:szCs w:val="16"/>
                <w:lang w:val="es-US" w:eastAsia="es-ES_tradnl"/>
              </w:rPr>
              <w:t>X</w:t>
            </w:r>
          </w:p>
        </w:tc>
        <w:tc>
          <w:tcPr>
            <w:tcW w:w="625" w:type="pct"/>
            <w:shd w:val="clear" w:color="auto" w:fill="E7E6E6" w:themeFill="background2"/>
            <w:vAlign w:val="center"/>
          </w:tcPr>
          <w:p w14:paraId="3E4F55F1" w14:textId="77777777" w:rsidR="0096378F" w:rsidRPr="007F54BA" w:rsidRDefault="0096378F">
            <w:pPr>
              <w:jc w:val="center"/>
              <w:rPr>
                <w:rFonts w:ascii="Cambria" w:eastAsia="MS Mincho" w:hAnsi="Cambria" w:cs="Calibri"/>
                <w:color w:val="000000" w:themeColor="text1"/>
                <w:sz w:val="16"/>
                <w:szCs w:val="16"/>
                <w:lang w:val="es-US"/>
              </w:rPr>
            </w:pPr>
            <w:r w:rsidRPr="007F54BA">
              <w:rPr>
                <w:rFonts w:ascii="Cambria" w:eastAsia="MS Mincho" w:hAnsi="Cambria" w:cs="Calibri"/>
                <w:color w:val="000000" w:themeColor="text1"/>
                <w:sz w:val="16"/>
                <w:szCs w:val="16"/>
                <w:lang w:val="es-US"/>
              </w:rPr>
              <w:t>Open</w:t>
            </w:r>
          </w:p>
        </w:tc>
      </w:tr>
      <w:tr w:rsidR="0096378F" w:rsidRPr="0093583F" w14:paraId="3F19F6D3" w14:textId="77777777" w:rsidTr="3E2B1321">
        <w:trPr>
          <w:trHeight w:val="37"/>
        </w:trPr>
        <w:tc>
          <w:tcPr>
            <w:tcW w:w="962" w:type="pct"/>
            <w:shd w:val="clear" w:color="auto" w:fill="E7E6E6" w:themeFill="background2"/>
          </w:tcPr>
          <w:p w14:paraId="2980672A" w14:textId="77777777" w:rsidR="0096378F" w:rsidRPr="0093583F" w:rsidRDefault="0096378F">
            <w:pPr>
              <w:rPr>
                <w:rFonts w:ascii="Cambria" w:hAnsi="Cambria" w:cs="Calibri"/>
                <w:color w:val="000000" w:themeColor="text1"/>
                <w:sz w:val="16"/>
                <w:szCs w:val="16"/>
                <w:lang w:val="pt-BR"/>
              </w:rPr>
            </w:pPr>
            <w:bookmarkStart w:id="49" w:name="_Hlk91093252"/>
            <w:r>
              <w:rPr>
                <w:rFonts w:ascii="Cambria" w:hAnsi="Cambria" w:cs="Calibri"/>
                <w:bCs/>
                <w:color w:val="000000" w:themeColor="text1"/>
                <w:sz w:val="16"/>
                <w:szCs w:val="16"/>
                <w:lang w:val="pt-BR"/>
              </w:rPr>
              <w:t xml:space="preserve">Case </w:t>
            </w:r>
            <w:r w:rsidRPr="0093583F">
              <w:rPr>
                <w:rFonts w:ascii="Cambria" w:hAnsi="Cambria" w:cs="Calibri"/>
                <w:bCs/>
                <w:color w:val="000000" w:themeColor="text1"/>
                <w:sz w:val="16"/>
                <w:szCs w:val="16"/>
                <w:lang w:val="pt-BR"/>
              </w:rPr>
              <w:t xml:space="preserve">11.381, </w:t>
            </w:r>
            <w:r>
              <w:rPr>
                <w:rFonts w:ascii="Cambria" w:hAnsi="Cambria" w:cs="Calibri"/>
                <w:bCs/>
                <w:color w:val="000000" w:themeColor="text1"/>
                <w:sz w:val="16"/>
                <w:szCs w:val="16"/>
                <w:lang w:val="pt-BR"/>
              </w:rPr>
              <w:t>Report</w:t>
            </w:r>
            <w:r w:rsidRPr="0093583F">
              <w:rPr>
                <w:rFonts w:ascii="Cambria" w:hAnsi="Cambria" w:cs="Calibri"/>
                <w:bCs/>
                <w:color w:val="000000" w:themeColor="text1"/>
                <w:sz w:val="16"/>
                <w:szCs w:val="16"/>
                <w:lang w:val="pt-BR"/>
              </w:rPr>
              <w:t xml:space="preserve"> Nº 100/01, Milton García Fajardo (Nicaragua)</w:t>
            </w:r>
            <w:bookmarkEnd w:id="49"/>
          </w:p>
        </w:tc>
        <w:tc>
          <w:tcPr>
            <w:tcW w:w="577" w:type="pct"/>
            <w:shd w:val="clear" w:color="auto" w:fill="E7E6E6" w:themeFill="background2"/>
            <w:vAlign w:val="center"/>
          </w:tcPr>
          <w:p w14:paraId="3E028E60" w14:textId="03EB7994"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95">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031CC3BB"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18DA20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18D5F6E"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792BF9F"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3CDF416"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4F52B554" w14:textId="77777777" w:rsidTr="3E2B1321">
        <w:trPr>
          <w:trHeight w:val="37"/>
        </w:trPr>
        <w:tc>
          <w:tcPr>
            <w:tcW w:w="962" w:type="pct"/>
            <w:shd w:val="clear" w:color="auto" w:fill="E7E6E6" w:themeFill="background2"/>
          </w:tcPr>
          <w:p w14:paraId="621EE46D" w14:textId="77777777" w:rsidR="0096378F" w:rsidRPr="0093583F" w:rsidRDefault="0096378F">
            <w:pPr>
              <w:rPr>
                <w:rFonts w:ascii="Cambria" w:hAnsi="Cambria" w:cs="Calibri"/>
                <w:color w:val="000000" w:themeColor="text1"/>
                <w:sz w:val="16"/>
                <w:szCs w:val="16"/>
                <w:lang w:val="pt-BR"/>
              </w:rPr>
            </w:pPr>
            <w:bookmarkStart w:id="50" w:name="_Hlk91093264"/>
            <w:r>
              <w:rPr>
                <w:rFonts w:ascii="Cambria" w:hAnsi="Cambria" w:cs="Calibri"/>
                <w:bCs/>
                <w:color w:val="000000" w:themeColor="text1"/>
                <w:sz w:val="16"/>
                <w:szCs w:val="16"/>
                <w:lang w:val="pt-BR"/>
              </w:rPr>
              <w:lastRenderedPageBreak/>
              <w:t xml:space="preserve">Case </w:t>
            </w:r>
            <w:r w:rsidRPr="0093583F">
              <w:rPr>
                <w:rFonts w:ascii="Cambria" w:hAnsi="Cambria" w:cs="Calibri"/>
                <w:bCs/>
                <w:color w:val="000000" w:themeColor="text1"/>
                <w:sz w:val="16"/>
                <w:szCs w:val="16"/>
                <w:lang w:val="pt-BR"/>
              </w:rPr>
              <w:t xml:space="preserve">11.506, </w:t>
            </w:r>
            <w:r>
              <w:rPr>
                <w:rFonts w:ascii="Cambria" w:hAnsi="Cambria" w:cs="Calibri"/>
                <w:bCs/>
                <w:color w:val="000000" w:themeColor="text1"/>
                <w:sz w:val="16"/>
                <w:szCs w:val="16"/>
                <w:lang w:val="pt-BR"/>
              </w:rPr>
              <w:t>Report</w:t>
            </w:r>
            <w:r w:rsidRPr="0093583F">
              <w:rPr>
                <w:rFonts w:ascii="Cambria" w:hAnsi="Cambria" w:cs="Calibri"/>
                <w:bCs/>
                <w:color w:val="000000" w:themeColor="text1"/>
                <w:sz w:val="16"/>
                <w:szCs w:val="16"/>
                <w:lang w:val="pt-BR"/>
              </w:rPr>
              <w:t xml:space="preserve"> Nº 77/02, Waldemar Gerónimo Pinheiro</w:t>
            </w:r>
            <w:r>
              <w:rPr>
                <w:rFonts w:ascii="Cambria" w:hAnsi="Cambria" w:cs="Calibri"/>
                <w:bCs/>
                <w:color w:val="000000" w:themeColor="text1"/>
                <w:sz w:val="16"/>
                <w:szCs w:val="16"/>
                <w:lang w:val="pt-BR"/>
              </w:rPr>
              <w:t xml:space="preserve"> and </w:t>
            </w:r>
            <w:r w:rsidRPr="0093583F">
              <w:rPr>
                <w:rFonts w:ascii="Cambria" w:hAnsi="Cambria" w:cs="Calibri"/>
                <w:bCs/>
                <w:color w:val="000000" w:themeColor="text1"/>
                <w:sz w:val="16"/>
                <w:szCs w:val="16"/>
                <w:lang w:val="pt-BR"/>
              </w:rPr>
              <w:t>José Víctor Dos Santos (Paraguay)</w:t>
            </w:r>
            <w:bookmarkEnd w:id="50"/>
          </w:p>
        </w:tc>
        <w:tc>
          <w:tcPr>
            <w:tcW w:w="577" w:type="pct"/>
            <w:shd w:val="clear" w:color="auto" w:fill="E7E6E6" w:themeFill="background2"/>
            <w:vAlign w:val="center"/>
          </w:tcPr>
          <w:p w14:paraId="562E1964" w14:textId="3D1435FD"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96">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4190EB78"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FA621C6"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36A9833"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B5DAC5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3A8D727"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1F1DBA92" w14:textId="77777777" w:rsidTr="3E2B1321">
        <w:trPr>
          <w:trHeight w:val="33"/>
        </w:trPr>
        <w:tc>
          <w:tcPr>
            <w:tcW w:w="962" w:type="pct"/>
            <w:shd w:val="clear" w:color="auto" w:fill="E7E6E6" w:themeFill="background2"/>
          </w:tcPr>
          <w:p w14:paraId="33034044" w14:textId="77777777" w:rsidR="0096378F" w:rsidRPr="00CE2691" w:rsidRDefault="0096378F">
            <w:pPr>
              <w:rPr>
                <w:rFonts w:ascii="Cambria" w:hAnsi="Cambria" w:cs="Calibri"/>
                <w:color w:val="000000" w:themeColor="text1"/>
                <w:sz w:val="16"/>
                <w:szCs w:val="16"/>
                <w:lang w:val="pt-BR"/>
              </w:rPr>
            </w:pPr>
            <w:r w:rsidRPr="00CE2691">
              <w:rPr>
                <w:rFonts w:ascii="Cambria" w:hAnsi="Cambria" w:cs="Calibri"/>
                <w:bCs/>
                <w:color w:val="000000" w:themeColor="text1"/>
                <w:sz w:val="16"/>
                <w:szCs w:val="16"/>
                <w:lang w:val="pt-BR"/>
              </w:rPr>
              <w:t>Case 11.607, Report Nº 85/09, Víctor Hugo Maciel (Paraguay)</w:t>
            </w:r>
          </w:p>
        </w:tc>
        <w:tc>
          <w:tcPr>
            <w:tcW w:w="577" w:type="pct"/>
            <w:shd w:val="clear" w:color="auto" w:fill="E7E6E6" w:themeFill="background2"/>
            <w:vAlign w:val="center"/>
          </w:tcPr>
          <w:p w14:paraId="1EC547FF" w14:textId="5DE8E4EC"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97">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1167CC9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61FA2BA"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6B2A16C"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DE77CA2"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4A528DF"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09DF82DC" w14:textId="77777777" w:rsidTr="3E2B1321">
        <w:trPr>
          <w:trHeight w:val="37"/>
        </w:trPr>
        <w:tc>
          <w:tcPr>
            <w:tcW w:w="962" w:type="pct"/>
            <w:shd w:val="clear" w:color="auto" w:fill="D0CECE" w:themeFill="background2" w:themeFillShade="E6"/>
          </w:tcPr>
          <w:p w14:paraId="528B386C" w14:textId="77777777" w:rsidR="0096378F" w:rsidRPr="0093583F" w:rsidRDefault="0096378F">
            <w:pPr>
              <w:rPr>
                <w:rFonts w:ascii="Cambria" w:hAnsi="Cambria" w:cs="Calibri"/>
                <w:color w:val="000000" w:themeColor="text1"/>
                <w:sz w:val="16"/>
                <w:szCs w:val="16"/>
                <w:lang w:val="pt-BR"/>
              </w:rPr>
            </w:pPr>
            <w:r>
              <w:rPr>
                <w:rFonts w:ascii="Cambria" w:hAnsi="Cambria" w:cs="Calibri"/>
                <w:bCs/>
                <w:color w:val="000000" w:themeColor="text1"/>
                <w:sz w:val="16"/>
                <w:szCs w:val="16"/>
                <w:lang w:val="pt-BR"/>
              </w:rPr>
              <w:t xml:space="preserve">Case </w:t>
            </w:r>
            <w:r w:rsidRPr="0093583F">
              <w:rPr>
                <w:rFonts w:ascii="Cambria" w:hAnsi="Cambria" w:cs="Calibri"/>
                <w:bCs/>
                <w:color w:val="000000" w:themeColor="text1"/>
                <w:sz w:val="16"/>
                <w:szCs w:val="16"/>
                <w:lang w:val="pt-BR"/>
              </w:rPr>
              <w:t xml:space="preserve">12.431, </w:t>
            </w:r>
            <w:r>
              <w:rPr>
                <w:rFonts w:ascii="Cambria" w:hAnsi="Cambria" w:cs="Calibri"/>
                <w:bCs/>
                <w:color w:val="000000" w:themeColor="text1"/>
                <w:sz w:val="16"/>
                <w:szCs w:val="16"/>
                <w:lang w:val="pt-BR"/>
              </w:rPr>
              <w:t>Report</w:t>
            </w:r>
            <w:r w:rsidRPr="0093583F">
              <w:rPr>
                <w:rFonts w:ascii="Cambria" w:hAnsi="Cambria" w:cs="Calibri"/>
                <w:bCs/>
                <w:color w:val="000000" w:themeColor="text1"/>
                <w:sz w:val="16"/>
                <w:szCs w:val="16"/>
                <w:lang w:val="pt-BR"/>
              </w:rPr>
              <w:t xml:space="preserve"> Nº 121/10, Carlos Alberto Majoli (Paraguay)</w:t>
            </w:r>
            <w:r w:rsidRPr="0093583F">
              <w:rPr>
                <w:rFonts w:ascii="Cambria" w:hAnsi="Cambria" w:cs="Calibri"/>
                <w:bCs/>
                <w:color w:val="000000" w:themeColor="text1"/>
                <w:sz w:val="16"/>
                <w:szCs w:val="16"/>
                <w:vertAlign w:val="superscript"/>
                <w:lang w:val="es-US"/>
              </w:rPr>
              <w:footnoteReference w:id="149"/>
            </w:r>
          </w:p>
        </w:tc>
        <w:tc>
          <w:tcPr>
            <w:tcW w:w="577" w:type="pct"/>
            <w:shd w:val="clear" w:color="auto" w:fill="D0CECE" w:themeFill="background2" w:themeFillShade="E6"/>
            <w:vAlign w:val="center"/>
          </w:tcPr>
          <w:p w14:paraId="420068B7" w14:textId="77777777" w:rsidR="0096378F" w:rsidRPr="0093583F" w:rsidRDefault="0096378F">
            <w:pPr>
              <w:ind w:left="72"/>
              <w:jc w:val="center"/>
              <w:rPr>
                <w:rFonts w:ascii="Cambria" w:eastAsia="MS Mincho" w:hAnsi="Cambria" w:cs="Calibri"/>
                <w:color w:val="000000" w:themeColor="text1"/>
                <w:sz w:val="16"/>
                <w:szCs w:val="16"/>
                <w:u w:val="single"/>
                <w:lang w:val="pt-BR" w:eastAsia="es-ES_tradnl"/>
              </w:rPr>
            </w:pPr>
          </w:p>
        </w:tc>
        <w:tc>
          <w:tcPr>
            <w:tcW w:w="721" w:type="pct"/>
            <w:shd w:val="clear" w:color="auto" w:fill="D0CECE" w:themeFill="background2" w:themeFillShade="E6"/>
          </w:tcPr>
          <w:p w14:paraId="24BE1A63" w14:textId="77777777" w:rsidR="0096378F" w:rsidRPr="0093583F" w:rsidRDefault="0096378F">
            <w:pPr>
              <w:ind w:left="72"/>
              <w:jc w:val="center"/>
              <w:rPr>
                <w:rFonts w:ascii="Cambria" w:eastAsia="MS Mincho" w:hAnsi="Cambria" w:cs="Calibri"/>
                <w:color w:val="000000" w:themeColor="text1"/>
                <w:sz w:val="16"/>
                <w:szCs w:val="16"/>
                <w:lang w:val="pt-BR" w:eastAsia="es-ES_tradnl"/>
              </w:rPr>
            </w:pPr>
          </w:p>
        </w:tc>
        <w:tc>
          <w:tcPr>
            <w:tcW w:w="721" w:type="pct"/>
            <w:shd w:val="clear" w:color="auto" w:fill="D0CECE" w:themeFill="background2" w:themeFillShade="E6"/>
            <w:vAlign w:val="center"/>
          </w:tcPr>
          <w:p w14:paraId="2C06FCA4"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2316EDA8"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41A803D9"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65A8700D"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Closed</w:t>
            </w:r>
          </w:p>
        </w:tc>
      </w:tr>
      <w:tr w:rsidR="0096378F" w:rsidRPr="0093583F" w14:paraId="713D0200" w14:textId="77777777" w:rsidTr="3E2B1321">
        <w:trPr>
          <w:trHeight w:val="37"/>
        </w:trPr>
        <w:tc>
          <w:tcPr>
            <w:tcW w:w="962" w:type="pct"/>
            <w:shd w:val="clear" w:color="auto" w:fill="D0CECE" w:themeFill="background2" w:themeFillShade="E6"/>
          </w:tcPr>
          <w:p w14:paraId="5EABE71F" w14:textId="77777777" w:rsidR="0096378F" w:rsidRPr="007F54BA" w:rsidRDefault="0096378F">
            <w:pPr>
              <w:rPr>
                <w:rFonts w:ascii="Cambria" w:hAnsi="Cambria" w:cs="Calibri"/>
                <w:color w:val="000000" w:themeColor="text1"/>
                <w:sz w:val="16"/>
                <w:szCs w:val="16"/>
                <w:lang w:val="pt-BR"/>
              </w:rPr>
            </w:pPr>
            <w:r w:rsidRPr="007F54BA">
              <w:rPr>
                <w:rFonts w:ascii="Cambria" w:hAnsi="Cambria" w:cs="Calibri"/>
                <w:bCs/>
                <w:color w:val="000000" w:themeColor="text1"/>
                <w:sz w:val="16"/>
                <w:szCs w:val="16"/>
                <w:lang w:val="pt-BR"/>
              </w:rPr>
              <w:t>Case 11.8</w:t>
            </w:r>
            <w:r>
              <w:rPr>
                <w:rFonts w:ascii="Cambria" w:hAnsi="Cambria" w:cs="Calibri"/>
                <w:bCs/>
                <w:color w:val="000000" w:themeColor="text1"/>
                <w:sz w:val="16"/>
                <w:szCs w:val="16"/>
                <w:lang w:val="pt-BR"/>
              </w:rPr>
              <w:t>00</w:t>
            </w:r>
            <w:r w:rsidRPr="007F54BA">
              <w:rPr>
                <w:rFonts w:ascii="Cambria" w:hAnsi="Cambria" w:cs="Calibri"/>
                <w:bCs/>
                <w:color w:val="000000" w:themeColor="text1"/>
                <w:sz w:val="16"/>
                <w:szCs w:val="16"/>
                <w:lang w:val="pt-BR"/>
              </w:rPr>
              <w:t>, Report Nº 110/00, César Cabrejos Bernuy (Peru)</w:t>
            </w:r>
            <w:r w:rsidRPr="0093583F">
              <w:rPr>
                <w:rFonts w:ascii="Cambria" w:hAnsi="Cambria" w:cs="Calibri"/>
                <w:bCs/>
                <w:color w:val="000000" w:themeColor="text1"/>
                <w:sz w:val="16"/>
                <w:szCs w:val="16"/>
                <w:vertAlign w:val="superscript"/>
                <w:lang w:val="es-US"/>
              </w:rPr>
              <w:footnoteReference w:id="150"/>
            </w:r>
          </w:p>
        </w:tc>
        <w:tc>
          <w:tcPr>
            <w:tcW w:w="577" w:type="pct"/>
            <w:shd w:val="clear" w:color="auto" w:fill="D0CECE" w:themeFill="background2" w:themeFillShade="E6"/>
            <w:vAlign w:val="center"/>
          </w:tcPr>
          <w:p w14:paraId="03CE68C2" w14:textId="77777777" w:rsidR="0096378F" w:rsidRPr="007F54BA" w:rsidRDefault="0096378F">
            <w:pPr>
              <w:ind w:left="72"/>
              <w:jc w:val="center"/>
              <w:rPr>
                <w:rFonts w:ascii="Cambria" w:eastAsia="MS Mincho" w:hAnsi="Cambria" w:cs="Calibri"/>
                <w:color w:val="000000" w:themeColor="text1"/>
                <w:sz w:val="16"/>
                <w:szCs w:val="16"/>
                <w:u w:val="single"/>
                <w:lang w:val="pt-BR" w:eastAsia="es-ES_tradnl"/>
              </w:rPr>
            </w:pPr>
          </w:p>
        </w:tc>
        <w:tc>
          <w:tcPr>
            <w:tcW w:w="721" w:type="pct"/>
            <w:shd w:val="clear" w:color="auto" w:fill="D0CECE" w:themeFill="background2" w:themeFillShade="E6"/>
          </w:tcPr>
          <w:p w14:paraId="20957B72" w14:textId="77777777" w:rsidR="0096378F" w:rsidRPr="007F54BA" w:rsidRDefault="0096378F">
            <w:pPr>
              <w:ind w:left="72"/>
              <w:jc w:val="center"/>
              <w:rPr>
                <w:rFonts w:ascii="Cambria" w:eastAsia="MS Mincho" w:hAnsi="Cambria" w:cs="Calibri"/>
                <w:color w:val="000000" w:themeColor="text1"/>
                <w:sz w:val="16"/>
                <w:szCs w:val="16"/>
                <w:lang w:val="pt-BR" w:eastAsia="es-ES_tradnl"/>
              </w:rPr>
            </w:pPr>
          </w:p>
        </w:tc>
        <w:tc>
          <w:tcPr>
            <w:tcW w:w="721" w:type="pct"/>
            <w:shd w:val="clear" w:color="auto" w:fill="D0CECE" w:themeFill="background2" w:themeFillShade="E6"/>
            <w:vAlign w:val="center"/>
          </w:tcPr>
          <w:p w14:paraId="21AD9B4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1C29FA76"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117A3F49"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19DA92C3"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Closed</w:t>
            </w:r>
          </w:p>
        </w:tc>
      </w:tr>
      <w:tr w:rsidR="0096378F" w:rsidRPr="0093583F" w14:paraId="43FEF624" w14:textId="77777777" w:rsidTr="3E2B1321">
        <w:trPr>
          <w:trHeight w:val="37"/>
        </w:trPr>
        <w:tc>
          <w:tcPr>
            <w:tcW w:w="962" w:type="pct"/>
            <w:shd w:val="clear" w:color="auto" w:fill="E7E6E6" w:themeFill="background2"/>
          </w:tcPr>
          <w:p w14:paraId="4C82BEEC" w14:textId="77777777" w:rsidR="0096378F" w:rsidRPr="007F54BA" w:rsidRDefault="0096378F">
            <w:pPr>
              <w:rPr>
                <w:rFonts w:ascii="Cambria" w:hAnsi="Cambria" w:cs="Calibri"/>
                <w:bCs/>
                <w:color w:val="000000" w:themeColor="text1"/>
                <w:sz w:val="16"/>
                <w:szCs w:val="16"/>
              </w:rPr>
            </w:pPr>
            <w:r w:rsidRPr="007F54BA">
              <w:rPr>
                <w:rFonts w:ascii="Cambria" w:hAnsi="Cambria" w:cs="Calibri"/>
                <w:bCs/>
                <w:color w:val="000000" w:themeColor="text1"/>
                <w:sz w:val="16"/>
                <w:szCs w:val="16"/>
              </w:rPr>
              <w:t>Cases of Joint Press Release P-1193-CA, February 22, 2021 (Peru)</w:t>
            </w:r>
          </w:p>
        </w:tc>
        <w:tc>
          <w:tcPr>
            <w:tcW w:w="577" w:type="pct"/>
            <w:shd w:val="clear" w:color="auto" w:fill="E7E6E6" w:themeFill="background2"/>
            <w:vAlign w:val="center"/>
          </w:tcPr>
          <w:p w14:paraId="4EE34690" w14:textId="40C3CA20" w:rsidR="0096378F" w:rsidRPr="0093583F" w:rsidRDefault="0071198A" w:rsidP="30AEB02D">
            <w:pPr>
              <w:ind w:left="72"/>
              <w:jc w:val="center"/>
              <w:rPr>
                <w:rFonts w:ascii="Cambria" w:eastAsia="MS Mincho" w:hAnsi="Cambria" w:cs="Calibri"/>
                <w:color w:val="000000" w:themeColor="text1"/>
                <w:sz w:val="16"/>
                <w:szCs w:val="16"/>
                <w:u w:val="single"/>
                <w:lang w:val="es-US" w:eastAsia="es-ES"/>
              </w:rPr>
            </w:pPr>
            <w:hyperlink r:id="rId198">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0016F28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p w14:paraId="0B640F2D"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p w14:paraId="18A6DFCF"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r w:rsidRPr="0093583F">
              <w:rPr>
                <w:rStyle w:val="FootnoteReference"/>
                <w:rFonts w:ascii="Cambria" w:eastAsia="MS Mincho" w:hAnsi="Cambria" w:cs="Calibri"/>
                <w:color w:val="000000" w:themeColor="text1"/>
                <w:sz w:val="16"/>
                <w:szCs w:val="16"/>
                <w:lang w:val="es-US" w:eastAsia="es-ES_tradnl"/>
              </w:rPr>
              <w:footnoteReference w:id="151"/>
            </w:r>
          </w:p>
        </w:tc>
        <w:tc>
          <w:tcPr>
            <w:tcW w:w="721" w:type="pct"/>
            <w:shd w:val="clear" w:color="auto" w:fill="E7E6E6" w:themeFill="background2"/>
            <w:vAlign w:val="center"/>
          </w:tcPr>
          <w:p w14:paraId="54E4BAA5"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5D9274C"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56C570B0"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F810739" w14:textId="77777777" w:rsidR="0096378F" w:rsidRPr="0093583F" w:rsidRDefault="0096378F">
            <w:pPr>
              <w:jc w:val="center"/>
              <w:rPr>
                <w:rFonts w:ascii="Cambria" w:eastAsia="MS Mincho" w:hAnsi="Cambria" w:cs="Calibri"/>
                <w:color w:val="000000" w:themeColor="text1"/>
                <w:sz w:val="16"/>
                <w:szCs w:val="16"/>
                <w:lang w:val="es-US"/>
              </w:rPr>
            </w:pPr>
            <w:r>
              <w:rPr>
                <w:rFonts w:ascii="Cambria" w:eastAsia="MS Mincho" w:hAnsi="Cambria" w:cs="Calibri"/>
                <w:color w:val="000000" w:themeColor="text1"/>
                <w:sz w:val="16"/>
                <w:szCs w:val="16"/>
                <w:lang w:val="es-US"/>
              </w:rPr>
              <w:t>Open</w:t>
            </w:r>
          </w:p>
        </w:tc>
      </w:tr>
      <w:tr w:rsidR="0096378F" w:rsidRPr="0093583F" w14:paraId="3228369B" w14:textId="77777777" w:rsidTr="3E2B1321">
        <w:trPr>
          <w:trHeight w:val="37"/>
        </w:trPr>
        <w:tc>
          <w:tcPr>
            <w:tcW w:w="962" w:type="pct"/>
            <w:shd w:val="clear" w:color="auto" w:fill="E7E6E6" w:themeFill="background2"/>
          </w:tcPr>
          <w:p w14:paraId="2735943A" w14:textId="77777777" w:rsidR="0096378F" w:rsidRPr="00A66F64" w:rsidRDefault="0096378F">
            <w:pPr>
              <w:rPr>
                <w:rFonts w:ascii="Cambria" w:hAnsi="Cambria" w:cs="Calibri"/>
                <w:color w:val="000000" w:themeColor="text1"/>
                <w:sz w:val="16"/>
                <w:szCs w:val="16"/>
              </w:rPr>
            </w:pPr>
            <w:bookmarkStart w:id="51" w:name="_Hlk91093277"/>
            <w:r w:rsidRPr="00A66F64">
              <w:rPr>
                <w:rFonts w:ascii="Cambria" w:hAnsi="Cambria" w:cs="Calibri"/>
                <w:color w:val="000000" w:themeColor="text1"/>
                <w:sz w:val="16"/>
                <w:szCs w:val="16"/>
              </w:rPr>
              <w:t>Case 12.269, Report Nº 28/09, Dexter Lendore (Trinidad and Tobago)</w:t>
            </w:r>
            <w:bookmarkEnd w:id="51"/>
          </w:p>
        </w:tc>
        <w:tc>
          <w:tcPr>
            <w:tcW w:w="577" w:type="pct"/>
            <w:shd w:val="clear" w:color="auto" w:fill="E7E6E6" w:themeFill="background2"/>
            <w:vAlign w:val="center"/>
          </w:tcPr>
          <w:p w14:paraId="4D84440B" w14:textId="77777777" w:rsidR="0096378F" w:rsidRPr="0093583F" w:rsidRDefault="0071198A" w:rsidP="30AEB02D">
            <w:pPr>
              <w:ind w:left="72"/>
              <w:jc w:val="center"/>
              <w:rPr>
                <w:rFonts w:ascii="Cambria" w:eastAsia="MS Mincho" w:hAnsi="Cambria" w:cs="Calibri"/>
                <w:color w:val="000000" w:themeColor="text1"/>
                <w:sz w:val="16"/>
                <w:szCs w:val="16"/>
                <w:lang w:val="es-US" w:eastAsia="es-ES"/>
              </w:rPr>
            </w:pPr>
            <w:hyperlink r:id="rId199">
              <w:r w:rsidR="0096378F" w:rsidRPr="30AEB02D">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6633451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7ED8CAB"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F3A60C0"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0D9E7D6B"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143E3948"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15DF497C" w14:textId="77777777" w:rsidTr="3E2B1321">
        <w:trPr>
          <w:trHeight w:val="450"/>
        </w:trPr>
        <w:tc>
          <w:tcPr>
            <w:tcW w:w="962" w:type="pct"/>
            <w:shd w:val="clear" w:color="auto" w:fill="D0CECE" w:themeFill="background2" w:themeFillShade="E6"/>
          </w:tcPr>
          <w:p w14:paraId="4BC39BAB" w14:textId="77777777" w:rsidR="0096378F" w:rsidRPr="0093583F" w:rsidRDefault="0096378F">
            <w:pPr>
              <w:rPr>
                <w:rFonts w:ascii="Cambria" w:hAnsi="Cambria" w:cs="Calibri"/>
                <w:color w:val="000000" w:themeColor="text1"/>
                <w:sz w:val="16"/>
                <w:szCs w:val="16"/>
                <w:lang w:val="pt-BR"/>
              </w:rPr>
            </w:pPr>
            <w:r>
              <w:rPr>
                <w:rFonts w:ascii="Cambria" w:hAnsi="Cambria" w:cs="Calibri"/>
                <w:color w:val="000000" w:themeColor="text1"/>
                <w:sz w:val="16"/>
                <w:szCs w:val="16"/>
                <w:lang w:val="pt-BR"/>
              </w:rPr>
              <w:t>Case 11.500</w:t>
            </w:r>
            <w:r w:rsidRPr="0093583F">
              <w:rPr>
                <w:rFonts w:ascii="Cambria" w:hAnsi="Cambria" w:cs="Calibri"/>
                <w:color w:val="000000" w:themeColor="text1"/>
                <w:sz w:val="16"/>
                <w:szCs w:val="16"/>
                <w:lang w:val="pt-BR"/>
              </w:rPr>
              <w:t xml:space="preserve">, </w:t>
            </w:r>
            <w:r>
              <w:rPr>
                <w:rFonts w:ascii="Cambria" w:hAnsi="Cambria" w:cs="Calibri"/>
                <w:color w:val="000000" w:themeColor="text1"/>
                <w:sz w:val="16"/>
                <w:szCs w:val="16"/>
                <w:lang w:val="pt-BR"/>
              </w:rPr>
              <w:t>Report</w:t>
            </w:r>
            <w:r w:rsidRPr="0093583F">
              <w:rPr>
                <w:rFonts w:ascii="Cambria" w:hAnsi="Cambria" w:cs="Calibri"/>
                <w:color w:val="000000" w:themeColor="text1"/>
                <w:sz w:val="16"/>
                <w:szCs w:val="16"/>
                <w:lang w:val="pt-BR"/>
              </w:rPr>
              <w:t xml:space="preserve"> Nº 124/06, Tomás Eduardo Cirio (Uruguay)</w:t>
            </w:r>
            <w:r w:rsidRPr="0093583F">
              <w:rPr>
                <w:rFonts w:ascii="Cambria" w:hAnsi="Cambria" w:cs="Calibri"/>
                <w:bCs/>
                <w:color w:val="000000" w:themeColor="text1"/>
                <w:sz w:val="16"/>
                <w:szCs w:val="16"/>
                <w:vertAlign w:val="superscript"/>
                <w:lang w:val="es-US"/>
              </w:rPr>
              <w:footnoteReference w:id="152"/>
            </w:r>
          </w:p>
        </w:tc>
        <w:tc>
          <w:tcPr>
            <w:tcW w:w="577" w:type="pct"/>
            <w:shd w:val="clear" w:color="auto" w:fill="D0CECE" w:themeFill="background2" w:themeFillShade="E6"/>
            <w:vAlign w:val="center"/>
          </w:tcPr>
          <w:p w14:paraId="2A37D447" w14:textId="77777777" w:rsidR="0096378F" w:rsidRPr="0093583F" w:rsidRDefault="0096378F">
            <w:pPr>
              <w:ind w:left="72"/>
              <w:jc w:val="center"/>
              <w:rPr>
                <w:rFonts w:ascii="Cambria" w:eastAsia="MS Mincho" w:hAnsi="Cambria" w:cs="Calibri"/>
                <w:color w:val="000000" w:themeColor="text1"/>
                <w:sz w:val="16"/>
                <w:szCs w:val="16"/>
                <w:u w:val="single"/>
                <w:lang w:val="pt-BR" w:eastAsia="es-ES_tradnl"/>
              </w:rPr>
            </w:pPr>
          </w:p>
        </w:tc>
        <w:tc>
          <w:tcPr>
            <w:tcW w:w="721" w:type="pct"/>
            <w:shd w:val="clear" w:color="auto" w:fill="D0CECE" w:themeFill="background2" w:themeFillShade="E6"/>
          </w:tcPr>
          <w:p w14:paraId="3AD76383" w14:textId="77777777" w:rsidR="0096378F" w:rsidRPr="0093583F" w:rsidRDefault="0096378F">
            <w:pPr>
              <w:ind w:left="72"/>
              <w:jc w:val="center"/>
              <w:rPr>
                <w:rFonts w:ascii="Cambria" w:eastAsia="MS Mincho" w:hAnsi="Cambria" w:cs="Calibri"/>
                <w:color w:val="000000" w:themeColor="text1"/>
                <w:sz w:val="16"/>
                <w:szCs w:val="16"/>
                <w:lang w:val="pt-BR" w:eastAsia="es-ES_tradnl"/>
              </w:rPr>
            </w:pPr>
          </w:p>
        </w:tc>
        <w:tc>
          <w:tcPr>
            <w:tcW w:w="721" w:type="pct"/>
            <w:shd w:val="clear" w:color="auto" w:fill="D0CECE" w:themeFill="background2" w:themeFillShade="E6"/>
            <w:vAlign w:val="center"/>
          </w:tcPr>
          <w:p w14:paraId="74116982"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5B09A705"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1C596254"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2C1DFF7E"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Closed</w:t>
            </w:r>
          </w:p>
        </w:tc>
      </w:tr>
      <w:tr w:rsidR="0096378F" w:rsidRPr="0093583F" w14:paraId="3BE5EA74" w14:textId="77777777" w:rsidTr="3E2B1321">
        <w:trPr>
          <w:trHeight w:val="37"/>
        </w:trPr>
        <w:tc>
          <w:tcPr>
            <w:tcW w:w="962" w:type="pct"/>
            <w:shd w:val="clear" w:color="auto" w:fill="E7E6E6" w:themeFill="background2"/>
          </w:tcPr>
          <w:p w14:paraId="3212E32E" w14:textId="77777777" w:rsidR="0096378F" w:rsidRPr="0093583F" w:rsidRDefault="0096378F">
            <w:pPr>
              <w:rPr>
                <w:rFonts w:ascii="Cambria" w:hAnsi="Cambria" w:cs="Calibri"/>
                <w:color w:val="000000" w:themeColor="text1"/>
                <w:sz w:val="16"/>
                <w:szCs w:val="16"/>
                <w:lang w:val="pt-BR"/>
              </w:rPr>
            </w:pPr>
            <w:bookmarkStart w:id="52" w:name="_Hlk91093289"/>
            <w:r>
              <w:rPr>
                <w:rFonts w:ascii="Cambria" w:hAnsi="Cambria" w:cs="Calibri"/>
                <w:color w:val="000000" w:themeColor="text1"/>
                <w:sz w:val="16"/>
                <w:szCs w:val="16"/>
                <w:lang w:val="pt-BR"/>
              </w:rPr>
              <w:t xml:space="preserve">Case </w:t>
            </w:r>
            <w:r w:rsidRPr="0093583F">
              <w:rPr>
                <w:rFonts w:ascii="Cambria" w:hAnsi="Cambria" w:cs="Calibri"/>
                <w:color w:val="000000" w:themeColor="text1"/>
                <w:sz w:val="16"/>
                <w:szCs w:val="16"/>
                <w:lang w:val="pt-BR"/>
              </w:rPr>
              <w:t xml:space="preserve">12.553, </w:t>
            </w:r>
            <w:r>
              <w:rPr>
                <w:rFonts w:ascii="Cambria" w:hAnsi="Cambria" w:cs="Calibri"/>
                <w:color w:val="000000" w:themeColor="text1"/>
                <w:sz w:val="16"/>
                <w:szCs w:val="16"/>
                <w:lang w:val="pt-BR"/>
              </w:rPr>
              <w:t>Report</w:t>
            </w:r>
            <w:r w:rsidRPr="0093583F">
              <w:rPr>
                <w:rFonts w:ascii="Cambria" w:hAnsi="Cambria" w:cs="Calibri"/>
                <w:color w:val="000000" w:themeColor="text1"/>
                <w:sz w:val="16"/>
                <w:szCs w:val="16"/>
                <w:lang w:val="pt-BR"/>
              </w:rPr>
              <w:t xml:space="preserve"> Nº 86/09, Jorge, José</w:t>
            </w:r>
            <w:r>
              <w:rPr>
                <w:rFonts w:ascii="Cambria" w:hAnsi="Cambria" w:cs="Calibri"/>
                <w:color w:val="000000" w:themeColor="text1"/>
                <w:sz w:val="16"/>
                <w:szCs w:val="16"/>
                <w:lang w:val="pt-BR"/>
              </w:rPr>
              <w:t xml:space="preserve"> and </w:t>
            </w:r>
            <w:r w:rsidRPr="0093583F">
              <w:rPr>
                <w:rFonts w:ascii="Cambria" w:hAnsi="Cambria" w:cs="Calibri"/>
                <w:color w:val="000000" w:themeColor="text1"/>
                <w:sz w:val="16"/>
                <w:szCs w:val="16"/>
                <w:lang w:val="pt-BR"/>
              </w:rPr>
              <w:t>Dante Peirano Basso (Uruguay)</w:t>
            </w:r>
            <w:bookmarkEnd w:id="52"/>
          </w:p>
        </w:tc>
        <w:tc>
          <w:tcPr>
            <w:tcW w:w="577" w:type="pct"/>
            <w:shd w:val="clear" w:color="auto" w:fill="E7E6E6" w:themeFill="background2"/>
            <w:vAlign w:val="center"/>
          </w:tcPr>
          <w:p w14:paraId="19A219FB" w14:textId="77777777" w:rsidR="0096378F" w:rsidRPr="0093583F" w:rsidRDefault="0071198A" w:rsidP="3E2B1321">
            <w:pPr>
              <w:ind w:left="72"/>
              <w:jc w:val="center"/>
              <w:rPr>
                <w:rFonts w:ascii="Cambria" w:eastAsia="MS Mincho" w:hAnsi="Cambria" w:cs="Calibri"/>
                <w:color w:val="000000" w:themeColor="text1"/>
                <w:sz w:val="16"/>
                <w:szCs w:val="16"/>
                <w:lang w:val="es-US" w:eastAsia="es-ES"/>
              </w:rPr>
            </w:pPr>
            <w:hyperlink r:id="rId200">
              <w:r w:rsidR="0096378F" w:rsidRPr="3E2B1321">
                <w:rPr>
                  <w:rStyle w:val="Hyperlink"/>
                  <w:rFonts w:ascii="Cambria" w:eastAsia="MS Mincho" w:hAnsi="Cambria" w:cs="Calibri"/>
                  <w:sz w:val="16"/>
                  <w:szCs w:val="16"/>
                  <w:lang w:val="es-US" w:eastAsia="es-ES"/>
                </w:rPr>
                <w:t>Link</w:t>
              </w:r>
            </w:hyperlink>
          </w:p>
        </w:tc>
        <w:tc>
          <w:tcPr>
            <w:tcW w:w="721" w:type="pct"/>
            <w:shd w:val="clear" w:color="auto" w:fill="E7E6E6" w:themeFill="background2"/>
          </w:tcPr>
          <w:p w14:paraId="7ACB637C"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7B479D1" w14:textId="77777777" w:rsidR="0096378F" w:rsidRPr="0093583F" w:rsidRDefault="0096378F">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1B224D0" w14:textId="77777777" w:rsidR="0096378F" w:rsidRPr="0093583F" w:rsidRDefault="0096378F">
            <w:pPr>
              <w:jc w:val="center"/>
              <w:rPr>
                <w:rFonts w:ascii="Cambria" w:eastAsia="MS Mincho" w:hAnsi="Cambria" w:cs="Calibri"/>
                <w:color w:val="000000" w:themeColor="text1"/>
                <w:sz w:val="16"/>
                <w:szCs w:val="16"/>
                <w:lang w:val="es-US" w:eastAsia="es-ES_tradnl"/>
              </w:rPr>
            </w:pPr>
            <w:r w:rsidRPr="0093583F">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A3B09E3" w14:textId="77777777" w:rsidR="0096378F" w:rsidRPr="0093583F" w:rsidRDefault="0096378F">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5F750DC" w14:textId="77777777" w:rsidR="0096378F" w:rsidRPr="0093583F" w:rsidRDefault="0096378F">
            <w:pPr>
              <w:jc w:val="center"/>
              <w:rPr>
                <w:rFonts w:ascii="Cambria" w:eastAsia="MS Mincho" w:hAnsi="Cambria" w:cs="Calibri"/>
                <w:color w:val="000000" w:themeColor="text1"/>
                <w:sz w:val="16"/>
                <w:szCs w:val="16"/>
                <w:lang w:val="es-US" w:eastAsia="es-ES_tradnl"/>
              </w:rPr>
            </w:pPr>
            <w:r>
              <w:rPr>
                <w:rFonts w:ascii="Cambria" w:eastAsia="MS Mincho" w:hAnsi="Cambria" w:cs="Calibri"/>
                <w:color w:val="000000" w:themeColor="text1"/>
                <w:sz w:val="16"/>
                <w:szCs w:val="16"/>
                <w:lang w:val="es-US"/>
              </w:rPr>
              <w:t>Open</w:t>
            </w:r>
          </w:p>
        </w:tc>
      </w:tr>
      <w:tr w:rsidR="0096378F" w:rsidRPr="0093583F" w14:paraId="7C63AB83" w14:textId="77777777" w:rsidTr="3E2B1321">
        <w:trPr>
          <w:trHeight w:val="261"/>
        </w:trPr>
        <w:tc>
          <w:tcPr>
            <w:tcW w:w="962" w:type="pct"/>
            <w:vMerge w:val="restart"/>
            <w:shd w:val="clear" w:color="auto" w:fill="D1CECE"/>
            <w:vAlign w:val="center"/>
          </w:tcPr>
          <w:p w14:paraId="7E603882" w14:textId="77777777" w:rsidR="0096378F" w:rsidRPr="0093583F" w:rsidRDefault="0096378F">
            <w:pPr>
              <w:jc w:val="center"/>
              <w:rPr>
                <w:rFonts w:ascii="Cambria" w:hAnsi="Cambria" w:cs="Calibri"/>
                <w:b/>
                <w:color w:val="000000" w:themeColor="text1"/>
                <w:sz w:val="16"/>
                <w:szCs w:val="16"/>
                <w:lang w:val="es-US"/>
              </w:rPr>
            </w:pPr>
            <w:r w:rsidRPr="0093583F">
              <w:rPr>
                <w:rFonts w:ascii="Cambria" w:hAnsi="Cambria" w:cs="Calibri"/>
                <w:b/>
                <w:color w:val="000000" w:themeColor="text1"/>
                <w:sz w:val="16"/>
                <w:szCs w:val="16"/>
                <w:lang w:val="es-US"/>
              </w:rPr>
              <w:t>Total: 1</w:t>
            </w:r>
            <w:r>
              <w:rPr>
                <w:rFonts w:ascii="Cambria" w:hAnsi="Cambria" w:cs="Calibri"/>
                <w:b/>
                <w:color w:val="000000" w:themeColor="text1"/>
                <w:sz w:val="16"/>
                <w:szCs w:val="16"/>
                <w:lang w:val="es-US"/>
              </w:rPr>
              <w:t>40</w:t>
            </w:r>
          </w:p>
        </w:tc>
        <w:tc>
          <w:tcPr>
            <w:tcW w:w="577" w:type="pct"/>
            <w:vMerge w:val="restart"/>
            <w:shd w:val="clear" w:color="auto" w:fill="D1CECE"/>
            <w:vAlign w:val="center"/>
          </w:tcPr>
          <w:p w14:paraId="4C64C14C" w14:textId="77777777" w:rsidR="0096378F" w:rsidRPr="0093583F" w:rsidRDefault="0096378F">
            <w:pPr>
              <w:ind w:left="72"/>
              <w:jc w:val="center"/>
              <w:rPr>
                <w:rFonts w:ascii="Cambria" w:eastAsia="MS Mincho" w:hAnsi="Cambria" w:cs="Calibri"/>
                <w:b/>
                <w:color w:val="000000" w:themeColor="text1"/>
                <w:sz w:val="16"/>
                <w:szCs w:val="16"/>
                <w:lang w:val="es-US" w:eastAsia="es-ES_tradnl"/>
              </w:rPr>
            </w:pPr>
          </w:p>
        </w:tc>
        <w:tc>
          <w:tcPr>
            <w:tcW w:w="721" w:type="pct"/>
            <w:vMerge w:val="restart"/>
            <w:shd w:val="clear" w:color="auto" w:fill="D1CECE"/>
          </w:tcPr>
          <w:p w14:paraId="50585401" w14:textId="77777777" w:rsidR="0096378F" w:rsidRPr="00D677DB" w:rsidRDefault="0096378F">
            <w:pPr>
              <w:ind w:left="72"/>
              <w:jc w:val="center"/>
              <w:rPr>
                <w:rFonts w:ascii="Cambria" w:eastAsia="MS Mincho" w:hAnsi="Cambria" w:cs="Calibri"/>
                <w:b/>
                <w:color w:val="000000" w:themeColor="text1"/>
                <w:sz w:val="16"/>
                <w:szCs w:val="16"/>
                <w:lang w:eastAsia="es-ES_tradnl"/>
              </w:rPr>
            </w:pPr>
            <w:r w:rsidRPr="00D677DB">
              <w:rPr>
                <w:rFonts w:ascii="Cambria" w:eastAsia="MS Mincho" w:hAnsi="Cambria" w:cs="Calibri"/>
                <w:b/>
                <w:color w:val="000000" w:themeColor="text1"/>
                <w:sz w:val="16"/>
                <w:szCs w:val="16"/>
                <w:lang w:eastAsia="es-ES_tradnl"/>
              </w:rPr>
              <w:t>Compliance level not yet determined: 1</w:t>
            </w:r>
          </w:p>
        </w:tc>
        <w:tc>
          <w:tcPr>
            <w:tcW w:w="721" w:type="pct"/>
            <w:vMerge w:val="restart"/>
            <w:shd w:val="clear" w:color="auto" w:fill="D1CECE"/>
            <w:vAlign w:val="center"/>
          </w:tcPr>
          <w:p w14:paraId="679B8A92" w14:textId="77777777" w:rsidR="0096378F" w:rsidRPr="0093583F" w:rsidRDefault="0096378F">
            <w:pPr>
              <w:ind w:left="72"/>
              <w:jc w:val="center"/>
              <w:rPr>
                <w:rFonts w:ascii="Cambria" w:eastAsia="MS Mincho" w:hAnsi="Cambria" w:cs="Calibri"/>
                <w:b/>
                <w:color w:val="000000" w:themeColor="text1"/>
                <w:sz w:val="16"/>
                <w:szCs w:val="16"/>
                <w:lang w:val="es-US" w:eastAsia="es-ES_tradnl"/>
              </w:rPr>
            </w:pPr>
            <w:r>
              <w:rPr>
                <w:rFonts w:ascii="Cambria" w:eastAsia="MS Mincho" w:hAnsi="Cambria" w:cs="Calibri"/>
                <w:b/>
                <w:color w:val="000000" w:themeColor="text1"/>
                <w:sz w:val="16"/>
                <w:szCs w:val="16"/>
                <w:lang w:val="es-US" w:eastAsia="es-ES_tradnl"/>
              </w:rPr>
              <w:t>Full compliance</w:t>
            </w:r>
            <w:r w:rsidRPr="0093583F">
              <w:rPr>
                <w:rFonts w:ascii="Cambria" w:eastAsia="MS Mincho" w:hAnsi="Cambria" w:cs="Calibri"/>
                <w:b/>
                <w:color w:val="000000" w:themeColor="text1"/>
                <w:sz w:val="16"/>
                <w:szCs w:val="16"/>
                <w:lang w:val="es-US" w:eastAsia="es-ES_tradnl"/>
              </w:rPr>
              <w:t xml:space="preserve">: </w:t>
            </w:r>
            <w:r w:rsidRPr="000708D7">
              <w:rPr>
                <w:rFonts w:ascii="Cambria" w:eastAsia="MS Mincho" w:hAnsi="Cambria" w:cs="Calibri"/>
                <w:b/>
                <w:color w:val="000000" w:themeColor="text1"/>
                <w:sz w:val="16"/>
                <w:szCs w:val="16"/>
                <w:lang w:val="es-US" w:eastAsia="es-ES_tradnl"/>
              </w:rPr>
              <w:t>11</w:t>
            </w:r>
          </w:p>
        </w:tc>
        <w:tc>
          <w:tcPr>
            <w:tcW w:w="721" w:type="pct"/>
            <w:vMerge w:val="restart"/>
            <w:shd w:val="clear" w:color="auto" w:fill="D1CECE"/>
            <w:vAlign w:val="center"/>
          </w:tcPr>
          <w:p w14:paraId="551FE592" w14:textId="77777777" w:rsidR="0096378F" w:rsidRPr="0093583F" w:rsidRDefault="0096378F">
            <w:pPr>
              <w:jc w:val="center"/>
              <w:rPr>
                <w:rFonts w:ascii="Cambria" w:eastAsia="MS Mincho" w:hAnsi="Cambria" w:cs="Calibri"/>
                <w:b/>
                <w:color w:val="000000" w:themeColor="text1"/>
                <w:sz w:val="16"/>
                <w:szCs w:val="16"/>
                <w:lang w:val="es-US" w:eastAsia="es-ES_tradnl"/>
              </w:rPr>
            </w:pPr>
            <w:r>
              <w:rPr>
                <w:rFonts w:ascii="Cambria" w:eastAsia="MS Mincho" w:hAnsi="Cambria" w:cs="Calibri"/>
                <w:b/>
                <w:color w:val="000000" w:themeColor="text1"/>
                <w:sz w:val="16"/>
                <w:szCs w:val="16"/>
                <w:lang w:val="es-US" w:eastAsia="es-ES_tradnl"/>
              </w:rPr>
              <w:t>Partial compliance</w:t>
            </w:r>
            <w:r w:rsidRPr="0093583F">
              <w:rPr>
                <w:rFonts w:ascii="Cambria" w:eastAsia="MS Mincho" w:hAnsi="Cambria" w:cs="Calibri"/>
                <w:b/>
                <w:color w:val="000000" w:themeColor="text1"/>
                <w:sz w:val="16"/>
                <w:szCs w:val="16"/>
                <w:lang w:val="es-US" w:eastAsia="es-ES_tradnl"/>
              </w:rPr>
              <w:t xml:space="preserve">: </w:t>
            </w:r>
            <w:r>
              <w:rPr>
                <w:rFonts w:ascii="Cambria" w:eastAsia="MS Mincho" w:hAnsi="Cambria" w:cs="Calibri"/>
                <w:b/>
                <w:color w:val="000000" w:themeColor="text1"/>
                <w:sz w:val="16"/>
                <w:szCs w:val="16"/>
                <w:lang w:val="es-US" w:eastAsia="es-ES_tradnl"/>
              </w:rPr>
              <w:t>95</w:t>
            </w:r>
          </w:p>
        </w:tc>
        <w:tc>
          <w:tcPr>
            <w:tcW w:w="673" w:type="pct"/>
            <w:vMerge w:val="restart"/>
            <w:shd w:val="clear" w:color="auto" w:fill="D1CECE"/>
            <w:vAlign w:val="center"/>
          </w:tcPr>
          <w:p w14:paraId="43B6E669" w14:textId="77777777" w:rsidR="0096378F" w:rsidRPr="0093583F" w:rsidRDefault="0096378F">
            <w:pPr>
              <w:jc w:val="center"/>
              <w:rPr>
                <w:rFonts w:ascii="Cambria" w:eastAsia="MS Mincho" w:hAnsi="Cambria" w:cs="Calibri"/>
                <w:b/>
                <w:color w:val="000000" w:themeColor="text1"/>
                <w:sz w:val="16"/>
                <w:szCs w:val="16"/>
                <w:lang w:val="es-US" w:eastAsia="es-ES_tradnl"/>
              </w:rPr>
            </w:pPr>
            <w:r w:rsidRPr="0093583F">
              <w:rPr>
                <w:rFonts w:ascii="Cambria" w:eastAsia="MS Mincho" w:hAnsi="Cambria" w:cs="Calibri"/>
                <w:b/>
                <w:color w:val="000000" w:themeColor="text1"/>
                <w:sz w:val="16"/>
                <w:szCs w:val="16"/>
                <w:lang w:val="es-US" w:eastAsia="es-ES_tradnl"/>
              </w:rPr>
              <w:t>Pend</w:t>
            </w:r>
            <w:r>
              <w:rPr>
                <w:rFonts w:ascii="Cambria" w:eastAsia="MS Mincho" w:hAnsi="Cambria" w:cs="Calibri"/>
                <w:b/>
                <w:color w:val="000000" w:themeColor="text1"/>
                <w:sz w:val="16"/>
                <w:szCs w:val="16"/>
                <w:lang w:val="es-US" w:eastAsia="es-ES_tradnl"/>
              </w:rPr>
              <w:t>ing compliance</w:t>
            </w:r>
            <w:r w:rsidRPr="0093583F">
              <w:rPr>
                <w:rFonts w:ascii="Cambria" w:eastAsia="MS Mincho" w:hAnsi="Cambria" w:cs="Calibri"/>
                <w:b/>
                <w:color w:val="000000" w:themeColor="text1"/>
                <w:sz w:val="16"/>
                <w:szCs w:val="16"/>
                <w:lang w:val="es-US" w:eastAsia="es-ES_tradnl"/>
              </w:rPr>
              <w:t xml:space="preserve">: </w:t>
            </w:r>
            <w:r>
              <w:rPr>
                <w:rFonts w:ascii="Cambria" w:eastAsia="MS Mincho" w:hAnsi="Cambria" w:cs="Calibri"/>
                <w:b/>
                <w:color w:val="000000" w:themeColor="text1"/>
                <w:sz w:val="16"/>
                <w:szCs w:val="16"/>
                <w:lang w:val="es-US" w:eastAsia="es-ES_tradnl"/>
              </w:rPr>
              <w:t>33</w:t>
            </w:r>
          </w:p>
        </w:tc>
        <w:tc>
          <w:tcPr>
            <w:tcW w:w="625" w:type="pct"/>
            <w:shd w:val="clear" w:color="auto" w:fill="D1CECE"/>
          </w:tcPr>
          <w:p w14:paraId="5AB211D9" w14:textId="77777777" w:rsidR="0096378F" w:rsidRPr="0093583F" w:rsidRDefault="0096378F">
            <w:pPr>
              <w:jc w:val="center"/>
              <w:rPr>
                <w:rFonts w:ascii="Cambria" w:eastAsia="MS Mincho" w:hAnsi="Cambria" w:cs="Calibri"/>
                <w:bCs/>
                <w:color w:val="000000" w:themeColor="text1"/>
                <w:sz w:val="16"/>
                <w:szCs w:val="16"/>
                <w:lang w:val="es-US" w:eastAsia="es-ES_tradnl"/>
              </w:rPr>
            </w:pPr>
            <w:r>
              <w:rPr>
                <w:rFonts w:ascii="Cambria" w:eastAsia="MS Mincho" w:hAnsi="Cambria" w:cs="Calibri"/>
                <w:b/>
                <w:color w:val="000000" w:themeColor="text1"/>
                <w:sz w:val="16"/>
                <w:szCs w:val="16"/>
                <w:lang w:val="es-US" w:eastAsia="es-ES_tradnl"/>
              </w:rPr>
              <w:t>Open</w:t>
            </w:r>
            <w:r w:rsidRPr="0093583F">
              <w:rPr>
                <w:rFonts w:ascii="Cambria" w:eastAsia="MS Mincho" w:hAnsi="Cambria" w:cs="Calibri"/>
                <w:b/>
                <w:color w:val="000000" w:themeColor="text1"/>
                <w:sz w:val="16"/>
                <w:szCs w:val="16"/>
                <w:lang w:val="es-US" w:eastAsia="es-ES_tradnl"/>
              </w:rPr>
              <w:t xml:space="preserve">: </w:t>
            </w:r>
            <w:r>
              <w:rPr>
                <w:rFonts w:ascii="Cambria" w:eastAsia="MS Mincho" w:hAnsi="Cambria" w:cs="Calibri"/>
                <w:b/>
                <w:color w:val="000000" w:themeColor="text1"/>
                <w:sz w:val="16"/>
                <w:szCs w:val="16"/>
                <w:lang w:val="es-US" w:eastAsia="es-ES_tradnl"/>
              </w:rPr>
              <w:t>128</w:t>
            </w:r>
          </w:p>
        </w:tc>
      </w:tr>
      <w:tr w:rsidR="0096378F" w:rsidRPr="0093583F" w14:paraId="769BDBB2" w14:textId="77777777" w:rsidTr="3E2B1321">
        <w:trPr>
          <w:trHeight w:val="260"/>
        </w:trPr>
        <w:tc>
          <w:tcPr>
            <w:tcW w:w="962" w:type="pct"/>
            <w:vMerge/>
            <w:vAlign w:val="center"/>
          </w:tcPr>
          <w:p w14:paraId="16B7C032" w14:textId="77777777" w:rsidR="0096378F" w:rsidRPr="0093583F" w:rsidRDefault="0096378F">
            <w:pPr>
              <w:jc w:val="center"/>
              <w:rPr>
                <w:rFonts w:ascii="Cambria" w:hAnsi="Cambria" w:cs="Calibri"/>
                <w:b/>
                <w:color w:val="000000" w:themeColor="text1"/>
                <w:sz w:val="16"/>
                <w:szCs w:val="16"/>
                <w:lang w:val="es-US"/>
              </w:rPr>
            </w:pPr>
          </w:p>
        </w:tc>
        <w:tc>
          <w:tcPr>
            <w:tcW w:w="577" w:type="pct"/>
            <w:vMerge/>
            <w:vAlign w:val="center"/>
          </w:tcPr>
          <w:p w14:paraId="2254FE88" w14:textId="77777777" w:rsidR="0096378F" w:rsidRPr="0093583F" w:rsidRDefault="0096378F">
            <w:pPr>
              <w:ind w:left="72"/>
              <w:jc w:val="center"/>
              <w:rPr>
                <w:rFonts w:ascii="Cambria" w:eastAsia="MS Mincho" w:hAnsi="Cambria" w:cs="Calibri"/>
                <w:b/>
                <w:color w:val="000000" w:themeColor="text1"/>
                <w:sz w:val="16"/>
                <w:szCs w:val="16"/>
                <w:lang w:val="es-US" w:eastAsia="es-ES_tradnl"/>
              </w:rPr>
            </w:pPr>
          </w:p>
        </w:tc>
        <w:tc>
          <w:tcPr>
            <w:tcW w:w="721" w:type="pct"/>
            <w:vMerge/>
          </w:tcPr>
          <w:p w14:paraId="31B55C02" w14:textId="77777777" w:rsidR="0096378F" w:rsidRPr="0093583F" w:rsidRDefault="0096378F">
            <w:pPr>
              <w:ind w:left="72"/>
              <w:jc w:val="center"/>
              <w:rPr>
                <w:rFonts w:ascii="Cambria" w:eastAsia="MS Mincho" w:hAnsi="Cambria" w:cs="Calibri"/>
                <w:b/>
                <w:color w:val="000000" w:themeColor="text1"/>
                <w:sz w:val="16"/>
                <w:szCs w:val="16"/>
                <w:lang w:val="es-US" w:eastAsia="es-ES_tradnl"/>
              </w:rPr>
            </w:pPr>
          </w:p>
        </w:tc>
        <w:tc>
          <w:tcPr>
            <w:tcW w:w="721" w:type="pct"/>
            <w:vMerge/>
            <w:vAlign w:val="center"/>
          </w:tcPr>
          <w:p w14:paraId="15977FD6" w14:textId="77777777" w:rsidR="0096378F" w:rsidRPr="0093583F" w:rsidRDefault="0096378F">
            <w:pPr>
              <w:ind w:left="72"/>
              <w:jc w:val="center"/>
              <w:rPr>
                <w:rFonts w:ascii="Cambria" w:eastAsia="MS Mincho" w:hAnsi="Cambria" w:cs="Calibri"/>
                <w:b/>
                <w:color w:val="000000" w:themeColor="text1"/>
                <w:sz w:val="16"/>
                <w:szCs w:val="16"/>
                <w:lang w:val="es-US" w:eastAsia="es-ES_tradnl"/>
              </w:rPr>
            </w:pPr>
          </w:p>
        </w:tc>
        <w:tc>
          <w:tcPr>
            <w:tcW w:w="721" w:type="pct"/>
            <w:vMerge/>
            <w:vAlign w:val="center"/>
          </w:tcPr>
          <w:p w14:paraId="700FF6AD" w14:textId="77777777" w:rsidR="0096378F" w:rsidRPr="0093583F" w:rsidRDefault="0096378F">
            <w:pPr>
              <w:jc w:val="center"/>
              <w:rPr>
                <w:rFonts w:ascii="Cambria" w:eastAsia="MS Mincho" w:hAnsi="Cambria" w:cs="Calibri"/>
                <w:b/>
                <w:color w:val="000000" w:themeColor="text1"/>
                <w:sz w:val="16"/>
                <w:szCs w:val="16"/>
                <w:lang w:val="es-US" w:eastAsia="es-ES_tradnl"/>
              </w:rPr>
            </w:pPr>
          </w:p>
        </w:tc>
        <w:tc>
          <w:tcPr>
            <w:tcW w:w="673" w:type="pct"/>
            <w:vMerge/>
            <w:vAlign w:val="center"/>
          </w:tcPr>
          <w:p w14:paraId="2F77450F" w14:textId="77777777" w:rsidR="0096378F" w:rsidRPr="0093583F" w:rsidRDefault="0096378F">
            <w:pPr>
              <w:jc w:val="center"/>
              <w:rPr>
                <w:rFonts w:ascii="Cambria" w:eastAsia="MS Mincho" w:hAnsi="Cambria" w:cs="Calibri"/>
                <w:b/>
                <w:color w:val="000000" w:themeColor="text1"/>
                <w:sz w:val="16"/>
                <w:szCs w:val="16"/>
                <w:lang w:val="es-US" w:eastAsia="es-ES_tradnl"/>
              </w:rPr>
            </w:pPr>
          </w:p>
        </w:tc>
        <w:tc>
          <w:tcPr>
            <w:tcW w:w="625" w:type="pct"/>
            <w:shd w:val="clear" w:color="auto" w:fill="D1CECE"/>
          </w:tcPr>
          <w:p w14:paraId="0DA10DD2" w14:textId="77777777" w:rsidR="0096378F" w:rsidRPr="0093583F" w:rsidRDefault="0096378F">
            <w:pPr>
              <w:jc w:val="center"/>
              <w:rPr>
                <w:rFonts w:ascii="Cambria" w:eastAsia="MS Mincho" w:hAnsi="Cambria" w:cs="Calibri"/>
                <w:b/>
                <w:color w:val="000000" w:themeColor="text1"/>
                <w:sz w:val="16"/>
                <w:szCs w:val="16"/>
                <w:lang w:val="es-US" w:eastAsia="es-ES_tradnl"/>
              </w:rPr>
            </w:pPr>
            <w:r>
              <w:rPr>
                <w:rFonts w:ascii="Cambria" w:eastAsia="MS Mincho" w:hAnsi="Cambria" w:cs="Calibri"/>
                <w:b/>
                <w:color w:val="000000" w:themeColor="text1"/>
                <w:sz w:val="16"/>
                <w:szCs w:val="16"/>
                <w:lang w:val="es-US" w:eastAsia="es-ES_tradnl"/>
              </w:rPr>
              <w:t>Closed</w:t>
            </w:r>
            <w:r w:rsidRPr="0093583F">
              <w:rPr>
                <w:rFonts w:ascii="Cambria" w:eastAsia="MS Mincho" w:hAnsi="Cambria" w:cs="Calibri"/>
                <w:b/>
                <w:color w:val="000000" w:themeColor="text1"/>
                <w:sz w:val="16"/>
                <w:szCs w:val="16"/>
                <w:lang w:val="es-US" w:eastAsia="es-ES_tradnl"/>
              </w:rPr>
              <w:t>:  1</w:t>
            </w:r>
            <w:r>
              <w:rPr>
                <w:rFonts w:ascii="Cambria" w:eastAsia="MS Mincho" w:hAnsi="Cambria" w:cs="Calibri"/>
                <w:b/>
                <w:color w:val="000000" w:themeColor="text1"/>
                <w:sz w:val="16"/>
                <w:szCs w:val="16"/>
                <w:lang w:val="es-US" w:eastAsia="es-ES_tradnl"/>
              </w:rPr>
              <w:t>2</w:t>
            </w:r>
          </w:p>
        </w:tc>
      </w:tr>
    </w:tbl>
    <w:p w14:paraId="54483486" w14:textId="77777777" w:rsidR="0096378F" w:rsidRDefault="0096378F" w:rsidP="0096378F">
      <w:pPr>
        <w:autoSpaceDE w:val="0"/>
        <w:autoSpaceDN w:val="0"/>
        <w:adjustRightInd w:val="0"/>
        <w:spacing w:after="240"/>
        <w:ind w:left="720"/>
        <w:jc w:val="both"/>
        <w:rPr>
          <w:rFonts w:ascii="Cambria" w:eastAsia="Yu Gothic Light" w:hAnsi="Cambria" w:cs="Times New Roman"/>
          <w:b/>
          <w:color w:val="000000" w:themeColor="text1"/>
          <w:sz w:val="20"/>
          <w:szCs w:val="20"/>
        </w:rPr>
      </w:pPr>
    </w:p>
    <w:p w14:paraId="7113D211" w14:textId="77777777" w:rsidR="0096378F" w:rsidRPr="00B14D67" w:rsidRDefault="0096378F" w:rsidP="00933F91">
      <w:pPr>
        <w:pStyle w:val="Heading3"/>
        <w:numPr>
          <w:ilvl w:val="0"/>
          <w:numId w:val="77"/>
        </w:numPr>
        <w:shd w:val="clear" w:color="auto" w:fill="FFFFFF"/>
        <w:tabs>
          <w:tab w:val="left" w:pos="1440"/>
        </w:tabs>
        <w:autoSpaceDE w:val="0"/>
        <w:autoSpaceDN w:val="0"/>
        <w:adjustRightInd w:val="0"/>
        <w:spacing w:before="120" w:after="240"/>
        <w:ind w:left="1440" w:hanging="720"/>
        <w:rPr>
          <w:rFonts w:eastAsia="Yu Gothic Light" w:cs="Times New Roman"/>
          <w:b w:val="0"/>
          <w:color w:val="000000" w:themeColor="text1"/>
          <w:lang w:val="en-US"/>
        </w:rPr>
      </w:pPr>
      <w:r w:rsidRPr="00B14D67">
        <w:rPr>
          <w:rFonts w:eastAsia="Yu Gothic Light" w:cs="Times New Roman"/>
          <w:color w:val="000000" w:themeColor="text1"/>
          <w:lang w:val="en-US"/>
        </w:rPr>
        <w:t>Activities carried out in the follow-up process in 2022</w:t>
      </w:r>
    </w:p>
    <w:p w14:paraId="206ECAC4" w14:textId="77777777" w:rsidR="0096378F" w:rsidRDefault="0096378F" w:rsidP="00933F91">
      <w:pPr>
        <w:pStyle w:val="BodyText"/>
        <w:widowControl/>
        <w:numPr>
          <w:ilvl w:val="0"/>
          <w:numId w:val="58"/>
        </w:numPr>
        <w:ind w:left="0" w:firstLine="720"/>
        <w:jc w:val="both"/>
        <w:rPr>
          <w:rFonts w:cs="Calibri"/>
          <w:color w:val="000000" w:themeColor="text1"/>
        </w:rPr>
      </w:pPr>
      <w:r w:rsidRPr="00CE0A24">
        <w:rPr>
          <w:rFonts w:cs="Calibri"/>
          <w:color w:val="000000" w:themeColor="text1"/>
        </w:rPr>
        <w:t xml:space="preserve">Concerning the following up on individual cases provided for in Article 48 of the IACHR Rules of Procedure, during </w:t>
      </w:r>
      <w:r w:rsidRPr="00471305">
        <w:rPr>
          <w:rFonts w:cs="Calibri"/>
          <w:color w:val="000000" w:themeColor="text1"/>
        </w:rPr>
        <w:t>2022, the Commission focused on increasing the number of follow-up actions carried out throughout the year to build consensual routes for compliance with the recommendations and to reestablish or maintain contact with States, representatives of victims, and victims of cases in which the IACHR had not received information in recent years. The IACHR also contacted the petitioning party during the year to maintain active follow-up on the cases.</w:t>
      </w:r>
      <w:r w:rsidRPr="00CE0A24">
        <w:rPr>
          <w:rFonts w:cs="Calibri"/>
          <w:color w:val="000000" w:themeColor="text1"/>
        </w:rPr>
        <w:t xml:space="preserve"> </w:t>
      </w:r>
    </w:p>
    <w:p w14:paraId="04433E39" w14:textId="77777777" w:rsidR="00F724AC" w:rsidRPr="00F724AC" w:rsidRDefault="00F724AC" w:rsidP="00F724AC">
      <w:pPr>
        <w:pStyle w:val="BodyText"/>
        <w:widowControl/>
        <w:ind w:left="720"/>
        <w:jc w:val="both"/>
        <w:rPr>
          <w:rFonts w:cs="Calibri"/>
          <w:color w:val="000000" w:themeColor="text1"/>
        </w:rPr>
      </w:pPr>
    </w:p>
    <w:p w14:paraId="55658CF4" w14:textId="77777777" w:rsidR="0096378F" w:rsidRPr="00471305" w:rsidRDefault="0096378F" w:rsidP="00933F91">
      <w:pPr>
        <w:pStyle w:val="BodyText"/>
        <w:widowControl/>
        <w:numPr>
          <w:ilvl w:val="0"/>
          <w:numId w:val="58"/>
        </w:numPr>
        <w:ind w:left="0" w:firstLine="720"/>
        <w:jc w:val="both"/>
        <w:rPr>
          <w:rFonts w:cs="Calibri"/>
          <w:color w:val="000000" w:themeColor="text1"/>
        </w:rPr>
      </w:pPr>
      <w:r w:rsidRPr="008E3CE9">
        <w:rPr>
          <w:rFonts w:cs="Calibri"/>
          <w:color w:val="000000" w:themeColor="text1"/>
        </w:rPr>
        <w:t xml:space="preserve">Likewise, </w:t>
      </w:r>
      <w:r>
        <w:rPr>
          <w:rFonts w:cs="Calibri"/>
          <w:color w:val="000000" w:themeColor="text1"/>
        </w:rPr>
        <w:t xml:space="preserve">to expand the dialogue with the parties, in 2022, the Commission held 19 working meetings </w:t>
      </w:r>
      <w:r w:rsidRPr="00471305">
        <w:rPr>
          <w:rFonts w:cs="Calibri"/>
          <w:color w:val="000000" w:themeColor="text1"/>
        </w:rPr>
        <w:t>concerning 5 cases</w:t>
      </w:r>
      <w:r w:rsidRPr="008E3CE9">
        <w:rPr>
          <w:rFonts w:cs="Calibri"/>
          <w:color w:val="000000" w:themeColor="text1"/>
        </w:rPr>
        <w:t xml:space="preserve"> with published merits </w:t>
      </w:r>
      <w:r w:rsidRPr="00471305">
        <w:rPr>
          <w:rFonts w:cs="Calibri"/>
          <w:color w:val="000000" w:themeColor="text1"/>
        </w:rPr>
        <w:t xml:space="preserve">reports:  Four meetings as part of a reinforced monitoring strategy of Case 12,051 Maria da Penha, regarding Brazil were held on March 25, 2022, July 12, 2022, September 12, 2022, and November 21, 2022; one meeting of Case 13,356 Nelson Serrano, regarding the United States, held on March 25, 2022, 9 meetings of Case 12.228 Alfonso Martin del Campo Dodd, in respect of Mexico, held on March 25, 2022, May 6, 2022, May 13, 2022, May 17, 2022, May 18, 2022, May 25, 2022, May 31, 2022, June 7, 2022, June 9, 2022, 4 meetings of Case P-1193-CA Press Release, also as part of a reinforced monitoring </w:t>
      </w:r>
      <w:r w:rsidRPr="00471305">
        <w:rPr>
          <w:rFonts w:cs="Calibri"/>
          <w:color w:val="000000" w:themeColor="text1"/>
        </w:rPr>
        <w:lastRenderedPageBreak/>
        <w:t>strategy, concerning Peru, held on February 4, 2022, April 29, 2022, July 25, 2022, and November 9, 2022, and one meeting of Case 10.455 Valentín Basto, regarding Colombia, held on November 15, 2022.</w:t>
      </w:r>
    </w:p>
    <w:p w14:paraId="33DD5EFB" w14:textId="77777777" w:rsidR="0096378F" w:rsidRDefault="0096378F" w:rsidP="00933F91">
      <w:pPr>
        <w:pStyle w:val="BodyText"/>
        <w:widowControl/>
        <w:numPr>
          <w:ilvl w:val="0"/>
          <w:numId w:val="58"/>
        </w:numPr>
        <w:ind w:left="0" w:firstLine="720"/>
        <w:jc w:val="both"/>
        <w:rPr>
          <w:rFonts w:cs="Calibri"/>
          <w:color w:val="000000" w:themeColor="text1"/>
        </w:rPr>
      </w:pPr>
      <w:r w:rsidRPr="008E3CE9">
        <w:rPr>
          <w:rFonts w:cs="Calibri"/>
          <w:color w:val="000000" w:themeColor="text1"/>
        </w:rPr>
        <w:t xml:space="preserve">In addition, </w:t>
      </w:r>
      <w:r w:rsidRPr="00471305">
        <w:rPr>
          <w:rFonts w:cs="Calibri"/>
          <w:color w:val="000000" w:themeColor="text1"/>
        </w:rPr>
        <w:t>throughout 2022, the Commission held several bilateral face-to-face and videoconference meetings with petitioners, victims, and State representatives regarding different cases. In addition, the Commission held five meetings to review the follow-up portfolio of recommendations with the States of Chile, Ecuador, Bolivia, Guatemala, and El Salvador.</w:t>
      </w:r>
      <w:r w:rsidRPr="008E3CE9">
        <w:rPr>
          <w:rFonts w:cs="Calibri"/>
          <w:color w:val="000000" w:themeColor="text1"/>
        </w:rPr>
        <w:t xml:space="preserve"> </w:t>
      </w:r>
    </w:p>
    <w:p w14:paraId="519A8164" w14:textId="77777777" w:rsidR="004B6CD5" w:rsidRPr="008E3CE9" w:rsidRDefault="004B6CD5" w:rsidP="004B6CD5">
      <w:pPr>
        <w:pStyle w:val="BodyText"/>
        <w:widowControl/>
        <w:ind w:left="720"/>
        <w:jc w:val="both"/>
        <w:rPr>
          <w:rFonts w:cs="Calibri"/>
          <w:color w:val="000000" w:themeColor="text1"/>
        </w:rPr>
      </w:pPr>
    </w:p>
    <w:p w14:paraId="4E91A411" w14:textId="77777777" w:rsidR="0096378F" w:rsidRPr="00457892" w:rsidRDefault="0096378F" w:rsidP="00933F91">
      <w:pPr>
        <w:pStyle w:val="BodyText"/>
        <w:widowControl/>
        <w:numPr>
          <w:ilvl w:val="0"/>
          <w:numId w:val="58"/>
        </w:numPr>
        <w:ind w:left="0" w:firstLine="720"/>
        <w:jc w:val="both"/>
        <w:rPr>
          <w:rFonts w:cs="Calibri"/>
          <w:b/>
          <w:color w:val="000000" w:themeColor="text1"/>
        </w:rPr>
      </w:pPr>
      <w:r w:rsidRPr="00F30383">
        <w:rPr>
          <w:rFonts w:cs="Calibri"/>
          <w:color w:val="000000" w:themeColor="text1"/>
        </w:rPr>
        <w:t>Based on the implementation of requests for information to the parties in each case, working meetings, bilateral and portfolio meetings, and the transfer and forwarding of information between the parties, in 2022, the IACHR carried out compliance monitoring in 100% of the cases with merits reports derived from Art. 51 of the ACHR published since 2000. In addition, it strengthened the monitoring of the 159 published merits reports included in</w:t>
      </w:r>
      <w:r w:rsidRPr="008E3CE9">
        <w:rPr>
          <w:rFonts w:cs="Calibri"/>
          <w:color w:val="000000" w:themeColor="text1"/>
        </w:rPr>
        <w:t xml:space="preserve"> paragraphs </w:t>
      </w:r>
      <w:r w:rsidRPr="008E3CE9">
        <w:rPr>
          <w:rFonts w:cs="Calibri"/>
          <w:i/>
          <w:iCs/>
          <w:color w:val="000000" w:themeColor="text1"/>
        </w:rPr>
        <w:t xml:space="preserve">c </w:t>
      </w:r>
      <w:r w:rsidRPr="008E3CE9">
        <w:rPr>
          <w:rFonts w:cs="Calibri"/>
          <w:color w:val="000000" w:themeColor="text1"/>
        </w:rPr>
        <w:t xml:space="preserve">and </w:t>
      </w:r>
      <w:r w:rsidRPr="008E3CE9">
        <w:rPr>
          <w:rFonts w:cs="Calibri"/>
          <w:i/>
          <w:iCs/>
          <w:color w:val="000000" w:themeColor="text1"/>
        </w:rPr>
        <w:t xml:space="preserve">d </w:t>
      </w:r>
      <w:r w:rsidRPr="008E3CE9">
        <w:rPr>
          <w:rFonts w:cs="Calibri"/>
          <w:color w:val="000000" w:themeColor="text1"/>
        </w:rPr>
        <w:t xml:space="preserve">of Joint Press Release P-1193-CA </w:t>
      </w:r>
      <w:r>
        <w:rPr>
          <w:rFonts w:cs="Calibri"/>
          <w:color w:val="000000" w:themeColor="text1"/>
        </w:rPr>
        <w:t>concerning</w:t>
      </w:r>
      <w:r w:rsidRPr="008E3CE9">
        <w:rPr>
          <w:rFonts w:cs="Calibri"/>
          <w:color w:val="000000" w:themeColor="text1"/>
        </w:rPr>
        <w:t xml:space="preserve"> Peru.</w:t>
      </w:r>
    </w:p>
    <w:p w14:paraId="194D813A" w14:textId="77777777" w:rsidR="00457892" w:rsidRPr="008E3CE9" w:rsidRDefault="00457892" w:rsidP="00457892">
      <w:pPr>
        <w:pStyle w:val="BodyText"/>
        <w:widowControl/>
        <w:ind w:left="0"/>
        <w:jc w:val="both"/>
        <w:rPr>
          <w:rFonts w:cs="Calibri"/>
          <w:b/>
          <w:color w:val="000000" w:themeColor="text1"/>
        </w:rPr>
      </w:pPr>
    </w:p>
    <w:p w14:paraId="444FF4B2" w14:textId="77777777" w:rsidR="0096378F" w:rsidRPr="00B14D67" w:rsidRDefault="0096378F" w:rsidP="00933F91">
      <w:pPr>
        <w:pStyle w:val="Heading3"/>
        <w:numPr>
          <w:ilvl w:val="0"/>
          <w:numId w:val="77"/>
        </w:numPr>
        <w:shd w:val="clear" w:color="auto" w:fill="FFFFFF"/>
        <w:tabs>
          <w:tab w:val="left" w:pos="1440"/>
        </w:tabs>
        <w:autoSpaceDE w:val="0"/>
        <w:autoSpaceDN w:val="0"/>
        <w:adjustRightInd w:val="0"/>
        <w:spacing w:before="120" w:after="240"/>
        <w:ind w:left="1440" w:hanging="720"/>
        <w:rPr>
          <w:rFonts w:eastAsia="Yu Gothic Light" w:cs="Times New Roman"/>
          <w:b w:val="0"/>
          <w:color w:val="000000" w:themeColor="text1"/>
        </w:rPr>
      </w:pPr>
      <w:r w:rsidRPr="00B14D67">
        <w:rPr>
          <w:rFonts w:eastAsia="Yu Gothic Light" w:cs="Times New Roman"/>
          <w:color w:val="000000" w:themeColor="text1"/>
          <w:lang w:val="en-US"/>
        </w:rPr>
        <w:t xml:space="preserve"> </w:t>
      </w:r>
      <w:r w:rsidRPr="00B14D67">
        <w:rPr>
          <w:rFonts w:eastAsia="Yu Gothic Light" w:cs="Times New Roman"/>
          <w:color w:val="000000" w:themeColor="text1"/>
        </w:rPr>
        <w:t xml:space="preserve">Relevant results  </w:t>
      </w:r>
    </w:p>
    <w:p w14:paraId="4A6B264F" w14:textId="77777777" w:rsidR="0096378F" w:rsidRPr="00B14D67" w:rsidRDefault="0096378F" w:rsidP="00933F91">
      <w:pPr>
        <w:pStyle w:val="Heading4"/>
        <w:numPr>
          <w:ilvl w:val="0"/>
          <w:numId w:val="76"/>
        </w:numPr>
        <w:spacing w:line="240" w:lineRule="auto"/>
        <w:ind w:left="0" w:firstLine="720"/>
        <w:jc w:val="both"/>
        <w:rPr>
          <w:rFonts w:ascii="Cambria" w:hAnsi="Cambria"/>
          <w:b/>
          <w:bCs/>
          <w:color w:val="000000" w:themeColor="text1"/>
          <w:sz w:val="20"/>
          <w:szCs w:val="20"/>
          <w:lang w:val="en-US"/>
        </w:rPr>
      </w:pPr>
      <w:r w:rsidRPr="00B14D67">
        <w:rPr>
          <w:rFonts w:ascii="Cambria" w:hAnsi="Cambria"/>
          <w:b/>
          <w:bCs/>
          <w:color w:val="000000" w:themeColor="text1"/>
          <w:sz w:val="20"/>
          <w:szCs w:val="20"/>
          <w:lang w:val="en-US"/>
        </w:rPr>
        <w:t>Progress in 2022 on the implementation of recommendations from published background reports</w:t>
      </w:r>
    </w:p>
    <w:p w14:paraId="0BA96FC8" w14:textId="77777777" w:rsidR="0096378F" w:rsidRPr="008E3CE9" w:rsidRDefault="0096378F" w:rsidP="0096378F">
      <w:pPr>
        <w:autoSpaceDE w:val="0"/>
        <w:autoSpaceDN w:val="0"/>
        <w:adjustRightInd w:val="0"/>
        <w:jc w:val="both"/>
        <w:rPr>
          <w:rFonts w:ascii="Cambria" w:hAnsi="Cambria" w:cs="Calibri"/>
          <w:color w:val="000000" w:themeColor="text1"/>
          <w:sz w:val="20"/>
          <w:szCs w:val="20"/>
        </w:rPr>
      </w:pPr>
    </w:p>
    <w:p w14:paraId="7E31FF47" w14:textId="77777777" w:rsidR="0096378F" w:rsidRDefault="0096378F" w:rsidP="00933F91">
      <w:pPr>
        <w:pStyle w:val="BodyText"/>
        <w:widowControl/>
        <w:numPr>
          <w:ilvl w:val="0"/>
          <w:numId w:val="58"/>
        </w:numPr>
        <w:ind w:left="0" w:firstLine="720"/>
        <w:jc w:val="both"/>
        <w:rPr>
          <w:rFonts w:cs="Calibri"/>
          <w:color w:val="000000" w:themeColor="text1"/>
        </w:rPr>
      </w:pPr>
      <w:r>
        <w:rPr>
          <w:rFonts w:cs="Calibri"/>
          <w:color w:val="000000" w:themeColor="text1"/>
        </w:rPr>
        <w:t xml:space="preserve">Progress regarding compliance with the recommendations issued by the IACHR has shown a significant evolution thanks to this mandate's momentum in the Commission's work agenda, particularly in the framework of Agenda 21. </w:t>
      </w:r>
      <w:r w:rsidRPr="008E3CE9">
        <w:rPr>
          <w:rFonts w:cs="Calibri"/>
          <w:color w:val="000000" w:themeColor="text1"/>
        </w:rPr>
        <w:t xml:space="preserve">Likewise, the IACHR recognizes the valuable impulse and commitment that both the States and the victims and their representatives have shown in the development of the follow-up processes, which has allowed the achievement of favorable results in the levels of compliance. </w:t>
      </w:r>
    </w:p>
    <w:p w14:paraId="3239E3ED" w14:textId="77777777" w:rsidR="00230A58" w:rsidRPr="008E3CE9" w:rsidRDefault="00230A58" w:rsidP="00230A58">
      <w:pPr>
        <w:pStyle w:val="BodyText"/>
        <w:widowControl/>
        <w:ind w:left="720"/>
        <w:jc w:val="both"/>
        <w:rPr>
          <w:rFonts w:cs="Calibri"/>
          <w:color w:val="000000" w:themeColor="text1"/>
        </w:rPr>
      </w:pPr>
    </w:p>
    <w:p w14:paraId="5F1B4CC3" w14:textId="77777777" w:rsidR="0096378F" w:rsidRDefault="0096378F" w:rsidP="00933F91">
      <w:pPr>
        <w:pStyle w:val="BodyText"/>
        <w:widowControl/>
        <w:numPr>
          <w:ilvl w:val="0"/>
          <w:numId w:val="58"/>
        </w:numPr>
        <w:ind w:left="0" w:firstLine="720"/>
        <w:jc w:val="both"/>
        <w:rPr>
          <w:rFonts w:cs="Calibri"/>
          <w:color w:val="000000" w:themeColor="text1"/>
        </w:rPr>
      </w:pPr>
      <w:r>
        <w:rPr>
          <w:rFonts w:cs="Calibri"/>
          <w:color w:val="000000" w:themeColor="text1"/>
        </w:rPr>
        <w:t>Concerning</w:t>
      </w:r>
      <w:r w:rsidRPr="008E3CE9">
        <w:rPr>
          <w:rFonts w:cs="Calibri"/>
          <w:color w:val="000000" w:themeColor="text1"/>
        </w:rPr>
        <w:t xml:space="preserve"> the levels of compliance of the cases, the following table shows the progress of implementation of the published merits reports. </w:t>
      </w:r>
      <w:r w:rsidRPr="000F5A91">
        <w:rPr>
          <w:rFonts w:cs="Calibri"/>
          <w:color w:val="000000" w:themeColor="text1"/>
        </w:rPr>
        <w:t>In 2022, 16 cases with published merits reports entered the follow-up stage, 14 because they were published during 2021 and 2</w:t>
      </w:r>
      <w:r w:rsidRPr="00230A58">
        <w:rPr>
          <w:rFonts w:cs="Calibri"/>
          <w:color w:val="000000" w:themeColor="text1"/>
        </w:rPr>
        <w:footnoteReference w:id="153"/>
      </w:r>
      <w:r w:rsidRPr="000F5A91">
        <w:rPr>
          <w:rFonts w:cs="Calibri"/>
          <w:color w:val="000000" w:themeColor="text1"/>
        </w:rPr>
        <w:t xml:space="preserve"> because their follow-up was requested at the request of a party</w:t>
      </w:r>
      <w:r w:rsidRPr="008C7A3C">
        <w:rPr>
          <w:rFonts w:cs="Calibri"/>
          <w:color w:val="000000" w:themeColor="text1"/>
        </w:rPr>
        <w:t>.</w:t>
      </w:r>
      <w:r w:rsidRPr="00312E6C">
        <w:rPr>
          <w:rFonts w:cs="Calibri"/>
          <w:color w:val="000000" w:themeColor="text1"/>
        </w:rPr>
        <w:t xml:space="preserve"> Of these reports, the IACHR identified that 2 are fully compliant; 4 are partially compliant, and 10 are still pending compliance.</w:t>
      </w:r>
      <w:r w:rsidRPr="00230A58">
        <w:rPr>
          <w:rFonts w:cs="Calibri"/>
          <w:color w:val="000000" w:themeColor="text1"/>
        </w:rPr>
        <w:t xml:space="preserve"> </w:t>
      </w:r>
    </w:p>
    <w:p w14:paraId="3156127A" w14:textId="77777777" w:rsidR="00230A58" w:rsidRPr="008E3CE9" w:rsidRDefault="00230A58" w:rsidP="00230A58">
      <w:pPr>
        <w:pStyle w:val="BodyText"/>
        <w:widowControl/>
        <w:ind w:left="720"/>
        <w:jc w:val="both"/>
        <w:rPr>
          <w:rFonts w:cs="Calibri"/>
          <w:color w:val="000000" w:themeColor="text1"/>
        </w:rPr>
      </w:pPr>
    </w:p>
    <w:p w14:paraId="355CCC5A" w14:textId="77777777" w:rsidR="0096378F" w:rsidRDefault="0096378F" w:rsidP="00933F91">
      <w:pPr>
        <w:pStyle w:val="BodyText"/>
        <w:widowControl/>
        <w:numPr>
          <w:ilvl w:val="0"/>
          <w:numId w:val="58"/>
        </w:numPr>
        <w:ind w:left="0" w:firstLine="720"/>
        <w:jc w:val="both"/>
        <w:rPr>
          <w:rFonts w:cs="Calibri"/>
          <w:color w:val="000000" w:themeColor="text1"/>
        </w:rPr>
      </w:pPr>
      <w:r w:rsidRPr="008E3CE9">
        <w:rPr>
          <w:rFonts w:cs="Calibri"/>
          <w:color w:val="000000" w:themeColor="text1"/>
        </w:rPr>
        <w:t xml:space="preserve">This high inclusion of </w:t>
      </w:r>
      <w:r w:rsidRPr="00FC52FE">
        <w:rPr>
          <w:rFonts w:cs="Calibri"/>
          <w:color w:val="000000" w:themeColor="text1"/>
        </w:rPr>
        <w:t>the 16 cases with substantive reports published in 2021, which, therefore, entered the follow-up carried out in the framework of the 2022 Annual Report, helps explain the increase in the outstanding level of compliance of the cases compared to previous years.</w:t>
      </w:r>
      <w:r w:rsidRPr="008E3CE9">
        <w:rPr>
          <w:rFonts w:cs="Calibri"/>
          <w:color w:val="000000" w:themeColor="text1"/>
        </w:rPr>
        <w:t xml:space="preserve"> </w:t>
      </w:r>
    </w:p>
    <w:p w14:paraId="49AB79CF" w14:textId="77777777" w:rsidR="00230A58" w:rsidRPr="008E3CE9" w:rsidRDefault="00230A58" w:rsidP="00230A58">
      <w:pPr>
        <w:pStyle w:val="BodyText"/>
        <w:widowControl/>
        <w:ind w:left="720"/>
        <w:jc w:val="both"/>
        <w:rPr>
          <w:rFonts w:cs="Calibri"/>
          <w:color w:val="000000" w:themeColor="text1"/>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276"/>
        <w:gridCol w:w="637"/>
        <w:gridCol w:w="637"/>
        <w:gridCol w:w="637"/>
        <w:gridCol w:w="637"/>
        <w:gridCol w:w="653"/>
        <w:gridCol w:w="678"/>
        <w:gridCol w:w="706"/>
        <w:gridCol w:w="706"/>
        <w:gridCol w:w="706"/>
        <w:gridCol w:w="705"/>
        <w:gridCol w:w="705"/>
        <w:gridCol w:w="657"/>
      </w:tblGrid>
      <w:tr w:rsidR="0096378F" w:rsidRPr="008E3CE9" w14:paraId="38D412E0" w14:textId="77777777">
        <w:trPr>
          <w:trHeight w:val="144"/>
        </w:trPr>
        <w:tc>
          <w:tcPr>
            <w:tcW w:w="1528" w:type="dxa"/>
            <w:vMerge w:val="restart"/>
            <w:tcBorders>
              <w:top w:val="single" w:sz="8" w:space="0" w:color="000000"/>
              <w:left w:val="single" w:sz="8" w:space="0" w:color="000000"/>
              <w:bottom w:val="single" w:sz="18" w:space="0" w:color="000000"/>
              <w:right w:val="single" w:sz="8" w:space="0" w:color="000000"/>
            </w:tcBorders>
            <w:shd w:val="clear" w:color="auto" w:fill="auto"/>
            <w:vAlign w:val="center"/>
          </w:tcPr>
          <w:p w14:paraId="441867AB" w14:textId="77777777" w:rsidR="0096378F" w:rsidRPr="008E3CE9" w:rsidRDefault="0096378F">
            <w:pPr>
              <w:jc w:val="center"/>
              <w:rPr>
                <w:rFonts w:ascii="Cambria" w:eastAsia="Times New Roman" w:hAnsi="Cambria" w:cs="Calibri"/>
                <w:b/>
                <w:bCs/>
                <w:color w:val="000000" w:themeColor="text1"/>
                <w:sz w:val="16"/>
                <w:szCs w:val="16"/>
              </w:rPr>
            </w:pPr>
            <w:r w:rsidRPr="008E3CE9">
              <w:rPr>
                <w:rFonts w:ascii="Cambria" w:eastAsia="Times New Roman" w:hAnsi="Cambria" w:cs="Calibri"/>
                <w:b/>
                <w:bCs/>
                <w:color w:val="000000" w:themeColor="text1"/>
                <w:sz w:val="16"/>
                <w:szCs w:val="16"/>
              </w:rPr>
              <w:t>Categories</w:t>
            </w:r>
          </w:p>
        </w:tc>
        <w:tc>
          <w:tcPr>
            <w:tcW w:w="3740" w:type="dxa"/>
            <w:gridSpan w:val="6"/>
            <w:tcBorders>
              <w:top w:val="single" w:sz="8" w:space="0" w:color="000000"/>
              <w:left w:val="single" w:sz="8" w:space="0" w:color="000000"/>
              <w:bottom w:val="single" w:sz="18" w:space="0" w:color="000000"/>
              <w:right w:val="single" w:sz="8" w:space="0" w:color="000000"/>
            </w:tcBorders>
            <w:shd w:val="clear" w:color="auto" w:fill="auto"/>
          </w:tcPr>
          <w:p w14:paraId="774DF631" w14:textId="77777777" w:rsidR="0096378F" w:rsidRPr="008E3CE9" w:rsidRDefault="0096378F">
            <w:pPr>
              <w:jc w:val="center"/>
              <w:rPr>
                <w:rFonts w:ascii="Cambria" w:eastAsia="Times New Roman" w:hAnsi="Cambria" w:cs="Calibri"/>
                <w:b/>
                <w:bCs/>
                <w:color w:val="000000" w:themeColor="text1"/>
                <w:sz w:val="16"/>
                <w:szCs w:val="16"/>
              </w:rPr>
            </w:pPr>
            <w:r w:rsidRPr="008E3CE9">
              <w:rPr>
                <w:rFonts w:ascii="Cambria" w:eastAsia="Times New Roman" w:hAnsi="Cambria" w:cs="Calibri"/>
                <w:b/>
                <w:bCs/>
                <w:color w:val="000000" w:themeColor="text1"/>
                <w:sz w:val="16"/>
                <w:szCs w:val="16"/>
              </w:rPr>
              <w:t>Number of Cases</w:t>
            </w:r>
          </w:p>
        </w:tc>
        <w:tc>
          <w:tcPr>
            <w:tcW w:w="4072" w:type="dxa"/>
            <w:gridSpan w:val="6"/>
            <w:tcBorders>
              <w:top w:val="single" w:sz="8" w:space="0" w:color="000000"/>
              <w:left w:val="single" w:sz="8" w:space="0" w:color="000000"/>
              <w:bottom w:val="single" w:sz="18" w:space="0" w:color="000000"/>
              <w:right w:val="single" w:sz="8" w:space="0" w:color="000000"/>
            </w:tcBorders>
            <w:shd w:val="clear" w:color="auto" w:fill="auto"/>
          </w:tcPr>
          <w:p w14:paraId="04EAA54C" w14:textId="77777777" w:rsidR="0096378F" w:rsidRPr="008E3CE9" w:rsidRDefault="0096378F">
            <w:pPr>
              <w:jc w:val="center"/>
              <w:rPr>
                <w:rFonts w:ascii="Cambria" w:eastAsia="Times New Roman" w:hAnsi="Cambria" w:cs="Calibri"/>
                <w:b/>
                <w:bCs/>
                <w:color w:val="000000" w:themeColor="text1"/>
                <w:sz w:val="16"/>
                <w:szCs w:val="16"/>
              </w:rPr>
            </w:pPr>
            <w:r w:rsidRPr="008E3CE9">
              <w:rPr>
                <w:rFonts w:ascii="Cambria" w:eastAsia="Times New Roman" w:hAnsi="Cambria" w:cs="Calibri"/>
                <w:b/>
                <w:bCs/>
                <w:color w:val="000000" w:themeColor="text1"/>
                <w:sz w:val="16"/>
                <w:szCs w:val="16"/>
              </w:rPr>
              <w:t>Compliance</w:t>
            </w:r>
            <w:r>
              <w:rPr>
                <w:rFonts w:ascii="Cambria" w:eastAsia="Times New Roman" w:hAnsi="Cambria" w:cs="Calibri"/>
                <w:b/>
                <w:bCs/>
                <w:color w:val="000000" w:themeColor="text1"/>
                <w:sz w:val="16"/>
                <w:szCs w:val="16"/>
              </w:rPr>
              <w:t xml:space="preserve"> progress rate</w:t>
            </w:r>
          </w:p>
        </w:tc>
      </w:tr>
      <w:tr w:rsidR="0096378F" w:rsidRPr="008E3CE9" w14:paraId="27A4FA91" w14:textId="77777777">
        <w:trPr>
          <w:trHeight w:val="144"/>
        </w:trPr>
        <w:tc>
          <w:tcPr>
            <w:tcW w:w="1528" w:type="dxa"/>
            <w:vMerge/>
            <w:tcBorders>
              <w:top w:val="single" w:sz="8" w:space="0" w:color="000000"/>
              <w:left w:val="single" w:sz="8" w:space="0" w:color="000000"/>
              <w:bottom w:val="single" w:sz="8" w:space="0" w:color="000000"/>
              <w:right w:val="single" w:sz="8" w:space="0" w:color="000000"/>
            </w:tcBorders>
            <w:shd w:val="clear" w:color="auto" w:fill="C0C0C0"/>
          </w:tcPr>
          <w:p w14:paraId="3AE4F30B" w14:textId="77777777" w:rsidR="0096378F" w:rsidRPr="008E3CE9" w:rsidRDefault="0096378F">
            <w:pPr>
              <w:rPr>
                <w:rFonts w:ascii="Cambria" w:eastAsia="Times New Roman" w:hAnsi="Cambria" w:cs="Calibri"/>
                <w:b/>
                <w:bCs/>
                <w:color w:val="000000" w:themeColor="text1"/>
                <w:sz w:val="16"/>
                <w:szCs w:val="16"/>
              </w:rPr>
            </w:pPr>
          </w:p>
        </w:tc>
        <w:tc>
          <w:tcPr>
            <w:tcW w:w="691" w:type="dxa"/>
            <w:tcBorders>
              <w:top w:val="single" w:sz="8" w:space="0" w:color="000000"/>
              <w:left w:val="single" w:sz="8" w:space="0" w:color="000000"/>
              <w:bottom w:val="single" w:sz="8" w:space="0" w:color="000000"/>
              <w:right w:val="single" w:sz="8" w:space="0" w:color="000000"/>
            </w:tcBorders>
            <w:shd w:val="clear" w:color="auto" w:fill="C0C0C0"/>
          </w:tcPr>
          <w:p w14:paraId="7C4CB466"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2017</w:t>
            </w:r>
          </w:p>
        </w:tc>
        <w:tc>
          <w:tcPr>
            <w:tcW w:w="691" w:type="dxa"/>
            <w:tcBorders>
              <w:top w:val="single" w:sz="8" w:space="0" w:color="000000"/>
              <w:left w:val="single" w:sz="8" w:space="0" w:color="000000"/>
              <w:bottom w:val="single" w:sz="8" w:space="0" w:color="000000"/>
              <w:right w:val="single" w:sz="8" w:space="0" w:color="000000"/>
            </w:tcBorders>
            <w:shd w:val="clear" w:color="auto" w:fill="C0C0C0"/>
          </w:tcPr>
          <w:p w14:paraId="25B1B13B"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2018</w:t>
            </w:r>
          </w:p>
        </w:tc>
        <w:tc>
          <w:tcPr>
            <w:tcW w:w="691" w:type="dxa"/>
            <w:tcBorders>
              <w:top w:val="single" w:sz="8" w:space="0" w:color="000000"/>
              <w:left w:val="single" w:sz="8" w:space="0" w:color="000000"/>
              <w:bottom w:val="single" w:sz="8" w:space="0" w:color="000000"/>
              <w:right w:val="single" w:sz="8" w:space="0" w:color="000000"/>
            </w:tcBorders>
            <w:shd w:val="clear" w:color="auto" w:fill="C0C0C0"/>
          </w:tcPr>
          <w:p w14:paraId="2CE8E7CC"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2019</w:t>
            </w:r>
          </w:p>
        </w:tc>
        <w:tc>
          <w:tcPr>
            <w:tcW w:w="690" w:type="dxa"/>
            <w:tcBorders>
              <w:top w:val="single" w:sz="8" w:space="0" w:color="000000"/>
              <w:left w:val="single" w:sz="8" w:space="0" w:color="000000"/>
              <w:bottom w:val="single" w:sz="8" w:space="0" w:color="000000"/>
              <w:right w:val="single" w:sz="8" w:space="0" w:color="000000"/>
            </w:tcBorders>
            <w:shd w:val="clear" w:color="auto" w:fill="C0C0C0"/>
          </w:tcPr>
          <w:p w14:paraId="7E113BE5"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2020</w:t>
            </w:r>
          </w:p>
        </w:tc>
        <w:tc>
          <w:tcPr>
            <w:tcW w:w="726" w:type="dxa"/>
            <w:tcBorders>
              <w:top w:val="single" w:sz="8" w:space="0" w:color="000000"/>
              <w:left w:val="single" w:sz="8" w:space="0" w:color="000000"/>
              <w:bottom w:val="single" w:sz="8" w:space="0" w:color="000000"/>
              <w:right w:val="single" w:sz="8" w:space="0" w:color="000000"/>
            </w:tcBorders>
            <w:shd w:val="clear" w:color="auto" w:fill="C0C0C0"/>
          </w:tcPr>
          <w:p w14:paraId="7633C8A2"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2021</w:t>
            </w:r>
          </w:p>
        </w:tc>
        <w:tc>
          <w:tcPr>
            <w:tcW w:w="251" w:type="dxa"/>
            <w:tcBorders>
              <w:top w:val="single" w:sz="8" w:space="0" w:color="000000"/>
              <w:left w:val="single" w:sz="8" w:space="0" w:color="000000"/>
              <w:bottom w:val="single" w:sz="8" w:space="0" w:color="000000"/>
              <w:right w:val="single" w:sz="8" w:space="0" w:color="000000"/>
            </w:tcBorders>
            <w:shd w:val="clear" w:color="auto" w:fill="C0C0C0"/>
          </w:tcPr>
          <w:p w14:paraId="3BA4E637" w14:textId="77777777" w:rsidR="0096378F" w:rsidRPr="00C42D19" w:rsidRDefault="0096378F">
            <w:pPr>
              <w:jc w:val="center"/>
              <w:rPr>
                <w:rFonts w:ascii="Cambria" w:hAnsi="Cambria" w:cs="Calibri"/>
                <w:b/>
                <w:color w:val="000000" w:themeColor="text1"/>
                <w:sz w:val="16"/>
                <w:szCs w:val="16"/>
              </w:rPr>
            </w:pPr>
            <w:r w:rsidRPr="00C42D19">
              <w:rPr>
                <w:rFonts w:ascii="Cambria" w:hAnsi="Cambria" w:cs="Calibri"/>
                <w:b/>
                <w:color w:val="000000" w:themeColor="text1"/>
                <w:sz w:val="16"/>
                <w:szCs w:val="16"/>
              </w:rPr>
              <w:t>2022</w:t>
            </w:r>
          </w:p>
        </w:tc>
        <w:tc>
          <w:tcPr>
            <w:tcW w:w="769" w:type="dxa"/>
            <w:tcBorders>
              <w:top w:val="single" w:sz="8" w:space="0" w:color="000000"/>
              <w:left w:val="single" w:sz="8" w:space="0" w:color="000000"/>
              <w:bottom w:val="single" w:sz="8" w:space="0" w:color="000000"/>
              <w:right w:val="single" w:sz="8" w:space="0" w:color="000000"/>
            </w:tcBorders>
            <w:shd w:val="clear" w:color="auto" w:fill="C0C0C0"/>
          </w:tcPr>
          <w:p w14:paraId="40208D18"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2017</w:t>
            </w:r>
          </w:p>
        </w:tc>
        <w:tc>
          <w:tcPr>
            <w:tcW w:w="769" w:type="dxa"/>
            <w:tcBorders>
              <w:top w:val="single" w:sz="8" w:space="0" w:color="000000"/>
              <w:left w:val="single" w:sz="8" w:space="0" w:color="000000"/>
              <w:bottom w:val="single" w:sz="8" w:space="0" w:color="000000"/>
              <w:right w:val="single" w:sz="8" w:space="0" w:color="000000"/>
            </w:tcBorders>
            <w:shd w:val="clear" w:color="auto" w:fill="C0C0C0"/>
          </w:tcPr>
          <w:p w14:paraId="3BD1A5A4"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2018</w:t>
            </w:r>
          </w:p>
        </w:tc>
        <w:tc>
          <w:tcPr>
            <w:tcW w:w="769" w:type="dxa"/>
            <w:tcBorders>
              <w:top w:val="single" w:sz="8" w:space="0" w:color="000000"/>
              <w:left w:val="single" w:sz="8" w:space="0" w:color="000000"/>
              <w:bottom w:val="single" w:sz="8" w:space="0" w:color="000000"/>
              <w:right w:val="single" w:sz="8" w:space="0" w:color="000000"/>
            </w:tcBorders>
            <w:shd w:val="clear" w:color="auto" w:fill="C0C0C0"/>
          </w:tcPr>
          <w:p w14:paraId="74CC48D6"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2019</w:t>
            </w:r>
          </w:p>
        </w:tc>
        <w:tc>
          <w:tcPr>
            <w:tcW w:w="768" w:type="dxa"/>
            <w:tcBorders>
              <w:top w:val="single" w:sz="8" w:space="0" w:color="000000"/>
              <w:left w:val="single" w:sz="8" w:space="0" w:color="000000"/>
              <w:bottom w:val="single" w:sz="8" w:space="0" w:color="000000"/>
              <w:right w:val="single" w:sz="8" w:space="0" w:color="000000"/>
            </w:tcBorders>
            <w:shd w:val="clear" w:color="auto" w:fill="C0C0C0"/>
          </w:tcPr>
          <w:p w14:paraId="5C1325CA"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2020</w:t>
            </w:r>
          </w:p>
        </w:tc>
        <w:tc>
          <w:tcPr>
            <w:tcW w:w="768" w:type="dxa"/>
            <w:tcBorders>
              <w:top w:val="single" w:sz="8" w:space="0" w:color="000000"/>
              <w:left w:val="single" w:sz="8" w:space="0" w:color="000000"/>
              <w:bottom w:val="single" w:sz="8" w:space="0" w:color="000000"/>
              <w:right w:val="single" w:sz="8" w:space="0" w:color="000000"/>
            </w:tcBorders>
            <w:shd w:val="clear" w:color="auto" w:fill="C0C0C0"/>
          </w:tcPr>
          <w:p w14:paraId="659D8D86" w14:textId="77777777" w:rsidR="0096378F" w:rsidRPr="008E3CE9" w:rsidRDefault="0096378F">
            <w:pPr>
              <w:jc w:val="center"/>
              <w:rPr>
                <w:rFonts w:ascii="Cambria" w:hAnsi="Cambria" w:cs="Calibri"/>
                <w:b/>
                <w:color w:val="000000" w:themeColor="text1"/>
                <w:sz w:val="16"/>
                <w:szCs w:val="16"/>
                <w:highlight w:val="yellow"/>
              </w:rPr>
            </w:pPr>
            <w:r w:rsidRPr="008E3CE9">
              <w:rPr>
                <w:rFonts w:ascii="Cambria" w:hAnsi="Cambria" w:cs="Calibri"/>
                <w:b/>
                <w:color w:val="000000" w:themeColor="text1"/>
                <w:sz w:val="16"/>
                <w:szCs w:val="16"/>
              </w:rPr>
              <w:t>2021</w:t>
            </w:r>
          </w:p>
        </w:tc>
        <w:tc>
          <w:tcPr>
            <w:tcW w:w="229" w:type="dxa"/>
            <w:tcBorders>
              <w:top w:val="single" w:sz="8" w:space="0" w:color="000000"/>
              <w:left w:val="single" w:sz="8" w:space="0" w:color="000000"/>
              <w:bottom w:val="single" w:sz="8" w:space="0" w:color="000000"/>
              <w:right w:val="single" w:sz="8" w:space="0" w:color="000000"/>
            </w:tcBorders>
            <w:shd w:val="clear" w:color="auto" w:fill="C0C0C0"/>
          </w:tcPr>
          <w:p w14:paraId="684B3108" w14:textId="77777777" w:rsidR="0096378F" w:rsidRPr="00F05191" w:rsidRDefault="0096378F">
            <w:pPr>
              <w:jc w:val="center"/>
              <w:rPr>
                <w:rFonts w:ascii="Cambria" w:hAnsi="Cambria" w:cs="Calibri"/>
                <w:b/>
                <w:color w:val="000000" w:themeColor="text1"/>
                <w:sz w:val="16"/>
                <w:szCs w:val="16"/>
              </w:rPr>
            </w:pPr>
            <w:r w:rsidRPr="00F05191">
              <w:rPr>
                <w:rFonts w:ascii="Cambria" w:hAnsi="Cambria" w:cs="Calibri"/>
                <w:b/>
                <w:color w:val="000000" w:themeColor="text1"/>
                <w:sz w:val="16"/>
                <w:szCs w:val="16"/>
              </w:rPr>
              <w:t>2022</w:t>
            </w:r>
          </w:p>
        </w:tc>
      </w:tr>
      <w:tr w:rsidR="0096378F" w:rsidRPr="008E3CE9" w14:paraId="20A59EC0" w14:textId="77777777">
        <w:trPr>
          <w:trHeight w:val="565"/>
        </w:trPr>
        <w:tc>
          <w:tcPr>
            <w:tcW w:w="15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2D4D69" w14:textId="77777777" w:rsidR="0096378F" w:rsidRPr="008E3CE9" w:rsidRDefault="0096378F">
            <w:pPr>
              <w:rPr>
                <w:rFonts w:ascii="Cambria" w:eastAsia="Times New Roman" w:hAnsi="Cambria" w:cs="Calibri"/>
                <w:b/>
                <w:bCs/>
                <w:color w:val="000000" w:themeColor="text1"/>
                <w:sz w:val="16"/>
                <w:szCs w:val="16"/>
              </w:rPr>
            </w:pPr>
            <w:r>
              <w:rPr>
                <w:rFonts w:ascii="Cambria" w:eastAsia="Times New Roman" w:hAnsi="Cambria" w:cs="Calibri"/>
                <w:b/>
                <w:bCs/>
                <w:color w:val="000000" w:themeColor="text1"/>
                <w:sz w:val="16"/>
                <w:szCs w:val="16"/>
              </w:rPr>
              <w:t>Full</w:t>
            </w:r>
            <w:r w:rsidRPr="008E3CE9">
              <w:rPr>
                <w:rFonts w:ascii="Cambria" w:eastAsia="Times New Roman" w:hAnsi="Cambria" w:cs="Calibri"/>
                <w:b/>
                <w:bCs/>
                <w:color w:val="000000" w:themeColor="text1"/>
                <w:sz w:val="16"/>
                <w:szCs w:val="16"/>
              </w:rPr>
              <w:t xml:space="preserve"> Compliance</w:t>
            </w:r>
          </w:p>
        </w:tc>
        <w:tc>
          <w:tcPr>
            <w:tcW w:w="6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FFB2F4"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7</w:t>
            </w:r>
          </w:p>
        </w:tc>
        <w:tc>
          <w:tcPr>
            <w:tcW w:w="6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80ED37"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9</w:t>
            </w:r>
          </w:p>
        </w:tc>
        <w:tc>
          <w:tcPr>
            <w:tcW w:w="6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194820"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9</w:t>
            </w:r>
          </w:p>
        </w:tc>
        <w:tc>
          <w:tcPr>
            <w:tcW w:w="690" w:type="dxa"/>
            <w:tcBorders>
              <w:top w:val="single" w:sz="8" w:space="0" w:color="000000"/>
              <w:left w:val="single" w:sz="8" w:space="0" w:color="000000"/>
              <w:bottom w:val="single" w:sz="8" w:space="0" w:color="000000"/>
              <w:right w:val="single" w:sz="8" w:space="0" w:color="000000"/>
            </w:tcBorders>
            <w:vAlign w:val="center"/>
          </w:tcPr>
          <w:p w14:paraId="6CF0B1E3"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9</w:t>
            </w:r>
          </w:p>
        </w:tc>
        <w:tc>
          <w:tcPr>
            <w:tcW w:w="726" w:type="dxa"/>
            <w:tcBorders>
              <w:top w:val="single" w:sz="8" w:space="0" w:color="000000"/>
              <w:left w:val="single" w:sz="8" w:space="0" w:color="000000"/>
              <w:bottom w:val="single" w:sz="8" w:space="0" w:color="000000"/>
              <w:right w:val="single" w:sz="8" w:space="0" w:color="000000"/>
            </w:tcBorders>
            <w:vAlign w:val="center"/>
          </w:tcPr>
          <w:p w14:paraId="68E54F7E"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9</w:t>
            </w:r>
          </w:p>
        </w:tc>
        <w:tc>
          <w:tcPr>
            <w:tcW w:w="251" w:type="dxa"/>
            <w:tcBorders>
              <w:top w:val="single" w:sz="8" w:space="0" w:color="000000"/>
              <w:left w:val="single" w:sz="8" w:space="0" w:color="000000"/>
              <w:bottom w:val="single" w:sz="8" w:space="0" w:color="000000"/>
              <w:right w:val="single" w:sz="8" w:space="0" w:color="000000"/>
            </w:tcBorders>
          </w:tcPr>
          <w:p w14:paraId="402782B2" w14:textId="77777777" w:rsidR="0096378F" w:rsidRPr="00C42D19" w:rsidRDefault="0096378F">
            <w:pPr>
              <w:rPr>
                <w:rFonts w:ascii="Cambria" w:hAnsi="Cambria" w:cs="Calibri"/>
                <w:color w:val="000000" w:themeColor="text1"/>
                <w:sz w:val="16"/>
                <w:szCs w:val="16"/>
              </w:rPr>
            </w:pPr>
          </w:p>
          <w:p w14:paraId="46CDAC0C" w14:textId="77777777" w:rsidR="0096378F" w:rsidRPr="00C42D19" w:rsidRDefault="0096378F">
            <w:pPr>
              <w:jc w:val="center"/>
              <w:rPr>
                <w:rFonts w:ascii="Cambria" w:hAnsi="Cambria" w:cs="Calibri"/>
                <w:color w:val="000000" w:themeColor="text1"/>
                <w:sz w:val="16"/>
                <w:szCs w:val="16"/>
              </w:rPr>
            </w:pPr>
            <w:r w:rsidRPr="00C42D19">
              <w:rPr>
                <w:rFonts w:ascii="Cambria" w:hAnsi="Cambria" w:cs="Calibri"/>
                <w:color w:val="000000" w:themeColor="text1"/>
                <w:sz w:val="16"/>
                <w:szCs w:val="16"/>
              </w:rPr>
              <w:t>11</w:t>
            </w:r>
          </w:p>
        </w:tc>
        <w:tc>
          <w:tcPr>
            <w:tcW w:w="7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4E29D7"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6.8%</w:t>
            </w:r>
          </w:p>
        </w:tc>
        <w:tc>
          <w:tcPr>
            <w:tcW w:w="7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A80302"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8.3%</w:t>
            </w:r>
          </w:p>
        </w:tc>
        <w:tc>
          <w:tcPr>
            <w:tcW w:w="7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883EC4"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8%</w:t>
            </w:r>
          </w:p>
        </w:tc>
        <w:tc>
          <w:tcPr>
            <w:tcW w:w="768" w:type="dxa"/>
            <w:tcBorders>
              <w:top w:val="single" w:sz="8" w:space="0" w:color="000000"/>
              <w:left w:val="single" w:sz="8" w:space="0" w:color="000000"/>
              <w:bottom w:val="single" w:sz="8" w:space="0" w:color="000000"/>
              <w:right w:val="single" w:sz="8" w:space="0" w:color="000000"/>
            </w:tcBorders>
            <w:vAlign w:val="center"/>
          </w:tcPr>
          <w:p w14:paraId="0DDCB348"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7.8%</w:t>
            </w:r>
          </w:p>
        </w:tc>
        <w:tc>
          <w:tcPr>
            <w:tcW w:w="768" w:type="dxa"/>
            <w:tcBorders>
              <w:top w:val="single" w:sz="8" w:space="0" w:color="000000"/>
              <w:left w:val="single" w:sz="8" w:space="0" w:color="000000"/>
              <w:bottom w:val="single" w:sz="8" w:space="0" w:color="000000"/>
              <w:right w:val="single" w:sz="8" w:space="0" w:color="000000"/>
            </w:tcBorders>
            <w:vAlign w:val="center"/>
          </w:tcPr>
          <w:p w14:paraId="66D68EF8" w14:textId="77777777" w:rsidR="0096378F" w:rsidRPr="008E3CE9" w:rsidRDefault="0096378F">
            <w:pPr>
              <w:jc w:val="center"/>
              <w:rPr>
                <w:rFonts w:ascii="Cambria" w:hAnsi="Cambria" w:cs="Calibri"/>
                <w:color w:val="000000" w:themeColor="text1"/>
                <w:sz w:val="16"/>
                <w:szCs w:val="16"/>
                <w:highlight w:val="yellow"/>
              </w:rPr>
            </w:pPr>
            <w:r w:rsidRPr="008E3CE9">
              <w:rPr>
                <w:rFonts w:ascii="Cambria" w:hAnsi="Cambria" w:cs="Calibri"/>
                <w:color w:val="000000" w:themeColor="text1"/>
                <w:sz w:val="16"/>
                <w:szCs w:val="16"/>
              </w:rPr>
              <w:t>7.3%</w:t>
            </w:r>
          </w:p>
        </w:tc>
        <w:tc>
          <w:tcPr>
            <w:tcW w:w="229" w:type="dxa"/>
            <w:tcBorders>
              <w:top w:val="single" w:sz="8" w:space="0" w:color="000000"/>
              <w:left w:val="single" w:sz="8" w:space="0" w:color="000000"/>
              <w:bottom w:val="single" w:sz="8" w:space="0" w:color="000000"/>
              <w:right w:val="single" w:sz="8" w:space="0" w:color="000000"/>
            </w:tcBorders>
          </w:tcPr>
          <w:p w14:paraId="5037BAAD" w14:textId="77777777" w:rsidR="0096378F" w:rsidRPr="00F05191" w:rsidRDefault="0096378F">
            <w:pPr>
              <w:jc w:val="center"/>
              <w:rPr>
                <w:rFonts w:ascii="Cambria" w:hAnsi="Cambria" w:cs="Calibri"/>
                <w:color w:val="000000" w:themeColor="text1"/>
                <w:sz w:val="16"/>
                <w:szCs w:val="16"/>
              </w:rPr>
            </w:pPr>
          </w:p>
          <w:p w14:paraId="05015EFC" w14:textId="77777777" w:rsidR="0096378F" w:rsidRPr="00F05191" w:rsidRDefault="0096378F">
            <w:pPr>
              <w:jc w:val="center"/>
              <w:rPr>
                <w:rFonts w:ascii="Cambria" w:hAnsi="Cambria" w:cs="Calibri"/>
                <w:color w:val="000000" w:themeColor="text1"/>
                <w:sz w:val="16"/>
                <w:szCs w:val="16"/>
              </w:rPr>
            </w:pPr>
            <w:r w:rsidRPr="00F05191">
              <w:rPr>
                <w:rFonts w:ascii="Cambria" w:hAnsi="Cambria" w:cs="Calibri"/>
                <w:color w:val="000000" w:themeColor="text1"/>
                <w:sz w:val="16"/>
                <w:szCs w:val="16"/>
              </w:rPr>
              <w:t>7.9%</w:t>
            </w:r>
          </w:p>
        </w:tc>
      </w:tr>
      <w:tr w:rsidR="0096378F" w:rsidRPr="008E3CE9" w14:paraId="7733B750" w14:textId="77777777">
        <w:trPr>
          <w:trHeight w:val="610"/>
        </w:trPr>
        <w:tc>
          <w:tcPr>
            <w:tcW w:w="152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CC7DDE1" w14:textId="77777777" w:rsidR="0096378F" w:rsidRPr="008E3CE9" w:rsidRDefault="0096378F">
            <w:pPr>
              <w:rPr>
                <w:rFonts w:ascii="Cambria" w:eastAsia="Times New Roman" w:hAnsi="Cambria" w:cs="Calibri"/>
                <w:b/>
                <w:bCs/>
                <w:color w:val="000000" w:themeColor="text1"/>
                <w:sz w:val="16"/>
                <w:szCs w:val="16"/>
              </w:rPr>
            </w:pPr>
            <w:r w:rsidRPr="008E3CE9">
              <w:rPr>
                <w:rFonts w:ascii="Cambria" w:eastAsia="Times New Roman" w:hAnsi="Cambria" w:cs="Calibri"/>
                <w:b/>
                <w:bCs/>
                <w:color w:val="000000" w:themeColor="text1"/>
                <w:sz w:val="16"/>
                <w:szCs w:val="16"/>
              </w:rPr>
              <w:t>Partial Compliance</w:t>
            </w:r>
          </w:p>
        </w:tc>
        <w:tc>
          <w:tcPr>
            <w:tcW w:w="691"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A97C811"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66</w:t>
            </w:r>
          </w:p>
        </w:tc>
        <w:tc>
          <w:tcPr>
            <w:tcW w:w="691"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5BE33161"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82</w:t>
            </w:r>
          </w:p>
        </w:tc>
        <w:tc>
          <w:tcPr>
            <w:tcW w:w="691"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35EA4416"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85</w:t>
            </w:r>
          </w:p>
        </w:tc>
        <w:tc>
          <w:tcPr>
            <w:tcW w:w="69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742BE68"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88</w:t>
            </w:r>
          </w:p>
        </w:tc>
        <w:tc>
          <w:tcPr>
            <w:tcW w:w="726"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568F8162"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91</w:t>
            </w:r>
          </w:p>
        </w:tc>
        <w:tc>
          <w:tcPr>
            <w:tcW w:w="251" w:type="dxa"/>
            <w:tcBorders>
              <w:top w:val="single" w:sz="8" w:space="0" w:color="000000"/>
              <w:left w:val="single" w:sz="8" w:space="0" w:color="000000"/>
              <w:bottom w:val="single" w:sz="8" w:space="0" w:color="000000"/>
              <w:right w:val="single" w:sz="8" w:space="0" w:color="000000"/>
            </w:tcBorders>
            <w:shd w:val="clear" w:color="auto" w:fill="C0C0C0"/>
          </w:tcPr>
          <w:p w14:paraId="5A637221" w14:textId="77777777" w:rsidR="0096378F" w:rsidRPr="00C42D19" w:rsidRDefault="0096378F">
            <w:pPr>
              <w:jc w:val="center"/>
              <w:rPr>
                <w:rFonts w:ascii="Cambria" w:hAnsi="Cambria" w:cs="Calibri"/>
                <w:color w:val="000000" w:themeColor="text1"/>
                <w:sz w:val="16"/>
                <w:szCs w:val="16"/>
              </w:rPr>
            </w:pPr>
          </w:p>
          <w:p w14:paraId="341E3A8D" w14:textId="77777777" w:rsidR="0096378F" w:rsidRPr="00C42D19" w:rsidRDefault="0096378F">
            <w:pPr>
              <w:jc w:val="center"/>
              <w:rPr>
                <w:rFonts w:ascii="Cambria" w:hAnsi="Cambria" w:cs="Calibri"/>
                <w:color w:val="000000" w:themeColor="text1"/>
                <w:sz w:val="16"/>
                <w:szCs w:val="16"/>
              </w:rPr>
            </w:pPr>
            <w:r w:rsidRPr="00C42D19">
              <w:rPr>
                <w:rFonts w:ascii="Cambria" w:hAnsi="Cambria" w:cs="Calibri"/>
                <w:color w:val="000000" w:themeColor="text1"/>
                <w:sz w:val="16"/>
                <w:szCs w:val="16"/>
              </w:rPr>
              <w:t>95</w:t>
            </w:r>
          </w:p>
        </w:tc>
        <w:tc>
          <w:tcPr>
            <w:tcW w:w="769"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6B8EF8B"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64%</w:t>
            </w:r>
          </w:p>
        </w:tc>
        <w:tc>
          <w:tcPr>
            <w:tcW w:w="769"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FCA636F"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75.2%</w:t>
            </w:r>
          </w:p>
        </w:tc>
        <w:tc>
          <w:tcPr>
            <w:tcW w:w="769"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255A585"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75.2%</w:t>
            </w:r>
          </w:p>
        </w:tc>
        <w:tc>
          <w:tcPr>
            <w:tcW w:w="76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ABB8D18"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76.6%</w:t>
            </w:r>
          </w:p>
        </w:tc>
        <w:tc>
          <w:tcPr>
            <w:tcW w:w="76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820D140" w14:textId="77777777" w:rsidR="0096378F" w:rsidRPr="008E3CE9" w:rsidRDefault="0096378F">
            <w:pPr>
              <w:jc w:val="center"/>
              <w:rPr>
                <w:rFonts w:ascii="Cambria" w:hAnsi="Cambria" w:cs="Calibri"/>
                <w:color w:val="000000" w:themeColor="text1"/>
                <w:sz w:val="16"/>
                <w:szCs w:val="16"/>
                <w:highlight w:val="yellow"/>
              </w:rPr>
            </w:pPr>
            <w:r w:rsidRPr="008E3CE9">
              <w:rPr>
                <w:rFonts w:ascii="Cambria" w:hAnsi="Cambria" w:cs="Calibri"/>
                <w:color w:val="000000" w:themeColor="text1"/>
                <w:sz w:val="16"/>
                <w:szCs w:val="16"/>
              </w:rPr>
              <w:t>74%</w:t>
            </w:r>
          </w:p>
        </w:tc>
        <w:tc>
          <w:tcPr>
            <w:tcW w:w="229" w:type="dxa"/>
            <w:tcBorders>
              <w:top w:val="single" w:sz="8" w:space="0" w:color="000000"/>
              <w:left w:val="single" w:sz="8" w:space="0" w:color="000000"/>
              <w:bottom w:val="single" w:sz="8" w:space="0" w:color="000000"/>
              <w:right w:val="single" w:sz="8" w:space="0" w:color="000000"/>
            </w:tcBorders>
            <w:shd w:val="clear" w:color="auto" w:fill="C0C0C0"/>
          </w:tcPr>
          <w:p w14:paraId="6E083DB8" w14:textId="77777777" w:rsidR="0096378F" w:rsidRPr="00F05191" w:rsidRDefault="0096378F">
            <w:pPr>
              <w:jc w:val="center"/>
              <w:rPr>
                <w:rFonts w:ascii="Cambria" w:hAnsi="Cambria" w:cs="Calibri"/>
                <w:color w:val="000000" w:themeColor="text1"/>
                <w:sz w:val="16"/>
                <w:szCs w:val="16"/>
              </w:rPr>
            </w:pPr>
          </w:p>
          <w:p w14:paraId="4D34A1E5" w14:textId="77777777" w:rsidR="0096378F" w:rsidRPr="00F05191" w:rsidRDefault="0096378F">
            <w:pPr>
              <w:jc w:val="center"/>
              <w:rPr>
                <w:rFonts w:ascii="Cambria" w:hAnsi="Cambria" w:cs="Calibri"/>
                <w:color w:val="000000" w:themeColor="text1"/>
                <w:sz w:val="16"/>
                <w:szCs w:val="16"/>
              </w:rPr>
            </w:pPr>
            <w:r w:rsidRPr="00F05191">
              <w:rPr>
                <w:rFonts w:ascii="Cambria" w:hAnsi="Cambria" w:cs="Calibri"/>
                <w:color w:val="000000" w:themeColor="text1"/>
                <w:sz w:val="16"/>
                <w:szCs w:val="16"/>
              </w:rPr>
              <w:t>68.3%</w:t>
            </w:r>
          </w:p>
        </w:tc>
      </w:tr>
      <w:tr w:rsidR="0096378F" w:rsidRPr="008E3CE9" w14:paraId="024A0BB7" w14:textId="77777777">
        <w:trPr>
          <w:trHeight w:val="520"/>
        </w:trPr>
        <w:tc>
          <w:tcPr>
            <w:tcW w:w="15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0C7233" w14:textId="77777777" w:rsidR="0096378F" w:rsidRPr="008E3CE9" w:rsidRDefault="0096378F">
            <w:pPr>
              <w:rPr>
                <w:rFonts w:ascii="Cambria" w:eastAsia="Times New Roman" w:hAnsi="Cambria" w:cs="Calibri"/>
                <w:b/>
                <w:bCs/>
                <w:color w:val="000000" w:themeColor="text1"/>
                <w:sz w:val="16"/>
                <w:szCs w:val="16"/>
              </w:rPr>
            </w:pPr>
            <w:r w:rsidRPr="008E3CE9">
              <w:rPr>
                <w:rFonts w:ascii="Cambria" w:eastAsia="Times New Roman" w:hAnsi="Cambria" w:cs="Calibri"/>
                <w:b/>
                <w:bCs/>
                <w:color w:val="000000" w:themeColor="text1"/>
                <w:sz w:val="16"/>
                <w:szCs w:val="16"/>
              </w:rPr>
              <w:t>Pending Compliance</w:t>
            </w:r>
          </w:p>
        </w:tc>
        <w:tc>
          <w:tcPr>
            <w:tcW w:w="6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85C4FF"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30</w:t>
            </w:r>
          </w:p>
        </w:tc>
        <w:tc>
          <w:tcPr>
            <w:tcW w:w="6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E36CDE"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18</w:t>
            </w:r>
          </w:p>
        </w:tc>
        <w:tc>
          <w:tcPr>
            <w:tcW w:w="6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D42870"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19</w:t>
            </w:r>
          </w:p>
        </w:tc>
        <w:tc>
          <w:tcPr>
            <w:tcW w:w="690" w:type="dxa"/>
            <w:tcBorders>
              <w:top w:val="single" w:sz="8" w:space="0" w:color="000000"/>
              <w:left w:val="single" w:sz="8" w:space="0" w:color="000000"/>
              <w:bottom w:val="single" w:sz="8" w:space="0" w:color="000000"/>
              <w:right w:val="single" w:sz="8" w:space="0" w:color="000000"/>
            </w:tcBorders>
            <w:vAlign w:val="center"/>
          </w:tcPr>
          <w:p w14:paraId="1D201579"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18</w:t>
            </w:r>
          </w:p>
        </w:tc>
        <w:tc>
          <w:tcPr>
            <w:tcW w:w="726" w:type="dxa"/>
            <w:tcBorders>
              <w:top w:val="single" w:sz="8" w:space="0" w:color="000000"/>
              <w:left w:val="single" w:sz="8" w:space="0" w:color="000000"/>
              <w:bottom w:val="single" w:sz="8" w:space="0" w:color="000000"/>
              <w:right w:val="single" w:sz="8" w:space="0" w:color="000000"/>
            </w:tcBorders>
            <w:vAlign w:val="center"/>
          </w:tcPr>
          <w:p w14:paraId="72E4930D"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23</w:t>
            </w:r>
          </w:p>
        </w:tc>
        <w:tc>
          <w:tcPr>
            <w:tcW w:w="251" w:type="dxa"/>
            <w:tcBorders>
              <w:top w:val="single" w:sz="8" w:space="0" w:color="000000"/>
              <w:left w:val="single" w:sz="8" w:space="0" w:color="000000"/>
              <w:bottom w:val="single" w:sz="8" w:space="0" w:color="000000"/>
              <w:right w:val="single" w:sz="8" w:space="0" w:color="000000"/>
            </w:tcBorders>
          </w:tcPr>
          <w:p w14:paraId="45EA6098" w14:textId="77777777" w:rsidR="0096378F" w:rsidRPr="00C42D19" w:rsidRDefault="0096378F">
            <w:pPr>
              <w:jc w:val="center"/>
              <w:rPr>
                <w:rFonts w:ascii="Cambria" w:hAnsi="Cambria" w:cs="Calibri"/>
                <w:color w:val="000000" w:themeColor="text1"/>
                <w:sz w:val="16"/>
                <w:szCs w:val="16"/>
              </w:rPr>
            </w:pPr>
          </w:p>
          <w:p w14:paraId="4B887F42" w14:textId="77777777" w:rsidR="0096378F" w:rsidRPr="00C42D19" w:rsidRDefault="0096378F">
            <w:pPr>
              <w:jc w:val="center"/>
              <w:rPr>
                <w:rFonts w:ascii="Cambria" w:hAnsi="Cambria" w:cs="Calibri"/>
                <w:color w:val="000000" w:themeColor="text1"/>
                <w:sz w:val="16"/>
                <w:szCs w:val="16"/>
              </w:rPr>
            </w:pPr>
            <w:r w:rsidRPr="00C42D19">
              <w:rPr>
                <w:rFonts w:ascii="Cambria" w:hAnsi="Cambria" w:cs="Calibri"/>
                <w:color w:val="000000" w:themeColor="text1"/>
                <w:sz w:val="16"/>
                <w:szCs w:val="16"/>
              </w:rPr>
              <w:t>33</w:t>
            </w:r>
          </w:p>
        </w:tc>
        <w:tc>
          <w:tcPr>
            <w:tcW w:w="7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86F139"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29.2%</w:t>
            </w:r>
          </w:p>
        </w:tc>
        <w:tc>
          <w:tcPr>
            <w:tcW w:w="7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E10747"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16.5%</w:t>
            </w:r>
          </w:p>
        </w:tc>
        <w:tc>
          <w:tcPr>
            <w:tcW w:w="7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E0F407"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16.8%</w:t>
            </w:r>
          </w:p>
        </w:tc>
        <w:tc>
          <w:tcPr>
            <w:tcW w:w="768" w:type="dxa"/>
            <w:tcBorders>
              <w:top w:val="single" w:sz="8" w:space="0" w:color="000000"/>
              <w:left w:val="single" w:sz="8" w:space="0" w:color="000000"/>
              <w:bottom w:val="single" w:sz="8" w:space="0" w:color="000000"/>
              <w:right w:val="single" w:sz="8" w:space="0" w:color="000000"/>
            </w:tcBorders>
            <w:vAlign w:val="center"/>
          </w:tcPr>
          <w:p w14:paraId="28FE8417" w14:textId="77777777" w:rsidR="0096378F" w:rsidRPr="008E3CE9" w:rsidRDefault="0096378F">
            <w:pPr>
              <w:jc w:val="center"/>
              <w:rPr>
                <w:rFonts w:ascii="Cambria" w:hAnsi="Cambria" w:cs="Calibri"/>
                <w:color w:val="000000" w:themeColor="text1"/>
                <w:sz w:val="16"/>
                <w:szCs w:val="16"/>
              </w:rPr>
            </w:pPr>
            <w:r w:rsidRPr="008E3CE9">
              <w:rPr>
                <w:rFonts w:ascii="Cambria" w:hAnsi="Cambria" w:cs="Calibri"/>
                <w:color w:val="000000" w:themeColor="text1"/>
                <w:sz w:val="16"/>
                <w:szCs w:val="16"/>
              </w:rPr>
              <w:t>15.6%</w:t>
            </w:r>
          </w:p>
        </w:tc>
        <w:tc>
          <w:tcPr>
            <w:tcW w:w="768" w:type="dxa"/>
            <w:tcBorders>
              <w:top w:val="single" w:sz="8" w:space="0" w:color="000000"/>
              <w:left w:val="single" w:sz="8" w:space="0" w:color="000000"/>
              <w:bottom w:val="single" w:sz="8" w:space="0" w:color="000000"/>
              <w:right w:val="single" w:sz="8" w:space="0" w:color="000000"/>
            </w:tcBorders>
            <w:vAlign w:val="center"/>
          </w:tcPr>
          <w:p w14:paraId="471E2E23" w14:textId="77777777" w:rsidR="0096378F" w:rsidRPr="008E3CE9" w:rsidRDefault="0096378F">
            <w:pPr>
              <w:jc w:val="center"/>
              <w:rPr>
                <w:rFonts w:ascii="Cambria" w:hAnsi="Cambria" w:cs="Calibri"/>
                <w:color w:val="000000" w:themeColor="text1"/>
                <w:sz w:val="16"/>
                <w:szCs w:val="16"/>
                <w:highlight w:val="yellow"/>
              </w:rPr>
            </w:pPr>
            <w:r w:rsidRPr="008E3CE9">
              <w:rPr>
                <w:rFonts w:ascii="Cambria" w:hAnsi="Cambria" w:cs="Calibri"/>
                <w:color w:val="000000" w:themeColor="text1"/>
                <w:sz w:val="16"/>
                <w:szCs w:val="16"/>
              </w:rPr>
              <w:t>18.7%</w:t>
            </w:r>
          </w:p>
        </w:tc>
        <w:tc>
          <w:tcPr>
            <w:tcW w:w="229" w:type="dxa"/>
            <w:tcBorders>
              <w:top w:val="single" w:sz="8" w:space="0" w:color="000000"/>
              <w:left w:val="single" w:sz="8" w:space="0" w:color="000000"/>
              <w:bottom w:val="single" w:sz="8" w:space="0" w:color="000000"/>
              <w:right w:val="single" w:sz="8" w:space="0" w:color="000000"/>
            </w:tcBorders>
          </w:tcPr>
          <w:p w14:paraId="6BDCCF00" w14:textId="77777777" w:rsidR="0096378F" w:rsidRPr="00F05191" w:rsidRDefault="0096378F">
            <w:pPr>
              <w:jc w:val="center"/>
              <w:rPr>
                <w:rFonts w:ascii="Cambria" w:hAnsi="Cambria" w:cs="Calibri"/>
                <w:color w:val="000000" w:themeColor="text1"/>
                <w:sz w:val="16"/>
                <w:szCs w:val="16"/>
              </w:rPr>
            </w:pPr>
          </w:p>
          <w:p w14:paraId="10FE2E7C" w14:textId="77777777" w:rsidR="0096378F" w:rsidRPr="00F05191" w:rsidRDefault="0096378F">
            <w:pPr>
              <w:jc w:val="center"/>
              <w:rPr>
                <w:rFonts w:ascii="Cambria" w:hAnsi="Cambria" w:cs="Calibri"/>
                <w:color w:val="000000" w:themeColor="text1"/>
                <w:sz w:val="16"/>
                <w:szCs w:val="16"/>
              </w:rPr>
            </w:pPr>
            <w:r w:rsidRPr="00F05191">
              <w:rPr>
                <w:rFonts w:ascii="Cambria" w:hAnsi="Cambria" w:cs="Calibri"/>
                <w:color w:val="000000" w:themeColor="text1"/>
                <w:sz w:val="16"/>
                <w:szCs w:val="16"/>
              </w:rPr>
              <w:t>23.7%</w:t>
            </w:r>
          </w:p>
        </w:tc>
      </w:tr>
      <w:tr w:rsidR="0096378F" w:rsidRPr="008E3CE9" w14:paraId="7616921A" w14:textId="77777777">
        <w:trPr>
          <w:trHeight w:val="144"/>
        </w:trPr>
        <w:tc>
          <w:tcPr>
            <w:tcW w:w="152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DB01596" w14:textId="77777777" w:rsidR="0096378F" w:rsidRPr="008E3CE9" w:rsidRDefault="0096378F">
            <w:pPr>
              <w:jc w:val="right"/>
              <w:rPr>
                <w:rFonts w:ascii="Cambria" w:eastAsia="Times New Roman" w:hAnsi="Cambria" w:cs="Calibri"/>
                <w:b/>
                <w:bCs/>
                <w:color w:val="000000" w:themeColor="text1"/>
                <w:sz w:val="16"/>
                <w:szCs w:val="16"/>
              </w:rPr>
            </w:pPr>
            <w:r w:rsidRPr="008E3CE9">
              <w:rPr>
                <w:rFonts w:ascii="Cambria" w:eastAsia="Times New Roman" w:hAnsi="Cambria" w:cs="Calibri"/>
                <w:b/>
                <w:bCs/>
                <w:color w:val="000000" w:themeColor="text1"/>
                <w:sz w:val="16"/>
                <w:szCs w:val="16"/>
              </w:rPr>
              <w:t>Total</w:t>
            </w:r>
          </w:p>
        </w:tc>
        <w:tc>
          <w:tcPr>
            <w:tcW w:w="691"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7391ED9"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105</w:t>
            </w:r>
          </w:p>
        </w:tc>
        <w:tc>
          <w:tcPr>
            <w:tcW w:w="691"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5611EE9"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109</w:t>
            </w:r>
          </w:p>
        </w:tc>
        <w:tc>
          <w:tcPr>
            <w:tcW w:w="691"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9EB8D55"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113</w:t>
            </w:r>
          </w:p>
        </w:tc>
        <w:tc>
          <w:tcPr>
            <w:tcW w:w="690" w:type="dxa"/>
            <w:tcBorders>
              <w:top w:val="single" w:sz="8" w:space="0" w:color="000000"/>
              <w:left w:val="single" w:sz="8" w:space="0" w:color="000000"/>
              <w:bottom w:val="single" w:sz="8" w:space="0" w:color="000000"/>
              <w:right w:val="single" w:sz="8" w:space="0" w:color="000000"/>
            </w:tcBorders>
            <w:shd w:val="clear" w:color="auto" w:fill="C0C0C0"/>
          </w:tcPr>
          <w:p w14:paraId="5C99FB06"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115</w:t>
            </w:r>
          </w:p>
        </w:tc>
        <w:tc>
          <w:tcPr>
            <w:tcW w:w="726" w:type="dxa"/>
            <w:tcBorders>
              <w:top w:val="single" w:sz="8" w:space="0" w:color="000000"/>
              <w:left w:val="single" w:sz="8" w:space="0" w:color="000000"/>
              <w:bottom w:val="single" w:sz="8" w:space="0" w:color="000000"/>
              <w:right w:val="single" w:sz="8" w:space="0" w:color="000000"/>
            </w:tcBorders>
            <w:shd w:val="clear" w:color="auto" w:fill="C0C0C0"/>
          </w:tcPr>
          <w:p w14:paraId="1A400CD8"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123</w:t>
            </w:r>
          </w:p>
        </w:tc>
        <w:tc>
          <w:tcPr>
            <w:tcW w:w="251" w:type="dxa"/>
            <w:tcBorders>
              <w:top w:val="single" w:sz="8" w:space="0" w:color="000000"/>
              <w:left w:val="single" w:sz="8" w:space="0" w:color="000000"/>
              <w:bottom w:val="single" w:sz="8" w:space="0" w:color="000000"/>
              <w:right w:val="single" w:sz="8" w:space="0" w:color="000000"/>
            </w:tcBorders>
            <w:shd w:val="clear" w:color="auto" w:fill="C0C0C0"/>
          </w:tcPr>
          <w:p w14:paraId="26397105" w14:textId="77777777" w:rsidR="0096378F" w:rsidRPr="00C42D19" w:rsidRDefault="0096378F">
            <w:pPr>
              <w:jc w:val="center"/>
              <w:rPr>
                <w:rFonts w:ascii="Cambria" w:hAnsi="Cambria" w:cs="Calibri"/>
                <w:b/>
                <w:color w:val="000000" w:themeColor="text1"/>
                <w:sz w:val="16"/>
                <w:szCs w:val="16"/>
              </w:rPr>
            </w:pPr>
            <w:r w:rsidRPr="00C42D19">
              <w:rPr>
                <w:rFonts w:ascii="Cambria" w:hAnsi="Cambria" w:cs="Calibri"/>
                <w:b/>
                <w:color w:val="000000" w:themeColor="text1"/>
                <w:sz w:val="16"/>
                <w:szCs w:val="16"/>
              </w:rPr>
              <w:t>139</w:t>
            </w:r>
            <w:r w:rsidRPr="00C42D19">
              <w:rPr>
                <w:rStyle w:val="FootnoteReference"/>
                <w:rFonts w:ascii="Cambria" w:hAnsi="Cambria" w:cs="Calibri"/>
                <w:b/>
                <w:color w:val="000000" w:themeColor="text1"/>
                <w:sz w:val="16"/>
                <w:szCs w:val="16"/>
              </w:rPr>
              <w:footnoteReference w:id="154"/>
            </w:r>
          </w:p>
        </w:tc>
        <w:tc>
          <w:tcPr>
            <w:tcW w:w="769"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4B1894A"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100%</w:t>
            </w:r>
          </w:p>
        </w:tc>
        <w:tc>
          <w:tcPr>
            <w:tcW w:w="769"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29EC7F67"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100%</w:t>
            </w:r>
          </w:p>
        </w:tc>
        <w:tc>
          <w:tcPr>
            <w:tcW w:w="769"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0E049A3"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100%</w:t>
            </w:r>
          </w:p>
        </w:tc>
        <w:tc>
          <w:tcPr>
            <w:tcW w:w="768" w:type="dxa"/>
            <w:tcBorders>
              <w:top w:val="single" w:sz="8" w:space="0" w:color="000000"/>
              <w:left w:val="single" w:sz="8" w:space="0" w:color="000000"/>
              <w:bottom w:val="single" w:sz="8" w:space="0" w:color="000000"/>
              <w:right w:val="single" w:sz="8" w:space="0" w:color="000000"/>
            </w:tcBorders>
            <w:shd w:val="clear" w:color="auto" w:fill="C0C0C0"/>
          </w:tcPr>
          <w:p w14:paraId="6775ED65" w14:textId="77777777" w:rsidR="0096378F" w:rsidRPr="008E3CE9" w:rsidRDefault="0096378F">
            <w:pPr>
              <w:jc w:val="center"/>
              <w:rPr>
                <w:rFonts w:ascii="Cambria" w:hAnsi="Cambria" w:cs="Calibri"/>
                <w:b/>
                <w:color w:val="000000" w:themeColor="text1"/>
                <w:sz w:val="16"/>
                <w:szCs w:val="16"/>
              </w:rPr>
            </w:pPr>
            <w:r w:rsidRPr="008E3CE9">
              <w:rPr>
                <w:rFonts w:ascii="Cambria" w:hAnsi="Cambria" w:cs="Calibri"/>
                <w:b/>
                <w:color w:val="000000" w:themeColor="text1"/>
                <w:sz w:val="16"/>
                <w:szCs w:val="16"/>
              </w:rPr>
              <w:t>100%</w:t>
            </w:r>
          </w:p>
        </w:tc>
        <w:tc>
          <w:tcPr>
            <w:tcW w:w="768" w:type="dxa"/>
            <w:tcBorders>
              <w:top w:val="single" w:sz="8" w:space="0" w:color="000000"/>
              <w:left w:val="single" w:sz="8" w:space="0" w:color="000000"/>
              <w:bottom w:val="single" w:sz="8" w:space="0" w:color="000000"/>
              <w:right w:val="single" w:sz="8" w:space="0" w:color="000000"/>
            </w:tcBorders>
            <w:shd w:val="clear" w:color="auto" w:fill="C0C0C0"/>
          </w:tcPr>
          <w:p w14:paraId="32212D35" w14:textId="77777777" w:rsidR="0096378F" w:rsidRPr="008E3CE9" w:rsidRDefault="0096378F">
            <w:pPr>
              <w:jc w:val="center"/>
              <w:rPr>
                <w:rFonts w:ascii="Cambria" w:hAnsi="Cambria" w:cs="Calibri"/>
                <w:b/>
                <w:color w:val="000000" w:themeColor="text1"/>
                <w:sz w:val="16"/>
                <w:szCs w:val="16"/>
                <w:highlight w:val="yellow"/>
              </w:rPr>
            </w:pPr>
            <w:r w:rsidRPr="008E3CE9">
              <w:rPr>
                <w:rFonts w:ascii="Cambria" w:hAnsi="Cambria" w:cs="Calibri"/>
                <w:b/>
                <w:color w:val="000000" w:themeColor="text1"/>
                <w:sz w:val="16"/>
                <w:szCs w:val="16"/>
              </w:rPr>
              <w:t>100%</w:t>
            </w:r>
          </w:p>
        </w:tc>
        <w:tc>
          <w:tcPr>
            <w:tcW w:w="229" w:type="dxa"/>
            <w:tcBorders>
              <w:top w:val="single" w:sz="8" w:space="0" w:color="000000"/>
              <w:left w:val="single" w:sz="8" w:space="0" w:color="000000"/>
              <w:bottom w:val="single" w:sz="8" w:space="0" w:color="000000"/>
              <w:right w:val="single" w:sz="8" w:space="0" w:color="000000"/>
            </w:tcBorders>
            <w:shd w:val="clear" w:color="auto" w:fill="C0C0C0"/>
          </w:tcPr>
          <w:p w14:paraId="3DD02B36" w14:textId="77777777" w:rsidR="0096378F" w:rsidRPr="00F05191" w:rsidRDefault="0096378F">
            <w:pPr>
              <w:jc w:val="center"/>
              <w:rPr>
                <w:rFonts w:ascii="Cambria" w:hAnsi="Cambria" w:cs="Calibri"/>
                <w:b/>
                <w:color w:val="000000" w:themeColor="text1"/>
                <w:sz w:val="16"/>
                <w:szCs w:val="16"/>
              </w:rPr>
            </w:pPr>
            <w:r w:rsidRPr="00F05191">
              <w:rPr>
                <w:rFonts w:ascii="Cambria" w:hAnsi="Cambria" w:cs="Calibri"/>
                <w:b/>
                <w:color w:val="000000" w:themeColor="text1"/>
                <w:sz w:val="16"/>
                <w:szCs w:val="16"/>
              </w:rPr>
              <w:t>100%</w:t>
            </w:r>
          </w:p>
        </w:tc>
      </w:tr>
    </w:tbl>
    <w:p w14:paraId="5AEFE754" w14:textId="77777777" w:rsidR="0096378F" w:rsidRPr="008E3CE9" w:rsidRDefault="0096378F" w:rsidP="0096378F">
      <w:pPr>
        <w:autoSpaceDE w:val="0"/>
        <w:autoSpaceDN w:val="0"/>
        <w:adjustRightInd w:val="0"/>
        <w:rPr>
          <w:rFonts w:ascii="Cambria" w:hAnsi="Cambria" w:cs="Calibri"/>
          <w:color w:val="000000" w:themeColor="text1"/>
          <w:sz w:val="20"/>
          <w:szCs w:val="20"/>
        </w:rPr>
      </w:pPr>
    </w:p>
    <w:p w14:paraId="1A775A59" w14:textId="3BDDD12F" w:rsidR="0096378F" w:rsidRDefault="0096378F" w:rsidP="00933F91">
      <w:pPr>
        <w:pStyle w:val="BodyText"/>
        <w:widowControl/>
        <w:numPr>
          <w:ilvl w:val="0"/>
          <w:numId w:val="58"/>
        </w:numPr>
        <w:ind w:left="0" w:firstLine="720"/>
        <w:jc w:val="both"/>
        <w:rPr>
          <w:rFonts w:cs="Calibri"/>
          <w:color w:val="000000" w:themeColor="text1"/>
        </w:rPr>
      </w:pPr>
      <w:r w:rsidRPr="00F05191">
        <w:rPr>
          <w:rFonts w:cs="Calibri"/>
          <w:color w:val="000000" w:themeColor="text1"/>
        </w:rPr>
        <w:t>In addition, if the progress of compliance with the cases included in the 2021 Annual Report is analyzed, it is feasible to conclude that by the year 2022 there has been significant progress in the implementation of its recommendations or compliance agreement clauses.</w:t>
      </w:r>
      <w:r>
        <w:rPr>
          <w:rFonts w:cs="Calibri"/>
          <w:color w:val="000000" w:themeColor="text1"/>
        </w:rPr>
        <w:t xml:space="preserve"> </w:t>
      </w:r>
      <w:r w:rsidRPr="00AE3259">
        <w:rPr>
          <w:rFonts w:cs="Calibri"/>
          <w:color w:val="000000" w:themeColor="text1"/>
        </w:rPr>
        <w:t>It should be noted that this increase in the level of compliance with recommendations or compliance agreement clauses does not necessarily equate to an increase in the level of compliance with the case as a whole.</w:t>
      </w:r>
      <w:r>
        <w:rPr>
          <w:rFonts w:cs="Calibri"/>
          <w:color w:val="000000" w:themeColor="text1"/>
        </w:rPr>
        <w:t xml:space="preserve"> Despite the preceding, these advances do make it possible to identify successful results of the follow-up processes undertaken by the IACHR since the compliance measures adopted by the States and considered to advance in the implementation of each decision (recommendation or compliance clause) constitute in practice reparation measures with individual or structural scope aimed at guaranteeing the rights of the victims and contributing to the non-repetition of the facts. </w:t>
      </w:r>
    </w:p>
    <w:p w14:paraId="1A6CBC06" w14:textId="77777777" w:rsidR="00824DF3" w:rsidRPr="00824DF3" w:rsidRDefault="00824DF3" w:rsidP="00824DF3">
      <w:pPr>
        <w:pStyle w:val="BodyText"/>
        <w:widowControl/>
        <w:ind w:left="720"/>
        <w:jc w:val="both"/>
        <w:rPr>
          <w:rFonts w:cs="Calibri"/>
          <w:color w:val="000000" w:themeColor="text1"/>
        </w:rPr>
      </w:pPr>
    </w:p>
    <w:p w14:paraId="6FD1D355" w14:textId="77777777" w:rsidR="0096378F" w:rsidRPr="008E3CE9" w:rsidRDefault="0096378F" w:rsidP="00933F91">
      <w:pPr>
        <w:pStyle w:val="BodyText"/>
        <w:widowControl/>
        <w:numPr>
          <w:ilvl w:val="0"/>
          <w:numId w:val="58"/>
        </w:numPr>
        <w:ind w:left="0" w:firstLine="720"/>
        <w:jc w:val="both"/>
        <w:rPr>
          <w:rFonts w:cs="Calibri"/>
          <w:color w:val="000000" w:themeColor="text1"/>
        </w:rPr>
      </w:pPr>
      <w:r w:rsidRPr="008E3CE9">
        <w:rPr>
          <w:rFonts w:cs="Calibri"/>
          <w:color w:val="000000" w:themeColor="text1"/>
        </w:rPr>
        <w:t xml:space="preserve"> The IACHR is aware that compliance with the recommendations and the clauses of the compliance agreements </w:t>
      </w:r>
      <w:r>
        <w:rPr>
          <w:rFonts w:cs="Calibri"/>
          <w:color w:val="000000" w:themeColor="text1"/>
        </w:rPr>
        <w:t>results from</w:t>
      </w:r>
      <w:r w:rsidRPr="008E3CE9">
        <w:rPr>
          <w:rFonts w:cs="Calibri"/>
          <w:color w:val="000000" w:themeColor="text1"/>
        </w:rPr>
        <w:t xml:space="preserve"> a complex process that involves solid and constant interaction among the users of the IAHRS. For this reason, the Commission reaffirms its commitment to adopt all types of measures within its reach to promote </w:t>
      </w:r>
      <w:r>
        <w:rPr>
          <w:rFonts w:cs="Calibri"/>
          <w:color w:val="000000" w:themeColor="text1"/>
        </w:rPr>
        <w:t>continued</w:t>
      </w:r>
      <w:r w:rsidRPr="008E3CE9">
        <w:rPr>
          <w:rFonts w:cs="Calibri"/>
          <w:color w:val="000000" w:themeColor="text1"/>
        </w:rPr>
        <w:t xml:space="preserve"> and effective compliance with the decisions issued for the benefit of greater enforcement and safeguarding of human rights in the region. These increases in the levels of compliance with the recommendations and the clauses of the compliance agreements adopted by the parties are explained below. </w:t>
      </w:r>
    </w:p>
    <w:p w14:paraId="5FA55D43" w14:textId="77777777" w:rsidR="0096378F" w:rsidRPr="008E3CE9" w:rsidRDefault="0096378F" w:rsidP="00E27E42">
      <w:pPr>
        <w:pStyle w:val="BodyText"/>
        <w:widowControl/>
        <w:ind w:left="720"/>
        <w:jc w:val="both"/>
        <w:rPr>
          <w:rFonts w:cs="Calibri"/>
          <w:color w:val="000000" w:themeColor="text1"/>
        </w:rPr>
      </w:pPr>
    </w:p>
    <w:p w14:paraId="65F7B711" w14:textId="77777777" w:rsidR="0096378F" w:rsidRPr="004362EC" w:rsidRDefault="0096378F" w:rsidP="00933F91">
      <w:pPr>
        <w:pStyle w:val="BodyText"/>
        <w:widowControl/>
        <w:numPr>
          <w:ilvl w:val="0"/>
          <w:numId w:val="58"/>
        </w:numPr>
        <w:ind w:left="0" w:firstLine="720"/>
        <w:jc w:val="both"/>
        <w:rPr>
          <w:rFonts w:cs="Calibri"/>
          <w:color w:val="000000" w:themeColor="text1"/>
        </w:rPr>
      </w:pPr>
      <w:r w:rsidRPr="00AE3259">
        <w:rPr>
          <w:rFonts w:cs="Calibri"/>
          <w:color w:val="000000" w:themeColor="text1"/>
        </w:rPr>
        <w:t>According to the information th</w:t>
      </w:r>
      <w:r w:rsidRPr="00420E01">
        <w:rPr>
          <w:rFonts w:cs="Calibri"/>
          <w:color w:val="000000" w:themeColor="text1"/>
        </w:rPr>
        <w:t>at the Commission learned and analyzed in 2022, it was possible to determine some progress in implementing 1</w:t>
      </w:r>
      <w:r>
        <w:rPr>
          <w:rFonts w:cs="Calibri"/>
          <w:color w:val="000000" w:themeColor="text1"/>
        </w:rPr>
        <w:t>3</w:t>
      </w:r>
      <w:r w:rsidRPr="00420E01">
        <w:rPr>
          <w:rFonts w:cs="Calibri"/>
          <w:color w:val="000000" w:themeColor="text1"/>
        </w:rPr>
        <w:t xml:space="preserve"> recommendations of published merits reports and </w:t>
      </w:r>
      <w:r>
        <w:rPr>
          <w:rFonts w:cs="Calibri"/>
          <w:color w:val="000000" w:themeColor="text1"/>
        </w:rPr>
        <w:t>11</w:t>
      </w:r>
      <w:r w:rsidRPr="00420E01">
        <w:rPr>
          <w:rFonts w:cs="Calibri"/>
          <w:color w:val="000000" w:themeColor="text1"/>
        </w:rPr>
        <w:t xml:space="preserve"> clauses of compliance </w:t>
      </w:r>
      <w:r w:rsidRPr="004362EC">
        <w:rPr>
          <w:rFonts w:cs="Calibri"/>
          <w:color w:val="000000" w:themeColor="text1"/>
        </w:rPr>
        <w:t>agreements. These significant figures have gone hand in hand with a methodological strengthening of the Commission's compliance analysis.</w:t>
      </w:r>
    </w:p>
    <w:p w14:paraId="6B36FE4F" w14:textId="77777777" w:rsidR="0096378F" w:rsidRPr="004362EC" w:rsidRDefault="0096378F" w:rsidP="00E27E42">
      <w:pPr>
        <w:pStyle w:val="BodyText"/>
        <w:widowControl/>
        <w:ind w:left="720"/>
        <w:jc w:val="both"/>
        <w:rPr>
          <w:rFonts w:cs="Calibri"/>
          <w:color w:val="000000" w:themeColor="text1"/>
        </w:rPr>
      </w:pPr>
    </w:p>
    <w:p w14:paraId="37C7158F" w14:textId="71907014" w:rsidR="0096378F" w:rsidRDefault="0096378F" w:rsidP="00933F91">
      <w:pPr>
        <w:pStyle w:val="BodyText"/>
        <w:widowControl/>
        <w:numPr>
          <w:ilvl w:val="0"/>
          <w:numId w:val="58"/>
        </w:numPr>
        <w:ind w:left="0" w:firstLine="720"/>
        <w:jc w:val="both"/>
        <w:rPr>
          <w:rFonts w:cs="Calibri"/>
          <w:color w:val="000000" w:themeColor="text1"/>
        </w:rPr>
      </w:pPr>
      <w:r w:rsidRPr="004362EC">
        <w:rPr>
          <w:rFonts w:cs="Calibri"/>
          <w:color w:val="000000" w:themeColor="text1"/>
        </w:rPr>
        <w:t>Based on the follow-up carried out in 2022, the IACHR determined: total compliance with 1</w:t>
      </w:r>
      <w:r>
        <w:rPr>
          <w:rFonts w:cs="Calibri"/>
          <w:color w:val="000000" w:themeColor="text1"/>
        </w:rPr>
        <w:t>4</w:t>
      </w:r>
      <w:r w:rsidRPr="004362EC">
        <w:rPr>
          <w:rFonts w:cs="Calibri"/>
          <w:color w:val="000000" w:themeColor="text1"/>
        </w:rPr>
        <w:t xml:space="preserve"> reparation measures</w:t>
      </w:r>
      <w:r w:rsidRPr="004918DC">
        <w:rPr>
          <w:rFonts w:cs="Calibri"/>
          <w:color w:val="000000" w:themeColor="text1"/>
          <w:vertAlign w:val="superscript"/>
        </w:rPr>
        <w:footnoteReference w:id="155"/>
      </w:r>
      <w:r w:rsidRPr="004362EC">
        <w:rPr>
          <w:rFonts w:cs="Calibri"/>
          <w:color w:val="000000" w:themeColor="text1"/>
        </w:rPr>
        <w:t>; substantial partial compliance with 2 reparation measures</w:t>
      </w:r>
      <w:r w:rsidRPr="004918DC">
        <w:rPr>
          <w:vertAlign w:val="superscript"/>
        </w:rPr>
        <w:footnoteReference w:id="156"/>
      </w:r>
      <w:r w:rsidRPr="004362EC">
        <w:rPr>
          <w:rFonts w:cs="Calibri"/>
          <w:color w:val="000000" w:themeColor="text1"/>
        </w:rPr>
        <w:t xml:space="preserve">, and partial compliance with </w:t>
      </w:r>
      <w:r w:rsidR="004427E0">
        <w:rPr>
          <w:rFonts w:cs="Calibri"/>
          <w:color w:val="000000" w:themeColor="text1"/>
        </w:rPr>
        <w:t>9</w:t>
      </w:r>
      <w:r w:rsidRPr="004362EC">
        <w:rPr>
          <w:rFonts w:cs="Calibri"/>
          <w:color w:val="000000" w:themeColor="text1"/>
        </w:rPr>
        <w:t xml:space="preserve"> reparation measures</w:t>
      </w:r>
      <w:r w:rsidRPr="004918DC">
        <w:rPr>
          <w:rFonts w:cs="Calibri"/>
          <w:color w:val="000000" w:themeColor="text1"/>
          <w:vertAlign w:val="superscript"/>
        </w:rPr>
        <w:footnoteReference w:id="157"/>
      </w:r>
      <w:r w:rsidRPr="004362EC">
        <w:rPr>
          <w:rFonts w:cs="Calibri"/>
          <w:color w:val="000000" w:themeColor="text1"/>
        </w:rPr>
        <w:t xml:space="preserve">. </w:t>
      </w:r>
      <w:r w:rsidRPr="00E27E42">
        <w:rPr>
          <w:rFonts w:cs="Calibri"/>
          <w:color w:val="000000" w:themeColor="text1"/>
        </w:rPr>
        <w:t>Of the 2</w:t>
      </w:r>
      <w:r w:rsidR="009777F1">
        <w:rPr>
          <w:rFonts w:cs="Calibri"/>
          <w:color w:val="000000" w:themeColor="text1"/>
        </w:rPr>
        <w:t>5</w:t>
      </w:r>
      <w:r w:rsidRPr="00E27E42">
        <w:rPr>
          <w:rFonts w:cs="Calibri"/>
          <w:color w:val="000000" w:themeColor="text1"/>
        </w:rPr>
        <w:t xml:space="preserve"> measures that registered progress based on the follow-up analysis carried out in 2022, </w:t>
      </w:r>
      <w:r w:rsidRPr="00BD5DBD">
        <w:rPr>
          <w:rFonts w:cs="Calibri"/>
          <w:color w:val="000000" w:themeColor="text1"/>
        </w:rPr>
        <w:t>1</w:t>
      </w:r>
      <w:r w:rsidR="00A45A01">
        <w:rPr>
          <w:rFonts w:cs="Calibri"/>
          <w:color w:val="000000" w:themeColor="text1"/>
        </w:rPr>
        <w:t>8</w:t>
      </w:r>
      <w:r w:rsidRPr="00BD5DBD">
        <w:rPr>
          <w:rFonts w:cs="Calibri"/>
          <w:color w:val="000000" w:themeColor="text1"/>
        </w:rPr>
        <w:t xml:space="preserve"> are of an individual nature and 7 are of a structural nature. The IACHR is pleased that during 2022, progress has been made with respect to compliance with various recommendations contained in published Merits Reports.</w:t>
      </w:r>
    </w:p>
    <w:p w14:paraId="0FC2A0F7" w14:textId="77777777" w:rsidR="00E27E42" w:rsidRPr="00E27E42" w:rsidRDefault="00E27E42" w:rsidP="00E27E42">
      <w:pPr>
        <w:pStyle w:val="BodyText"/>
        <w:widowControl/>
        <w:ind w:left="0"/>
        <w:jc w:val="both"/>
        <w:rPr>
          <w:rFonts w:cs="Calibri"/>
          <w:color w:val="000000" w:themeColor="text1"/>
        </w:rPr>
      </w:pPr>
    </w:p>
    <w:p w14:paraId="6B92E856" w14:textId="76FC57B5" w:rsidR="0096378F" w:rsidRDefault="0096378F" w:rsidP="00933F91">
      <w:pPr>
        <w:pStyle w:val="BodyText"/>
        <w:widowControl/>
        <w:numPr>
          <w:ilvl w:val="0"/>
          <w:numId w:val="58"/>
        </w:numPr>
        <w:ind w:left="0" w:firstLine="720"/>
        <w:jc w:val="both"/>
        <w:rPr>
          <w:rFonts w:cs="Calibri"/>
          <w:color w:val="000000" w:themeColor="text1"/>
        </w:rPr>
      </w:pPr>
      <w:r w:rsidRPr="00E27E42">
        <w:rPr>
          <w:rFonts w:cs="Calibri"/>
          <w:color w:val="000000" w:themeColor="text1"/>
        </w:rPr>
        <w:t xml:space="preserve"> </w:t>
      </w:r>
      <w:r w:rsidRPr="00F65D08">
        <w:rPr>
          <w:rFonts w:cs="Calibri"/>
          <w:color w:val="000000" w:themeColor="text1"/>
        </w:rPr>
        <w:t>By 2022, the 139</w:t>
      </w:r>
      <w:r w:rsidRPr="004918DC">
        <w:rPr>
          <w:vertAlign w:val="superscript"/>
        </w:rPr>
        <w:footnoteReference w:id="158"/>
      </w:r>
      <w:r w:rsidRPr="00F65D08">
        <w:rPr>
          <w:rFonts w:cs="Calibri"/>
          <w:color w:val="000000" w:themeColor="text1"/>
        </w:rPr>
        <w:t xml:space="preserve"> </w:t>
      </w:r>
      <w:r w:rsidRPr="004E146D">
        <w:rPr>
          <w:rFonts w:cs="Calibri"/>
          <w:color w:val="000000" w:themeColor="text1"/>
        </w:rPr>
        <w:t xml:space="preserve">merits reports published considering Article 51 of the ACHR grouped a total of 568 recommendations and 164 compliance agreement clauses (the latter signed by the parties in the framework </w:t>
      </w:r>
      <w:r w:rsidRPr="00AE2ACF">
        <w:rPr>
          <w:rFonts w:cs="Calibri"/>
          <w:color w:val="000000" w:themeColor="text1"/>
        </w:rPr>
        <w:t>of the follow-up of published merits reports). Likewise, of the total of 732 decisions (including recommendations and compliance agreement clauses), 40</w:t>
      </w:r>
      <w:r w:rsidR="000B5E15">
        <w:rPr>
          <w:rFonts w:cs="Calibri"/>
          <w:color w:val="000000" w:themeColor="text1"/>
        </w:rPr>
        <w:t>3</w:t>
      </w:r>
      <w:r w:rsidRPr="00AE2ACF">
        <w:rPr>
          <w:rFonts w:cs="Calibri"/>
          <w:color w:val="000000" w:themeColor="text1"/>
        </w:rPr>
        <w:t xml:space="preserve"> have some degree of progress in their implementation (</w:t>
      </w:r>
      <w:r>
        <w:rPr>
          <w:rFonts w:cs="Calibri"/>
          <w:color w:val="000000" w:themeColor="text1"/>
        </w:rPr>
        <w:t>198</w:t>
      </w:r>
      <w:r w:rsidRPr="00AE2ACF">
        <w:rPr>
          <w:rFonts w:cs="Calibri"/>
          <w:color w:val="000000" w:themeColor="text1"/>
        </w:rPr>
        <w:t xml:space="preserve"> with total compliance, 53 with substantial partial observance, and 1</w:t>
      </w:r>
      <w:r>
        <w:rPr>
          <w:rFonts w:cs="Calibri"/>
          <w:color w:val="000000" w:themeColor="text1"/>
        </w:rPr>
        <w:t>5</w:t>
      </w:r>
      <w:r w:rsidR="00F43002">
        <w:rPr>
          <w:rFonts w:cs="Calibri"/>
          <w:color w:val="000000" w:themeColor="text1"/>
        </w:rPr>
        <w:t>2</w:t>
      </w:r>
      <w:r w:rsidRPr="00AE2ACF">
        <w:rPr>
          <w:rFonts w:cs="Calibri"/>
          <w:color w:val="000000" w:themeColor="text1"/>
        </w:rPr>
        <w:t xml:space="preserve"> with partial compliance), 31</w:t>
      </w:r>
      <w:r w:rsidR="00D62358">
        <w:rPr>
          <w:rFonts w:cs="Calibri"/>
          <w:color w:val="000000" w:themeColor="text1"/>
        </w:rPr>
        <w:t>4</w:t>
      </w:r>
      <w:r w:rsidRPr="00AE2ACF">
        <w:rPr>
          <w:rFonts w:cs="Calibri"/>
          <w:color w:val="000000" w:themeColor="text1"/>
        </w:rPr>
        <w:t xml:space="preserve"> are pending compliance, </w:t>
      </w:r>
      <w:r>
        <w:rPr>
          <w:rFonts w:cs="Calibri"/>
          <w:color w:val="000000" w:themeColor="text1"/>
        </w:rPr>
        <w:t xml:space="preserve">and </w:t>
      </w:r>
      <w:r w:rsidRPr="00AE2ACF">
        <w:rPr>
          <w:rFonts w:cs="Calibri"/>
          <w:color w:val="000000" w:themeColor="text1"/>
        </w:rPr>
        <w:t xml:space="preserve">15 recommendations </w:t>
      </w:r>
      <w:r w:rsidRPr="00D516C3">
        <w:rPr>
          <w:rFonts w:cs="Calibri"/>
          <w:color w:val="000000" w:themeColor="text1"/>
        </w:rPr>
        <w:t xml:space="preserve">maintain a status of non-compliance. </w:t>
      </w:r>
    </w:p>
    <w:p w14:paraId="0DDBAF46" w14:textId="77777777" w:rsidR="00183E8D" w:rsidRPr="00D516C3" w:rsidRDefault="00183E8D" w:rsidP="00183E8D">
      <w:pPr>
        <w:pStyle w:val="BodyText"/>
        <w:widowControl/>
        <w:ind w:left="0"/>
        <w:jc w:val="both"/>
        <w:rPr>
          <w:rFonts w:cs="Calibri"/>
          <w:color w:val="000000" w:themeColor="text1"/>
        </w:rPr>
      </w:pPr>
    </w:p>
    <w:p w14:paraId="7DE81FD4" w14:textId="77777777" w:rsidR="0096378F" w:rsidRDefault="0096378F" w:rsidP="00933F91">
      <w:pPr>
        <w:pStyle w:val="BodyText"/>
        <w:widowControl/>
        <w:numPr>
          <w:ilvl w:val="0"/>
          <w:numId w:val="58"/>
        </w:numPr>
        <w:ind w:left="0" w:firstLine="720"/>
        <w:jc w:val="both"/>
        <w:rPr>
          <w:rFonts w:cs="Calibri"/>
          <w:color w:val="000000" w:themeColor="text1"/>
        </w:rPr>
      </w:pPr>
      <w:r w:rsidRPr="00D516C3">
        <w:rPr>
          <w:rFonts w:cs="Calibri"/>
          <w:color w:val="000000" w:themeColor="text1"/>
        </w:rPr>
        <w:t>Of the 198 decisions that currently have total compliance (which include recommendations and clauses of compliance agreements), 13</w:t>
      </w:r>
      <w:r>
        <w:rPr>
          <w:rFonts w:cs="Calibri"/>
          <w:color w:val="000000" w:themeColor="text1"/>
        </w:rPr>
        <w:t>8</w:t>
      </w:r>
      <w:r w:rsidRPr="00D516C3">
        <w:rPr>
          <w:rFonts w:cs="Calibri"/>
          <w:color w:val="000000" w:themeColor="text1"/>
        </w:rPr>
        <w:t xml:space="preserve"> are individual and 6</w:t>
      </w:r>
      <w:r>
        <w:rPr>
          <w:rFonts w:cs="Calibri"/>
          <w:color w:val="000000" w:themeColor="text1"/>
        </w:rPr>
        <w:t>0</w:t>
      </w:r>
      <w:r w:rsidRPr="00D516C3">
        <w:rPr>
          <w:rFonts w:cs="Calibri"/>
          <w:color w:val="000000" w:themeColor="text1"/>
        </w:rPr>
        <w:t xml:space="preserve"> of a structural nature. </w:t>
      </w:r>
      <w:r w:rsidRPr="008E3CE9">
        <w:rPr>
          <w:rFonts w:cs="Calibri"/>
          <w:color w:val="000000" w:themeColor="text1"/>
        </w:rPr>
        <w:t xml:space="preserve">The IACHR highlights that, over the years, the States have managed to comply to a greater extent with the individual measures of economic compensation and satisfaction and the structural measures related to legislation and regulations, while the individual measures related to ensuring truth and justice are the ones that face the </w:t>
      </w:r>
      <w:r>
        <w:rPr>
          <w:rFonts w:cs="Calibri"/>
          <w:color w:val="000000" w:themeColor="text1"/>
        </w:rPr>
        <w:t>most significant</w:t>
      </w:r>
      <w:r w:rsidRPr="008E3CE9">
        <w:rPr>
          <w:rFonts w:cs="Calibri"/>
          <w:color w:val="000000" w:themeColor="text1"/>
        </w:rPr>
        <w:t xml:space="preserve"> challenges in terms of compliance.      </w:t>
      </w:r>
    </w:p>
    <w:p w14:paraId="10A19B95" w14:textId="77777777" w:rsidR="00183E8D" w:rsidRPr="008E3CE9" w:rsidRDefault="00183E8D" w:rsidP="00183E8D">
      <w:pPr>
        <w:pStyle w:val="BodyText"/>
        <w:widowControl/>
        <w:ind w:left="0"/>
        <w:jc w:val="both"/>
        <w:rPr>
          <w:rFonts w:cs="Calibri"/>
          <w:color w:val="000000" w:themeColor="text1"/>
        </w:rPr>
      </w:pPr>
    </w:p>
    <w:p w14:paraId="4D19FA22" w14:textId="77777777" w:rsidR="0096378F" w:rsidRPr="008E3CE9" w:rsidRDefault="0096378F" w:rsidP="00933F91">
      <w:pPr>
        <w:pStyle w:val="BodyText"/>
        <w:widowControl/>
        <w:numPr>
          <w:ilvl w:val="0"/>
          <w:numId w:val="58"/>
        </w:numPr>
        <w:ind w:left="0" w:firstLine="720"/>
        <w:jc w:val="both"/>
        <w:rPr>
          <w:rFonts w:cs="Calibri"/>
          <w:color w:val="000000" w:themeColor="text1"/>
        </w:rPr>
      </w:pPr>
      <w:r w:rsidRPr="008E3CE9">
        <w:rPr>
          <w:rFonts w:cs="Calibri"/>
          <w:color w:val="000000" w:themeColor="text1"/>
        </w:rPr>
        <w:t xml:space="preserve">The </w:t>
      </w:r>
      <w:r w:rsidRPr="000222C0">
        <w:rPr>
          <w:rFonts w:cs="Calibri"/>
          <w:color w:val="000000" w:themeColor="text1"/>
        </w:rPr>
        <w:t>following is a detail of the progress identified by the IACHR in 2022 to determine total compliance with 14 decisions (which include</w:t>
      </w:r>
      <w:r w:rsidRPr="008E3CE9">
        <w:rPr>
          <w:rFonts w:cs="Calibri"/>
          <w:color w:val="000000" w:themeColor="text1"/>
        </w:rPr>
        <w:t xml:space="preserve"> both recommendations and compliance agreement clauses). </w:t>
      </w:r>
    </w:p>
    <w:p w14:paraId="789DB667" w14:textId="77777777" w:rsidR="0096378F" w:rsidRPr="008E3CE9" w:rsidRDefault="0096378F" w:rsidP="0096378F">
      <w:pPr>
        <w:ind w:left="720"/>
        <w:contextualSpacing/>
        <w:jc w:val="both"/>
        <w:rPr>
          <w:rFonts w:ascii="Cambria" w:hAnsi="Cambria" w:cs="Calibri"/>
          <w:color w:val="000000" w:themeColor="text1"/>
          <w:sz w:val="20"/>
          <w:szCs w:val="20"/>
          <w:highlight w:val="green"/>
        </w:rPr>
      </w:pPr>
    </w:p>
    <w:tbl>
      <w:tblPr>
        <w:tblW w:w="9630" w:type="dxa"/>
        <w:jc w:val="center"/>
        <w:tblBorders>
          <w:insideH w:val="single" w:sz="18" w:space="0" w:color="FFFFFF"/>
          <w:insideV w:val="single" w:sz="18" w:space="0" w:color="FFFFFF"/>
        </w:tblBorders>
        <w:tblLayout w:type="fixed"/>
        <w:tblLook w:val="0020" w:firstRow="1" w:lastRow="0" w:firstColumn="0" w:lastColumn="0" w:noHBand="0" w:noVBand="0"/>
      </w:tblPr>
      <w:tblGrid>
        <w:gridCol w:w="1620"/>
        <w:gridCol w:w="1350"/>
        <w:gridCol w:w="2520"/>
        <w:gridCol w:w="2790"/>
        <w:gridCol w:w="1350"/>
      </w:tblGrid>
      <w:tr w:rsidR="0096378F" w:rsidRPr="008E3CE9" w14:paraId="326F935A" w14:textId="77777777">
        <w:trPr>
          <w:trHeight w:val="504"/>
          <w:jc w:val="center"/>
        </w:trPr>
        <w:tc>
          <w:tcPr>
            <w:tcW w:w="1620" w:type="dxa"/>
            <w:shd w:val="clear" w:color="auto" w:fill="A6A6A6"/>
            <w:vAlign w:val="center"/>
          </w:tcPr>
          <w:p w14:paraId="556B7545" w14:textId="77777777" w:rsidR="0096378F" w:rsidRPr="000222C0" w:rsidRDefault="0096378F">
            <w:pPr>
              <w:jc w:val="center"/>
              <w:rPr>
                <w:rFonts w:ascii="Cambria" w:eastAsia="MS Mincho" w:hAnsi="Cambria" w:cs="Calibri"/>
                <w:b/>
                <w:color w:val="000000" w:themeColor="text1"/>
                <w:sz w:val="18"/>
                <w:szCs w:val="18"/>
                <w:lang w:eastAsia="es-ES_tradnl"/>
              </w:rPr>
            </w:pPr>
            <w:r w:rsidRPr="000222C0">
              <w:rPr>
                <w:rFonts w:ascii="Cambria" w:eastAsia="MS Mincho" w:hAnsi="Cambria" w:cs="Calibri"/>
                <w:b/>
                <w:color w:val="000000" w:themeColor="text1"/>
                <w:sz w:val="18"/>
                <w:szCs w:val="18"/>
                <w:lang w:eastAsia="es-ES_tradnl"/>
              </w:rPr>
              <w:t>Case</w:t>
            </w:r>
          </w:p>
        </w:tc>
        <w:tc>
          <w:tcPr>
            <w:tcW w:w="1350" w:type="dxa"/>
            <w:shd w:val="clear" w:color="auto" w:fill="A6A6A6"/>
            <w:vAlign w:val="center"/>
          </w:tcPr>
          <w:p w14:paraId="167EA89E" w14:textId="77777777" w:rsidR="0096378F" w:rsidRPr="000222C0" w:rsidRDefault="0096378F">
            <w:pPr>
              <w:jc w:val="center"/>
              <w:rPr>
                <w:rFonts w:ascii="Cambria" w:eastAsia="MS Mincho" w:hAnsi="Cambria" w:cs="Calibri"/>
                <w:b/>
                <w:color w:val="000000" w:themeColor="text1"/>
                <w:sz w:val="18"/>
                <w:szCs w:val="18"/>
                <w:lang w:eastAsia="es-ES_tradnl"/>
              </w:rPr>
            </w:pPr>
            <w:r w:rsidRPr="000222C0">
              <w:rPr>
                <w:rFonts w:ascii="Cambria" w:eastAsia="MS Mincho" w:hAnsi="Cambria" w:cs="Calibri"/>
                <w:b/>
                <w:color w:val="000000" w:themeColor="text1"/>
                <w:sz w:val="18"/>
                <w:szCs w:val="18"/>
                <w:lang w:eastAsia="es-ES_tradnl"/>
              </w:rPr>
              <w:t>Scope of the compliance measure</w:t>
            </w:r>
          </w:p>
        </w:tc>
        <w:tc>
          <w:tcPr>
            <w:tcW w:w="2520" w:type="dxa"/>
            <w:shd w:val="clear" w:color="auto" w:fill="A6A6A6"/>
            <w:vAlign w:val="center"/>
          </w:tcPr>
          <w:p w14:paraId="141772FE" w14:textId="77777777" w:rsidR="0096378F" w:rsidRPr="000222C0" w:rsidRDefault="0096378F">
            <w:pPr>
              <w:jc w:val="center"/>
              <w:rPr>
                <w:rFonts w:ascii="Cambria" w:eastAsia="MS Mincho" w:hAnsi="Cambria" w:cs="Calibri"/>
                <w:b/>
                <w:color w:val="000000" w:themeColor="text1"/>
                <w:sz w:val="18"/>
                <w:szCs w:val="18"/>
                <w:lang w:eastAsia="es-ES_tradnl"/>
              </w:rPr>
            </w:pPr>
            <w:r w:rsidRPr="000222C0">
              <w:rPr>
                <w:rFonts w:ascii="Cambria" w:eastAsia="MS Mincho" w:hAnsi="Cambria" w:cs="Calibri"/>
                <w:b/>
                <w:color w:val="000000" w:themeColor="text1"/>
                <w:sz w:val="18"/>
                <w:szCs w:val="18"/>
                <w:lang w:eastAsia="es-ES_tradnl"/>
              </w:rPr>
              <w:t>Recommendation or clause of the compliance agreement</w:t>
            </w:r>
          </w:p>
        </w:tc>
        <w:tc>
          <w:tcPr>
            <w:tcW w:w="2790" w:type="dxa"/>
            <w:shd w:val="clear" w:color="auto" w:fill="A6A6A6"/>
            <w:vAlign w:val="center"/>
          </w:tcPr>
          <w:p w14:paraId="62A33996" w14:textId="77777777" w:rsidR="0096378F" w:rsidRPr="000222C0" w:rsidRDefault="0096378F">
            <w:pPr>
              <w:jc w:val="center"/>
              <w:rPr>
                <w:rFonts w:ascii="Cambria" w:eastAsia="MS Mincho" w:hAnsi="Cambria" w:cs="Calibri"/>
                <w:b/>
                <w:color w:val="000000" w:themeColor="text1"/>
                <w:sz w:val="18"/>
                <w:szCs w:val="18"/>
                <w:lang w:eastAsia="es-ES_tradnl"/>
              </w:rPr>
            </w:pPr>
            <w:r w:rsidRPr="000222C0">
              <w:rPr>
                <w:rFonts w:ascii="Cambria" w:eastAsia="MS Mincho" w:hAnsi="Cambria" w:cs="Calibri"/>
                <w:b/>
                <w:color w:val="000000" w:themeColor="text1"/>
                <w:sz w:val="18"/>
                <w:szCs w:val="18"/>
                <w:lang w:eastAsia="es-ES_tradnl"/>
              </w:rPr>
              <w:t>Results reported</w:t>
            </w:r>
          </w:p>
        </w:tc>
        <w:tc>
          <w:tcPr>
            <w:tcW w:w="1350" w:type="dxa"/>
            <w:shd w:val="clear" w:color="auto" w:fill="A6A6A6"/>
            <w:vAlign w:val="center"/>
          </w:tcPr>
          <w:p w14:paraId="2AE51BFD" w14:textId="77777777" w:rsidR="0096378F" w:rsidRPr="000222C0" w:rsidRDefault="0096378F">
            <w:pPr>
              <w:jc w:val="center"/>
              <w:rPr>
                <w:rFonts w:ascii="Cambria" w:eastAsia="MS Mincho" w:hAnsi="Cambria" w:cs="Calibri"/>
                <w:b/>
                <w:color w:val="000000" w:themeColor="text1"/>
                <w:sz w:val="18"/>
                <w:szCs w:val="18"/>
                <w:lang w:eastAsia="es-ES_tradnl"/>
              </w:rPr>
            </w:pPr>
            <w:r w:rsidRPr="000222C0">
              <w:rPr>
                <w:rFonts w:ascii="Cambria" w:eastAsia="MS Mincho" w:hAnsi="Cambria" w:cs="Calibri"/>
                <w:b/>
                <w:color w:val="000000" w:themeColor="text1"/>
                <w:sz w:val="18"/>
                <w:szCs w:val="18"/>
                <w:lang w:eastAsia="es-ES_tradnl"/>
              </w:rPr>
              <w:t>Compliance level in 2022</w:t>
            </w:r>
          </w:p>
        </w:tc>
      </w:tr>
      <w:tr w:rsidR="0096378F" w:rsidRPr="008E3CE9" w14:paraId="7E39D4BF" w14:textId="77777777">
        <w:trPr>
          <w:trHeight w:val="504"/>
          <w:jc w:val="center"/>
        </w:trPr>
        <w:tc>
          <w:tcPr>
            <w:tcW w:w="9630" w:type="dxa"/>
            <w:gridSpan w:val="5"/>
            <w:shd w:val="clear" w:color="auto" w:fill="BFBFBF"/>
            <w:vAlign w:val="center"/>
          </w:tcPr>
          <w:p w14:paraId="7D74A062" w14:textId="77777777" w:rsidR="0096378F" w:rsidRPr="008E3CE9" w:rsidRDefault="0096378F">
            <w:pPr>
              <w:jc w:val="center"/>
              <w:rPr>
                <w:rFonts w:ascii="Cambria" w:eastAsia="MS Mincho" w:hAnsi="Cambria" w:cs="Calibri"/>
                <w:b/>
                <w:color w:val="000000" w:themeColor="text1"/>
                <w:sz w:val="18"/>
                <w:szCs w:val="18"/>
                <w:highlight w:val="yellow"/>
                <w:lang w:eastAsia="es-ES_tradnl"/>
              </w:rPr>
            </w:pPr>
            <w:r w:rsidRPr="008E3CE9">
              <w:rPr>
                <w:rFonts w:ascii="Cambria" w:eastAsia="MS Mincho" w:hAnsi="Cambria" w:cs="Calibri"/>
                <w:b/>
                <w:color w:val="000000" w:themeColor="text1"/>
                <w:sz w:val="18"/>
                <w:szCs w:val="18"/>
                <w:lang w:eastAsia="es-ES_tradnl"/>
              </w:rPr>
              <w:t>ARGENTINA</w:t>
            </w:r>
          </w:p>
        </w:tc>
      </w:tr>
      <w:tr w:rsidR="0096378F" w:rsidRPr="008E3CE9" w14:paraId="0E54635E" w14:textId="77777777">
        <w:trPr>
          <w:trHeight w:val="504"/>
          <w:jc w:val="center"/>
        </w:trPr>
        <w:tc>
          <w:tcPr>
            <w:tcW w:w="1620" w:type="dxa"/>
            <w:shd w:val="clear" w:color="auto" w:fill="D9D9D9"/>
            <w:vAlign w:val="center"/>
          </w:tcPr>
          <w:p w14:paraId="0BA39B0D" w14:textId="77777777" w:rsidR="0096378F" w:rsidRPr="000222C0" w:rsidRDefault="0096378F">
            <w:pPr>
              <w:rPr>
                <w:rFonts w:ascii="Cambria" w:eastAsia="MS Mincho" w:hAnsi="Cambria" w:cs="Calibri"/>
                <w:color w:val="000000" w:themeColor="text1"/>
                <w:sz w:val="18"/>
                <w:szCs w:val="18"/>
              </w:rPr>
            </w:pPr>
            <w:r w:rsidRPr="000222C0">
              <w:rPr>
                <w:rFonts w:ascii="Cambria" w:eastAsia="MS Mincho" w:hAnsi="Cambria" w:cs="Calibri"/>
                <w:color w:val="000000" w:themeColor="text1"/>
                <w:sz w:val="18"/>
                <w:szCs w:val="18"/>
              </w:rPr>
              <w:t>Case 12,721, Report No. 460/21, Ángel Pedro Falanga (Argentina), recommendation., clause A3.</w:t>
            </w:r>
          </w:p>
        </w:tc>
        <w:tc>
          <w:tcPr>
            <w:tcW w:w="1350" w:type="dxa"/>
            <w:shd w:val="clear" w:color="auto" w:fill="D9D9D9"/>
            <w:vAlign w:val="center"/>
          </w:tcPr>
          <w:p w14:paraId="1E7FF859" w14:textId="77777777" w:rsidR="0096378F" w:rsidRPr="000222C0" w:rsidRDefault="0096378F">
            <w:pPr>
              <w:jc w:val="center"/>
              <w:rPr>
                <w:rFonts w:ascii="Cambria" w:eastAsia="MS Mincho" w:hAnsi="Cambria" w:cs="Calibri"/>
                <w:color w:val="000000" w:themeColor="text1"/>
                <w:sz w:val="18"/>
                <w:szCs w:val="18"/>
                <w:lang w:eastAsia="es-ES_tradnl"/>
              </w:rPr>
            </w:pPr>
            <w:r w:rsidRPr="000222C0">
              <w:rPr>
                <w:rFonts w:ascii="Cambria" w:eastAsia="MS Mincho" w:hAnsi="Cambria" w:cs="Calibri"/>
                <w:color w:val="000000" w:themeColor="text1"/>
                <w:sz w:val="18"/>
                <w:szCs w:val="18"/>
                <w:lang w:eastAsia="es-ES_tradnl"/>
              </w:rPr>
              <w:t>Structural</w:t>
            </w:r>
          </w:p>
        </w:tc>
        <w:tc>
          <w:tcPr>
            <w:tcW w:w="2520" w:type="dxa"/>
            <w:shd w:val="clear" w:color="auto" w:fill="D9D9D9"/>
            <w:vAlign w:val="center"/>
          </w:tcPr>
          <w:p w14:paraId="2E6731C5" w14:textId="77777777" w:rsidR="0096378F" w:rsidRPr="000222C0" w:rsidRDefault="0096378F">
            <w:pPr>
              <w:pStyle w:val="paragraph"/>
              <w:spacing w:before="0" w:beforeAutospacing="0" w:after="0" w:afterAutospacing="0"/>
              <w:jc w:val="both"/>
              <w:textAlignment w:val="baseline"/>
              <w:rPr>
                <w:rFonts w:ascii="Cambria" w:hAnsi="Cambria"/>
                <w:color w:val="000000" w:themeColor="text1"/>
                <w:sz w:val="16"/>
                <w:szCs w:val="16"/>
              </w:rPr>
            </w:pPr>
            <w:r w:rsidRPr="000222C0">
              <w:rPr>
                <w:rStyle w:val="normaltextrun"/>
                <w:rFonts w:ascii="Cambria" w:hAnsi="Cambria"/>
                <w:color w:val="000000" w:themeColor="text1"/>
                <w:sz w:val="16"/>
                <w:szCs w:val="16"/>
              </w:rPr>
              <w:t xml:space="preserve">Likewise, and considering that the report contains valuable guidelines for the interpretation of international obligations regarding reasonable time limits for judicial proceedings and the duration of precautionary measures adopted in criminal proceedings, the State undertakes to forward the IACHR report and this Compliance Agreement to the Supreme Court of Justice of the Nation and to the Federal Board of Courts, for their information. </w:t>
            </w:r>
            <w:r w:rsidRPr="000222C0">
              <w:rPr>
                <w:rStyle w:val="eop"/>
                <w:rFonts w:ascii="Cambria" w:eastAsiaTheme="majorEastAsia" w:hAnsi="Cambria"/>
                <w:color w:val="000000" w:themeColor="text1"/>
                <w:sz w:val="16"/>
                <w:szCs w:val="16"/>
              </w:rPr>
              <w:t xml:space="preserve"> </w:t>
            </w:r>
          </w:p>
          <w:p w14:paraId="47ED1853" w14:textId="77777777" w:rsidR="0096378F" w:rsidRPr="000222C0" w:rsidRDefault="0096378F">
            <w:pPr>
              <w:pStyle w:val="paragraph"/>
              <w:spacing w:before="0" w:beforeAutospacing="0" w:after="0" w:afterAutospacing="0"/>
              <w:jc w:val="both"/>
              <w:textAlignment w:val="baseline"/>
              <w:rPr>
                <w:rStyle w:val="normaltextrun"/>
                <w:rFonts w:ascii="Cambria" w:hAnsi="Cambria"/>
                <w:color w:val="000000" w:themeColor="text1"/>
                <w:sz w:val="16"/>
                <w:szCs w:val="16"/>
              </w:rPr>
            </w:pPr>
          </w:p>
        </w:tc>
        <w:tc>
          <w:tcPr>
            <w:tcW w:w="2790" w:type="dxa"/>
            <w:shd w:val="clear" w:color="auto" w:fill="D9D9D9"/>
          </w:tcPr>
          <w:p w14:paraId="6DCB061C" w14:textId="77777777" w:rsidR="0096378F" w:rsidRPr="000222C0" w:rsidRDefault="0096378F">
            <w:pPr>
              <w:jc w:val="both"/>
              <w:rPr>
                <w:rFonts w:ascii="Cambria" w:eastAsia="Times New Roman" w:hAnsi="Cambria" w:cs="Calibri Light"/>
                <w:color w:val="000000" w:themeColor="text1"/>
                <w:sz w:val="18"/>
                <w:szCs w:val="18"/>
              </w:rPr>
            </w:pPr>
            <w:r w:rsidRPr="000222C0">
              <w:rPr>
                <w:rFonts w:ascii="Cambria" w:eastAsia="Times New Roman" w:hAnsi="Cambria" w:cs="Calibri Light"/>
                <w:color w:val="000000" w:themeColor="text1"/>
                <w:sz w:val="18"/>
                <w:szCs w:val="18"/>
              </w:rPr>
              <w:t>The State reported that it had forwarded the Merits Report of the case and the compliance agreement to the Federal Board of Courts, the Supreme Court of Justice, Federal Court No. 1, the Federal Court of Appeals of Mendoza, as agreed by the parties.</w:t>
            </w:r>
          </w:p>
        </w:tc>
        <w:tc>
          <w:tcPr>
            <w:tcW w:w="1350" w:type="dxa"/>
            <w:shd w:val="clear" w:color="auto" w:fill="D9D9D9"/>
            <w:vAlign w:val="center"/>
          </w:tcPr>
          <w:p w14:paraId="20B657D6" w14:textId="77777777" w:rsidR="0096378F" w:rsidRPr="000222C0" w:rsidRDefault="0096378F">
            <w:pPr>
              <w:jc w:val="center"/>
              <w:rPr>
                <w:rFonts w:ascii="Cambria" w:eastAsia="MS Mincho" w:hAnsi="Cambria" w:cs="Calibri"/>
                <w:color w:val="000000" w:themeColor="text1"/>
                <w:sz w:val="18"/>
                <w:szCs w:val="18"/>
                <w:lang w:eastAsia="es-ES_tradnl"/>
              </w:rPr>
            </w:pPr>
            <w:r w:rsidRPr="000222C0">
              <w:rPr>
                <w:rFonts w:ascii="Cambria" w:eastAsia="MS Mincho" w:hAnsi="Cambria" w:cs="Calibri"/>
                <w:color w:val="000000" w:themeColor="text1"/>
                <w:sz w:val="18"/>
                <w:szCs w:val="18"/>
                <w:lang w:eastAsia="es-ES_tradnl"/>
              </w:rPr>
              <w:t>Total</w:t>
            </w:r>
          </w:p>
        </w:tc>
      </w:tr>
      <w:tr w:rsidR="0096378F" w:rsidRPr="008E3CE9" w14:paraId="6EBD8B34" w14:textId="77777777">
        <w:trPr>
          <w:trHeight w:val="504"/>
          <w:jc w:val="center"/>
        </w:trPr>
        <w:tc>
          <w:tcPr>
            <w:tcW w:w="1620" w:type="dxa"/>
            <w:shd w:val="clear" w:color="auto" w:fill="D9D9D9"/>
            <w:vAlign w:val="center"/>
          </w:tcPr>
          <w:p w14:paraId="5674D095" w14:textId="77777777" w:rsidR="0096378F" w:rsidRPr="000222C0" w:rsidRDefault="0096378F">
            <w:pPr>
              <w:rPr>
                <w:rFonts w:ascii="Cambria" w:eastAsia="MS Mincho" w:hAnsi="Cambria" w:cs="Calibri"/>
                <w:color w:val="000000" w:themeColor="text1"/>
                <w:sz w:val="18"/>
                <w:szCs w:val="18"/>
                <w:lang w:val="es-CO"/>
              </w:rPr>
            </w:pPr>
            <w:r w:rsidRPr="000222C0">
              <w:rPr>
                <w:rFonts w:ascii="Cambria" w:eastAsia="MS Mincho" w:hAnsi="Cambria" w:cs="Calibri"/>
                <w:color w:val="000000" w:themeColor="text1"/>
                <w:sz w:val="18"/>
                <w:szCs w:val="18"/>
                <w:lang w:val="es-CO"/>
              </w:rPr>
              <w:t xml:space="preserve">Case 12.681, Report No. 268/21, Marcos Alejandro Martín (Argentina), recommendation 1. </w:t>
            </w:r>
          </w:p>
        </w:tc>
        <w:tc>
          <w:tcPr>
            <w:tcW w:w="1350" w:type="dxa"/>
            <w:shd w:val="clear" w:color="auto" w:fill="D9D9D9"/>
            <w:vAlign w:val="center"/>
          </w:tcPr>
          <w:p w14:paraId="5A72D040" w14:textId="77777777" w:rsidR="0096378F" w:rsidRPr="000222C0" w:rsidRDefault="0096378F">
            <w:pPr>
              <w:jc w:val="center"/>
              <w:rPr>
                <w:rFonts w:ascii="Cambria" w:eastAsia="MS Mincho" w:hAnsi="Cambria" w:cs="Calibri"/>
                <w:color w:val="000000" w:themeColor="text1"/>
                <w:sz w:val="18"/>
                <w:szCs w:val="18"/>
                <w:lang w:eastAsia="es-ES_tradnl"/>
              </w:rPr>
            </w:pPr>
            <w:r w:rsidRPr="000222C0">
              <w:rPr>
                <w:rFonts w:ascii="Cambria" w:eastAsia="MS Mincho" w:hAnsi="Cambria" w:cs="Calibri"/>
                <w:color w:val="000000" w:themeColor="text1"/>
                <w:sz w:val="18"/>
                <w:szCs w:val="18"/>
                <w:lang w:eastAsia="es-ES_tradnl"/>
              </w:rPr>
              <w:t>Individual</w:t>
            </w:r>
          </w:p>
        </w:tc>
        <w:tc>
          <w:tcPr>
            <w:tcW w:w="2520" w:type="dxa"/>
            <w:shd w:val="clear" w:color="auto" w:fill="D9D9D9"/>
            <w:vAlign w:val="center"/>
          </w:tcPr>
          <w:p w14:paraId="01AC0537" w14:textId="77777777" w:rsidR="0096378F" w:rsidRPr="000222C0" w:rsidRDefault="0096378F">
            <w:pPr>
              <w:pStyle w:val="paragraph"/>
              <w:spacing w:before="0" w:beforeAutospacing="0" w:after="0" w:afterAutospacing="0"/>
              <w:jc w:val="both"/>
              <w:textAlignment w:val="baseline"/>
              <w:rPr>
                <w:rFonts w:ascii="Cambria" w:eastAsia="MS Mincho" w:hAnsi="Cambria" w:cs="Calibri"/>
                <w:color w:val="000000" w:themeColor="text1"/>
                <w:sz w:val="18"/>
                <w:szCs w:val="18"/>
              </w:rPr>
            </w:pPr>
            <w:r w:rsidRPr="000222C0">
              <w:rPr>
                <w:rFonts w:ascii="Cambria" w:eastAsia="MS Mincho" w:hAnsi="Cambria" w:cs="Calibri"/>
                <w:color w:val="000000" w:themeColor="text1"/>
                <w:sz w:val="18"/>
                <w:szCs w:val="18"/>
              </w:rPr>
              <w:t>Adopt the necessary measures to annul the conviction against Marcos Alejandro Martín.</w:t>
            </w:r>
          </w:p>
        </w:tc>
        <w:tc>
          <w:tcPr>
            <w:tcW w:w="2790" w:type="dxa"/>
            <w:shd w:val="clear" w:color="auto" w:fill="D9D9D9"/>
          </w:tcPr>
          <w:p w14:paraId="3F50B9EA" w14:textId="77777777" w:rsidR="0096378F" w:rsidRPr="000222C0" w:rsidRDefault="0096378F">
            <w:pPr>
              <w:jc w:val="both"/>
              <w:rPr>
                <w:rFonts w:ascii="Cambria" w:eastAsia="MS Mincho" w:hAnsi="Cambria" w:cs="Calibri"/>
                <w:color w:val="000000" w:themeColor="text1"/>
                <w:sz w:val="18"/>
                <w:szCs w:val="18"/>
              </w:rPr>
            </w:pPr>
            <w:r w:rsidRPr="000222C0">
              <w:rPr>
                <w:rFonts w:ascii="Cambria" w:eastAsia="MS Mincho" w:hAnsi="Cambria" w:cs="Calibri"/>
                <w:color w:val="000000" w:themeColor="text1"/>
                <w:sz w:val="18"/>
                <w:szCs w:val="18"/>
              </w:rPr>
              <w:t>The State Reportd that the record of the conviction imposed on the victim has expired and that neither the National Registry of Recidivism nor the Argentine Federal Police have records of that conviction. It added that, notwithstanding the foregoing, it undertakes to inform any court indicated by the petitioner that the victim's conviction is no longer in effect.</w:t>
            </w:r>
          </w:p>
        </w:tc>
        <w:tc>
          <w:tcPr>
            <w:tcW w:w="1350" w:type="dxa"/>
            <w:shd w:val="clear" w:color="auto" w:fill="D9D9D9"/>
            <w:vAlign w:val="center"/>
          </w:tcPr>
          <w:p w14:paraId="16F922ED" w14:textId="77777777" w:rsidR="0096378F" w:rsidRPr="000222C0" w:rsidRDefault="0096378F">
            <w:pPr>
              <w:jc w:val="center"/>
              <w:rPr>
                <w:rFonts w:ascii="Cambria" w:eastAsia="MS Mincho" w:hAnsi="Cambria" w:cs="Calibri"/>
                <w:color w:val="000000" w:themeColor="text1"/>
                <w:sz w:val="18"/>
                <w:szCs w:val="18"/>
                <w:lang w:eastAsia="es-ES_tradnl"/>
              </w:rPr>
            </w:pPr>
            <w:r w:rsidRPr="000222C0">
              <w:rPr>
                <w:rFonts w:ascii="Cambria" w:eastAsia="MS Mincho" w:hAnsi="Cambria" w:cs="Calibri"/>
                <w:color w:val="000000" w:themeColor="text1"/>
                <w:sz w:val="18"/>
                <w:szCs w:val="18"/>
                <w:lang w:eastAsia="es-ES_tradnl"/>
              </w:rPr>
              <w:t>Total</w:t>
            </w:r>
          </w:p>
        </w:tc>
      </w:tr>
      <w:tr w:rsidR="0096378F" w:rsidRPr="008E3CE9" w14:paraId="74060A0B" w14:textId="77777777">
        <w:trPr>
          <w:trHeight w:val="504"/>
          <w:jc w:val="center"/>
        </w:trPr>
        <w:tc>
          <w:tcPr>
            <w:tcW w:w="1620" w:type="dxa"/>
            <w:shd w:val="clear" w:color="auto" w:fill="D9D9D9"/>
            <w:vAlign w:val="center"/>
          </w:tcPr>
          <w:p w14:paraId="78923110" w14:textId="7B8DD613" w:rsidR="0096378F" w:rsidRPr="000222C0" w:rsidRDefault="0096378F">
            <w:pPr>
              <w:rPr>
                <w:rFonts w:ascii="Cambria" w:eastAsia="MS Mincho" w:hAnsi="Cambria" w:cs="Calibri"/>
                <w:color w:val="000000" w:themeColor="text1"/>
                <w:sz w:val="18"/>
                <w:szCs w:val="18"/>
              </w:rPr>
            </w:pPr>
            <w:r w:rsidRPr="000222C0">
              <w:rPr>
                <w:rFonts w:ascii="Cambria" w:eastAsia="MS Mincho" w:hAnsi="Cambria" w:cs="Calibri"/>
                <w:color w:val="000000" w:themeColor="text1"/>
                <w:sz w:val="18"/>
                <w:szCs w:val="18"/>
              </w:rPr>
              <w:t>Case 12.681, Report No. 268/21, Marcos Alejandro Martín (Argentina), recommendation 2 and clauses A2, A3, A4 and B (</w:t>
            </w:r>
            <w:r w:rsidR="00B14D67" w:rsidRPr="000222C0">
              <w:rPr>
                <w:rFonts w:ascii="Cambria" w:eastAsia="MS Mincho" w:hAnsi="Cambria" w:cs="Calibri"/>
                <w:color w:val="000000" w:themeColor="text1"/>
                <w:sz w:val="18"/>
                <w:szCs w:val="18"/>
              </w:rPr>
              <w:t>regarding pecuniary</w:t>
            </w:r>
            <w:r w:rsidRPr="000222C0">
              <w:rPr>
                <w:rFonts w:ascii="Cambria" w:eastAsia="MS Mincho" w:hAnsi="Cambria" w:cs="Calibri"/>
                <w:color w:val="000000" w:themeColor="text1"/>
                <w:sz w:val="18"/>
                <w:szCs w:val="18"/>
              </w:rPr>
              <w:t xml:space="preserve"> and non-pecuniary reparation measures)</w:t>
            </w:r>
          </w:p>
        </w:tc>
        <w:tc>
          <w:tcPr>
            <w:tcW w:w="1350" w:type="dxa"/>
            <w:shd w:val="clear" w:color="auto" w:fill="D9D9D9"/>
            <w:vAlign w:val="center"/>
          </w:tcPr>
          <w:p w14:paraId="1B7137AA" w14:textId="77777777" w:rsidR="0096378F" w:rsidRPr="000222C0" w:rsidRDefault="0096378F">
            <w:pPr>
              <w:jc w:val="center"/>
              <w:rPr>
                <w:rFonts w:ascii="Cambria" w:eastAsia="MS Mincho" w:hAnsi="Cambria" w:cs="Calibri"/>
                <w:color w:val="000000" w:themeColor="text1"/>
                <w:sz w:val="18"/>
                <w:szCs w:val="18"/>
                <w:lang w:eastAsia="es-ES_tradnl"/>
              </w:rPr>
            </w:pPr>
            <w:r w:rsidRPr="000222C0">
              <w:rPr>
                <w:rFonts w:ascii="Cambria" w:eastAsia="MS Mincho" w:hAnsi="Cambria" w:cs="Calibri"/>
                <w:color w:val="000000" w:themeColor="text1"/>
                <w:sz w:val="18"/>
                <w:szCs w:val="18"/>
                <w:lang w:eastAsia="es-ES_tradnl"/>
              </w:rPr>
              <w:t>Individual</w:t>
            </w:r>
          </w:p>
        </w:tc>
        <w:tc>
          <w:tcPr>
            <w:tcW w:w="2520" w:type="dxa"/>
            <w:shd w:val="clear" w:color="auto" w:fill="D9D9D9"/>
            <w:vAlign w:val="center"/>
          </w:tcPr>
          <w:p w14:paraId="61712A2E" w14:textId="77777777" w:rsidR="0096378F" w:rsidRPr="000222C0" w:rsidRDefault="0096378F">
            <w:pPr>
              <w:pStyle w:val="paragraph"/>
              <w:spacing w:before="0" w:beforeAutospacing="0" w:after="0" w:afterAutospacing="0"/>
              <w:jc w:val="both"/>
              <w:textAlignment w:val="baseline"/>
              <w:rPr>
                <w:rFonts w:ascii="Cambria" w:eastAsia="MS Mincho" w:hAnsi="Cambria" w:cs="Calibri"/>
                <w:color w:val="000000" w:themeColor="text1"/>
                <w:sz w:val="18"/>
                <w:szCs w:val="18"/>
              </w:rPr>
            </w:pPr>
            <w:r w:rsidRPr="000222C0">
              <w:rPr>
                <w:rFonts w:ascii="Cambria" w:eastAsia="MS Mincho" w:hAnsi="Cambria" w:cs="Calibri"/>
                <w:color w:val="000000" w:themeColor="text1"/>
                <w:sz w:val="18"/>
                <w:szCs w:val="18"/>
              </w:rPr>
              <w:t>Make full reparation for the human rights violations declared in this report, both in material and non-material aspects. To this end, the State must adopt measures of economic compensation and satisfaction in favor of the victim.</w:t>
            </w:r>
          </w:p>
        </w:tc>
        <w:tc>
          <w:tcPr>
            <w:tcW w:w="2790" w:type="dxa"/>
            <w:shd w:val="clear" w:color="auto" w:fill="D9D9D9"/>
          </w:tcPr>
          <w:p w14:paraId="4D6C141B" w14:textId="77777777" w:rsidR="0096378F" w:rsidRPr="000222C0" w:rsidRDefault="0096378F">
            <w:pPr>
              <w:jc w:val="both"/>
              <w:rPr>
                <w:rFonts w:ascii="Cambria" w:eastAsia="MS Mincho" w:hAnsi="Cambria" w:cs="Calibri"/>
                <w:color w:val="000000" w:themeColor="text1"/>
                <w:sz w:val="18"/>
                <w:szCs w:val="18"/>
              </w:rPr>
            </w:pPr>
            <w:r w:rsidRPr="000222C0">
              <w:rPr>
                <w:rFonts w:ascii="Cambria" w:eastAsia="MS Mincho" w:hAnsi="Cambria" w:cs="Calibri"/>
                <w:color w:val="000000" w:themeColor="text1"/>
                <w:sz w:val="18"/>
                <w:szCs w:val="18"/>
              </w:rPr>
              <w:t xml:space="preserve">the State reported that on September 7, 2021, the Ad Hoc Arbitral Tribunal constituted to make the payment in the present case issued its arbitral award on September 7, 2021, setting the compensation to be paid to the victim for material and non-material damages and reimbursement of costs and expenses. Subsequently, during 2022, it indicated that on December 23, 2021, the payment of the compensation ordered by </w:t>
            </w:r>
            <w:r w:rsidRPr="000222C0">
              <w:rPr>
                <w:rFonts w:ascii="Cambria" w:eastAsia="MS Mincho" w:hAnsi="Cambria" w:cs="Calibri"/>
                <w:color w:val="000000" w:themeColor="text1"/>
                <w:sz w:val="18"/>
                <w:szCs w:val="18"/>
              </w:rPr>
              <w:lastRenderedPageBreak/>
              <w:t xml:space="preserve">the Arbitral Tribunal to the victim was made. The State also indicated that, as regards medical, psychological, and social assistance, in 2022, various medical appointments were coordinated with the victim's representatives and that there were no requirements for psychological care or formal training. </w:t>
            </w:r>
          </w:p>
        </w:tc>
        <w:tc>
          <w:tcPr>
            <w:tcW w:w="1350" w:type="dxa"/>
            <w:shd w:val="clear" w:color="auto" w:fill="D9D9D9"/>
            <w:vAlign w:val="center"/>
          </w:tcPr>
          <w:p w14:paraId="464C3124" w14:textId="77777777" w:rsidR="0096378F" w:rsidRPr="000222C0" w:rsidRDefault="0096378F">
            <w:pPr>
              <w:jc w:val="center"/>
              <w:rPr>
                <w:rFonts w:ascii="Cambria" w:eastAsia="MS Mincho" w:hAnsi="Cambria" w:cs="Calibri"/>
                <w:color w:val="000000" w:themeColor="text1"/>
                <w:sz w:val="18"/>
                <w:szCs w:val="18"/>
                <w:lang w:eastAsia="es-ES_tradnl"/>
              </w:rPr>
            </w:pPr>
            <w:r w:rsidRPr="000222C0">
              <w:rPr>
                <w:rFonts w:ascii="Cambria" w:eastAsia="MS Mincho" w:hAnsi="Cambria" w:cs="Calibri"/>
                <w:color w:val="000000" w:themeColor="text1"/>
                <w:sz w:val="18"/>
                <w:szCs w:val="18"/>
                <w:lang w:eastAsia="es-ES_tradnl"/>
              </w:rPr>
              <w:lastRenderedPageBreak/>
              <w:t>Total</w:t>
            </w:r>
          </w:p>
        </w:tc>
      </w:tr>
      <w:tr w:rsidR="0096378F" w:rsidRPr="008E3CE9" w14:paraId="1BD51032" w14:textId="77777777">
        <w:trPr>
          <w:trHeight w:val="504"/>
          <w:jc w:val="center"/>
        </w:trPr>
        <w:tc>
          <w:tcPr>
            <w:tcW w:w="9630" w:type="dxa"/>
            <w:gridSpan w:val="5"/>
            <w:shd w:val="clear" w:color="auto" w:fill="BFBFBF" w:themeFill="background1" w:themeFillShade="BF"/>
            <w:vAlign w:val="center"/>
          </w:tcPr>
          <w:p w14:paraId="26BC2B47" w14:textId="77777777" w:rsidR="0096378F" w:rsidRPr="00E40522" w:rsidRDefault="0096378F">
            <w:pPr>
              <w:jc w:val="center"/>
              <w:rPr>
                <w:rFonts w:ascii="Cambria" w:eastAsia="MS Mincho" w:hAnsi="Cambria" w:cs="Calibri"/>
                <w:b/>
                <w:bCs/>
                <w:color w:val="000000" w:themeColor="text1"/>
                <w:sz w:val="18"/>
                <w:szCs w:val="18"/>
                <w:lang w:eastAsia="es-ES_tradnl"/>
              </w:rPr>
            </w:pPr>
            <w:r w:rsidRPr="00E40522">
              <w:rPr>
                <w:rFonts w:ascii="Cambria" w:eastAsia="MS Mincho" w:hAnsi="Cambria" w:cs="Calibri"/>
                <w:b/>
                <w:bCs/>
                <w:color w:val="000000" w:themeColor="text1"/>
                <w:sz w:val="18"/>
                <w:szCs w:val="18"/>
                <w:lang w:eastAsia="es-ES_tradnl"/>
              </w:rPr>
              <w:t>BRAZIL</w:t>
            </w:r>
          </w:p>
        </w:tc>
      </w:tr>
      <w:tr w:rsidR="0096378F" w:rsidRPr="008E3CE9" w14:paraId="339EBA4C" w14:textId="77777777">
        <w:trPr>
          <w:trHeight w:val="504"/>
          <w:jc w:val="center"/>
        </w:trPr>
        <w:tc>
          <w:tcPr>
            <w:tcW w:w="1620" w:type="dxa"/>
            <w:shd w:val="clear" w:color="auto" w:fill="D9D9D9"/>
            <w:vAlign w:val="center"/>
          </w:tcPr>
          <w:p w14:paraId="57DB19FE" w14:textId="77777777" w:rsidR="0096378F" w:rsidRPr="00E40522" w:rsidRDefault="0096378F">
            <w:pPr>
              <w:rPr>
                <w:rFonts w:ascii="Cambria" w:eastAsia="MS Mincho" w:hAnsi="Cambria" w:cs="Calibri"/>
                <w:color w:val="000000" w:themeColor="text1"/>
                <w:sz w:val="18"/>
                <w:szCs w:val="18"/>
              </w:rPr>
            </w:pPr>
            <w:r w:rsidRPr="00E40522">
              <w:rPr>
                <w:rFonts w:ascii="Cambria" w:eastAsia="MS Mincho" w:hAnsi="Cambria" w:cs="Calibri"/>
                <w:color w:val="000000" w:themeColor="text1"/>
                <w:sz w:val="18"/>
                <w:szCs w:val="18"/>
              </w:rPr>
              <w:t>Case 12.332, Report No. 31/20, Margarita Maria Alves (Brazil), recommendation 1.</w:t>
            </w:r>
          </w:p>
        </w:tc>
        <w:tc>
          <w:tcPr>
            <w:tcW w:w="1350" w:type="dxa"/>
            <w:shd w:val="clear" w:color="auto" w:fill="D9D9D9"/>
            <w:vAlign w:val="center"/>
          </w:tcPr>
          <w:p w14:paraId="0B80F839" w14:textId="77777777" w:rsidR="0096378F" w:rsidRPr="00E40522" w:rsidRDefault="0096378F">
            <w:pPr>
              <w:jc w:val="center"/>
              <w:rPr>
                <w:rFonts w:ascii="Cambria" w:eastAsia="MS Mincho" w:hAnsi="Cambria" w:cs="Calibri"/>
                <w:color w:val="000000" w:themeColor="text1"/>
                <w:sz w:val="18"/>
                <w:szCs w:val="18"/>
                <w:lang w:eastAsia="es-ES_tradnl"/>
              </w:rPr>
            </w:pPr>
            <w:r w:rsidRPr="00E40522">
              <w:rPr>
                <w:rFonts w:ascii="Cambria" w:eastAsia="MS Mincho" w:hAnsi="Cambria" w:cs="Calibri"/>
                <w:color w:val="000000" w:themeColor="text1"/>
                <w:sz w:val="18"/>
                <w:szCs w:val="18"/>
                <w:lang w:eastAsia="es-ES_tradnl"/>
              </w:rPr>
              <w:t>Individual</w:t>
            </w:r>
          </w:p>
        </w:tc>
        <w:tc>
          <w:tcPr>
            <w:tcW w:w="2520" w:type="dxa"/>
            <w:shd w:val="clear" w:color="auto" w:fill="D9D9D9"/>
            <w:vAlign w:val="center"/>
          </w:tcPr>
          <w:p w14:paraId="6DBF591A" w14:textId="77777777" w:rsidR="0096378F" w:rsidRPr="00E40522" w:rsidRDefault="0096378F">
            <w:pPr>
              <w:pStyle w:val="paragraph"/>
              <w:spacing w:before="0" w:beforeAutospacing="0" w:after="0" w:afterAutospacing="0"/>
              <w:jc w:val="both"/>
              <w:textAlignment w:val="baseline"/>
              <w:rPr>
                <w:rFonts w:ascii="Cambria" w:eastAsia="MS Mincho" w:hAnsi="Cambria" w:cs="Calibri"/>
                <w:color w:val="000000" w:themeColor="text1"/>
                <w:sz w:val="18"/>
                <w:szCs w:val="18"/>
              </w:rPr>
            </w:pPr>
            <w:r w:rsidRPr="00E40522">
              <w:rPr>
                <w:rFonts w:ascii="Cambria" w:eastAsia="MS Mincho" w:hAnsi="Cambria" w:cs="Calibri"/>
                <w:color w:val="000000" w:themeColor="text1"/>
                <w:sz w:val="18"/>
                <w:szCs w:val="18"/>
              </w:rPr>
              <w:t xml:space="preserve">Make full reparations to the next of kin of the victim in this case through pecuniary compensation and satisfaction measures that include the material and non-material damage caused because of the violations declared in this report. </w:t>
            </w:r>
          </w:p>
        </w:tc>
        <w:tc>
          <w:tcPr>
            <w:tcW w:w="2790" w:type="dxa"/>
            <w:shd w:val="clear" w:color="auto" w:fill="D9D9D9"/>
          </w:tcPr>
          <w:p w14:paraId="60CA35B3" w14:textId="77777777" w:rsidR="0096378F" w:rsidRPr="00E40522" w:rsidRDefault="0096378F">
            <w:pPr>
              <w:jc w:val="both"/>
              <w:rPr>
                <w:rFonts w:ascii="Cambria" w:eastAsia="MS Mincho" w:hAnsi="Cambria" w:cs="Calibri"/>
                <w:color w:val="000000" w:themeColor="text1"/>
                <w:sz w:val="18"/>
                <w:szCs w:val="18"/>
              </w:rPr>
            </w:pPr>
            <w:r w:rsidRPr="00E40522">
              <w:rPr>
                <w:rFonts w:ascii="Cambria" w:eastAsia="MS Mincho" w:hAnsi="Cambria" w:cs="Calibri"/>
                <w:color w:val="000000" w:themeColor="text1"/>
                <w:sz w:val="18"/>
                <w:szCs w:val="18"/>
              </w:rPr>
              <w:t xml:space="preserve">In 2022, the State reiterated the information provided previously and indicated that based on a compliance agreement signed on August 26, 2019, signed between the State and José de Arimatéia, it guaranteed the payment of compensation to the latter José de Arimatéia, remitting the respective proof of payment.  </w:t>
            </w:r>
          </w:p>
        </w:tc>
        <w:tc>
          <w:tcPr>
            <w:tcW w:w="1350" w:type="dxa"/>
            <w:shd w:val="clear" w:color="auto" w:fill="D9D9D9"/>
            <w:vAlign w:val="center"/>
          </w:tcPr>
          <w:p w14:paraId="487B0C96" w14:textId="77777777" w:rsidR="0096378F" w:rsidRPr="00E40522" w:rsidRDefault="0096378F">
            <w:pPr>
              <w:jc w:val="center"/>
              <w:rPr>
                <w:rFonts w:ascii="Cambria" w:eastAsia="MS Mincho" w:hAnsi="Cambria" w:cs="Calibri"/>
                <w:color w:val="000000" w:themeColor="text1"/>
                <w:sz w:val="18"/>
                <w:szCs w:val="18"/>
                <w:lang w:eastAsia="es-ES_tradnl"/>
              </w:rPr>
            </w:pPr>
            <w:r w:rsidRPr="00E40522">
              <w:rPr>
                <w:rFonts w:ascii="Cambria" w:eastAsia="MS Mincho" w:hAnsi="Cambria" w:cs="Calibri"/>
                <w:color w:val="000000" w:themeColor="text1"/>
                <w:sz w:val="18"/>
                <w:szCs w:val="18"/>
                <w:lang w:eastAsia="es-ES_tradnl"/>
              </w:rPr>
              <w:t>Total</w:t>
            </w:r>
          </w:p>
        </w:tc>
      </w:tr>
      <w:tr w:rsidR="0078746D" w:rsidRPr="008E3CE9" w14:paraId="5F455D3C" w14:textId="77777777" w:rsidTr="0078746D">
        <w:trPr>
          <w:trHeight w:val="504"/>
          <w:jc w:val="center"/>
        </w:trPr>
        <w:tc>
          <w:tcPr>
            <w:tcW w:w="9630" w:type="dxa"/>
            <w:gridSpan w:val="5"/>
            <w:shd w:val="clear" w:color="auto" w:fill="BFBFBF" w:themeFill="background1" w:themeFillShade="BF"/>
            <w:vAlign w:val="center"/>
          </w:tcPr>
          <w:p w14:paraId="11B81D36" w14:textId="2143A898" w:rsidR="0078746D" w:rsidRPr="0078746D" w:rsidRDefault="0078746D">
            <w:pPr>
              <w:jc w:val="center"/>
              <w:rPr>
                <w:rFonts w:ascii="Cambria" w:eastAsia="MS Mincho" w:hAnsi="Cambria" w:cs="Calibri"/>
                <w:b/>
                <w:bCs/>
                <w:color w:val="000000" w:themeColor="text1"/>
                <w:sz w:val="18"/>
                <w:szCs w:val="18"/>
                <w:lang w:eastAsia="es-ES_tradnl"/>
              </w:rPr>
            </w:pPr>
            <w:r w:rsidRPr="0078746D">
              <w:rPr>
                <w:rFonts w:ascii="Cambria" w:eastAsia="MS Mincho" w:hAnsi="Cambria" w:cs="Calibri"/>
                <w:b/>
                <w:bCs/>
                <w:color w:val="000000" w:themeColor="text1"/>
                <w:sz w:val="18"/>
                <w:szCs w:val="18"/>
                <w:lang w:eastAsia="es-ES_tradnl"/>
              </w:rPr>
              <w:t>COLOMBIA</w:t>
            </w:r>
          </w:p>
        </w:tc>
      </w:tr>
      <w:tr w:rsidR="0085609F" w:rsidRPr="008E3CE9" w14:paraId="1E190ACF" w14:textId="77777777" w:rsidTr="002422BC">
        <w:trPr>
          <w:trHeight w:val="504"/>
          <w:jc w:val="center"/>
        </w:trPr>
        <w:tc>
          <w:tcPr>
            <w:tcW w:w="1620" w:type="dxa"/>
            <w:shd w:val="clear" w:color="auto" w:fill="D9D9D9"/>
            <w:vAlign w:val="center"/>
          </w:tcPr>
          <w:p w14:paraId="43F827ED" w14:textId="77777777" w:rsidR="0085609F" w:rsidRPr="0085609F" w:rsidRDefault="0085609F" w:rsidP="0085609F">
            <w:pPr>
              <w:jc w:val="center"/>
              <w:rPr>
                <w:rFonts w:ascii="Cambria" w:eastAsia="MS Mincho" w:hAnsi="Cambria"/>
                <w:color w:val="000000" w:themeColor="text1"/>
                <w:sz w:val="18"/>
                <w:szCs w:val="18"/>
                <w:lang w:val="es-CO"/>
              </w:rPr>
            </w:pPr>
          </w:p>
          <w:p w14:paraId="222078E7" w14:textId="77777777" w:rsidR="0085609F" w:rsidRPr="0085609F" w:rsidRDefault="0085609F" w:rsidP="0085609F">
            <w:pPr>
              <w:jc w:val="center"/>
              <w:rPr>
                <w:rFonts w:ascii="Cambria" w:eastAsia="MS Mincho" w:hAnsi="Cambria"/>
                <w:color w:val="000000" w:themeColor="text1"/>
                <w:sz w:val="18"/>
                <w:szCs w:val="18"/>
                <w:lang w:val="es-CO"/>
              </w:rPr>
            </w:pPr>
            <w:r w:rsidRPr="0085609F">
              <w:rPr>
                <w:rFonts w:ascii="Cambria" w:eastAsia="MS Mincho" w:hAnsi="Cambria"/>
                <w:color w:val="000000" w:themeColor="text1"/>
                <w:sz w:val="18"/>
                <w:szCs w:val="18"/>
                <w:lang w:val="es-CO"/>
              </w:rPr>
              <w:t>Case 11.654, Report Nº 62/01, Riofrío massacre (Colombia), recomendation 1</w:t>
            </w:r>
          </w:p>
          <w:p w14:paraId="05435AC8" w14:textId="77777777" w:rsidR="0085609F" w:rsidRPr="0085609F" w:rsidRDefault="0085609F" w:rsidP="0085609F">
            <w:pPr>
              <w:rPr>
                <w:rFonts w:ascii="Cambria" w:eastAsia="MS Mincho" w:hAnsi="Cambria" w:cs="Calibri"/>
                <w:color w:val="000000" w:themeColor="text1"/>
                <w:sz w:val="18"/>
                <w:szCs w:val="18"/>
              </w:rPr>
            </w:pPr>
          </w:p>
        </w:tc>
        <w:tc>
          <w:tcPr>
            <w:tcW w:w="1350" w:type="dxa"/>
            <w:shd w:val="clear" w:color="auto" w:fill="D9D9D9"/>
            <w:vAlign w:val="center"/>
          </w:tcPr>
          <w:p w14:paraId="03FE5512" w14:textId="52CB0C89" w:rsidR="0085609F" w:rsidRPr="0085609F" w:rsidRDefault="0085609F" w:rsidP="0085609F">
            <w:pPr>
              <w:jc w:val="center"/>
              <w:rPr>
                <w:rFonts w:ascii="Cambria" w:eastAsia="MS Mincho" w:hAnsi="Cambria" w:cs="Calibri"/>
                <w:color w:val="000000" w:themeColor="text1"/>
                <w:sz w:val="18"/>
                <w:szCs w:val="18"/>
                <w:lang w:eastAsia="es-ES_tradnl"/>
              </w:rPr>
            </w:pPr>
            <w:r w:rsidRPr="0085609F">
              <w:rPr>
                <w:rFonts w:ascii="Cambria" w:eastAsia="MS Mincho" w:hAnsi="Cambria"/>
                <w:bCs/>
                <w:color w:val="000000" w:themeColor="text1"/>
                <w:sz w:val="18"/>
                <w:szCs w:val="18"/>
                <w:lang w:val="es-CO" w:eastAsia="es-ES_tradnl"/>
              </w:rPr>
              <w:t>Individual</w:t>
            </w:r>
          </w:p>
        </w:tc>
        <w:tc>
          <w:tcPr>
            <w:tcW w:w="2520" w:type="dxa"/>
            <w:shd w:val="clear" w:color="auto" w:fill="D9D9D9"/>
            <w:vAlign w:val="center"/>
          </w:tcPr>
          <w:p w14:paraId="4F123FAC" w14:textId="52ACBCB5" w:rsidR="0085609F" w:rsidRPr="0085609F" w:rsidRDefault="0085609F" w:rsidP="0085609F">
            <w:pPr>
              <w:pStyle w:val="paragraph"/>
              <w:spacing w:before="0" w:beforeAutospacing="0" w:after="0" w:afterAutospacing="0"/>
              <w:jc w:val="both"/>
              <w:textAlignment w:val="baseline"/>
              <w:rPr>
                <w:rFonts w:ascii="Cambria" w:eastAsia="MS Mincho" w:hAnsi="Cambria" w:cs="Calibri"/>
                <w:color w:val="000000" w:themeColor="text1"/>
                <w:sz w:val="18"/>
                <w:szCs w:val="18"/>
              </w:rPr>
            </w:pPr>
            <w:r w:rsidRPr="0085609F">
              <w:rPr>
                <w:rFonts w:ascii="Cambria" w:eastAsia="MS Mincho" w:hAnsi="Cambria"/>
                <w:bCs/>
                <w:color w:val="000000" w:themeColor="text1"/>
                <w:sz w:val="18"/>
                <w:szCs w:val="18"/>
                <w:lang w:eastAsia="es-ES_tradnl"/>
              </w:rPr>
              <w:t>Conduct an impartial and effective investigation before the ordinary jurisdiction in order to prosecute and punish those materially and intellectually responsible.</w:t>
            </w:r>
          </w:p>
        </w:tc>
        <w:tc>
          <w:tcPr>
            <w:tcW w:w="2790" w:type="dxa"/>
            <w:shd w:val="clear" w:color="auto" w:fill="D9D9D9"/>
            <w:vAlign w:val="center"/>
          </w:tcPr>
          <w:p w14:paraId="0A2182CD" w14:textId="47D05CE5" w:rsidR="0085609F" w:rsidRPr="0085609F" w:rsidRDefault="0085609F" w:rsidP="0085609F">
            <w:pPr>
              <w:jc w:val="both"/>
              <w:rPr>
                <w:rFonts w:ascii="Cambria" w:eastAsia="MS Mincho" w:hAnsi="Cambria" w:cs="Calibri"/>
                <w:color w:val="000000" w:themeColor="text1"/>
                <w:sz w:val="18"/>
                <w:szCs w:val="18"/>
              </w:rPr>
            </w:pPr>
            <w:r w:rsidRPr="0085609F">
              <w:rPr>
                <w:rFonts w:ascii="Cambria" w:eastAsia="MS Mincho" w:hAnsi="Cambria"/>
                <w:bCs/>
                <w:color w:val="000000" w:themeColor="text1"/>
                <w:sz w:val="18"/>
                <w:szCs w:val="18"/>
                <w:lang w:eastAsia="es-ES_tradnl"/>
              </w:rPr>
              <w:t>The Prosecutor's Office informed that the investigation into the facts of this case is at the summary trial stage for the crime of homicide against 12 people.</w:t>
            </w:r>
          </w:p>
        </w:tc>
        <w:tc>
          <w:tcPr>
            <w:tcW w:w="1350" w:type="dxa"/>
            <w:shd w:val="clear" w:color="auto" w:fill="D9D9D9"/>
            <w:vAlign w:val="center"/>
          </w:tcPr>
          <w:p w14:paraId="42A3B9BB" w14:textId="1F88A1AC" w:rsidR="0085609F" w:rsidRPr="0085609F" w:rsidRDefault="0085609F" w:rsidP="0085609F">
            <w:pPr>
              <w:jc w:val="center"/>
              <w:rPr>
                <w:rFonts w:ascii="Cambria" w:eastAsia="MS Mincho" w:hAnsi="Cambria" w:cs="Calibri"/>
                <w:color w:val="000000" w:themeColor="text1"/>
                <w:sz w:val="18"/>
                <w:szCs w:val="18"/>
                <w:lang w:eastAsia="es-ES_tradnl"/>
              </w:rPr>
            </w:pPr>
            <w:r w:rsidRPr="0085609F">
              <w:rPr>
                <w:rFonts w:ascii="Cambria" w:eastAsia="MS Mincho" w:hAnsi="Cambria"/>
                <w:bCs/>
                <w:color w:val="000000" w:themeColor="text1"/>
                <w:sz w:val="18"/>
                <w:szCs w:val="18"/>
                <w:lang w:eastAsia="es-ES_tradnl"/>
              </w:rPr>
              <w:t>Partial</w:t>
            </w:r>
          </w:p>
        </w:tc>
      </w:tr>
      <w:tr w:rsidR="0085609F" w:rsidRPr="008E3CE9" w14:paraId="089BC413" w14:textId="77777777">
        <w:trPr>
          <w:trHeight w:val="504"/>
          <w:jc w:val="center"/>
        </w:trPr>
        <w:tc>
          <w:tcPr>
            <w:tcW w:w="9630" w:type="dxa"/>
            <w:gridSpan w:val="5"/>
            <w:shd w:val="clear" w:color="auto" w:fill="BFBFBF"/>
            <w:vAlign w:val="center"/>
          </w:tcPr>
          <w:p w14:paraId="6B5DCD59" w14:textId="77777777" w:rsidR="0085609F" w:rsidRPr="008E3CE9" w:rsidRDefault="0085609F" w:rsidP="0085609F">
            <w:pPr>
              <w:jc w:val="center"/>
              <w:rPr>
                <w:rFonts w:ascii="Cambria" w:eastAsia="MS Mincho" w:hAnsi="Cambria" w:cs="Calibri"/>
                <w:b/>
                <w:color w:val="000000" w:themeColor="text1"/>
                <w:sz w:val="18"/>
                <w:szCs w:val="18"/>
                <w:highlight w:val="yellow"/>
                <w:lang w:eastAsia="es-ES_tradnl"/>
              </w:rPr>
            </w:pPr>
            <w:r w:rsidRPr="008E3CE9">
              <w:rPr>
                <w:rFonts w:ascii="Cambria" w:eastAsia="MS Mincho" w:hAnsi="Cambria" w:cs="Calibri"/>
                <w:b/>
                <w:color w:val="000000" w:themeColor="text1"/>
                <w:sz w:val="18"/>
                <w:szCs w:val="18"/>
                <w:lang w:eastAsia="es-ES_tradnl"/>
              </w:rPr>
              <w:t>ECUADOR</w:t>
            </w:r>
          </w:p>
        </w:tc>
      </w:tr>
      <w:tr w:rsidR="0085609F" w:rsidRPr="008E3CE9" w14:paraId="7957FDE1" w14:textId="77777777">
        <w:trPr>
          <w:trHeight w:val="4387"/>
          <w:jc w:val="center"/>
        </w:trPr>
        <w:tc>
          <w:tcPr>
            <w:tcW w:w="1620" w:type="dxa"/>
            <w:shd w:val="clear" w:color="auto" w:fill="D9D9D9"/>
            <w:vAlign w:val="center"/>
          </w:tcPr>
          <w:p w14:paraId="5ABDC060" w14:textId="77777777" w:rsidR="0085609F" w:rsidRPr="00735067" w:rsidRDefault="0085609F" w:rsidP="0085609F">
            <w:pPr>
              <w:rPr>
                <w:rFonts w:ascii="Cambria" w:hAnsi="Cambria" w:cs="Calibri"/>
                <w:bCs/>
                <w:color w:val="000000" w:themeColor="text1"/>
                <w:sz w:val="18"/>
                <w:szCs w:val="18"/>
              </w:rPr>
            </w:pPr>
            <w:r w:rsidRPr="00735067">
              <w:rPr>
                <w:rFonts w:ascii="Cambria" w:hAnsi="Cambria" w:cs="Calibri"/>
                <w:bCs/>
                <w:color w:val="000000" w:themeColor="text1"/>
                <w:sz w:val="18"/>
                <w:szCs w:val="18"/>
              </w:rPr>
              <w:t xml:space="preserve">Case 11.444, Report </w:t>
            </w:r>
            <w:r w:rsidRPr="00735067">
              <w:rPr>
                <w:rFonts w:ascii="Cambria" w:eastAsia="MS Mincho" w:hAnsi="Cambria" w:cs="Calibri"/>
                <w:color w:val="000000" w:themeColor="text1"/>
                <w:sz w:val="18"/>
                <w:szCs w:val="18"/>
              </w:rPr>
              <w:t xml:space="preserve">No. </w:t>
            </w:r>
            <w:r w:rsidRPr="00735067">
              <w:rPr>
                <w:rFonts w:ascii="Cambria" w:hAnsi="Cambria" w:cs="Calibri"/>
                <w:bCs/>
                <w:color w:val="000000" w:themeColor="text1"/>
                <w:sz w:val="18"/>
                <w:szCs w:val="18"/>
              </w:rPr>
              <w:t>457/21, Amparo Constante Merizalde (Ecuador)</w:t>
            </w:r>
          </w:p>
          <w:p w14:paraId="3C8A1AE9" w14:textId="77777777" w:rsidR="0085609F" w:rsidRPr="008E3CE9" w:rsidRDefault="0085609F" w:rsidP="0085609F">
            <w:pPr>
              <w:rPr>
                <w:rFonts w:ascii="Cambria" w:eastAsia="MS Mincho" w:hAnsi="Cambria" w:cs="Calibri"/>
                <w:color w:val="000000" w:themeColor="text1"/>
                <w:sz w:val="18"/>
                <w:szCs w:val="18"/>
                <w:highlight w:val="yellow"/>
                <w:lang w:eastAsia="es-ES_tradnl"/>
              </w:rPr>
            </w:pPr>
            <w:r w:rsidRPr="00735067">
              <w:rPr>
                <w:rFonts w:ascii="Cambria" w:eastAsia="MS Mincho" w:hAnsi="Cambria" w:cs="Calibri"/>
                <w:color w:val="000000" w:themeColor="text1"/>
                <w:sz w:val="18"/>
                <w:szCs w:val="18"/>
                <w:lang w:eastAsia="es-ES_tradnl"/>
              </w:rPr>
              <w:t>recommendation 1 y eight clause of the compliance agreement</w:t>
            </w:r>
          </w:p>
        </w:tc>
        <w:tc>
          <w:tcPr>
            <w:tcW w:w="1350" w:type="dxa"/>
            <w:shd w:val="clear" w:color="auto" w:fill="D9D9D9"/>
            <w:vAlign w:val="center"/>
          </w:tcPr>
          <w:p w14:paraId="19373609" w14:textId="77777777" w:rsidR="0085609F" w:rsidRPr="00735067" w:rsidRDefault="0085609F" w:rsidP="0085609F">
            <w:pPr>
              <w:jc w:val="center"/>
              <w:rPr>
                <w:rFonts w:ascii="Cambria" w:eastAsia="MS Mincho" w:hAnsi="Cambria" w:cs="Calibri"/>
                <w:color w:val="000000" w:themeColor="text1"/>
                <w:sz w:val="18"/>
                <w:szCs w:val="18"/>
                <w:highlight w:val="yellow"/>
                <w:lang w:eastAsia="es-ES_tradnl"/>
              </w:rPr>
            </w:pPr>
            <w:r w:rsidRPr="00735067">
              <w:rPr>
                <w:rFonts w:ascii="Cambria" w:eastAsia="MS Mincho" w:hAnsi="Cambria" w:cs="Calibri"/>
                <w:color w:val="000000" w:themeColor="text1"/>
                <w:sz w:val="18"/>
                <w:szCs w:val="18"/>
                <w:lang w:eastAsia="es-ES_tradnl"/>
              </w:rPr>
              <w:t>Individual</w:t>
            </w:r>
          </w:p>
        </w:tc>
        <w:tc>
          <w:tcPr>
            <w:tcW w:w="2520" w:type="dxa"/>
            <w:shd w:val="clear" w:color="auto" w:fill="D9D9D9"/>
            <w:vAlign w:val="center"/>
          </w:tcPr>
          <w:p w14:paraId="7620C57E" w14:textId="77777777" w:rsidR="0085609F" w:rsidRPr="00735067" w:rsidRDefault="0085609F" w:rsidP="0085609F">
            <w:pPr>
              <w:pStyle w:val="paragraph"/>
              <w:spacing w:before="0" w:beforeAutospacing="0" w:after="0" w:afterAutospacing="0"/>
              <w:jc w:val="both"/>
              <w:textAlignment w:val="baseline"/>
              <w:rPr>
                <w:rFonts w:ascii="Cambria" w:eastAsia="MS Mincho" w:hAnsi="Cambria" w:cs="Calibri"/>
                <w:color w:val="000000" w:themeColor="text1"/>
                <w:sz w:val="18"/>
                <w:szCs w:val="18"/>
              </w:rPr>
            </w:pPr>
            <w:r w:rsidRPr="00735067">
              <w:rPr>
                <w:rFonts w:ascii="Cambria" w:eastAsia="MS Mincho" w:hAnsi="Cambria" w:cs="Calibri"/>
                <w:color w:val="000000" w:themeColor="text1"/>
                <w:sz w:val="18"/>
                <w:szCs w:val="18"/>
              </w:rPr>
              <w:t>Recommendation 1. Make full reparations to the victim in this case, including both material and non-material aspects.</w:t>
            </w:r>
          </w:p>
          <w:p w14:paraId="624564E3" w14:textId="77777777" w:rsidR="0085609F" w:rsidRPr="00735067" w:rsidRDefault="0085609F" w:rsidP="0085609F">
            <w:pPr>
              <w:pStyle w:val="paragraph"/>
              <w:spacing w:before="0" w:beforeAutospacing="0" w:after="0" w:afterAutospacing="0"/>
              <w:jc w:val="both"/>
              <w:textAlignment w:val="baseline"/>
              <w:rPr>
                <w:rFonts w:ascii="Cambria" w:eastAsia="MS Mincho" w:hAnsi="Cambria" w:cs="Calibri"/>
                <w:color w:val="000000" w:themeColor="text1"/>
                <w:sz w:val="18"/>
                <w:szCs w:val="18"/>
              </w:rPr>
            </w:pPr>
          </w:p>
          <w:p w14:paraId="1B3C4AE2" w14:textId="77777777" w:rsidR="0085609F" w:rsidRPr="00735067" w:rsidRDefault="0085609F" w:rsidP="0085609F">
            <w:pPr>
              <w:pStyle w:val="paragraph"/>
              <w:spacing w:before="0" w:beforeAutospacing="0" w:after="0" w:afterAutospacing="0"/>
              <w:jc w:val="both"/>
              <w:textAlignment w:val="baseline"/>
              <w:rPr>
                <w:rFonts w:ascii="Cambria" w:eastAsia="MS Mincho" w:hAnsi="Cambria" w:cs="Calibri"/>
                <w:color w:val="000000" w:themeColor="text1"/>
                <w:sz w:val="18"/>
                <w:szCs w:val="18"/>
              </w:rPr>
            </w:pPr>
            <w:r w:rsidRPr="00735067">
              <w:rPr>
                <w:rFonts w:ascii="Cambria" w:eastAsia="MS Mincho" w:hAnsi="Cambria" w:cs="Calibri"/>
                <w:color w:val="000000" w:themeColor="text1"/>
                <w:sz w:val="18"/>
                <w:szCs w:val="18"/>
              </w:rPr>
              <w:t>Eight clause. During the first round of the negotiation process of June 26, 2018, the Ministry of the Interior proposed as integral reparation for the violation of human rights, the total amount of USD 60,000.00 value that was accepted by Mrs. JANETH AMPARO CONSTANTE MERIZALDE, victim and beneficiary of the Merits Report No. 32/18.</w:t>
            </w:r>
          </w:p>
        </w:tc>
        <w:tc>
          <w:tcPr>
            <w:tcW w:w="2790" w:type="dxa"/>
            <w:shd w:val="clear" w:color="auto" w:fill="D9D9D9"/>
          </w:tcPr>
          <w:p w14:paraId="73118196" w14:textId="77777777" w:rsidR="0085609F" w:rsidRPr="00735067" w:rsidRDefault="0085609F" w:rsidP="0085609F">
            <w:pPr>
              <w:pStyle w:val="paragraph"/>
              <w:spacing w:before="0" w:beforeAutospacing="0" w:after="0" w:afterAutospacing="0"/>
              <w:jc w:val="both"/>
              <w:textAlignment w:val="baseline"/>
              <w:rPr>
                <w:rFonts w:ascii="Cambria" w:eastAsia="MS Mincho" w:hAnsi="Cambria" w:cs="Calibri"/>
                <w:color w:val="000000" w:themeColor="text1"/>
                <w:sz w:val="18"/>
                <w:szCs w:val="18"/>
              </w:rPr>
            </w:pPr>
          </w:p>
          <w:p w14:paraId="01A54E42" w14:textId="77777777" w:rsidR="0085609F" w:rsidRPr="00735067" w:rsidRDefault="0085609F" w:rsidP="0085609F">
            <w:pPr>
              <w:pStyle w:val="paragraph"/>
              <w:spacing w:before="0" w:beforeAutospacing="0" w:after="0" w:afterAutospacing="0"/>
              <w:jc w:val="both"/>
              <w:textAlignment w:val="baseline"/>
              <w:rPr>
                <w:rFonts w:ascii="Cambria" w:eastAsia="MS Mincho" w:hAnsi="Cambria" w:cs="Calibri"/>
                <w:color w:val="000000" w:themeColor="text1"/>
                <w:sz w:val="18"/>
                <w:szCs w:val="18"/>
              </w:rPr>
            </w:pPr>
          </w:p>
          <w:p w14:paraId="3DB7E9B5" w14:textId="77777777" w:rsidR="0085609F" w:rsidRPr="00735067" w:rsidRDefault="0085609F" w:rsidP="0085609F">
            <w:pPr>
              <w:pStyle w:val="paragraph"/>
              <w:spacing w:before="0" w:beforeAutospacing="0" w:after="0" w:afterAutospacing="0"/>
              <w:jc w:val="both"/>
              <w:textAlignment w:val="baseline"/>
              <w:rPr>
                <w:rFonts w:ascii="Cambria" w:eastAsia="MS Mincho" w:hAnsi="Cambria" w:cs="Calibri"/>
                <w:color w:val="000000" w:themeColor="text1"/>
                <w:sz w:val="18"/>
                <w:szCs w:val="18"/>
              </w:rPr>
            </w:pPr>
            <w:r w:rsidRPr="00735067">
              <w:rPr>
                <w:rFonts w:ascii="Cambria" w:eastAsia="MS Mincho" w:hAnsi="Cambria" w:cs="Calibri"/>
                <w:color w:val="000000" w:themeColor="text1"/>
                <w:sz w:val="18"/>
                <w:szCs w:val="18"/>
              </w:rPr>
              <w:t xml:space="preserve">The State reported that on March 21, 2019, the Ministry of Economy and Finance made the payment of the compensation agreed with the victim of the case and that on March 27, 2019, the proof of payment was delivered to him. </w:t>
            </w:r>
          </w:p>
        </w:tc>
        <w:tc>
          <w:tcPr>
            <w:tcW w:w="1350" w:type="dxa"/>
            <w:shd w:val="clear" w:color="auto" w:fill="D9D9D9"/>
            <w:vAlign w:val="center"/>
          </w:tcPr>
          <w:p w14:paraId="538D9347" w14:textId="77777777" w:rsidR="0085609F" w:rsidRPr="00735067" w:rsidRDefault="0085609F" w:rsidP="0085609F">
            <w:pPr>
              <w:pStyle w:val="paragraph"/>
              <w:spacing w:before="0" w:beforeAutospacing="0" w:after="0" w:afterAutospacing="0"/>
              <w:jc w:val="center"/>
              <w:textAlignment w:val="baseline"/>
              <w:rPr>
                <w:rFonts w:ascii="Cambria" w:eastAsia="MS Mincho" w:hAnsi="Cambria" w:cs="Calibri"/>
                <w:color w:val="000000" w:themeColor="text1"/>
                <w:sz w:val="18"/>
                <w:szCs w:val="18"/>
              </w:rPr>
            </w:pPr>
            <w:r w:rsidRPr="00735067">
              <w:rPr>
                <w:rFonts w:ascii="Cambria" w:eastAsia="MS Mincho" w:hAnsi="Cambria" w:cs="Calibri"/>
                <w:color w:val="000000" w:themeColor="text1"/>
                <w:sz w:val="18"/>
                <w:szCs w:val="18"/>
              </w:rPr>
              <w:t>Total</w:t>
            </w:r>
          </w:p>
        </w:tc>
      </w:tr>
      <w:tr w:rsidR="0085609F" w:rsidRPr="008E3CE9" w14:paraId="69C8FE6A" w14:textId="77777777">
        <w:trPr>
          <w:trHeight w:val="4387"/>
          <w:jc w:val="center"/>
        </w:trPr>
        <w:tc>
          <w:tcPr>
            <w:tcW w:w="1620" w:type="dxa"/>
            <w:shd w:val="clear" w:color="auto" w:fill="D9D9D9"/>
            <w:vAlign w:val="center"/>
          </w:tcPr>
          <w:p w14:paraId="3FB3A0F1" w14:textId="77777777" w:rsidR="0085609F" w:rsidRPr="00735067" w:rsidRDefault="0085609F" w:rsidP="0085609F">
            <w:pPr>
              <w:rPr>
                <w:rFonts w:ascii="Cambria" w:hAnsi="Cambria" w:cs="Calibri"/>
                <w:bCs/>
                <w:color w:val="000000" w:themeColor="text1"/>
                <w:sz w:val="18"/>
                <w:szCs w:val="18"/>
              </w:rPr>
            </w:pPr>
            <w:r w:rsidRPr="00735067">
              <w:rPr>
                <w:rFonts w:ascii="Cambria" w:hAnsi="Cambria" w:cs="Calibri"/>
                <w:bCs/>
                <w:color w:val="000000" w:themeColor="text1"/>
                <w:sz w:val="18"/>
                <w:szCs w:val="18"/>
              </w:rPr>
              <w:lastRenderedPageBreak/>
              <w:t xml:space="preserve">Case 12.931, Report </w:t>
            </w:r>
            <w:r w:rsidRPr="00735067">
              <w:rPr>
                <w:rFonts w:ascii="Cambria" w:eastAsia="MS Mincho" w:hAnsi="Cambria" w:cs="Calibri"/>
                <w:color w:val="000000" w:themeColor="text1"/>
                <w:sz w:val="18"/>
                <w:szCs w:val="18"/>
              </w:rPr>
              <w:t xml:space="preserve">No. 328/21, Daría Olinda Puertocarrero Hurtado (Ecuador) </w:t>
            </w:r>
            <w:r w:rsidRPr="00735067">
              <w:rPr>
                <w:rFonts w:ascii="Cambria" w:eastAsia="MS Mincho" w:hAnsi="Cambria" w:cs="Calibri"/>
                <w:color w:val="000000" w:themeColor="text1"/>
                <w:sz w:val="18"/>
                <w:szCs w:val="18"/>
                <w:lang w:eastAsia="es-ES_tradnl"/>
              </w:rPr>
              <w:t>Recommendation 1, seventh clause (satisfaction measure - educational offerings and rehabilitation measure - comprehensive health care program)</w:t>
            </w:r>
          </w:p>
        </w:tc>
        <w:tc>
          <w:tcPr>
            <w:tcW w:w="1350" w:type="dxa"/>
            <w:shd w:val="clear" w:color="auto" w:fill="D9D9D9"/>
            <w:vAlign w:val="center"/>
          </w:tcPr>
          <w:p w14:paraId="69320F4C" w14:textId="77777777" w:rsidR="0085609F" w:rsidRPr="00735067" w:rsidRDefault="0085609F" w:rsidP="0085609F">
            <w:pPr>
              <w:jc w:val="center"/>
              <w:rPr>
                <w:rFonts w:ascii="Cambria" w:eastAsia="MS Mincho" w:hAnsi="Cambria" w:cs="Calibri"/>
                <w:color w:val="000000" w:themeColor="text1"/>
                <w:sz w:val="18"/>
                <w:szCs w:val="18"/>
                <w:lang w:eastAsia="es-ES_tradnl"/>
              </w:rPr>
            </w:pPr>
            <w:r w:rsidRPr="00735067">
              <w:rPr>
                <w:rFonts w:ascii="Cambria" w:eastAsia="MS Mincho" w:hAnsi="Cambria" w:cs="Calibri"/>
                <w:color w:val="000000" w:themeColor="text1"/>
                <w:sz w:val="18"/>
                <w:szCs w:val="18"/>
                <w:lang w:eastAsia="es-ES_tradnl"/>
              </w:rPr>
              <w:t>Individual</w:t>
            </w:r>
          </w:p>
        </w:tc>
        <w:tc>
          <w:tcPr>
            <w:tcW w:w="2520" w:type="dxa"/>
            <w:shd w:val="clear" w:color="auto" w:fill="D9D9D9"/>
            <w:vAlign w:val="center"/>
          </w:tcPr>
          <w:p w14:paraId="4081B6F8" w14:textId="77777777" w:rsidR="0085609F" w:rsidRPr="00735067" w:rsidRDefault="0085609F" w:rsidP="0085609F">
            <w:pPr>
              <w:pStyle w:val="paragraph"/>
              <w:spacing w:before="0" w:beforeAutospacing="0" w:after="0" w:afterAutospacing="0"/>
              <w:jc w:val="both"/>
              <w:textAlignment w:val="baseline"/>
              <w:rPr>
                <w:rFonts w:ascii="Cambria" w:eastAsia="MS Mincho" w:hAnsi="Cambria" w:cs="Calibri"/>
                <w:color w:val="000000" w:themeColor="text1"/>
                <w:sz w:val="18"/>
                <w:szCs w:val="18"/>
              </w:rPr>
            </w:pPr>
            <w:r w:rsidRPr="00735067">
              <w:rPr>
                <w:rFonts w:ascii="Cambria" w:eastAsia="MS Mincho" w:hAnsi="Cambria" w:cs="Calibri"/>
                <w:color w:val="000000" w:themeColor="text1"/>
                <w:sz w:val="18"/>
                <w:szCs w:val="18"/>
              </w:rPr>
              <w:t>Make full reparation to Daría Olinda Puertocarrero Hurtado through measures of compensation, satisfaction, and rehabilitation, including the material and non-material damage caused to the victim because of the violations declared in the report.</w:t>
            </w:r>
          </w:p>
        </w:tc>
        <w:tc>
          <w:tcPr>
            <w:tcW w:w="2790" w:type="dxa"/>
            <w:shd w:val="clear" w:color="auto" w:fill="D9D9D9"/>
          </w:tcPr>
          <w:p w14:paraId="4B551233" w14:textId="77777777" w:rsidR="0085609F" w:rsidRPr="00735067" w:rsidRDefault="0085609F" w:rsidP="0085609F">
            <w:pPr>
              <w:jc w:val="both"/>
              <w:rPr>
                <w:rFonts w:ascii="Cambria" w:eastAsia="Times New Roman" w:hAnsi="Cambria" w:cs="Calibri Light"/>
                <w:color w:val="000000" w:themeColor="text1"/>
                <w:sz w:val="18"/>
                <w:szCs w:val="18"/>
              </w:rPr>
            </w:pPr>
          </w:p>
          <w:p w14:paraId="19A7FAA8" w14:textId="77777777" w:rsidR="0085609F" w:rsidRPr="00735067" w:rsidRDefault="0085609F" w:rsidP="0085609F">
            <w:pPr>
              <w:jc w:val="both"/>
              <w:rPr>
                <w:rFonts w:ascii="Cambria" w:eastAsia="Times New Roman" w:hAnsi="Cambria" w:cs="Calibri Light"/>
                <w:color w:val="000000" w:themeColor="text1"/>
                <w:sz w:val="18"/>
                <w:szCs w:val="18"/>
              </w:rPr>
            </w:pPr>
          </w:p>
          <w:p w14:paraId="5C47C77C" w14:textId="77777777" w:rsidR="0085609F" w:rsidRPr="00735067" w:rsidRDefault="0085609F" w:rsidP="0085609F">
            <w:pPr>
              <w:jc w:val="both"/>
              <w:rPr>
                <w:rFonts w:ascii="Cambria" w:eastAsia="Times New Roman" w:hAnsi="Cambria" w:cs="Calibri Light"/>
                <w:color w:val="000000" w:themeColor="text1"/>
                <w:sz w:val="18"/>
                <w:szCs w:val="18"/>
              </w:rPr>
            </w:pPr>
          </w:p>
          <w:p w14:paraId="48BCD2B0" w14:textId="77777777" w:rsidR="0085609F" w:rsidRPr="00735067" w:rsidRDefault="0085609F" w:rsidP="0085609F">
            <w:pPr>
              <w:jc w:val="both"/>
              <w:rPr>
                <w:rFonts w:ascii="Cambria" w:eastAsia="Times New Roman" w:hAnsi="Cambria" w:cs="Calibri Light"/>
                <w:color w:val="000000" w:themeColor="text1"/>
                <w:sz w:val="18"/>
                <w:szCs w:val="18"/>
              </w:rPr>
            </w:pPr>
          </w:p>
          <w:p w14:paraId="0EEB8055" w14:textId="77777777" w:rsidR="0085609F" w:rsidRPr="00735067" w:rsidRDefault="0085609F" w:rsidP="0085609F">
            <w:pPr>
              <w:jc w:val="both"/>
              <w:rPr>
                <w:rFonts w:ascii="Cambria" w:eastAsia="Times New Roman" w:hAnsi="Cambria" w:cs="Calibri Light"/>
                <w:color w:val="000000" w:themeColor="text1"/>
                <w:sz w:val="18"/>
                <w:szCs w:val="18"/>
              </w:rPr>
            </w:pPr>
          </w:p>
          <w:p w14:paraId="7BA700E9" w14:textId="77777777" w:rsidR="0085609F" w:rsidRPr="00735067" w:rsidRDefault="0085609F" w:rsidP="0085609F">
            <w:pPr>
              <w:jc w:val="both"/>
              <w:rPr>
                <w:rFonts w:ascii="Cambria" w:eastAsia="Times New Roman" w:hAnsi="Cambria" w:cs="Calibri Light"/>
                <w:color w:val="000000" w:themeColor="text1"/>
                <w:sz w:val="18"/>
                <w:szCs w:val="18"/>
              </w:rPr>
            </w:pPr>
          </w:p>
          <w:p w14:paraId="50DAE826" w14:textId="77777777" w:rsidR="0085609F" w:rsidRPr="00735067" w:rsidRDefault="0085609F" w:rsidP="0085609F">
            <w:pPr>
              <w:jc w:val="both"/>
              <w:rPr>
                <w:rFonts w:ascii="Cambria" w:eastAsia="Times New Roman" w:hAnsi="Cambria" w:cs="Calibri Light"/>
                <w:color w:val="000000" w:themeColor="text1"/>
                <w:sz w:val="18"/>
                <w:szCs w:val="18"/>
              </w:rPr>
            </w:pPr>
          </w:p>
          <w:p w14:paraId="7908DD3B" w14:textId="77777777" w:rsidR="0085609F" w:rsidRPr="00735067" w:rsidRDefault="0085609F" w:rsidP="0085609F">
            <w:pPr>
              <w:jc w:val="both"/>
              <w:rPr>
                <w:rFonts w:ascii="Cambria" w:eastAsia="Times New Roman" w:hAnsi="Cambria" w:cs="Calibri Light"/>
                <w:color w:val="000000" w:themeColor="text1"/>
                <w:sz w:val="18"/>
                <w:szCs w:val="18"/>
              </w:rPr>
            </w:pPr>
            <w:r w:rsidRPr="00735067">
              <w:rPr>
                <w:rFonts w:ascii="Cambria" w:eastAsia="Times New Roman" w:hAnsi="Cambria" w:cs="Calibri Light"/>
                <w:color w:val="000000" w:themeColor="text1"/>
                <w:sz w:val="18"/>
                <w:szCs w:val="18"/>
              </w:rPr>
              <w:t>The IACHR observed the information presented by the petitioner in the sense that full reparations must be made.</w:t>
            </w:r>
          </w:p>
          <w:p w14:paraId="641C220F" w14:textId="77777777" w:rsidR="0085609F" w:rsidRPr="00735067" w:rsidRDefault="0085609F" w:rsidP="0085609F">
            <w:pPr>
              <w:pStyle w:val="paragraph"/>
              <w:spacing w:before="0" w:beforeAutospacing="0" w:after="0" w:afterAutospacing="0"/>
              <w:jc w:val="both"/>
              <w:textAlignment w:val="baseline"/>
              <w:rPr>
                <w:rFonts w:ascii="Cambria" w:eastAsia="MS Mincho" w:hAnsi="Cambria" w:cs="Calibri"/>
                <w:color w:val="000000" w:themeColor="text1"/>
                <w:sz w:val="18"/>
                <w:szCs w:val="18"/>
              </w:rPr>
            </w:pPr>
          </w:p>
        </w:tc>
        <w:tc>
          <w:tcPr>
            <w:tcW w:w="1350" w:type="dxa"/>
            <w:shd w:val="clear" w:color="auto" w:fill="D9D9D9"/>
            <w:vAlign w:val="center"/>
          </w:tcPr>
          <w:p w14:paraId="26537C95" w14:textId="77777777" w:rsidR="0085609F" w:rsidRPr="00735067" w:rsidRDefault="0085609F" w:rsidP="0085609F">
            <w:pPr>
              <w:pStyle w:val="paragraph"/>
              <w:spacing w:before="0" w:beforeAutospacing="0" w:after="0" w:afterAutospacing="0"/>
              <w:jc w:val="center"/>
              <w:textAlignment w:val="baseline"/>
              <w:rPr>
                <w:rFonts w:ascii="Cambria" w:eastAsia="MS Mincho" w:hAnsi="Cambria" w:cs="Calibri"/>
                <w:color w:val="000000" w:themeColor="text1"/>
                <w:sz w:val="18"/>
                <w:szCs w:val="18"/>
              </w:rPr>
            </w:pPr>
            <w:r w:rsidRPr="00735067">
              <w:rPr>
                <w:rFonts w:ascii="Cambria" w:eastAsia="MS Mincho" w:hAnsi="Cambria" w:cs="Calibri"/>
                <w:color w:val="000000" w:themeColor="text1"/>
                <w:sz w:val="18"/>
                <w:szCs w:val="18"/>
              </w:rPr>
              <w:t>Total</w:t>
            </w:r>
          </w:p>
          <w:p w14:paraId="6BDF1F84" w14:textId="77777777" w:rsidR="0085609F" w:rsidRPr="00735067" w:rsidRDefault="0085609F" w:rsidP="0085609F">
            <w:pPr>
              <w:pStyle w:val="paragraph"/>
              <w:spacing w:before="0" w:beforeAutospacing="0" w:after="0" w:afterAutospacing="0"/>
              <w:jc w:val="center"/>
              <w:textAlignment w:val="baseline"/>
              <w:rPr>
                <w:rFonts w:ascii="Cambria" w:eastAsia="MS Mincho" w:hAnsi="Cambria" w:cs="Calibri"/>
                <w:color w:val="000000" w:themeColor="text1"/>
                <w:sz w:val="18"/>
                <w:szCs w:val="18"/>
              </w:rPr>
            </w:pPr>
          </w:p>
        </w:tc>
      </w:tr>
      <w:tr w:rsidR="0085609F" w:rsidRPr="008E3CE9" w14:paraId="320365BD" w14:textId="77777777">
        <w:trPr>
          <w:trHeight w:val="504"/>
          <w:jc w:val="center"/>
        </w:trPr>
        <w:tc>
          <w:tcPr>
            <w:tcW w:w="9630" w:type="dxa"/>
            <w:gridSpan w:val="5"/>
            <w:shd w:val="clear" w:color="auto" w:fill="BFBFBF"/>
            <w:vAlign w:val="center"/>
          </w:tcPr>
          <w:p w14:paraId="5ED52543" w14:textId="77777777" w:rsidR="0085609F" w:rsidRPr="008E3CE9" w:rsidRDefault="0085609F" w:rsidP="0085609F">
            <w:pPr>
              <w:jc w:val="center"/>
              <w:rPr>
                <w:rFonts w:ascii="Cambria" w:eastAsia="MS Mincho" w:hAnsi="Cambria" w:cs="Calibri"/>
                <w:b/>
                <w:color w:val="000000" w:themeColor="text1"/>
                <w:sz w:val="18"/>
                <w:szCs w:val="18"/>
                <w:highlight w:val="yellow"/>
                <w:lang w:eastAsia="es-ES_tradnl"/>
              </w:rPr>
            </w:pPr>
            <w:r w:rsidRPr="008E3CE9">
              <w:rPr>
                <w:rFonts w:ascii="Cambria" w:eastAsia="MS Mincho" w:hAnsi="Cambria" w:cs="Calibri"/>
                <w:b/>
                <w:color w:val="000000" w:themeColor="text1"/>
                <w:sz w:val="18"/>
                <w:szCs w:val="18"/>
                <w:lang w:eastAsia="es-ES_tradnl"/>
              </w:rPr>
              <w:t>MEXICO</w:t>
            </w:r>
          </w:p>
        </w:tc>
      </w:tr>
      <w:tr w:rsidR="0085609F" w:rsidRPr="008E3CE9" w14:paraId="693287BF" w14:textId="77777777">
        <w:trPr>
          <w:trHeight w:val="504"/>
          <w:jc w:val="center"/>
        </w:trPr>
        <w:tc>
          <w:tcPr>
            <w:tcW w:w="1620" w:type="dxa"/>
            <w:shd w:val="clear" w:color="auto" w:fill="D9D9D9"/>
            <w:vAlign w:val="center"/>
          </w:tcPr>
          <w:p w14:paraId="4762DACD" w14:textId="77777777" w:rsidR="0085609F" w:rsidRPr="00735067" w:rsidRDefault="0085609F" w:rsidP="0085609F">
            <w:pPr>
              <w:rPr>
                <w:rFonts w:ascii="Cambria" w:eastAsia="MS Mincho" w:hAnsi="Cambria" w:cs="Calibri"/>
                <w:color w:val="000000" w:themeColor="text1"/>
                <w:sz w:val="18"/>
                <w:szCs w:val="18"/>
                <w:highlight w:val="yellow"/>
                <w:lang w:eastAsia="es-ES_tradnl"/>
              </w:rPr>
            </w:pPr>
            <w:r w:rsidRPr="00735067">
              <w:rPr>
                <w:rFonts w:ascii="Cambria" w:hAnsi="Cambria" w:cs="Calibri"/>
                <w:bCs/>
                <w:color w:val="000000" w:themeColor="text1"/>
                <w:sz w:val="18"/>
                <w:szCs w:val="18"/>
              </w:rPr>
              <w:t xml:space="preserve">Case 12.551, Report No. 51/13, Paloma Angélica Escobar, </w:t>
            </w:r>
            <w:r>
              <w:rPr>
                <w:rFonts w:ascii="Cambria" w:hAnsi="Cambria" w:cs="Calibri"/>
                <w:bCs/>
                <w:color w:val="000000" w:themeColor="text1"/>
                <w:sz w:val="18"/>
                <w:szCs w:val="18"/>
              </w:rPr>
              <w:t>clause 9.</w:t>
            </w:r>
            <w:r w:rsidRPr="00735067">
              <w:rPr>
                <w:rFonts w:ascii="Cambria" w:hAnsi="Cambria" w:cs="Calibri"/>
                <w:bCs/>
                <w:color w:val="000000" w:themeColor="text1"/>
                <w:sz w:val="18"/>
                <w:szCs w:val="18"/>
              </w:rPr>
              <w:t>b.</w:t>
            </w:r>
          </w:p>
        </w:tc>
        <w:tc>
          <w:tcPr>
            <w:tcW w:w="1350" w:type="dxa"/>
            <w:shd w:val="clear" w:color="auto" w:fill="D9D9D9"/>
            <w:vAlign w:val="center"/>
          </w:tcPr>
          <w:p w14:paraId="3670CDD4" w14:textId="77777777" w:rsidR="0085609F" w:rsidRPr="00735067" w:rsidRDefault="0085609F" w:rsidP="0085609F">
            <w:pPr>
              <w:jc w:val="center"/>
              <w:rPr>
                <w:rFonts w:ascii="Cambria" w:eastAsia="MS Mincho" w:hAnsi="Cambria" w:cs="Calibri"/>
                <w:color w:val="000000" w:themeColor="text1"/>
                <w:sz w:val="18"/>
                <w:szCs w:val="18"/>
                <w:highlight w:val="yellow"/>
                <w:lang w:eastAsia="es-ES_tradnl"/>
              </w:rPr>
            </w:pPr>
            <w:r w:rsidRPr="00735067">
              <w:rPr>
                <w:rFonts w:ascii="Cambria" w:eastAsia="MS Mincho" w:hAnsi="Cambria" w:cs="Calibri"/>
                <w:color w:val="000000" w:themeColor="text1"/>
                <w:sz w:val="18"/>
                <w:szCs w:val="18"/>
                <w:lang w:eastAsia="es-ES_tradnl"/>
              </w:rPr>
              <w:t>Structural</w:t>
            </w:r>
          </w:p>
        </w:tc>
        <w:tc>
          <w:tcPr>
            <w:tcW w:w="2520" w:type="dxa"/>
            <w:shd w:val="clear" w:color="auto" w:fill="D9D9D9"/>
            <w:vAlign w:val="center"/>
          </w:tcPr>
          <w:p w14:paraId="20951250" w14:textId="77777777" w:rsidR="0085609F" w:rsidRPr="00735067" w:rsidRDefault="0085609F" w:rsidP="0085609F">
            <w:pPr>
              <w:jc w:val="both"/>
              <w:outlineLvl w:val="0"/>
              <w:rPr>
                <w:rFonts w:ascii="Cambria" w:hAnsi="Cambria"/>
                <w:color w:val="000000" w:themeColor="text1"/>
                <w:sz w:val="18"/>
                <w:szCs w:val="18"/>
              </w:rPr>
            </w:pPr>
            <w:r w:rsidRPr="00735067">
              <w:rPr>
                <w:rStyle w:val="normaltextrun"/>
                <w:rFonts w:ascii="Cambria" w:hAnsi="Cambria"/>
                <w:color w:val="000000" w:themeColor="text1"/>
                <w:sz w:val="18"/>
                <w:szCs w:val="18"/>
              </w:rPr>
              <w:t>9B. The State Government commits to publish and distribute in public libraries of the State, Non-Governmental Organizations and Community Centers, a book entitled "Justice for Our Daughters", whose prologue will be written by Mrs. Norma Ledezma and agreed with the State Government, and the content will be a compilation of laws on Women's Human Rights [...</w:t>
            </w:r>
            <w:r w:rsidRPr="00735067">
              <w:rPr>
                <w:rStyle w:val="eop"/>
                <w:rFonts w:ascii="Cambria" w:hAnsi="Cambria"/>
                <w:color w:val="000000" w:themeColor="text1"/>
                <w:sz w:val="18"/>
                <w:szCs w:val="18"/>
              </w:rPr>
              <w:t xml:space="preserve">]. </w:t>
            </w:r>
          </w:p>
        </w:tc>
        <w:tc>
          <w:tcPr>
            <w:tcW w:w="2790" w:type="dxa"/>
            <w:shd w:val="clear" w:color="auto" w:fill="D9D9D9"/>
          </w:tcPr>
          <w:p w14:paraId="11EC47CE" w14:textId="77777777" w:rsidR="0085609F" w:rsidRPr="00735067" w:rsidRDefault="0085609F" w:rsidP="0085609F">
            <w:pPr>
              <w:pStyle w:val="paragraph"/>
              <w:spacing w:before="0" w:beforeAutospacing="0" w:after="0" w:afterAutospacing="0"/>
              <w:jc w:val="both"/>
              <w:textAlignment w:val="baseline"/>
              <w:rPr>
                <w:rFonts w:ascii="Cambria" w:eastAsia="MS Mincho" w:hAnsi="Cambria" w:cs="Calibri"/>
                <w:color w:val="000000" w:themeColor="text1"/>
                <w:sz w:val="18"/>
                <w:szCs w:val="18"/>
              </w:rPr>
            </w:pPr>
          </w:p>
          <w:p w14:paraId="308B5AEA" w14:textId="77777777" w:rsidR="0085609F" w:rsidRPr="00735067" w:rsidRDefault="0085609F" w:rsidP="0085609F">
            <w:pPr>
              <w:pStyle w:val="paragraph"/>
              <w:spacing w:before="0" w:beforeAutospacing="0" w:after="0" w:afterAutospacing="0"/>
              <w:jc w:val="both"/>
              <w:textAlignment w:val="baseline"/>
              <w:rPr>
                <w:rFonts w:ascii="Cambria" w:eastAsia="MS Mincho" w:hAnsi="Cambria" w:cs="Calibri"/>
                <w:color w:val="000000" w:themeColor="text1"/>
                <w:sz w:val="18"/>
                <w:szCs w:val="18"/>
              </w:rPr>
            </w:pPr>
          </w:p>
          <w:p w14:paraId="6D2B9BDF" w14:textId="77777777" w:rsidR="0085609F" w:rsidRPr="00735067" w:rsidRDefault="0085609F" w:rsidP="0085609F">
            <w:pPr>
              <w:pStyle w:val="paragraph"/>
              <w:spacing w:before="0" w:beforeAutospacing="0" w:after="0" w:afterAutospacing="0"/>
              <w:jc w:val="both"/>
              <w:textAlignment w:val="baseline"/>
              <w:rPr>
                <w:rFonts w:ascii="Cambria" w:eastAsia="MS Mincho" w:hAnsi="Cambria" w:cs="Calibri"/>
                <w:color w:val="000000" w:themeColor="text1"/>
                <w:sz w:val="18"/>
                <w:szCs w:val="18"/>
              </w:rPr>
            </w:pPr>
            <w:r w:rsidRPr="00735067">
              <w:rPr>
                <w:rFonts w:ascii="Cambria" w:eastAsia="MS Mincho" w:hAnsi="Cambria" w:cs="Calibri"/>
                <w:color w:val="000000" w:themeColor="text1"/>
                <w:sz w:val="18"/>
                <w:szCs w:val="18"/>
              </w:rPr>
              <w:t xml:space="preserve">The State reported on the presentation of the book "Justicia para Nuestras Hijas" (Justice for Our Daughters), the contents of which were agreed upon with Mrs. Norma Ledezma. </w:t>
            </w:r>
          </w:p>
        </w:tc>
        <w:tc>
          <w:tcPr>
            <w:tcW w:w="1350" w:type="dxa"/>
            <w:shd w:val="clear" w:color="auto" w:fill="D9D9D9"/>
            <w:vAlign w:val="center"/>
          </w:tcPr>
          <w:p w14:paraId="3D07A430" w14:textId="77777777" w:rsidR="0085609F" w:rsidRPr="00735067" w:rsidRDefault="0085609F" w:rsidP="0085609F">
            <w:pPr>
              <w:jc w:val="center"/>
              <w:rPr>
                <w:rFonts w:ascii="Cambria" w:eastAsia="MS Mincho" w:hAnsi="Cambria" w:cs="Calibri"/>
                <w:color w:val="000000" w:themeColor="text1"/>
                <w:sz w:val="18"/>
                <w:szCs w:val="18"/>
                <w:highlight w:val="yellow"/>
                <w:lang w:eastAsia="es-ES_tradnl"/>
              </w:rPr>
            </w:pPr>
            <w:r w:rsidRPr="00735067">
              <w:rPr>
                <w:rFonts w:ascii="Cambria" w:eastAsia="MS Mincho" w:hAnsi="Cambria" w:cs="Calibri"/>
                <w:color w:val="000000" w:themeColor="text1"/>
                <w:sz w:val="18"/>
                <w:szCs w:val="18"/>
                <w:lang w:eastAsia="es-ES_tradnl"/>
              </w:rPr>
              <w:t>Total</w:t>
            </w:r>
          </w:p>
        </w:tc>
      </w:tr>
    </w:tbl>
    <w:p w14:paraId="528EA113" w14:textId="77777777" w:rsidR="0096378F" w:rsidRPr="008E3CE9" w:rsidRDefault="0096378F" w:rsidP="0096378F">
      <w:pPr>
        <w:contextualSpacing/>
        <w:jc w:val="both"/>
        <w:rPr>
          <w:rFonts w:ascii="Cambria" w:hAnsi="Cambria" w:cs="Calibri"/>
          <w:color w:val="000000" w:themeColor="text1"/>
          <w:sz w:val="20"/>
          <w:szCs w:val="20"/>
        </w:rPr>
      </w:pPr>
    </w:p>
    <w:p w14:paraId="44C624F4" w14:textId="77777777" w:rsidR="0096378F" w:rsidRPr="008E3CE9" w:rsidRDefault="0096378F" w:rsidP="0096378F">
      <w:pPr>
        <w:contextualSpacing/>
        <w:jc w:val="both"/>
        <w:rPr>
          <w:rFonts w:ascii="Cambria" w:hAnsi="Cambria" w:cs="Calibri"/>
          <w:color w:val="000000" w:themeColor="text1"/>
          <w:sz w:val="20"/>
          <w:szCs w:val="20"/>
        </w:rPr>
      </w:pPr>
    </w:p>
    <w:p w14:paraId="00847053" w14:textId="77777777" w:rsidR="0096378F" w:rsidRPr="008E3CE9" w:rsidRDefault="0096378F" w:rsidP="00933F91">
      <w:pPr>
        <w:pStyle w:val="BodyText"/>
        <w:widowControl/>
        <w:numPr>
          <w:ilvl w:val="0"/>
          <w:numId w:val="58"/>
        </w:numPr>
        <w:ind w:left="0" w:firstLine="720"/>
        <w:jc w:val="both"/>
        <w:rPr>
          <w:rFonts w:cs="Calibri"/>
          <w:color w:val="000000" w:themeColor="text1"/>
        </w:rPr>
      </w:pPr>
      <w:r w:rsidRPr="009A7939">
        <w:rPr>
          <w:rFonts w:cs="Calibri"/>
          <w:color w:val="000000" w:themeColor="text1"/>
        </w:rPr>
        <w:t xml:space="preserve">The Commission appreciates the efforts of the States of Argentina, Brazil, Ecuador, and Mexico to determine full compliance with some of the recommendations issued in published merits reports or with respect to the clauses of the compliance agreements and welcomes the progress made in the implementation of these decisions. </w:t>
      </w:r>
      <w:r w:rsidRPr="008E3CE9">
        <w:rPr>
          <w:rFonts w:cs="Calibri"/>
          <w:color w:val="000000" w:themeColor="text1"/>
        </w:rPr>
        <w:t xml:space="preserve">The Commission reiterates that such compliance is crucial </w:t>
      </w:r>
      <w:r w:rsidRPr="008E3CE9">
        <w:rPr>
          <w:rFonts w:cs="Calibri"/>
          <w:color w:val="000000" w:themeColor="text1"/>
          <w:lang w:eastAsia="es-ES_tradnl"/>
        </w:rPr>
        <w:t xml:space="preserve">to </w:t>
      </w:r>
      <w:r w:rsidRPr="008E3CE9">
        <w:rPr>
          <w:rFonts w:cs="Calibri"/>
          <w:color w:val="000000" w:themeColor="text1"/>
        </w:rPr>
        <w:t xml:space="preserve">provide legitimacy to the Inter-American Human Rights System and to build trust and compliance with the principle of good faith as the basis for the fulfillment of international obligations by States. At the same time, the Commission takes this opportunity to urge all OAS Member States to comply with the recommendations issued in the merits reports published by the IACHR considering Article 51 of the ACHR, so that full compliance can be assessed, and progress can be made towards the cessation of monitoring of such matters.  </w:t>
      </w:r>
    </w:p>
    <w:p w14:paraId="73D5BECC" w14:textId="59892B59" w:rsidR="0096378F" w:rsidRPr="00B14D67" w:rsidRDefault="0096378F" w:rsidP="00933F91">
      <w:pPr>
        <w:pStyle w:val="Heading4"/>
        <w:numPr>
          <w:ilvl w:val="0"/>
          <w:numId w:val="76"/>
        </w:numPr>
        <w:spacing w:line="240" w:lineRule="auto"/>
        <w:ind w:left="0" w:firstLine="720"/>
        <w:jc w:val="both"/>
        <w:rPr>
          <w:rFonts w:ascii="Cambria" w:hAnsi="Cambria"/>
          <w:b/>
          <w:bCs/>
          <w:color w:val="000000" w:themeColor="text1"/>
          <w:sz w:val="20"/>
          <w:szCs w:val="20"/>
          <w:lang w:val="en-US"/>
        </w:rPr>
      </w:pPr>
      <w:r w:rsidRPr="00B14D67">
        <w:rPr>
          <w:rFonts w:ascii="Cambria" w:hAnsi="Cambria"/>
          <w:b/>
          <w:bCs/>
          <w:color w:val="000000" w:themeColor="text1"/>
          <w:sz w:val="20"/>
          <w:szCs w:val="20"/>
          <w:lang w:val="en-US"/>
        </w:rPr>
        <w:t>Cases with no information submitted in 2022</w:t>
      </w:r>
    </w:p>
    <w:p w14:paraId="6A057D1D" w14:textId="77777777" w:rsidR="0096378F" w:rsidRPr="009A7939" w:rsidRDefault="0096378F" w:rsidP="0096378F">
      <w:pPr>
        <w:ind w:left="720"/>
        <w:contextualSpacing/>
        <w:jc w:val="both"/>
        <w:rPr>
          <w:rFonts w:ascii="Cambria" w:hAnsi="Cambria" w:cs="Calibri"/>
          <w:b/>
          <w:color w:val="000000" w:themeColor="text1"/>
          <w:sz w:val="20"/>
          <w:szCs w:val="20"/>
        </w:rPr>
      </w:pPr>
    </w:p>
    <w:p w14:paraId="6F9DA137" w14:textId="77777777" w:rsidR="0096378F" w:rsidRDefault="0096378F" w:rsidP="00933F91">
      <w:pPr>
        <w:pStyle w:val="BodyText"/>
        <w:widowControl/>
        <w:numPr>
          <w:ilvl w:val="0"/>
          <w:numId w:val="58"/>
        </w:numPr>
        <w:ind w:left="0" w:firstLine="720"/>
        <w:jc w:val="both"/>
        <w:rPr>
          <w:rFonts w:cs="Calibri"/>
          <w:color w:val="000000" w:themeColor="text1"/>
        </w:rPr>
      </w:pPr>
      <w:r w:rsidRPr="009A7939">
        <w:rPr>
          <w:rFonts w:cs="Calibri"/>
          <w:color w:val="000000" w:themeColor="text1"/>
        </w:rPr>
        <w:t xml:space="preserve">The IACHR records </w:t>
      </w:r>
      <w:r w:rsidRPr="009A7939">
        <w:rPr>
          <w:rFonts w:cs="Calibri"/>
          <w:color w:val="000000" w:themeColor="text1"/>
          <w:lang w:eastAsia="es-ES_tradnl"/>
        </w:rPr>
        <w:t xml:space="preserve">the 41 </w:t>
      </w:r>
      <w:r w:rsidRPr="009A7939">
        <w:rPr>
          <w:rFonts w:cs="Calibri"/>
          <w:color w:val="000000" w:themeColor="text1"/>
        </w:rPr>
        <w:t xml:space="preserve">cases in which no information was received from any of the parties as of the closing date of this report: </w:t>
      </w:r>
    </w:p>
    <w:p w14:paraId="74F7F697" w14:textId="77777777" w:rsidR="00824DF3" w:rsidRPr="009A7939" w:rsidRDefault="00824DF3" w:rsidP="00824DF3">
      <w:pPr>
        <w:pStyle w:val="BodyText"/>
        <w:widowControl/>
        <w:ind w:left="720"/>
        <w:jc w:val="both"/>
        <w:rPr>
          <w:rFonts w:cs="Calibri"/>
          <w:color w:val="000000" w:themeColor="text1"/>
        </w:rPr>
      </w:pPr>
    </w:p>
    <w:p w14:paraId="0D3EB976" w14:textId="77777777" w:rsidR="0096378F" w:rsidRPr="00824DF3" w:rsidRDefault="0096378F" w:rsidP="00933F91">
      <w:pPr>
        <w:pStyle w:val="ListParagraph"/>
        <w:numPr>
          <w:ilvl w:val="0"/>
          <w:numId w:val="79"/>
        </w:numPr>
        <w:ind w:left="1440" w:hanging="630"/>
        <w:jc w:val="both"/>
        <w:rPr>
          <w:rFonts w:ascii="Cambria" w:hAnsi="Cambria" w:cs="Calibri"/>
          <w:color w:val="000000" w:themeColor="text1"/>
          <w:sz w:val="20"/>
          <w:szCs w:val="20"/>
        </w:rPr>
      </w:pPr>
      <w:r w:rsidRPr="00824DF3">
        <w:rPr>
          <w:rFonts w:ascii="Cambria" w:hAnsi="Cambria" w:cs="Calibri"/>
          <w:color w:val="000000" w:themeColor="text1"/>
          <w:sz w:val="20"/>
          <w:szCs w:val="20"/>
        </w:rPr>
        <w:t>Case 12.586, John Doe (Canada)</w:t>
      </w:r>
    </w:p>
    <w:p w14:paraId="3A5DAEB9" w14:textId="77777777" w:rsidR="0096378F" w:rsidRPr="00824DF3" w:rsidRDefault="0096378F" w:rsidP="00933F91">
      <w:pPr>
        <w:pStyle w:val="ListParagraph"/>
        <w:numPr>
          <w:ilvl w:val="0"/>
          <w:numId w:val="79"/>
        </w:numPr>
        <w:ind w:left="1440" w:hanging="630"/>
        <w:jc w:val="both"/>
        <w:rPr>
          <w:rFonts w:ascii="Cambria" w:hAnsi="Cambria" w:cs="Calibri"/>
          <w:color w:val="000000" w:themeColor="text1"/>
          <w:sz w:val="20"/>
          <w:szCs w:val="20"/>
        </w:rPr>
      </w:pPr>
      <w:r w:rsidRPr="00824DF3">
        <w:rPr>
          <w:rFonts w:ascii="Cambria" w:hAnsi="Cambria" w:cs="Calibri"/>
          <w:color w:val="000000" w:themeColor="text1"/>
          <w:sz w:val="20"/>
          <w:szCs w:val="20"/>
        </w:rPr>
        <w:lastRenderedPageBreak/>
        <w:t>Case 11.661, Manickavasagam Suresh (Canada)</w:t>
      </w:r>
    </w:p>
    <w:p w14:paraId="3704B44B"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lang w:val="fr-CA"/>
        </w:rPr>
      </w:pPr>
      <w:r w:rsidRPr="00824DF3">
        <w:rPr>
          <w:rFonts w:ascii="Cambria" w:eastAsia="MS Mincho" w:hAnsi="Cambria" w:cs="Calibri"/>
          <w:color w:val="000000" w:themeColor="text1"/>
          <w:sz w:val="20"/>
          <w:szCs w:val="20"/>
          <w:lang w:val="fr-CA"/>
        </w:rPr>
        <w:t>Case 12.713, José Rusbel Lara et al.</w:t>
      </w:r>
    </w:p>
    <w:p w14:paraId="4A8566DB" w14:textId="77777777" w:rsidR="0096378F" w:rsidRPr="00824DF3" w:rsidRDefault="0096378F" w:rsidP="00933F91">
      <w:pPr>
        <w:pStyle w:val="ListParagraph"/>
        <w:numPr>
          <w:ilvl w:val="0"/>
          <w:numId w:val="79"/>
        </w:numPr>
        <w:ind w:left="1440" w:hanging="630"/>
        <w:jc w:val="both"/>
        <w:rPr>
          <w:rFonts w:ascii="Cambria" w:hAnsi="Cambria" w:cs="Calibri"/>
          <w:bCs/>
          <w:color w:val="000000" w:themeColor="text1"/>
          <w:sz w:val="20"/>
          <w:szCs w:val="20"/>
          <w:lang w:val="es-MX"/>
        </w:rPr>
      </w:pPr>
      <w:r w:rsidRPr="00824DF3">
        <w:rPr>
          <w:rFonts w:ascii="Cambria" w:hAnsi="Cambria" w:cs="Calibri"/>
          <w:bCs/>
          <w:color w:val="000000" w:themeColor="text1"/>
          <w:sz w:val="20"/>
          <w:szCs w:val="20"/>
          <w:lang w:val="es-MX"/>
        </w:rPr>
        <w:t>Case 12.477, Lorenzo Enrique Copello Castillo et al.</w:t>
      </w:r>
    </w:p>
    <w:p w14:paraId="7AC7AF94" w14:textId="77777777" w:rsidR="0096378F" w:rsidRPr="00824DF3" w:rsidRDefault="0096378F" w:rsidP="00933F91">
      <w:pPr>
        <w:pStyle w:val="ListParagraph"/>
        <w:numPr>
          <w:ilvl w:val="0"/>
          <w:numId w:val="79"/>
        </w:numPr>
        <w:ind w:left="1440" w:hanging="630"/>
        <w:jc w:val="both"/>
        <w:rPr>
          <w:rFonts w:ascii="Cambria" w:hAnsi="Cambria" w:cs="Calibri"/>
          <w:bCs/>
          <w:color w:val="000000" w:themeColor="text1"/>
          <w:sz w:val="20"/>
          <w:szCs w:val="20"/>
          <w:lang w:val="es-MX"/>
        </w:rPr>
      </w:pPr>
      <w:r w:rsidRPr="00824DF3">
        <w:rPr>
          <w:rFonts w:ascii="Cambria" w:hAnsi="Cambria" w:cs="Calibri"/>
          <w:bCs/>
          <w:color w:val="000000" w:themeColor="text1"/>
          <w:sz w:val="20"/>
          <w:szCs w:val="20"/>
          <w:lang w:val="es-MX"/>
        </w:rPr>
        <w:t>Case 12.127, Valdimiro Roca Antunez et al.</w:t>
      </w:r>
    </w:p>
    <w:p w14:paraId="59A7C0AB" w14:textId="77777777" w:rsidR="0096378F" w:rsidRPr="00824DF3" w:rsidRDefault="0096378F" w:rsidP="00933F91">
      <w:pPr>
        <w:pStyle w:val="ListParagraph"/>
        <w:numPr>
          <w:ilvl w:val="0"/>
          <w:numId w:val="79"/>
        </w:numPr>
        <w:ind w:left="1440" w:hanging="630"/>
        <w:jc w:val="both"/>
        <w:rPr>
          <w:rFonts w:ascii="Cambria" w:hAnsi="Cambria" w:cs="Calibri"/>
          <w:bCs/>
          <w:color w:val="000000" w:themeColor="text1"/>
          <w:sz w:val="20"/>
          <w:szCs w:val="20"/>
          <w:lang w:val="es-MX"/>
        </w:rPr>
      </w:pPr>
      <w:r w:rsidRPr="00824DF3">
        <w:rPr>
          <w:rFonts w:ascii="Cambria" w:hAnsi="Cambria" w:cs="Calibri"/>
          <w:bCs/>
          <w:color w:val="000000" w:themeColor="text1"/>
          <w:sz w:val="20"/>
          <w:szCs w:val="20"/>
          <w:lang w:val="es-MX"/>
        </w:rPr>
        <w:t>Case 13.639, Yoani María Sánchez Cordero (Cuba)</w:t>
      </w:r>
    </w:p>
    <w:p w14:paraId="13973C5C"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9.903, Rafael Ferrer Mazorra et al. (United States)</w:t>
      </w:r>
    </w:p>
    <w:p w14:paraId="2BF35FE7"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12,243, Juan Raul Garza (United States)</w:t>
      </w:r>
    </w:p>
    <w:p w14:paraId="32B2E986"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11.193, Shaka Sankofa (United States)</w:t>
      </w:r>
    </w:p>
    <w:p w14:paraId="14B593E5"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11,331, Cesar Fierro (United States)</w:t>
      </w:r>
    </w:p>
    <w:p w14:paraId="14F78658"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12,240, Douglas Christopher Thomas (United States)</w:t>
      </w:r>
    </w:p>
    <w:p w14:paraId="76E9A2C0"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12,412, Napoleon Beazley (United States)</w:t>
      </w:r>
    </w:p>
    <w:p w14:paraId="7C159635"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12,430, Roberto Moreno Ramos (United States)</w:t>
      </w:r>
    </w:p>
    <w:p w14:paraId="63307633"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12,439, Toronto Markkey Patterson (United States)</w:t>
      </w:r>
    </w:p>
    <w:p w14:paraId="5533619C"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12,421, Javier Suarez Medina (United States)</w:t>
      </w:r>
    </w:p>
    <w:p w14:paraId="2F348AC5"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12,534, Andrea Mortlock (United States)</w:t>
      </w:r>
    </w:p>
    <w:p w14:paraId="0DBC6D07"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12.644, Medellín, Ramírez Cárdenas and Leal García (United States)</w:t>
      </w:r>
    </w:p>
    <w:p w14:paraId="10AF67A2"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12,626, Jessica Lenahan (United States)</w:t>
      </w:r>
    </w:p>
    <w:p w14:paraId="34276D45"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12,776, Jeffrey Timothy Landrigan (United States)</w:t>
      </w:r>
    </w:p>
    <w:p w14:paraId="6797CB7A"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11.575, 12.333 and 12.341, Clarence Allen Jackey et al.; Miguel Angel Flores, James Wilson Chambers (United States)</w:t>
      </w:r>
    </w:p>
    <w:p w14:paraId="4565F83D"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12,864, Ivan Teleguz (United States)</w:t>
      </w:r>
    </w:p>
    <w:p w14:paraId="73F10BBB"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12,422, Abu-Ali Abdur' Rahman (United States)</w:t>
      </w:r>
    </w:p>
    <w:p w14:paraId="015C0165"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12.873, Edgar Tamayo Arias (United States)</w:t>
      </w:r>
    </w:p>
    <w:p w14:paraId="41AE27EE"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12.833, Felix Rocha Diaz (United States)</w:t>
      </w:r>
    </w:p>
    <w:p w14:paraId="513E9DB1"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12,831, Kevin Cooper (United States)</w:t>
      </w:r>
    </w:p>
    <w:p w14:paraId="6A34787F"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12,994, Bernardo Aban Tercero (United States)</w:t>
      </w:r>
    </w:p>
    <w:p w14:paraId="79FFA13C"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12.834, Undocumented workers (United States)</w:t>
      </w:r>
    </w:p>
    <w:p w14:paraId="5ED979B9"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12,254, Victor Saldaño (United States)</w:t>
      </w:r>
    </w:p>
    <w:p w14:paraId="581FA305"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10.573 José Isabel Salas Galindo et al. (United States)</w:t>
      </w:r>
    </w:p>
    <w:p w14:paraId="50BDD779"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12,958 Russell Bucklew (United States)</w:t>
      </w:r>
    </w:p>
    <w:p w14:paraId="1E0022F0"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13.361, Julius Omar Robinson (United States)</w:t>
      </w:r>
    </w:p>
    <w:p w14:paraId="06490CD6"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12.719, Orlando Cordia Hall (United States)</w:t>
      </w:r>
    </w:p>
    <w:p w14:paraId="3B7E1155"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12,754, Nvwtohiyada Idehesdi Sequoyah (United States)</w:t>
      </w:r>
    </w:p>
    <w:p w14:paraId="6E6BCE6E"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Cases 11.826, 11.843, 11.846 and 11.847, Leroy Lamey, Kevin Mykoo, Milton Montique, and Dalton Daley (Jamaica)</w:t>
      </w:r>
    </w:p>
    <w:p w14:paraId="38DB4906"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12,069, Damion Thomas (Jamaica)</w:t>
      </w:r>
    </w:p>
    <w:p w14:paraId="4F8D36C8"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12,183, Joseph Thomas (Jamaica)</w:t>
      </w:r>
    </w:p>
    <w:p w14:paraId="777B7B0F"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12,275, Denton Aitken (Jamaica)</w:t>
      </w:r>
    </w:p>
    <w:p w14:paraId="572CD793"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12,347, Dave Sewell (Jamaica)</w:t>
      </w:r>
    </w:p>
    <w:p w14:paraId="6E56F63F"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12,417, Whitley Myrie (Jamaica)</w:t>
      </w:r>
    </w:p>
    <w:p w14:paraId="1931B28B"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12,418, Michael Gayle (Jamaica)</w:t>
      </w:r>
    </w:p>
    <w:p w14:paraId="229B4874" w14:textId="77777777" w:rsidR="0096378F" w:rsidRPr="00824DF3" w:rsidRDefault="0096378F" w:rsidP="00933F91">
      <w:pPr>
        <w:pStyle w:val="ListParagraph"/>
        <w:numPr>
          <w:ilvl w:val="0"/>
          <w:numId w:val="79"/>
        </w:numPr>
        <w:ind w:left="1440" w:hanging="630"/>
        <w:jc w:val="both"/>
        <w:rPr>
          <w:rFonts w:ascii="Cambria" w:eastAsia="MS Mincho" w:hAnsi="Cambria" w:cs="Calibri"/>
          <w:color w:val="000000" w:themeColor="text1"/>
          <w:sz w:val="20"/>
          <w:szCs w:val="20"/>
        </w:rPr>
      </w:pPr>
      <w:r w:rsidRPr="00824DF3">
        <w:rPr>
          <w:rFonts w:ascii="Cambria" w:eastAsia="MS Mincho" w:hAnsi="Cambria" w:cs="Calibri"/>
          <w:color w:val="000000" w:themeColor="text1"/>
          <w:sz w:val="20"/>
          <w:szCs w:val="20"/>
        </w:rPr>
        <w:t>Case 12,447, Derrick Tracey (Jamaica)</w:t>
      </w:r>
    </w:p>
    <w:p w14:paraId="3A374855" w14:textId="77777777" w:rsidR="0096378F" w:rsidRPr="008E3CE9" w:rsidRDefault="0096378F" w:rsidP="0096378F">
      <w:pPr>
        <w:contextualSpacing/>
        <w:jc w:val="both"/>
        <w:rPr>
          <w:rFonts w:ascii="Cambria" w:hAnsi="Cambria" w:cs="Calibri"/>
          <w:color w:val="000000" w:themeColor="text1"/>
          <w:sz w:val="20"/>
          <w:szCs w:val="20"/>
        </w:rPr>
      </w:pPr>
    </w:p>
    <w:p w14:paraId="75DEB593" w14:textId="77777777" w:rsidR="0096378F" w:rsidRPr="008E3CE9" w:rsidRDefault="0096378F" w:rsidP="00933F91">
      <w:pPr>
        <w:pStyle w:val="BodyText"/>
        <w:widowControl/>
        <w:numPr>
          <w:ilvl w:val="0"/>
          <w:numId w:val="58"/>
        </w:numPr>
        <w:ind w:left="0" w:firstLine="720"/>
        <w:jc w:val="both"/>
        <w:rPr>
          <w:rFonts w:cs="Calibri"/>
          <w:color w:val="000000" w:themeColor="text1"/>
        </w:rPr>
      </w:pPr>
      <w:r w:rsidRPr="008E3CE9">
        <w:rPr>
          <w:rFonts w:cs="Calibri"/>
          <w:color w:val="000000" w:themeColor="text1"/>
        </w:rPr>
        <w:t xml:space="preserve">The IACHR urges the parties to submit updated information on the actions taken by the State to comply with the recommendations issued by the Commission in these cases.  </w:t>
      </w:r>
    </w:p>
    <w:p w14:paraId="7BE8BA4A" w14:textId="5F874AFF" w:rsidR="0096378F" w:rsidRPr="00B14D67" w:rsidRDefault="0096378F" w:rsidP="00933F91">
      <w:pPr>
        <w:pStyle w:val="Heading4"/>
        <w:numPr>
          <w:ilvl w:val="0"/>
          <w:numId w:val="76"/>
        </w:numPr>
        <w:spacing w:line="240" w:lineRule="auto"/>
        <w:ind w:left="0" w:firstLine="720"/>
        <w:jc w:val="both"/>
        <w:rPr>
          <w:rFonts w:ascii="Cambria" w:eastAsiaTheme="minorHAnsi" w:hAnsi="Cambria" w:cs="Calibri"/>
          <w:b/>
          <w:color w:val="FF0000"/>
          <w:sz w:val="20"/>
          <w:szCs w:val="20"/>
          <w:lang w:val="en-US"/>
        </w:rPr>
      </w:pPr>
      <w:r w:rsidRPr="00B14D67">
        <w:rPr>
          <w:rFonts w:ascii="Cambria" w:hAnsi="Cambria"/>
          <w:b/>
          <w:bCs/>
          <w:color w:val="000000" w:themeColor="text1"/>
          <w:sz w:val="20"/>
          <w:szCs w:val="20"/>
          <w:lang w:val="en-US"/>
        </w:rPr>
        <w:t>New processes for tracking published merits reports</w:t>
      </w:r>
      <w:r w:rsidRPr="00B14D67">
        <w:rPr>
          <w:rFonts w:ascii="Cambria" w:eastAsiaTheme="minorHAnsi" w:hAnsi="Cambria" w:cs="Calibri"/>
          <w:b/>
          <w:color w:val="FF0000"/>
          <w:sz w:val="20"/>
          <w:szCs w:val="20"/>
          <w:lang w:val="en-US"/>
        </w:rPr>
        <w:t xml:space="preserve"> </w:t>
      </w:r>
    </w:p>
    <w:p w14:paraId="2A3FACAF" w14:textId="77777777" w:rsidR="0096378F" w:rsidRPr="008E3CE9" w:rsidRDefault="0096378F" w:rsidP="0096378F">
      <w:pPr>
        <w:contextualSpacing/>
        <w:jc w:val="both"/>
        <w:rPr>
          <w:rFonts w:ascii="Cambria" w:hAnsi="Cambria" w:cs="Calibri"/>
          <w:b/>
          <w:color w:val="FF0000"/>
          <w:sz w:val="20"/>
          <w:szCs w:val="20"/>
        </w:rPr>
      </w:pPr>
    </w:p>
    <w:p w14:paraId="67D07C87" w14:textId="77777777" w:rsidR="0096378F" w:rsidRPr="009A7939" w:rsidRDefault="0096378F" w:rsidP="00933F91">
      <w:pPr>
        <w:pStyle w:val="BodyText"/>
        <w:widowControl/>
        <w:numPr>
          <w:ilvl w:val="0"/>
          <w:numId w:val="58"/>
        </w:numPr>
        <w:ind w:left="0" w:firstLine="720"/>
        <w:jc w:val="both"/>
        <w:rPr>
          <w:rFonts w:cs="Calibri"/>
          <w:color w:val="000000" w:themeColor="text1"/>
        </w:rPr>
      </w:pPr>
      <w:r w:rsidRPr="009A7939">
        <w:rPr>
          <w:rFonts w:cs="Calibri"/>
          <w:color w:val="000000" w:themeColor="text1"/>
        </w:rPr>
        <w:t xml:space="preserve">The Commission </w:t>
      </w:r>
      <w:r w:rsidRPr="009A7939">
        <w:rPr>
          <w:rFonts w:cs="Calibri"/>
          <w:color w:val="000000" w:themeColor="text1"/>
          <w:lang w:eastAsia="es-ES_tradnl"/>
        </w:rPr>
        <w:t xml:space="preserve">announces </w:t>
      </w:r>
      <w:r w:rsidRPr="009A7939">
        <w:rPr>
          <w:rFonts w:cs="Calibri"/>
          <w:color w:val="000000" w:themeColor="text1"/>
        </w:rPr>
        <w:t xml:space="preserve">that 14 new cases have entered the follow-up stage for the first time through the IACHR Annual Report in 2022 (art. 48 of the Rules of Procedure): </w:t>
      </w:r>
    </w:p>
    <w:p w14:paraId="444647C5" w14:textId="77777777" w:rsidR="0096378F" w:rsidRPr="00AA6AE4" w:rsidRDefault="0096378F" w:rsidP="00933F91">
      <w:pPr>
        <w:pStyle w:val="ListParagraph"/>
        <w:numPr>
          <w:ilvl w:val="0"/>
          <w:numId w:val="78"/>
        </w:numPr>
        <w:ind w:left="1440" w:hanging="630"/>
        <w:jc w:val="both"/>
        <w:rPr>
          <w:rFonts w:ascii="Cambria" w:hAnsi="Cambria" w:cs="Calibri"/>
          <w:color w:val="000000" w:themeColor="text1"/>
          <w:sz w:val="20"/>
          <w:szCs w:val="20"/>
          <w:lang w:val="pt-BR"/>
        </w:rPr>
      </w:pPr>
      <w:r w:rsidRPr="00AA6AE4">
        <w:rPr>
          <w:rFonts w:ascii="Cambria" w:hAnsi="Cambria" w:cs="Calibri"/>
          <w:color w:val="000000" w:themeColor="text1"/>
          <w:sz w:val="20"/>
          <w:szCs w:val="20"/>
          <w:lang w:val="pt-BR"/>
        </w:rPr>
        <w:lastRenderedPageBreak/>
        <w:t xml:space="preserve">Case 12.721, </w:t>
      </w:r>
      <w:hyperlink r:id="rId201" w:tgtFrame="_blank" w:history="1">
        <w:r w:rsidRPr="00AA6AE4">
          <w:rPr>
            <w:rFonts w:ascii="Cambria" w:hAnsi="Cambria" w:cs="Calibri"/>
            <w:color w:val="000000" w:themeColor="text1"/>
            <w:sz w:val="20"/>
            <w:szCs w:val="20"/>
            <w:lang w:val="pt-BR"/>
          </w:rPr>
          <w:t>Report No. 460/21</w:t>
        </w:r>
      </w:hyperlink>
      <w:r w:rsidRPr="00AA6AE4">
        <w:rPr>
          <w:rFonts w:ascii="Cambria" w:hAnsi="Cambria" w:cs="Calibri"/>
          <w:color w:val="000000" w:themeColor="text1"/>
          <w:sz w:val="20"/>
          <w:szCs w:val="20"/>
          <w:lang w:val="pt-BR"/>
        </w:rPr>
        <w:t>, Angel Pedro Falanga (Argentina)</w:t>
      </w:r>
    </w:p>
    <w:p w14:paraId="573C2CA7" w14:textId="77777777" w:rsidR="0096378F" w:rsidRPr="00AA6AE4" w:rsidRDefault="0096378F" w:rsidP="00933F91">
      <w:pPr>
        <w:pStyle w:val="ListParagraph"/>
        <w:numPr>
          <w:ilvl w:val="0"/>
          <w:numId w:val="78"/>
        </w:numPr>
        <w:ind w:left="1440" w:hanging="630"/>
        <w:jc w:val="both"/>
        <w:rPr>
          <w:rFonts w:ascii="Cambria" w:hAnsi="Cambria" w:cs="Calibri"/>
          <w:color w:val="000000" w:themeColor="text1"/>
          <w:sz w:val="20"/>
          <w:szCs w:val="20"/>
          <w:lang w:val="es-MX"/>
        </w:rPr>
      </w:pPr>
      <w:r w:rsidRPr="00AA6AE4">
        <w:rPr>
          <w:rFonts w:ascii="Cambria" w:hAnsi="Cambria" w:cs="Calibri"/>
          <w:color w:val="000000" w:themeColor="text1"/>
          <w:sz w:val="20"/>
          <w:szCs w:val="20"/>
          <w:lang w:val="es-MX"/>
        </w:rPr>
        <w:t xml:space="preserve">Case 12.681, </w:t>
      </w:r>
      <w:hyperlink r:id="rId202" w:tgtFrame="_blank" w:history="1">
        <w:r w:rsidRPr="00AA6AE4">
          <w:rPr>
            <w:rFonts w:ascii="Cambria" w:hAnsi="Cambria" w:cs="Calibri"/>
            <w:color w:val="000000" w:themeColor="text1"/>
            <w:sz w:val="20"/>
            <w:szCs w:val="20"/>
            <w:lang w:val="es-MX"/>
          </w:rPr>
          <w:t>Report No. 268/21</w:t>
        </w:r>
      </w:hyperlink>
      <w:r w:rsidRPr="00AA6AE4">
        <w:rPr>
          <w:rFonts w:ascii="Cambria" w:hAnsi="Cambria" w:cs="Calibri"/>
          <w:color w:val="000000" w:themeColor="text1"/>
          <w:sz w:val="20"/>
          <w:szCs w:val="20"/>
          <w:lang w:val="es-MX"/>
        </w:rPr>
        <w:t>, Marcos Alejandro Martín (Argentina)</w:t>
      </w:r>
    </w:p>
    <w:p w14:paraId="3A89E593" w14:textId="77777777" w:rsidR="0096378F" w:rsidRPr="00AA6AE4" w:rsidRDefault="0096378F" w:rsidP="00933F91">
      <w:pPr>
        <w:pStyle w:val="ListParagraph"/>
        <w:numPr>
          <w:ilvl w:val="0"/>
          <w:numId w:val="78"/>
        </w:numPr>
        <w:ind w:left="1440" w:hanging="630"/>
        <w:jc w:val="both"/>
        <w:rPr>
          <w:rFonts w:ascii="Cambria" w:hAnsi="Cambria" w:cs="Calibri"/>
          <w:color w:val="000000" w:themeColor="text1"/>
          <w:sz w:val="20"/>
          <w:szCs w:val="20"/>
        </w:rPr>
      </w:pPr>
      <w:r w:rsidRPr="00AA6AE4">
        <w:rPr>
          <w:rFonts w:ascii="Cambria" w:hAnsi="Cambria" w:cs="Calibri"/>
          <w:color w:val="000000" w:themeColor="text1"/>
          <w:sz w:val="20"/>
          <w:szCs w:val="20"/>
        </w:rPr>
        <w:t xml:space="preserve">Case 12.071, </w:t>
      </w:r>
      <w:hyperlink r:id="rId203" w:tgtFrame="_blank" w:history="1">
        <w:r w:rsidRPr="00AA6AE4">
          <w:rPr>
            <w:rFonts w:ascii="Cambria" w:hAnsi="Cambria" w:cs="Calibri"/>
            <w:color w:val="000000" w:themeColor="text1"/>
            <w:sz w:val="20"/>
            <w:szCs w:val="20"/>
          </w:rPr>
          <w:t>Report No. 459/21</w:t>
        </w:r>
      </w:hyperlink>
      <w:r w:rsidRPr="00AA6AE4">
        <w:rPr>
          <w:rFonts w:ascii="Cambria" w:hAnsi="Cambria" w:cs="Calibri"/>
          <w:color w:val="000000" w:themeColor="text1"/>
          <w:sz w:val="20"/>
          <w:szCs w:val="20"/>
        </w:rPr>
        <w:t>, Cuban and Haitian nationals detained at Carmichael Road Detention Center and deported (Bahamas)</w:t>
      </w:r>
    </w:p>
    <w:p w14:paraId="57390940" w14:textId="77777777" w:rsidR="0096378F" w:rsidRPr="00AA6AE4" w:rsidRDefault="0096378F" w:rsidP="00933F91">
      <w:pPr>
        <w:pStyle w:val="ListParagraph"/>
        <w:numPr>
          <w:ilvl w:val="0"/>
          <w:numId w:val="78"/>
        </w:numPr>
        <w:ind w:left="1440" w:hanging="630"/>
        <w:jc w:val="both"/>
        <w:rPr>
          <w:rFonts w:ascii="Cambria" w:hAnsi="Cambria" w:cs="Calibri"/>
          <w:color w:val="000000" w:themeColor="text1"/>
          <w:sz w:val="20"/>
          <w:szCs w:val="20"/>
          <w:lang w:val="es-MX"/>
        </w:rPr>
      </w:pPr>
      <w:r w:rsidRPr="00AA6AE4">
        <w:rPr>
          <w:rFonts w:ascii="Cambria" w:hAnsi="Cambria" w:cs="Calibri"/>
          <w:color w:val="000000" w:themeColor="text1"/>
          <w:sz w:val="20"/>
          <w:szCs w:val="20"/>
          <w:lang w:val="es-MX"/>
        </w:rPr>
        <w:t xml:space="preserve">Case 12.880, </w:t>
      </w:r>
      <w:hyperlink r:id="rId204" w:tgtFrame="_blank" w:history="1">
        <w:r w:rsidRPr="00AA6AE4">
          <w:rPr>
            <w:rFonts w:ascii="Cambria" w:hAnsi="Cambria" w:cs="Calibri"/>
            <w:color w:val="000000" w:themeColor="text1"/>
            <w:sz w:val="20"/>
            <w:szCs w:val="20"/>
            <w:lang w:val="es-MX"/>
          </w:rPr>
          <w:t>Report No. 458/21</w:t>
        </w:r>
      </w:hyperlink>
      <w:r w:rsidRPr="00AA6AE4">
        <w:rPr>
          <w:rFonts w:ascii="Cambria" w:hAnsi="Cambria" w:cs="Calibri"/>
          <w:color w:val="000000" w:themeColor="text1"/>
          <w:sz w:val="20"/>
          <w:szCs w:val="20"/>
          <w:lang w:val="es-MX"/>
        </w:rPr>
        <w:t>, Edmundo Alex Lemun Saavedra et al.</w:t>
      </w:r>
    </w:p>
    <w:p w14:paraId="4224B5B7" w14:textId="77777777" w:rsidR="0096378F" w:rsidRPr="00AA6AE4" w:rsidRDefault="0096378F" w:rsidP="00933F91">
      <w:pPr>
        <w:pStyle w:val="ListParagraph"/>
        <w:numPr>
          <w:ilvl w:val="0"/>
          <w:numId w:val="78"/>
        </w:numPr>
        <w:ind w:left="1440" w:hanging="630"/>
        <w:jc w:val="both"/>
        <w:rPr>
          <w:rFonts w:ascii="Cambria" w:hAnsi="Cambria" w:cs="Calibri"/>
          <w:color w:val="000000" w:themeColor="text1"/>
          <w:sz w:val="20"/>
          <w:szCs w:val="20"/>
          <w:lang w:val="es-MX"/>
        </w:rPr>
      </w:pPr>
      <w:r w:rsidRPr="00AA6AE4">
        <w:rPr>
          <w:rFonts w:ascii="Cambria" w:hAnsi="Cambria" w:cs="Calibri"/>
          <w:color w:val="000000" w:themeColor="text1"/>
          <w:sz w:val="20"/>
          <w:szCs w:val="20"/>
          <w:lang w:val="es-MX"/>
        </w:rPr>
        <w:t xml:space="preserve">Case 13.639, </w:t>
      </w:r>
      <w:hyperlink r:id="rId205" w:tgtFrame="_blank" w:history="1">
        <w:r w:rsidRPr="00AA6AE4">
          <w:rPr>
            <w:rFonts w:ascii="Cambria" w:hAnsi="Cambria" w:cs="Calibri"/>
            <w:color w:val="000000" w:themeColor="text1"/>
            <w:sz w:val="20"/>
            <w:szCs w:val="20"/>
            <w:lang w:val="es-MX"/>
          </w:rPr>
          <w:t>Report No. 297/21</w:t>
        </w:r>
      </w:hyperlink>
      <w:r w:rsidRPr="00AA6AE4">
        <w:rPr>
          <w:rFonts w:ascii="Cambria" w:hAnsi="Cambria" w:cs="Calibri"/>
          <w:color w:val="000000" w:themeColor="text1"/>
          <w:sz w:val="20"/>
          <w:szCs w:val="20"/>
          <w:lang w:val="es-MX"/>
        </w:rPr>
        <w:t>, Yoani María Sánchez Cordero (Cuba)</w:t>
      </w:r>
    </w:p>
    <w:p w14:paraId="155C02AD" w14:textId="77777777" w:rsidR="0096378F" w:rsidRPr="00AA6AE4" w:rsidRDefault="0096378F" w:rsidP="00933F91">
      <w:pPr>
        <w:pStyle w:val="ListParagraph"/>
        <w:numPr>
          <w:ilvl w:val="0"/>
          <w:numId w:val="78"/>
        </w:numPr>
        <w:ind w:left="1440" w:hanging="630"/>
        <w:jc w:val="both"/>
        <w:rPr>
          <w:rFonts w:ascii="Cambria" w:hAnsi="Cambria" w:cs="Calibri"/>
          <w:color w:val="000000" w:themeColor="text1"/>
          <w:sz w:val="20"/>
          <w:szCs w:val="20"/>
          <w:lang w:val="es-MX"/>
        </w:rPr>
      </w:pPr>
      <w:r w:rsidRPr="00AA6AE4">
        <w:rPr>
          <w:rFonts w:ascii="Cambria" w:hAnsi="Cambria" w:cs="Calibri"/>
          <w:color w:val="000000" w:themeColor="text1"/>
          <w:sz w:val="20"/>
          <w:szCs w:val="20"/>
          <w:lang w:val="es-MX"/>
        </w:rPr>
        <w:t xml:space="preserve">Case 11.444, </w:t>
      </w:r>
      <w:hyperlink r:id="rId206" w:tgtFrame="_blank" w:history="1">
        <w:r w:rsidRPr="00AA6AE4">
          <w:rPr>
            <w:rFonts w:ascii="Cambria" w:hAnsi="Cambria" w:cs="Calibri"/>
            <w:color w:val="000000" w:themeColor="text1"/>
            <w:sz w:val="20"/>
            <w:szCs w:val="20"/>
            <w:lang w:val="es-MX"/>
          </w:rPr>
          <w:t>Report No. 457/21</w:t>
        </w:r>
      </w:hyperlink>
      <w:r w:rsidRPr="00AA6AE4">
        <w:rPr>
          <w:rFonts w:ascii="Cambria" w:hAnsi="Cambria" w:cs="Calibri"/>
          <w:color w:val="000000" w:themeColor="text1"/>
          <w:sz w:val="20"/>
          <w:szCs w:val="20"/>
          <w:lang w:val="es-MX"/>
        </w:rPr>
        <w:t>, Amparo Constante Merizalde (Ecuador)</w:t>
      </w:r>
    </w:p>
    <w:p w14:paraId="05DF6E7C" w14:textId="77777777" w:rsidR="0096378F" w:rsidRPr="00AA6AE4" w:rsidRDefault="0096378F" w:rsidP="00933F91">
      <w:pPr>
        <w:pStyle w:val="ListParagraph"/>
        <w:numPr>
          <w:ilvl w:val="0"/>
          <w:numId w:val="78"/>
        </w:numPr>
        <w:ind w:left="1440" w:hanging="630"/>
        <w:jc w:val="both"/>
        <w:rPr>
          <w:rFonts w:ascii="Cambria" w:hAnsi="Cambria" w:cs="Calibri"/>
          <w:color w:val="000000" w:themeColor="text1"/>
          <w:sz w:val="20"/>
          <w:szCs w:val="20"/>
          <w:lang w:val="es-MX"/>
        </w:rPr>
      </w:pPr>
      <w:r w:rsidRPr="00AA6AE4">
        <w:rPr>
          <w:rFonts w:ascii="Cambria" w:hAnsi="Cambria" w:cs="Calibri"/>
          <w:color w:val="000000" w:themeColor="text1"/>
          <w:sz w:val="20"/>
          <w:szCs w:val="20"/>
          <w:lang w:val="es-MX"/>
        </w:rPr>
        <w:t xml:space="preserve">Case 12.931, </w:t>
      </w:r>
      <w:hyperlink r:id="rId207" w:tgtFrame="_blank" w:history="1">
        <w:r w:rsidRPr="00AA6AE4">
          <w:rPr>
            <w:rFonts w:ascii="Cambria" w:hAnsi="Cambria" w:cs="Calibri"/>
            <w:color w:val="000000" w:themeColor="text1"/>
            <w:sz w:val="20"/>
            <w:szCs w:val="20"/>
            <w:lang w:val="es-MX"/>
          </w:rPr>
          <w:t>Report No. 328/21</w:t>
        </w:r>
      </w:hyperlink>
      <w:r w:rsidRPr="00AA6AE4">
        <w:rPr>
          <w:rFonts w:ascii="Cambria" w:hAnsi="Cambria" w:cs="Calibri"/>
          <w:color w:val="000000" w:themeColor="text1"/>
          <w:sz w:val="20"/>
          <w:szCs w:val="20"/>
          <w:lang w:val="es-MX"/>
        </w:rPr>
        <w:t>, Daría Olinda Puertocarrero Hurtado (Ecuador)</w:t>
      </w:r>
    </w:p>
    <w:p w14:paraId="679E3109" w14:textId="77777777" w:rsidR="0096378F" w:rsidRPr="00AA6AE4" w:rsidRDefault="0096378F" w:rsidP="00933F91">
      <w:pPr>
        <w:pStyle w:val="ListParagraph"/>
        <w:numPr>
          <w:ilvl w:val="0"/>
          <w:numId w:val="78"/>
        </w:numPr>
        <w:ind w:left="1440" w:hanging="630"/>
        <w:jc w:val="both"/>
        <w:rPr>
          <w:rFonts w:ascii="Cambria" w:hAnsi="Cambria" w:cs="Calibri"/>
          <w:color w:val="000000" w:themeColor="text1"/>
          <w:sz w:val="20"/>
          <w:szCs w:val="20"/>
        </w:rPr>
      </w:pPr>
      <w:r w:rsidRPr="00AA6AE4">
        <w:rPr>
          <w:rFonts w:ascii="Cambria" w:hAnsi="Cambria" w:cs="Calibri"/>
          <w:color w:val="000000" w:themeColor="text1"/>
          <w:sz w:val="20"/>
          <w:szCs w:val="20"/>
        </w:rPr>
        <w:t xml:space="preserve">Case 12.505, </w:t>
      </w:r>
      <w:hyperlink r:id="rId208" w:tgtFrame="_blank" w:history="1">
        <w:r w:rsidRPr="00AA6AE4">
          <w:rPr>
            <w:rFonts w:ascii="Cambria" w:hAnsi="Cambria" w:cs="Calibri"/>
            <w:color w:val="000000" w:themeColor="text1"/>
            <w:sz w:val="20"/>
            <w:szCs w:val="20"/>
          </w:rPr>
          <w:t>Report No. 462/21</w:t>
        </w:r>
      </w:hyperlink>
      <w:r w:rsidRPr="00AA6AE4">
        <w:rPr>
          <w:rFonts w:ascii="Cambria" w:hAnsi="Cambria" w:cs="Calibri"/>
          <w:color w:val="000000" w:themeColor="text1"/>
          <w:sz w:val="20"/>
          <w:szCs w:val="20"/>
        </w:rPr>
        <w:t>, Marlin Gray (United States)</w:t>
      </w:r>
    </w:p>
    <w:p w14:paraId="3ACC03A1" w14:textId="77777777" w:rsidR="0096378F" w:rsidRPr="00AA6AE4" w:rsidRDefault="0096378F" w:rsidP="00933F91">
      <w:pPr>
        <w:pStyle w:val="ListParagraph"/>
        <w:numPr>
          <w:ilvl w:val="0"/>
          <w:numId w:val="78"/>
        </w:numPr>
        <w:ind w:left="1440" w:hanging="630"/>
        <w:jc w:val="both"/>
        <w:rPr>
          <w:rFonts w:ascii="Cambria" w:hAnsi="Cambria" w:cs="Calibri"/>
          <w:color w:val="000000" w:themeColor="text1"/>
          <w:sz w:val="20"/>
          <w:szCs w:val="20"/>
        </w:rPr>
      </w:pPr>
      <w:r w:rsidRPr="00AA6AE4">
        <w:rPr>
          <w:rFonts w:ascii="Cambria" w:hAnsi="Cambria" w:cs="Calibri"/>
          <w:color w:val="000000" w:themeColor="text1"/>
          <w:sz w:val="20"/>
          <w:szCs w:val="20"/>
        </w:rPr>
        <w:t xml:space="preserve">Case 13.394, </w:t>
      </w:r>
      <w:hyperlink r:id="rId209" w:tgtFrame="_blank" w:history="1">
        <w:r w:rsidRPr="00AA6AE4">
          <w:rPr>
            <w:rFonts w:ascii="Cambria" w:hAnsi="Cambria" w:cs="Calibri"/>
            <w:color w:val="000000" w:themeColor="text1"/>
            <w:sz w:val="20"/>
            <w:szCs w:val="20"/>
          </w:rPr>
          <w:t>Report No. 461/21</w:t>
        </w:r>
      </w:hyperlink>
      <w:r w:rsidRPr="00AA6AE4">
        <w:rPr>
          <w:rFonts w:ascii="Cambria" w:hAnsi="Cambria" w:cs="Calibri"/>
          <w:color w:val="000000" w:themeColor="text1"/>
          <w:sz w:val="20"/>
          <w:szCs w:val="20"/>
        </w:rPr>
        <w:t>, Pete Carl Rogovich (United States)</w:t>
      </w:r>
    </w:p>
    <w:p w14:paraId="3FB41DC4" w14:textId="77777777" w:rsidR="0096378F" w:rsidRPr="00AA6AE4" w:rsidRDefault="0096378F" w:rsidP="00933F91">
      <w:pPr>
        <w:pStyle w:val="ListParagraph"/>
        <w:numPr>
          <w:ilvl w:val="0"/>
          <w:numId w:val="78"/>
        </w:numPr>
        <w:ind w:left="1440" w:hanging="630"/>
        <w:jc w:val="both"/>
        <w:rPr>
          <w:rFonts w:ascii="Cambria" w:hAnsi="Cambria" w:cs="Calibri"/>
          <w:color w:val="000000" w:themeColor="text1"/>
          <w:sz w:val="20"/>
          <w:szCs w:val="20"/>
        </w:rPr>
      </w:pPr>
      <w:r w:rsidRPr="00AA6AE4">
        <w:rPr>
          <w:rFonts w:ascii="Cambria" w:hAnsi="Cambria" w:cs="Calibri"/>
          <w:color w:val="000000" w:themeColor="text1"/>
          <w:sz w:val="20"/>
          <w:szCs w:val="20"/>
        </w:rPr>
        <w:t xml:space="preserve">Case 13.829, </w:t>
      </w:r>
      <w:hyperlink r:id="rId210" w:tgtFrame="_blank" w:history="1">
        <w:r w:rsidRPr="00AA6AE4">
          <w:rPr>
            <w:rFonts w:ascii="Cambria" w:hAnsi="Cambria" w:cs="Calibri"/>
            <w:color w:val="000000" w:themeColor="text1"/>
            <w:sz w:val="20"/>
            <w:szCs w:val="20"/>
          </w:rPr>
          <w:t>Report No. 456/21</w:t>
        </w:r>
      </w:hyperlink>
      <w:r w:rsidRPr="00AA6AE4">
        <w:rPr>
          <w:rFonts w:ascii="Cambria" w:hAnsi="Cambria" w:cs="Calibri"/>
          <w:color w:val="000000" w:themeColor="text1"/>
          <w:sz w:val="20"/>
          <w:szCs w:val="20"/>
        </w:rPr>
        <w:t>, Ramiro Ibarra Rubi (United States)</w:t>
      </w:r>
    </w:p>
    <w:p w14:paraId="7BE6BFB7" w14:textId="77777777" w:rsidR="0096378F" w:rsidRPr="00AA6AE4" w:rsidRDefault="0096378F" w:rsidP="00933F91">
      <w:pPr>
        <w:pStyle w:val="ListParagraph"/>
        <w:numPr>
          <w:ilvl w:val="0"/>
          <w:numId w:val="78"/>
        </w:numPr>
        <w:ind w:left="1440" w:hanging="630"/>
        <w:jc w:val="both"/>
        <w:rPr>
          <w:rFonts w:ascii="Cambria" w:hAnsi="Cambria" w:cs="Calibri"/>
          <w:color w:val="000000" w:themeColor="text1"/>
          <w:sz w:val="20"/>
          <w:szCs w:val="20"/>
        </w:rPr>
      </w:pPr>
      <w:r w:rsidRPr="00AA6AE4">
        <w:rPr>
          <w:rFonts w:ascii="Cambria" w:hAnsi="Cambria" w:cs="Calibri"/>
          <w:color w:val="000000" w:themeColor="text1"/>
          <w:sz w:val="20"/>
          <w:szCs w:val="20"/>
        </w:rPr>
        <w:t xml:space="preserve">Case 12.832, </w:t>
      </w:r>
      <w:hyperlink r:id="rId211" w:tgtFrame="_blank" w:history="1">
        <w:r w:rsidRPr="00AA6AE4">
          <w:rPr>
            <w:rFonts w:ascii="Cambria" w:hAnsi="Cambria" w:cs="Calibri"/>
            <w:color w:val="000000" w:themeColor="text1"/>
            <w:sz w:val="20"/>
            <w:szCs w:val="20"/>
          </w:rPr>
          <w:t>Report No. 455/21</w:t>
        </w:r>
      </w:hyperlink>
      <w:r w:rsidRPr="00AA6AE4">
        <w:rPr>
          <w:rFonts w:ascii="Cambria" w:hAnsi="Cambria" w:cs="Calibri"/>
          <w:color w:val="000000" w:themeColor="text1"/>
          <w:sz w:val="20"/>
          <w:szCs w:val="20"/>
        </w:rPr>
        <w:t>, Gregory Thompson (United States)</w:t>
      </w:r>
    </w:p>
    <w:p w14:paraId="5E55D5AD" w14:textId="77777777" w:rsidR="0096378F" w:rsidRPr="00AA6AE4" w:rsidRDefault="0096378F" w:rsidP="00933F91">
      <w:pPr>
        <w:pStyle w:val="ListParagraph"/>
        <w:numPr>
          <w:ilvl w:val="0"/>
          <w:numId w:val="78"/>
        </w:numPr>
        <w:ind w:left="1440" w:hanging="630"/>
        <w:jc w:val="both"/>
        <w:rPr>
          <w:rFonts w:ascii="Cambria" w:hAnsi="Cambria" w:cs="Calibri"/>
          <w:color w:val="000000" w:themeColor="text1"/>
          <w:sz w:val="20"/>
          <w:szCs w:val="20"/>
        </w:rPr>
      </w:pPr>
      <w:r w:rsidRPr="00AA6AE4">
        <w:rPr>
          <w:rFonts w:ascii="Cambria" w:hAnsi="Cambria" w:cs="Calibri"/>
          <w:color w:val="000000" w:themeColor="text1"/>
          <w:sz w:val="20"/>
          <w:szCs w:val="20"/>
        </w:rPr>
        <w:t xml:space="preserve">Case 13.339, </w:t>
      </w:r>
      <w:hyperlink r:id="rId212" w:tgtFrame="_blank" w:history="1">
        <w:r w:rsidRPr="00AA6AE4">
          <w:rPr>
            <w:rFonts w:ascii="Cambria" w:hAnsi="Cambria" w:cs="Calibri"/>
            <w:color w:val="000000" w:themeColor="text1"/>
            <w:sz w:val="20"/>
            <w:szCs w:val="20"/>
          </w:rPr>
          <w:t>Report No. 453/21</w:t>
        </w:r>
      </w:hyperlink>
      <w:r w:rsidRPr="00AA6AE4">
        <w:rPr>
          <w:rFonts w:ascii="Cambria" w:hAnsi="Cambria" w:cs="Calibri"/>
          <w:color w:val="000000" w:themeColor="text1"/>
          <w:sz w:val="20"/>
          <w:szCs w:val="20"/>
        </w:rPr>
        <w:t>, Manuel Valle (United States)</w:t>
      </w:r>
    </w:p>
    <w:p w14:paraId="1DF333FA" w14:textId="77777777" w:rsidR="0096378F" w:rsidRPr="00AA6AE4" w:rsidRDefault="0096378F" w:rsidP="00933F91">
      <w:pPr>
        <w:pStyle w:val="ListParagraph"/>
        <w:numPr>
          <w:ilvl w:val="0"/>
          <w:numId w:val="78"/>
        </w:numPr>
        <w:ind w:left="1440" w:hanging="630"/>
        <w:jc w:val="both"/>
        <w:rPr>
          <w:rFonts w:ascii="Cambria" w:hAnsi="Cambria" w:cs="Calibri"/>
          <w:color w:val="000000" w:themeColor="text1"/>
          <w:sz w:val="20"/>
          <w:szCs w:val="20"/>
        </w:rPr>
      </w:pPr>
      <w:r w:rsidRPr="00AA6AE4">
        <w:rPr>
          <w:rFonts w:ascii="Cambria" w:hAnsi="Cambria" w:cs="Calibri"/>
          <w:color w:val="000000" w:themeColor="text1"/>
          <w:sz w:val="20"/>
          <w:szCs w:val="20"/>
        </w:rPr>
        <w:t xml:space="preserve">Case 13.478, </w:t>
      </w:r>
      <w:hyperlink r:id="rId213" w:tgtFrame="_blank" w:history="1">
        <w:r w:rsidRPr="00AA6AE4">
          <w:rPr>
            <w:rFonts w:ascii="Cambria" w:hAnsi="Cambria" w:cs="Calibri"/>
            <w:color w:val="000000" w:themeColor="text1"/>
            <w:sz w:val="20"/>
            <w:szCs w:val="20"/>
          </w:rPr>
          <w:t>Report No. 451/21</w:t>
        </w:r>
      </w:hyperlink>
      <w:r w:rsidRPr="00AA6AE4">
        <w:rPr>
          <w:rFonts w:ascii="Cambria" w:hAnsi="Cambria" w:cs="Calibri"/>
          <w:color w:val="000000" w:themeColor="text1"/>
          <w:sz w:val="20"/>
          <w:szCs w:val="20"/>
        </w:rPr>
        <w:t>, Jose Trinidad Loza Ventura (United States)</w:t>
      </w:r>
    </w:p>
    <w:p w14:paraId="161DC767" w14:textId="77777777" w:rsidR="0096378F" w:rsidRPr="00AA6AE4" w:rsidRDefault="0096378F" w:rsidP="00933F91">
      <w:pPr>
        <w:pStyle w:val="ListParagraph"/>
        <w:numPr>
          <w:ilvl w:val="0"/>
          <w:numId w:val="78"/>
        </w:numPr>
        <w:ind w:left="1440" w:hanging="630"/>
        <w:jc w:val="both"/>
        <w:rPr>
          <w:rFonts w:ascii="Cambria" w:hAnsi="Cambria" w:cs="Calibri"/>
          <w:color w:val="000000" w:themeColor="text1"/>
          <w:sz w:val="20"/>
          <w:szCs w:val="20"/>
        </w:rPr>
      </w:pPr>
      <w:r w:rsidRPr="00AA6AE4">
        <w:rPr>
          <w:rFonts w:ascii="Cambria" w:hAnsi="Cambria" w:cs="Calibri"/>
          <w:color w:val="000000" w:themeColor="text1"/>
          <w:sz w:val="20"/>
          <w:szCs w:val="20"/>
        </w:rPr>
        <w:t xml:space="preserve">Case 12.871, </w:t>
      </w:r>
      <w:hyperlink r:id="rId214" w:tgtFrame="_blank" w:history="1">
        <w:r w:rsidRPr="00AA6AE4">
          <w:rPr>
            <w:rFonts w:ascii="Cambria" w:hAnsi="Cambria" w:cs="Calibri"/>
            <w:color w:val="000000" w:themeColor="text1"/>
            <w:sz w:val="20"/>
            <w:szCs w:val="20"/>
          </w:rPr>
          <w:t>Report No. 333/21</w:t>
        </w:r>
      </w:hyperlink>
      <w:r w:rsidRPr="00AA6AE4">
        <w:rPr>
          <w:rFonts w:ascii="Cambria" w:hAnsi="Cambria" w:cs="Calibri"/>
          <w:color w:val="000000" w:themeColor="text1"/>
          <w:sz w:val="20"/>
          <w:szCs w:val="20"/>
        </w:rPr>
        <w:t>, Virgilio Maldonado Rodriguez (United States)</w:t>
      </w:r>
    </w:p>
    <w:p w14:paraId="0F777C22" w14:textId="77777777" w:rsidR="0096378F" w:rsidRPr="009A7939" w:rsidRDefault="0096378F" w:rsidP="0096378F">
      <w:pPr>
        <w:contextualSpacing/>
        <w:jc w:val="both"/>
        <w:rPr>
          <w:rFonts w:ascii="Cambria" w:hAnsi="Cambria" w:cs="Calibri"/>
          <w:i/>
          <w:color w:val="000000" w:themeColor="text1"/>
          <w:sz w:val="20"/>
          <w:szCs w:val="20"/>
        </w:rPr>
      </w:pPr>
    </w:p>
    <w:p w14:paraId="75E1E34A" w14:textId="77777777" w:rsidR="0096378F" w:rsidRPr="008E3CE9" w:rsidRDefault="0096378F" w:rsidP="00933F91">
      <w:pPr>
        <w:pStyle w:val="BodyText"/>
        <w:widowControl/>
        <w:numPr>
          <w:ilvl w:val="0"/>
          <w:numId w:val="58"/>
        </w:numPr>
        <w:ind w:left="0" w:firstLine="720"/>
        <w:jc w:val="both"/>
        <w:rPr>
          <w:color w:val="000000" w:themeColor="text1"/>
        </w:rPr>
      </w:pPr>
      <w:r w:rsidRPr="009A7939">
        <w:rPr>
          <w:rFonts w:eastAsia="MS Mincho" w:cs="Calibri"/>
          <w:color w:val="000000" w:themeColor="text1"/>
          <w:lang w:eastAsia="es-ES_tradnl"/>
        </w:rPr>
        <w:t xml:space="preserve">The IACHR thanks the parties for the information provided in the framework of the follow-up of the recommendations until publication in 2022 and informs that it will continue to improve its follow-up processes to strengthen observance of the recommendations established </w:t>
      </w:r>
      <w:r w:rsidRPr="008E3CE9">
        <w:rPr>
          <w:rFonts w:eastAsia="MS Mincho" w:cs="Calibri"/>
          <w:color w:val="000000" w:themeColor="text1"/>
          <w:lang w:eastAsia="es-ES_tradnl"/>
        </w:rPr>
        <w:t>in its merits reports (art. 51).</w:t>
      </w:r>
    </w:p>
    <w:p w14:paraId="4ECF63BF" w14:textId="77777777" w:rsidR="00E404D8" w:rsidRPr="00AA6AE4" w:rsidRDefault="00E404D8" w:rsidP="00AA6AE4">
      <w:pPr>
        <w:pBdr>
          <w:top w:val="nil"/>
          <w:left w:val="nil"/>
          <w:bottom w:val="nil"/>
          <w:right w:val="nil"/>
          <w:between w:val="nil"/>
          <w:bar w:val="nil"/>
        </w:pBdr>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p>
    <w:p w14:paraId="640A0D5E" w14:textId="6F8B460A" w:rsidR="008668B8" w:rsidRPr="002957D9" w:rsidRDefault="008668B8" w:rsidP="00933F91">
      <w:pPr>
        <w:pStyle w:val="ListParagraph"/>
        <w:numPr>
          <w:ilvl w:val="0"/>
          <w:numId w:val="52"/>
        </w:numPr>
        <w:pBdr>
          <w:top w:val="nil"/>
          <w:left w:val="nil"/>
          <w:bottom w:val="nil"/>
          <w:right w:val="nil"/>
          <w:between w:val="nil"/>
          <w:bar w:val="nil"/>
        </w:pBdr>
        <w:ind w:hanging="720"/>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r w:rsidRPr="002957D9">
        <w:rPr>
          <w:rFonts w:ascii="Cambria" w:eastAsiaTheme="majorEastAsia" w:hAnsi="Cambria" w:cstheme="majorBidi"/>
          <w:b/>
          <w:bCs/>
          <w:sz w:val="22"/>
          <w:szCs w:val="22"/>
          <w:u w:color="000000"/>
          <w:bdr w:val="nil"/>
        </w:rPr>
        <w:t>Precautionary Measures</w:t>
      </w:r>
    </w:p>
    <w:p w14:paraId="33004E5B" w14:textId="77777777" w:rsidR="008668B8" w:rsidRPr="00E93F0B" w:rsidRDefault="008668B8" w:rsidP="008668B8">
      <w:pPr>
        <w:pBdr>
          <w:top w:val="nil"/>
          <w:left w:val="nil"/>
          <w:bottom w:val="nil"/>
          <w:right w:val="nil"/>
          <w:between w:val="nil"/>
          <w:bar w:val="nil"/>
        </w:pBdr>
        <w:jc w:val="both"/>
        <w:rPr>
          <w:rFonts w:ascii="Cambria" w:eastAsia="Cambria" w:hAnsi="Cambria" w:cs="Cambria"/>
          <w:color w:val="000000"/>
          <w:sz w:val="20"/>
          <w:szCs w:val="20"/>
          <w:u w:color="000000"/>
          <w:bdr w:val="nil"/>
          <w14:textOutline w14:w="0" w14:cap="flat" w14:cmpd="sng" w14:algn="ctr">
            <w14:noFill/>
            <w14:prstDash w14:val="solid"/>
            <w14:bevel/>
          </w14:textOutline>
        </w:rPr>
      </w:pPr>
    </w:p>
    <w:p w14:paraId="70AFCAB4" w14:textId="77777777" w:rsidR="008668B8" w:rsidRPr="00D97145" w:rsidRDefault="008668B8" w:rsidP="00933F91">
      <w:pPr>
        <w:pStyle w:val="BodyText"/>
        <w:widowControl/>
        <w:numPr>
          <w:ilvl w:val="0"/>
          <w:numId w:val="58"/>
        </w:numPr>
        <w:ind w:left="0" w:firstLine="720"/>
        <w:jc w:val="both"/>
        <w:rPr>
          <w:rFonts w:eastAsia="MS Mincho" w:cs="Calibri"/>
          <w:color w:val="000000" w:themeColor="text1"/>
          <w:lang w:eastAsia="es-ES_tradnl"/>
        </w:rPr>
      </w:pPr>
      <w:r w:rsidRPr="00D97145">
        <w:rPr>
          <w:rFonts w:eastAsia="MS Mincho" w:cs="Calibri"/>
          <w:color w:val="000000" w:themeColor="text1"/>
          <w:lang w:eastAsia="es-ES_tradnl"/>
        </w:rPr>
        <w:t>Precautionary measures in the inter-American human rights system are a protection mechanism of the Inter-American Commission on Human Rights (IACHR), whereby the Commission asks a State to protect one or more persons who are in situation that entails serious and urgent risk of suffering irreparable harm. Any person or organization may apply for a precautionary measure on behalf of an identified or identifiable person or group of persons who are in a situation of risk.</w:t>
      </w:r>
    </w:p>
    <w:p w14:paraId="23004963" w14:textId="77777777" w:rsidR="008668B8" w:rsidRPr="00D97145" w:rsidRDefault="008668B8" w:rsidP="00D97145">
      <w:pPr>
        <w:pStyle w:val="BodyText"/>
        <w:widowControl/>
        <w:ind w:left="720"/>
        <w:jc w:val="both"/>
        <w:rPr>
          <w:rFonts w:eastAsia="MS Mincho" w:cs="Calibri"/>
          <w:color w:val="000000" w:themeColor="text1"/>
          <w:lang w:eastAsia="es-ES_tradnl"/>
        </w:rPr>
      </w:pPr>
    </w:p>
    <w:p w14:paraId="5D0C2751" w14:textId="77777777" w:rsidR="008668B8" w:rsidRPr="00ED63A8"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sidRPr="00D97145">
        <w:rPr>
          <w:rFonts w:eastAsia="MS Mincho" w:cs="Calibri"/>
          <w:color w:val="000000" w:themeColor="text1"/>
          <w:lang w:eastAsia="es-ES_tradnl"/>
        </w:rPr>
        <w:t>The mechanism of precautionary measures has a history of more than four decades in the inter-American system and has been used as an effective tool for protecting the fundamental rights of the inhabitants of the States that fall under the jurisdiction of the Inter-American Commission. The IACHR power to request the adoption of urgent actions or issue precautionary measures reflects common practice in international human rights law. In the region’s particular context, it has operated as an effective protection and prevention instrument in response to the possibility of serious and irreparable harm to persons or groups of persons facing imminent</w:t>
      </w:r>
      <w:r w:rsidRPr="002856E8">
        <w:rPr>
          <w:rFonts w:eastAsia="Calibri" w:cs="Calibri"/>
          <w:color w:val="000000"/>
          <w:bdr w:val="nil"/>
          <w14:textOutline w14:w="0" w14:cap="flat" w14:cmpd="sng" w14:algn="ctr">
            <w14:noFill/>
            <w14:prstDash w14:val="solid"/>
            <w14:bevel/>
          </w14:textOutline>
        </w:rPr>
        <w:t xml:space="preserve"> situations of risk</w:t>
      </w:r>
      <w:r w:rsidRPr="00ED63A8">
        <w:rPr>
          <w:rFonts w:eastAsia="Calibri" w:cs="Calibri"/>
          <w:color w:val="000000"/>
          <w:bdr w:val="nil"/>
          <w14:textOutline w14:w="0" w14:cap="flat" w14:cmpd="sng" w14:algn="ctr">
            <w14:noFill/>
            <w14:prstDash w14:val="solid"/>
            <w14:bevel/>
          </w14:textOutline>
        </w:rPr>
        <w:t>.</w:t>
      </w:r>
    </w:p>
    <w:p w14:paraId="364D2BCA" w14:textId="77777777" w:rsidR="008668B8" w:rsidRPr="00ED63A8" w:rsidRDefault="008668B8" w:rsidP="00ED63A8">
      <w:pPr>
        <w:pBdr>
          <w:top w:val="nil"/>
          <w:left w:val="nil"/>
          <w:bottom w:val="nil"/>
          <w:right w:val="nil"/>
          <w:between w:val="nil"/>
          <w:bar w:val="nil"/>
        </w:pBdr>
        <w:ind w:left="720"/>
        <w:jc w:val="both"/>
        <w:rPr>
          <w:rFonts w:ascii="Cambria" w:eastAsia="Calibri" w:hAnsi="Cambria" w:cs="Calibri"/>
          <w:color w:val="000000"/>
          <w:sz w:val="20"/>
          <w:szCs w:val="20"/>
          <w:bdr w:val="nil"/>
          <w14:textOutline w14:w="0" w14:cap="flat" w14:cmpd="sng" w14:algn="ctr">
            <w14:noFill/>
            <w14:prstDash w14:val="solid"/>
            <w14:bevel/>
          </w14:textOutline>
        </w:rPr>
      </w:pPr>
    </w:p>
    <w:p w14:paraId="4995A44C" w14:textId="7755F9C7" w:rsidR="008668B8" w:rsidRPr="002856E8"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sidRPr="002856E8">
        <w:rPr>
          <w:rFonts w:eastAsia="Calibri" w:cs="Calibri"/>
          <w:color w:val="000000"/>
          <w:bdr w:val="nil"/>
          <w14:textOutline w14:w="0" w14:cap="flat" w14:cmpd="sng" w14:algn="ctr">
            <w14:noFill/>
            <w14:prstDash w14:val="solid"/>
            <w14:bevel/>
          </w14:textOutline>
        </w:rPr>
        <w:t>Precautionary measures are provided for in Article 25 of the</w:t>
      </w:r>
      <w:r w:rsidRPr="00ED63A8">
        <w:rPr>
          <w:rFonts w:eastAsia="Calibri" w:cs="Calibri"/>
          <w:color w:val="000000"/>
          <w:bdr w:val="nil"/>
          <w14:textOutline w14:w="0" w14:cap="flat" w14:cmpd="sng" w14:algn="ctr">
            <w14:noFill/>
            <w14:prstDash w14:val="solid"/>
            <w14:bevel/>
          </w14:textOutline>
        </w:rPr>
        <w:t xml:space="preserve"> </w:t>
      </w:r>
      <w:hyperlink r:id="rId215" w:history="1">
        <w:r w:rsidRPr="00A55AF5">
          <w:rPr>
            <w:rStyle w:val="Hyperlink"/>
          </w:rPr>
          <w:t>IACHR Rules of Procedure</w:t>
        </w:r>
      </w:hyperlink>
      <w:r w:rsidRPr="002856E8">
        <w:rPr>
          <w:rFonts w:eastAsia="Calibri" w:cs="Calibri"/>
          <w:color w:val="000000"/>
          <w:bdr w:val="nil"/>
          <w14:textOutline w14:w="0" w14:cap="flat" w14:cmpd="sng" w14:algn="ctr">
            <w14:noFill/>
            <w14:prstDash w14:val="solid"/>
            <w14:bevel/>
          </w14:textOutline>
        </w:rPr>
        <w:t>, according to which, in serious and urgent situation</w:t>
      </w:r>
      <w:r>
        <w:rPr>
          <w:rFonts w:eastAsia="Calibri" w:cs="Calibri"/>
          <w:color w:val="000000"/>
          <w:bdr w:val="nil"/>
          <w14:textOutline w14:w="0" w14:cap="flat" w14:cmpd="sng" w14:algn="ctr">
            <w14:noFill/>
            <w14:prstDash w14:val="solid"/>
            <w14:bevel/>
          </w14:textOutline>
        </w:rPr>
        <w:t>s</w:t>
      </w:r>
      <w:r w:rsidRPr="002856E8">
        <w:rPr>
          <w:rFonts w:eastAsia="Calibri" w:cs="Calibri"/>
          <w:color w:val="000000"/>
          <w:bdr w:val="nil"/>
          <w14:textOutline w14:w="0" w14:cap="flat" w14:cmpd="sng" w14:algn="ctr">
            <w14:noFill/>
            <w14:prstDash w14:val="solid"/>
            <w14:bevel/>
          </w14:textOutline>
        </w:rPr>
        <w:t xml:space="preserve"> presenting a risk of irreparable harm, the Commission may, on its own initiative or at the request of a party, “request that a State adopt precautionary measures.” The Commission shall consider that:</w:t>
      </w:r>
    </w:p>
    <w:p w14:paraId="0CCCCF21" w14:textId="77777777" w:rsidR="008668B8" w:rsidRPr="00A55AF5" w:rsidRDefault="008668B8" w:rsidP="008668B8">
      <w:pPr>
        <w:pBdr>
          <w:top w:val="nil"/>
          <w:left w:val="nil"/>
          <w:bottom w:val="nil"/>
          <w:right w:val="nil"/>
          <w:between w:val="nil"/>
          <w:bar w:val="nil"/>
        </w:pBdr>
        <w:jc w:val="both"/>
        <w:rPr>
          <w:rFonts w:ascii="Cambria" w:eastAsia="Calibri" w:hAnsi="Cambria" w:cs="Calibri"/>
          <w:color w:val="000000"/>
          <w:sz w:val="20"/>
          <w:szCs w:val="20"/>
          <w:u w:color="000000"/>
          <w:bdr w:val="nil"/>
          <w14:textOutline w14:w="0" w14:cap="flat" w14:cmpd="sng" w14:algn="ctr">
            <w14:noFill/>
            <w14:prstDash w14:val="solid"/>
            <w14:bevel/>
          </w14:textOutline>
        </w:rPr>
      </w:pPr>
    </w:p>
    <w:p w14:paraId="2832DE76" w14:textId="77777777" w:rsidR="008668B8" w:rsidRPr="00B76A8C" w:rsidRDefault="008668B8" w:rsidP="00933F91">
      <w:pPr>
        <w:pStyle w:val="ListParagraph"/>
        <w:numPr>
          <w:ilvl w:val="1"/>
          <w:numId w:val="8"/>
        </w:numPr>
        <w:pBdr>
          <w:top w:val="nil"/>
          <w:left w:val="nil"/>
          <w:bottom w:val="nil"/>
          <w:right w:val="nil"/>
          <w:between w:val="nil"/>
          <w:bar w:val="nil"/>
        </w:pBdr>
        <w:spacing w:before="120"/>
        <w:ind w:left="1434" w:hanging="357"/>
        <w:contextualSpacing w:val="0"/>
        <w:jc w:val="both"/>
        <w:rPr>
          <w:rFonts w:ascii="Cambria" w:eastAsia="Calibri" w:hAnsi="Cambria" w:cs="Calibri"/>
          <w:color w:val="000000"/>
          <w:sz w:val="20"/>
          <w:szCs w:val="20"/>
          <w:u w:color="000000"/>
          <w:bdr w:val="nil"/>
          <w14:textOutline w14:w="0" w14:cap="flat" w14:cmpd="sng" w14:algn="ctr">
            <w14:noFill/>
            <w14:prstDash w14:val="solid"/>
            <w14:bevel/>
          </w14:textOutline>
        </w:rPr>
      </w:pPr>
      <w:r w:rsidRPr="00B76A8C">
        <w:rPr>
          <w:rFonts w:ascii="Cambria" w:eastAsia="Calibri" w:hAnsi="Cambria" w:cs="Calibri"/>
          <w:color w:val="000000"/>
          <w:sz w:val="20"/>
          <w:szCs w:val="20"/>
          <w:u w:color="000000"/>
          <w:bdr w:val="nil"/>
          <w14:textOutline w14:w="0" w14:cap="flat" w14:cmpd="sng" w14:algn="ctr">
            <w14:noFill/>
            <w14:prstDash w14:val="solid"/>
            <w14:bevel/>
          </w14:textOutline>
        </w:rPr>
        <w:t>“serious situation” refers to the grave impact that an action or omission can have on a protected right or on the eventual effect of a pending decision in a case or petition before the organs of the inter-American system;</w:t>
      </w:r>
    </w:p>
    <w:p w14:paraId="428D148E" w14:textId="77777777" w:rsidR="008668B8" w:rsidRPr="00B76A8C" w:rsidRDefault="008668B8" w:rsidP="00933F91">
      <w:pPr>
        <w:pStyle w:val="ListParagraph"/>
        <w:numPr>
          <w:ilvl w:val="1"/>
          <w:numId w:val="8"/>
        </w:numPr>
        <w:pBdr>
          <w:top w:val="nil"/>
          <w:left w:val="nil"/>
          <w:bottom w:val="nil"/>
          <w:right w:val="nil"/>
          <w:between w:val="nil"/>
          <w:bar w:val="nil"/>
        </w:pBdr>
        <w:spacing w:before="120"/>
        <w:ind w:left="1434" w:hanging="357"/>
        <w:contextualSpacing w:val="0"/>
        <w:jc w:val="both"/>
        <w:rPr>
          <w:rFonts w:ascii="Cambria" w:eastAsia="Calibri" w:hAnsi="Cambria" w:cs="Calibri"/>
          <w:color w:val="000000"/>
          <w:sz w:val="20"/>
          <w:szCs w:val="20"/>
          <w:u w:color="000000"/>
          <w:bdr w:val="nil"/>
          <w14:textOutline w14:w="0" w14:cap="flat" w14:cmpd="sng" w14:algn="ctr">
            <w14:noFill/>
            <w14:prstDash w14:val="solid"/>
            <w14:bevel/>
          </w14:textOutline>
        </w:rPr>
      </w:pPr>
      <w:r w:rsidRPr="00B76A8C">
        <w:rPr>
          <w:rFonts w:ascii="Cambria" w:eastAsia="Calibri" w:hAnsi="Cambria" w:cs="Calibri"/>
          <w:color w:val="000000"/>
          <w:sz w:val="20"/>
          <w:szCs w:val="20"/>
          <w:u w:color="000000"/>
          <w:bdr w:val="nil"/>
          <w14:textOutline w14:w="0" w14:cap="flat" w14:cmpd="sng" w14:algn="ctr">
            <w14:noFill/>
            <w14:prstDash w14:val="solid"/>
            <w14:bevel/>
          </w14:textOutline>
        </w:rPr>
        <w:t>“urgent situation” refers to risk or threat that is imminent and can materialize, thus requiring immediate preventive or protective action; and</w:t>
      </w:r>
    </w:p>
    <w:p w14:paraId="395A7490" w14:textId="77777777" w:rsidR="008668B8" w:rsidRPr="00B76A8C" w:rsidRDefault="008668B8" w:rsidP="00933F91">
      <w:pPr>
        <w:pStyle w:val="ListParagraph"/>
        <w:numPr>
          <w:ilvl w:val="1"/>
          <w:numId w:val="8"/>
        </w:numPr>
        <w:pBdr>
          <w:top w:val="nil"/>
          <w:left w:val="nil"/>
          <w:bottom w:val="nil"/>
          <w:right w:val="nil"/>
          <w:between w:val="nil"/>
          <w:bar w:val="nil"/>
        </w:pBdr>
        <w:spacing w:before="120"/>
        <w:ind w:left="1434" w:hanging="357"/>
        <w:contextualSpacing w:val="0"/>
        <w:jc w:val="both"/>
        <w:rPr>
          <w:rFonts w:ascii="Cambria" w:eastAsia="Calibri" w:hAnsi="Cambria" w:cs="Calibri"/>
          <w:color w:val="000000"/>
          <w:sz w:val="20"/>
          <w:szCs w:val="20"/>
          <w:u w:color="000000"/>
          <w:bdr w:val="nil"/>
          <w14:textOutline w14:w="0" w14:cap="flat" w14:cmpd="sng" w14:algn="ctr">
            <w14:noFill/>
            <w14:prstDash w14:val="solid"/>
            <w14:bevel/>
          </w14:textOutline>
        </w:rPr>
      </w:pPr>
      <w:r w:rsidRPr="00B76A8C">
        <w:rPr>
          <w:rFonts w:ascii="Cambria" w:hAnsi="Cambria" w:cs="Tahoma"/>
          <w:color w:val="333333"/>
          <w:sz w:val="20"/>
          <w:szCs w:val="20"/>
          <w:shd w:val="clear" w:color="auto" w:fill="FFFFFF"/>
        </w:rPr>
        <w:t>“irreparable harm” refers to injury to rights which, due to their nature, would not be susceptible to reparation, restoration or adequate compensation</w:t>
      </w:r>
      <w:r w:rsidRPr="00B76A8C">
        <w:rPr>
          <w:rFonts w:ascii="Cambria" w:eastAsia="Calibri" w:hAnsi="Cambria" w:cs="Calibri"/>
          <w:color w:val="000000"/>
          <w:sz w:val="20"/>
          <w:szCs w:val="20"/>
          <w:u w:color="000000"/>
          <w:bdr w:val="nil"/>
          <w14:textOutline w14:w="0" w14:cap="flat" w14:cmpd="sng" w14:algn="ctr">
            <w14:noFill/>
            <w14:prstDash w14:val="solid"/>
            <w14:bevel/>
          </w14:textOutline>
        </w:rPr>
        <w:t>.</w:t>
      </w:r>
    </w:p>
    <w:p w14:paraId="5E367E25" w14:textId="77777777" w:rsidR="008668B8" w:rsidRPr="00740CD6" w:rsidRDefault="008668B8" w:rsidP="008668B8">
      <w:pPr>
        <w:pBdr>
          <w:top w:val="nil"/>
          <w:left w:val="nil"/>
          <w:bottom w:val="nil"/>
          <w:right w:val="nil"/>
          <w:between w:val="nil"/>
          <w:bar w:val="nil"/>
        </w:pBdr>
        <w:jc w:val="both"/>
        <w:rPr>
          <w:rFonts w:ascii="Cambria" w:eastAsia="Calibri" w:hAnsi="Cambria" w:cs="Calibri"/>
          <w:color w:val="000000"/>
          <w:sz w:val="20"/>
          <w:szCs w:val="20"/>
          <w:u w:color="000000"/>
          <w:bdr w:val="nil"/>
          <w:lang w:val="en-GB"/>
          <w14:textOutline w14:w="0" w14:cap="flat" w14:cmpd="sng" w14:algn="ctr">
            <w14:noFill/>
            <w14:prstDash w14:val="solid"/>
            <w14:bevel/>
          </w14:textOutline>
        </w:rPr>
      </w:pPr>
    </w:p>
    <w:p w14:paraId="6B92365E" w14:textId="77777777" w:rsidR="008668B8" w:rsidRPr="00E952B1"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sidRPr="00E952B1">
        <w:rPr>
          <w:rFonts w:eastAsia="Calibri" w:cs="Calibri"/>
          <w:color w:val="000000"/>
          <w:bdr w:val="nil"/>
          <w14:textOutline w14:w="0" w14:cap="flat" w14:cmpd="sng" w14:algn="ctr">
            <w14:noFill/>
            <w14:prstDash w14:val="solid"/>
            <w14:bevel/>
          </w14:textOutline>
        </w:rPr>
        <w:lastRenderedPageBreak/>
        <w:t xml:space="preserve">The nature and purpose of precautionary measures granted by the Inter-American Commission are different from those of measures available in national jurisdictions. Precautionary </w:t>
      </w:r>
      <w:r>
        <w:rPr>
          <w:rFonts w:eastAsia="Calibri" w:cs="Calibri"/>
          <w:color w:val="000000"/>
          <w:bdr w:val="nil"/>
          <w14:textOutline w14:w="0" w14:cap="flat" w14:cmpd="sng" w14:algn="ctr">
            <w14:noFill/>
            <w14:prstDash w14:val="solid"/>
            <w14:bevel/>
          </w14:textOutline>
        </w:rPr>
        <w:t xml:space="preserve">measures </w:t>
      </w:r>
      <w:r w:rsidRPr="00E952B1">
        <w:rPr>
          <w:rFonts w:eastAsia="Calibri" w:cs="Calibri"/>
          <w:color w:val="000000"/>
          <w:bdr w:val="nil"/>
          <w14:textOutline w14:w="0" w14:cap="flat" w14:cmpd="sng" w14:algn="ctr">
            <w14:noFill/>
            <w14:prstDash w14:val="solid"/>
            <w14:bevel/>
          </w14:textOutline>
        </w:rPr>
        <w:t xml:space="preserve">fulfill two functions related to </w:t>
      </w:r>
      <w:r>
        <w:rPr>
          <w:rFonts w:eastAsia="Calibri" w:cs="Calibri"/>
          <w:color w:val="000000"/>
          <w:bdr w:val="nil"/>
          <w14:textOutline w14:w="0" w14:cap="flat" w14:cmpd="sng" w14:algn="ctr">
            <w14:noFill/>
            <w14:prstDash w14:val="solid"/>
            <w14:bevel/>
          </w14:textOutline>
        </w:rPr>
        <w:t>protecting</w:t>
      </w:r>
      <w:r w:rsidRPr="00E952B1">
        <w:rPr>
          <w:rFonts w:eastAsia="Calibri" w:cs="Calibri"/>
          <w:color w:val="000000"/>
          <w:bdr w:val="nil"/>
          <w14:textOutline w14:w="0" w14:cap="flat" w14:cmpd="sng" w14:algn="ctr">
            <w14:noFill/>
            <w14:prstDash w14:val="solid"/>
            <w14:bevel/>
          </w14:textOutline>
        </w:rPr>
        <w:t xml:space="preserve"> the fundamental rights enshrined in the instruments of the inter-American system. On one hand, they have a “precautionary” function in the sense that they aim to preserve legal situations while the IACHR is hearing a case or petition. On the other hand, they have a “protective” function because they seek to preserve the exercise of human rights, </w:t>
      </w:r>
      <w:r>
        <w:rPr>
          <w:rFonts w:eastAsia="Calibri" w:cs="Calibri"/>
          <w:color w:val="000000"/>
          <w:bdr w:val="nil"/>
          <w14:textOutline w14:w="0" w14:cap="flat" w14:cmpd="sng" w14:algn="ctr">
            <w14:noFill/>
            <w14:prstDash w14:val="solid"/>
            <w14:bevel/>
          </w14:textOutline>
        </w:rPr>
        <w:t>independent</w:t>
      </w:r>
      <w:r w:rsidRPr="00E952B1">
        <w:rPr>
          <w:rFonts w:eastAsia="Calibri" w:cs="Calibri"/>
          <w:color w:val="000000"/>
          <w:bdr w:val="nil"/>
          <w14:textOutline w14:w="0" w14:cap="flat" w14:cmpd="sng" w14:algn="ctr">
            <w14:noFill/>
            <w14:prstDash w14:val="solid"/>
            <w14:bevel/>
          </w14:textOutline>
        </w:rPr>
        <w:t xml:space="preserve"> of an underlying petition or case.</w:t>
      </w:r>
    </w:p>
    <w:p w14:paraId="633CA7B0" w14:textId="77777777" w:rsidR="008668B8" w:rsidRPr="00D97145" w:rsidRDefault="008668B8" w:rsidP="00D97145">
      <w:pPr>
        <w:pStyle w:val="BodyText"/>
        <w:widowControl/>
        <w:ind w:left="720"/>
        <w:jc w:val="both"/>
        <w:rPr>
          <w:rFonts w:eastAsia="Calibri" w:cs="Calibri"/>
          <w:color w:val="000000"/>
          <w:bdr w:val="nil"/>
          <w14:textOutline w14:w="0" w14:cap="flat" w14:cmpd="sng" w14:algn="ctr">
            <w14:noFill/>
            <w14:prstDash w14:val="solid"/>
            <w14:bevel/>
          </w14:textOutline>
        </w:rPr>
      </w:pPr>
    </w:p>
    <w:p w14:paraId="28F9E860" w14:textId="77777777" w:rsidR="008668B8" w:rsidRPr="00D97145"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sidRPr="00D97145">
        <w:rPr>
          <w:rFonts w:eastAsia="Calibri" w:cs="Calibri"/>
          <w:color w:val="000000"/>
          <w:bdr w:val="nil"/>
          <w14:textOutline w14:w="0" w14:cap="flat" w14:cmpd="sng" w14:algn="ctr">
            <w14:noFill/>
            <w14:prstDash w14:val="solid"/>
            <w14:bevel/>
          </w14:textOutline>
        </w:rPr>
        <w:t>With regard to the precautionary aspect, precautionary measures may be intended to prevent the enforcement of judicial, administrative, or other types of measures, when it is alleged that their enforcement could render ineffective an eventual IACHR decision on an individual petition. An example of this can be seen reflected in those situations in which the IACHR has urged the State to suspend the imposition of the death penalty, in order to allow the Commission to later analyze in the petition or case the violations alleged by the petitioners in relation to the applicable instruments.</w:t>
      </w:r>
    </w:p>
    <w:p w14:paraId="165471C3" w14:textId="77777777" w:rsidR="008668B8" w:rsidRPr="00D97145" w:rsidRDefault="008668B8" w:rsidP="00D97145">
      <w:pPr>
        <w:pStyle w:val="BodyText"/>
        <w:widowControl/>
        <w:ind w:left="720"/>
        <w:jc w:val="both"/>
        <w:rPr>
          <w:rFonts w:eastAsia="Calibri" w:cs="Calibri"/>
          <w:color w:val="000000"/>
          <w:bdr w:val="nil"/>
          <w14:textOutline w14:w="0" w14:cap="flat" w14:cmpd="sng" w14:algn="ctr">
            <w14:noFill/>
            <w14:prstDash w14:val="solid"/>
            <w14:bevel/>
          </w14:textOutline>
        </w:rPr>
      </w:pPr>
    </w:p>
    <w:p w14:paraId="409CF2DF" w14:textId="77777777" w:rsidR="008668B8" w:rsidRPr="00066040"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sidRPr="00066040">
        <w:rPr>
          <w:rFonts w:eastAsia="Calibri" w:cs="Calibri"/>
          <w:color w:val="000000"/>
          <w:bdr w:val="nil"/>
          <w14:textOutline w14:w="0" w14:cap="flat" w14:cmpd="sng" w14:algn="ctr">
            <w14:noFill/>
            <w14:prstDash w14:val="solid"/>
            <w14:bevel/>
          </w14:textOutline>
        </w:rPr>
        <w:t xml:space="preserve">Regarding the protective aspect, these measures seek to prevent the materialization of irreparable harm and thus </w:t>
      </w:r>
      <w:r>
        <w:rPr>
          <w:rFonts w:eastAsia="Calibri" w:cs="Calibri"/>
          <w:color w:val="000000"/>
          <w:bdr w:val="nil"/>
          <w14:textOutline w14:w="0" w14:cap="flat" w14:cmpd="sng" w14:algn="ctr">
            <w14:noFill/>
            <w14:prstDash w14:val="solid"/>
            <w14:bevel/>
          </w14:textOutline>
        </w:rPr>
        <w:t xml:space="preserve">to </w:t>
      </w:r>
      <w:r w:rsidRPr="00066040">
        <w:rPr>
          <w:rFonts w:eastAsia="Calibri" w:cs="Calibri"/>
          <w:color w:val="000000"/>
          <w:bdr w:val="nil"/>
          <w14:textOutline w14:w="0" w14:cap="flat" w14:cmpd="sng" w14:algn="ctr">
            <w14:noFill/>
            <w14:prstDash w14:val="solid"/>
            <w14:bevel/>
          </w14:textOutline>
        </w:rPr>
        <w:t xml:space="preserve">preserve the exercise of human rights. </w:t>
      </w:r>
      <w:r>
        <w:rPr>
          <w:rFonts w:eastAsia="Calibri" w:cs="Calibri"/>
          <w:color w:val="000000"/>
          <w:bdr w:val="nil"/>
          <w14:textOutline w14:w="0" w14:cap="flat" w14:cmpd="sng" w14:algn="ctr">
            <w14:noFill/>
            <w14:prstDash w14:val="solid"/>
            <w14:bevel/>
          </w14:textOutline>
        </w:rPr>
        <w:t>These considerations have led to the issuance of protective measures in a wide range of situations, particularly for the purpose of preventing irreparable harm to the life and personal integrity of the beneficiary or beneficiaries. Examples of such situations include matters related to disappearances, access to medical treatment, threats, harassment, and persecution, including in connection with the beneficiary’s employment or affiliation, among many other situations</w:t>
      </w:r>
      <w:r w:rsidRPr="00066040">
        <w:rPr>
          <w:rFonts w:eastAsia="Calibri" w:cs="Calibri"/>
          <w:color w:val="000000"/>
          <w:bdr w:val="nil"/>
          <w14:textOutline w14:w="0" w14:cap="flat" w14:cmpd="sng" w14:algn="ctr">
            <w14:noFill/>
            <w14:prstDash w14:val="solid"/>
            <w14:bevel/>
          </w14:textOutline>
        </w:rPr>
        <w:t>.</w:t>
      </w:r>
    </w:p>
    <w:p w14:paraId="601E3538" w14:textId="77777777" w:rsidR="008668B8" w:rsidRPr="00D97145" w:rsidRDefault="008668B8" w:rsidP="00D97145">
      <w:pPr>
        <w:pStyle w:val="BodyText"/>
        <w:widowControl/>
        <w:ind w:left="0"/>
        <w:jc w:val="both"/>
        <w:rPr>
          <w:rFonts w:eastAsia="Calibri" w:cs="Calibri"/>
          <w:color w:val="000000"/>
          <w:bdr w:val="nil"/>
          <w14:textOutline w14:w="0" w14:cap="flat" w14:cmpd="sng" w14:algn="ctr">
            <w14:noFill/>
            <w14:prstDash w14:val="solid"/>
            <w14:bevel/>
          </w14:textOutline>
        </w:rPr>
      </w:pPr>
    </w:p>
    <w:p w14:paraId="01EC87E1" w14:textId="77777777" w:rsidR="008668B8" w:rsidRPr="00066040"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Pr>
          <w:rFonts w:eastAsia="Calibri" w:cs="Calibri"/>
          <w:color w:val="000000"/>
          <w:bdr w:val="nil"/>
          <w14:textOutline w14:w="0" w14:cap="flat" w14:cmpd="sng" w14:algn="ctr">
            <w14:noFill/>
            <w14:prstDash w14:val="solid"/>
            <w14:bevel/>
          </w14:textOutline>
        </w:rPr>
        <w:t>The IACHR Rules of Procedure indicate that the granting of such measures and their adoption by the State shall not constitute prejudgment regarding the violation of rights protected in the American Convention on Human Rights and/or other applicable instruments. In addition, the IACHR would like to emphasize that, in accordance with Article 25(6) of its Rules of Procedure, a request for precautionary measures is analyzed taking into account the context, the specifics of each concrete situation, and the nature of the risk and harm sought to be prevented</w:t>
      </w:r>
      <w:r w:rsidRPr="00066040">
        <w:rPr>
          <w:rFonts w:eastAsia="Calibri" w:cs="Calibri"/>
          <w:color w:val="000000"/>
          <w:bdr w:val="nil"/>
          <w14:textOutline w14:w="0" w14:cap="flat" w14:cmpd="sng" w14:algn="ctr">
            <w14:noFill/>
            <w14:prstDash w14:val="solid"/>
            <w14:bevel/>
          </w14:textOutline>
        </w:rPr>
        <w:t>.</w:t>
      </w:r>
    </w:p>
    <w:p w14:paraId="6A2570BE" w14:textId="77777777" w:rsidR="008668B8" w:rsidRPr="00D97145" w:rsidRDefault="008668B8" w:rsidP="00D97145">
      <w:pPr>
        <w:pStyle w:val="BodyText"/>
        <w:widowControl/>
        <w:ind w:left="720"/>
        <w:jc w:val="both"/>
        <w:rPr>
          <w:rFonts w:eastAsia="Calibri" w:cs="Calibri"/>
          <w:color w:val="000000"/>
          <w:bdr w:val="nil"/>
          <w14:textOutline w14:w="0" w14:cap="flat" w14:cmpd="sng" w14:algn="ctr">
            <w14:noFill/>
            <w14:prstDash w14:val="solid"/>
            <w14:bevel/>
          </w14:textOutline>
        </w:rPr>
      </w:pPr>
    </w:p>
    <w:p w14:paraId="2979DE0B" w14:textId="646FAB9C" w:rsidR="008668B8" w:rsidRPr="00E16C42"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Pr>
          <w:rFonts w:eastAsia="Calibri" w:cs="Calibri"/>
          <w:color w:val="000000"/>
          <w:bdr w:val="nil"/>
          <w14:textOutline w14:w="0" w14:cap="flat" w14:cmpd="sng" w14:algn="ctr">
            <w14:noFill/>
            <w14:prstDash w14:val="solid"/>
            <w14:bevel/>
          </w14:textOutline>
        </w:rPr>
        <w:t>Precautionary measures have been invoked to protect thousands of persons or groups of persons at risk</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 xml:space="preserve">In </w:t>
      </w:r>
      <w:r w:rsidRPr="00066040">
        <w:rPr>
          <w:rFonts w:eastAsia="Calibri" w:cs="Calibri"/>
          <w:color w:val="000000"/>
          <w:bdr w:val="nil"/>
          <w14:textOutline w14:w="0" w14:cap="flat" w14:cmpd="sng" w14:algn="ctr">
            <w14:noFill/>
            <w14:prstDash w14:val="solid"/>
            <w14:bevel/>
          </w14:textOutline>
        </w:rPr>
        <w:t>2022</w:t>
      </w:r>
      <w:r>
        <w:rPr>
          <w:rFonts w:eastAsia="Calibri" w:cs="Calibri"/>
          <w:color w:val="000000"/>
          <w:bdr w:val="nil"/>
          <w14:textOutline w14:w="0" w14:cap="flat" w14:cmpd="sng" w14:algn="ctr">
            <w14:noFill/>
            <w14:prstDash w14:val="solid"/>
            <w14:bevel/>
          </w14:textOutline>
        </w:rPr>
        <w:t>,</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 xml:space="preserve">those groups included indigenous peoples, journalists, persons deprived of liberty, disappeared persons, human rights defenders, persons sentenced to death, as well as Afro-descendants, </w:t>
      </w:r>
      <w:r w:rsidRPr="00066040">
        <w:rPr>
          <w:rFonts w:eastAsia="Calibri" w:cs="Calibri"/>
          <w:color w:val="000000"/>
          <w:bdr w:val="nil"/>
          <w14:textOutline w14:w="0" w14:cap="flat" w14:cmpd="sng" w14:algn="ctr">
            <w14:noFill/>
            <w14:prstDash w14:val="solid"/>
            <w14:bevel/>
          </w14:textOutline>
        </w:rPr>
        <w:t xml:space="preserve">LGBTI </w:t>
      </w:r>
      <w:r>
        <w:rPr>
          <w:rFonts w:eastAsia="Calibri" w:cs="Calibri"/>
          <w:color w:val="000000"/>
          <w:bdr w:val="nil"/>
          <w14:textOutline w14:w="0" w14:cap="flat" w14:cmpd="sng" w14:algn="ctr">
            <w14:noFill/>
            <w14:prstDash w14:val="solid"/>
            <w14:bevel/>
          </w14:textOutline>
        </w:rPr>
        <w:t>persons, and women at particular risk</w:t>
      </w:r>
      <w:r w:rsidRPr="00066040">
        <w:rPr>
          <w:rFonts w:eastAsia="Calibri" w:cs="Calibri"/>
          <w:color w:val="000000"/>
          <w:bdr w:val="nil"/>
          <w14:textOutline w14:w="0" w14:cap="flat" w14:cmpd="sng" w14:algn="ctr">
            <w14:noFill/>
            <w14:prstDash w14:val="solid"/>
            <w14:bevel/>
          </w14:textOutline>
        </w:rPr>
        <w:t>.</w:t>
      </w:r>
    </w:p>
    <w:p w14:paraId="43481C2B" w14:textId="77777777" w:rsidR="008668B8" w:rsidRPr="007826D3" w:rsidRDefault="008668B8" w:rsidP="00933F91">
      <w:pPr>
        <w:pStyle w:val="Heading1"/>
        <w:numPr>
          <w:ilvl w:val="0"/>
          <w:numId w:val="41"/>
        </w:numPr>
        <w:ind w:left="1440" w:hanging="720"/>
        <w:rPr>
          <w:rFonts w:ascii="Cambria" w:hAnsi="Cambria"/>
          <w:b/>
          <w:bCs/>
          <w:color w:val="auto"/>
          <w:sz w:val="22"/>
          <w:szCs w:val="22"/>
          <w:u w:color="000000"/>
          <w:bdr w:val="nil"/>
        </w:rPr>
      </w:pPr>
      <w:bookmarkStart w:id="53" w:name="_Toc119668004"/>
      <w:r w:rsidRPr="007826D3">
        <w:rPr>
          <w:rFonts w:ascii="Cambria" w:hAnsi="Cambria"/>
          <w:b/>
          <w:bCs/>
          <w:color w:val="auto"/>
          <w:sz w:val="22"/>
          <w:szCs w:val="22"/>
          <w:u w:color="000000"/>
          <w:bdr w:val="nil"/>
        </w:rPr>
        <w:t>Requests for precautionary measures</w:t>
      </w:r>
      <w:bookmarkEnd w:id="53"/>
    </w:p>
    <w:p w14:paraId="406D8519" w14:textId="77777777" w:rsidR="008668B8" w:rsidRPr="00066040" w:rsidRDefault="008668B8" w:rsidP="008668B8">
      <w:pPr>
        <w:pStyle w:val="ListParagraph"/>
        <w:pBdr>
          <w:top w:val="nil"/>
          <w:left w:val="nil"/>
          <w:bottom w:val="nil"/>
          <w:right w:val="nil"/>
          <w:between w:val="nil"/>
          <w:bar w:val="nil"/>
        </w:pBdr>
        <w:ind w:left="1440"/>
        <w:jc w:val="both"/>
        <w:rPr>
          <w:rFonts w:ascii="Cambria" w:eastAsia="Calibri" w:hAnsi="Cambria" w:cs="Calibri"/>
          <w:b/>
          <w:bCs/>
          <w:color w:val="000000"/>
          <w:sz w:val="20"/>
          <w:szCs w:val="20"/>
          <w:u w:color="000000"/>
          <w:bdr w:val="nil"/>
          <w14:textOutline w14:w="0" w14:cap="flat" w14:cmpd="sng" w14:algn="ctr">
            <w14:noFill/>
            <w14:prstDash w14:val="solid"/>
            <w14:bevel/>
          </w14:textOutline>
        </w:rPr>
      </w:pPr>
    </w:p>
    <w:p w14:paraId="4497E400" w14:textId="77777777" w:rsidR="008668B8" w:rsidRPr="00066040"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sidRPr="00066040">
        <w:rPr>
          <w:rFonts w:eastAsia="Calibri" w:cs="Calibri"/>
          <w:color w:val="000000"/>
          <w:bdr w:val="nil"/>
          <w14:textOutline w14:w="0" w14:cap="flat" w14:cmpd="sng" w14:algn="ctr">
            <w14:noFill/>
            <w14:prstDash w14:val="solid"/>
            <w14:bevel/>
          </w14:textOutline>
        </w:rPr>
        <w:t>D</w:t>
      </w:r>
      <w:r>
        <w:rPr>
          <w:rFonts w:eastAsia="Calibri" w:cs="Calibri"/>
          <w:color w:val="000000"/>
          <w:bdr w:val="nil"/>
          <w14:textOutline w14:w="0" w14:cap="flat" w14:cmpd="sng" w14:algn="ctr">
            <w14:noFill/>
            <w14:prstDash w14:val="solid"/>
            <w14:bevel/>
          </w14:textOutline>
        </w:rPr>
        <w:t xml:space="preserve">uring </w:t>
      </w:r>
      <w:r w:rsidRPr="00066040">
        <w:rPr>
          <w:rFonts w:eastAsia="Calibri" w:cs="Calibri"/>
          <w:color w:val="000000"/>
          <w:bdr w:val="nil"/>
          <w14:textOutline w14:w="0" w14:cap="flat" w14:cmpd="sng" w14:algn="ctr">
            <w14:noFill/>
            <w14:prstDash w14:val="solid"/>
            <w14:bevel/>
          </w14:textOutline>
        </w:rPr>
        <w:t xml:space="preserve">2022, </w:t>
      </w:r>
      <w:r>
        <w:rPr>
          <w:rFonts w:eastAsia="Calibri" w:cs="Calibri"/>
          <w:color w:val="000000"/>
          <w:bdr w:val="nil"/>
          <w14:textOutline w14:w="0" w14:cap="flat" w14:cmpd="sng" w14:algn="ctr">
            <w14:noFill/>
            <w14:prstDash w14:val="solid"/>
            <w14:bevel/>
          </w14:textOutline>
        </w:rPr>
        <w:t>the Commission received</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1033</w:t>
      </w:r>
      <w:r w:rsidRPr="00066040">
        <w:rPr>
          <w:rFonts w:eastAsia="Calibri" w:cs="Calibri"/>
          <w:color w:val="000000"/>
          <w:bdr w:val="nil"/>
          <w14:textOutline w14:w="0" w14:cap="flat" w14:cmpd="sng" w14:algn="ctr">
            <w14:noFill/>
            <w14:prstDash w14:val="solid"/>
            <w14:bevel/>
          </w14:textOutline>
        </w:rPr>
        <w:t xml:space="preserve"> n</w:t>
      </w:r>
      <w:r>
        <w:rPr>
          <w:rFonts w:eastAsia="Calibri" w:cs="Calibri"/>
          <w:color w:val="000000"/>
          <w:bdr w:val="nil"/>
          <w14:textOutline w14:w="0" w14:cap="flat" w14:cmpd="sng" w14:algn="ctr">
            <w14:noFill/>
            <w14:prstDash w14:val="solid"/>
            <w14:bevel/>
          </w14:textOutline>
        </w:rPr>
        <w:t>ew requests for precautionary measures</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 xml:space="preserve">managing to legally review </w:t>
      </w:r>
      <w:r w:rsidRPr="7CD73F38">
        <w:rPr>
          <w:rFonts w:eastAsia="Calibri" w:cs="Calibri"/>
          <w:color w:val="000000"/>
          <w:bdr w:val="nil"/>
          <w14:textOutline w14:w="0" w14:cap="flat" w14:cmpd="sng" w14:algn="ctr">
            <w14:noFill/>
            <w14:prstDash w14:val="solid"/>
            <w14:bevel/>
          </w14:textOutline>
        </w:rPr>
        <w:t>97.09%</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 xml:space="preserve">of them for the year. This shows that the IACHR has maintained the optimal level of </w:t>
      </w:r>
      <w:r w:rsidRPr="00D97145">
        <w:rPr>
          <w:rFonts w:eastAsia="Calibri" w:cs="Calibri"/>
          <w:color w:val="000000"/>
          <w:bdr w:val="nil"/>
          <w14:textOutline w14:w="0" w14:cap="flat" w14:cmpd="sng" w14:algn="ctr">
            <w14:noFill/>
            <w14:prstDash w14:val="solid"/>
            <w14:bevel/>
          </w14:textOutline>
        </w:rPr>
        <w:t xml:space="preserve">real-time </w:t>
      </w:r>
      <w:r>
        <w:rPr>
          <w:rFonts w:eastAsia="Calibri" w:cs="Calibri"/>
          <w:color w:val="000000"/>
          <w:bdr w:val="nil"/>
          <w14:textOutline w14:w="0" w14:cap="flat" w14:cmpd="sng" w14:algn="ctr">
            <w14:noFill/>
            <w14:prstDash w14:val="solid"/>
            <w14:bevel/>
          </w14:textOutline>
        </w:rPr>
        <w:t xml:space="preserve">review of requests for measures that was achieved since </w:t>
      </w:r>
      <w:r w:rsidRPr="00066040">
        <w:rPr>
          <w:rFonts w:eastAsia="Calibri" w:cs="Calibri"/>
          <w:color w:val="000000"/>
          <w:bdr w:val="nil"/>
          <w14:textOutline w14:w="0" w14:cap="flat" w14:cmpd="sng" w14:algn="ctr">
            <w14:noFill/>
            <w14:prstDash w14:val="solid"/>
            <w14:bevel/>
          </w14:textOutline>
        </w:rPr>
        <w:t xml:space="preserve">2018, </w:t>
      </w:r>
      <w:r>
        <w:rPr>
          <w:rFonts w:eastAsia="Calibri" w:cs="Calibri"/>
          <w:color w:val="000000"/>
          <w:bdr w:val="nil"/>
          <w14:textOutline w14:w="0" w14:cap="flat" w14:cmpd="sng" w14:algn="ctr">
            <w14:noFill/>
            <w14:prstDash w14:val="solid"/>
            <w14:bevel/>
          </w14:textOutline>
        </w:rPr>
        <w:t xml:space="preserve">with an initial review of more than </w:t>
      </w:r>
      <w:r w:rsidRPr="00066040">
        <w:rPr>
          <w:rFonts w:eastAsia="Calibri" w:cs="Calibri"/>
          <w:color w:val="000000"/>
          <w:bdr w:val="nil"/>
          <w14:textOutline w14:w="0" w14:cap="flat" w14:cmpd="sng" w14:algn="ctr">
            <w14:noFill/>
            <w14:prstDash w14:val="solid"/>
            <w14:bevel/>
          </w14:textOutline>
        </w:rPr>
        <w:t xml:space="preserve">90% </w:t>
      </w:r>
      <w:r>
        <w:rPr>
          <w:rFonts w:eastAsia="Calibri" w:cs="Calibri"/>
          <w:color w:val="000000"/>
          <w:bdr w:val="nil"/>
          <w14:textOutline w14:w="0" w14:cap="flat" w14:cmpd="sng" w14:algn="ctr">
            <w14:noFill/>
            <w14:prstDash w14:val="solid"/>
            <w14:bevel/>
          </w14:textOutline>
        </w:rPr>
        <w:t>of the requests filed in a single year</w:t>
      </w:r>
      <w:r w:rsidRPr="00066040">
        <w:rPr>
          <w:rFonts w:eastAsia="Calibri" w:cs="Calibri"/>
          <w:color w:val="000000"/>
          <w:bdr w:val="nil"/>
          <w14:textOutline w14:w="0" w14:cap="flat" w14:cmpd="sng" w14:algn="ctr">
            <w14:noFill/>
            <w14:prstDash w14:val="solid"/>
            <w14:bevel/>
          </w14:textOutline>
        </w:rPr>
        <w:t>, g</w:t>
      </w:r>
      <w:r>
        <w:rPr>
          <w:rFonts w:eastAsia="Calibri" w:cs="Calibri"/>
          <w:color w:val="000000"/>
          <w:bdr w:val="nil"/>
          <w14:textOutline w14:w="0" w14:cap="flat" w14:cmpd="sng" w14:algn="ctr">
            <w14:noFill/>
            <w14:prstDash w14:val="solid"/>
            <w14:bevel/>
          </w14:textOutline>
        </w:rPr>
        <w:t>uaranteeing a timely response to persons requesting protection in the region</w:t>
      </w:r>
      <w:r w:rsidRPr="00066040">
        <w:rPr>
          <w:rFonts w:eastAsia="Calibri" w:cs="Calibri"/>
          <w:color w:val="000000"/>
          <w:bdr w:val="nil"/>
          <w14:textOutline w14:w="0" w14:cap="flat" w14:cmpd="sng" w14:algn="ctr">
            <w14:noFill/>
            <w14:prstDash w14:val="solid"/>
            <w14:bevel/>
          </w14:textOutline>
        </w:rPr>
        <w:t>.</w:t>
      </w:r>
    </w:p>
    <w:p w14:paraId="1212BEA0" w14:textId="77777777" w:rsidR="008668B8" w:rsidRPr="00D97145" w:rsidRDefault="008668B8" w:rsidP="00D97145">
      <w:pPr>
        <w:pStyle w:val="BodyText"/>
        <w:widowControl/>
        <w:ind w:left="720"/>
        <w:jc w:val="both"/>
        <w:rPr>
          <w:rFonts w:eastAsia="Calibri" w:cs="Calibri"/>
          <w:color w:val="000000"/>
          <w:bdr w:val="nil"/>
          <w14:textOutline w14:w="0" w14:cap="flat" w14:cmpd="sng" w14:algn="ctr">
            <w14:noFill/>
            <w14:prstDash w14:val="solid"/>
            <w14:bevel/>
          </w14:textOutline>
        </w:rPr>
      </w:pPr>
    </w:p>
    <w:p w14:paraId="7427C5CE" w14:textId="77777777" w:rsidR="008668B8" w:rsidRPr="00066040"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Pr>
          <w:rFonts w:eastAsia="Calibri" w:cs="Calibri"/>
          <w:color w:val="000000"/>
          <w:bdr w:val="nil"/>
          <w14:textOutline w14:w="0" w14:cap="flat" w14:cmpd="sng" w14:algn="ctr">
            <w14:noFill/>
            <w14:prstDash w14:val="solid"/>
            <w14:bevel/>
          </w14:textOutline>
        </w:rPr>
        <w:t xml:space="preserve">Moreover, in </w:t>
      </w:r>
      <w:r w:rsidRPr="00066040">
        <w:rPr>
          <w:rFonts w:eastAsia="Calibri" w:cs="Calibri"/>
          <w:color w:val="000000"/>
          <w:bdr w:val="nil"/>
          <w14:textOutline w14:w="0" w14:cap="flat" w14:cmpd="sng" w14:algn="ctr">
            <w14:noFill/>
            <w14:prstDash w14:val="solid"/>
            <w14:bevel/>
          </w14:textOutline>
        </w:rPr>
        <w:t xml:space="preserve">2022, </w:t>
      </w:r>
      <w:r>
        <w:rPr>
          <w:rFonts w:eastAsia="Calibri" w:cs="Calibri"/>
          <w:color w:val="000000"/>
          <w:bdr w:val="nil"/>
          <w14:textOutline w14:w="0" w14:cap="flat" w14:cmpd="sng" w14:algn="ctr">
            <w14:noFill/>
            <w14:prstDash w14:val="solid"/>
            <w14:bevel/>
          </w14:textOutline>
        </w:rPr>
        <w:t xml:space="preserve">the IACHR achieved significant results in the review of precautionary measures pending a final decision based on the chronological criterion. In this regard, processing was completed </w:t>
      </w:r>
      <w:r w:rsidRPr="002521BB">
        <w:rPr>
          <w:rFonts w:eastAsia="Calibri" w:cs="Calibri"/>
          <w:color w:val="000000"/>
          <w:bdr w:val="nil"/>
          <w14:textOutline w14:w="0" w14:cap="flat" w14:cmpd="sng" w14:algn="ctr">
            <w14:noFill/>
            <w14:prstDash w14:val="solid"/>
            <w14:bevel/>
          </w14:textOutline>
        </w:rPr>
        <w:t>with a final decision on all precautionary measures filed prior to and during 2020, as well as on 95.44% of</w:t>
      </w:r>
      <w:r>
        <w:rPr>
          <w:rFonts w:eastAsia="Calibri" w:cs="Calibri"/>
          <w:color w:val="000000"/>
          <w:bdr w:val="nil"/>
          <w14:textOutline w14:w="0" w14:cap="flat" w14:cmpd="sng" w14:algn="ctr">
            <w14:noFill/>
            <w14:prstDash w14:val="solid"/>
            <w14:bevel/>
          </w14:textOutline>
        </w:rPr>
        <w:t xml:space="preserve"> the requests filed in </w:t>
      </w:r>
      <w:r w:rsidRPr="00066040">
        <w:rPr>
          <w:rFonts w:eastAsia="Calibri" w:cs="Calibri"/>
          <w:color w:val="000000"/>
          <w:bdr w:val="nil"/>
          <w14:textOutline w14:w="0" w14:cap="flat" w14:cmpd="sng" w14:algn="ctr">
            <w14:noFill/>
            <w14:prstDash w14:val="solid"/>
            <w14:bevel/>
          </w14:textOutline>
        </w:rPr>
        <w:t xml:space="preserve">2021. </w:t>
      </w:r>
      <w:r>
        <w:rPr>
          <w:rFonts w:eastAsia="Calibri" w:cs="Calibri"/>
          <w:b/>
          <w:bCs/>
          <w:color w:val="000000"/>
          <w:bdr w:val="nil"/>
          <w14:textOutline w14:w="0" w14:cap="flat" w14:cmpd="sng" w14:algn="ctr">
            <w14:noFill/>
            <w14:prstDash w14:val="solid"/>
            <w14:bevel/>
          </w14:textOutline>
        </w:rPr>
        <w:t>For the first time, the IACHR closed a year having concluded the processing of all requests for precautionary measures filed up to the year preceding the current year</w:t>
      </w:r>
      <w:r w:rsidRPr="00066040">
        <w:rPr>
          <w:rFonts w:eastAsia="Calibri" w:cs="Calibri"/>
          <w:b/>
          <w:bCs/>
          <w:color w:val="000000"/>
          <w:bdr w:val="nil"/>
          <w14:textOutline w14:w="0" w14:cap="flat" w14:cmpd="sng" w14:algn="ctr">
            <w14:noFill/>
            <w14:prstDash w14:val="solid"/>
            <w14:bevel/>
          </w14:textOutline>
        </w:rPr>
        <w:t xml:space="preserve">. </w:t>
      </w:r>
      <w:r>
        <w:rPr>
          <w:rFonts w:eastAsia="Calibri" w:cs="Calibri"/>
          <w:b/>
          <w:bCs/>
          <w:color w:val="000000"/>
          <w:bdr w:val="nil"/>
          <w14:textOutline w14:w="0" w14:cap="flat" w14:cmpd="sng" w14:algn="ctr">
            <w14:noFill/>
            <w14:prstDash w14:val="solid"/>
            <w14:bevel/>
          </w14:textOutline>
        </w:rPr>
        <w:t>That historic result reflects substantive advances made in the Commission’s institutional capacity for making timely decisions</w:t>
      </w:r>
      <w:r w:rsidRPr="00066040">
        <w:rPr>
          <w:rFonts w:eastAsia="Calibri" w:cs="Calibri"/>
          <w:b/>
          <w:bCs/>
          <w:color w:val="000000"/>
          <w:bdr w:val="nil"/>
          <w14:textOutline w14:w="0" w14:cap="flat" w14:cmpd="sng" w14:algn="ctr">
            <w14:noFill/>
            <w14:prstDash w14:val="solid"/>
            <w14:bevel/>
          </w14:textOutline>
        </w:rPr>
        <w:t>.</w:t>
      </w:r>
    </w:p>
    <w:p w14:paraId="34DC6D31" w14:textId="77777777" w:rsidR="008668B8" w:rsidRPr="00066040" w:rsidRDefault="008668B8" w:rsidP="008668B8">
      <w:pPr>
        <w:rPr>
          <w:rFonts w:ascii="Cambria" w:eastAsia="Calibri" w:hAnsi="Cambria" w:cs="Calibri"/>
          <w:color w:val="000000"/>
          <w:sz w:val="20"/>
          <w:szCs w:val="20"/>
          <w:u w:color="000000"/>
          <w:bdr w:val="nil"/>
          <w14:textOutline w14:w="0" w14:cap="flat" w14:cmpd="sng" w14:algn="ctr">
            <w14:noFill/>
            <w14:prstDash w14:val="solid"/>
            <w14:bevel/>
          </w14:textOutline>
        </w:rPr>
      </w:pPr>
    </w:p>
    <w:p w14:paraId="0755C64C" w14:textId="77777777" w:rsidR="008668B8" w:rsidRPr="00066040"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Pr>
          <w:rFonts w:eastAsia="Calibri" w:cs="Calibri"/>
          <w:color w:val="000000"/>
          <w:bdr w:val="nil"/>
          <w14:textOutline w14:w="0" w14:cap="flat" w14:cmpd="sng" w14:algn="ctr">
            <w14:noFill/>
            <w14:prstDash w14:val="solid"/>
            <w14:bevel/>
          </w14:textOutline>
        </w:rPr>
        <w:lastRenderedPageBreak/>
        <w:t>Both achievements, maintaining initial legal review levels over</w:t>
      </w:r>
      <w:r w:rsidRPr="00066040">
        <w:rPr>
          <w:rFonts w:eastAsia="Calibri" w:cs="Calibri"/>
          <w:color w:val="000000"/>
          <w:bdr w:val="nil"/>
          <w14:textOutline w14:w="0" w14:cap="flat" w14:cmpd="sng" w14:algn="ctr">
            <w14:noFill/>
            <w14:prstDash w14:val="solid"/>
            <w14:bevel/>
          </w14:textOutline>
        </w:rPr>
        <w:t xml:space="preserve"> 90% </w:t>
      </w:r>
      <w:r>
        <w:rPr>
          <w:rFonts w:eastAsia="Calibri" w:cs="Calibri"/>
          <w:color w:val="000000"/>
          <w:bdr w:val="nil"/>
          <w14:textOutline w14:w="0" w14:cap="flat" w14:cmpd="sng" w14:algn="ctr">
            <w14:noFill/>
            <w14:prstDash w14:val="solid"/>
            <w14:bevel/>
          </w14:textOutline>
        </w:rPr>
        <w:t xml:space="preserve">and progress made in concluding the processing of requests pending a final decision, are the result of actions to strengthen the precautionary measures mechanism and transparency implemented by the IACHR. These efforts range from implementing </w:t>
      </w:r>
      <w:hyperlink r:id="rId216">
        <w:r w:rsidRPr="6D82FDC4">
          <w:rPr>
            <w:rStyle w:val="Hyperlink"/>
            <w:rFonts w:eastAsia="Calibri" w:cs="Calibri"/>
            <w:color w:val="0563C1"/>
          </w:rPr>
          <w:t>Resolution 3/2018 “Strengthening of the processing of requests for precautionary measures”</w:t>
        </w:r>
      </w:hyperlink>
      <w:r w:rsidRPr="6D82FDC4">
        <w:rPr>
          <w:rFonts w:eastAsia="Calibri" w:cs="Calibri"/>
          <w:color w:val="000000" w:themeColor="text1"/>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strengthening internal capacities with a substantial increase in the technical and administrative team; the creation of task forces; and the development of new methodologies and instruments for the work of analyzing precautionary measures.</w:t>
      </w:r>
    </w:p>
    <w:p w14:paraId="00A50EC1" w14:textId="77777777" w:rsidR="008668B8" w:rsidRPr="00066040" w:rsidRDefault="008668B8" w:rsidP="008668B8">
      <w:pPr>
        <w:pStyle w:val="ListParagraph"/>
        <w:rPr>
          <w:rFonts w:ascii="Cambria" w:eastAsia="Calibri" w:hAnsi="Cambria" w:cs="Calibri"/>
          <w:color w:val="000000"/>
          <w:sz w:val="20"/>
          <w:szCs w:val="20"/>
          <w:u w:color="000000"/>
          <w:bdr w:val="nil"/>
          <w14:textOutline w14:w="0" w14:cap="flat" w14:cmpd="sng" w14:algn="ctr">
            <w14:noFill/>
            <w14:prstDash w14:val="solid"/>
            <w14:bevel/>
          </w14:textOutline>
        </w:rPr>
      </w:pPr>
    </w:p>
    <w:p w14:paraId="5733BDFB" w14:textId="77777777" w:rsidR="008668B8" w:rsidRPr="00066040"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Pr>
          <w:rFonts w:eastAsia="Calibri" w:cs="Calibri"/>
          <w:color w:val="000000"/>
          <w:bdr w:val="nil"/>
          <w14:textOutline w14:w="0" w14:cap="flat" w14:cmpd="sng" w14:algn="ctr">
            <w14:noFill/>
            <w14:prstDash w14:val="solid"/>
            <w14:bevel/>
          </w14:textOutline>
        </w:rPr>
        <w:t>I</w:t>
      </w:r>
      <w:r w:rsidRPr="00066040">
        <w:rPr>
          <w:rFonts w:eastAsia="Calibri" w:cs="Calibri"/>
          <w:color w:val="000000"/>
          <w:bdr w:val="nil"/>
          <w14:textOutline w14:w="0" w14:cap="flat" w14:cmpd="sng" w14:algn="ctr">
            <w14:noFill/>
            <w14:prstDash w14:val="solid"/>
            <w14:bevel/>
          </w14:textOutline>
        </w:rPr>
        <w:t xml:space="preserve">n 2022, </w:t>
      </w:r>
      <w:r>
        <w:rPr>
          <w:rFonts w:eastAsia="Calibri" w:cs="Calibri"/>
          <w:color w:val="000000"/>
          <w:bdr w:val="nil"/>
          <w14:textOutline w14:w="0" w14:cap="flat" w14:cmpd="sng" w14:algn="ctr">
            <w14:noFill/>
            <w14:prstDash w14:val="solid"/>
            <w14:bevel/>
          </w14:textOutline>
        </w:rPr>
        <w:t xml:space="preserve">the IACHR continued to implement </w:t>
      </w:r>
      <w:hyperlink r:id="rId217">
        <w:r w:rsidRPr="6D82FDC4">
          <w:rPr>
            <w:rStyle w:val="Hyperlink"/>
            <w:rFonts w:eastAsia="Calibri" w:cs="Calibri"/>
          </w:rPr>
          <w:t>Resolution 3/2018 “Strengthening of the processing of requests for precautionary measures,”</w:t>
        </w:r>
      </w:hyperlink>
      <w:r w:rsidRPr="6D82FDC4">
        <w:rPr>
          <w:rFonts w:eastAsia="Calibri" w:cs="Calibri"/>
          <w:color w:val="000000" w:themeColor="text1"/>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which made it possible to strengthen the methodology for the initial study of requests received</w:t>
      </w:r>
      <w:r w:rsidRPr="00066040">
        <w:rPr>
          <w:rFonts w:eastAsia="Calibri" w:cs="Calibri"/>
          <w:color w:val="000000"/>
          <w:bdr w:val="nil"/>
          <w14:textOutline w14:w="0" w14:cap="flat" w14:cmpd="sng" w14:algn="ctr">
            <w14:noFill/>
            <w14:prstDash w14:val="solid"/>
            <w14:bevel/>
          </w14:textOutline>
        </w:rPr>
        <w:t>, rec</w:t>
      </w:r>
      <w:r>
        <w:rPr>
          <w:rFonts w:eastAsia="Calibri" w:cs="Calibri"/>
          <w:color w:val="000000"/>
          <w:bdr w:val="nil"/>
          <w14:textOutline w14:w="0" w14:cap="flat" w14:cmpd="sng" w14:algn="ctr">
            <w14:noFill/>
            <w14:prstDash w14:val="solid"/>
            <w14:bevel/>
          </w14:textOutline>
        </w:rPr>
        <w:t xml:space="preserve">alling that they </w:t>
      </w:r>
      <w:r w:rsidRPr="00BE12F1">
        <w:rPr>
          <w:rFonts w:eastAsia="Calibri" w:cs="Calibri"/>
          <w:color w:val="000000"/>
          <w:bdr w:val="nil"/>
          <w14:textOutline w14:w="0" w14:cap="flat" w14:cmpd="sng" w14:algn="ctr">
            <w14:noFill/>
            <w14:prstDash w14:val="solid"/>
            <w14:bevel/>
          </w14:textOutline>
        </w:rPr>
        <w:t>continue to be diagnosed</w:t>
      </w:r>
      <w:r w:rsidRPr="00BE12F1">
        <w:rPr>
          <w:rFonts w:cs="Cambria"/>
          <w:color w:val="000000"/>
          <w:bdr w:val="nil"/>
          <w:vertAlign w:val="superscript"/>
          <w14:textOutline w14:w="0" w14:cap="flat" w14:cmpd="sng" w14:algn="ctr">
            <w14:noFill/>
            <w14:prstDash w14:val="solid"/>
            <w14:bevel/>
          </w14:textOutline>
        </w:rPr>
        <w:footnoteReference w:id="159"/>
      </w:r>
      <w:r w:rsidRPr="00BE12F1">
        <w:rPr>
          <w:rFonts w:eastAsia="Calibri" w:cs="Calibri"/>
          <w:color w:val="000000"/>
          <w:bdr w:val="nil"/>
          <w14:textOutline w14:w="0" w14:cap="flat" w14:cmpd="sng" w14:algn="ctr">
            <w14:noFill/>
            <w14:prstDash w14:val="solid"/>
            <w14:bevel/>
          </w14:textOutline>
        </w:rPr>
        <w:t xml:space="preserve"> daily </w:t>
      </w:r>
      <w:r>
        <w:rPr>
          <w:rFonts w:eastAsia="Calibri" w:cs="Calibri"/>
          <w:color w:val="000000"/>
          <w:bdr w:val="nil"/>
          <w14:textOutline w14:w="0" w14:cap="flat" w14:cmpd="sng" w14:algn="ctr">
            <w14:noFill/>
            <w14:prstDash w14:val="solid"/>
            <w14:bevel/>
          </w14:textOutline>
        </w:rPr>
        <w:t xml:space="preserve">and classified according to available information on their respective urgency. This allows the IACHR to prioritize requests that identify greater evidence of urgency, in accordance with Article </w:t>
      </w:r>
      <w:r w:rsidRPr="00066040">
        <w:rPr>
          <w:rFonts w:eastAsia="Calibri" w:cs="Calibri"/>
          <w:color w:val="000000"/>
          <w:bdr w:val="nil"/>
          <w14:textOutline w14:w="0" w14:cap="flat" w14:cmpd="sng" w14:algn="ctr">
            <w14:noFill/>
            <w14:prstDash w14:val="solid"/>
            <w14:bevel/>
          </w14:textOutline>
        </w:rPr>
        <w:t xml:space="preserve">25 </w:t>
      </w:r>
      <w:r>
        <w:rPr>
          <w:rFonts w:eastAsia="Calibri" w:cs="Calibri"/>
          <w:color w:val="000000"/>
          <w:bdr w:val="nil"/>
          <w14:textOutline w14:w="0" w14:cap="flat" w14:cmpd="sng" w14:algn="ctr">
            <w14:noFill/>
            <w14:prstDash w14:val="solid"/>
            <w14:bevel/>
          </w14:textOutline>
        </w:rPr>
        <w:t>of the Rules of Procedure, favoring more expeditious decision-making on matters that show more signs of imminent risk</w:t>
      </w:r>
      <w:r w:rsidRPr="00066040">
        <w:rPr>
          <w:rFonts w:eastAsia="Calibri" w:cs="Calibri"/>
          <w:color w:val="000000"/>
          <w:bdr w:val="nil"/>
          <w14:textOutline w14:w="0" w14:cap="flat" w14:cmpd="sng" w14:algn="ctr">
            <w14:noFill/>
            <w14:prstDash w14:val="solid"/>
            <w14:bevel/>
          </w14:textOutline>
        </w:rPr>
        <w:t>.</w:t>
      </w:r>
    </w:p>
    <w:p w14:paraId="770C250A" w14:textId="77777777" w:rsidR="008668B8" w:rsidRPr="00066040" w:rsidRDefault="008668B8" w:rsidP="008668B8">
      <w:pPr>
        <w:ind w:left="360"/>
        <w:jc w:val="both"/>
        <w:rPr>
          <w:rFonts w:ascii="Cambria" w:eastAsia="Calibri" w:hAnsi="Cambria" w:cs="Calibri"/>
          <w:color w:val="000000" w:themeColor="text1"/>
          <w:sz w:val="20"/>
          <w:szCs w:val="20"/>
        </w:rPr>
      </w:pPr>
    </w:p>
    <w:p w14:paraId="27F5FAA7" w14:textId="77777777" w:rsidR="008668B8" w:rsidRPr="00D97145"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sidRPr="00BE12F1">
        <w:rPr>
          <w:rFonts w:eastAsia="Calibri" w:cs="Calibri"/>
          <w:color w:val="000000"/>
          <w:bdr w:val="nil"/>
          <w14:textOutline w14:w="0" w14:cap="flat" w14:cmpd="sng" w14:algn="ctr">
            <w14:noFill/>
            <w14:prstDash w14:val="solid"/>
            <w14:bevel/>
          </w14:textOutline>
        </w:rPr>
        <w:t>In</w:t>
      </w:r>
      <w:r w:rsidRPr="00D97145">
        <w:rPr>
          <w:rFonts w:eastAsia="Calibri" w:cs="Calibri"/>
          <w:color w:val="000000"/>
          <w:bdr w:val="nil"/>
          <w14:textOutline w14:w="0" w14:cap="flat" w14:cmpd="sng" w14:algn="ctr">
            <w14:noFill/>
            <w14:prstDash w14:val="solid"/>
            <w14:bevel/>
          </w14:textOutline>
        </w:rPr>
        <w:t xml:space="preserve"> the same regard, the referenced Resolution</w:t>
      </w:r>
      <w:hyperlink r:id="rId218" w:history="1">
        <w:r w:rsidRPr="00D97145">
          <w:rPr>
            <w:rFonts w:eastAsia="Calibri" w:cs="Calibri"/>
            <w:color w:val="000000"/>
            <w:bdr w:val="nil"/>
            <w14:textOutline w14:w="0" w14:cap="flat" w14:cmpd="sng" w14:algn="ctr">
              <w14:noFill/>
              <w14:prstDash w14:val="solid"/>
              <w14:bevel/>
            </w14:textOutline>
          </w:rPr>
          <w:t xml:space="preserve"> 3/2018</w:t>
        </w:r>
      </w:hyperlink>
      <w:r w:rsidRPr="00D97145">
        <w:rPr>
          <w:rFonts w:eastAsia="Calibri" w:cs="Calibri"/>
          <w:color w:val="000000"/>
          <w:bdr w:val="nil"/>
          <w14:textOutline w14:w="0" w14:cap="flat" w14:cmpd="sng" w14:algn="ctr">
            <w14:noFill/>
            <w14:prstDash w14:val="solid"/>
            <w14:bevel/>
          </w14:textOutline>
        </w:rPr>
        <w:t xml:space="preserve"> provided greater flexibility in the processing of matters or claims that the Commission has, historically and consistently, considered not susceptible of being analyzed through the precautionary measures mechanism, as they would entail an analysis of the merits, which belongs to the petition and case system. In addition, implementation of Resolution 3/2018 allowed the Commission, in certain situations, to inactivate requests for precautionary measures in which no response was received from the applicants by established deadlines.</w:t>
      </w:r>
      <w:r w:rsidRPr="00D97145">
        <w:rPr>
          <w:rFonts w:eastAsia="Calibri" w:cs="Calibri"/>
          <w:color w:val="000000"/>
          <w:bdr w:val="nil"/>
          <w14:textOutline w14:w="0" w14:cap="flat" w14:cmpd="sng" w14:algn="ctr">
            <w14:noFill/>
            <w14:prstDash w14:val="solid"/>
            <w14:bevel/>
          </w14:textOutline>
        </w:rPr>
        <w:footnoteReference w:id="160"/>
      </w:r>
      <w:r w:rsidRPr="00D97145">
        <w:rPr>
          <w:rFonts w:eastAsia="Calibri" w:cs="Calibri"/>
          <w:color w:val="000000"/>
          <w:bdr w:val="nil"/>
          <w14:textOutline w14:w="0" w14:cap="flat" w14:cmpd="sng" w14:algn="ctr">
            <w14:noFill/>
            <w14:prstDash w14:val="solid"/>
            <w14:bevel/>
          </w14:textOutline>
        </w:rPr>
        <w:t xml:space="preserve"> In 2022, the Commission periodically reviewed all communications recorded in the files of inactivated precautionary measures requests, in order to evaluate whether information has been submitted on new risk factors that warrant another assessment under a new precautionary measures request record.</w:t>
      </w:r>
    </w:p>
    <w:p w14:paraId="229DA2A0" w14:textId="77777777" w:rsidR="008668B8" w:rsidRPr="00D97145" w:rsidRDefault="008668B8" w:rsidP="00D97145">
      <w:pPr>
        <w:pStyle w:val="BodyText"/>
        <w:widowControl/>
        <w:ind w:left="720"/>
        <w:jc w:val="both"/>
        <w:rPr>
          <w:rFonts w:eastAsia="Calibri" w:cs="Calibri"/>
          <w:color w:val="000000"/>
          <w:bdr w:val="nil"/>
          <w14:textOutline w14:w="0" w14:cap="flat" w14:cmpd="sng" w14:algn="ctr">
            <w14:noFill/>
            <w14:prstDash w14:val="solid"/>
            <w14:bevel/>
          </w14:textOutline>
        </w:rPr>
      </w:pPr>
    </w:p>
    <w:p w14:paraId="14749252" w14:textId="77777777" w:rsidR="008668B8" w:rsidRPr="00066040"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Pr>
          <w:rFonts w:eastAsia="Calibri" w:cs="Calibri"/>
          <w:color w:val="000000"/>
          <w:bdr w:val="nil"/>
          <w14:textOutline w14:w="0" w14:cap="flat" w14:cmpd="sng" w14:algn="ctr">
            <w14:noFill/>
            <w14:prstDash w14:val="solid"/>
            <w14:bevel/>
          </w14:textOutline>
        </w:rPr>
        <w:t xml:space="preserve">Due to the efforts made to strengthen the timely response capability of the precautionary measures mechanism, in </w:t>
      </w:r>
      <w:r w:rsidRPr="00066040">
        <w:rPr>
          <w:rFonts w:eastAsia="Calibri" w:cs="Calibri"/>
          <w:color w:val="000000"/>
          <w:bdr w:val="nil"/>
          <w14:textOutline w14:w="0" w14:cap="flat" w14:cmpd="sng" w14:algn="ctr">
            <w14:noFill/>
            <w14:prstDash w14:val="solid"/>
            <w14:bevel/>
          </w14:textOutline>
        </w:rPr>
        <w:t>202</w:t>
      </w:r>
      <w:r>
        <w:rPr>
          <w:rFonts w:eastAsia="Calibri" w:cs="Calibri"/>
          <w:color w:val="000000"/>
          <w:bdr w:val="nil"/>
          <w14:textOutline w14:w="0" w14:cap="flat" w14:cmpd="sng" w14:algn="ctr">
            <w14:noFill/>
            <w14:prstDash w14:val="solid"/>
            <w14:bevel/>
          </w14:textOutline>
        </w:rPr>
        <w:t>2 the Commission achieved a substantial decrease in the number of pending requests being processed. In addition, in contrast with the two previous years, the IACHR saw a decrease in requests for precautionary measures related to COVID-19, given the progress the region has made in controlling the pandemic. In this regard, the IACHR received</w:t>
      </w:r>
      <w:r w:rsidRPr="00066040">
        <w:rPr>
          <w:rFonts w:eastAsia="Calibri" w:cs="Calibri"/>
          <w:color w:val="000000"/>
          <w:bdr w:val="nil"/>
          <w14:textOutline w14:w="0" w14:cap="flat" w14:cmpd="sng" w14:algn="ctr">
            <w14:noFill/>
            <w14:prstDash w14:val="solid"/>
            <w14:bevel/>
          </w14:textOutline>
        </w:rPr>
        <w:t xml:space="preserve"> 347 </w:t>
      </w:r>
      <w:r>
        <w:rPr>
          <w:rFonts w:eastAsia="Calibri" w:cs="Calibri"/>
          <w:color w:val="000000"/>
          <w:bdr w:val="nil"/>
          <w14:textOutline w14:w="0" w14:cap="flat" w14:cmpd="sng" w14:algn="ctr">
            <w14:noFill/>
            <w14:prstDash w14:val="solid"/>
            <w14:bevel/>
          </w14:textOutline>
        </w:rPr>
        <w:t xml:space="preserve">requests in </w:t>
      </w:r>
      <w:r w:rsidRPr="00066040">
        <w:rPr>
          <w:rFonts w:eastAsia="Calibri" w:cs="Calibri"/>
          <w:color w:val="000000"/>
          <w:bdr w:val="nil"/>
          <w14:textOutline w14:w="0" w14:cap="flat" w14:cmpd="sng" w14:algn="ctr">
            <w14:noFill/>
            <w14:prstDash w14:val="solid"/>
            <w14:bevel/>
          </w14:textOutline>
        </w:rPr>
        <w:t>2020 rela</w:t>
      </w:r>
      <w:r>
        <w:rPr>
          <w:rFonts w:eastAsia="Calibri" w:cs="Calibri"/>
          <w:color w:val="000000"/>
          <w:bdr w:val="nil"/>
          <w14:textOutline w14:w="0" w14:cap="flat" w14:cmpd="sng" w14:algn="ctr">
            <w14:noFill/>
            <w14:prstDash w14:val="solid"/>
            <w14:bevel/>
          </w14:textOutline>
        </w:rPr>
        <w:t xml:space="preserve">ted to the pandemic, </w:t>
      </w:r>
      <w:r w:rsidRPr="00066040">
        <w:rPr>
          <w:rFonts w:eastAsia="Calibri" w:cs="Calibri"/>
          <w:color w:val="000000"/>
          <w:bdr w:val="nil"/>
          <w14:textOutline w14:w="0" w14:cap="flat" w14:cmpd="sng" w14:algn="ctr">
            <w14:noFill/>
            <w14:prstDash w14:val="solid"/>
            <w14:bevel/>
          </w14:textOutline>
        </w:rPr>
        <w:t xml:space="preserve">143 </w:t>
      </w:r>
      <w:r>
        <w:rPr>
          <w:rFonts w:eastAsia="Calibri" w:cs="Calibri"/>
          <w:color w:val="000000"/>
          <w:bdr w:val="nil"/>
          <w14:textOutline w14:w="0" w14:cap="flat" w14:cmpd="sng" w14:algn="ctr">
            <w14:noFill/>
            <w14:prstDash w14:val="solid"/>
            <w14:bevel/>
          </w14:textOutline>
        </w:rPr>
        <w:t>i</w:t>
      </w:r>
      <w:r w:rsidRPr="00066040">
        <w:rPr>
          <w:rFonts w:eastAsia="Calibri" w:cs="Calibri"/>
          <w:color w:val="000000"/>
          <w:bdr w:val="nil"/>
          <w14:textOutline w14:w="0" w14:cap="flat" w14:cmpd="sng" w14:algn="ctr">
            <w14:noFill/>
            <w14:prstDash w14:val="solid"/>
            <w14:bevel/>
          </w14:textOutline>
        </w:rPr>
        <w:t xml:space="preserve">n 2021, </w:t>
      </w:r>
      <w:r>
        <w:rPr>
          <w:rFonts w:eastAsia="Calibri" w:cs="Calibri"/>
          <w:color w:val="000000"/>
          <w:bdr w:val="nil"/>
          <w14:textOutline w14:w="0" w14:cap="flat" w14:cmpd="sng" w14:algn="ctr">
            <w14:noFill/>
            <w14:prstDash w14:val="solid"/>
            <w14:bevel/>
          </w14:textOutline>
        </w:rPr>
        <w:t>and</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55</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in</w:t>
      </w:r>
      <w:r w:rsidRPr="00066040">
        <w:rPr>
          <w:rFonts w:eastAsia="Calibri" w:cs="Calibri"/>
          <w:color w:val="000000"/>
          <w:bdr w:val="nil"/>
          <w14:textOutline w14:w="0" w14:cap="flat" w14:cmpd="sng" w14:algn="ctr">
            <w14:noFill/>
            <w14:prstDash w14:val="solid"/>
            <w14:bevel/>
          </w14:textOutline>
        </w:rPr>
        <w:t xml:space="preserve"> 2022. </w:t>
      </w:r>
      <w:r>
        <w:rPr>
          <w:rFonts w:eastAsia="Calibri" w:cs="Calibri"/>
          <w:color w:val="000000"/>
          <w:bdr w:val="nil"/>
          <w14:textOutline w14:w="0" w14:cap="flat" w14:cmpd="sng" w14:algn="ctr">
            <w14:noFill/>
            <w14:prstDash w14:val="solid"/>
            <w14:bevel/>
          </w14:textOutline>
        </w:rPr>
        <w:t>That reduction had an impact on the respective decline in the total number of requests for precautionary measures in the year 2022</w:t>
      </w:r>
      <w:r w:rsidRPr="00066040">
        <w:rPr>
          <w:rFonts w:eastAsia="Calibri" w:cs="Calibri"/>
          <w:color w:val="000000"/>
          <w:bdr w:val="nil"/>
          <w14:textOutline w14:w="0" w14:cap="flat" w14:cmpd="sng" w14:algn="ctr">
            <w14:noFill/>
            <w14:prstDash w14:val="solid"/>
            <w14:bevel/>
          </w14:textOutline>
        </w:rPr>
        <w:t>.</w:t>
      </w:r>
    </w:p>
    <w:p w14:paraId="571DFE1F" w14:textId="77777777" w:rsidR="008668B8" w:rsidRPr="00066040" w:rsidRDefault="008668B8" w:rsidP="008668B8">
      <w:pPr>
        <w:pStyle w:val="ListParagraph"/>
        <w:rPr>
          <w:rFonts w:ascii="Cambria" w:eastAsia="Calibri" w:hAnsi="Cambria" w:cs="Calibri"/>
          <w:color w:val="000000"/>
          <w:sz w:val="20"/>
          <w:szCs w:val="20"/>
          <w:u w:color="000000"/>
          <w:bdr w:val="nil"/>
          <w14:textOutline w14:w="0" w14:cap="flat" w14:cmpd="sng" w14:algn="ctr">
            <w14:noFill/>
            <w14:prstDash w14:val="solid"/>
            <w14:bevel/>
          </w14:textOutline>
        </w:rPr>
      </w:pPr>
    </w:p>
    <w:p w14:paraId="34AADD27" w14:textId="77777777" w:rsidR="008668B8" w:rsidRDefault="008668B8" w:rsidP="008668B8">
      <w:pPr>
        <w:jc w:val="center"/>
      </w:pPr>
      <w:r>
        <w:rPr>
          <w:noProof/>
        </w:rPr>
        <w:lastRenderedPageBreak/>
        <w:drawing>
          <wp:inline distT="0" distB="0" distL="0" distR="0" wp14:anchorId="57A5F4F3" wp14:editId="14B3062A">
            <wp:extent cx="4572000" cy="2762250"/>
            <wp:effectExtent l="0" t="0" r="0" b="0"/>
            <wp:docPr id="1039104157" name="Picture 103910415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04157" name="Picture 1039104157" descr="Chart, waterfall chart&#10;&#10;Description automatically generated"/>
                    <pic:cNvPicPr/>
                  </pic:nvPicPr>
                  <pic:blipFill>
                    <a:blip r:embed="rId219">
                      <a:extLst>
                        <a:ext uri="{28A0092B-C50C-407E-A947-70E740481C1C}">
                          <a14:useLocalDpi xmlns:a14="http://schemas.microsoft.com/office/drawing/2010/main" val="0"/>
                        </a:ext>
                      </a:extLst>
                    </a:blip>
                    <a:stretch>
                      <a:fillRect/>
                    </a:stretch>
                  </pic:blipFill>
                  <pic:spPr>
                    <a:xfrm>
                      <a:off x="0" y="0"/>
                      <a:ext cx="4572000" cy="2762250"/>
                    </a:xfrm>
                    <a:prstGeom prst="rect">
                      <a:avLst/>
                    </a:prstGeom>
                  </pic:spPr>
                </pic:pic>
              </a:graphicData>
            </a:graphic>
          </wp:inline>
        </w:drawing>
      </w:r>
    </w:p>
    <w:p w14:paraId="19F2FE9B" w14:textId="77777777" w:rsidR="008668B8" w:rsidRPr="00066040" w:rsidRDefault="008668B8" w:rsidP="008668B8">
      <w:pPr>
        <w:pBdr>
          <w:top w:val="nil"/>
          <w:left w:val="nil"/>
          <w:bottom w:val="nil"/>
          <w:right w:val="nil"/>
          <w:between w:val="nil"/>
          <w:bar w:val="nil"/>
        </w:pBdr>
        <w:ind w:left="720"/>
        <w:jc w:val="center"/>
      </w:pPr>
    </w:p>
    <w:p w14:paraId="1A1E4732" w14:textId="77777777" w:rsidR="008668B8" w:rsidRPr="00066040" w:rsidRDefault="008668B8" w:rsidP="008668B8">
      <w:pPr>
        <w:rPr>
          <w:rFonts w:ascii="Cambria" w:eastAsia="Calibri" w:hAnsi="Cambria" w:cs="Calibri"/>
          <w:color w:val="000000"/>
          <w:sz w:val="20"/>
          <w:szCs w:val="20"/>
          <w:u w:color="000000"/>
          <w:bdr w:val="nil"/>
          <w14:textOutline w14:w="0" w14:cap="flat" w14:cmpd="sng" w14:algn="ctr">
            <w14:noFill/>
            <w14:prstDash w14:val="solid"/>
            <w14:bevel/>
          </w14:textOutline>
        </w:rPr>
      </w:pPr>
    </w:p>
    <w:p w14:paraId="169DF633" w14:textId="77777777" w:rsidR="008668B8" w:rsidRPr="00066040"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Pr>
          <w:rFonts w:eastAsia="Calibri" w:cs="Calibri"/>
          <w:color w:val="000000"/>
          <w:bdr w:val="nil"/>
          <w14:textOutline w14:w="0" w14:cap="flat" w14:cmpd="sng" w14:algn="ctr">
            <w14:noFill/>
            <w14:prstDash w14:val="solid"/>
            <w14:bevel/>
          </w14:textOutline>
        </w:rPr>
        <w:t>The Commission also noted a reduction in the number of requests filed regarding some countries in comparison with the year</w:t>
      </w:r>
      <w:r w:rsidRPr="00066040">
        <w:rPr>
          <w:rFonts w:eastAsia="Calibri" w:cs="Calibri"/>
          <w:color w:val="000000"/>
          <w:bdr w:val="nil"/>
          <w14:textOutline w14:w="0" w14:cap="flat" w14:cmpd="sng" w14:algn="ctr">
            <w14:noFill/>
            <w14:prstDash w14:val="solid"/>
            <w14:bevel/>
          </w14:textOutline>
        </w:rPr>
        <w:t xml:space="preserve"> 2021</w:t>
      </w:r>
      <w:r>
        <w:rPr>
          <w:rFonts w:eastAsia="Calibri" w:cs="Calibri"/>
          <w:color w:val="000000"/>
          <w:bdr w:val="nil"/>
          <w14:textOutline w14:w="0" w14:cap="flat" w14:cmpd="sng" w14:algn="ctr">
            <w14:noFill/>
            <w14:prstDash w14:val="solid"/>
            <w14:bevel/>
          </w14:textOutline>
        </w:rPr>
        <w:t>, such as</w:t>
      </w:r>
      <w:r w:rsidRPr="00066040">
        <w:rPr>
          <w:rFonts w:eastAsia="Calibri" w:cs="Calibri"/>
          <w:color w:val="000000"/>
          <w:bdr w:val="nil"/>
          <w14:textOutline w14:w="0" w14:cap="flat" w14:cmpd="sng" w14:algn="ctr">
            <w14:noFill/>
            <w14:prstDash w14:val="solid"/>
            <w14:bevel/>
          </w14:textOutline>
        </w:rPr>
        <w:t xml:space="preserve"> Colombia, Cuba</w:t>
      </w:r>
      <w:r>
        <w:rPr>
          <w:rFonts w:eastAsia="Calibri" w:cs="Calibri"/>
          <w:color w:val="000000"/>
          <w:bdr w:val="nil"/>
          <w14:textOutline w14:w="0" w14:cap="flat" w14:cmpd="sng" w14:algn="ctr">
            <w14:noFill/>
            <w14:prstDash w14:val="solid"/>
            <w14:bevel/>
          </w14:textOutline>
        </w:rPr>
        <w:t>, and</w:t>
      </w:r>
      <w:r w:rsidRPr="00066040">
        <w:rPr>
          <w:rFonts w:eastAsia="Calibri" w:cs="Calibri"/>
          <w:color w:val="000000"/>
          <w:bdr w:val="nil"/>
          <w14:textOutline w14:w="0" w14:cap="flat" w14:cmpd="sng" w14:algn="ctr">
            <w14:noFill/>
            <w14:prstDash w14:val="solid"/>
            <w14:bevel/>
          </w14:textOutline>
        </w:rPr>
        <w:t xml:space="preserve"> Nicaragua</w:t>
      </w:r>
      <w:r>
        <w:rPr>
          <w:rFonts w:eastAsia="Calibri" w:cs="Calibri"/>
          <w:color w:val="000000"/>
          <w:bdr w:val="nil"/>
          <w14:textOutline w14:w="0" w14:cap="flat" w14:cmpd="sng" w14:algn="ctr">
            <w14:noFill/>
            <w14:prstDash w14:val="solid"/>
            <w14:bevel/>
          </w14:textOutline>
        </w:rPr>
        <w:t xml:space="preserve"> where protests and electoral crises represented a substantial increase in the number of </w:t>
      </w:r>
      <w:r w:rsidRPr="00D97145">
        <w:rPr>
          <w:rFonts w:eastAsia="Calibri" w:cs="Calibri"/>
          <w:color w:val="000000"/>
          <w:bdr w:val="nil"/>
          <w14:textOutline w14:w="0" w14:cap="flat" w14:cmpd="sng" w14:algn="ctr">
            <w14:noFill/>
            <w14:prstDash w14:val="solid"/>
            <w14:bevel/>
          </w14:textOutline>
        </w:rPr>
        <w:t>received</w:t>
      </w:r>
      <w:r>
        <w:rPr>
          <w:rFonts w:eastAsia="Calibri" w:cs="Calibri"/>
          <w:color w:val="000000"/>
          <w:bdr w:val="nil"/>
          <w14:textOutline w14:w="0" w14:cap="flat" w14:cmpd="sng" w14:algn="ctr">
            <w14:noFill/>
            <w14:prstDash w14:val="solid"/>
            <w14:bevel/>
          </w14:textOutline>
        </w:rPr>
        <w:t xml:space="preserve"> </w:t>
      </w:r>
      <w:r w:rsidRPr="00066040">
        <w:rPr>
          <w:rFonts w:eastAsia="Calibri" w:cs="Calibri"/>
          <w:color w:val="000000"/>
          <w:bdr w:val="nil"/>
          <w14:textOutline w14:w="0" w14:cap="flat" w14:cmpd="sng" w14:algn="ctr">
            <w14:noFill/>
            <w14:prstDash w14:val="solid"/>
            <w14:bevel/>
          </w14:textOutline>
        </w:rPr>
        <w:t xml:space="preserve">requests for precautionary measures. In </w:t>
      </w:r>
      <w:r>
        <w:rPr>
          <w:rFonts w:eastAsia="Calibri" w:cs="Calibri"/>
          <w:color w:val="000000"/>
          <w:bdr w:val="nil"/>
          <w14:textOutline w14:w="0" w14:cap="flat" w14:cmpd="sng" w14:algn="ctr">
            <w14:noFill/>
            <w14:prstDash w14:val="solid"/>
            <w14:bevel/>
          </w14:textOutline>
        </w:rPr>
        <w:t>2022</w:t>
      </w:r>
      <w:r w:rsidRPr="00066040">
        <w:rPr>
          <w:rFonts w:eastAsia="Calibri" w:cs="Calibri"/>
          <w:color w:val="000000"/>
          <w:bdr w:val="nil"/>
          <w14:textOutline w14:w="0" w14:cap="flat" w14:cmpd="sng" w14:algn="ctr">
            <w14:noFill/>
            <w14:prstDash w14:val="solid"/>
            <w14:bevel/>
          </w14:textOutline>
        </w:rPr>
        <w:t>, the number of requests regarding these countries has returned to the average in prior years. In this regard, in</w:t>
      </w:r>
      <w:r>
        <w:rPr>
          <w:rFonts w:eastAsia="Calibri" w:cs="Calibri"/>
          <w:color w:val="000000"/>
          <w:bdr w:val="nil"/>
          <w14:textOutline w14:w="0" w14:cap="flat" w14:cmpd="sng" w14:algn="ctr">
            <w14:noFill/>
            <w14:prstDash w14:val="solid"/>
            <w14:bevel/>
          </w14:textOutline>
        </w:rPr>
        <w:t xml:space="preserve"> 2021, 15.15% </w:t>
      </w:r>
      <w:r w:rsidRPr="00066040">
        <w:rPr>
          <w:rFonts w:eastAsia="Calibri" w:cs="Calibri"/>
          <w:color w:val="000000"/>
          <w:bdr w:val="nil"/>
          <w14:textOutline w14:w="0" w14:cap="flat" w14:cmpd="sng" w14:algn="ctr">
            <w14:noFill/>
            <w14:prstDash w14:val="solid"/>
            <w14:bevel/>
          </w14:textOutline>
        </w:rPr>
        <w:t xml:space="preserve">of the requests for precautionary measures regarding </w:t>
      </w:r>
      <w:r>
        <w:rPr>
          <w:rFonts w:eastAsia="Calibri" w:cs="Calibri"/>
          <w:color w:val="000000"/>
          <w:bdr w:val="nil"/>
          <w14:textOutline w14:w="0" w14:cap="flat" w14:cmpd="sng" w14:algn="ctr">
            <w14:noFill/>
            <w14:prstDash w14:val="solid"/>
            <w14:bevel/>
          </w14:textOutline>
        </w:rPr>
        <w:t xml:space="preserve">Colombia </w:t>
      </w:r>
      <w:r w:rsidRPr="00D97145">
        <w:rPr>
          <w:rFonts w:eastAsia="Calibri" w:cs="Calibri"/>
          <w:color w:val="000000"/>
          <w:bdr w:val="nil"/>
          <w14:textOutline w14:w="0" w14:cap="flat" w14:cmpd="sng" w14:algn="ctr">
            <w14:noFill/>
            <w14:prstDash w14:val="solid"/>
            <w14:bevel/>
          </w14:textOutline>
        </w:rPr>
        <w:t xml:space="preserve">were related to protests, and 45.7% of the requests regarding Cuba </w:t>
      </w:r>
      <w:r w:rsidRPr="00066040">
        <w:rPr>
          <w:rFonts w:eastAsia="Calibri" w:cs="Calibri"/>
          <w:color w:val="000000"/>
          <w:bdr w:val="nil"/>
          <w14:textOutline w14:w="0" w14:cap="flat" w14:cmpd="sng" w14:algn="ctr">
            <w14:noFill/>
            <w14:prstDash w14:val="solid"/>
            <w14:bevel/>
          </w14:textOutline>
        </w:rPr>
        <w:t xml:space="preserve">were related to demonstrations. Similarly, the electoral context in </w:t>
      </w:r>
      <w:r>
        <w:rPr>
          <w:rFonts w:eastAsia="Calibri" w:cs="Calibri"/>
          <w:color w:val="000000"/>
          <w:bdr w:val="nil"/>
          <w14:textOutline w14:w="0" w14:cap="flat" w14:cmpd="sng" w14:algn="ctr">
            <w14:noFill/>
            <w14:prstDash w14:val="solid"/>
            <w14:bevel/>
          </w14:textOutline>
        </w:rPr>
        <w:t xml:space="preserve">Nicaragua </w:t>
      </w:r>
      <w:r w:rsidRPr="00066040">
        <w:rPr>
          <w:rFonts w:eastAsia="Calibri" w:cs="Calibri"/>
          <w:color w:val="000000"/>
          <w:bdr w:val="nil"/>
          <w14:textOutline w14:w="0" w14:cap="flat" w14:cmpd="sng" w14:algn="ctr">
            <w14:noFill/>
            <w14:prstDash w14:val="solid"/>
            <w14:bevel/>
          </w14:textOutline>
        </w:rPr>
        <w:t xml:space="preserve">in 2021 </w:t>
      </w:r>
      <w:r>
        <w:rPr>
          <w:rFonts w:eastAsia="Calibri" w:cs="Calibri"/>
          <w:color w:val="000000"/>
          <w:bdr w:val="nil"/>
          <w14:textOutline w14:w="0" w14:cap="flat" w14:cmpd="sng" w14:algn="ctr">
            <w14:noFill/>
            <w14:prstDash w14:val="solid"/>
            <w14:bevel/>
          </w14:textOutline>
        </w:rPr>
        <w:t>explains the increase in requests</w:t>
      </w:r>
      <w:r w:rsidRPr="00066040">
        <w:rPr>
          <w:rFonts w:eastAsia="Calibri" w:cs="Calibri"/>
          <w:color w:val="000000"/>
          <w:bdr w:val="nil"/>
          <w14:textOutline w14:w="0" w14:cap="flat" w14:cmpd="sng" w14:algn="ctr">
            <w14:noFill/>
            <w14:prstDash w14:val="solid"/>
            <w14:bevel/>
          </w14:textOutline>
        </w:rPr>
        <w:t xml:space="preserve"> regarding this country, which had </w:t>
      </w:r>
      <w:r>
        <w:rPr>
          <w:rFonts w:eastAsia="Calibri" w:cs="Calibri"/>
          <w:color w:val="000000"/>
          <w:bdr w:val="nil"/>
          <w14:textOutline w14:w="0" w14:cap="flat" w14:cmpd="sng" w14:algn="ctr">
            <w14:noFill/>
            <w14:prstDash w14:val="solid"/>
            <w14:bevel/>
          </w14:textOutline>
        </w:rPr>
        <w:t xml:space="preserve">26 </w:t>
      </w:r>
      <w:r w:rsidRPr="00066040">
        <w:rPr>
          <w:rFonts w:eastAsia="Calibri" w:cs="Calibri"/>
          <w:color w:val="000000"/>
          <w:bdr w:val="nil"/>
          <w14:textOutline w14:w="0" w14:cap="flat" w14:cmpd="sng" w14:algn="ctr">
            <w14:noFill/>
            <w14:prstDash w14:val="solid"/>
            <w14:bevel/>
          </w14:textOutline>
        </w:rPr>
        <w:t xml:space="preserve">requests in </w:t>
      </w:r>
      <w:r>
        <w:rPr>
          <w:rFonts w:eastAsia="Calibri" w:cs="Calibri"/>
          <w:color w:val="000000"/>
          <w:bdr w:val="nil"/>
          <w14:textOutline w14:w="0" w14:cap="flat" w14:cmpd="sng" w14:algn="ctr">
            <w14:noFill/>
            <w14:prstDash w14:val="solid"/>
            <w14:bevel/>
          </w14:textOutline>
        </w:rPr>
        <w:t xml:space="preserve">2020, 56 </w:t>
      </w:r>
      <w:r w:rsidRPr="00066040">
        <w:rPr>
          <w:rFonts w:eastAsia="Calibri" w:cs="Calibri"/>
          <w:color w:val="000000"/>
          <w:bdr w:val="nil"/>
          <w14:textOutline w14:w="0" w14:cap="flat" w14:cmpd="sng" w14:algn="ctr">
            <w14:noFill/>
            <w14:prstDash w14:val="solid"/>
            <w14:bevel/>
          </w14:textOutline>
        </w:rPr>
        <w:t>i</w:t>
      </w:r>
      <w:r>
        <w:rPr>
          <w:rFonts w:eastAsia="Calibri" w:cs="Calibri"/>
          <w:color w:val="000000"/>
          <w:bdr w:val="nil"/>
          <w14:textOutline w14:w="0" w14:cap="flat" w14:cmpd="sng" w14:algn="ctr">
            <w14:noFill/>
            <w14:prstDash w14:val="solid"/>
            <w14:bevel/>
          </w14:textOutline>
        </w:rPr>
        <w:t>n 2021</w:t>
      </w:r>
      <w:r w:rsidRPr="00635D34">
        <w:rPr>
          <w:rFonts w:eastAsia="Calibri" w:cs="Calibri"/>
          <w:color w:val="000000"/>
          <w:bdr w:val="nil"/>
          <w14:textOutline w14:w="0" w14:cap="flat" w14:cmpd="sng" w14:algn="ctr">
            <w14:noFill/>
            <w14:prstDash w14:val="solid"/>
            <w14:bevel/>
          </w14:textOutline>
        </w:rPr>
        <w:t>, and 27 i</w:t>
      </w:r>
      <w:r w:rsidRPr="00066040">
        <w:rPr>
          <w:rFonts w:eastAsia="Calibri" w:cs="Calibri"/>
          <w:color w:val="000000"/>
          <w:bdr w:val="nil"/>
          <w14:textOutline w14:w="0" w14:cap="flat" w14:cmpd="sng" w14:algn="ctr">
            <w14:noFill/>
            <w14:prstDash w14:val="solid"/>
            <w14:bevel/>
          </w14:textOutline>
        </w:rPr>
        <w:t>n 2022.</w:t>
      </w:r>
      <w:r>
        <w:rPr>
          <w:rFonts w:eastAsia="Calibri" w:cs="Calibri"/>
          <w:color w:val="000000"/>
          <w:bdr w:val="nil"/>
          <w14:textOutline w14:w="0" w14:cap="flat" w14:cmpd="sng" w14:algn="ctr">
            <w14:noFill/>
            <w14:prstDash w14:val="solid"/>
            <w14:bevel/>
          </w14:textOutline>
        </w:rPr>
        <w:t xml:space="preserve"> </w:t>
      </w:r>
      <w:r w:rsidRPr="00066040">
        <w:rPr>
          <w:rFonts w:eastAsia="Calibri" w:cs="Calibri"/>
          <w:color w:val="000000"/>
          <w:bdr w:val="nil"/>
          <w14:textOutline w14:w="0" w14:cap="flat" w14:cmpd="sng" w14:algn="ctr">
            <w14:noFill/>
            <w14:prstDash w14:val="solid"/>
            <w14:bevel/>
          </w14:textOutline>
        </w:rPr>
        <w:t>Such factors, added to the decrease in requests related to the</w:t>
      </w:r>
      <w:r>
        <w:rPr>
          <w:rFonts w:eastAsia="Calibri" w:cs="Calibri"/>
          <w:color w:val="000000"/>
          <w:bdr w:val="nil"/>
          <w14:textOutline w14:w="0" w14:cap="flat" w14:cmpd="sng" w14:algn="ctr">
            <w14:noFill/>
            <w14:prstDash w14:val="solid"/>
            <w14:bevel/>
          </w14:textOutline>
        </w:rPr>
        <w:t xml:space="preserve"> COVID-19</w:t>
      </w:r>
      <w:r w:rsidRPr="00066040">
        <w:rPr>
          <w:rFonts w:eastAsia="Calibri" w:cs="Calibri"/>
          <w:color w:val="000000"/>
          <w:bdr w:val="nil"/>
          <w14:textOutline w14:w="0" w14:cap="flat" w14:cmpd="sng" w14:algn="ctr">
            <w14:noFill/>
            <w14:prstDash w14:val="solid"/>
            <w14:bevel/>
          </w14:textOutline>
        </w:rPr>
        <w:t xml:space="preserve"> pandemic, contributed to the decline in the total number of requests for precautionary measures filed in </w:t>
      </w:r>
      <w:r w:rsidRPr="00D97145">
        <w:rPr>
          <w:rFonts w:eastAsia="Calibri" w:cs="Calibri"/>
          <w:color w:val="000000"/>
          <w:bdr w:val="nil"/>
          <w14:textOutline w14:w="0" w14:cap="flat" w14:cmpd="sng" w14:algn="ctr">
            <w14:noFill/>
            <w14:prstDash w14:val="solid"/>
            <w14:bevel/>
          </w14:textOutline>
        </w:rPr>
        <w:t>2022.</w:t>
      </w:r>
    </w:p>
    <w:p w14:paraId="44FABC5F" w14:textId="77777777" w:rsidR="008668B8" w:rsidRPr="00D97145" w:rsidRDefault="008668B8" w:rsidP="00D97145">
      <w:pPr>
        <w:pStyle w:val="BodyText"/>
        <w:widowControl/>
        <w:ind w:left="720"/>
        <w:jc w:val="both"/>
        <w:rPr>
          <w:rFonts w:eastAsia="Calibri" w:cs="Calibri"/>
          <w:color w:val="000000"/>
          <w:bdr w:val="nil"/>
          <w14:textOutline w14:w="0" w14:cap="flat" w14:cmpd="sng" w14:algn="ctr">
            <w14:noFill/>
            <w14:prstDash w14:val="solid"/>
            <w14:bevel/>
          </w14:textOutline>
        </w:rPr>
      </w:pPr>
    </w:p>
    <w:p w14:paraId="62196B0A" w14:textId="77777777" w:rsidR="008668B8" w:rsidRPr="00D97145"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Pr>
          <w:rFonts w:eastAsia="Calibri" w:cs="Calibri"/>
          <w:color w:val="000000"/>
          <w:bdr w:val="nil"/>
          <w14:textOutline w14:w="0" w14:cap="flat" w14:cmpd="sng" w14:algn="ctr">
            <w14:noFill/>
            <w14:prstDash w14:val="solid"/>
            <w14:bevel/>
          </w14:textOutline>
        </w:rPr>
        <w:t>In</w:t>
      </w:r>
      <w:r w:rsidRPr="00066040">
        <w:rPr>
          <w:rFonts w:eastAsia="Calibri" w:cs="Calibri"/>
          <w:color w:val="000000"/>
          <w:bdr w:val="nil"/>
          <w14:textOutline w14:w="0" w14:cap="flat" w14:cmpd="sng" w14:algn="ctr">
            <w14:noFill/>
            <w14:prstDash w14:val="solid"/>
            <w14:bevel/>
          </w14:textOutline>
        </w:rPr>
        <w:t xml:space="preserve"> 2022</w:t>
      </w:r>
      <w:r>
        <w:rPr>
          <w:rFonts w:eastAsia="Calibri" w:cs="Calibri"/>
          <w:color w:val="000000"/>
          <w:bdr w:val="nil"/>
          <w14:textOutline w14:w="0" w14:cap="flat" w14:cmpd="sng" w14:algn="ctr">
            <w14:noFill/>
            <w14:prstDash w14:val="solid"/>
            <w14:bevel/>
          </w14:textOutline>
        </w:rPr>
        <w:t>, the IACHR granted and/or extended</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55</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precautionary measures by means of 45</w:t>
      </w:r>
      <w:r w:rsidRPr="00066040">
        <w:rPr>
          <w:rFonts w:eastAsia="Calibri" w:cs="Calibri"/>
          <w:color w:val="000000"/>
          <w:bdr w:val="nil"/>
          <w14:textOutline w14:w="0" w14:cap="flat" w14:cmpd="sng" w14:algn="ctr">
            <w14:noFill/>
            <w14:prstDash w14:val="solid"/>
            <w14:bevel/>
          </w14:textOutline>
        </w:rPr>
        <w:t xml:space="preserve"> resolu</w:t>
      </w:r>
      <w:r>
        <w:rPr>
          <w:rFonts w:eastAsia="Calibri" w:cs="Calibri"/>
          <w:color w:val="000000"/>
          <w:bdr w:val="nil"/>
          <w14:textOutline w14:w="0" w14:cap="flat" w14:cmpd="sng" w14:algn="ctr">
            <w14:noFill/>
            <w14:prstDash w14:val="solid"/>
            <w14:bevel/>
          </w14:textOutline>
        </w:rPr>
        <w:t>tions</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 xml:space="preserve">This work succeeded in protecting more </w:t>
      </w:r>
      <w:r w:rsidRPr="00635D34">
        <w:rPr>
          <w:rFonts w:eastAsia="Calibri" w:cs="Calibri"/>
          <w:color w:val="000000"/>
          <w:bdr w:val="nil"/>
          <w14:textOutline w14:w="0" w14:cap="flat" w14:cmpd="sng" w14:algn="ctr">
            <w14:noFill/>
            <w14:prstDash w14:val="solid"/>
            <w14:bevel/>
          </w14:textOutline>
        </w:rPr>
        <w:t>than 1,648 people</w:t>
      </w:r>
      <w:r>
        <w:rPr>
          <w:rFonts w:eastAsia="Calibri" w:cs="Calibri"/>
          <w:color w:val="000000"/>
          <w:bdr w:val="nil"/>
          <w14:textOutline w14:w="0" w14:cap="flat" w14:cmpd="sng" w14:algn="ctr">
            <w14:noFill/>
            <w14:prstDash w14:val="solid"/>
            <w14:bevel/>
          </w14:textOutline>
        </w:rPr>
        <w:t>, in addition to identifiable groups. In</w:t>
      </w:r>
      <w:r w:rsidRPr="00066040">
        <w:rPr>
          <w:rFonts w:eastAsia="Calibri" w:cs="Calibri"/>
          <w:color w:val="000000"/>
          <w:bdr w:val="nil"/>
          <w14:textOutline w14:w="0" w14:cap="flat" w14:cmpd="sng" w14:algn="ctr">
            <w14:noFill/>
            <w14:prstDash w14:val="solid"/>
            <w14:bevel/>
          </w14:textOutline>
        </w:rPr>
        <w:t xml:space="preserve"> 2022</w:t>
      </w:r>
      <w:r>
        <w:rPr>
          <w:rFonts w:eastAsia="Calibri" w:cs="Calibri"/>
          <w:color w:val="000000"/>
          <w:bdr w:val="nil"/>
          <w14:textOutline w14:w="0" w14:cap="flat" w14:cmpd="sng" w14:algn="ctr">
            <w14:noFill/>
            <w14:prstDash w14:val="solid"/>
            <w14:bevel/>
          </w14:textOutline>
        </w:rPr>
        <w:t>, the number of precautionary measures granted fell in comparison with prior years. This is the result not only of the reduction in the number of requests received but also the progress made in reducing the number of requests being processed and pending a final decision and addressing the chronological delay, which resulted in an increase in measures granted and extended in</w:t>
      </w:r>
      <w:r w:rsidRPr="00D97145">
        <w:rPr>
          <w:rFonts w:eastAsia="Calibri" w:cs="Calibri"/>
          <w:color w:val="000000"/>
          <w:bdr w:val="nil"/>
          <w14:textOutline w14:w="0" w14:cap="flat" w14:cmpd="sng" w14:algn="ctr">
            <w14:noFill/>
            <w14:prstDash w14:val="solid"/>
            <w14:bevel/>
          </w14:textOutline>
        </w:rPr>
        <w:t xml:space="preserve"> 2021</w:t>
      </w:r>
      <w:r w:rsidRPr="00066040">
        <w:rPr>
          <w:rFonts w:eastAsia="Calibri" w:cs="Calibri"/>
          <w:color w:val="000000"/>
          <w:bdr w:val="nil"/>
          <w14:textOutline w14:w="0" w14:cap="flat" w14:cmpd="sng" w14:algn="ctr">
            <w14:noFill/>
            <w14:prstDash w14:val="solid"/>
            <w14:bevel/>
          </w14:textOutline>
        </w:rPr>
        <w:t>.</w:t>
      </w:r>
    </w:p>
    <w:p w14:paraId="042C595F" w14:textId="77777777" w:rsidR="008668B8" w:rsidRPr="00D97145" w:rsidRDefault="008668B8" w:rsidP="00D97145">
      <w:pPr>
        <w:pStyle w:val="BodyText"/>
        <w:widowControl/>
        <w:ind w:left="720"/>
        <w:jc w:val="both"/>
        <w:rPr>
          <w:rFonts w:eastAsia="Calibri" w:cs="Calibri"/>
          <w:color w:val="000000"/>
          <w:bdr w:val="nil"/>
          <w14:textOutline w14:w="0" w14:cap="flat" w14:cmpd="sng" w14:algn="ctr">
            <w14:noFill/>
            <w14:prstDash w14:val="solid"/>
            <w14:bevel/>
          </w14:textOutline>
        </w:rPr>
      </w:pPr>
    </w:p>
    <w:p w14:paraId="346D32DB" w14:textId="77777777" w:rsidR="008668B8" w:rsidRPr="00066040"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Pr>
          <w:rFonts w:eastAsia="Calibri" w:cs="Calibri"/>
          <w:color w:val="000000"/>
          <w:bdr w:val="nil"/>
          <w14:textOutline w14:w="0" w14:cap="flat" w14:cmpd="sng" w14:algn="ctr">
            <w14:noFill/>
            <w14:prstDash w14:val="solid"/>
            <w14:bevel/>
          </w14:textOutline>
        </w:rPr>
        <w:t xml:space="preserve">Of the requests for precautionary measures under analysis this year, the IACHR granted or extended an average </w:t>
      </w:r>
      <w:r w:rsidRPr="00370FE3">
        <w:rPr>
          <w:rFonts w:eastAsia="Calibri" w:cs="Calibri"/>
          <w:color w:val="000000"/>
          <w:bdr w:val="nil"/>
          <w14:textOutline w14:w="0" w14:cap="flat" w14:cmpd="sng" w14:algn="ctr">
            <w14:noFill/>
            <w14:prstDash w14:val="solid"/>
            <w14:bevel/>
          </w14:textOutline>
        </w:rPr>
        <w:t>of 4.8%.</w:t>
      </w:r>
      <w:r w:rsidRPr="00370FE3">
        <w:rPr>
          <w:rStyle w:val="FootnoteReference"/>
          <w:rFonts w:eastAsia="Calibri" w:cs="Calibri"/>
          <w:color w:val="000000"/>
          <w:bdr w:val="nil"/>
          <w14:textOutline w14:w="0" w14:cap="flat" w14:cmpd="sng" w14:algn="ctr">
            <w14:noFill/>
            <w14:prstDash w14:val="solid"/>
            <w14:bevel/>
          </w14:textOutline>
        </w:rPr>
        <w:footnoteReference w:id="161"/>
      </w:r>
      <w:r w:rsidRPr="00370FE3">
        <w:rPr>
          <w:rFonts w:eastAsia="Calibri" w:cs="Calibri"/>
          <w:color w:val="000000"/>
          <w:bdr w:val="nil"/>
          <w14:textOutline w14:w="0" w14:cap="flat" w14:cmpd="sng" w14:algn="ctr">
            <w14:noFill/>
            <w14:prstDash w14:val="solid"/>
            <w14:bevel/>
          </w14:textOutline>
        </w:rPr>
        <w:t xml:space="preserve"> Of</w:t>
      </w:r>
      <w:r>
        <w:rPr>
          <w:rFonts w:eastAsia="Calibri" w:cs="Calibri"/>
          <w:color w:val="000000"/>
          <w:bdr w:val="nil"/>
          <w14:textOutline w14:w="0" w14:cap="flat" w14:cmpd="sng" w14:algn="ctr">
            <w14:noFill/>
            <w14:prstDash w14:val="solid"/>
            <w14:bevel/>
          </w14:textOutline>
        </w:rPr>
        <w:t xml:space="preserve"> the precautionary measures granted or extended</w:t>
      </w:r>
      <w:r w:rsidRPr="00B36169">
        <w:rPr>
          <w:rFonts w:eastAsia="Calibri" w:cs="Calibri"/>
          <w:color w:val="000000"/>
          <w:bdr w:val="nil"/>
          <w14:textOutline w14:w="0" w14:cap="flat" w14:cmpd="sng" w14:algn="ctr">
            <w14:noFill/>
            <w14:prstDash w14:val="solid"/>
            <w14:bevel/>
          </w14:textOutline>
        </w:rPr>
        <w:t>, 46% were granted</w:t>
      </w:r>
      <w:r>
        <w:rPr>
          <w:rFonts w:eastAsia="Calibri" w:cs="Calibri"/>
          <w:color w:val="000000"/>
          <w:bdr w:val="nil"/>
          <w14:textOutline w14:w="0" w14:cap="flat" w14:cmpd="sng" w14:algn="ctr">
            <w14:noFill/>
            <w14:prstDash w14:val="solid"/>
            <w14:bevel/>
          </w14:textOutline>
        </w:rPr>
        <w:t xml:space="preserve"> in less than </w:t>
      </w:r>
      <w:r w:rsidRPr="00066040">
        <w:rPr>
          <w:rFonts w:eastAsia="Calibri" w:cs="Calibri"/>
          <w:color w:val="000000"/>
          <w:bdr w:val="nil"/>
          <w14:textOutline w14:w="0" w14:cap="flat" w14:cmpd="sng" w14:algn="ctr">
            <w14:noFill/>
            <w14:prstDash w14:val="solid"/>
            <w14:bevel/>
          </w14:textOutline>
        </w:rPr>
        <w:t>90 d</w:t>
      </w:r>
      <w:r>
        <w:rPr>
          <w:rFonts w:eastAsia="Calibri" w:cs="Calibri"/>
          <w:color w:val="000000"/>
          <w:bdr w:val="nil"/>
          <w14:textOutline w14:w="0" w14:cap="flat" w14:cmpd="sng" w14:algn="ctr">
            <w14:noFill/>
            <w14:prstDash w14:val="solid"/>
            <w14:bevel/>
          </w14:textOutline>
        </w:rPr>
        <w:t>ays of being recorded.</w:t>
      </w:r>
      <w:r w:rsidRPr="00066040">
        <w:rPr>
          <w:rFonts w:cs="Cambria"/>
          <w:color w:val="000000"/>
          <w:bdr w:val="nil"/>
          <w:vertAlign w:val="superscript"/>
          <w14:textOutline w14:w="0" w14:cap="flat" w14:cmpd="sng" w14:algn="ctr">
            <w14:noFill/>
            <w14:prstDash w14:val="solid"/>
            <w14:bevel/>
          </w14:textOutline>
        </w:rPr>
        <w:footnoteReference w:id="162"/>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These figures reflect timeliness in the granting of precautionary measures by the IACHR</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in which a large part of the measures granted are processed – including consultations with the requesting party and the State</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 and notified in less than three months of being recorded.</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In specific matters, in which the imminence of the risk admits of no delay, the IACHR grants measures in even shorter timelines</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In this regard, in</w:t>
      </w:r>
      <w:r w:rsidRPr="00066040">
        <w:rPr>
          <w:rFonts w:eastAsia="Calibri" w:cs="Calibri"/>
          <w:color w:val="000000"/>
          <w:bdr w:val="nil"/>
          <w14:textOutline w14:w="0" w14:cap="flat" w14:cmpd="sng" w14:algn="ctr">
            <w14:noFill/>
            <w14:prstDash w14:val="solid"/>
            <w14:bevel/>
          </w14:textOutline>
        </w:rPr>
        <w:t xml:space="preserve"> 2022</w:t>
      </w:r>
      <w:r w:rsidRPr="00C66BEA">
        <w:rPr>
          <w:rFonts w:eastAsia="Calibri" w:cs="Calibri"/>
          <w:color w:val="000000"/>
          <w:bdr w:val="nil"/>
          <w14:textOutline w14:w="0" w14:cap="flat" w14:cmpd="sng" w14:algn="ctr">
            <w14:noFill/>
            <w14:prstDash w14:val="solid"/>
            <w14:bevel/>
          </w14:textOutline>
        </w:rPr>
        <w:t>, two matters</w:t>
      </w:r>
      <w:r>
        <w:rPr>
          <w:rFonts w:eastAsia="Calibri" w:cs="Calibri"/>
          <w:color w:val="000000"/>
          <w:bdr w:val="nil"/>
          <w14:textOutline w14:w="0" w14:cap="flat" w14:cmpd="sng" w14:algn="ctr">
            <w14:noFill/>
            <w14:prstDash w14:val="solid"/>
            <w14:bevel/>
          </w14:textOutline>
        </w:rPr>
        <w:t>, regarding a death penalty and the disappearance of two persons, have been processed and the measure granted and notified in less than</w:t>
      </w:r>
      <w:r w:rsidRPr="00066040">
        <w:rPr>
          <w:rFonts w:eastAsia="Calibri" w:cs="Calibri"/>
          <w:color w:val="000000"/>
          <w:bdr w:val="nil"/>
          <w14:textOutline w14:w="0" w14:cap="flat" w14:cmpd="sng" w14:algn="ctr">
            <w14:noFill/>
            <w14:prstDash w14:val="solid"/>
            <w14:bevel/>
          </w14:textOutline>
        </w:rPr>
        <w:t xml:space="preserve"> 48 ho</w:t>
      </w:r>
      <w:r>
        <w:rPr>
          <w:rFonts w:eastAsia="Calibri" w:cs="Calibri"/>
          <w:color w:val="000000"/>
          <w:bdr w:val="nil"/>
          <w14:textOutline w14:w="0" w14:cap="flat" w14:cmpd="sng" w14:algn="ctr">
            <w14:noFill/>
            <w14:prstDash w14:val="solid"/>
            <w14:bevel/>
          </w14:textOutline>
        </w:rPr>
        <w:t>urs</w:t>
      </w:r>
      <w:r w:rsidRPr="00066040">
        <w:rPr>
          <w:rFonts w:eastAsia="Calibri" w:cs="Calibri"/>
          <w:color w:val="000000"/>
          <w:bdr w:val="nil"/>
          <w14:textOutline w14:w="0" w14:cap="flat" w14:cmpd="sng" w14:algn="ctr">
            <w14:noFill/>
            <w14:prstDash w14:val="solid"/>
            <w14:bevel/>
          </w14:textOutline>
        </w:rPr>
        <w:t>.</w:t>
      </w:r>
    </w:p>
    <w:p w14:paraId="5C44CEE1" w14:textId="77777777" w:rsidR="008668B8" w:rsidRPr="00066040" w:rsidRDefault="008668B8" w:rsidP="008668B8">
      <w:pPr>
        <w:pStyle w:val="ListParagraph"/>
        <w:rPr>
          <w:rFonts w:ascii="Cambria" w:eastAsia="Calibri" w:hAnsi="Cambria" w:cs="Calibri"/>
          <w:color w:val="000000"/>
          <w:sz w:val="20"/>
          <w:szCs w:val="20"/>
          <w:bdr w:val="nil"/>
          <w14:textOutline w14:w="0" w14:cap="flat" w14:cmpd="sng" w14:algn="ctr">
            <w14:noFill/>
            <w14:prstDash w14:val="solid"/>
            <w14:bevel/>
          </w14:textOutline>
        </w:rPr>
      </w:pPr>
    </w:p>
    <w:p w14:paraId="54986B79" w14:textId="19DEB936" w:rsidR="008668B8" w:rsidRPr="002C2474"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Pr>
          <w:rFonts w:eastAsia="Calibri" w:cs="Calibri"/>
          <w:color w:val="000000"/>
          <w:bdr w:val="nil"/>
          <w14:textOutline w14:w="0" w14:cap="flat" w14:cmpd="sng" w14:algn="ctr">
            <w14:noFill/>
            <w14:prstDash w14:val="solid"/>
            <w14:bevel/>
          </w14:textOutline>
        </w:rPr>
        <w:t>In addition, it should be emphasized that in</w:t>
      </w:r>
      <w:r w:rsidRPr="00066040">
        <w:rPr>
          <w:rFonts w:eastAsia="Calibri" w:cs="Calibri"/>
          <w:color w:val="000000"/>
          <w:bdr w:val="nil"/>
          <w14:textOutline w14:w="0" w14:cap="flat" w14:cmpd="sng" w14:algn="ctr">
            <w14:noFill/>
            <w14:prstDash w14:val="solid"/>
            <w14:bevel/>
          </w14:textOutline>
        </w:rPr>
        <w:t xml:space="preserve"> 2022</w:t>
      </w:r>
      <w:r>
        <w:rPr>
          <w:rFonts w:eastAsia="Calibri" w:cs="Calibri"/>
          <w:color w:val="000000"/>
          <w:bdr w:val="nil"/>
          <w14:textOutline w14:w="0" w14:cap="flat" w14:cmpd="sng" w14:algn="ctr">
            <w14:noFill/>
            <w14:prstDash w14:val="solid"/>
            <w14:bevel/>
          </w14:textOutline>
        </w:rPr>
        <w:t xml:space="preserve"> the IACHR </w:t>
      </w:r>
      <w:r w:rsidRPr="00C66BEA">
        <w:rPr>
          <w:rFonts w:eastAsia="Calibri" w:cs="Calibri"/>
          <w:color w:val="000000"/>
          <w:bdr w:val="nil"/>
          <w14:textOutline w14:w="0" w14:cap="flat" w14:cmpd="sng" w14:algn="ctr">
            <w14:noFill/>
            <w14:prstDash w14:val="solid"/>
            <w14:bevel/>
          </w14:textOutline>
        </w:rPr>
        <w:t>deliberated on 912 requests</w:t>
      </w:r>
      <w:r>
        <w:rPr>
          <w:rFonts w:eastAsia="Calibri" w:cs="Calibri"/>
          <w:color w:val="000000"/>
          <w:bdr w:val="nil"/>
          <w14:textOutline w14:w="0" w14:cap="flat" w14:cmpd="sng" w14:algn="ctr">
            <w14:noFill/>
            <w14:prstDash w14:val="solid"/>
            <w14:bevel/>
          </w14:textOutline>
        </w:rPr>
        <w:t xml:space="preserve"> for precautionary measures.</w:t>
      </w:r>
    </w:p>
    <w:p w14:paraId="765FD4F3" w14:textId="77777777" w:rsidR="008668B8" w:rsidRPr="007826D3" w:rsidRDefault="008668B8" w:rsidP="00933F91">
      <w:pPr>
        <w:pStyle w:val="Heading1"/>
        <w:numPr>
          <w:ilvl w:val="0"/>
          <w:numId w:val="41"/>
        </w:numPr>
        <w:ind w:left="1440" w:hanging="720"/>
        <w:rPr>
          <w:rFonts w:ascii="Cambria" w:eastAsia="Cambria" w:hAnsi="Cambria" w:cs="Cambria"/>
          <w:b/>
          <w:color w:val="000000"/>
          <w:sz w:val="22"/>
          <w:szCs w:val="22"/>
          <w:bdr w:val="nil"/>
          <w14:textOutline w14:w="0" w14:cap="flat" w14:cmpd="sng" w14:algn="ctr">
            <w14:noFill/>
            <w14:prstDash w14:val="solid"/>
            <w14:bevel/>
          </w14:textOutline>
        </w:rPr>
      </w:pPr>
      <w:bookmarkStart w:id="54" w:name="_Toc119668005"/>
      <w:r w:rsidRPr="007826D3">
        <w:rPr>
          <w:rFonts w:ascii="Cambria" w:hAnsi="Cambria"/>
          <w:b/>
          <w:bCs/>
          <w:color w:val="auto"/>
          <w:sz w:val="22"/>
          <w:szCs w:val="22"/>
          <w:u w:color="000000"/>
          <w:bdr w:val="nil"/>
        </w:rPr>
        <w:t>Follow-up of precautionary measures in force</w:t>
      </w:r>
      <w:bookmarkEnd w:id="54"/>
    </w:p>
    <w:p w14:paraId="55795FDE" w14:textId="77777777" w:rsidR="008668B8" w:rsidRPr="00066040" w:rsidRDefault="008668B8" w:rsidP="008668B8">
      <w:pPr>
        <w:pBdr>
          <w:top w:val="nil"/>
          <w:left w:val="nil"/>
          <w:bottom w:val="nil"/>
          <w:right w:val="nil"/>
          <w:between w:val="nil"/>
          <w:bar w:val="nil"/>
        </w:pBdr>
        <w:ind w:left="720"/>
        <w:jc w:val="both"/>
        <w:rPr>
          <w:rFonts w:ascii="Cambria" w:eastAsia="Calibri" w:hAnsi="Cambria" w:cs="Calibri"/>
          <w:color w:val="000000"/>
          <w:sz w:val="20"/>
          <w:szCs w:val="20"/>
          <w:u w:color="000000"/>
          <w:bdr w:val="nil"/>
          <w14:textOutline w14:w="0" w14:cap="flat" w14:cmpd="sng" w14:algn="ctr">
            <w14:noFill/>
            <w14:prstDash w14:val="solid"/>
            <w14:bevel/>
          </w14:textOutline>
        </w:rPr>
      </w:pPr>
    </w:p>
    <w:p w14:paraId="6DDF71C4" w14:textId="326C3626" w:rsidR="008668B8" w:rsidRDefault="008668B8" w:rsidP="00933F91">
      <w:pPr>
        <w:pStyle w:val="BodyText"/>
        <w:widowControl/>
        <w:numPr>
          <w:ilvl w:val="0"/>
          <w:numId w:val="58"/>
        </w:numPr>
        <w:ind w:left="0" w:firstLine="720"/>
        <w:jc w:val="both"/>
        <w:rPr>
          <w:rFonts w:eastAsia="Calibri" w:cs="Calibri"/>
          <w:bdr w:val="nil"/>
          <w:shd w:val="clear" w:color="auto" w:fill="FFFFFF"/>
          <w14:textOutline w14:w="0" w14:cap="flat" w14:cmpd="sng" w14:algn="ctr">
            <w14:noFill/>
            <w14:prstDash w14:val="solid"/>
            <w14:bevel/>
          </w14:textOutline>
        </w:rPr>
      </w:pPr>
      <w:r>
        <w:rPr>
          <w:rFonts w:eastAsia="Calibri" w:cs="Calibri"/>
          <w:bdr w:val="nil"/>
          <w14:textOutline w14:w="0" w14:cap="flat" w14:cmpd="sng" w14:algn="ctr">
            <w14:noFill/>
            <w14:prstDash w14:val="solid"/>
            <w14:bevel/>
          </w14:textOutline>
        </w:rPr>
        <w:t>In</w:t>
      </w:r>
      <w:r w:rsidRPr="00066040">
        <w:rPr>
          <w:rFonts w:eastAsia="Calibri" w:cs="Calibri"/>
          <w:bdr w:val="nil"/>
          <w:shd w:val="clear" w:color="auto" w:fill="FFFFFF"/>
          <w14:textOutline w14:w="0" w14:cap="flat" w14:cmpd="sng" w14:algn="ctr">
            <w14:noFill/>
            <w14:prstDash w14:val="solid"/>
            <w14:bevel/>
          </w14:textOutline>
        </w:rPr>
        <w:t xml:space="preserve"> 2022, </w:t>
      </w:r>
      <w:r>
        <w:rPr>
          <w:rFonts w:eastAsia="Calibri" w:cs="Calibri"/>
          <w:bdr w:val="nil"/>
          <w:shd w:val="clear" w:color="auto" w:fill="FFFFFF"/>
          <w14:textOutline w14:w="0" w14:cap="flat" w14:cmpd="sng" w14:algn="ctr">
            <w14:noFill/>
            <w14:prstDash w14:val="solid"/>
            <w14:bevel/>
          </w14:textOutline>
        </w:rPr>
        <w:t xml:space="preserve">the Commission continued implementation of </w:t>
      </w:r>
      <w:hyperlink r:id="rId220">
        <w:r w:rsidRPr="6D82FDC4">
          <w:rPr>
            <w:rStyle w:val="Hyperlink"/>
            <w:rFonts w:eastAsia="Calibri" w:cs="Calibri"/>
          </w:rPr>
          <w:t>Resolution 2/2020 - “Strengthening of the Monitoring of Precautionary Measures in Force,”</w:t>
        </w:r>
      </w:hyperlink>
      <w:r>
        <w:rPr>
          <w:rFonts w:eastAsia="Calibri" w:cs="Calibri"/>
          <w:bdr w:val="nil"/>
          <w:shd w:val="clear" w:color="auto" w:fill="FFFFFF"/>
          <w14:textOutline w14:w="0" w14:cap="flat" w14:cmpd="sng" w14:algn="ctr">
            <w14:noFill/>
            <w14:prstDash w14:val="solid"/>
            <w14:bevel/>
          </w14:textOutline>
        </w:rPr>
        <w:t xml:space="preserve"> which guides monitoring of the implementation of precautionary measures granted with a view to protecting the rights of beneficiaries</w:t>
      </w:r>
      <w:r w:rsidRPr="00066040">
        <w:rPr>
          <w:rFonts w:eastAsia="Calibri" w:cs="Calibri"/>
          <w:bdr w:val="nil"/>
          <w:shd w:val="clear" w:color="auto" w:fill="FFFFFF"/>
          <w14:textOutline w14:w="0" w14:cap="flat" w14:cmpd="sng" w14:algn="ctr">
            <w14:noFill/>
            <w14:prstDash w14:val="solid"/>
            <w14:bevel/>
          </w14:textOutline>
        </w:rPr>
        <w:t xml:space="preserve">. </w:t>
      </w:r>
      <w:r>
        <w:rPr>
          <w:rFonts w:eastAsia="Calibri" w:cs="Calibri"/>
          <w:bdr w:val="nil"/>
          <w:shd w:val="clear" w:color="auto" w:fill="FFFFFF"/>
          <w14:textOutline w14:w="0" w14:cap="flat" w14:cmpd="sng" w14:algn="ctr">
            <w14:noFill/>
            <w14:prstDash w14:val="solid"/>
            <w14:bevel/>
          </w14:textOutline>
        </w:rPr>
        <w:t xml:space="preserve">The Commission also continued its commitment to the States, the beneficiaries, and their representatives to strengthen the monitoring of precautionary measures in force, as well as to promote the transparency, </w:t>
      </w:r>
      <w:r w:rsidRPr="00066040">
        <w:rPr>
          <w:rFonts w:eastAsia="Calibri" w:cs="Calibri"/>
          <w:bdr w:val="nil"/>
          <w:shd w:val="clear" w:color="auto" w:fill="FFFFFF"/>
          <w14:textOutline w14:w="0" w14:cap="flat" w14:cmpd="sng" w14:algn="ctr">
            <w14:noFill/>
            <w14:prstDash w14:val="solid"/>
            <w14:bevel/>
          </w14:textOutline>
        </w:rPr>
        <w:t>pre</w:t>
      </w:r>
      <w:r>
        <w:rPr>
          <w:rFonts w:eastAsia="Calibri" w:cs="Calibri"/>
          <w:bdr w:val="nil"/>
          <w:shd w:val="clear" w:color="auto" w:fill="FFFFFF"/>
          <w14:textOutline w14:w="0" w14:cap="flat" w14:cmpd="sng" w14:algn="ctr">
            <w14:noFill/>
            <w14:prstDash w14:val="solid"/>
            <w14:bevel/>
          </w14:textOutline>
        </w:rPr>
        <w:t>dictability, and legal certainty of decisions. Resolution</w:t>
      </w:r>
      <w:r w:rsidRPr="00066040">
        <w:rPr>
          <w:rFonts w:eastAsia="Calibri" w:cs="Calibri"/>
          <w:bdr w:val="nil"/>
          <w:shd w:val="clear" w:color="auto" w:fill="FFFFFF"/>
          <w14:textOutline w14:w="0" w14:cap="flat" w14:cmpd="sng" w14:algn="ctr">
            <w14:noFill/>
            <w14:prstDash w14:val="solid"/>
            <w14:bevel/>
          </w14:textOutline>
        </w:rPr>
        <w:t xml:space="preserve"> 2/2020 </w:t>
      </w:r>
      <w:r>
        <w:rPr>
          <w:rFonts w:eastAsia="Calibri" w:cs="Calibri"/>
          <w:bdr w:val="nil"/>
          <w:shd w:val="clear" w:color="auto" w:fill="FFFFFF"/>
          <w14:textOutline w14:w="0" w14:cap="flat" w14:cmpd="sng" w14:algn="ctr">
            <w14:noFill/>
            <w14:prstDash w14:val="solid"/>
            <w14:bevel/>
          </w14:textOutline>
        </w:rPr>
        <w:t>also provides for the possibility of the IACHR issuance of Monitoring Resolutions on current matters that merit a statement on its part, in order to promote the implementation of precautionary measures as well as the possibility of holding working meetings outside of periods of sessions and conducting on-site visits so as to allow a closer approach to the beneficiaries and their representatives and State authorities, to gain direct knowledge of the implementation status of measures, and assess the current risk</w:t>
      </w:r>
      <w:r w:rsidRPr="00066040">
        <w:rPr>
          <w:rFonts w:eastAsia="Calibri" w:cs="Calibri"/>
          <w:bdr w:val="nil"/>
          <w:shd w:val="clear" w:color="auto" w:fill="FFFFFF"/>
          <w14:textOutline w14:w="0" w14:cap="flat" w14:cmpd="sng" w14:algn="ctr">
            <w14:noFill/>
            <w14:prstDash w14:val="solid"/>
            <w14:bevel/>
          </w14:textOutline>
        </w:rPr>
        <w:t>.</w:t>
      </w:r>
    </w:p>
    <w:p w14:paraId="37B29D16" w14:textId="77777777" w:rsidR="00FD3E0D" w:rsidRPr="002C2474" w:rsidRDefault="00FD3E0D" w:rsidP="00FD3E0D">
      <w:pPr>
        <w:pBdr>
          <w:top w:val="nil"/>
          <w:left w:val="nil"/>
          <w:bottom w:val="nil"/>
          <w:right w:val="nil"/>
          <w:between w:val="nil"/>
          <w:bar w:val="nil"/>
        </w:pBdr>
        <w:ind w:left="720"/>
        <w:jc w:val="both"/>
        <w:rPr>
          <w:rFonts w:ascii="Cambria" w:eastAsia="Calibri" w:hAnsi="Cambria" w:cs="Calibri"/>
          <w:sz w:val="20"/>
          <w:szCs w:val="20"/>
          <w:bdr w:val="nil"/>
          <w:shd w:val="clear" w:color="auto" w:fill="FFFFFF"/>
          <w14:textOutline w14:w="0" w14:cap="flat" w14:cmpd="sng" w14:algn="ctr">
            <w14:noFill/>
            <w14:prstDash w14:val="solid"/>
            <w14:bevel/>
          </w14:textOutline>
        </w:rPr>
      </w:pPr>
    </w:p>
    <w:p w14:paraId="301C6477" w14:textId="77777777" w:rsidR="008668B8" w:rsidRPr="00066040" w:rsidRDefault="008668B8" w:rsidP="00933F91">
      <w:pPr>
        <w:pStyle w:val="BodyText"/>
        <w:widowControl/>
        <w:numPr>
          <w:ilvl w:val="0"/>
          <w:numId w:val="58"/>
        </w:numPr>
        <w:ind w:left="0" w:firstLine="720"/>
        <w:jc w:val="both"/>
        <w:rPr>
          <w:rFonts w:eastAsia="Calibri" w:cs="Calibri"/>
          <w:color w:val="333333"/>
          <w:bdr w:val="nil"/>
          <w:shd w:val="clear" w:color="auto" w:fill="FFFFFF"/>
          <w14:textOutline w14:w="0" w14:cap="flat" w14:cmpd="sng" w14:algn="ctr">
            <w14:noFill/>
            <w14:prstDash w14:val="solid"/>
            <w14:bevel/>
          </w14:textOutline>
        </w:rPr>
      </w:pPr>
      <w:r>
        <w:rPr>
          <w:rFonts w:eastAsia="Calibri" w:cs="Calibri"/>
          <w:color w:val="000000"/>
          <w:bdr w:val="nil"/>
          <w14:textOutline w14:w="0" w14:cap="flat" w14:cmpd="sng" w14:algn="ctr">
            <w14:noFill/>
            <w14:prstDash w14:val="solid"/>
            <w14:bevel/>
          </w14:textOutline>
        </w:rPr>
        <w:t xml:space="preserve">In light of the above, and with a view to continued improvement in the monitoring of measures in force, the Executive Secretariat adopted a working methodology that allows the IACHR to periodically evaluate precautionary measures in force, both in terms of the suitability and effectiveness of the protective measures adopted by the States and persistent compliance with the procedural requirements. It is thus anticipated that the Commission will be able to focus on those matters that, based on the risk evidenced in terms of Article </w:t>
      </w:r>
      <w:r w:rsidRPr="00066040">
        <w:rPr>
          <w:rFonts w:eastAsia="Calibri" w:cs="Calibri"/>
          <w:color w:val="000000"/>
          <w:bdr w:val="nil"/>
          <w14:textOutline w14:w="0" w14:cap="flat" w14:cmpd="sng" w14:algn="ctr">
            <w14:noFill/>
            <w14:prstDash w14:val="solid"/>
            <w14:bevel/>
          </w14:textOutline>
        </w:rPr>
        <w:t xml:space="preserve">25, </w:t>
      </w:r>
      <w:r>
        <w:rPr>
          <w:rFonts w:eastAsia="Calibri" w:cs="Calibri"/>
          <w:color w:val="000000"/>
          <w:bdr w:val="nil"/>
          <w14:textOutline w14:w="0" w14:cap="flat" w14:cmpd="sng" w14:algn="ctr">
            <w14:noFill/>
            <w14:prstDash w14:val="solid"/>
            <w14:bevel/>
          </w14:textOutline>
        </w:rPr>
        <w:t>require its due consideration, as well as to adopt resolutions to lift precautionary measures when it decides to do so.</w:t>
      </w:r>
      <w:r w:rsidRPr="00066040">
        <w:rPr>
          <w:rStyle w:val="FootnoteReference"/>
          <w:rFonts w:eastAsia="Calibri" w:cs="Calibri"/>
          <w:color w:val="000000"/>
          <w:bdr w:val="nil"/>
          <w14:textOutline w14:w="0" w14:cap="flat" w14:cmpd="sng" w14:algn="ctr">
            <w14:noFill/>
            <w14:prstDash w14:val="solid"/>
            <w14:bevel/>
          </w14:textOutline>
        </w:rPr>
        <w:footnoteReference w:id="163"/>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It should be recalled that the IACHR has, since 2020, assigned specialized, full-time staff to overseeing measures in force, constituting the</w:t>
      </w:r>
      <w:r w:rsidRPr="00066040">
        <w:rPr>
          <w:rFonts w:eastAsia="Calibri" w:cs="Calibri"/>
          <w:color w:val="000000"/>
          <w:bdr w:val="nil"/>
          <w14:textOutline w14:w="0" w14:cap="flat" w14:cmpd="sng" w14:algn="ctr">
            <w14:noFill/>
            <w14:prstDash w14:val="solid"/>
            <w14:bevel/>
          </w14:textOutline>
        </w:rPr>
        <w:t xml:space="preserve"> </w:t>
      </w:r>
      <w:hyperlink r:id="rId221">
        <w:r w:rsidRPr="6D82FDC4">
          <w:rPr>
            <w:rStyle w:val="Hyperlink"/>
            <w:rFonts w:eastAsia="Calibri" w:cs="Calibri"/>
          </w:rPr>
          <w:t>Special Protection Overseeing Group</w:t>
        </w:r>
      </w:hyperlink>
      <w:r w:rsidRPr="00066040">
        <w:rPr>
          <w:rFonts w:eastAsia="Calibri" w:cs="Calibri"/>
          <w:color w:val="000000"/>
          <w:bdr w:val="nil"/>
          <w14:textOutline w14:w="0" w14:cap="flat" w14:cmpd="sng" w14:algn="ctr">
            <w14:noFill/>
            <w14:prstDash w14:val="solid"/>
            <w14:bevel/>
          </w14:textOutline>
        </w:rPr>
        <w:t>.</w:t>
      </w:r>
    </w:p>
    <w:p w14:paraId="4C46F13C" w14:textId="77777777" w:rsidR="008668B8" w:rsidRPr="00066040" w:rsidRDefault="008668B8" w:rsidP="008668B8">
      <w:pPr>
        <w:pBdr>
          <w:top w:val="nil"/>
          <w:left w:val="nil"/>
          <w:bottom w:val="nil"/>
          <w:right w:val="nil"/>
          <w:between w:val="nil"/>
          <w:bar w:val="nil"/>
        </w:pBdr>
        <w:ind w:left="720"/>
        <w:jc w:val="both"/>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p>
    <w:p w14:paraId="58A179FD" w14:textId="77777777" w:rsidR="008668B8" w:rsidRPr="00066040" w:rsidRDefault="008668B8" w:rsidP="00933F91">
      <w:pPr>
        <w:pStyle w:val="BodyText"/>
        <w:widowControl/>
        <w:numPr>
          <w:ilvl w:val="0"/>
          <w:numId w:val="58"/>
        </w:numPr>
        <w:ind w:left="0" w:firstLine="720"/>
        <w:jc w:val="both"/>
        <w:rPr>
          <w:rFonts w:eastAsia="Calibri" w:cs="Calibri"/>
          <w:color w:val="333333"/>
          <w:bdr w:val="nil"/>
          <w:shd w:val="clear" w:color="auto" w:fill="FFFFFF"/>
          <w14:textOutline w14:w="0" w14:cap="flat" w14:cmpd="sng" w14:algn="ctr">
            <w14:noFill/>
            <w14:prstDash w14:val="solid"/>
            <w14:bevel/>
          </w14:textOutline>
        </w:rPr>
      </w:pPr>
      <w:r>
        <w:rPr>
          <w:rFonts w:eastAsia="Calibri" w:cs="Calibri"/>
          <w:color w:val="333333"/>
          <w:bdr w:val="nil"/>
          <w:shd w:val="clear" w:color="auto" w:fill="FFFFFF"/>
          <w14:textOutline w14:w="0" w14:cap="flat" w14:cmpd="sng" w14:algn="ctr">
            <w14:noFill/>
            <w14:prstDash w14:val="solid"/>
            <w14:bevel/>
          </w14:textOutline>
        </w:rPr>
        <w:t>As a result of the actions adopted to ensure the follow-up of precautionary measures in force,</w:t>
      </w:r>
      <w:r w:rsidRPr="00066040">
        <w:rPr>
          <w:rFonts w:eastAsia="Calibri" w:cs="Calibri"/>
          <w:color w:val="333333"/>
          <w:bdr w:val="nil"/>
          <w:shd w:val="clear" w:color="auto" w:fill="FFFFFF"/>
          <w14:textOutline w14:w="0" w14:cap="flat" w14:cmpd="sng" w14:algn="ctr">
            <w14:noFill/>
            <w14:prstDash w14:val="solid"/>
            <w14:bevel/>
          </w14:textOutline>
        </w:rPr>
        <w:t xml:space="preserve"> </w:t>
      </w:r>
      <w:r>
        <w:rPr>
          <w:rFonts w:eastAsia="Calibri" w:cs="Calibri"/>
          <w:b/>
          <w:bCs/>
          <w:color w:val="333333"/>
          <w:bdr w:val="nil"/>
          <w:shd w:val="clear" w:color="auto" w:fill="FFFFFF"/>
          <w14:textOutline w14:w="0" w14:cap="flat" w14:cmpd="sng" w14:algn="ctr">
            <w14:noFill/>
            <w14:prstDash w14:val="solid"/>
            <w14:bevel/>
          </w14:textOutline>
        </w:rPr>
        <w:t xml:space="preserve">in 2022 the Commission managed, for the first time, to ensure that at least one overseeing action was carried out with respect to </w:t>
      </w:r>
      <w:r w:rsidRPr="00066040">
        <w:rPr>
          <w:rFonts w:eastAsia="Calibri" w:cs="Calibri"/>
          <w:b/>
          <w:bCs/>
          <w:color w:val="333333"/>
          <w:bdr w:val="nil"/>
          <w:shd w:val="clear" w:color="auto" w:fill="FFFFFF"/>
          <w14:textOutline w14:w="0" w14:cap="flat" w14:cmpd="sng" w14:algn="ctr">
            <w14:noFill/>
            <w14:prstDash w14:val="solid"/>
            <w14:bevel/>
          </w14:textOutline>
        </w:rPr>
        <w:t xml:space="preserve">100% </w:t>
      </w:r>
      <w:r>
        <w:rPr>
          <w:rFonts w:eastAsia="Calibri" w:cs="Calibri"/>
          <w:b/>
          <w:bCs/>
          <w:color w:val="333333"/>
          <w:bdr w:val="nil"/>
          <w:shd w:val="clear" w:color="auto" w:fill="FFFFFF"/>
          <w14:textOutline w14:w="0" w14:cap="flat" w14:cmpd="sng" w14:algn="ctr">
            <w14:noFill/>
            <w14:prstDash w14:val="solid"/>
            <w14:bevel/>
          </w14:textOutline>
        </w:rPr>
        <w:t>of the precautionary measures in force.</w:t>
      </w:r>
      <w:r w:rsidRPr="00066040">
        <w:rPr>
          <w:rStyle w:val="FootnoteReference"/>
          <w:rFonts w:eastAsia="Calibri" w:cs="Calibri"/>
          <w:b/>
          <w:bCs/>
          <w:color w:val="333333"/>
          <w:bdr w:val="nil"/>
          <w:shd w:val="clear" w:color="auto" w:fill="FFFFFF"/>
          <w14:textOutline w14:w="0" w14:cap="flat" w14:cmpd="sng" w14:algn="ctr">
            <w14:noFill/>
            <w14:prstDash w14:val="solid"/>
            <w14:bevel/>
          </w14:textOutline>
        </w:rPr>
        <w:footnoteReference w:id="164"/>
      </w:r>
      <w:r>
        <w:rPr>
          <w:rFonts w:eastAsia="Calibri" w:cs="Calibri"/>
          <w:color w:val="333333"/>
          <w:bdr w:val="nil"/>
          <w:shd w:val="clear" w:color="auto" w:fill="FFFFFF"/>
          <w14:textOutline w14:w="0" w14:cap="flat" w14:cmpd="sng" w14:algn="ctr">
            <w14:noFill/>
            <w14:prstDash w14:val="solid"/>
            <w14:bevel/>
          </w14:textOutline>
        </w:rPr>
        <w:t xml:space="preserve"> This achievement reflects a change, initiated in 2020, in the model for monitoring measures in force that allows for more periodic monitoring of the implementation of precautionary measures</w:t>
      </w:r>
      <w:r w:rsidRPr="00066040">
        <w:rPr>
          <w:rFonts w:eastAsia="Calibri" w:cs="Calibri"/>
          <w:color w:val="333333"/>
          <w:bdr w:val="nil"/>
          <w:shd w:val="clear" w:color="auto" w:fill="FFFFFF"/>
          <w14:textOutline w14:w="0" w14:cap="flat" w14:cmpd="sng" w14:algn="ctr">
            <w14:noFill/>
            <w14:prstDash w14:val="solid"/>
            <w14:bevel/>
          </w14:textOutline>
        </w:rPr>
        <w:t xml:space="preserve"> </w:t>
      </w:r>
      <w:r>
        <w:rPr>
          <w:rFonts w:eastAsia="Calibri" w:cs="Calibri"/>
          <w:color w:val="333333"/>
          <w:bdr w:val="nil"/>
          <w:shd w:val="clear" w:color="auto" w:fill="FFFFFF"/>
          <w14:textOutline w14:w="0" w14:cap="flat" w14:cmpd="sng" w14:algn="ctr">
            <w14:noFill/>
            <w14:prstDash w14:val="solid"/>
            <w14:bevel/>
          </w14:textOutline>
        </w:rPr>
        <w:t xml:space="preserve">as well as more timely updating of information to the IACHR. Along the same line, </w:t>
      </w:r>
      <w:r>
        <w:rPr>
          <w:rFonts w:eastAsia="Calibri" w:cs="Calibri"/>
          <w:b/>
          <w:bCs/>
          <w:color w:val="333333"/>
          <w:bdr w:val="nil"/>
          <w:shd w:val="clear" w:color="auto" w:fill="FFFFFF"/>
          <w14:textOutline w14:w="0" w14:cap="flat" w14:cmpd="sng" w14:algn="ctr">
            <w14:noFill/>
            <w14:prstDash w14:val="solid"/>
            <w14:bevel/>
          </w14:textOutline>
        </w:rPr>
        <w:t xml:space="preserve">the IACHR has also succeeded, </w:t>
      </w:r>
      <w:r w:rsidRPr="6D82FDC4">
        <w:rPr>
          <w:rFonts w:eastAsia="Calibri" w:cs="Calibri"/>
          <w:b/>
          <w:bCs/>
          <w:color w:val="333333"/>
        </w:rPr>
        <w:t>for the first time,</w:t>
      </w:r>
      <w:r>
        <w:rPr>
          <w:rFonts w:eastAsia="Calibri" w:cs="Calibri"/>
          <w:b/>
          <w:bCs/>
          <w:color w:val="333333"/>
          <w:bdr w:val="nil"/>
          <w:shd w:val="clear" w:color="auto" w:fill="FFFFFF"/>
          <w14:textOutline w14:w="0" w14:cap="flat" w14:cmpd="sng" w14:algn="ctr">
            <w14:noFill/>
            <w14:prstDash w14:val="solid"/>
            <w14:bevel/>
          </w14:textOutline>
        </w:rPr>
        <w:t xml:space="preserve"> in ensuring that reports sent by the parties are forwarded in </w:t>
      </w:r>
      <w:r w:rsidRPr="00066040">
        <w:rPr>
          <w:rFonts w:eastAsia="Calibri" w:cs="Calibri"/>
          <w:b/>
          <w:bCs/>
          <w:color w:val="333333"/>
          <w:bdr w:val="nil"/>
          <w:shd w:val="clear" w:color="auto" w:fill="FFFFFF"/>
          <w14:textOutline w14:w="0" w14:cap="flat" w14:cmpd="sng" w14:algn="ctr">
            <w14:noFill/>
            <w14:prstDash w14:val="solid"/>
            <w14:bevel/>
          </w14:textOutline>
        </w:rPr>
        <w:t xml:space="preserve">100% </w:t>
      </w:r>
      <w:r>
        <w:rPr>
          <w:rFonts w:eastAsia="Calibri" w:cs="Calibri"/>
          <w:b/>
          <w:bCs/>
          <w:color w:val="333333"/>
          <w:bdr w:val="nil"/>
          <w:shd w:val="clear" w:color="auto" w:fill="FFFFFF"/>
          <w14:textOutline w14:w="0" w14:cap="flat" w14:cmpd="sng" w14:algn="ctr">
            <w14:noFill/>
            <w14:prstDash w14:val="solid"/>
            <w14:bevel/>
          </w14:textOutline>
        </w:rPr>
        <w:t>of its portfolio of precautionary measures in force at least once each year</w:t>
      </w:r>
      <w:r w:rsidRPr="00066040">
        <w:rPr>
          <w:rFonts w:eastAsia="Calibri" w:cs="Calibri"/>
          <w:b/>
          <w:bCs/>
          <w:color w:val="333333"/>
          <w:bdr w:val="nil"/>
          <w:shd w:val="clear" w:color="auto" w:fill="FFFFFF"/>
          <w14:textOutline w14:w="0" w14:cap="flat" w14:cmpd="sng" w14:algn="ctr">
            <w14:noFill/>
            <w14:prstDash w14:val="solid"/>
            <w14:bevel/>
          </w14:textOutline>
        </w:rPr>
        <w:t>.</w:t>
      </w:r>
    </w:p>
    <w:p w14:paraId="45D1CE07" w14:textId="77777777" w:rsidR="008668B8" w:rsidRPr="00066040" w:rsidRDefault="008668B8" w:rsidP="008668B8">
      <w:pP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p>
    <w:p w14:paraId="1CD9CAB2" w14:textId="77777777" w:rsidR="008668B8" w:rsidRPr="00066040" w:rsidRDefault="008668B8" w:rsidP="00933F91">
      <w:pPr>
        <w:pStyle w:val="BodyText"/>
        <w:widowControl/>
        <w:numPr>
          <w:ilvl w:val="0"/>
          <w:numId w:val="58"/>
        </w:numPr>
        <w:ind w:left="0" w:firstLine="720"/>
        <w:jc w:val="both"/>
        <w:rPr>
          <w:rFonts w:eastAsia="Calibri" w:cs="Calibri"/>
          <w:color w:val="333333"/>
          <w:bdr w:val="nil"/>
          <w:shd w:val="clear" w:color="auto" w:fill="FFFFFF"/>
          <w14:textOutline w14:w="0" w14:cap="flat" w14:cmpd="sng" w14:algn="ctr">
            <w14:noFill/>
            <w14:prstDash w14:val="solid"/>
            <w14:bevel/>
          </w14:textOutline>
        </w:rPr>
      </w:pPr>
      <w:r>
        <w:rPr>
          <w:rFonts w:eastAsia="Calibri" w:cs="Calibri"/>
          <w:color w:val="333333"/>
          <w:bdr w:val="nil"/>
          <w:shd w:val="clear" w:color="auto" w:fill="FFFFFF"/>
          <w14:textOutline w14:w="0" w14:cap="flat" w14:cmpd="sng" w14:algn="ctr">
            <w14:noFill/>
            <w14:prstDash w14:val="solid"/>
            <w14:bevel/>
          </w14:textOutline>
        </w:rPr>
        <w:t xml:space="preserve">With the progress made in mitigating the </w:t>
      </w:r>
      <w:r w:rsidRPr="00066040">
        <w:rPr>
          <w:rFonts w:eastAsia="Calibri" w:cs="Calibri"/>
          <w:color w:val="333333"/>
          <w:bdr w:val="nil"/>
          <w:shd w:val="clear" w:color="auto" w:fill="FFFFFF"/>
          <w14:textOutline w14:w="0" w14:cap="flat" w14:cmpd="sng" w14:algn="ctr">
            <w14:noFill/>
            <w14:prstDash w14:val="solid"/>
            <w14:bevel/>
          </w14:textOutline>
        </w:rPr>
        <w:t xml:space="preserve">COVID-19 </w:t>
      </w:r>
      <w:r>
        <w:rPr>
          <w:rFonts w:eastAsia="Calibri" w:cs="Calibri"/>
          <w:color w:val="333333"/>
          <w:bdr w:val="nil"/>
          <w:shd w:val="clear" w:color="auto" w:fill="FFFFFF"/>
          <w14:textOutline w14:w="0" w14:cap="flat" w14:cmpd="sng" w14:algn="ctr">
            <w14:noFill/>
            <w14:prstDash w14:val="solid"/>
            <w14:bevel/>
          </w14:textOutline>
        </w:rPr>
        <w:t>pandemic in the hemisphere, the IACHR was able to resume its</w:t>
      </w:r>
      <w:r w:rsidRPr="00066040">
        <w:rPr>
          <w:rFonts w:eastAsia="Calibri" w:cs="Calibri"/>
          <w:color w:val="333333"/>
          <w:bdr w:val="nil"/>
          <w:shd w:val="clear" w:color="auto" w:fill="FFFFFF"/>
          <w14:textOutline w14:w="0" w14:cap="flat" w14:cmpd="sng" w14:algn="ctr">
            <w14:noFill/>
            <w14:prstDash w14:val="solid"/>
            <w14:bevel/>
          </w14:textOutline>
        </w:rPr>
        <w:t xml:space="preserve"> </w:t>
      </w:r>
      <w:r>
        <w:rPr>
          <w:rFonts w:eastAsia="Calibri" w:cs="Calibri"/>
          <w:b/>
          <w:bCs/>
          <w:color w:val="333333"/>
          <w:bdr w:val="nil"/>
          <w:shd w:val="clear" w:color="auto" w:fill="FFFFFF"/>
          <w14:textOutline w14:w="0" w14:cap="flat" w14:cmpd="sng" w14:algn="ctr">
            <w14:noFill/>
            <w14:prstDash w14:val="solid"/>
            <w14:bevel/>
          </w14:textOutline>
        </w:rPr>
        <w:t>on-site visits</w:t>
      </w:r>
      <w:r w:rsidRPr="00717D7D">
        <w:rPr>
          <w:rFonts w:eastAsia="Calibri" w:cs="Calibri"/>
          <w:color w:val="333333"/>
          <w:bdr w:val="nil"/>
          <w:shd w:val="clear" w:color="auto" w:fill="FFFFFF"/>
          <w14:textOutline w14:w="0" w14:cap="flat" w14:cmpd="sng" w14:algn="ctr">
            <w14:noFill/>
            <w14:prstDash w14:val="solid"/>
            <w14:bevel/>
          </w14:textOutline>
        </w:rPr>
        <w:t>,</w:t>
      </w:r>
      <w:r w:rsidRPr="00066040">
        <w:rPr>
          <w:rFonts w:eastAsia="Calibri" w:cs="Calibri"/>
          <w:color w:val="333333"/>
          <w:bdr w:val="nil"/>
          <w:shd w:val="clear" w:color="auto" w:fill="FFFFFF"/>
          <w14:textOutline w14:w="0" w14:cap="flat" w14:cmpd="sng" w14:algn="ctr">
            <w14:noFill/>
            <w14:prstDash w14:val="solid"/>
            <w14:bevel/>
          </w14:textOutline>
        </w:rPr>
        <w:t xml:space="preserve"> </w:t>
      </w:r>
      <w:r>
        <w:rPr>
          <w:rFonts w:eastAsia="Calibri" w:cs="Calibri"/>
          <w:color w:val="333333"/>
          <w:bdr w:val="nil"/>
          <w:shd w:val="clear" w:color="auto" w:fill="FFFFFF"/>
          <w14:textOutline w14:w="0" w14:cap="flat" w14:cmpd="sng" w14:algn="ctr">
            <w14:noFill/>
            <w14:prstDash w14:val="solid"/>
            <w14:bevel/>
          </w14:textOutline>
        </w:rPr>
        <w:t>carrying out i</w:t>
      </w:r>
      <w:r w:rsidRPr="00066040">
        <w:rPr>
          <w:rFonts w:eastAsia="Calibri" w:cs="Calibri"/>
          <w:color w:val="333333"/>
          <w:bdr w:val="nil"/>
          <w:shd w:val="clear" w:color="auto" w:fill="FFFFFF"/>
          <w14:textOutline w14:w="0" w14:cap="flat" w14:cmpd="sng" w14:algn="ctr">
            <w14:noFill/>
            <w14:prstDash w14:val="solid"/>
            <w14:bevel/>
          </w14:textOutline>
        </w:rPr>
        <w:t xml:space="preserve">n 2022 </w:t>
      </w:r>
      <w:r>
        <w:rPr>
          <w:rFonts w:eastAsia="Calibri" w:cs="Calibri"/>
          <w:color w:val="333333"/>
          <w:bdr w:val="nil"/>
          <w:shd w:val="clear" w:color="auto" w:fill="FFFFFF"/>
          <w14:textOutline w14:w="0" w14:cap="flat" w14:cmpd="sng" w14:algn="ctr">
            <w14:noFill/>
            <w14:prstDash w14:val="solid"/>
            <w14:bevel/>
          </w14:textOutline>
        </w:rPr>
        <w:t>two visits to monitor precautionary measures in force</w:t>
      </w:r>
      <w:r w:rsidRPr="00066040">
        <w:rPr>
          <w:rFonts w:eastAsia="Calibri" w:cs="Calibri"/>
          <w:color w:val="333333"/>
          <w:bdr w:val="nil"/>
          <w:shd w:val="clear" w:color="auto" w:fill="FFFFFF"/>
          <w14:textOutline w14:w="0" w14:cap="flat" w14:cmpd="sng" w14:algn="ctr">
            <w14:noFill/>
            <w14:prstDash w14:val="solid"/>
            <w14:bevel/>
          </w14:textOutline>
        </w:rPr>
        <w:t>:</w:t>
      </w:r>
    </w:p>
    <w:p w14:paraId="6A41D492" w14:textId="77777777" w:rsidR="008668B8" w:rsidRPr="00066040" w:rsidRDefault="008668B8" w:rsidP="008668B8">
      <w:pPr>
        <w:pBdr>
          <w:top w:val="nil"/>
          <w:left w:val="nil"/>
          <w:bottom w:val="nil"/>
          <w:right w:val="nil"/>
          <w:between w:val="nil"/>
          <w:bar w:val="nil"/>
        </w:pBdr>
        <w:jc w:val="both"/>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p>
    <w:p w14:paraId="7A84D0EF" w14:textId="77777777" w:rsidR="008668B8" w:rsidRPr="00066040" w:rsidRDefault="008668B8" w:rsidP="00933F91">
      <w:pPr>
        <w:numPr>
          <w:ilvl w:val="0"/>
          <w:numId w:val="9"/>
        </w:numPr>
        <w:pBdr>
          <w:top w:val="nil"/>
          <w:left w:val="nil"/>
          <w:bottom w:val="nil"/>
          <w:right w:val="nil"/>
          <w:between w:val="nil"/>
          <w:bar w:val="nil"/>
        </w:pBdr>
        <w:spacing w:after="120"/>
        <w:ind w:left="1797" w:hanging="357"/>
        <w:jc w:val="both"/>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pP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From July 11 to 15, 2022, the IACHR conducted a visit to monitor precautionary measures</w:t>
      </w:r>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 </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PM</w:t>
      </w:r>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 882-17 </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w:t>
      </w:r>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 D</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isplaced persons from</w:t>
      </w:r>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 Chalchihuitán </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and</w:t>
      </w:r>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 </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PM</w:t>
      </w:r>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 284-18 </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w:t>
      </w:r>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 </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Tzotzil indigenous families from twelve identified communities of </w:t>
      </w:r>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Aldama, Chiapas, </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Me</w:t>
      </w:r>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xico. </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The Commission directly visited the beneficiary indigenous communities in their territory and was able to see first-hand the impacts of violence on the infrastructure and directly on the population </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lastRenderedPageBreak/>
        <w:t>of the beneficiary communities, as well as the efforts made by State authorities to resolve a conflict that is decades old.</w:t>
      </w:r>
      <w:r w:rsidRPr="00066040">
        <w:rPr>
          <w:rStyle w:val="FootnoteReference"/>
          <w:rFonts w:ascii="Cambria" w:eastAsia="Calibri" w:hAnsi="Cambria" w:cs="Calibri"/>
          <w:color w:val="333333"/>
          <w:sz w:val="20"/>
          <w:szCs w:val="20"/>
          <w:bdr w:val="nil"/>
          <w:shd w:val="clear" w:color="auto" w:fill="FFFFFF"/>
          <w14:textOutline w14:w="0" w14:cap="flat" w14:cmpd="sng" w14:algn="ctr">
            <w14:noFill/>
            <w14:prstDash w14:val="solid"/>
            <w14:bevel/>
          </w14:textOutline>
        </w:rPr>
        <w:footnoteReference w:id="165"/>
      </w:r>
    </w:p>
    <w:p w14:paraId="5450503E" w14:textId="77777777" w:rsidR="008668B8" w:rsidRPr="00066040" w:rsidRDefault="008668B8" w:rsidP="00933F91">
      <w:pPr>
        <w:numPr>
          <w:ilvl w:val="0"/>
          <w:numId w:val="9"/>
        </w:numPr>
        <w:pBdr>
          <w:top w:val="nil"/>
          <w:left w:val="nil"/>
          <w:bottom w:val="nil"/>
          <w:right w:val="nil"/>
          <w:between w:val="nil"/>
          <w:bar w:val="nil"/>
        </w:pBdr>
        <w:spacing w:after="120"/>
        <w:ind w:left="1797" w:hanging="357"/>
        <w:jc w:val="both"/>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pP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On September 1, </w:t>
      </w:r>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2022, </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the IACHR was in </w:t>
      </w:r>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Tegucigalpa, Honduras, </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conducting a visit to monitor PM</w:t>
      </w:r>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 112-16 - Berta Cáceres</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’s relatives and members of </w:t>
      </w:r>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COPINH, </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pursuant to</w:t>
      </w:r>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 </w:t>
      </w:r>
      <w:hyperlink r:id="rId222">
        <w:r w:rsidRPr="6D82FDC4">
          <w:rPr>
            <w:rStyle w:val="Hyperlink"/>
            <w:rFonts w:ascii="Cambria" w:eastAsia="Calibri" w:hAnsi="Cambria" w:cs="Calibri"/>
            <w:sz w:val="20"/>
            <w:szCs w:val="20"/>
          </w:rPr>
          <w:t>Follow-up Resolution 88/2021</w:t>
        </w:r>
      </w:hyperlink>
      <w:r w:rsidRPr="00066040">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 xml:space="preserve">. </w:t>
      </w:r>
      <w:r>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t>On that occasion, the IACHR held an in-person working meeting in which the parties provided updated information on the implementation of the precautionary measures and agreed on important areas of collaboration and mitigation of identified risks.</w:t>
      </w:r>
      <w:r w:rsidRPr="00066040">
        <w:rPr>
          <w:rStyle w:val="FootnoteReference"/>
          <w:rFonts w:ascii="Cambria" w:eastAsia="Calibri" w:hAnsi="Cambria" w:cs="Calibri"/>
          <w:color w:val="333333"/>
          <w:sz w:val="20"/>
          <w:szCs w:val="20"/>
          <w:bdr w:val="nil"/>
          <w:shd w:val="clear" w:color="auto" w:fill="FFFFFF"/>
          <w14:textOutline w14:w="0" w14:cap="flat" w14:cmpd="sng" w14:algn="ctr">
            <w14:noFill/>
            <w14:prstDash w14:val="solid"/>
            <w14:bevel/>
          </w14:textOutline>
        </w:rPr>
        <w:footnoteReference w:id="166"/>
      </w:r>
    </w:p>
    <w:p w14:paraId="28233843" w14:textId="77777777" w:rsidR="008668B8" w:rsidRPr="00066040" w:rsidRDefault="008668B8" w:rsidP="008668B8">
      <w:pPr>
        <w:pBdr>
          <w:top w:val="nil"/>
          <w:left w:val="nil"/>
          <w:bottom w:val="nil"/>
          <w:right w:val="nil"/>
          <w:between w:val="nil"/>
          <w:bar w:val="nil"/>
        </w:pBdr>
        <w:ind w:left="720"/>
        <w:jc w:val="both"/>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p>
    <w:p w14:paraId="1FD1D536" w14:textId="23C1AB4E" w:rsidR="008668B8" w:rsidRPr="00556F31" w:rsidRDefault="008668B8" w:rsidP="00933F91">
      <w:pPr>
        <w:pStyle w:val="BodyText"/>
        <w:widowControl/>
        <w:numPr>
          <w:ilvl w:val="0"/>
          <w:numId w:val="58"/>
        </w:numPr>
        <w:ind w:left="0" w:firstLine="720"/>
        <w:jc w:val="both"/>
        <w:rPr>
          <w:rFonts w:eastAsia="Calibri" w:cs="Calibri"/>
          <w:color w:val="333333"/>
          <w:bdr w:val="nil"/>
          <w:shd w:val="clear" w:color="auto" w:fill="FFFFFF"/>
          <w14:textOutline w14:w="0" w14:cap="flat" w14:cmpd="sng" w14:algn="ctr">
            <w14:noFill/>
            <w14:prstDash w14:val="solid"/>
            <w14:bevel/>
          </w14:textOutline>
        </w:rPr>
      </w:pPr>
      <w:r>
        <w:rPr>
          <w:rFonts w:eastAsia="Calibri" w:cs="Calibri"/>
          <w:color w:val="333333"/>
          <w:bdr w:val="nil"/>
          <w:shd w:val="clear" w:color="auto" w:fill="FFFFFF"/>
          <w14:textOutline w14:w="0" w14:cap="flat" w14:cmpd="sng" w14:algn="ctr">
            <w14:noFill/>
            <w14:prstDash w14:val="solid"/>
            <w14:bevel/>
          </w14:textOutline>
        </w:rPr>
        <w:t>In addition, the strategy to strengthen the monitoring of precautionary measures in force has allowed the IACHR to exchange more than 1671</w:t>
      </w:r>
      <w:r w:rsidRPr="00066040">
        <w:rPr>
          <w:rFonts w:eastAsia="Calibri" w:cs="Calibri"/>
          <w:color w:val="333333"/>
          <w:bdr w:val="nil"/>
          <w:shd w:val="clear" w:color="auto" w:fill="FFFFFF"/>
          <w14:textOutline w14:w="0" w14:cap="flat" w14:cmpd="sng" w14:algn="ctr">
            <w14:noFill/>
            <w14:prstDash w14:val="solid"/>
            <w14:bevel/>
          </w14:textOutline>
        </w:rPr>
        <w:t xml:space="preserve"> </w:t>
      </w:r>
      <w:r>
        <w:rPr>
          <w:rFonts w:eastAsia="Calibri" w:cs="Calibri"/>
          <w:color w:val="333333"/>
          <w:bdr w:val="nil"/>
          <w:shd w:val="clear" w:color="auto" w:fill="FFFFFF"/>
          <w14:textOutline w14:w="0" w14:cap="flat" w14:cmpd="sng" w14:algn="ctr">
            <w14:noFill/>
            <w14:prstDash w14:val="solid"/>
            <w14:bevel/>
          </w14:textOutline>
        </w:rPr>
        <w:t>monitoring communications with States and representatives, requesting specific information to supervise the implementation of such measures. That figure represents more than twice that in</w:t>
      </w:r>
      <w:r w:rsidRPr="00066040">
        <w:rPr>
          <w:rFonts w:eastAsia="Calibri" w:cs="Calibri"/>
          <w:color w:val="333333"/>
          <w:bdr w:val="nil"/>
          <w:shd w:val="clear" w:color="auto" w:fill="FFFFFF"/>
          <w14:textOutline w14:w="0" w14:cap="flat" w14:cmpd="sng" w14:algn="ctr">
            <w14:noFill/>
            <w14:prstDash w14:val="solid"/>
            <w14:bevel/>
          </w14:textOutline>
        </w:rPr>
        <w:t xml:space="preserve"> 2021, </w:t>
      </w:r>
      <w:r>
        <w:rPr>
          <w:rFonts w:eastAsia="Calibri" w:cs="Calibri"/>
          <w:color w:val="333333"/>
          <w:bdr w:val="nil"/>
          <w:shd w:val="clear" w:color="auto" w:fill="FFFFFF"/>
          <w14:textOutline w14:w="0" w14:cap="flat" w14:cmpd="sng" w14:algn="ctr">
            <w14:noFill/>
            <w14:prstDash w14:val="solid"/>
            <w14:bevel/>
          </w14:textOutline>
        </w:rPr>
        <w:t xml:space="preserve">in which the IACHR sent more than </w:t>
      </w:r>
      <w:r w:rsidRPr="00066040">
        <w:rPr>
          <w:rFonts w:eastAsia="Calibri" w:cs="Calibri"/>
          <w:color w:val="333333"/>
          <w:bdr w:val="nil"/>
          <w:shd w:val="clear" w:color="auto" w:fill="FFFFFF"/>
          <w14:textOutline w14:w="0" w14:cap="flat" w14:cmpd="sng" w14:algn="ctr">
            <w14:noFill/>
            <w14:prstDash w14:val="solid"/>
            <w14:bevel/>
          </w14:textOutline>
        </w:rPr>
        <w:t xml:space="preserve">620 </w:t>
      </w:r>
      <w:r>
        <w:rPr>
          <w:rFonts w:eastAsia="Calibri" w:cs="Calibri"/>
          <w:color w:val="333333"/>
          <w:bdr w:val="nil"/>
          <w:shd w:val="clear" w:color="auto" w:fill="FFFFFF"/>
          <w14:textOutline w14:w="0" w14:cap="flat" w14:cmpd="sng" w14:algn="ctr">
            <w14:noFill/>
            <w14:prstDash w14:val="solid"/>
            <w14:bevel/>
          </w14:textOutline>
        </w:rPr>
        <w:t>letters. The IACHR has also held bilateral meetings, working meetings, and public hearings. The year</w:t>
      </w:r>
      <w:r w:rsidRPr="00066040">
        <w:rPr>
          <w:rFonts w:eastAsia="Calibri" w:cs="Calibri"/>
          <w:color w:val="333333"/>
          <w:bdr w:val="nil"/>
          <w:shd w:val="clear" w:color="auto" w:fill="FFFFFF"/>
          <w14:textOutline w14:w="0" w14:cap="flat" w14:cmpd="sng" w14:algn="ctr">
            <w14:noFill/>
            <w14:prstDash w14:val="solid"/>
            <w14:bevel/>
          </w14:textOutline>
        </w:rPr>
        <w:t xml:space="preserve"> 2022 represent</w:t>
      </w:r>
      <w:r>
        <w:rPr>
          <w:rFonts w:eastAsia="Calibri" w:cs="Calibri"/>
          <w:color w:val="333333"/>
          <w:bdr w:val="nil"/>
          <w:shd w:val="clear" w:color="auto" w:fill="FFFFFF"/>
          <w14:textOutline w14:w="0" w14:cap="flat" w14:cmpd="sng" w14:algn="ctr">
            <w14:noFill/>
            <w14:prstDash w14:val="solid"/>
            <w14:bevel/>
          </w14:textOutline>
        </w:rPr>
        <w:t xml:space="preserve">ed a significant increase in bilateral meetings held with one of the parties, holding 75 meetings with respect to 80 precautionary </w:t>
      </w:r>
      <w:r w:rsidRPr="00066040">
        <w:rPr>
          <w:rFonts w:eastAsia="Calibri" w:cs="Calibri"/>
          <w:color w:val="333333"/>
          <w:bdr w:val="nil"/>
          <w:shd w:val="clear" w:color="auto" w:fill="FFFFFF"/>
          <w14:textOutline w14:w="0" w14:cap="flat" w14:cmpd="sng" w14:algn="ctr">
            <w14:noFill/>
            <w14:prstDash w14:val="solid"/>
            <w14:bevel/>
          </w14:textOutline>
        </w:rPr>
        <w:t>me</w:t>
      </w:r>
      <w:r>
        <w:rPr>
          <w:rFonts w:eastAsia="Calibri" w:cs="Calibri"/>
          <w:color w:val="333333"/>
          <w:bdr w:val="nil"/>
          <w:shd w:val="clear" w:color="auto" w:fill="FFFFFF"/>
          <w14:textOutline w14:w="0" w14:cap="flat" w14:cmpd="sng" w14:algn="ctr">
            <w14:noFill/>
            <w14:prstDash w14:val="solid"/>
            <w14:bevel/>
          </w14:textOutline>
        </w:rPr>
        <w:t>asures</w:t>
      </w:r>
      <w:r w:rsidRPr="00066040">
        <w:rPr>
          <w:rFonts w:eastAsia="Calibri" w:cs="Calibri"/>
          <w:color w:val="333333"/>
          <w:bdr w:val="nil"/>
          <w:shd w:val="clear" w:color="auto" w:fill="FFFFFF"/>
          <w14:textOutline w14:w="0" w14:cap="flat" w14:cmpd="sng" w14:algn="ctr">
            <w14:noFill/>
            <w14:prstDash w14:val="solid"/>
            <w14:bevel/>
          </w14:textOutline>
        </w:rPr>
        <w:t xml:space="preserve">. </w:t>
      </w:r>
      <w:r>
        <w:rPr>
          <w:rFonts w:eastAsia="Calibri" w:cs="Calibri"/>
          <w:color w:val="333333"/>
          <w:bdr w:val="nil"/>
          <w:shd w:val="clear" w:color="auto" w:fill="FFFFFF"/>
          <w14:textOutline w14:w="0" w14:cap="flat" w14:cmpd="sng" w14:algn="ctr">
            <w14:noFill/>
            <w14:prstDash w14:val="solid"/>
            <w14:bevel/>
          </w14:textOutline>
        </w:rPr>
        <w:t>I</w:t>
      </w:r>
      <w:r w:rsidRPr="00066040">
        <w:rPr>
          <w:rFonts w:eastAsia="Calibri" w:cs="Calibri"/>
          <w:color w:val="333333"/>
          <w:bdr w:val="nil"/>
          <w:shd w:val="clear" w:color="auto" w:fill="FFFFFF"/>
          <w14:textOutline w14:w="0" w14:cap="flat" w14:cmpd="sng" w14:algn="ctr">
            <w14:noFill/>
            <w14:prstDash w14:val="solid"/>
            <w14:bevel/>
          </w14:textOutline>
        </w:rPr>
        <w:t xml:space="preserve">n 2021, </w:t>
      </w:r>
      <w:r>
        <w:rPr>
          <w:rFonts w:eastAsia="Calibri" w:cs="Calibri"/>
          <w:color w:val="333333"/>
          <w:bdr w:val="nil"/>
          <w:shd w:val="clear" w:color="auto" w:fill="FFFFFF"/>
          <w14:textOutline w14:w="0" w14:cap="flat" w14:cmpd="sng" w14:algn="ctr">
            <w14:noFill/>
            <w14:prstDash w14:val="solid"/>
            <w14:bevel/>
          </w14:textOutline>
        </w:rPr>
        <w:t>there were</w:t>
      </w:r>
      <w:r w:rsidRPr="00066040">
        <w:rPr>
          <w:rFonts w:eastAsia="Calibri" w:cs="Calibri"/>
          <w:color w:val="333333"/>
          <w:bdr w:val="nil"/>
          <w:shd w:val="clear" w:color="auto" w:fill="FFFFFF"/>
          <w14:textOutline w14:w="0" w14:cap="flat" w14:cmpd="sng" w14:algn="ctr">
            <w14:noFill/>
            <w14:prstDash w14:val="solid"/>
            <w14:bevel/>
          </w14:textOutline>
        </w:rPr>
        <w:t xml:space="preserve"> 29 </w:t>
      </w:r>
      <w:r>
        <w:rPr>
          <w:rFonts w:eastAsia="Calibri" w:cs="Calibri"/>
          <w:color w:val="333333"/>
          <w:bdr w:val="nil"/>
          <w:shd w:val="clear" w:color="auto" w:fill="FFFFFF"/>
          <w14:textOutline w14:w="0" w14:cap="flat" w14:cmpd="sng" w14:algn="ctr">
            <w14:noFill/>
            <w14:prstDash w14:val="solid"/>
            <w14:bevel/>
          </w14:textOutline>
        </w:rPr>
        <w:t>bilateral meetings</w:t>
      </w:r>
      <w:r w:rsidRPr="00066040">
        <w:rPr>
          <w:rFonts w:eastAsia="Calibri" w:cs="Calibri"/>
          <w:color w:val="333333"/>
          <w:bdr w:val="nil"/>
          <w:shd w:val="clear" w:color="auto" w:fill="FFFFFF"/>
          <w14:textOutline w14:w="0" w14:cap="flat" w14:cmpd="sng" w14:algn="ctr">
            <w14:noFill/>
            <w14:prstDash w14:val="solid"/>
            <w14:bevel/>
          </w14:textOutline>
        </w:rPr>
        <w:t xml:space="preserve">. </w:t>
      </w:r>
      <w:r>
        <w:rPr>
          <w:rFonts w:eastAsia="Calibri" w:cs="Calibri"/>
          <w:color w:val="333333"/>
          <w:bdr w:val="nil"/>
          <w:shd w:val="clear" w:color="auto" w:fill="FFFFFF"/>
          <w14:textOutline w14:w="0" w14:cap="flat" w14:cmpd="sng" w14:algn="ctr">
            <w14:noFill/>
            <w14:prstDash w14:val="solid"/>
            <w14:bevel/>
          </w14:textOutline>
        </w:rPr>
        <w:t xml:space="preserve">In addition, in </w:t>
      </w:r>
      <w:r w:rsidRPr="00066040">
        <w:rPr>
          <w:rFonts w:eastAsia="Calibri" w:cs="Calibri"/>
          <w:color w:val="333333"/>
          <w:bdr w:val="nil"/>
          <w:shd w:val="clear" w:color="auto" w:fill="FFFFFF"/>
          <w14:textOutline w14:w="0" w14:cap="flat" w14:cmpd="sng" w14:algn="ctr">
            <w14:noFill/>
            <w14:prstDash w14:val="solid"/>
            <w14:bevel/>
          </w14:textOutline>
        </w:rPr>
        <w:t xml:space="preserve">2022, </w:t>
      </w:r>
      <w:r w:rsidRPr="00720C52">
        <w:rPr>
          <w:rFonts w:eastAsia="Calibri" w:cs="Calibri"/>
          <w:color w:val="333333"/>
          <w:bdr w:val="nil"/>
          <w:shd w:val="clear" w:color="auto" w:fill="FFFFFF"/>
          <w14:textOutline w14:w="0" w14:cap="flat" w14:cmpd="sng" w14:algn="ctr">
            <w14:noFill/>
            <w14:prstDash w14:val="solid"/>
            <w14:bevel/>
          </w14:textOutline>
        </w:rPr>
        <w:t>there were 50 working meetings held with respect to 50 precautionary measures</w:t>
      </w:r>
      <w:r>
        <w:rPr>
          <w:rFonts w:eastAsia="Calibri" w:cs="Calibri"/>
          <w:color w:val="333333"/>
          <w:bdr w:val="nil"/>
          <w:shd w:val="clear" w:color="auto" w:fill="FFFFFF"/>
          <w14:textOutline w14:w="0" w14:cap="flat" w14:cmpd="sng" w14:algn="ctr">
            <w14:noFill/>
            <w14:prstDash w14:val="solid"/>
            <w14:bevel/>
          </w14:textOutline>
        </w:rPr>
        <w:t xml:space="preserve"> </w:t>
      </w:r>
      <w:r w:rsidRPr="00C81689">
        <w:rPr>
          <w:rFonts w:eastAsia="Calibri" w:cs="Calibri"/>
          <w:color w:val="333333"/>
          <w:bdr w:val="nil"/>
          <w:shd w:val="clear" w:color="auto" w:fill="FFFFFF"/>
          <w14:textOutline w14:w="0" w14:cap="flat" w14:cmpd="sng" w14:algn="ctr">
            <w14:noFill/>
            <w14:prstDash w14:val="solid"/>
            <w14:bevel/>
          </w14:textOutline>
        </w:rPr>
        <w:t>and four public hearings</w:t>
      </w:r>
      <w:r w:rsidRPr="00C81689">
        <w:rPr>
          <w:rStyle w:val="FootnoteReference"/>
          <w:rFonts w:eastAsia="Calibri" w:cs="Calibri"/>
          <w:color w:val="333333"/>
          <w:bdr w:val="nil"/>
          <w:shd w:val="clear" w:color="auto" w:fill="FFFFFF"/>
          <w14:textOutline w14:w="0" w14:cap="flat" w14:cmpd="sng" w14:algn="ctr">
            <w14:noFill/>
            <w14:prstDash w14:val="solid"/>
            <w14:bevel/>
          </w14:textOutline>
        </w:rPr>
        <w:footnoteReference w:id="167"/>
      </w:r>
      <w:r w:rsidRPr="00C81689">
        <w:rPr>
          <w:rFonts w:eastAsia="Calibri" w:cs="Calibri"/>
          <w:color w:val="333333"/>
          <w:bdr w:val="nil"/>
          <w:shd w:val="clear" w:color="auto" w:fill="FFFFFF"/>
          <w14:textOutline w14:w="0" w14:cap="flat" w14:cmpd="sng" w14:algn="ctr">
            <w14:noFill/>
            <w14:prstDash w14:val="solid"/>
            <w14:bevel/>
          </w14:textOutline>
        </w:rPr>
        <w:t xml:space="preserve"> regarding 99 precautionary</w:t>
      </w:r>
      <w:r>
        <w:rPr>
          <w:rFonts w:eastAsia="Calibri" w:cs="Calibri"/>
          <w:color w:val="333333"/>
          <w:bdr w:val="nil"/>
          <w:shd w:val="clear" w:color="auto" w:fill="FFFFFF"/>
          <w14:textOutline w14:w="0" w14:cap="flat" w14:cmpd="sng" w14:algn="ctr">
            <w14:noFill/>
            <w14:prstDash w14:val="solid"/>
            <w14:bevel/>
          </w14:textOutline>
        </w:rPr>
        <w:t xml:space="preserve"> measures. Also, in </w:t>
      </w:r>
      <w:r w:rsidRPr="00066040">
        <w:rPr>
          <w:rFonts w:eastAsia="Calibri" w:cs="Calibri"/>
          <w:color w:val="333333"/>
        </w:rPr>
        <w:t>2022 there was</w:t>
      </w:r>
      <w:r>
        <w:rPr>
          <w:rFonts w:eastAsia="Calibri" w:cs="Calibri"/>
          <w:color w:val="333333"/>
        </w:rPr>
        <w:t xml:space="preserve"> a significant increase in the number of working meetings held outside of the periods of sessions; </w:t>
      </w:r>
      <w:r w:rsidRPr="00B5346F">
        <w:rPr>
          <w:rFonts w:eastAsia="Calibri" w:cs="Calibri"/>
          <w:color w:val="333333"/>
        </w:rPr>
        <w:t>compared to two such meetings in 2021, 12 meetings were held in 2022. This represents the IACHR efforts</w:t>
      </w:r>
      <w:r>
        <w:rPr>
          <w:rFonts w:eastAsia="Calibri" w:cs="Calibri"/>
          <w:color w:val="333333"/>
        </w:rPr>
        <w:t xml:space="preserve"> to implement the referenced Resolution</w:t>
      </w:r>
      <w:hyperlink r:id="rId223" w:history="1">
        <w:r w:rsidRPr="00066040">
          <w:rPr>
            <w:rFonts w:eastAsia="Calibri" w:cs="Calibri"/>
          </w:rPr>
          <w:t xml:space="preserve"> 2/2020</w:t>
        </w:r>
      </w:hyperlink>
      <w:r w:rsidRPr="00066040">
        <w:rPr>
          <w:rFonts w:eastAsia="Calibri" w:cs="Calibri"/>
          <w:color w:val="333333"/>
        </w:rPr>
        <w:t xml:space="preserve">, </w:t>
      </w:r>
      <w:r>
        <w:rPr>
          <w:rFonts w:eastAsia="Calibri" w:cs="Calibri"/>
          <w:color w:val="333333"/>
        </w:rPr>
        <w:t>providing a closer approach to the parties</w:t>
      </w:r>
      <w:r w:rsidRPr="00066040">
        <w:rPr>
          <w:rFonts w:eastAsia="Calibri" w:cs="Calibri"/>
          <w:color w:val="333333"/>
        </w:rPr>
        <w:t xml:space="preserve">. </w:t>
      </w:r>
      <w:r>
        <w:rPr>
          <w:rFonts w:eastAsia="Calibri" w:cs="Calibri"/>
          <w:color w:val="333333"/>
        </w:rPr>
        <w:t xml:space="preserve">In addition, the IACHR </w:t>
      </w:r>
      <w:r w:rsidRPr="00C81689">
        <w:rPr>
          <w:rFonts w:eastAsia="Calibri" w:cs="Calibri"/>
          <w:color w:val="333333"/>
        </w:rPr>
        <w:t>held five portfolio meetings with the States of Mexico, the United States, Argentina, and the Bahamas.</w:t>
      </w:r>
    </w:p>
    <w:p w14:paraId="4FED33F6" w14:textId="77777777" w:rsidR="008668B8" w:rsidRPr="00066040" w:rsidRDefault="008668B8" w:rsidP="008668B8">
      <w:pPr>
        <w:pBdr>
          <w:top w:val="nil"/>
          <w:left w:val="nil"/>
          <w:bottom w:val="nil"/>
          <w:right w:val="nil"/>
          <w:between w:val="nil"/>
          <w:bar w:val="nil"/>
        </w:pBdr>
        <w:ind w:left="720"/>
        <w:jc w:val="both"/>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p>
    <w:tbl>
      <w:tblPr>
        <w:tblStyle w:val="GridTable4-Accent51"/>
        <w:tblW w:w="9355" w:type="dxa"/>
        <w:tblLayout w:type="fixed"/>
        <w:tblLook w:val="04A0" w:firstRow="1" w:lastRow="0" w:firstColumn="1" w:lastColumn="0" w:noHBand="0" w:noVBand="1"/>
      </w:tblPr>
      <w:tblGrid>
        <w:gridCol w:w="625"/>
        <w:gridCol w:w="1260"/>
        <w:gridCol w:w="5490"/>
        <w:gridCol w:w="1980"/>
      </w:tblGrid>
      <w:tr w:rsidR="008668B8" w:rsidRPr="00066040" w14:paraId="4963523D" w14:textId="77777777" w:rsidTr="003308CB">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355" w:type="dxa"/>
            <w:gridSpan w:val="4"/>
            <w:vAlign w:val="center"/>
          </w:tcPr>
          <w:p w14:paraId="59EF38CF" w14:textId="77777777" w:rsidR="008668B8" w:rsidRPr="00066040" w:rsidRDefault="008668B8" w:rsidP="003308CB">
            <w:pPr>
              <w:pBdr>
                <w:top w:val="nil"/>
                <w:left w:val="nil"/>
                <w:bottom w:val="nil"/>
                <w:right w:val="nil"/>
                <w:between w:val="nil"/>
                <w:bar w:val="nil"/>
              </w:pBdr>
              <w:jc w:val="center"/>
              <w:rPr>
                <w:rFonts w:ascii="Cambria" w:eastAsia="Calibri" w:hAnsi="Cambria" w:cs="Calibri"/>
                <w:bCs w:val="0"/>
                <w:color w:val="000000"/>
                <w:u w:color="000000"/>
                <w:bdr w:val="nil"/>
                <w14:textOutline w14:w="0" w14:cap="flat" w14:cmpd="sng" w14:algn="ctr">
                  <w14:noFill/>
                  <w14:prstDash w14:val="solid"/>
                  <w14:bevel/>
                </w14:textOutline>
              </w:rPr>
            </w:pPr>
            <w:r w:rsidRPr="00066040">
              <w:rPr>
                <w:rFonts w:ascii="Cambria" w:eastAsia="Calibri" w:hAnsi="Cambria" w:cs="Calibri"/>
                <w:bCs w:val="0"/>
                <w:sz w:val="20"/>
                <w:szCs w:val="20"/>
                <w:u w:color="000000"/>
                <w:bdr w:val="nil"/>
                <w14:textOutline w14:w="0" w14:cap="flat" w14:cmpd="sng" w14:algn="ctr">
                  <w14:noFill/>
                  <w14:prstDash w14:val="solid"/>
                  <w14:bevel/>
                </w14:textOutline>
              </w:rPr>
              <w:t>183</w:t>
            </w:r>
            <w:r w:rsidRPr="00F1020D">
              <w:rPr>
                <w:rFonts w:ascii="Cambria" w:eastAsia="Calibri" w:hAnsi="Cambria" w:cs="Calibri"/>
                <w:bCs w:val="0"/>
                <w:sz w:val="20"/>
                <w:szCs w:val="20"/>
                <w:u w:color="000000"/>
                <w:bdr w:val="nil"/>
                <w:vertAlign w:val="superscript"/>
                <w14:textOutline w14:w="0" w14:cap="flat" w14:cmpd="sng" w14:algn="ctr">
                  <w14:noFill/>
                  <w14:prstDash w14:val="solid"/>
                  <w14:bevel/>
                </w14:textOutline>
              </w:rPr>
              <w:t>rd</w:t>
            </w:r>
            <w:r>
              <w:rPr>
                <w:rFonts w:ascii="Cambria" w:eastAsia="Calibri" w:hAnsi="Cambria" w:cs="Calibri"/>
                <w:bCs w:val="0"/>
                <w:sz w:val="20"/>
                <w:szCs w:val="20"/>
                <w:u w:color="000000"/>
                <w:bdr w:val="nil"/>
                <w14:textOutline w14:w="0" w14:cap="flat" w14:cmpd="sng" w14:algn="ctr">
                  <w14:noFill/>
                  <w14:prstDash w14:val="solid"/>
                  <w14:bevel/>
                </w14:textOutline>
              </w:rPr>
              <w:t xml:space="preserve"> Period of Sessions</w:t>
            </w:r>
          </w:p>
        </w:tc>
      </w:tr>
      <w:tr w:rsidR="008668B8" w:rsidRPr="00066040" w14:paraId="54AB4C09" w14:textId="77777777" w:rsidTr="00556F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55" w:type="dxa"/>
            <w:gridSpan w:val="4"/>
          </w:tcPr>
          <w:p w14:paraId="0256BD5D" w14:textId="77777777" w:rsidR="008668B8" w:rsidRPr="00066040" w:rsidRDefault="008668B8">
            <w:pPr>
              <w:pBdr>
                <w:top w:val="nil"/>
                <w:left w:val="nil"/>
                <w:bottom w:val="nil"/>
                <w:right w:val="nil"/>
                <w:between w:val="nil"/>
                <w:bar w:val="nil"/>
              </w:pBdr>
              <w:jc w:val="center"/>
              <w:rPr>
                <w:rFonts w:ascii="Cambria" w:eastAsia="Calibri" w:hAnsi="Cambria" w:cs="Calibri"/>
                <w:b w:val="0"/>
                <w:color w:val="000000"/>
                <w:sz w:val="20"/>
                <w:szCs w:val="20"/>
                <w:u w:color="000000"/>
                <w:bdr w:val="nil"/>
                <w14:textOutline w14:w="0" w14:cap="flat" w14:cmpd="sng" w14:algn="ctr">
                  <w14:noFill/>
                  <w14:prstDash w14:val="solid"/>
                  <w14:bevel/>
                </w14:textOutline>
              </w:rPr>
            </w:pPr>
            <w:r>
              <w:rPr>
                <w:rFonts w:ascii="Cambria" w:eastAsia="Calibri" w:hAnsi="Cambria" w:cs="Calibri"/>
                <w:sz w:val="20"/>
                <w:szCs w:val="20"/>
                <w:u w:color="000000"/>
                <w:bdr w:val="nil"/>
                <w14:textOutline w14:w="0" w14:cap="flat" w14:cmpd="sng" w14:algn="ctr">
                  <w14:noFill/>
                  <w14:prstDash w14:val="solid"/>
                  <w14:bevel/>
                </w14:textOutline>
              </w:rPr>
              <w:t>Working Meetings</w:t>
            </w:r>
          </w:p>
        </w:tc>
      </w:tr>
      <w:tr w:rsidR="008668B8" w:rsidRPr="00066040" w14:paraId="7FCE288F" w14:textId="77777777" w:rsidTr="00556F31">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A90D867" w14:textId="77777777" w:rsidR="008668B8" w:rsidRPr="00066040" w:rsidRDefault="008668B8">
            <w:pPr>
              <w:pBdr>
                <w:top w:val="nil"/>
                <w:left w:val="nil"/>
                <w:bottom w:val="nil"/>
                <w:right w:val="nil"/>
                <w:between w:val="nil"/>
                <w:bar w:val="nil"/>
              </w:pBdr>
              <w:jc w:val="center"/>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No</w:t>
            </w:r>
            <w:r>
              <w:rPr>
                <w:rFonts w:ascii="Cambria" w:eastAsia="Calibri" w:hAnsi="Cambria" w:cs="Calibri"/>
                <w:color w:val="000000"/>
                <w:sz w:val="20"/>
                <w:szCs w:val="20"/>
                <w:u w:color="000000"/>
                <w:bdr w:val="nil"/>
                <w14:textOutline w14:w="0" w14:cap="flat" w14:cmpd="sng" w14:algn="ctr">
                  <w14:noFill/>
                  <w14:prstDash w14:val="solid"/>
                  <w14:bevel/>
                </w14:textOutline>
              </w:rPr>
              <w:t>.</w:t>
            </w:r>
          </w:p>
        </w:tc>
        <w:tc>
          <w:tcPr>
            <w:tcW w:w="1260" w:type="dxa"/>
            <w:vAlign w:val="center"/>
          </w:tcPr>
          <w:p w14:paraId="31CABDD0"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Pr>
                <w:rFonts w:ascii="Cambria" w:eastAsia="Calibri" w:hAnsi="Cambria" w:cs="Calibri"/>
                <w:b/>
                <w:color w:val="000000"/>
                <w:sz w:val="20"/>
                <w:szCs w:val="20"/>
                <w:u w:color="000000"/>
                <w:bdr w:val="nil"/>
                <w14:textOutline w14:w="0" w14:cap="flat" w14:cmpd="sng" w14:algn="ctr">
                  <w14:noFill/>
                  <w14:prstDash w14:val="solid"/>
                  <w14:bevel/>
                </w14:textOutline>
              </w:rPr>
              <w:t>PM</w:t>
            </w:r>
          </w:p>
        </w:tc>
        <w:tc>
          <w:tcPr>
            <w:tcW w:w="5490" w:type="dxa"/>
            <w:vAlign w:val="center"/>
          </w:tcPr>
          <w:p w14:paraId="49E09899"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Beneficiari</w:t>
            </w:r>
            <w:r>
              <w:rPr>
                <w:rFonts w:ascii="Cambria" w:eastAsia="Calibri" w:hAnsi="Cambria" w:cs="Calibri"/>
                <w:b/>
                <w:color w:val="000000"/>
                <w:sz w:val="20"/>
                <w:szCs w:val="20"/>
                <w:u w:color="000000"/>
                <w:bdr w:val="nil"/>
                <w14:textOutline w14:w="0" w14:cap="flat" w14:cmpd="sng" w14:algn="ctr">
                  <w14:noFill/>
                  <w14:prstDash w14:val="solid"/>
                  <w14:bevel/>
                </w14:textOutline>
              </w:rPr>
              <w:t>e</w:t>
            </w: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s</w:t>
            </w:r>
          </w:p>
        </w:tc>
        <w:tc>
          <w:tcPr>
            <w:tcW w:w="1980" w:type="dxa"/>
            <w:vAlign w:val="center"/>
          </w:tcPr>
          <w:p w14:paraId="484AFCB9"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Pr>
                <w:rFonts w:ascii="Cambria" w:eastAsia="Calibri" w:hAnsi="Cambria" w:cs="Calibri"/>
                <w:b/>
                <w:color w:val="000000"/>
                <w:sz w:val="20"/>
                <w:szCs w:val="20"/>
                <w:u w:color="000000"/>
                <w:bdr w:val="nil"/>
                <w14:textOutline w14:w="0" w14:cap="flat" w14:cmpd="sng" w14:algn="ctr">
                  <w14:noFill/>
                  <w14:prstDash w14:val="solid"/>
                  <w14:bevel/>
                </w14:textOutline>
              </w:rPr>
              <w:t>State</w:t>
            </w:r>
          </w:p>
        </w:tc>
      </w:tr>
      <w:tr w:rsidR="008668B8" w:rsidRPr="00066040" w14:paraId="222B0470" w14:textId="77777777" w:rsidTr="00556F31">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625" w:type="dxa"/>
          </w:tcPr>
          <w:p w14:paraId="22F6F09C"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w:t>
            </w:r>
          </w:p>
        </w:tc>
        <w:tc>
          <w:tcPr>
            <w:tcW w:w="1260" w:type="dxa"/>
          </w:tcPr>
          <w:p w14:paraId="7679517B"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70-99</w:t>
            </w:r>
          </w:p>
        </w:tc>
        <w:tc>
          <w:tcPr>
            <w:tcW w:w="5490" w:type="dxa"/>
          </w:tcPr>
          <w:p w14:paraId="2737E075"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M</w:t>
            </w:r>
            <w:r>
              <w:rPr>
                <w:rFonts w:ascii="Cambria" w:hAnsi="Cambria"/>
                <w:sz w:val="20"/>
                <w:szCs w:val="20"/>
              </w:rPr>
              <w:t xml:space="preserve">embers of </w:t>
            </w:r>
            <w:r w:rsidRPr="00066040">
              <w:rPr>
                <w:rFonts w:ascii="Cambria" w:hAnsi="Cambria"/>
                <w:sz w:val="20"/>
                <w:szCs w:val="20"/>
              </w:rPr>
              <w:t>CAVIDA (</w:t>
            </w:r>
            <w:r>
              <w:rPr>
                <w:rFonts w:ascii="Cambria" w:hAnsi="Cambria"/>
                <w:sz w:val="20"/>
                <w:szCs w:val="20"/>
              </w:rPr>
              <w:t>Cacarica Communities</w:t>
            </w:r>
            <w:r w:rsidRPr="00066040">
              <w:rPr>
                <w:rFonts w:ascii="Cambria" w:hAnsi="Cambria"/>
                <w:sz w:val="20"/>
                <w:szCs w:val="20"/>
              </w:rPr>
              <w:t>)</w:t>
            </w:r>
          </w:p>
        </w:tc>
        <w:tc>
          <w:tcPr>
            <w:tcW w:w="1980" w:type="dxa"/>
          </w:tcPr>
          <w:p w14:paraId="25AABD40"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r>
      <w:tr w:rsidR="008668B8" w:rsidRPr="00066040" w14:paraId="7D9C7855" w14:textId="77777777" w:rsidTr="00556F31">
        <w:trPr>
          <w:trHeight w:val="433"/>
        </w:trPr>
        <w:tc>
          <w:tcPr>
            <w:cnfStyle w:val="001000000000" w:firstRow="0" w:lastRow="0" w:firstColumn="1" w:lastColumn="0" w:oddVBand="0" w:evenVBand="0" w:oddHBand="0" w:evenHBand="0" w:firstRowFirstColumn="0" w:firstRowLastColumn="0" w:lastRowFirstColumn="0" w:lastRowLastColumn="0"/>
            <w:tcW w:w="625" w:type="dxa"/>
          </w:tcPr>
          <w:p w14:paraId="6755FB67"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w:t>
            </w:r>
          </w:p>
        </w:tc>
        <w:tc>
          <w:tcPr>
            <w:tcW w:w="1260" w:type="dxa"/>
          </w:tcPr>
          <w:p w14:paraId="689A7987"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793-19</w:t>
            </w:r>
          </w:p>
        </w:tc>
        <w:tc>
          <w:tcPr>
            <w:tcW w:w="5490" w:type="dxa"/>
          </w:tcPr>
          <w:p w14:paraId="09352B74"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Com</w:t>
            </w:r>
            <w:r>
              <w:rPr>
                <w:rFonts w:ascii="Cambria" w:hAnsi="Cambria"/>
                <w:sz w:val="20"/>
                <w:szCs w:val="20"/>
              </w:rPr>
              <w:t xml:space="preserve">mittee of Victims of La </w:t>
            </w:r>
            <w:r w:rsidRPr="00066040">
              <w:rPr>
                <w:rFonts w:ascii="Cambria" w:hAnsi="Cambria"/>
                <w:sz w:val="20"/>
                <w:szCs w:val="20"/>
              </w:rPr>
              <w:t>Saline</w:t>
            </w:r>
          </w:p>
        </w:tc>
        <w:tc>
          <w:tcPr>
            <w:tcW w:w="1980" w:type="dxa"/>
          </w:tcPr>
          <w:p w14:paraId="57D0BAD6"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Hait</w:t>
            </w:r>
            <w:r>
              <w:rPr>
                <w:rFonts w:ascii="Cambria" w:eastAsia="Calibri" w:hAnsi="Cambria" w:cs="Calibri"/>
                <w:color w:val="000000"/>
                <w:sz w:val="20"/>
                <w:szCs w:val="20"/>
                <w:u w:color="000000"/>
                <w:bdr w:val="nil"/>
                <w14:textOutline w14:w="0" w14:cap="flat" w14:cmpd="sng" w14:algn="ctr">
                  <w14:noFill/>
                  <w14:prstDash w14:val="solid"/>
                  <w14:bevel/>
                </w14:textOutline>
              </w:rPr>
              <w:t>i</w:t>
            </w:r>
          </w:p>
        </w:tc>
      </w:tr>
      <w:tr w:rsidR="008668B8" w:rsidRPr="00066040" w14:paraId="660EA241" w14:textId="77777777" w:rsidTr="00556F31">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25" w:type="dxa"/>
          </w:tcPr>
          <w:p w14:paraId="76C157DA"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3</w:t>
            </w:r>
          </w:p>
        </w:tc>
        <w:tc>
          <w:tcPr>
            <w:tcW w:w="1260" w:type="dxa"/>
          </w:tcPr>
          <w:p w14:paraId="72543383"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112-16</w:t>
            </w:r>
          </w:p>
        </w:tc>
        <w:tc>
          <w:tcPr>
            <w:tcW w:w="5490" w:type="dxa"/>
          </w:tcPr>
          <w:p w14:paraId="23492965"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hAnsi="Cambria"/>
                <w:sz w:val="20"/>
                <w:szCs w:val="20"/>
              </w:rPr>
              <w:t xml:space="preserve">Relatives of </w:t>
            </w:r>
            <w:r w:rsidRPr="00066040">
              <w:rPr>
                <w:rFonts w:ascii="Cambria" w:hAnsi="Cambria"/>
                <w:sz w:val="20"/>
                <w:szCs w:val="20"/>
              </w:rPr>
              <w:t xml:space="preserve">Berta Cáceres </w:t>
            </w:r>
            <w:r>
              <w:rPr>
                <w:rFonts w:ascii="Cambria" w:hAnsi="Cambria"/>
                <w:sz w:val="20"/>
                <w:szCs w:val="20"/>
              </w:rPr>
              <w:t xml:space="preserve">and members of </w:t>
            </w:r>
            <w:r w:rsidRPr="00066040">
              <w:rPr>
                <w:rFonts w:ascii="Cambria" w:hAnsi="Cambria"/>
                <w:sz w:val="20"/>
                <w:szCs w:val="20"/>
              </w:rPr>
              <w:t>COPINH</w:t>
            </w:r>
          </w:p>
        </w:tc>
        <w:tc>
          <w:tcPr>
            <w:tcW w:w="1980" w:type="dxa"/>
          </w:tcPr>
          <w:p w14:paraId="48C5C475"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Honduras</w:t>
            </w:r>
          </w:p>
        </w:tc>
      </w:tr>
      <w:tr w:rsidR="008668B8" w:rsidRPr="00066040" w14:paraId="0E99529A" w14:textId="77777777" w:rsidTr="00556F31">
        <w:trPr>
          <w:trHeight w:val="411"/>
        </w:trPr>
        <w:tc>
          <w:tcPr>
            <w:cnfStyle w:val="001000000000" w:firstRow="0" w:lastRow="0" w:firstColumn="1" w:lastColumn="0" w:oddVBand="0" w:evenVBand="0" w:oddHBand="0" w:evenHBand="0" w:firstRowFirstColumn="0" w:firstRowLastColumn="0" w:lastRowFirstColumn="0" w:lastRowLastColumn="0"/>
            <w:tcW w:w="625" w:type="dxa"/>
          </w:tcPr>
          <w:p w14:paraId="5A738B14"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w:t>
            </w:r>
          </w:p>
        </w:tc>
        <w:tc>
          <w:tcPr>
            <w:tcW w:w="1260" w:type="dxa"/>
          </w:tcPr>
          <w:p w14:paraId="1DAB5496"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B5346F">
              <w:rPr>
                <w:rFonts w:ascii="Cambria" w:eastAsia="Calibri" w:hAnsi="Cambria" w:cs="Calibri"/>
                <w:color w:val="000000"/>
                <w:sz w:val="20"/>
                <w:szCs w:val="20"/>
                <w:u w:color="000000"/>
                <w:bdr w:val="nil"/>
                <w14:textOutline w14:w="0" w14:cap="flat" w14:cmpd="sng" w14:algn="ctr">
                  <w14:noFill/>
                  <w14:prstDash w14:val="solid"/>
                  <w14:bevel/>
                </w14:textOutline>
              </w:rPr>
              <w:t>409-14</w:t>
            </w:r>
          </w:p>
        </w:tc>
        <w:tc>
          <w:tcPr>
            <w:tcW w:w="5490" w:type="dxa"/>
          </w:tcPr>
          <w:p w14:paraId="50D8BB8F"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 xml:space="preserve">43 </w:t>
            </w:r>
            <w:r>
              <w:rPr>
                <w:rFonts w:ascii="Cambria" w:hAnsi="Cambria"/>
                <w:sz w:val="20"/>
                <w:szCs w:val="20"/>
              </w:rPr>
              <w:t>Students Disappeared and Not Found</w:t>
            </w:r>
          </w:p>
        </w:tc>
        <w:tc>
          <w:tcPr>
            <w:tcW w:w="1980" w:type="dxa"/>
          </w:tcPr>
          <w:p w14:paraId="25A03837"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M</w:t>
            </w:r>
            <w:r>
              <w:rPr>
                <w:rFonts w:ascii="Cambria" w:eastAsia="Calibri" w:hAnsi="Cambria" w:cs="Calibri"/>
                <w:color w:val="000000"/>
                <w:sz w:val="20"/>
                <w:szCs w:val="20"/>
                <w:u w:color="000000"/>
                <w:bdr w:val="nil"/>
                <w14:textOutline w14:w="0" w14:cap="flat" w14:cmpd="sng" w14:algn="ctr">
                  <w14:noFill/>
                  <w14:prstDash w14:val="solid"/>
                  <w14:bevel/>
                </w14:textOutline>
              </w:rPr>
              <w:t>e</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xico</w:t>
            </w:r>
          </w:p>
        </w:tc>
      </w:tr>
      <w:tr w:rsidR="008668B8" w:rsidRPr="00066040" w14:paraId="1678C4FC" w14:textId="77777777" w:rsidTr="00556F3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25" w:type="dxa"/>
          </w:tcPr>
          <w:p w14:paraId="2B028F66"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5</w:t>
            </w:r>
          </w:p>
        </w:tc>
        <w:tc>
          <w:tcPr>
            <w:tcW w:w="1260" w:type="dxa"/>
          </w:tcPr>
          <w:p w14:paraId="1C441167"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1175-20</w:t>
            </w:r>
          </w:p>
        </w:tc>
        <w:tc>
          <w:tcPr>
            <w:tcW w:w="5490" w:type="dxa"/>
          </w:tcPr>
          <w:p w14:paraId="7A5C4B9F"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 xml:space="preserve">Camille Occius </w:t>
            </w:r>
            <w:r>
              <w:rPr>
                <w:rFonts w:ascii="Cambria" w:hAnsi="Cambria"/>
                <w:sz w:val="20"/>
                <w:szCs w:val="20"/>
              </w:rPr>
              <w:t>and family</w:t>
            </w:r>
          </w:p>
        </w:tc>
        <w:tc>
          <w:tcPr>
            <w:tcW w:w="1980" w:type="dxa"/>
          </w:tcPr>
          <w:p w14:paraId="41CDFD3C"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Hait</w:t>
            </w:r>
            <w:r>
              <w:rPr>
                <w:rFonts w:ascii="Cambria" w:eastAsia="Calibri" w:hAnsi="Cambria" w:cs="Calibri"/>
                <w:color w:val="000000"/>
                <w:sz w:val="20"/>
                <w:szCs w:val="20"/>
                <w:u w:color="000000"/>
                <w:bdr w:val="nil"/>
                <w14:textOutline w14:w="0" w14:cap="flat" w14:cmpd="sng" w14:algn="ctr">
                  <w14:noFill/>
                  <w14:prstDash w14:val="solid"/>
                  <w14:bevel/>
                </w14:textOutline>
              </w:rPr>
              <w:t>i</w:t>
            </w:r>
          </w:p>
        </w:tc>
      </w:tr>
      <w:tr w:rsidR="008668B8" w:rsidRPr="00066040" w14:paraId="1193287C" w14:textId="77777777" w:rsidTr="00556F31">
        <w:trPr>
          <w:trHeight w:val="408"/>
        </w:trPr>
        <w:tc>
          <w:tcPr>
            <w:cnfStyle w:val="001000000000" w:firstRow="0" w:lastRow="0" w:firstColumn="1" w:lastColumn="0" w:oddVBand="0" w:evenVBand="0" w:oddHBand="0" w:evenHBand="0" w:firstRowFirstColumn="0" w:firstRowLastColumn="0" w:lastRowFirstColumn="0" w:lastRowLastColumn="0"/>
            <w:tcW w:w="625" w:type="dxa"/>
          </w:tcPr>
          <w:p w14:paraId="3229B763"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6</w:t>
            </w:r>
          </w:p>
        </w:tc>
        <w:tc>
          <w:tcPr>
            <w:tcW w:w="1260" w:type="dxa"/>
          </w:tcPr>
          <w:p w14:paraId="056D2184"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265-20</w:t>
            </w:r>
          </w:p>
        </w:tc>
        <w:tc>
          <w:tcPr>
            <w:tcW w:w="5490" w:type="dxa"/>
          </w:tcPr>
          <w:p w14:paraId="46AB828B"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Detained Migrants at NWPC</w:t>
            </w:r>
          </w:p>
        </w:tc>
        <w:tc>
          <w:tcPr>
            <w:tcW w:w="1980" w:type="dxa"/>
          </w:tcPr>
          <w:p w14:paraId="3CBBF42D"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United States</w:t>
            </w:r>
          </w:p>
        </w:tc>
      </w:tr>
      <w:tr w:rsidR="008668B8" w:rsidRPr="00066040" w14:paraId="7A6F310C" w14:textId="77777777" w:rsidTr="00556F3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25" w:type="dxa"/>
          </w:tcPr>
          <w:p w14:paraId="5584D11F"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7</w:t>
            </w:r>
          </w:p>
        </w:tc>
        <w:tc>
          <w:tcPr>
            <w:tcW w:w="1260" w:type="dxa"/>
          </w:tcPr>
          <w:p w14:paraId="63577551"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339-09</w:t>
            </w:r>
          </w:p>
        </w:tc>
        <w:tc>
          <w:tcPr>
            <w:tcW w:w="5490" w:type="dxa"/>
          </w:tcPr>
          <w:p w14:paraId="2D3C8336"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 xml:space="preserve">Claudia Julieta Duque Orrego </w:t>
            </w:r>
            <w:r>
              <w:rPr>
                <w:rFonts w:ascii="Cambria" w:hAnsi="Cambria"/>
                <w:sz w:val="20"/>
                <w:szCs w:val="20"/>
              </w:rPr>
              <w:t>and</w:t>
            </w:r>
            <w:r w:rsidRPr="00066040">
              <w:rPr>
                <w:rFonts w:ascii="Cambria" w:hAnsi="Cambria"/>
                <w:sz w:val="20"/>
                <w:szCs w:val="20"/>
              </w:rPr>
              <w:t xml:space="preserve"> María Alejandra Gómez Duque</w:t>
            </w:r>
          </w:p>
        </w:tc>
        <w:tc>
          <w:tcPr>
            <w:tcW w:w="1980" w:type="dxa"/>
          </w:tcPr>
          <w:p w14:paraId="05827FD8"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r>
      <w:tr w:rsidR="008668B8" w:rsidRPr="00066040" w14:paraId="2180BA64" w14:textId="77777777" w:rsidTr="00556F31">
        <w:trPr>
          <w:trHeight w:val="410"/>
        </w:trPr>
        <w:tc>
          <w:tcPr>
            <w:cnfStyle w:val="001000000000" w:firstRow="0" w:lastRow="0" w:firstColumn="1" w:lastColumn="0" w:oddVBand="0" w:evenVBand="0" w:oddHBand="0" w:evenHBand="0" w:firstRowFirstColumn="0" w:firstRowLastColumn="0" w:lastRowFirstColumn="0" w:lastRowLastColumn="0"/>
            <w:tcW w:w="625" w:type="dxa"/>
          </w:tcPr>
          <w:p w14:paraId="16B98050"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8</w:t>
            </w:r>
          </w:p>
        </w:tc>
        <w:tc>
          <w:tcPr>
            <w:tcW w:w="1260" w:type="dxa"/>
          </w:tcPr>
          <w:p w14:paraId="657C46B7"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887-19</w:t>
            </w:r>
          </w:p>
        </w:tc>
        <w:tc>
          <w:tcPr>
            <w:tcW w:w="5490" w:type="dxa"/>
          </w:tcPr>
          <w:p w14:paraId="6BB1C986"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Famili</w:t>
            </w:r>
            <w:r>
              <w:rPr>
                <w:rFonts w:ascii="Cambria" w:hAnsi="Cambria"/>
                <w:sz w:val="20"/>
                <w:szCs w:val="20"/>
              </w:rPr>
              <w:t>e</w:t>
            </w:r>
            <w:r w:rsidRPr="00066040">
              <w:rPr>
                <w:rFonts w:ascii="Cambria" w:hAnsi="Cambria"/>
                <w:sz w:val="20"/>
                <w:szCs w:val="20"/>
              </w:rPr>
              <w:t xml:space="preserve">s </w:t>
            </w:r>
            <w:r>
              <w:rPr>
                <w:rFonts w:ascii="Cambria" w:hAnsi="Cambria"/>
                <w:sz w:val="20"/>
                <w:szCs w:val="20"/>
              </w:rPr>
              <w:t xml:space="preserve">of the </w:t>
            </w:r>
            <w:r w:rsidRPr="00066040">
              <w:rPr>
                <w:rFonts w:ascii="Cambria" w:hAnsi="Cambria"/>
                <w:sz w:val="20"/>
                <w:szCs w:val="20"/>
              </w:rPr>
              <w:t>Nueva Austria del Sira</w:t>
            </w:r>
            <w:r>
              <w:rPr>
                <w:rFonts w:ascii="Cambria" w:hAnsi="Cambria"/>
                <w:sz w:val="20"/>
                <w:szCs w:val="20"/>
              </w:rPr>
              <w:t xml:space="preserve"> Community</w:t>
            </w:r>
          </w:p>
        </w:tc>
        <w:tc>
          <w:tcPr>
            <w:tcW w:w="1980" w:type="dxa"/>
          </w:tcPr>
          <w:p w14:paraId="1E8CFADD"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Per</w:t>
            </w:r>
            <w:r>
              <w:rPr>
                <w:rFonts w:ascii="Cambria" w:eastAsia="Calibri" w:hAnsi="Cambria" w:cs="Calibri"/>
                <w:color w:val="000000"/>
                <w:sz w:val="20"/>
                <w:szCs w:val="20"/>
                <w:u w:color="000000"/>
                <w:bdr w:val="nil"/>
                <w14:textOutline w14:w="0" w14:cap="flat" w14:cmpd="sng" w14:algn="ctr">
                  <w14:noFill/>
                  <w14:prstDash w14:val="solid"/>
                  <w14:bevel/>
                </w14:textOutline>
              </w:rPr>
              <w:t>u</w:t>
            </w:r>
          </w:p>
        </w:tc>
      </w:tr>
      <w:tr w:rsidR="008668B8" w:rsidRPr="00066040" w14:paraId="13E3B25B" w14:textId="77777777" w:rsidTr="00556F3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25" w:type="dxa"/>
          </w:tcPr>
          <w:p w14:paraId="627B5A74"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t>9</w:t>
            </w:r>
          </w:p>
        </w:tc>
        <w:tc>
          <w:tcPr>
            <w:tcW w:w="1260" w:type="dxa"/>
          </w:tcPr>
          <w:p w14:paraId="314A02F6"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551-21</w:t>
            </w:r>
          </w:p>
        </w:tc>
        <w:tc>
          <w:tcPr>
            <w:tcW w:w="5490" w:type="dxa"/>
          </w:tcPr>
          <w:p w14:paraId="7F6063A4"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Erica Sheppard</w:t>
            </w:r>
          </w:p>
        </w:tc>
        <w:tc>
          <w:tcPr>
            <w:tcW w:w="1980" w:type="dxa"/>
          </w:tcPr>
          <w:p w14:paraId="2FDB8756"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Estados Unidos</w:t>
            </w:r>
          </w:p>
        </w:tc>
      </w:tr>
      <w:tr w:rsidR="008668B8" w:rsidRPr="00066040" w14:paraId="5D99D194" w14:textId="77777777" w:rsidTr="00556F31">
        <w:trPr>
          <w:trHeight w:val="560"/>
        </w:trPr>
        <w:tc>
          <w:tcPr>
            <w:cnfStyle w:val="001000000000" w:firstRow="0" w:lastRow="0" w:firstColumn="1" w:lastColumn="0" w:oddVBand="0" w:evenVBand="0" w:oddHBand="0" w:evenHBand="0" w:firstRowFirstColumn="0" w:firstRowLastColumn="0" w:lastRowFirstColumn="0" w:lastRowLastColumn="0"/>
            <w:tcW w:w="625" w:type="dxa"/>
          </w:tcPr>
          <w:p w14:paraId="213E04CF"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t>10</w:t>
            </w:r>
          </w:p>
        </w:tc>
        <w:tc>
          <w:tcPr>
            <w:tcW w:w="1260" w:type="dxa"/>
          </w:tcPr>
          <w:p w14:paraId="634B3211"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487-19</w:t>
            </w:r>
          </w:p>
        </w:tc>
        <w:tc>
          <w:tcPr>
            <w:tcW w:w="5490" w:type="dxa"/>
          </w:tcPr>
          <w:p w14:paraId="56CCB135"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Quelvin Otoniel Jiménez Villalta</w:t>
            </w:r>
          </w:p>
        </w:tc>
        <w:tc>
          <w:tcPr>
            <w:tcW w:w="1980" w:type="dxa"/>
          </w:tcPr>
          <w:p w14:paraId="05B721D6"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Guatemala</w:t>
            </w:r>
          </w:p>
        </w:tc>
      </w:tr>
      <w:tr w:rsidR="008668B8" w:rsidRPr="00066040" w14:paraId="7FD64A72" w14:textId="77777777" w:rsidTr="00556F31">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625" w:type="dxa"/>
          </w:tcPr>
          <w:p w14:paraId="7109F580"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lastRenderedPageBreak/>
              <w:t>11</w:t>
            </w:r>
          </w:p>
        </w:tc>
        <w:tc>
          <w:tcPr>
            <w:tcW w:w="1260" w:type="dxa"/>
          </w:tcPr>
          <w:p w14:paraId="261C2E6E"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491-21</w:t>
            </w:r>
          </w:p>
        </w:tc>
        <w:tc>
          <w:tcPr>
            <w:tcW w:w="5490" w:type="dxa"/>
          </w:tcPr>
          <w:p w14:paraId="222E006A"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bdr w:val="nil"/>
                <w14:textOutline w14:w="0" w14:cap="flat" w14:cmpd="sng" w14:algn="ctr">
                  <w14:noFill/>
                  <w14:prstDash w14:val="solid"/>
                  <w14:bevel/>
                </w14:textOutline>
              </w:rPr>
            </w:pPr>
            <w:r w:rsidRPr="6D82FDC4">
              <w:rPr>
                <w:rFonts w:ascii="Cambria" w:hAnsi="Cambria"/>
                <w:sz w:val="20"/>
                <w:szCs w:val="20"/>
              </w:rPr>
              <w:t>S.G.R.Q. and her nuclear family</w:t>
            </w:r>
          </w:p>
        </w:tc>
        <w:tc>
          <w:tcPr>
            <w:tcW w:w="1980" w:type="dxa"/>
          </w:tcPr>
          <w:p w14:paraId="59D29CCD"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r>
      <w:tr w:rsidR="008668B8" w:rsidRPr="00066040" w14:paraId="078CBBEA" w14:textId="77777777" w:rsidTr="00556F31">
        <w:trPr>
          <w:trHeight w:val="400"/>
        </w:trPr>
        <w:tc>
          <w:tcPr>
            <w:cnfStyle w:val="001000000000" w:firstRow="0" w:lastRow="0" w:firstColumn="1" w:lastColumn="0" w:oddVBand="0" w:evenVBand="0" w:oddHBand="0" w:evenHBand="0" w:firstRowFirstColumn="0" w:firstRowLastColumn="0" w:lastRowFirstColumn="0" w:lastRowLastColumn="0"/>
            <w:tcW w:w="625" w:type="dxa"/>
          </w:tcPr>
          <w:p w14:paraId="5AF2FFC8"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t>12</w:t>
            </w:r>
          </w:p>
        </w:tc>
        <w:tc>
          <w:tcPr>
            <w:tcW w:w="1260" w:type="dxa"/>
          </w:tcPr>
          <w:p w14:paraId="374B8BFA"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1080-20</w:t>
            </w:r>
          </w:p>
        </w:tc>
        <w:tc>
          <w:tcPr>
            <w:tcW w:w="5490" w:type="dxa"/>
          </w:tcPr>
          <w:p w14:paraId="6845B402"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Christa Pike</w:t>
            </w:r>
          </w:p>
        </w:tc>
        <w:tc>
          <w:tcPr>
            <w:tcW w:w="1980" w:type="dxa"/>
          </w:tcPr>
          <w:p w14:paraId="5517A7C9"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United States</w:t>
            </w:r>
          </w:p>
        </w:tc>
      </w:tr>
    </w:tbl>
    <w:p w14:paraId="3D11B715" w14:textId="77777777" w:rsidR="008668B8" w:rsidRPr="00066040" w:rsidRDefault="008668B8" w:rsidP="008668B8">
      <w:pPr>
        <w:pBdr>
          <w:top w:val="nil"/>
          <w:left w:val="nil"/>
          <w:bottom w:val="nil"/>
          <w:right w:val="nil"/>
          <w:between w:val="nil"/>
          <w:bar w:val="nil"/>
        </w:pBdr>
        <w:ind w:left="720"/>
        <w:jc w:val="both"/>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p>
    <w:tbl>
      <w:tblPr>
        <w:tblStyle w:val="GridTable4-Accent51"/>
        <w:tblW w:w="5003" w:type="pct"/>
        <w:tblLook w:val="04A0" w:firstRow="1" w:lastRow="0" w:firstColumn="1" w:lastColumn="0" w:noHBand="0" w:noVBand="1"/>
      </w:tblPr>
      <w:tblGrid>
        <w:gridCol w:w="558"/>
        <w:gridCol w:w="1416"/>
        <w:gridCol w:w="5387"/>
        <w:gridCol w:w="1995"/>
      </w:tblGrid>
      <w:tr w:rsidR="008668B8" w:rsidRPr="00066040" w14:paraId="5CF4DFFC" w14:textId="77777777" w:rsidTr="003308CB">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6BA96782" w14:textId="012ACFB2" w:rsidR="008668B8" w:rsidRPr="00066040" w:rsidRDefault="008668B8" w:rsidP="003308CB">
            <w:pPr>
              <w:pBdr>
                <w:top w:val="nil"/>
                <w:left w:val="nil"/>
                <w:bottom w:val="nil"/>
                <w:right w:val="nil"/>
                <w:between w:val="nil"/>
                <w:bar w:val="nil"/>
              </w:pBdr>
              <w:jc w:val="center"/>
              <w:rPr>
                <w:rFonts w:ascii="Cambria" w:eastAsia="Calibri" w:hAnsi="Cambria" w:cs="Calibri"/>
                <w:bCs w:val="0"/>
                <w:color w:val="000000"/>
                <w:u w:color="000000"/>
                <w:bdr w:val="nil"/>
                <w14:textOutline w14:w="0" w14:cap="flat" w14:cmpd="sng" w14:algn="ctr">
                  <w14:noFill/>
                  <w14:prstDash w14:val="solid"/>
                  <w14:bevel/>
                </w14:textOutline>
              </w:rPr>
            </w:pPr>
            <w:r w:rsidRPr="00066040">
              <w:rPr>
                <w:rFonts w:ascii="Cambria" w:eastAsia="Calibri" w:hAnsi="Cambria" w:cs="Calibri"/>
                <w:bCs w:val="0"/>
                <w:sz w:val="20"/>
                <w:szCs w:val="20"/>
                <w:u w:color="000000"/>
                <w:bdr w:val="nil"/>
                <w14:textOutline w14:w="0" w14:cap="flat" w14:cmpd="sng" w14:algn="ctr">
                  <w14:noFill/>
                  <w14:prstDash w14:val="solid"/>
                  <w14:bevel/>
                </w14:textOutline>
              </w:rPr>
              <w:t>184</w:t>
            </w:r>
            <w:r w:rsidRPr="006F1B6F">
              <w:rPr>
                <w:rFonts w:ascii="Cambria" w:eastAsia="Calibri" w:hAnsi="Cambria" w:cs="Calibri"/>
                <w:bCs w:val="0"/>
                <w:sz w:val="20"/>
                <w:szCs w:val="20"/>
                <w:u w:color="000000"/>
                <w:bdr w:val="nil"/>
                <w:vertAlign w:val="superscript"/>
                <w14:textOutline w14:w="0" w14:cap="flat" w14:cmpd="sng" w14:algn="ctr">
                  <w14:noFill/>
                  <w14:prstDash w14:val="solid"/>
                  <w14:bevel/>
                </w14:textOutline>
              </w:rPr>
              <w:t>th</w:t>
            </w:r>
            <w:r>
              <w:rPr>
                <w:rFonts w:ascii="Cambria" w:eastAsia="Calibri" w:hAnsi="Cambria" w:cs="Calibri"/>
                <w:bCs w:val="0"/>
                <w:sz w:val="20"/>
                <w:szCs w:val="20"/>
                <w:u w:color="000000"/>
                <w:bdr w:val="nil"/>
                <w14:textOutline w14:w="0" w14:cap="flat" w14:cmpd="sng" w14:algn="ctr">
                  <w14:noFill/>
                  <w14:prstDash w14:val="solid"/>
                  <w14:bevel/>
                </w14:textOutline>
              </w:rPr>
              <w:t xml:space="preserve"> Period of Sessions</w:t>
            </w:r>
          </w:p>
        </w:tc>
      </w:tr>
      <w:tr w:rsidR="008668B8" w:rsidRPr="00066040" w14:paraId="26A9FC84" w14:textId="77777777" w:rsidTr="00556F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4"/>
          </w:tcPr>
          <w:p w14:paraId="3941A6D5" w14:textId="77777777" w:rsidR="008668B8" w:rsidRPr="00066040" w:rsidRDefault="008668B8">
            <w:pPr>
              <w:pBdr>
                <w:top w:val="nil"/>
                <w:left w:val="nil"/>
                <w:bottom w:val="nil"/>
                <w:right w:val="nil"/>
                <w:between w:val="nil"/>
                <w:bar w:val="nil"/>
              </w:pBdr>
              <w:jc w:val="center"/>
              <w:rPr>
                <w:rFonts w:ascii="Cambria" w:eastAsia="Calibri" w:hAnsi="Cambria" w:cs="Calibri"/>
                <w:b w:val="0"/>
                <w:color w:val="000000"/>
                <w:sz w:val="20"/>
                <w:szCs w:val="20"/>
                <w:u w:color="000000"/>
                <w:bdr w:val="nil"/>
                <w14:textOutline w14:w="0" w14:cap="flat" w14:cmpd="sng" w14:algn="ctr">
                  <w14:noFill/>
                  <w14:prstDash w14:val="solid"/>
                  <w14:bevel/>
                </w14:textOutline>
              </w:rPr>
            </w:pPr>
            <w:r>
              <w:rPr>
                <w:rFonts w:ascii="Cambria" w:eastAsia="Calibri" w:hAnsi="Cambria" w:cs="Calibri"/>
                <w:sz w:val="20"/>
                <w:szCs w:val="20"/>
                <w:u w:color="000000"/>
                <w:bdr w:val="nil"/>
                <w14:textOutline w14:w="0" w14:cap="flat" w14:cmpd="sng" w14:algn="ctr">
                  <w14:noFill/>
                  <w14:prstDash w14:val="solid"/>
                  <w14:bevel/>
                </w14:textOutline>
              </w:rPr>
              <w:t>Working Meetings</w:t>
            </w:r>
          </w:p>
        </w:tc>
      </w:tr>
      <w:tr w:rsidR="008668B8" w:rsidRPr="00066040" w14:paraId="25F3AF33" w14:textId="77777777" w:rsidTr="00556F31">
        <w:trPr>
          <w:trHeight w:val="352"/>
        </w:trPr>
        <w:tc>
          <w:tcPr>
            <w:cnfStyle w:val="001000000000" w:firstRow="0" w:lastRow="0" w:firstColumn="1" w:lastColumn="0" w:oddVBand="0" w:evenVBand="0" w:oddHBand="0" w:evenHBand="0" w:firstRowFirstColumn="0" w:firstRowLastColumn="0" w:lastRowFirstColumn="0" w:lastRowLastColumn="0"/>
            <w:tcW w:w="298" w:type="pct"/>
          </w:tcPr>
          <w:p w14:paraId="62492433" w14:textId="77777777" w:rsidR="008668B8" w:rsidRPr="00066040" w:rsidRDefault="008668B8">
            <w:pPr>
              <w:pBdr>
                <w:top w:val="nil"/>
                <w:left w:val="nil"/>
                <w:bottom w:val="nil"/>
                <w:right w:val="nil"/>
                <w:between w:val="nil"/>
                <w:bar w:val="nil"/>
              </w:pBdr>
              <w:jc w:val="center"/>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No</w:t>
            </w:r>
            <w:r>
              <w:rPr>
                <w:rFonts w:ascii="Cambria" w:eastAsia="Calibri" w:hAnsi="Cambria" w:cs="Calibri"/>
                <w:color w:val="000000"/>
                <w:sz w:val="20"/>
                <w:szCs w:val="20"/>
                <w:u w:color="000000"/>
                <w:bdr w:val="nil"/>
                <w14:textOutline w14:w="0" w14:cap="flat" w14:cmpd="sng" w14:algn="ctr">
                  <w14:noFill/>
                  <w14:prstDash w14:val="solid"/>
                  <w14:bevel/>
                </w14:textOutline>
              </w:rPr>
              <w:t>.</w:t>
            </w:r>
          </w:p>
        </w:tc>
        <w:tc>
          <w:tcPr>
            <w:tcW w:w="757" w:type="pct"/>
          </w:tcPr>
          <w:p w14:paraId="2AFEA6F9"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Pr>
                <w:rFonts w:ascii="Cambria" w:eastAsia="Calibri" w:hAnsi="Cambria" w:cs="Calibri"/>
                <w:b/>
                <w:color w:val="000000"/>
                <w:sz w:val="20"/>
                <w:szCs w:val="20"/>
                <w:u w:color="000000"/>
                <w:bdr w:val="nil"/>
                <w14:textOutline w14:w="0" w14:cap="flat" w14:cmpd="sng" w14:algn="ctr">
                  <w14:noFill/>
                  <w14:prstDash w14:val="solid"/>
                  <w14:bevel/>
                </w14:textOutline>
              </w:rPr>
              <w:t>P</w:t>
            </w: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M</w:t>
            </w:r>
          </w:p>
        </w:tc>
        <w:tc>
          <w:tcPr>
            <w:tcW w:w="2879" w:type="pct"/>
          </w:tcPr>
          <w:p w14:paraId="06586E42"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Beneficiari</w:t>
            </w:r>
            <w:r>
              <w:rPr>
                <w:rFonts w:ascii="Cambria" w:eastAsia="Calibri" w:hAnsi="Cambria" w:cs="Calibri"/>
                <w:b/>
                <w:color w:val="000000"/>
                <w:sz w:val="20"/>
                <w:szCs w:val="20"/>
                <w:u w:color="000000"/>
                <w:bdr w:val="nil"/>
                <w14:textOutline w14:w="0" w14:cap="flat" w14:cmpd="sng" w14:algn="ctr">
                  <w14:noFill/>
                  <w14:prstDash w14:val="solid"/>
                  <w14:bevel/>
                </w14:textOutline>
              </w:rPr>
              <w:t>e</w:t>
            </w: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s</w:t>
            </w:r>
          </w:p>
        </w:tc>
        <w:tc>
          <w:tcPr>
            <w:tcW w:w="1066" w:type="pct"/>
          </w:tcPr>
          <w:p w14:paraId="098A9E9D"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Pr>
                <w:rFonts w:ascii="Cambria" w:eastAsia="Calibri" w:hAnsi="Cambria" w:cs="Calibri"/>
                <w:b/>
                <w:color w:val="000000"/>
                <w:sz w:val="20"/>
                <w:szCs w:val="20"/>
                <w:u w:color="000000"/>
                <w:bdr w:val="nil"/>
                <w14:textOutline w14:w="0" w14:cap="flat" w14:cmpd="sng" w14:algn="ctr">
                  <w14:noFill/>
                  <w14:prstDash w14:val="solid"/>
                  <w14:bevel/>
                </w14:textOutline>
              </w:rPr>
              <w:t>State</w:t>
            </w:r>
          </w:p>
        </w:tc>
      </w:tr>
      <w:tr w:rsidR="00556F31" w:rsidRPr="00066040" w14:paraId="341CFBF2" w14:textId="77777777" w:rsidTr="00556F3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8" w:type="pct"/>
          </w:tcPr>
          <w:p w14:paraId="1094F9EB"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13</w:t>
            </w:r>
          </w:p>
        </w:tc>
        <w:tc>
          <w:tcPr>
            <w:tcW w:w="757" w:type="pct"/>
          </w:tcPr>
          <w:p w14:paraId="3E445D4D"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21-05</w:t>
            </w:r>
          </w:p>
        </w:tc>
        <w:tc>
          <w:tcPr>
            <w:tcW w:w="2879" w:type="pct"/>
          </w:tcPr>
          <w:p w14:paraId="5FBC1DE6"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hAnsi="Cambria"/>
                <w:sz w:val="20"/>
                <w:szCs w:val="20"/>
              </w:rPr>
              <w:t xml:space="preserve">Wiwa Indigenous People of the </w:t>
            </w:r>
            <w:r w:rsidRPr="00066040">
              <w:rPr>
                <w:rFonts w:ascii="Cambria" w:hAnsi="Cambria"/>
                <w:sz w:val="20"/>
                <w:szCs w:val="20"/>
              </w:rPr>
              <w:t>Sierra Nevada de Santa Marta</w:t>
            </w:r>
          </w:p>
        </w:tc>
        <w:tc>
          <w:tcPr>
            <w:tcW w:w="1066" w:type="pct"/>
          </w:tcPr>
          <w:p w14:paraId="4ED3F2F8"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r>
      <w:tr w:rsidR="008668B8" w:rsidRPr="00066040" w14:paraId="25049EC6" w14:textId="77777777" w:rsidTr="00556F31">
        <w:trPr>
          <w:trHeight w:val="458"/>
        </w:trPr>
        <w:tc>
          <w:tcPr>
            <w:cnfStyle w:val="001000000000" w:firstRow="0" w:lastRow="0" w:firstColumn="1" w:lastColumn="0" w:oddVBand="0" w:evenVBand="0" w:oddHBand="0" w:evenHBand="0" w:firstRowFirstColumn="0" w:firstRowLastColumn="0" w:lastRowFirstColumn="0" w:lastRowLastColumn="0"/>
            <w:tcW w:w="298" w:type="pct"/>
          </w:tcPr>
          <w:p w14:paraId="56FA4350"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14</w:t>
            </w:r>
          </w:p>
        </w:tc>
        <w:tc>
          <w:tcPr>
            <w:tcW w:w="757" w:type="pct"/>
          </w:tcPr>
          <w:p w14:paraId="59F52A14"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379-19 </w:t>
            </w:r>
            <w:r>
              <w:rPr>
                <w:rFonts w:ascii="Cambria" w:eastAsia="Calibri" w:hAnsi="Cambria" w:cs="Calibri"/>
                <w:color w:val="000000"/>
                <w:sz w:val="20"/>
                <w:szCs w:val="20"/>
                <w:u w:color="000000"/>
                <w:bdr w:val="nil"/>
                <w14:textOutline w14:w="0" w14:cap="flat" w14:cmpd="sng" w14:algn="ctr">
                  <w14:noFill/>
                  <w14:prstDash w14:val="solid"/>
                  <w14:bevel/>
                </w14:textOutline>
              </w:rPr>
              <w:t>and</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 888-19</w:t>
            </w:r>
          </w:p>
        </w:tc>
        <w:tc>
          <w:tcPr>
            <w:tcW w:w="2879" w:type="pct"/>
          </w:tcPr>
          <w:p w14:paraId="2D5C2F30"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Evaristo de Moraes</w:t>
            </w:r>
            <w:r>
              <w:rPr>
                <w:rFonts w:ascii="Cambria" w:hAnsi="Cambria"/>
                <w:sz w:val="20"/>
                <w:szCs w:val="20"/>
              </w:rPr>
              <w:t xml:space="preserve"> Penitentiary</w:t>
            </w:r>
            <w:r w:rsidRPr="00066040">
              <w:rPr>
                <w:rFonts w:ascii="Cambria" w:hAnsi="Cambria"/>
                <w:sz w:val="20"/>
                <w:szCs w:val="20"/>
              </w:rPr>
              <w:t xml:space="preserve"> </w:t>
            </w:r>
            <w:r>
              <w:rPr>
                <w:rFonts w:ascii="Cambria" w:hAnsi="Cambria"/>
                <w:sz w:val="20"/>
                <w:szCs w:val="20"/>
              </w:rPr>
              <w:t>and</w:t>
            </w:r>
            <w:r w:rsidRPr="00066040">
              <w:rPr>
                <w:rFonts w:ascii="Cambria" w:hAnsi="Cambria"/>
                <w:sz w:val="20"/>
                <w:szCs w:val="20"/>
              </w:rPr>
              <w:t xml:space="preserve"> Jorge Santana</w:t>
            </w:r>
            <w:r>
              <w:rPr>
                <w:rFonts w:ascii="Cambria" w:hAnsi="Cambria"/>
                <w:sz w:val="20"/>
                <w:szCs w:val="20"/>
              </w:rPr>
              <w:t xml:space="preserve"> Public Penitentiary</w:t>
            </w:r>
          </w:p>
        </w:tc>
        <w:tc>
          <w:tcPr>
            <w:tcW w:w="1066" w:type="pct"/>
          </w:tcPr>
          <w:p w14:paraId="448B09D2"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Bra</w:t>
            </w:r>
            <w:r>
              <w:rPr>
                <w:rFonts w:ascii="Cambria" w:eastAsia="Calibri" w:hAnsi="Cambria" w:cs="Calibri"/>
                <w:color w:val="000000"/>
                <w:sz w:val="20"/>
                <w:szCs w:val="20"/>
                <w:u w:color="000000"/>
                <w:bdr w:val="nil"/>
                <w14:textOutline w14:w="0" w14:cap="flat" w14:cmpd="sng" w14:algn="ctr">
                  <w14:noFill/>
                  <w14:prstDash w14:val="solid"/>
                  <w14:bevel/>
                </w14:textOutline>
              </w:rPr>
              <w:t>z</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il</w:t>
            </w:r>
          </w:p>
        </w:tc>
      </w:tr>
      <w:tr w:rsidR="00556F31" w:rsidRPr="00066040" w14:paraId="73C4C302" w14:textId="77777777" w:rsidTr="00556F3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98" w:type="pct"/>
          </w:tcPr>
          <w:p w14:paraId="3D4BD178"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15</w:t>
            </w:r>
          </w:p>
        </w:tc>
        <w:tc>
          <w:tcPr>
            <w:tcW w:w="757" w:type="pct"/>
          </w:tcPr>
          <w:p w14:paraId="20AFC3A2"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242-09</w:t>
            </w:r>
          </w:p>
        </w:tc>
        <w:tc>
          <w:tcPr>
            <w:tcW w:w="2879" w:type="pct"/>
          </w:tcPr>
          <w:p w14:paraId="11F0EBEE"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Marco Romero, Edna Bibiana Ortiz, Jorge Rojas (</w:t>
            </w:r>
            <w:r>
              <w:rPr>
                <w:rFonts w:ascii="Cambria" w:hAnsi="Cambria"/>
                <w:sz w:val="20"/>
                <w:szCs w:val="20"/>
              </w:rPr>
              <w:t xml:space="preserve">Members of </w:t>
            </w:r>
            <w:r w:rsidRPr="00066040">
              <w:rPr>
                <w:rFonts w:ascii="Cambria" w:hAnsi="Cambria"/>
                <w:sz w:val="20"/>
                <w:szCs w:val="20"/>
              </w:rPr>
              <w:t>CODHES)</w:t>
            </w:r>
          </w:p>
        </w:tc>
        <w:tc>
          <w:tcPr>
            <w:tcW w:w="1066" w:type="pct"/>
          </w:tcPr>
          <w:p w14:paraId="6297C746"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r>
      <w:tr w:rsidR="008668B8" w:rsidRPr="00066040" w14:paraId="5B536133" w14:textId="77777777" w:rsidTr="00556F31">
        <w:trPr>
          <w:trHeight w:val="860"/>
        </w:trPr>
        <w:tc>
          <w:tcPr>
            <w:cnfStyle w:val="001000000000" w:firstRow="0" w:lastRow="0" w:firstColumn="1" w:lastColumn="0" w:oddVBand="0" w:evenVBand="0" w:oddHBand="0" w:evenHBand="0" w:firstRowFirstColumn="0" w:firstRowLastColumn="0" w:lastRowFirstColumn="0" w:lastRowLastColumn="0"/>
            <w:tcW w:w="298" w:type="pct"/>
          </w:tcPr>
          <w:p w14:paraId="5E7A2A39"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16</w:t>
            </w:r>
          </w:p>
        </w:tc>
        <w:tc>
          <w:tcPr>
            <w:tcW w:w="757" w:type="pct"/>
          </w:tcPr>
          <w:p w14:paraId="0FB2A859"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104-12, 37-15, 496-14</w:t>
            </w:r>
          </w:p>
        </w:tc>
        <w:tc>
          <w:tcPr>
            <w:tcW w:w="2879" w:type="pct"/>
          </w:tcPr>
          <w:p w14:paraId="53F1176D"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hAnsi="Cambria"/>
                <w:sz w:val="20"/>
                <w:szCs w:val="20"/>
              </w:rPr>
              <w:t xml:space="preserve">Units </w:t>
            </w:r>
            <w:r w:rsidRPr="00066040">
              <w:rPr>
                <w:rFonts w:ascii="Cambria" w:hAnsi="Cambria"/>
                <w:sz w:val="20"/>
                <w:szCs w:val="20"/>
              </w:rPr>
              <w:t>46, 4</w:t>
            </w:r>
            <w:r>
              <w:rPr>
                <w:rFonts w:ascii="Cambria" w:hAnsi="Cambria"/>
                <w:sz w:val="20"/>
                <w:szCs w:val="20"/>
              </w:rPr>
              <w:t>7,</w:t>
            </w:r>
            <w:r w:rsidRPr="00066040">
              <w:rPr>
                <w:rFonts w:ascii="Cambria" w:hAnsi="Cambria"/>
                <w:sz w:val="20"/>
                <w:szCs w:val="20"/>
              </w:rPr>
              <w:t xml:space="preserve"> </w:t>
            </w:r>
            <w:r>
              <w:rPr>
                <w:rFonts w:ascii="Cambria" w:hAnsi="Cambria"/>
                <w:sz w:val="20"/>
                <w:szCs w:val="20"/>
              </w:rPr>
              <w:t xml:space="preserve">and </w:t>
            </w:r>
            <w:r w:rsidRPr="00066040">
              <w:rPr>
                <w:rFonts w:ascii="Cambria" w:hAnsi="Cambria"/>
                <w:sz w:val="20"/>
                <w:szCs w:val="20"/>
              </w:rPr>
              <w:t xml:space="preserve">48 </w:t>
            </w:r>
            <w:r>
              <w:rPr>
                <w:rFonts w:ascii="Cambria" w:hAnsi="Cambria"/>
                <w:sz w:val="20"/>
                <w:szCs w:val="20"/>
              </w:rPr>
              <w:t>of the Buenos Aires Province Penitentiary Service, Persons Deprived of Liberty in</w:t>
            </w:r>
            <w:r w:rsidRPr="00066040">
              <w:rPr>
                <w:rFonts w:ascii="Cambria" w:hAnsi="Cambria"/>
                <w:sz w:val="20"/>
                <w:szCs w:val="20"/>
              </w:rPr>
              <w:t xml:space="preserve"> 21 </w:t>
            </w:r>
            <w:r>
              <w:rPr>
                <w:rFonts w:ascii="Cambria" w:hAnsi="Cambria"/>
                <w:sz w:val="20"/>
                <w:szCs w:val="20"/>
              </w:rPr>
              <w:t>Police Stations in Buenos Aires Province</w:t>
            </w:r>
          </w:p>
        </w:tc>
        <w:tc>
          <w:tcPr>
            <w:tcW w:w="1066" w:type="pct"/>
          </w:tcPr>
          <w:p w14:paraId="631C9A2B"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Argentina</w:t>
            </w:r>
          </w:p>
        </w:tc>
      </w:tr>
      <w:tr w:rsidR="00556F31" w:rsidRPr="00066040" w14:paraId="2D4D2D9F" w14:textId="77777777" w:rsidTr="00556F31">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98" w:type="pct"/>
          </w:tcPr>
          <w:p w14:paraId="28C4CBDA"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17</w:t>
            </w:r>
          </w:p>
        </w:tc>
        <w:tc>
          <w:tcPr>
            <w:tcW w:w="757" w:type="pct"/>
          </w:tcPr>
          <w:p w14:paraId="20CD3A5F"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552-21</w:t>
            </w:r>
          </w:p>
        </w:tc>
        <w:tc>
          <w:tcPr>
            <w:tcW w:w="2879" w:type="pct"/>
          </w:tcPr>
          <w:p w14:paraId="7C450F9F"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 xml:space="preserve">Yiner Hernán Quiguantar Cortés </w:t>
            </w:r>
          </w:p>
        </w:tc>
        <w:tc>
          <w:tcPr>
            <w:tcW w:w="1066" w:type="pct"/>
          </w:tcPr>
          <w:p w14:paraId="0075410D"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r>
      <w:tr w:rsidR="008668B8" w:rsidRPr="00066040" w14:paraId="721D7149" w14:textId="77777777" w:rsidTr="00556F31">
        <w:trPr>
          <w:trHeight w:val="440"/>
        </w:trPr>
        <w:tc>
          <w:tcPr>
            <w:cnfStyle w:val="001000000000" w:firstRow="0" w:lastRow="0" w:firstColumn="1" w:lastColumn="0" w:oddVBand="0" w:evenVBand="0" w:oddHBand="0" w:evenHBand="0" w:firstRowFirstColumn="0" w:firstRowLastColumn="0" w:lastRowFirstColumn="0" w:lastRowLastColumn="0"/>
            <w:tcW w:w="298" w:type="pct"/>
          </w:tcPr>
          <w:p w14:paraId="04DBF273"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18</w:t>
            </w:r>
          </w:p>
        </w:tc>
        <w:tc>
          <w:tcPr>
            <w:tcW w:w="757" w:type="pct"/>
          </w:tcPr>
          <w:p w14:paraId="04F0E1E9"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1211-19</w:t>
            </w:r>
          </w:p>
        </w:tc>
        <w:tc>
          <w:tcPr>
            <w:tcW w:w="2879" w:type="pct"/>
          </w:tcPr>
          <w:p w14:paraId="2817655A" w14:textId="77777777" w:rsidR="008668B8" w:rsidRPr="00740CD6"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lang w:val="pt-BR"/>
                <w14:textOutline w14:w="0" w14:cap="flat" w14:cmpd="sng" w14:algn="ctr">
                  <w14:noFill/>
                  <w14:prstDash w14:val="solid"/>
                  <w14:bevel/>
                </w14:textOutline>
              </w:rPr>
            </w:pPr>
            <w:r w:rsidRPr="00740CD6">
              <w:rPr>
                <w:rFonts w:ascii="Cambria" w:hAnsi="Cambria"/>
                <w:sz w:val="20"/>
                <w:szCs w:val="20"/>
                <w:lang w:val="pt-BR"/>
              </w:rPr>
              <w:t>Quilombola Rio dos Macacos Community</w:t>
            </w:r>
          </w:p>
        </w:tc>
        <w:tc>
          <w:tcPr>
            <w:tcW w:w="1066" w:type="pct"/>
          </w:tcPr>
          <w:p w14:paraId="2497E448"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Br</w:t>
            </w:r>
            <w:r>
              <w:rPr>
                <w:rFonts w:ascii="Cambria" w:eastAsia="Calibri" w:hAnsi="Cambria" w:cs="Calibri"/>
                <w:color w:val="000000"/>
                <w:sz w:val="20"/>
                <w:szCs w:val="20"/>
                <w:u w:color="000000"/>
                <w:bdr w:val="nil"/>
                <w14:textOutline w14:w="0" w14:cap="flat" w14:cmpd="sng" w14:algn="ctr">
                  <w14:noFill/>
                  <w14:prstDash w14:val="solid"/>
                  <w14:bevel/>
                </w14:textOutline>
              </w:rPr>
              <w:t>az</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il</w:t>
            </w:r>
          </w:p>
        </w:tc>
      </w:tr>
      <w:tr w:rsidR="00556F31" w:rsidRPr="00066040" w14:paraId="588DCE25" w14:textId="77777777" w:rsidTr="00556F31">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98" w:type="pct"/>
          </w:tcPr>
          <w:p w14:paraId="6E8FFEE1"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19</w:t>
            </w:r>
          </w:p>
        </w:tc>
        <w:tc>
          <w:tcPr>
            <w:tcW w:w="757" w:type="pct"/>
          </w:tcPr>
          <w:p w14:paraId="253201FD"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455-19</w:t>
            </w:r>
          </w:p>
        </w:tc>
        <w:tc>
          <w:tcPr>
            <w:tcW w:w="2879" w:type="pct"/>
          </w:tcPr>
          <w:p w14:paraId="0A831151"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D.R.S.V.</w:t>
            </w:r>
          </w:p>
        </w:tc>
        <w:tc>
          <w:tcPr>
            <w:tcW w:w="1066" w:type="pct"/>
          </w:tcPr>
          <w:p w14:paraId="613C1210"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Per</w:t>
            </w:r>
            <w:r>
              <w:rPr>
                <w:rFonts w:ascii="Cambria" w:eastAsia="Calibri" w:hAnsi="Cambria" w:cs="Calibri"/>
                <w:color w:val="000000"/>
                <w:sz w:val="20"/>
                <w:szCs w:val="20"/>
                <w:u w:color="000000"/>
                <w:bdr w:val="nil"/>
                <w14:textOutline w14:w="0" w14:cap="flat" w14:cmpd="sng" w14:algn="ctr">
                  <w14:noFill/>
                  <w14:prstDash w14:val="solid"/>
                  <w14:bevel/>
                </w14:textOutline>
              </w:rPr>
              <w:t>u</w:t>
            </w:r>
          </w:p>
        </w:tc>
      </w:tr>
      <w:tr w:rsidR="008668B8" w:rsidRPr="00066040" w14:paraId="672FF6FF" w14:textId="77777777" w:rsidTr="00556F31">
        <w:trPr>
          <w:trHeight w:val="422"/>
        </w:trPr>
        <w:tc>
          <w:tcPr>
            <w:cnfStyle w:val="001000000000" w:firstRow="0" w:lastRow="0" w:firstColumn="1" w:lastColumn="0" w:oddVBand="0" w:evenVBand="0" w:oddHBand="0" w:evenHBand="0" w:firstRowFirstColumn="0" w:firstRowLastColumn="0" w:lastRowFirstColumn="0" w:lastRowLastColumn="0"/>
            <w:tcW w:w="298" w:type="pct"/>
          </w:tcPr>
          <w:p w14:paraId="532A5594"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20</w:t>
            </w:r>
          </w:p>
        </w:tc>
        <w:tc>
          <w:tcPr>
            <w:tcW w:w="757" w:type="pct"/>
          </w:tcPr>
          <w:p w14:paraId="1A21FD70"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607-21</w:t>
            </w:r>
          </w:p>
        </w:tc>
        <w:tc>
          <w:tcPr>
            <w:tcW w:w="2879" w:type="pct"/>
          </w:tcPr>
          <w:p w14:paraId="25047008"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 xml:space="preserve">Jorge Luis Salas Arenas </w:t>
            </w:r>
            <w:r>
              <w:rPr>
                <w:rFonts w:ascii="Cambria" w:hAnsi="Cambria"/>
                <w:sz w:val="20"/>
                <w:szCs w:val="20"/>
              </w:rPr>
              <w:t>and his nuclear family</w:t>
            </w:r>
          </w:p>
        </w:tc>
        <w:tc>
          <w:tcPr>
            <w:tcW w:w="1066" w:type="pct"/>
          </w:tcPr>
          <w:p w14:paraId="364A9B2E"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Per</w:t>
            </w:r>
            <w:r>
              <w:rPr>
                <w:rFonts w:ascii="Cambria" w:eastAsia="Calibri" w:hAnsi="Cambria" w:cs="Calibri"/>
                <w:color w:val="000000"/>
                <w:sz w:val="20"/>
                <w:szCs w:val="20"/>
                <w:u w:color="000000"/>
                <w:bdr w:val="nil"/>
                <w14:textOutline w14:w="0" w14:cap="flat" w14:cmpd="sng" w14:algn="ctr">
                  <w14:noFill/>
                  <w14:prstDash w14:val="solid"/>
                  <w14:bevel/>
                </w14:textOutline>
              </w:rPr>
              <w:t>u</w:t>
            </w:r>
          </w:p>
        </w:tc>
      </w:tr>
      <w:tr w:rsidR="00556F31" w:rsidRPr="00066040" w14:paraId="116561B4" w14:textId="77777777" w:rsidTr="00556F31">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98" w:type="pct"/>
          </w:tcPr>
          <w:p w14:paraId="362372D3"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t>21</w:t>
            </w:r>
          </w:p>
        </w:tc>
        <w:tc>
          <w:tcPr>
            <w:tcW w:w="757" w:type="pct"/>
          </w:tcPr>
          <w:p w14:paraId="08F8C87F"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1151-18 </w:t>
            </w:r>
            <w:r>
              <w:rPr>
                <w:rFonts w:ascii="Cambria" w:eastAsia="Calibri" w:hAnsi="Cambria" w:cs="Calibri"/>
                <w:color w:val="000000"/>
                <w:sz w:val="20"/>
                <w:szCs w:val="20"/>
                <w:u w:color="000000"/>
                <w:bdr w:val="nil"/>
                <w14:textOutline w14:w="0" w14:cap="flat" w14:cmpd="sng" w14:algn="ctr">
                  <w14:noFill/>
                  <w14:prstDash w14:val="solid"/>
                  <w14:bevel/>
                </w14:textOutline>
              </w:rPr>
              <w:t>and</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 95-10</w:t>
            </w:r>
          </w:p>
        </w:tc>
        <w:tc>
          <w:tcPr>
            <w:tcW w:w="2879" w:type="pct"/>
          </w:tcPr>
          <w:p w14:paraId="4B305A52"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M</w:t>
            </w:r>
            <w:r>
              <w:rPr>
                <w:rFonts w:ascii="Cambria" w:hAnsi="Cambria"/>
                <w:sz w:val="20"/>
                <w:szCs w:val="20"/>
              </w:rPr>
              <w:t xml:space="preserve">embers of </w:t>
            </w:r>
            <w:r w:rsidRPr="00066040">
              <w:rPr>
                <w:rFonts w:ascii="Cambria" w:hAnsi="Cambria"/>
                <w:sz w:val="20"/>
                <w:szCs w:val="20"/>
              </w:rPr>
              <w:t>J</w:t>
            </w:r>
            <w:r>
              <w:rPr>
                <w:rFonts w:ascii="Cambria" w:hAnsi="Cambria"/>
                <w:sz w:val="20"/>
                <w:szCs w:val="20"/>
              </w:rPr>
              <w:t>OPRODEH</w:t>
            </w:r>
            <w:r w:rsidRPr="00066040">
              <w:rPr>
                <w:rFonts w:ascii="Cambria" w:hAnsi="Cambria"/>
                <w:sz w:val="20"/>
                <w:szCs w:val="20"/>
              </w:rPr>
              <w:t xml:space="preserve"> </w:t>
            </w:r>
            <w:r>
              <w:rPr>
                <w:rFonts w:ascii="Cambria" w:hAnsi="Cambria"/>
                <w:sz w:val="20"/>
                <w:szCs w:val="20"/>
              </w:rPr>
              <w:t>and</w:t>
            </w:r>
            <w:r w:rsidRPr="00066040">
              <w:rPr>
                <w:rFonts w:ascii="Cambria" w:hAnsi="Cambria"/>
                <w:sz w:val="20"/>
                <w:szCs w:val="20"/>
              </w:rPr>
              <w:t xml:space="preserve"> Jorge Fernando Jiménez Reyes </w:t>
            </w:r>
            <w:r>
              <w:rPr>
                <w:rFonts w:ascii="Cambria" w:hAnsi="Cambria"/>
                <w:sz w:val="20"/>
                <w:szCs w:val="20"/>
              </w:rPr>
              <w:t>et al.</w:t>
            </w:r>
          </w:p>
        </w:tc>
        <w:tc>
          <w:tcPr>
            <w:tcW w:w="1066" w:type="pct"/>
          </w:tcPr>
          <w:p w14:paraId="1905DFBF"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Honduras</w:t>
            </w:r>
          </w:p>
        </w:tc>
      </w:tr>
      <w:tr w:rsidR="008668B8" w:rsidRPr="00066040" w14:paraId="79D473B6" w14:textId="77777777" w:rsidTr="00556F31">
        <w:trPr>
          <w:trHeight w:val="408"/>
        </w:trPr>
        <w:tc>
          <w:tcPr>
            <w:cnfStyle w:val="001000000000" w:firstRow="0" w:lastRow="0" w:firstColumn="1" w:lastColumn="0" w:oddVBand="0" w:evenVBand="0" w:oddHBand="0" w:evenHBand="0" w:firstRowFirstColumn="0" w:firstRowLastColumn="0" w:lastRowFirstColumn="0" w:lastRowLastColumn="0"/>
            <w:tcW w:w="298" w:type="pct"/>
          </w:tcPr>
          <w:p w14:paraId="7961FC85"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t>22</w:t>
            </w:r>
          </w:p>
        </w:tc>
        <w:tc>
          <w:tcPr>
            <w:tcW w:w="757" w:type="pct"/>
          </w:tcPr>
          <w:p w14:paraId="3F217B1E"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275-15</w:t>
            </w:r>
          </w:p>
        </w:tc>
        <w:tc>
          <w:tcPr>
            <w:tcW w:w="2879" w:type="pct"/>
          </w:tcPr>
          <w:p w14:paraId="027D1108"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Juders Ysemé, Nissage Martyr, David Boniface</w:t>
            </w:r>
          </w:p>
        </w:tc>
        <w:tc>
          <w:tcPr>
            <w:tcW w:w="1066" w:type="pct"/>
          </w:tcPr>
          <w:p w14:paraId="13031F4C"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Haiti</w:t>
            </w:r>
          </w:p>
        </w:tc>
      </w:tr>
      <w:tr w:rsidR="00556F31" w:rsidRPr="00066040" w14:paraId="18DB7BDD" w14:textId="77777777" w:rsidTr="00556F3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98" w:type="pct"/>
          </w:tcPr>
          <w:p w14:paraId="6667FA70"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t>23</w:t>
            </w:r>
          </w:p>
        </w:tc>
        <w:tc>
          <w:tcPr>
            <w:tcW w:w="757" w:type="pct"/>
          </w:tcPr>
          <w:p w14:paraId="3DFF7520"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1084-21</w:t>
            </w:r>
          </w:p>
        </w:tc>
        <w:tc>
          <w:tcPr>
            <w:tcW w:w="2879" w:type="pct"/>
          </w:tcPr>
          <w:p w14:paraId="0C3D2FAF"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 xml:space="preserve">Glenda Carolina Ayala Mejía </w:t>
            </w:r>
            <w:r>
              <w:rPr>
                <w:rFonts w:ascii="Cambria" w:hAnsi="Cambria"/>
                <w:sz w:val="20"/>
                <w:szCs w:val="20"/>
              </w:rPr>
              <w:t>and family</w:t>
            </w:r>
          </w:p>
        </w:tc>
        <w:tc>
          <w:tcPr>
            <w:tcW w:w="1066" w:type="pct"/>
          </w:tcPr>
          <w:p w14:paraId="225B04FF"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Honduras</w:t>
            </w:r>
          </w:p>
        </w:tc>
      </w:tr>
      <w:tr w:rsidR="008668B8" w:rsidRPr="00066040" w14:paraId="14DB23B6" w14:textId="77777777" w:rsidTr="00556F31">
        <w:trPr>
          <w:trHeight w:val="562"/>
        </w:trPr>
        <w:tc>
          <w:tcPr>
            <w:cnfStyle w:val="001000000000" w:firstRow="0" w:lastRow="0" w:firstColumn="1" w:lastColumn="0" w:oddVBand="0" w:evenVBand="0" w:oddHBand="0" w:evenHBand="0" w:firstRowFirstColumn="0" w:firstRowLastColumn="0" w:lastRowFirstColumn="0" w:lastRowLastColumn="0"/>
            <w:tcW w:w="298" w:type="pct"/>
          </w:tcPr>
          <w:p w14:paraId="372B7CDE"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t>24</w:t>
            </w:r>
          </w:p>
        </w:tc>
        <w:tc>
          <w:tcPr>
            <w:tcW w:w="757" w:type="pct"/>
          </w:tcPr>
          <w:p w14:paraId="1A62113D"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125-17</w:t>
            </w:r>
          </w:p>
        </w:tc>
        <w:tc>
          <w:tcPr>
            <w:tcW w:w="2879" w:type="pct"/>
          </w:tcPr>
          <w:p w14:paraId="3F3C1AAA"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hAnsi="Cambria"/>
                <w:sz w:val="20"/>
                <w:szCs w:val="20"/>
              </w:rPr>
              <w:t xml:space="preserve">Inmates of the General Hospital of </w:t>
            </w:r>
            <w:r w:rsidRPr="00066040">
              <w:rPr>
                <w:rFonts w:ascii="Cambria" w:hAnsi="Cambria"/>
                <w:sz w:val="20"/>
                <w:szCs w:val="20"/>
              </w:rPr>
              <w:t xml:space="preserve">Port-au-Prince </w:t>
            </w:r>
            <w:r>
              <w:rPr>
                <w:rFonts w:ascii="Cambria" w:hAnsi="Cambria"/>
                <w:sz w:val="20"/>
                <w:szCs w:val="20"/>
              </w:rPr>
              <w:t xml:space="preserve">Held at the Civil Penitentiary of </w:t>
            </w:r>
            <w:r w:rsidRPr="00066040">
              <w:rPr>
                <w:rFonts w:ascii="Cambria" w:hAnsi="Cambria"/>
                <w:sz w:val="20"/>
                <w:szCs w:val="20"/>
              </w:rPr>
              <w:t>Port-au-Prince</w:t>
            </w:r>
          </w:p>
        </w:tc>
        <w:tc>
          <w:tcPr>
            <w:tcW w:w="1066" w:type="pct"/>
          </w:tcPr>
          <w:p w14:paraId="7FD7CCDC"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Haiti</w:t>
            </w:r>
          </w:p>
        </w:tc>
      </w:tr>
      <w:tr w:rsidR="00556F31" w:rsidRPr="00066040" w14:paraId="366C4A8A" w14:textId="77777777" w:rsidTr="00556F31">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98" w:type="pct"/>
          </w:tcPr>
          <w:p w14:paraId="35F5C679"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t>25</w:t>
            </w:r>
          </w:p>
        </w:tc>
        <w:tc>
          <w:tcPr>
            <w:tcW w:w="757" w:type="pct"/>
          </w:tcPr>
          <w:p w14:paraId="30CBE321"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431-17 </w:t>
            </w:r>
            <w:r>
              <w:rPr>
                <w:rFonts w:ascii="Cambria" w:eastAsia="Calibri" w:hAnsi="Cambria" w:cs="Calibri"/>
                <w:color w:val="000000"/>
                <w:sz w:val="20"/>
                <w:szCs w:val="20"/>
                <w:u w:color="000000"/>
                <w:bdr w:val="nil"/>
                <w14:textOutline w14:w="0" w14:cap="flat" w14:cmpd="sng" w14:algn="ctr">
                  <w14:noFill/>
                  <w14:prstDash w14:val="solid"/>
                  <w14:bevel/>
                </w14:textOutline>
              </w:rPr>
              <w:t>and</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 28-19</w:t>
            </w:r>
          </w:p>
        </w:tc>
        <w:tc>
          <w:tcPr>
            <w:tcW w:w="2879" w:type="pct"/>
          </w:tcPr>
          <w:p w14:paraId="18D5344B"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066040">
              <w:rPr>
                <w:rFonts w:ascii="Cambria" w:hAnsi="Cambria"/>
                <w:sz w:val="20"/>
                <w:szCs w:val="20"/>
              </w:rPr>
              <w:t xml:space="preserve">Gloria Patricia Porras Escobar </w:t>
            </w:r>
            <w:r>
              <w:rPr>
                <w:rFonts w:ascii="Cambria" w:hAnsi="Cambria"/>
                <w:sz w:val="20"/>
                <w:szCs w:val="20"/>
              </w:rPr>
              <w:t>and</w:t>
            </w:r>
            <w:r w:rsidRPr="00066040">
              <w:rPr>
                <w:rFonts w:ascii="Cambria" w:hAnsi="Cambria"/>
                <w:sz w:val="20"/>
                <w:szCs w:val="20"/>
              </w:rPr>
              <w:t xml:space="preserve"> Francisco de Mata Vela </w:t>
            </w:r>
            <w:r>
              <w:rPr>
                <w:rFonts w:ascii="Cambria" w:hAnsi="Cambria"/>
                <w:sz w:val="20"/>
                <w:szCs w:val="20"/>
              </w:rPr>
              <w:t>et al.</w:t>
            </w:r>
          </w:p>
        </w:tc>
        <w:tc>
          <w:tcPr>
            <w:tcW w:w="1066" w:type="pct"/>
          </w:tcPr>
          <w:p w14:paraId="4643E9C7"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Guatemala</w:t>
            </w:r>
          </w:p>
        </w:tc>
      </w:tr>
      <w:tr w:rsidR="008668B8" w:rsidRPr="00066040" w14:paraId="1D73739C" w14:textId="77777777" w:rsidTr="00556F31">
        <w:trPr>
          <w:trHeight w:val="433"/>
        </w:trPr>
        <w:tc>
          <w:tcPr>
            <w:cnfStyle w:val="001000000000" w:firstRow="0" w:lastRow="0" w:firstColumn="1" w:lastColumn="0" w:oddVBand="0" w:evenVBand="0" w:oddHBand="0" w:evenHBand="0" w:firstRowFirstColumn="0" w:firstRowLastColumn="0" w:lastRowFirstColumn="0" w:lastRowLastColumn="0"/>
            <w:tcW w:w="298" w:type="pct"/>
          </w:tcPr>
          <w:p w14:paraId="73746267"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t>26</w:t>
            </w:r>
          </w:p>
        </w:tc>
        <w:tc>
          <w:tcPr>
            <w:tcW w:w="757" w:type="pct"/>
          </w:tcPr>
          <w:p w14:paraId="52EFF431"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958-16</w:t>
            </w:r>
          </w:p>
        </w:tc>
        <w:tc>
          <w:tcPr>
            <w:tcW w:w="2879" w:type="pct"/>
          </w:tcPr>
          <w:p w14:paraId="5A77CF7F"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 xml:space="preserve">Children and Adolescents at the </w:t>
            </w:r>
            <w:r w:rsidRPr="00066040">
              <w:rPr>
                <w:rFonts w:ascii="Cambria" w:hAnsi="Cambria"/>
                <w:sz w:val="20"/>
                <w:szCs w:val="20"/>
              </w:rPr>
              <w:t>Virg</w:t>
            </w:r>
            <w:r>
              <w:rPr>
                <w:rFonts w:ascii="Cambria" w:hAnsi="Cambria"/>
                <w:sz w:val="20"/>
                <w:szCs w:val="20"/>
              </w:rPr>
              <w:t>in of the Assumption Residential Institution</w:t>
            </w:r>
          </w:p>
        </w:tc>
        <w:tc>
          <w:tcPr>
            <w:tcW w:w="1066" w:type="pct"/>
          </w:tcPr>
          <w:p w14:paraId="416010DB"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Guatemala</w:t>
            </w:r>
          </w:p>
        </w:tc>
      </w:tr>
    </w:tbl>
    <w:p w14:paraId="7126D72C" w14:textId="77777777" w:rsidR="008668B8" w:rsidRPr="00066040" w:rsidRDefault="008668B8" w:rsidP="008668B8">
      <w:pPr>
        <w:pBdr>
          <w:top w:val="nil"/>
          <w:left w:val="nil"/>
          <w:bottom w:val="nil"/>
          <w:right w:val="nil"/>
          <w:between w:val="nil"/>
          <w:bar w:val="nil"/>
        </w:pBdr>
        <w:ind w:left="720"/>
        <w:jc w:val="both"/>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p>
    <w:tbl>
      <w:tblPr>
        <w:tblStyle w:val="GridTable4-Accent51"/>
        <w:tblW w:w="9355" w:type="dxa"/>
        <w:tblLayout w:type="fixed"/>
        <w:tblLook w:val="04A0" w:firstRow="1" w:lastRow="0" w:firstColumn="1" w:lastColumn="0" w:noHBand="0" w:noVBand="1"/>
      </w:tblPr>
      <w:tblGrid>
        <w:gridCol w:w="625"/>
        <w:gridCol w:w="1260"/>
        <w:gridCol w:w="5490"/>
        <w:gridCol w:w="1980"/>
      </w:tblGrid>
      <w:tr w:rsidR="008668B8" w:rsidRPr="00066040" w14:paraId="47E7BF94" w14:textId="77777777" w:rsidTr="003308CB">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355" w:type="dxa"/>
            <w:gridSpan w:val="4"/>
            <w:vAlign w:val="center"/>
          </w:tcPr>
          <w:p w14:paraId="7A19B954" w14:textId="77777777" w:rsidR="008668B8" w:rsidRPr="00066040" w:rsidRDefault="008668B8" w:rsidP="003308CB">
            <w:pPr>
              <w:pBdr>
                <w:top w:val="nil"/>
                <w:left w:val="nil"/>
                <w:bottom w:val="nil"/>
                <w:right w:val="nil"/>
                <w:between w:val="nil"/>
                <w:bar w:val="nil"/>
              </w:pBdr>
              <w:jc w:val="center"/>
              <w:rPr>
                <w:rFonts w:ascii="Cambria" w:eastAsia="Calibri" w:hAnsi="Cambria" w:cs="Calibri"/>
                <w:bCs w:val="0"/>
                <w:color w:val="000000"/>
                <w:u w:color="000000"/>
                <w:bdr w:val="nil"/>
                <w14:textOutline w14:w="0" w14:cap="flat" w14:cmpd="sng" w14:algn="ctr">
                  <w14:noFill/>
                  <w14:prstDash w14:val="solid"/>
                  <w14:bevel/>
                </w14:textOutline>
              </w:rPr>
            </w:pPr>
            <w:r w:rsidRPr="00066040">
              <w:rPr>
                <w:rFonts w:ascii="Cambria" w:eastAsia="Calibri" w:hAnsi="Cambria" w:cs="Calibri"/>
                <w:bCs w:val="0"/>
                <w:sz w:val="20"/>
                <w:szCs w:val="20"/>
                <w:u w:color="000000"/>
                <w:bdr w:val="nil"/>
                <w14:textOutline w14:w="0" w14:cap="flat" w14:cmpd="sng" w14:algn="ctr">
                  <w14:noFill/>
                  <w14:prstDash w14:val="solid"/>
                  <w14:bevel/>
                </w14:textOutline>
              </w:rPr>
              <w:t>185</w:t>
            </w:r>
            <w:r w:rsidRPr="002F1505">
              <w:rPr>
                <w:rFonts w:ascii="Cambria" w:eastAsia="Calibri" w:hAnsi="Cambria" w:cs="Calibri"/>
                <w:bCs w:val="0"/>
                <w:sz w:val="20"/>
                <w:szCs w:val="20"/>
                <w:u w:color="000000"/>
                <w:bdr w:val="nil"/>
                <w:vertAlign w:val="superscript"/>
                <w14:textOutline w14:w="0" w14:cap="flat" w14:cmpd="sng" w14:algn="ctr">
                  <w14:noFill/>
                  <w14:prstDash w14:val="solid"/>
                  <w14:bevel/>
                </w14:textOutline>
              </w:rPr>
              <w:t>th</w:t>
            </w:r>
            <w:r>
              <w:rPr>
                <w:rFonts w:ascii="Cambria" w:eastAsia="Calibri" w:hAnsi="Cambria" w:cs="Calibri"/>
                <w:bCs w:val="0"/>
                <w:sz w:val="20"/>
                <w:szCs w:val="20"/>
                <w:u w:color="000000"/>
                <w:bdr w:val="nil"/>
                <w14:textOutline w14:w="0" w14:cap="flat" w14:cmpd="sng" w14:algn="ctr">
                  <w14:noFill/>
                  <w14:prstDash w14:val="solid"/>
                  <w14:bevel/>
                </w14:textOutline>
              </w:rPr>
              <w:t xml:space="preserve"> Period of Sessions</w:t>
            </w:r>
          </w:p>
        </w:tc>
      </w:tr>
      <w:tr w:rsidR="008668B8" w:rsidRPr="00066040" w14:paraId="39F635ED" w14:textId="77777777" w:rsidTr="00323A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55" w:type="dxa"/>
            <w:gridSpan w:val="4"/>
          </w:tcPr>
          <w:p w14:paraId="20AD788B" w14:textId="77777777" w:rsidR="008668B8" w:rsidRPr="00066040" w:rsidRDefault="008668B8">
            <w:pPr>
              <w:pBdr>
                <w:top w:val="nil"/>
                <w:left w:val="nil"/>
                <w:bottom w:val="nil"/>
                <w:right w:val="nil"/>
                <w:between w:val="nil"/>
                <w:bar w:val="nil"/>
              </w:pBdr>
              <w:jc w:val="center"/>
              <w:rPr>
                <w:rFonts w:ascii="Cambria" w:eastAsia="Calibri" w:hAnsi="Cambria" w:cs="Calibri"/>
                <w:b w:val="0"/>
                <w:color w:val="000000"/>
                <w:sz w:val="20"/>
                <w:szCs w:val="20"/>
                <w:u w:color="000000"/>
                <w:bdr w:val="nil"/>
                <w14:textOutline w14:w="0" w14:cap="flat" w14:cmpd="sng" w14:algn="ctr">
                  <w14:noFill/>
                  <w14:prstDash w14:val="solid"/>
                  <w14:bevel/>
                </w14:textOutline>
              </w:rPr>
            </w:pPr>
            <w:r>
              <w:rPr>
                <w:rFonts w:ascii="Cambria" w:eastAsia="Calibri" w:hAnsi="Cambria" w:cs="Calibri"/>
                <w:sz w:val="20"/>
                <w:szCs w:val="20"/>
                <w:u w:color="000000"/>
                <w:bdr w:val="nil"/>
                <w14:textOutline w14:w="0" w14:cap="flat" w14:cmpd="sng" w14:algn="ctr">
                  <w14:noFill/>
                  <w14:prstDash w14:val="solid"/>
                  <w14:bevel/>
                </w14:textOutline>
              </w:rPr>
              <w:t>Working Meetings</w:t>
            </w:r>
          </w:p>
        </w:tc>
      </w:tr>
      <w:tr w:rsidR="008668B8" w:rsidRPr="00066040" w14:paraId="16FDDDFC" w14:textId="77777777" w:rsidTr="00323A87">
        <w:trPr>
          <w:trHeight w:val="560"/>
        </w:trPr>
        <w:tc>
          <w:tcPr>
            <w:cnfStyle w:val="001000000000" w:firstRow="0" w:lastRow="0" w:firstColumn="1" w:lastColumn="0" w:oddVBand="0" w:evenVBand="0" w:oddHBand="0" w:evenHBand="0" w:firstRowFirstColumn="0" w:firstRowLastColumn="0" w:lastRowFirstColumn="0" w:lastRowLastColumn="0"/>
            <w:tcW w:w="625" w:type="dxa"/>
          </w:tcPr>
          <w:p w14:paraId="357F9F3D" w14:textId="77777777" w:rsidR="008668B8" w:rsidRPr="00066040" w:rsidRDefault="008668B8">
            <w:pPr>
              <w:pBdr>
                <w:top w:val="nil"/>
                <w:left w:val="nil"/>
                <w:bottom w:val="nil"/>
                <w:right w:val="nil"/>
                <w:between w:val="nil"/>
                <w:bar w:val="nil"/>
              </w:pBdr>
              <w:jc w:val="center"/>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No</w:t>
            </w:r>
            <w:r>
              <w:rPr>
                <w:rFonts w:ascii="Cambria" w:eastAsia="Calibri" w:hAnsi="Cambria" w:cs="Calibri"/>
                <w:color w:val="000000"/>
                <w:sz w:val="20"/>
                <w:szCs w:val="20"/>
                <w:u w:color="000000"/>
                <w:bdr w:val="nil"/>
                <w14:textOutline w14:w="0" w14:cap="flat" w14:cmpd="sng" w14:algn="ctr">
                  <w14:noFill/>
                  <w14:prstDash w14:val="solid"/>
                  <w14:bevel/>
                </w14:textOutline>
              </w:rPr>
              <w:t>.</w:t>
            </w:r>
          </w:p>
        </w:tc>
        <w:tc>
          <w:tcPr>
            <w:tcW w:w="1260" w:type="dxa"/>
          </w:tcPr>
          <w:p w14:paraId="7C0CAE57"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Pr>
                <w:rFonts w:ascii="Cambria" w:eastAsia="Calibri" w:hAnsi="Cambria" w:cs="Calibri"/>
                <w:b/>
                <w:color w:val="000000"/>
                <w:sz w:val="20"/>
                <w:szCs w:val="20"/>
                <w:u w:color="000000"/>
                <w:bdr w:val="nil"/>
                <w14:textOutline w14:w="0" w14:cap="flat" w14:cmpd="sng" w14:algn="ctr">
                  <w14:noFill/>
                  <w14:prstDash w14:val="solid"/>
                  <w14:bevel/>
                </w14:textOutline>
              </w:rPr>
              <w:t>PM</w:t>
            </w:r>
          </w:p>
        </w:tc>
        <w:tc>
          <w:tcPr>
            <w:tcW w:w="5490" w:type="dxa"/>
          </w:tcPr>
          <w:p w14:paraId="0D892EE1"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Beneficiari</w:t>
            </w:r>
            <w:r>
              <w:rPr>
                <w:rFonts w:ascii="Cambria" w:eastAsia="Calibri" w:hAnsi="Cambria" w:cs="Calibri"/>
                <w:b/>
                <w:color w:val="000000"/>
                <w:sz w:val="20"/>
                <w:szCs w:val="20"/>
                <w:u w:color="000000"/>
                <w:bdr w:val="nil"/>
                <w14:textOutline w14:w="0" w14:cap="flat" w14:cmpd="sng" w14:algn="ctr">
                  <w14:noFill/>
                  <w14:prstDash w14:val="solid"/>
                  <w14:bevel/>
                </w14:textOutline>
              </w:rPr>
              <w:t>e</w:t>
            </w: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s</w:t>
            </w:r>
          </w:p>
        </w:tc>
        <w:tc>
          <w:tcPr>
            <w:tcW w:w="1980" w:type="dxa"/>
          </w:tcPr>
          <w:p w14:paraId="62D8172C"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Pr>
                <w:rFonts w:ascii="Cambria" w:eastAsia="Calibri" w:hAnsi="Cambria" w:cs="Calibri"/>
                <w:b/>
                <w:color w:val="000000"/>
                <w:sz w:val="20"/>
                <w:szCs w:val="20"/>
                <w:u w:color="000000"/>
                <w:bdr w:val="nil"/>
                <w14:textOutline w14:w="0" w14:cap="flat" w14:cmpd="sng" w14:algn="ctr">
                  <w14:noFill/>
                  <w14:prstDash w14:val="solid"/>
                  <w14:bevel/>
                </w14:textOutline>
              </w:rPr>
              <w:t>State</w:t>
            </w:r>
          </w:p>
        </w:tc>
      </w:tr>
      <w:tr w:rsidR="008668B8" w:rsidRPr="00066040" w14:paraId="16A161EC" w14:textId="77777777" w:rsidTr="00323A87">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625" w:type="dxa"/>
          </w:tcPr>
          <w:p w14:paraId="2439CEB6"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27</w:t>
            </w:r>
          </w:p>
        </w:tc>
        <w:tc>
          <w:tcPr>
            <w:tcW w:w="1260" w:type="dxa"/>
          </w:tcPr>
          <w:p w14:paraId="58BBDE81"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408-22</w:t>
            </w:r>
          </w:p>
        </w:tc>
        <w:tc>
          <w:tcPr>
            <w:tcW w:w="5490" w:type="dxa"/>
          </w:tcPr>
          <w:p w14:paraId="3A53D228"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 xml:space="preserve">Benny Brioly </w:t>
            </w:r>
            <w:r>
              <w:rPr>
                <w:rFonts w:ascii="Cambria" w:hAnsi="Cambria"/>
                <w:sz w:val="20"/>
                <w:szCs w:val="20"/>
              </w:rPr>
              <w:t>and members of her work team</w:t>
            </w:r>
          </w:p>
        </w:tc>
        <w:tc>
          <w:tcPr>
            <w:tcW w:w="1980" w:type="dxa"/>
          </w:tcPr>
          <w:p w14:paraId="3CB21376"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Brazil</w:t>
            </w:r>
          </w:p>
        </w:tc>
      </w:tr>
      <w:tr w:rsidR="008668B8" w:rsidRPr="00066040" w14:paraId="375F34C9" w14:textId="77777777" w:rsidTr="00323A87">
        <w:trPr>
          <w:trHeight w:val="433"/>
        </w:trPr>
        <w:tc>
          <w:tcPr>
            <w:cnfStyle w:val="001000000000" w:firstRow="0" w:lastRow="0" w:firstColumn="1" w:lastColumn="0" w:oddVBand="0" w:evenVBand="0" w:oddHBand="0" w:evenHBand="0" w:firstRowFirstColumn="0" w:firstRowLastColumn="0" w:lastRowFirstColumn="0" w:lastRowLastColumn="0"/>
            <w:tcW w:w="625" w:type="dxa"/>
          </w:tcPr>
          <w:p w14:paraId="48365C39"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28</w:t>
            </w:r>
          </w:p>
        </w:tc>
        <w:tc>
          <w:tcPr>
            <w:tcW w:w="1260" w:type="dxa"/>
          </w:tcPr>
          <w:p w14:paraId="687CC71A"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61-11</w:t>
            </w:r>
          </w:p>
        </w:tc>
        <w:tc>
          <w:tcPr>
            <w:tcW w:w="5490" w:type="dxa"/>
          </w:tcPr>
          <w:p w14:paraId="15EF2CD4"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M</w:t>
            </w:r>
            <w:r>
              <w:rPr>
                <w:rFonts w:ascii="Cambria" w:hAnsi="Cambria"/>
                <w:sz w:val="20"/>
                <w:szCs w:val="20"/>
              </w:rPr>
              <w:t xml:space="preserve">embers of the </w:t>
            </w:r>
            <w:r w:rsidRPr="00066040">
              <w:rPr>
                <w:rFonts w:ascii="Cambria" w:hAnsi="Cambria"/>
                <w:sz w:val="20"/>
                <w:szCs w:val="20"/>
              </w:rPr>
              <w:t xml:space="preserve">Awá </w:t>
            </w:r>
            <w:r>
              <w:rPr>
                <w:rFonts w:ascii="Cambria" w:hAnsi="Cambria"/>
                <w:sz w:val="20"/>
                <w:szCs w:val="20"/>
              </w:rPr>
              <w:t xml:space="preserve">Indigenous People of the Departments of </w:t>
            </w:r>
            <w:r w:rsidRPr="00066040">
              <w:rPr>
                <w:rFonts w:ascii="Cambria" w:hAnsi="Cambria"/>
                <w:sz w:val="20"/>
                <w:szCs w:val="20"/>
              </w:rPr>
              <w:t xml:space="preserve">Nariño </w:t>
            </w:r>
            <w:r>
              <w:rPr>
                <w:rFonts w:ascii="Cambria" w:hAnsi="Cambria"/>
                <w:sz w:val="20"/>
                <w:szCs w:val="20"/>
              </w:rPr>
              <w:t>and</w:t>
            </w:r>
            <w:r w:rsidRPr="00066040">
              <w:rPr>
                <w:rFonts w:ascii="Cambria" w:hAnsi="Cambria"/>
                <w:sz w:val="20"/>
                <w:szCs w:val="20"/>
              </w:rPr>
              <w:t xml:space="preserve"> Putumayo</w:t>
            </w:r>
          </w:p>
        </w:tc>
        <w:tc>
          <w:tcPr>
            <w:tcW w:w="1980" w:type="dxa"/>
          </w:tcPr>
          <w:p w14:paraId="13978893"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r>
      <w:tr w:rsidR="008668B8" w:rsidRPr="00066040" w14:paraId="6B75D1D0" w14:textId="77777777" w:rsidTr="00323A87">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25" w:type="dxa"/>
          </w:tcPr>
          <w:p w14:paraId="5A78E480"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29</w:t>
            </w:r>
          </w:p>
        </w:tc>
        <w:tc>
          <w:tcPr>
            <w:tcW w:w="1260" w:type="dxa"/>
          </w:tcPr>
          <w:p w14:paraId="6AE2E866"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183-20</w:t>
            </w:r>
          </w:p>
        </w:tc>
        <w:tc>
          <w:tcPr>
            <w:tcW w:w="5490" w:type="dxa"/>
          </w:tcPr>
          <w:p w14:paraId="1DFA9275"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 xml:space="preserve">Narly Gómez Jiménez </w:t>
            </w:r>
            <w:r>
              <w:rPr>
                <w:rFonts w:ascii="Cambria" w:hAnsi="Cambria"/>
                <w:sz w:val="20"/>
                <w:szCs w:val="20"/>
              </w:rPr>
              <w:t>and Her Daughter</w:t>
            </w:r>
            <w:r w:rsidRPr="00066040">
              <w:rPr>
                <w:rFonts w:ascii="Cambria" w:hAnsi="Cambria"/>
                <w:sz w:val="20"/>
                <w:szCs w:val="20"/>
              </w:rPr>
              <w:t>, V.T.M.G.</w:t>
            </w:r>
          </w:p>
        </w:tc>
        <w:tc>
          <w:tcPr>
            <w:tcW w:w="1980" w:type="dxa"/>
          </w:tcPr>
          <w:p w14:paraId="30D160A8"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r>
      <w:tr w:rsidR="008668B8" w:rsidRPr="00066040" w14:paraId="04AD54F3" w14:textId="77777777" w:rsidTr="00323A87">
        <w:trPr>
          <w:trHeight w:val="411"/>
        </w:trPr>
        <w:tc>
          <w:tcPr>
            <w:cnfStyle w:val="001000000000" w:firstRow="0" w:lastRow="0" w:firstColumn="1" w:lastColumn="0" w:oddVBand="0" w:evenVBand="0" w:oddHBand="0" w:evenHBand="0" w:firstRowFirstColumn="0" w:firstRowLastColumn="0" w:lastRowFirstColumn="0" w:lastRowLastColumn="0"/>
            <w:tcW w:w="625" w:type="dxa"/>
          </w:tcPr>
          <w:p w14:paraId="21FF0F07"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lastRenderedPageBreak/>
              <w:t>30</w:t>
            </w:r>
          </w:p>
        </w:tc>
        <w:tc>
          <w:tcPr>
            <w:tcW w:w="1260" w:type="dxa"/>
          </w:tcPr>
          <w:p w14:paraId="50F039C3"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522-14</w:t>
            </w:r>
          </w:p>
        </w:tc>
        <w:tc>
          <w:tcPr>
            <w:tcW w:w="5490" w:type="dxa"/>
          </w:tcPr>
          <w:p w14:paraId="2AE4CCDA"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bdr w:val="nil"/>
                <w14:textOutline w14:w="0" w14:cap="flat" w14:cmpd="sng" w14:algn="ctr">
                  <w14:noFill/>
                  <w14:prstDash w14:val="solid"/>
                  <w14:bevel/>
                </w14:textOutline>
              </w:rPr>
            </w:pPr>
            <w:r w:rsidRPr="00066040">
              <w:rPr>
                <w:rFonts w:ascii="Cambria" w:hAnsi="Cambria"/>
                <w:sz w:val="20"/>
                <w:szCs w:val="20"/>
              </w:rPr>
              <w:t>Alberto Yepes Palacio</w:t>
            </w:r>
            <w:r>
              <w:rPr>
                <w:rFonts w:ascii="Cambria" w:hAnsi="Cambria"/>
                <w:sz w:val="20"/>
                <w:szCs w:val="20"/>
              </w:rPr>
              <w:t xml:space="preserve"> and His Daughter</w:t>
            </w:r>
          </w:p>
        </w:tc>
        <w:tc>
          <w:tcPr>
            <w:tcW w:w="1980" w:type="dxa"/>
          </w:tcPr>
          <w:p w14:paraId="269386F6"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r>
      <w:tr w:rsidR="008668B8" w:rsidRPr="00066040" w14:paraId="688CDC85" w14:textId="77777777" w:rsidTr="00323A87">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25" w:type="dxa"/>
          </w:tcPr>
          <w:p w14:paraId="08A0AFFE"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31</w:t>
            </w:r>
          </w:p>
        </w:tc>
        <w:tc>
          <w:tcPr>
            <w:tcW w:w="1260" w:type="dxa"/>
          </w:tcPr>
          <w:p w14:paraId="178C6237"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754-20</w:t>
            </w:r>
          </w:p>
        </w:tc>
        <w:tc>
          <w:tcPr>
            <w:tcW w:w="5490" w:type="dxa"/>
          </w:tcPr>
          <w:p w14:paraId="7FA0A1A2"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 xml:space="preserve">Guajajara </w:t>
            </w:r>
            <w:r>
              <w:rPr>
                <w:rFonts w:ascii="Cambria" w:hAnsi="Cambria"/>
                <w:sz w:val="20"/>
                <w:szCs w:val="20"/>
              </w:rPr>
              <w:t>and</w:t>
            </w:r>
            <w:r w:rsidRPr="00066040">
              <w:rPr>
                <w:rFonts w:ascii="Cambria" w:hAnsi="Cambria"/>
                <w:sz w:val="20"/>
                <w:szCs w:val="20"/>
              </w:rPr>
              <w:t xml:space="preserve"> Awá </w:t>
            </w:r>
            <w:r>
              <w:rPr>
                <w:rFonts w:ascii="Cambria" w:hAnsi="Cambria"/>
                <w:sz w:val="20"/>
                <w:szCs w:val="20"/>
              </w:rPr>
              <w:t xml:space="preserve">Indigenous People in the </w:t>
            </w:r>
            <w:r w:rsidRPr="00066040">
              <w:rPr>
                <w:rFonts w:ascii="Cambria" w:hAnsi="Cambria"/>
                <w:sz w:val="20"/>
                <w:szCs w:val="20"/>
              </w:rPr>
              <w:t>Araribóia</w:t>
            </w:r>
            <w:r>
              <w:rPr>
                <w:rFonts w:ascii="Cambria" w:hAnsi="Cambria"/>
                <w:sz w:val="20"/>
                <w:szCs w:val="20"/>
              </w:rPr>
              <w:t xml:space="preserve"> Indigenous Land</w:t>
            </w:r>
          </w:p>
        </w:tc>
        <w:tc>
          <w:tcPr>
            <w:tcW w:w="1980" w:type="dxa"/>
          </w:tcPr>
          <w:p w14:paraId="5065B2E5"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Brazil</w:t>
            </w:r>
          </w:p>
        </w:tc>
      </w:tr>
      <w:tr w:rsidR="008668B8" w:rsidRPr="00066040" w14:paraId="1DD799F3" w14:textId="77777777" w:rsidTr="00323A87">
        <w:trPr>
          <w:trHeight w:val="408"/>
        </w:trPr>
        <w:tc>
          <w:tcPr>
            <w:cnfStyle w:val="001000000000" w:firstRow="0" w:lastRow="0" w:firstColumn="1" w:lastColumn="0" w:oddVBand="0" w:evenVBand="0" w:oddHBand="0" w:evenHBand="0" w:firstRowFirstColumn="0" w:firstRowLastColumn="0" w:lastRowFirstColumn="0" w:lastRowLastColumn="0"/>
            <w:tcW w:w="625" w:type="dxa"/>
          </w:tcPr>
          <w:p w14:paraId="7EF4D8A4"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32</w:t>
            </w:r>
          </w:p>
        </w:tc>
        <w:tc>
          <w:tcPr>
            <w:tcW w:w="1260" w:type="dxa"/>
          </w:tcPr>
          <w:p w14:paraId="12281539"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1051-20</w:t>
            </w:r>
          </w:p>
        </w:tc>
        <w:tc>
          <w:tcPr>
            <w:tcW w:w="5490" w:type="dxa"/>
          </w:tcPr>
          <w:p w14:paraId="26C2F91C"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hAnsi="Cambria"/>
                <w:sz w:val="20"/>
                <w:szCs w:val="20"/>
              </w:rPr>
              <w:t xml:space="preserve">Members of the Digital Newspaper </w:t>
            </w:r>
            <w:r w:rsidRPr="00066040">
              <w:rPr>
                <w:rFonts w:ascii="Cambria" w:hAnsi="Cambria"/>
                <w:sz w:val="20"/>
                <w:szCs w:val="20"/>
              </w:rPr>
              <w:t>El Faro</w:t>
            </w:r>
          </w:p>
        </w:tc>
        <w:tc>
          <w:tcPr>
            <w:tcW w:w="1980" w:type="dxa"/>
          </w:tcPr>
          <w:p w14:paraId="20DB7300"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El Salvador</w:t>
            </w:r>
          </w:p>
        </w:tc>
      </w:tr>
      <w:tr w:rsidR="008668B8" w:rsidRPr="00066040" w14:paraId="2AC21E8C" w14:textId="77777777" w:rsidTr="00323A8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25" w:type="dxa"/>
          </w:tcPr>
          <w:p w14:paraId="7339B5AC"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33</w:t>
            </w:r>
          </w:p>
        </w:tc>
        <w:tc>
          <w:tcPr>
            <w:tcW w:w="1260" w:type="dxa"/>
          </w:tcPr>
          <w:p w14:paraId="07FB82BF"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990-21</w:t>
            </w:r>
          </w:p>
        </w:tc>
        <w:tc>
          <w:tcPr>
            <w:tcW w:w="5490" w:type="dxa"/>
          </w:tcPr>
          <w:p w14:paraId="56D38538"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Vicente Iván Suástegui Munoz</w:t>
            </w:r>
            <w:r>
              <w:rPr>
                <w:rFonts w:ascii="Cambria" w:hAnsi="Cambria"/>
                <w:sz w:val="20"/>
                <w:szCs w:val="20"/>
              </w:rPr>
              <w:t xml:space="preserve"> and family</w:t>
            </w:r>
          </w:p>
        </w:tc>
        <w:tc>
          <w:tcPr>
            <w:tcW w:w="1980" w:type="dxa"/>
          </w:tcPr>
          <w:p w14:paraId="0BAA9927"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Mexico</w:t>
            </w:r>
          </w:p>
        </w:tc>
      </w:tr>
      <w:tr w:rsidR="008668B8" w:rsidRPr="00066040" w14:paraId="1B4A7245" w14:textId="77777777" w:rsidTr="00323A87">
        <w:trPr>
          <w:trHeight w:val="410"/>
        </w:trPr>
        <w:tc>
          <w:tcPr>
            <w:cnfStyle w:val="001000000000" w:firstRow="0" w:lastRow="0" w:firstColumn="1" w:lastColumn="0" w:oddVBand="0" w:evenVBand="0" w:oddHBand="0" w:evenHBand="0" w:firstRowFirstColumn="0" w:firstRowLastColumn="0" w:lastRowFirstColumn="0" w:lastRowLastColumn="0"/>
            <w:tcW w:w="625" w:type="dxa"/>
          </w:tcPr>
          <w:p w14:paraId="741AAF3B"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34</w:t>
            </w:r>
          </w:p>
        </w:tc>
        <w:tc>
          <w:tcPr>
            <w:tcW w:w="1260" w:type="dxa"/>
          </w:tcPr>
          <w:p w14:paraId="3EC16A7D"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487-19</w:t>
            </w:r>
          </w:p>
        </w:tc>
        <w:tc>
          <w:tcPr>
            <w:tcW w:w="5490" w:type="dxa"/>
          </w:tcPr>
          <w:p w14:paraId="1D1F0139"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Quelvin Otoniel Jimenez Villalta</w:t>
            </w:r>
          </w:p>
        </w:tc>
        <w:tc>
          <w:tcPr>
            <w:tcW w:w="1980" w:type="dxa"/>
          </w:tcPr>
          <w:p w14:paraId="497EA9F2"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Guatemala</w:t>
            </w:r>
          </w:p>
        </w:tc>
      </w:tr>
      <w:tr w:rsidR="008668B8" w:rsidRPr="00066040" w14:paraId="01A93E45" w14:textId="77777777" w:rsidTr="00323A87">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25" w:type="dxa"/>
          </w:tcPr>
          <w:p w14:paraId="120E943D" w14:textId="77777777" w:rsidR="008668B8" w:rsidRPr="00066040" w:rsidRDefault="008668B8">
            <w:pPr>
              <w:pBdr>
                <w:top w:val="nil"/>
                <w:left w:val="nil"/>
                <w:bottom w:val="nil"/>
                <w:right w:val="nil"/>
                <w:between w:val="nil"/>
                <w:bar w:val="nil"/>
              </w:pBdr>
              <w:jc w:val="both"/>
              <w:rPr>
                <w:rFonts w:ascii="Cambria" w:eastAsia="Calibri" w:hAnsi="Cambria" w:cs="Calibri"/>
                <w:color w:val="000000"/>
                <w:sz w:val="20"/>
                <w:szCs w:val="2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t>35</w:t>
            </w:r>
          </w:p>
        </w:tc>
        <w:tc>
          <w:tcPr>
            <w:tcW w:w="1260" w:type="dxa"/>
          </w:tcPr>
          <w:p w14:paraId="5459B376"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463-11</w:t>
            </w:r>
          </w:p>
        </w:tc>
        <w:tc>
          <w:tcPr>
            <w:tcW w:w="5490" w:type="dxa"/>
          </w:tcPr>
          <w:p w14:paraId="1046A4C4"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bdr w:val="nil"/>
                <w14:textOutline w14:w="0" w14:cap="flat" w14:cmpd="sng" w14:algn="ctr">
                  <w14:noFill/>
                  <w14:prstDash w14:val="solid"/>
                  <w14:bevel/>
                </w14:textOutline>
              </w:rPr>
            </w:pPr>
            <w:r w:rsidRPr="00066040">
              <w:rPr>
                <w:rFonts w:ascii="Cambria" w:hAnsi="Cambria"/>
                <w:sz w:val="20"/>
                <w:szCs w:val="20"/>
              </w:rPr>
              <w:t>Iván Serrano</w:t>
            </w:r>
          </w:p>
        </w:tc>
        <w:tc>
          <w:tcPr>
            <w:tcW w:w="1980" w:type="dxa"/>
          </w:tcPr>
          <w:p w14:paraId="012BA017"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United States</w:t>
            </w:r>
          </w:p>
        </w:tc>
      </w:tr>
      <w:tr w:rsidR="008668B8" w:rsidRPr="00066040" w14:paraId="64BBF148" w14:textId="77777777" w:rsidTr="00323A87">
        <w:trPr>
          <w:trHeight w:val="359"/>
        </w:trPr>
        <w:tc>
          <w:tcPr>
            <w:cnfStyle w:val="001000000000" w:firstRow="0" w:lastRow="0" w:firstColumn="1" w:lastColumn="0" w:oddVBand="0" w:evenVBand="0" w:oddHBand="0" w:evenHBand="0" w:firstRowFirstColumn="0" w:firstRowLastColumn="0" w:lastRowFirstColumn="0" w:lastRowLastColumn="0"/>
            <w:tcW w:w="625" w:type="dxa"/>
          </w:tcPr>
          <w:p w14:paraId="54C67B1D"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t>36</w:t>
            </w:r>
          </w:p>
        </w:tc>
        <w:tc>
          <w:tcPr>
            <w:tcW w:w="1260" w:type="dxa"/>
          </w:tcPr>
          <w:p w14:paraId="5D6DE6A7"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887-19</w:t>
            </w:r>
          </w:p>
        </w:tc>
        <w:tc>
          <w:tcPr>
            <w:tcW w:w="5490" w:type="dxa"/>
          </w:tcPr>
          <w:p w14:paraId="5C368176"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Famili</w:t>
            </w:r>
            <w:r>
              <w:rPr>
                <w:rFonts w:ascii="Cambria" w:hAnsi="Cambria"/>
                <w:sz w:val="20"/>
                <w:szCs w:val="20"/>
              </w:rPr>
              <w:t xml:space="preserve">es of the </w:t>
            </w:r>
            <w:r w:rsidRPr="00066040">
              <w:rPr>
                <w:rFonts w:ascii="Cambria" w:hAnsi="Cambria"/>
                <w:sz w:val="20"/>
                <w:szCs w:val="20"/>
              </w:rPr>
              <w:t>Nueva Austria del Sira</w:t>
            </w:r>
            <w:r>
              <w:rPr>
                <w:rFonts w:ascii="Cambria" w:hAnsi="Cambria"/>
                <w:sz w:val="20"/>
                <w:szCs w:val="20"/>
              </w:rPr>
              <w:t xml:space="preserve"> Community</w:t>
            </w:r>
          </w:p>
        </w:tc>
        <w:tc>
          <w:tcPr>
            <w:tcW w:w="1980" w:type="dxa"/>
          </w:tcPr>
          <w:p w14:paraId="3211822E"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Peru</w:t>
            </w:r>
          </w:p>
        </w:tc>
      </w:tr>
      <w:tr w:rsidR="008668B8" w:rsidRPr="00066040" w14:paraId="77FF419D" w14:textId="77777777" w:rsidTr="00323A8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25" w:type="dxa"/>
          </w:tcPr>
          <w:p w14:paraId="19243771"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t>37</w:t>
            </w:r>
          </w:p>
        </w:tc>
        <w:tc>
          <w:tcPr>
            <w:tcW w:w="1260" w:type="dxa"/>
          </w:tcPr>
          <w:p w14:paraId="1D6FAD30"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793-19</w:t>
            </w:r>
          </w:p>
        </w:tc>
        <w:tc>
          <w:tcPr>
            <w:tcW w:w="5490" w:type="dxa"/>
          </w:tcPr>
          <w:p w14:paraId="6053DAAF"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hAnsi="Cambria"/>
                <w:sz w:val="20"/>
                <w:szCs w:val="20"/>
              </w:rPr>
              <w:t>Committee of Victims of La</w:t>
            </w:r>
            <w:r w:rsidRPr="00066040">
              <w:rPr>
                <w:rFonts w:ascii="Cambria" w:hAnsi="Cambria"/>
                <w:sz w:val="20"/>
                <w:szCs w:val="20"/>
              </w:rPr>
              <w:t xml:space="preserve"> Saline – Bety Louis</w:t>
            </w:r>
            <w:r>
              <w:rPr>
                <w:rFonts w:ascii="Cambria" w:hAnsi="Cambria"/>
                <w:sz w:val="20"/>
                <w:szCs w:val="20"/>
              </w:rPr>
              <w:t xml:space="preserve"> et al.</w:t>
            </w:r>
            <w:r w:rsidRPr="00066040">
              <w:rPr>
                <w:rFonts w:ascii="Cambria" w:hAnsi="Cambria"/>
                <w:sz w:val="20"/>
                <w:szCs w:val="20"/>
              </w:rPr>
              <w:t xml:space="preserve"> </w:t>
            </w:r>
          </w:p>
        </w:tc>
        <w:tc>
          <w:tcPr>
            <w:tcW w:w="1980" w:type="dxa"/>
          </w:tcPr>
          <w:p w14:paraId="0BF95A06"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Haiti</w:t>
            </w:r>
          </w:p>
        </w:tc>
      </w:tr>
    </w:tbl>
    <w:p w14:paraId="16850F09" w14:textId="77777777" w:rsidR="008668B8" w:rsidRPr="00066040" w:rsidRDefault="008668B8" w:rsidP="008668B8">
      <w:pPr>
        <w:pBdr>
          <w:top w:val="nil"/>
          <w:left w:val="nil"/>
          <w:bottom w:val="nil"/>
          <w:right w:val="nil"/>
          <w:between w:val="nil"/>
          <w:bar w:val="nil"/>
        </w:pBdr>
        <w:jc w:val="both"/>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p>
    <w:tbl>
      <w:tblPr>
        <w:tblStyle w:val="GridTable4-Accent51"/>
        <w:tblW w:w="9355" w:type="dxa"/>
        <w:tblLayout w:type="fixed"/>
        <w:tblLook w:val="04A0" w:firstRow="1" w:lastRow="0" w:firstColumn="1" w:lastColumn="0" w:noHBand="0" w:noVBand="1"/>
      </w:tblPr>
      <w:tblGrid>
        <w:gridCol w:w="560"/>
        <w:gridCol w:w="1090"/>
        <w:gridCol w:w="4618"/>
        <w:gridCol w:w="1541"/>
        <w:gridCol w:w="1546"/>
      </w:tblGrid>
      <w:tr w:rsidR="008668B8" w:rsidRPr="00066040" w14:paraId="22CAFAB6" w14:textId="77777777" w:rsidTr="00323A8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14:paraId="099E8E6F" w14:textId="77777777" w:rsidR="008668B8" w:rsidRPr="00066040" w:rsidRDefault="008668B8">
            <w:pPr>
              <w:pBdr>
                <w:top w:val="nil"/>
                <w:left w:val="nil"/>
                <w:bottom w:val="nil"/>
                <w:right w:val="nil"/>
                <w:between w:val="nil"/>
                <w:bar w:val="nil"/>
              </w:pBdr>
              <w:jc w:val="center"/>
              <w:rPr>
                <w:rFonts w:ascii="Cambria" w:eastAsia="Calibri" w:hAnsi="Cambria" w:cs="Calibri"/>
                <w:b w:val="0"/>
                <w:sz w:val="20"/>
                <w:szCs w:val="20"/>
                <w:u w:color="000000"/>
                <w:bdr w:val="nil"/>
                <w14:textOutline w14:w="0" w14:cap="flat" w14:cmpd="sng" w14:algn="ctr">
                  <w14:noFill/>
                  <w14:prstDash w14:val="solid"/>
                  <w14:bevel/>
                </w14:textOutline>
              </w:rPr>
            </w:pPr>
            <w:r w:rsidRPr="003308CB">
              <w:rPr>
                <w:rFonts w:ascii="Cambria" w:eastAsia="Calibri" w:hAnsi="Cambria" w:cs="Calibri"/>
                <w:color w:val="FFFFFF" w:themeColor="background1"/>
                <w:sz w:val="20"/>
                <w:szCs w:val="20"/>
                <w:u w:color="000000"/>
                <w:bdr w:val="nil"/>
                <w14:textOutline w14:w="0" w14:cap="flat" w14:cmpd="sng" w14:algn="ctr">
                  <w14:noFill/>
                  <w14:prstDash w14:val="solid"/>
                  <w14:bevel/>
                </w14:textOutline>
              </w:rPr>
              <w:t>Working Meetings Held Outside the Periods of Sessions</w:t>
            </w:r>
          </w:p>
        </w:tc>
      </w:tr>
      <w:tr w:rsidR="008668B8" w:rsidRPr="00066040" w14:paraId="7BDCFE13" w14:textId="77777777" w:rsidTr="00323A8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000EF68" w14:textId="77777777" w:rsidR="008668B8" w:rsidRPr="00066040" w:rsidRDefault="008668B8">
            <w:pPr>
              <w:pBdr>
                <w:top w:val="nil"/>
                <w:left w:val="nil"/>
                <w:bottom w:val="nil"/>
                <w:right w:val="nil"/>
                <w:between w:val="nil"/>
                <w:bar w:val="nil"/>
              </w:pBdr>
              <w:jc w:val="center"/>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No</w:t>
            </w:r>
            <w:r>
              <w:rPr>
                <w:rFonts w:ascii="Cambria" w:eastAsia="Calibri" w:hAnsi="Cambria" w:cs="Calibri"/>
                <w:color w:val="000000"/>
                <w:sz w:val="20"/>
                <w:szCs w:val="20"/>
                <w:u w:color="000000"/>
                <w:bdr w:val="nil"/>
                <w14:textOutline w14:w="0" w14:cap="flat" w14:cmpd="sng" w14:algn="ctr">
                  <w14:noFill/>
                  <w14:prstDash w14:val="solid"/>
                  <w14:bevel/>
                </w14:textOutline>
              </w:rPr>
              <w:t>.</w:t>
            </w:r>
          </w:p>
        </w:tc>
        <w:tc>
          <w:tcPr>
            <w:tcW w:w="1090" w:type="dxa"/>
            <w:vAlign w:val="center"/>
          </w:tcPr>
          <w:p w14:paraId="1EED5A13"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Pr>
                <w:rFonts w:ascii="Cambria" w:eastAsia="Calibri" w:hAnsi="Cambria" w:cs="Calibri"/>
                <w:b/>
                <w:color w:val="000000"/>
                <w:sz w:val="20"/>
                <w:szCs w:val="20"/>
                <w:u w:color="000000"/>
                <w:bdr w:val="nil"/>
                <w14:textOutline w14:w="0" w14:cap="flat" w14:cmpd="sng" w14:algn="ctr">
                  <w14:noFill/>
                  <w14:prstDash w14:val="solid"/>
                  <w14:bevel/>
                </w14:textOutline>
              </w:rPr>
              <w:t>P</w:t>
            </w: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M</w:t>
            </w:r>
          </w:p>
        </w:tc>
        <w:tc>
          <w:tcPr>
            <w:tcW w:w="4618" w:type="dxa"/>
            <w:vAlign w:val="center"/>
          </w:tcPr>
          <w:p w14:paraId="12A556F5"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Beneficiari</w:t>
            </w:r>
            <w:r>
              <w:rPr>
                <w:rFonts w:ascii="Cambria" w:eastAsia="Calibri" w:hAnsi="Cambria" w:cs="Calibri"/>
                <w:b/>
                <w:color w:val="000000"/>
                <w:sz w:val="20"/>
                <w:szCs w:val="20"/>
                <w:u w:color="000000"/>
                <w:bdr w:val="nil"/>
                <w14:textOutline w14:w="0" w14:cap="flat" w14:cmpd="sng" w14:algn="ctr">
                  <w14:noFill/>
                  <w14:prstDash w14:val="solid"/>
                  <w14:bevel/>
                </w14:textOutline>
              </w:rPr>
              <w:t>e</w:t>
            </w: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s</w:t>
            </w:r>
          </w:p>
        </w:tc>
        <w:tc>
          <w:tcPr>
            <w:tcW w:w="1541" w:type="dxa"/>
            <w:vAlign w:val="center"/>
          </w:tcPr>
          <w:p w14:paraId="6C05B67D"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Pr>
                <w:rFonts w:ascii="Cambria" w:eastAsia="Calibri" w:hAnsi="Cambria" w:cs="Calibri"/>
                <w:b/>
                <w:color w:val="000000"/>
                <w:sz w:val="20"/>
                <w:szCs w:val="20"/>
                <w:u w:color="000000"/>
                <w:bdr w:val="nil"/>
                <w14:textOutline w14:w="0" w14:cap="flat" w14:cmpd="sng" w14:algn="ctr">
                  <w14:noFill/>
                  <w14:prstDash w14:val="solid"/>
                  <w14:bevel/>
                </w14:textOutline>
              </w:rPr>
              <w:t>State</w:t>
            </w:r>
          </w:p>
        </w:tc>
        <w:tc>
          <w:tcPr>
            <w:tcW w:w="1546" w:type="dxa"/>
            <w:vAlign w:val="center"/>
          </w:tcPr>
          <w:p w14:paraId="3236D02C"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Pr>
                <w:rFonts w:ascii="Cambria" w:eastAsia="Calibri" w:hAnsi="Cambria" w:cs="Calibri"/>
                <w:b/>
                <w:color w:val="000000"/>
                <w:sz w:val="20"/>
                <w:szCs w:val="20"/>
                <w:u w:color="000000"/>
                <w:bdr w:val="nil"/>
                <w14:textOutline w14:w="0" w14:cap="flat" w14:cmpd="sng" w14:algn="ctr">
                  <w14:noFill/>
                  <w14:prstDash w14:val="solid"/>
                  <w14:bevel/>
                </w14:textOutline>
              </w:rPr>
              <w:t>Date</w:t>
            </w:r>
          </w:p>
        </w:tc>
      </w:tr>
      <w:tr w:rsidR="008668B8" w:rsidRPr="00066040" w14:paraId="62751E20" w14:textId="77777777" w:rsidTr="00323A87">
        <w:trPr>
          <w:trHeight w:val="391"/>
        </w:trPr>
        <w:tc>
          <w:tcPr>
            <w:cnfStyle w:val="001000000000" w:firstRow="0" w:lastRow="0" w:firstColumn="1" w:lastColumn="0" w:oddVBand="0" w:evenVBand="0" w:oddHBand="0" w:evenHBand="0" w:firstRowFirstColumn="0" w:firstRowLastColumn="0" w:lastRowFirstColumn="0" w:lastRowLastColumn="0"/>
            <w:tcW w:w="560" w:type="dxa"/>
          </w:tcPr>
          <w:p w14:paraId="680C13CA"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38</w:t>
            </w:r>
          </w:p>
        </w:tc>
        <w:tc>
          <w:tcPr>
            <w:tcW w:w="1090" w:type="dxa"/>
          </w:tcPr>
          <w:p w14:paraId="32601403"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431-17 </w:t>
            </w:r>
            <w:r>
              <w:rPr>
                <w:rFonts w:ascii="Cambria" w:eastAsia="Calibri" w:hAnsi="Cambria" w:cs="Calibri"/>
                <w:color w:val="000000"/>
                <w:sz w:val="20"/>
                <w:szCs w:val="20"/>
                <w:u w:color="000000"/>
                <w:bdr w:val="nil"/>
                <w14:textOutline w14:w="0" w14:cap="flat" w14:cmpd="sng" w14:algn="ctr">
                  <w14:noFill/>
                  <w14:prstDash w14:val="solid"/>
                  <w14:bevel/>
                </w14:textOutline>
              </w:rPr>
              <w:t>and</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 28-19</w:t>
            </w:r>
          </w:p>
        </w:tc>
        <w:tc>
          <w:tcPr>
            <w:tcW w:w="4618" w:type="dxa"/>
          </w:tcPr>
          <w:p w14:paraId="2AEC7296"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 xml:space="preserve">Gloria Patricia Porras Escobar </w:t>
            </w:r>
            <w:r>
              <w:rPr>
                <w:rFonts w:ascii="Cambria" w:hAnsi="Cambria"/>
                <w:sz w:val="20"/>
                <w:szCs w:val="20"/>
              </w:rPr>
              <w:t>and</w:t>
            </w:r>
            <w:r w:rsidRPr="00066040">
              <w:rPr>
                <w:rFonts w:ascii="Cambria" w:hAnsi="Cambria"/>
                <w:sz w:val="20"/>
                <w:szCs w:val="20"/>
              </w:rPr>
              <w:t xml:space="preserve"> Francisco de Mata Vela </w:t>
            </w:r>
            <w:r>
              <w:rPr>
                <w:rFonts w:ascii="Cambria" w:hAnsi="Cambria"/>
                <w:sz w:val="20"/>
                <w:szCs w:val="20"/>
              </w:rPr>
              <w:t>et al.</w:t>
            </w:r>
          </w:p>
        </w:tc>
        <w:tc>
          <w:tcPr>
            <w:tcW w:w="1541" w:type="dxa"/>
          </w:tcPr>
          <w:p w14:paraId="4BF4A082"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Guatemala</w:t>
            </w:r>
          </w:p>
        </w:tc>
        <w:tc>
          <w:tcPr>
            <w:tcW w:w="1546" w:type="dxa"/>
          </w:tcPr>
          <w:p w14:paraId="02BE8807"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01/</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28/2022</w:t>
            </w:r>
          </w:p>
        </w:tc>
      </w:tr>
      <w:tr w:rsidR="008668B8" w:rsidRPr="00066040" w14:paraId="3C9032B4" w14:textId="77777777" w:rsidTr="00323A87">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560" w:type="dxa"/>
          </w:tcPr>
          <w:p w14:paraId="4211AA90"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39</w:t>
            </w:r>
          </w:p>
        </w:tc>
        <w:tc>
          <w:tcPr>
            <w:tcW w:w="1090" w:type="dxa"/>
          </w:tcPr>
          <w:p w14:paraId="3AC9273C"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395-18</w:t>
            </w:r>
          </w:p>
        </w:tc>
        <w:tc>
          <w:tcPr>
            <w:tcW w:w="4618" w:type="dxa"/>
          </w:tcPr>
          <w:p w14:paraId="51F3093B"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Siona</w:t>
            </w:r>
            <w:r>
              <w:rPr>
                <w:rFonts w:ascii="Cambria" w:hAnsi="Cambria"/>
                <w:sz w:val="20"/>
                <w:szCs w:val="20"/>
              </w:rPr>
              <w:t xml:space="preserve"> Indigenous People of the </w:t>
            </w:r>
            <w:r w:rsidRPr="00066040">
              <w:rPr>
                <w:rFonts w:ascii="Cambria" w:hAnsi="Cambria"/>
                <w:sz w:val="20"/>
                <w:szCs w:val="20"/>
              </w:rPr>
              <w:t xml:space="preserve">Gonzaya </w:t>
            </w:r>
            <w:r>
              <w:rPr>
                <w:rFonts w:ascii="Cambria" w:hAnsi="Cambria"/>
                <w:sz w:val="20"/>
                <w:szCs w:val="20"/>
              </w:rPr>
              <w:t>and</w:t>
            </w:r>
            <w:r w:rsidRPr="00066040">
              <w:rPr>
                <w:rFonts w:ascii="Cambria" w:hAnsi="Cambria"/>
                <w:sz w:val="20"/>
                <w:szCs w:val="20"/>
              </w:rPr>
              <w:t xml:space="preserve"> Po Piyuya</w:t>
            </w:r>
            <w:r>
              <w:rPr>
                <w:rFonts w:ascii="Cambria" w:hAnsi="Cambria"/>
                <w:sz w:val="20"/>
                <w:szCs w:val="20"/>
              </w:rPr>
              <w:t xml:space="preserve"> Reservations</w:t>
            </w:r>
          </w:p>
        </w:tc>
        <w:tc>
          <w:tcPr>
            <w:tcW w:w="1541" w:type="dxa"/>
          </w:tcPr>
          <w:p w14:paraId="73B5ED81"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c>
          <w:tcPr>
            <w:tcW w:w="1546" w:type="dxa"/>
          </w:tcPr>
          <w:p w14:paraId="25655C3C"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04/</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26/2022</w:t>
            </w:r>
          </w:p>
        </w:tc>
      </w:tr>
      <w:tr w:rsidR="008668B8" w:rsidRPr="00066040" w14:paraId="6AAC6CB0" w14:textId="77777777" w:rsidTr="00323A87">
        <w:trPr>
          <w:trHeight w:val="348"/>
        </w:trPr>
        <w:tc>
          <w:tcPr>
            <w:cnfStyle w:val="001000000000" w:firstRow="0" w:lastRow="0" w:firstColumn="1" w:lastColumn="0" w:oddVBand="0" w:evenVBand="0" w:oddHBand="0" w:evenHBand="0" w:firstRowFirstColumn="0" w:firstRowLastColumn="0" w:lastRowFirstColumn="0" w:lastRowLastColumn="0"/>
            <w:tcW w:w="560" w:type="dxa"/>
          </w:tcPr>
          <w:p w14:paraId="02F5F31E"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40</w:t>
            </w:r>
          </w:p>
        </w:tc>
        <w:tc>
          <w:tcPr>
            <w:tcW w:w="1090" w:type="dxa"/>
          </w:tcPr>
          <w:p w14:paraId="307C8391"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140-14</w:t>
            </w:r>
          </w:p>
        </w:tc>
        <w:tc>
          <w:tcPr>
            <w:tcW w:w="4618" w:type="dxa"/>
          </w:tcPr>
          <w:p w14:paraId="33D017F6"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Yomaira Mendoza</w:t>
            </w:r>
            <w:r>
              <w:rPr>
                <w:rFonts w:ascii="Cambria" w:hAnsi="Cambria"/>
                <w:sz w:val="20"/>
                <w:szCs w:val="20"/>
              </w:rPr>
              <w:t xml:space="preserve"> et al.</w:t>
            </w:r>
          </w:p>
        </w:tc>
        <w:tc>
          <w:tcPr>
            <w:tcW w:w="1541" w:type="dxa"/>
          </w:tcPr>
          <w:p w14:paraId="51341162"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c>
          <w:tcPr>
            <w:tcW w:w="1546" w:type="dxa"/>
          </w:tcPr>
          <w:p w14:paraId="558BAE59"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04/</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26/2022</w:t>
            </w:r>
          </w:p>
        </w:tc>
      </w:tr>
      <w:tr w:rsidR="008668B8" w:rsidRPr="00066040" w14:paraId="10DC8557" w14:textId="77777777" w:rsidTr="00323A8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0" w:type="dxa"/>
          </w:tcPr>
          <w:p w14:paraId="73D28C67"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41</w:t>
            </w:r>
          </w:p>
        </w:tc>
        <w:tc>
          <w:tcPr>
            <w:tcW w:w="1090" w:type="dxa"/>
          </w:tcPr>
          <w:p w14:paraId="6F613DE8"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197-05, 301-08 </w:t>
            </w:r>
            <w:r>
              <w:rPr>
                <w:rFonts w:ascii="Cambria" w:eastAsia="Calibri" w:hAnsi="Cambria" w:cs="Calibri"/>
                <w:color w:val="000000"/>
                <w:sz w:val="20"/>
                <w:szCs w:val="20"/>
                <w:u w:color="000000"/>
                <w:bdr w:val="nil"/>
                <w14:textOutline w14:w="0" w14:cap="flat" w14:cmpd="sng" w14:algn="ctr">
                  <w14:noFill/>
                  <w14:prstDash w14:val="solid"/>
                  <w14:bevel/>
                </w14:textOutline>
              </w:rPr>
              <w:t>and</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 255-11</w:t>
            </w:r>
          </w:p>
        </w:tc>
        <w:tc>
          <w:tcPr>
            <w:tcW w:w="4618" w:type="dxa"/>
          </w:tcPr>
          <w:p w14:paraId="0090DC1B"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 xml:space="preserve">Alcibiades Escue </w:t>
            </w:r>
            <w:r>
              <w:rPr>
                <w:rFonts w:ascii="Cambria" w:hAnsi="Cambria"/>
                <w:sz w:val="20"/>
                <w:szCs w:val="20"/>
              </w:rPr>
              <w:t>et al.</w:t>
            </w:r>
            <w:r w:rsidRPr="00066040">
              <w:rPr>
                <w:rFonts w:ascii="Cambria" w:hAnsi="Cambria"/>
                <w:sz w:val="20"/>
                <w:szCs w:val="20"/>
              </w:rPr>
              <w:t xml:space="preserve">, </w:t>
            </w:r>
            <w:r>
              <w:rPr>
                <w:rFonts w:ascii="Cambria" w:hAnsi="Cambria"/>
                <w:sz w:val="20"/>
                <w:szCs w:val="20"/>
              </w:rPr>
              <w:t>Leaders of the Cauca Regional Council</w:t>
            </w:r>
            <w:r w:rsidRPr="00066040">
              <w:rPr>
                <w:rFonts w:ascii="Cambria" w:hAnsi="Cambria"/>
                <w:sz w:val="20"/>
                <w:szCs w:val="20"/>
              </w:rPr>
              <w:t xml:space="preserve">, </w:t>
            </w:r>
            <w:r>
              <w:rPr>
                <w:rFonts w:ascii="Cambria" w:hAnsi="Cambria"/>
                <w:sz w:val="20"/>
                <w:szCs w:val="20"/>
              </w:rPr>
              <w:t xml:space="preserve">Nasa People of the </w:t>
            </w:r>
            <w:r w:rsidRPr="00066040">
              <w:rPr>
                <w:rFonts w:ascii="Cambria" w:hAnsi="Cambria"/>
                <w:sz w:val="20"/>
                <w:szCs w:val="20"/>
              </w:rPr>
              <w:t xml:space="preserve">Toribio, San Francisco, Tacueyo </w:t>
            </w:r>
            <w:r>
              <w:rPr>
                <w:rFonts w:ascii="Cambria" w:hAnsi="Cambria"/>
                <w:sz w:val="20"/>
                <w:szCs w:val="20"/>
              </w:rPr>
              <w:t>and</w:t>
            </w:r>
            <w:r w:rsidRPr="00066040">
              <w:rPr>
                <w:rFonts w:ascii="Cambria" w:hAnsi="Cambria"/>
                <w:sz w:val="20"/>
                <w:szCs w:val="20"/>
              </w:rPr>
              <w:t xml:space="preserve"> Jambalo</w:t>
            </w:r>
            <w:r>
              <w:rPr>
                <w:rFonts w:ascii="Cambria" w:hAnsi="Cambria"/>
                <w:sz w:val="20"/>
                <w:szCs w:val="20"/>
              </w:rPr>
              <w:t xml:space="preserve"> Reservations</w:t>
            </w:r>
          </w:p>
        </w:tc>
        <w:tc>
          <w:tcPr>
            <w:tcW w:w="1541" w:type="dxa"/>
          </w:tcPr>
          <w:p w14:paraId="50589DCC"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c>
          <w:tcPr>
            <w:tcW w:w="1546" w:type="dxa"/>
          </w:tcPr>
          <w:p w14:paraId="72AA7878"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04/</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w:t>
            </w:r>
            <w:r>
              <w:rPr>
                <w:rFonts w:ascii="Cambria" w:eastAsia="Calibri" w:hAnsi="Cambria" w:cs="Calibri"/>
                <w:color w:val="000000"/>
                <w:sz w:val="20"/>
                <w:szCs w:val="20"/>
                <w:u w:color="000000"/>
                <w:bdr w:val="nil"/>
                <w14:textOutline w14:w="0" w14:cap="flat" w14:cmpd="sng" w14:algn="ctr">
                  <w14:noFill/>
                  <w14:prstDash w14:val="solid"/>
                  <w14:bevel/>
                </w14:textOutline>
              </w:rPr>
              <w:t>8</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/2022</w:t>
            </w:r>
          </w:p>
        </w:tc>
      </w:tr>
      <w:tr w:rsidR="008668B8" w:rsidRPr="00066040" w14:paraId="2F2F7F94" w14:textId="77777777" w:rsidTr="00323A87">
        <w:trPr>
          <w:trHeight w:val="418"/>
        </w:trPr>
        <w:tc>
          <w:tcPr>
            <w:cnfStyle w:val="001000000000" w:firstRow="0" w:lastRow="0" w:firstColumn="1" w:lastColumn="0" w:oddVBand="0" w:evenVBand="0" w:oddHBand="0" w:evenHBand="0" w:firstRowFirstColumn="0" w:firstRowLastColumn="0" w:lastRowFirstColumn="0" w:lastRowLastColumn="0"/>
            <w:tcW w:w="560" w:type="dxa"/>
          </w:tcPr>
          <w:p w14:paraId="76F403E3"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42</w:t>
            </w:r>
          </w:p>
        </w:tc>
        <w:tc>
          <w:tcPr>
            <w:tcW w:w="1090" w:type="dxa"/>
          </w:tcPr>
          <w:p w14:paraId="0A461EE5"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649-20</w:t>
            </w:r>
          </w:p>
        </w:tc>
        <w:tc>
          <w:tcPr>
            <w:tcW w:w="4618" w:type="dxa"/>
          </w:tcPr>
          <w:p w14:paraId="3F1BDB62"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bdr w:val="nil"/>
                <w14:textOutline w14:w="0" w14:cap="flat" w14:cmpd="sng" w14:algn="ctr">
                  <w14:noFill/>
                  <w14:prstDash w14:val="solid"/>
                  <w14:bevel/>
                </w14:textOutline>
              </w:rPr>
            </w:pPr>
            <w:r w:rsidRPr="00066040">
              <w:rPr>
                <w:rFonts w:ascii="Cambria" w:hAnsi="Cambria"/>
                <w:sz w:val="20"/>
                <w:szCs w:val="20"/>
              </w:rPr>
              <w:t xml:space="preserve">Leyner Palacios Aspirilla </w:t>
            </w:r>
            <w:r>
              <w:rPr>
                <w:rFonts w:ascii="Cambria" w:hAnsi="Cambria"/>
                <w:sz w:val="20"/>
                <w:szCs w:val="20"/>
              </w:rPr>
              <w:t>and his nuclear family</w:t>
            </w:r>
          </w:p>
        </w:tc>
        <w:tc>
          <w:tcPr>
            <w:tcW w:w="1541" w:type="dxa"/>
          </w:tcPr>
          <w:p w14:paraId="2ABC0E2D"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c>
          <w:tcPr>
            <w:tcW w:w="1546" w:type="dxa"/>
          </w:tcPr>
          <w:p w14:paraId="0B78AA72"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04/</w:t>
            </w:r>
            <w:r>
              <w:rPr>
                <w:rFonts w:ascii="Cambria" w:eastAsia="Calibri" w:hAnsi="Cambria" w:cs="Calibri"/>
                <w:color w:val="000000"/>
                <w:sz w:val="20"/>
                <w:szCs w:val="20"/>
                <w:u w:color="000000"/>
                <w:bdr w:val="nil"/>
                <w14:textOutline w14:w="0" w14:cap="flat" w14:cmpd="sng" w14:algn="ctr">
                  <w14:noFill/>
                  <w14:prstDash w14:val="solid"/>
                  <w14:bevel/>
                </w14:textOutline>
              </w:rPr>
              <w:t>28/</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2022</w:t>
            </w:r>
          </w:p>
        </w:tc>
      </w:tr>
      <w:tr w:rsidR="008668B8" w:rsidRPr="00066040" w14:paraId="27878131" w14:textId="77777777" w:rsidTr="00323A87">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60" w:type="dxa"/>
          </w:tcPr>
          <w:p w14:paraId="4C3E1207"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43</w:t>
            </w:r>
          </w:p>
        </w:tc>
        <w:tc>
          <w:tcPr>
            <w:tcW w:w="1090" w:type="dxa"/>
          </w:tcPr>
          <w:p w14:paraId="04467867"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210-17</w:t>
            </w:r>
          </w:p>
        </w:tc>
        <w:tc>
          <w:tcPr>
            <w:tcW w:w="4618" w:type="dxa"/>
          </w:tcPr>
          <w:p w14:paraId="1E85C370"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hAnsi="Cambria"/>
                <w:sz w:val="20"/>
                <w:szCs w:val="20"/>
              </w:rPr>
              <w:t xml:space="preserve">Leaders of the Political and Social Movement </w:t>
            </w:r>
            <w:r w:rsidRPr="00066040">
              <w:rPr>
                <w:rFonts w:ascii="Cambria" w:hAnsi="Cambria"/>
                <w:sz w:val="20"/>
                <w:szCs w:val="20"/>
              </w:rPr>
              <w:t>Marcha Patriótica</w:t>
            </w:r>
          </w:p>
        </w:tc>
        <w:tc>
          <w:tcPr>
            <w:tcW w:w="1541" w:type="dxa"/>
          </w:tcPr>
          <w:p w14:paraId="0CA76620"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c>
          <w:tcPr>
            <w:tcW w:w="1546" w:type="dxa"/>
          </w:tcPr>
          <w:p w14:paraId="0D058337"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04/</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29/2022</w:t>
            </w:r>
          </w:p>
        </w:tc>
      </w:tr>
      <w:tr w:rsidR="008668B8" w:rsidRPr="00066040" w14:paraId="24DA9CB1" w14:textId="77777777" w:rsidTr="00323A87">
        <w:trPr>
          <w:trHeight w:val="414"/>
        </w:trPr>
        <w:tc>
          <w:tcPr>
            <w:cnfStyle w:val="001000000000" w:firstRow="0" w:lastRow="0" w:firstColumn="1" w:lastColumn="0" w:oddVBand="0" w:evenVBand="0" w:oddHBand="0" w:evenHBand="0" w:firstRowFirstColumn="0" w:firstRowLastColumn="0" w:lastRowFirstColumn="0" w:lastRowLastColumn="0"/>
            <w:tcW w:w="560" w:type="dxa"/>
          </w:tcPr>
          <w:p w14:paraId="1473EEB9"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44</w:t>
            </w:r>
          </w:p>
        </w:tc>
        <w:tc>
          <w:tcPr>
            <w:tcW w:w="1090" w:type="dxa"/>
          </w:tcPr>
          <w:p w14:paraId="3E99F258"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491-21</w:t>
            </w:r>
          </w:p>
        </w:tc>
        <w:tc>
          <w:tcPr>
            <w:tcW w:w="4618" w:type="dxa"/>
          </w:tcPr>
          <w:p w14:paraId="32F2EA38"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 xml:space="preserve">S.G.R.Q., </w:t>
            </w:r>
            <w:r>
              <w:rPr>
                <w:rFonts w:ascii="Cambria" w:hAnsi="Cambria"/>
                <w:sz w:val="20"/>
                <w:szCs w:val="20"/>
              </w:rPr>
              <w:t>her daughter</w:t>
            </w:r>
            <w:r w:rsidRPr="00066040">
              <w:rPr>
                <w:rFonts w:ascii="Cambria" w:hAnsi="Cambria"/>
                <w:sz w:val="20"/>
                <w:szCs w:val="20"/>
              </w:rPr>
              <w:t xml:space="preserve"> A.S.R.Q. </w:t>
            </w:r>
            <w:r>
              <w:rPr>
                <w:rFonts w:ascii="Cambria" w:hAnsi="Cambria"/>
                <w:sz w:val="20"/>
                <w:szCs w:val="20"/>
              </w:rPr>
              <w:t>and husband</w:t>
            </w:r>
            <w:r w:rsidRPr="00066040">
              <w:rPr>
                <w:rFonts w:ascii="Cambria" w:hAnsi="Cambria"/>
                <w:sz w:val="20"/>
                <w:szCs w:val="20"/>
              </w:rPr>
              <w:t xml:space="preserve"> H.A.R.R., </w:t>
            </w:r>
          </w:p>
        </w:tc>
        <w:tc>
          <w:tcPr>
            <w:tcW w:w="1541" w:type="dxa"/>
          </w:tcPr>
          <w:p w14:paraId="2C102E6D"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Colombia</w:t>
            </w:r>
          </w:p>
        </w:tc>
        <w:tc>
          <w:tcPr>
            <w:tcW w:w="1546" w:type="dxa"/>
          </w:tcPr>
          <w:p w14:paraId="03D1DB66"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04/</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29/2022</w:t>
            </w:r>
          </w:p>
        </w:tc>
      </w:tr>
      <w:tr w:rsidR="008668B8" w:rsidRPr="00066040" w14:paraId="5459AC4D" w14:textId="77777777" w:rsidTr="00323A8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60" w:type="dxa"/>
          </w:tcPr>
          <w:p w14:paraId="71B9F476"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45</w:t>
            </w:r>
          </w:p>
        </w:tc>
        <w:tc>
          <w:tcPr>
            <w:tcW w:w="1090" w:type="dxa"/>
          </w:tcPr>
          <w:p w14:paraId="05E43B9F"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972-18</w:t>
            </w:r>
          </w:p>
        </w:tc>
        <w:tc>
          <w:tcPr>
            <w:tcW w:w="4618" w:type="dxa"/>
          </w:tcPr>
          <w:p w14:paraId="1FCFF3D8"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Semma Julissa Villanueva Barahona, Karla Vanessa Beltran Cruz, Gregoria América Gómez, Dicciana Noreyda Ferrufino</w:t>
            </w:r>
          </w:p>
        </w:tc>
        <w:tc>
          <w:tcPr>
            <w:tcW w:w="1541" w:type="dxa"/>
          </w:tcPr>
          <w:p w14:paraId="07CA57F9"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Honduras</w:t>
            </w:r>
          </w:p>
        </w:tc>
        <w:tc>
          <w:tcPr>
            <w:tcW w:w="1546" w:type="dxa"/>
          </w:tcPr>
          <w:p w14:paraId="789DAF44"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08/</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16/2022</w:t>
            </w:r>
          </w:p>
        </w:tc>
      </w:tr>
      <w:tr w:rsidR="008668B8" w:rsidRPr="00066040" w14:paraId="0CC33940" w14:textId="77777777" w:rsidTr="00323A87">
        <w:trPr>
          <w:trHeight w:val="416"/>
        </w:trPr>
        <w:tc>
          <w:tcPr>
            <w:cnfStyle w:val="001000000000" w:firstRow="0" w:lastRow="0" w:firstColumn="1" w:lastColumn="0" w:oddVBand="0" w:evenVBand="0" w:oddHBand="0" w:evenHBand="0" w:firstRowFirstColumn="0" w:firstRowLastColumn="0" w:lastRowFirstColumn="0" w:lastRowLastColumn="0"/>
            <w:tcW w:w="560" w:type="dxa"/>
          </w:tcPr>
          <w:p w14:paraId="0F33F5B2"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46</w:t>
            </w:r>
          </w:p>
        </w:tc>
        <w:tc>
          <w:tcPr>
            <w:tcW w:w="1090" w:type="dxa"/>
          </w:tcPr>
          <w:p w14:paraId="57655A78"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1050-21</w:t>
            </w:r>
          </w:p>
        </w:tc>
        <w:tc>
          <w:tcPr>
            <w:tcW w:w="4618" w:type="dxa"/>
          </w:tcPr>
          <w:p w14:paraId="664C9F42"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Famili</w:t>
            </w:r>
            <w:r>
              <w:rPr>
                <w:rFonts w:ascii="Cambria" w:hAnsi="Cambria"/>
                <w:sz w:val="20"/>
                <w:szCs w:val="20"/>
              </w:rPr>
              <w:t>es from the Mixteca Indigenous Communities of</w:t>
            </w:r>
            <w:r w:rsidRPr="00066040">
              <w:rPr>
                <w:rFonts w:ascii="Cambria" w:hAnsi="Cambria"/>
                <w:sz w:val="20"/>
                <w:szCs w:val="20"/>
              </w:rPr>
              <w:t xml:space="preserve"> Guerrero Grande </w:t>
            </w:r>
            <w:r>
              <w:rPr>
                <w:rFonts w:ascii="Cambria" w:hAnsi="Cambria"/>
                <w:sz w:val="20"/>
                <w:szCs w:val="20"/>
              </w:rPr>
              <w:t>and</w:t>
            </w:r>
            <w:r w:rsidRPr="00066040">
              <w:rPr>
                <w:rFonts w:ascii="Cambria" w:hAnsi="Cambria"/>
                <w:sz w:val="20"/>
                <w:szCs w:val="20"/>
              </w:rPr>
              <w:t xml:space="preserve"> Ndoyonuyuji</w:t>
            </w:r>
            <w:r>
              <w:rPr>
                <w:rFonts w:ascii="Cambria" w:hAnsi="Cambria"/>
                <w:sz w:val="20"/>
                <w:szCs w:val="20"/>
              </w:rPr>
              <w:t xml:space="preserve"> et al.</w:t>
            </w:r>
          </w:p>
        </w:tc>
        <w:tc>
          <w:tcPr>
            <w:tcW w:w="1541" w:type="dxa"/>
          </w:tcPr>
          <w:p w14:paraId="248695DF"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p>
        </w:tc>
        <w:tc>
          <w:tcPr>
            <w:tcW w:w="1546" w:type="dxa"/>
          </w:tcPr>
          <w:p w14:paraId="5A305F41"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29/08/2022</w:t>
            </w:r>
          </w:p>
        </w:tc>
      </w:tr>
      <w:tr w:rsidR="008668B8" w:rsidRPr="00066040" w14:paraId="2739C6F3" w14:textId="77777777" w:rsidTr="00323A8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60" w:type="dxa"/>
          </w:tcPr>
          <w:p w14:paraId="387810A9"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t>47</w:t>
            </w:r>
          </w:p>
        </w:tc>
        <w:tc>
          <w:tcPr>
            <w:tcW w:w="1090" w:type="dxa"/>
          </w:tcPr>
          <w:p w14:paraId="7123F703"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112-16</w:t>
            </w:r>
          </w:p>
        </w:tc>
        <w:tc>
          <w:tcPr>
            <w:tcW w:w="4618" w:type="dxa"/>
          </w:tcPr>
          <w:p w14:paraId="0BC82335"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Berta Cáceres</w:t>
            </w:r>
            <w:r>
              <w:rPr>
                <w:rFonts w:ascii="Cambria" w:hAnsi="Cambria"/>
                <w:sz w:val="20"/>
                <w:szCs w:val="20"/>
              </w:rPr>
              <w:t xml:space="preserve">, her nuclear family, and members of </w:t>
            </w:r>
            <w:r w:rsidRPr="00066040">
              <w:rPr>
                <w:rFonts w:ascii="Cambria" w:hAnsi="Cambria"/>
                <w:sz w:val="20"/>
                <w:szCs w:val="20"/>
              </w:rPr>
              <w:t>COPINH</w:t>
            </w:r>
          </w:p>
        </w:tc>
        <w:tc>
          <w:tcPr>
            <w:tcW w:w="1541" w:type="dxa"/>
          </w:tcPr>
          <w:p w14:paraId="17FB5823"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Honduras</w:t>
            </w:r>
          </w:p>
        </w:tc>
        <w:tc>
          <w:tcPr>
            <w:tcW w:w="1546" w:type="dxa"/>
          </w:tcPr>
          <w:p w14:paraId="2070ECD1"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09/01</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/2022</w:t>
            </w:r>
          </w:p>
        </w:tc>
      </w:tr>
      <w:tr w:rsidR="008668B8" w:rsidRPr="00066040" w14:paraId="01AFE0D5" w14:textId="77777777" w:rsidTr="00323A87">
        <w:trPr>
          <w:trHeight w:val="392"/>
        </w:trPr>
        <w:tc>
          <w:tcPr>
            <w:cnfStyle w:val="001000000000" w:firstRow="0" w:lastRow="0" w:firstColumn="1" w:lastColumn="0" w:oddVBand="0" w:evenVBand="0" w:oddHBand="0" w:evenHBand="0" w:firstRowFirstColumn="0" w:firstRowLastColumn="0" w:lastRowFirstColumn="0" w:lastRowLastColumn="0"/>
            <w:tcW w:w="560" w:type="dxa"/>
          </w:tcPr>
          <w:p w14:paraId="6E921484" w14:textId="77777777" w:rsidR="008668B8" w:rsidRPr="00066040" w:rsidRDefault="008668B8">
            <w:pPr>
              <w:pBdr>
                <w:top w:val="nil"/>
                <w:left w:val="nil"/>
                <w:bottom w:val="nil"/>
                <w:right w:val="nil"/>
                <w:between w:val="nil"/>
                <w:bar w:val="nil"/>
              </w:pBdr>
              <w:jc w:val="both"/>
              <w:rPr>
                <w:rFonts w:ascii="Cambria" w:eastAsia="Calibri" w:hAnsi="Cambria" w:cs="Calibri"/>
                <w:bCs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val="0"/>
                <w:color w:val="000000"/>
                <w:sz w:val="20"/>
                <w:szCs w:val="20"/>
                <w:u w:color="000000"/>
                <w:bdr w:val="nil"/>
                <w14:textOutline w14:w="0" w14:cap="flat" w14:cmpd="sng" w14:algn="ctr">
                  <w14:noFill/>
                  <w14:prstDash w14:val="solid"/>
                  <w14:bevel/>
                </w14:textOutline>
              </w:rPr>
              <w:t>48</w:t>
            </w:r>
          </w:p>
        </w:tc>
        <w:tc>
          <w:tcPr>
            <w:tcW w:w="1090" w:type="dxa"/>
          </w:tcPr>
          <w:p w14:paraId="752A0DA7"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458-19</w:t>
            </w:r>
          </w:p>
        </w:tc>
        <w:tc>
          <w:tcPr>
            <w:tcW w:w="4618" w:type="dxa"/>
          </w:tcPr>
          <w:p w14:paraId="695AA9B0"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hAnsi="Cambria"/>
                <w:sz w:val="20"/>
                <w:szCs w:val="20"/>
              </w:rPr>
              <w:t>Guyraroká</w:t>
            </w:r>
            <w:r>
              <w:rPr>
                <w:rFonts w:ascii="Cambria" w:hAnsi="Cambria"/>
                <w:sz w:val="20"/>
                <w:szCs w:val="20"/>
              </w:rPr>
              <w:t xml:space="preserve"> Community of the</w:t>
            </w:r>
            <w:r w:rsidRPr="00066040">
              <w:rPr>
                <w:rFonts w:ascii="Cambria" w:hAnsi="Cambria"/>
                <w:sz w:val="20"/>
                <w:szCs w:val="20"/>
              </w:rPr>
              <w:t xml:space="preserve"> Guarani Kaiowá</w:t>
            </w:r>
            <w:r>
              <w:rPr>
                <w:rFonts w:ascii="Cambria" w:hAnsi="Cambria"/>
                <w:sz w:val="20"/>
                <w:szCs w:val="20"/>
              </w:rPr>
              <w:t xml:space="preserve"> Indigenous People</w:t>
            </w:r>
          </w:p>
        </w:tc>
        <w:tc>
          <w:tcPr>
            <w:tcW w:w="1541" w:type="dxa"/>
          </w:tcPr>
          <w:p w14:paraId="562CC60A"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Brazil</w:t>
            </w:r>
          </w:p>
        </w:tc>
        <w:tc>
          <w:tcPr>
            <w:tcW w:w="1546" w:type="dxa"/>
          </w:tcPr>
          <w:p w14:paraId="0EB64634"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09/</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15/2022</w:t>
            </w:r>
          </w:p>
        </w:tc>
      </w:tr>
      <w:tr w:rsidR="008668B8" w:rsidRPr="00066040" w14:paraId="64EC13E3" w14:textId="77777777" w:rsidTr="00323A87">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60" w:type="dxa"/>
          </w:tcPr>
          <w:p w14:paraId="5350F7BC" w14:textId="77777777" w:rsidR="008668B8" w:rsidRPr="00066040" w:rsidRDefault="008668B8">
            <w:pPr>
              <w:pBdr>
                <w:top w:val="nil"/>
                <w:left w:val="nil"/>
                <w:bottom w:val="nil"/>
                <w:right w:val="nil"/>
                <w:between w:val="nil"/>
                <w:bar w:val="nil"/>
              </w:pBdr>
              <w:jc w:val="both"/>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49</w:t>
            </w:r>
          </w:p>
        </w:tc>
        <w:tc>
          <w:tcPr>
            <w:tcW w:w="1090" w:type="dxa"/>
          </w:tcPr>
          <w:p w14:paraId="643CD584" w14:textId="77777777" w:rsidR="008668B8" w:rsidRPr="005201CA"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5201CA">
              <w:rPr>
                <w:rFonts w:ascii="Cambria" w:hAnsi="Cambria"/>
                <w:sz w:val="20"/>
                <w:szCs w:val="20"/>
              </w:rPr>
              <w:t>416-13</w:t>
            </w:r>
          </w:p>
        </w:tc>
        <w:tc>
          <w:tcPr>
            <w:tcW w:w="4618" w:type="dxa"/>
          </w:tcPr>
          <w:p w14:paraId="0CD82137" w14:textId="77777777" w:rsidR="008668B8" w:rsidRPr="00D94D5D"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D94D5D">
              <w:rPr>
                <w:rFonts w:ascii="Cambria" w:hAnsi="Cambria"/>
                <w:sz w:val="20"/>
                <w:szCs w:val="20"/>
                <w:lang w:val="en-GB"/>
              </w:rPr>
              <w:t>18 members of the Movimiento Amplio por la Dignidad y la Justicia (Broad Movement for Dignity and Justice) and their families</w:t>
            </w:r>
          </w:p>
        </w:tc>
        <w:tc>
          <w:tcPr>
            <w:tcW w:w="1541" w:type="dxa"/>
          </w:tcPr>
          <w:p w14:paraId="5A7F02E9" w14:textId="77777777" w:rsidR="008668B8" w:rsidRPr="005201CA"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5201CA">
              <w:rPr>
                <w:rFonts w:ascii="Cambria" w:hAnsi="Cambria"/>
                <w:sz w:val="20"/>
                <w:szCs w:val="20"/>
              </w:rPr>
              <w:t>Honduras</w:t>
            </w:r>
          </w:p>
        </w:tc>
        <w:tc>
          <w:tcPr>
            <w:tcW w:w="1546" w:type="dxa"/>
          </w:tcPr>
          <w:p w14:paraId="559F8CDE" w14:textId="77777777" w:rsidR="008668B8" w:rsidRPr="005201CA"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5201CA">
              <w:rPr>
                <w:rFonts w:ascii="Cambria" w:hAnsi="Cambria"/>
                <w:sz w:val="20"/>
                <w:szCs w:val="20"/>
              </w:rPr>
              <w:t>12/12/2022</w:t>
            </w:r>
          </w:p>
        </w:tc>
      </w:tr>
      <w:tr w:rsidR="008668B8" w14:paraId="7DCF82CF" w14:textId="77777777" w:rsidTr="00323A87">
        <w:trPr>
          <w:trHeight w:val="392"/>
        </w:trPr>
        <w:tc>
          <w:tcPr>
            <w:cnfStyle w:val="001000000000" w:firstRow="0" w:lastRow="0" w:firstColumn="1" w:lastColumn="0" w:oddVBand="0" w:evenVBand="0" w:oddHBand="0" w:evenHBand="0" w:firstRowFirstColumn="0" w:firstRowLastColumn="0" w:lastRowFirstColumn="0" w:lastRowLastColumn="0"/>
            <w:tcW w:w="560" w:type="dxa"/>
          </w:tcPr>
          <w:p w14:paraId="4FC3D33D" w14:textId="77777777" w:rsidR="008668B8" w:rsidRDefault="008668B8">
            <w:pPr>
              <w:jc w:val="both"/>
              <w:rPr>
                <w:rFonts w:ascii="Cambria" w:eastAsia="Cambria" w:hAnsi="Cambria" w:cs="Cambria"/>
                <w:color w:val="000000" w:themeColor="text1"/>
                <w:sz w:val="20"/>
                <w:szCs w:val="20"/>
              </w:rPr>
            </w:pPr>
            <w:r w:rsidRPr="31502C94">
              <w:rPr>
                <w:rFonts w:ascii="Cambria" w:eastAsia="Cambria" w:hAnsi="Cambria" w:cs="Cambria"/>
                <w:color w:val="000000" w:themeColor="text1"/>
                <w:sz w:val="20"/>
                <w:szCs w:val="20"/>
              </w:rPr>
              <w:t xml:space="preserve">50 </w:t>
            </w:r>
          </w:p>
        </w:tc>
        <w:tc>
          <w:tcPr>
            <w:tcW w:w="1090" w:type="dxa"/>
          </w:tcPr>
          <w:p w14:paraId="268BBAF4" w14:textId="77777777" w:rsidR="008668B8" w:rsidRDefault="008668B8">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themeColor="text1"/>
                <w:sz w:val="20"/>
                <w:szCs w:val="20"/>
                <w:lang w:val="es-ES"/>
              </w:rPr>
            </w:pPr>
            <w:r w:rsidRPr="31502C94">
              <w:rPr>
                <w:rFonts w:ascii="Cambria" w:eastAsia="Cambria" w:hAnsi="Cambria" w:cs="Cambria"/>
                <w:color w:val="000000" w:themeColor="text1"/>
                <w:sz w:val="20"/>
                <w:szCs w:val="20"/>
                <w:lang w:val="es-ES"/>
              </w:rPr>
              <w:t>339-09</w:t>
            </w:r>
          </w:p>
        </w:tc>
        <w:tc>
          <w:tcPr>
            <w:tcW w:w="4618" w:type="dxa"/>
          </w:tcPr>
          <w:p w14:paraId="598FFCC7" w14:textId="77777777" w:rsidR="008668B8" w:rsidRDefault="008668B8">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themeColor="text1"/>
                <w:sz w:val="20"/>
                <w:szCs w:val="20"/>
                <w:lang w:val="es-US"/>
              </w:rPr>
            </w:pPr>
            <w:r w:rsidRPr="31502C94">
              <w:rPr>
                <w:rFonts w:ascii="Cambria" w:eastAsia="Cambria" w:hAnsi="Cambria" w:cs="Cambria"/>
                <w:color w:val="000000" w:themeColor="text1"/>
                <w:sz w:val="20"/>
                <w:szCs w:val="20"/>
                <w:lang w:val="es-US"/>
              </w:rPr>
              <w:t>Claudia Julieta Duque and other</w:t>
            </w:r>
          </w:p>
        </w:tc>
        <w:tc>
          <w:tcPr>
            <w:tcW w:w="1541" w:type="dxa"/>
          </w:tcPr>
          <w:p w14:paraId="03E14BD8" w14:textId="77777777" w:rsidR="008668B8" w:rsidRDefault="008668B8">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themeColor="text1"/>
                <w:sz w:val="20"/>
                <w:szCs w:val="20"/>
                <w:lang w:val="es-ES"/>
              </w:rPr>
            </w:pPr>
            <w:r w:rsidRPr="31502C94">
              <w:rPr>
                <w:rFonts w:ascii="Cambria" w:eastAsia="Cambria" w:hAnsi="Cambria" w:cs="Cambria"/>
                <w:color w:val="000000" w:themeColor="text1"/>
                <w:sz w:val="20"/>
                <w:szCs w:val="20"/>
                <w:lang w:val="es-ES"/>
              </w:rPr>
              <w:t>Colombia</w:t>
            </w:r>
          </w:p>
        </w:tc>
        <w:tc>
          <w:tcPr>
            <w:tcW w:w="1546" w:type="dxa"/>
          </w:tcPr>
          <w:p w14:paraId="75274002" w14:textId="77777777" w:rsidR="008668B8" w:rsidRDefault="008668B8">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themeColor="text1"/>
                <w:sz w:val="20"/>
                <w:szCs w:val="20"/>
                <w:lang w:val="es-ES"/>
              </w:rPr>
            </w:pPr>
            <w:r w:rsidRPr="31502C94">
              <w:rPr>
                <w:rFonts w:ascii="Cambria" w:eastAsia="Cambria" w:hAnsi="Cambria" w:cs="Cambria"/>
                <w:color w:val="000000" w:themeColor="text1"/>
                <w:sz w:val="20"/>
                <w:szCs w:val="20"/>
                <w:lang w:val="es-ES"/>
              </w:rPr>
              <w:t>12/19/2022</w:t>
            </w:r>
          </w:p>
        </w:tc>
      </w:tr>
    </w:tbl>
    <w:p w14:paraId="7D461293" w14:textId="77777777" w:rsidR="008668B8" w:rsidRPr="00066040" w:rsidRDefault="008668B8" w:rsidP="003308CB">
      <w:pPr>
        <w:pBdr>
          <w:top w:val="nil"/>
          <w:left w:val="nil"/>
          <w:bottom w:val="nil"/>
          <w:right w:val="nil"/>
          <w:between w:val="nil"/>
          <w:bar w:val="nil"/>
        </w:pBdr>
        <w:jc w:val="both"/>
        <w:rPr>
          <w:rFonts w:ascii="Cambria" w:eastAsia="Calibri" w:hAnsi="Cambria" w:cs="Calibri"/>
          <w:color w:val="333333"/>
          <w:sz w:val="20"/>
          <w:szCs w:val="20"/>
          <w:bdr w:val="nil"/>
          <w:shd w:val="clear" w:color="auto" w:fill="FFFFFF"/>
          <w14:textOutline w14:w="0" w14:cap="flat" w14:cmpd="sng" w14:algn="ctr">
            <w14:noFill/>
            <w14:prstDash w14:val="solid"/>
            <w14:bevel/>
          </w14:textOutline>
        </w:rPr>
      </w:pPr>
    </w:p>
    <w:p w14:paraId="044380C0" w14:textId="77777777" w:rsidR="008668B8" w:rsidRPr="00066040" w:rsidRDefault="008668B8" w:rsidP="00933F91">
      <w:pPr>
        <w:pStyle w:val="BodyText"/>
        <w:widowControl/>
        <w:numPr>
          <w:ilvl w:val="0"/>
          <w:numId w:val="58"/>
        </w:numPr>
        <w:ind w:left="0" w:firstLine="720"/>
        <w:jc w:val="both"/>
        <w:rPr>
          <w:rFonts w:eastAsia="Calibri" w:cs="Calibri"/>
        </w:rPr>
      </w:pPr>
      <w:r w:rsidRPr="6D82FDC4">
        <w:rPr>
          <w:rFonts w:eastAsia="Calibri" w:cs="Calibri"/>
        </w:rPr>
        <w:t xml:space="preserve">The four public hearings held in 2022 relating to 99 precautionary measures also represent a significant increase compared to the preceding year, when three public hearings were held related to eight </w:t>
      </w:r>
      <w:r w:rsidRPr="6D82FDC4">
        <w:rPr>
          <w:rFonts w:eastAsia="Calibri" w:cs="Calibri"/>
        </w:rPr>
        <w:lastRenderedPageBreak/>
        <w:t>precautionary measures. Public hearings allow the parties to engage in direct dialogue with the IACHR plenary and present progress made in implementation, challenges identified, and other relevant information.</w:t>
      </w:r>
    </w:p>
    <w:p w14:paraId="2CAEF63B" w14:textId="77777777" w:rsidR="008668B8" w:rsidRPr="00066040" w:rsidRDefault="008668B8" w:rsidP="008668B8">
      <w:pPr>
        <w:ind w:left="720"/>
        <w:jc w:val="both"/>
        <w:rPr>
          <w:rFonts w:ascii="Cambria" w:eastAsia="Calibri" w:hAnsi="Cambria" w:cs="Calibri"/>
          <w:color w:val="333333"/>
          <w:sz w:val="20"/>
          <w:szCs w:val="20"/>
        </w:rPr>
      </w:pPr>
    </w:p>
    <w:tbl>
      <w:tblPr>
        <w:tblStyle w:val="GridTable4-Accent51"/>
        <w:tblW w:w="9355" w:type="dxa"/>
        <w:tblLayout w:type="fixed"/>
        <w:tblLook w:val="04A0" w:firstRow="1" w:lastRow="0" w:firstColumn="1" w:lastColumn="0" w:noHBand="0" w:noVBand="1"/>
      </w:tblPr>
      <w:tblGrid>
        <w:gridCol w:w="625"/>
        <w:gridCol w:w="2772"/>
        <w:gridCol w:w="3978"/>
        <w:gridCol w:w="1980"/>
      </w:tblGrid>
      <w:tr w:rsidR="008668B8" w:rsidRPr="00066040" w14:paraId="727B81C9" w14:textId="77777777" w:rsidTr="00354240">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355" w:type="dxa"/>
            <w:gridSpan w:val="4"/>
          </w:tcPr>
          <w:p w14:paraId="4F28FCEA" w14:textId="77777777" w:rsidR="008668B8" w:rsidRPr="00066040" w:rsidRDefault="008668B8">
            <w:pPr>
              <w:pBdr>
                <w:top w:val="nil"/>
                <w:left w:val="nil"/>
                <w:bottom w:val="nil"/>
                <w:right w:val="nil"/>
                <w:between w:val="nil"/>
                <w:bar w:val="nil"/>
              </w:pBdr>
              <w:jc w:val="center"/>
              <w:rPr>
                <w:rFonts w:ascii="Cambria" w:eastAsia="Calibri" w:hAnsi="Cambria" w:cs="Calibri"/>
                <w:bCs w:val="0"/>
                <w:color w:val="000000"/>
                <w:u w:color="000000"/>
                <w:bdr w:val="nil"/>
                <w14:textOutline w14:w="0" w14:cap="flat" w14:cmpd="sng" w14:algn="ctr">
                  <w14:noFill/>
                  <w14:prstDash w14:val="solid"/>
                  <w14:bevel/>
                </w14:textOutline>
              </w:rPr>
            </w:pPr>
            <w:bookmarkStart w:id="55" w:name="_Hlk119406806"/>
            <w:r w:rsidRPr="00066040">
              <w:rPr>
                <w:rFonts w:ascii="Cambria" w:eastAsia="Calibri" w:hAnsi="Cambria" w:cs="Calibri"/>
                <w:bCs w:val="0"/>
                <w:sz w:val="20"/>
                <w:szCs w:val="20"/>
                <w:u w:color="000000"/>
                <w:bdr w:val="nil"/>
                <w14:textOutline w14:w="0" w14:cap="flat" w14:cmpd="sng" w14:algn="ctr">
                  <w14:noFill/>
                  <w14:prstDash w14:val="solid"/>
                  <w14:bevel/>
                </w14:textOutline>
              </w:rPr>
              <w:t>184</w:t>
            </w:r>
            <w:r w:rsidRPr="0010620B">
              <w:rPr>
                <w:rFonts w:ascii="Cambria" w:eastAsia="Calibri" w:hAnsi="Cambria" w:cs="Calibri"/>
                <w:bCs w:val="0"/>
                <w:sz w:val="20"/>
                <w:szCs w:val="20"/>
                <w:u w:color="000000"/>
                <w:bdr w:val="nil"/>
                <w:vertAlign w:val="superscript"/>
                <w14:textOutline w14:w="0" w14:cap="flat" w14:cmpd="sng" w14:algn="ctr">
                  <w14:noFill/>
                  <w14:prstDash w14:val="solid"/>
                  <w14:bevel/>
                </w14:textOutline>
              </w:rPr>
              <w:t>th</w:t>
            </w:r>
            <w:r>
              <w:rPr>
                <w:rFonts w:ascii="Cambria" w:eastAsia="Calibri" w:hAnsi="Cambria" w:cs="Calibri"/>
                <w:bCs w:val="0"/>
                <w:sz w:val="20"/>
                <w:szCs w:val="20"/>
                <w:u w:color="000000"/>
                <w:bdr w:val="nil"/>
                <w14:textOutline w14:w="0" w14:cap="flat" w14:cmpd="sng" w14:algn="ctr">
                  <w14:noFill/>
                  <w14:prstDash w14:val="solid"/>
                  <w14:bevel/>
                </w14:textOutline>
              </w:rPr>
              <w:t xml:space="preserve"> Period of Sessions</w:t>
            </w:r>
          </w:p>
        </w:tc>
      </w:tr>
      <w:tr w:rsidR="008668B8" w:rsidRPr="00066040" w14:paraId="2C92764B" w14:textId="77777777" w:rsidTr="003542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55" w:type="dxa"/>
            <w:gridSpan w:val="4"/>
          </w:tcPr>
          <w:p w14:paraId="072EE1A0" w14:textId="77777777" w:rsidR="008668B8" w:rsidRPr="00066040" w:rsidRDefault="008668B8">
            <w:pPr>
              <w:pBdr>
                <w:top w:val="nil"/>
                <w:left w:val="nil"/>
                <w:bottom w:val="nil"/>
                <w:right w:val="nil"/>
                <w:between w:val="nil"/>
                <w:bar w:val="nil"/>
              </w:pBdr>
              <w:jc w:val="center"/>
              <w:rPr>
                <w:rFonts w:ascii="Cambria" w:eastAsia="Calibri" w:hAnsi="Cambria" w:cs="Calibri"/>
                <w:b w:val="0"/>
                <w:color w:val="000000"/>
                <w:sz w:val="20"/>
                <w:szCs w:val="20"/>
                <w:u w:color="000000"/>
                <w:bdr w:val="nil"/>
                <w14:textOutline w14:w="0" w14:cap="flat" w14:cmpd="sng" w14:algn="ctr">
                  <w14:noFill/>
                  <w14:prstDash w14:val="solid"/>
                  <w14:bevel/>
                </w14:textOutline>
              </w:rPr>
            </w:pPr>
            <w:r>
              <w:rPr>
                <w:rFonts w:ascii="Cambria" w:eastAsia="Calibri" w:hAnsi="Cambria" w:cs="Calibri"/>
                <w:sz w:val="20"/>
                <w:szCs w:val="20"/>
                <w:u w:color="000000"/>
                <w:bdr w:val="nil"/>
                <w14:textOutline w14:w="0" w14:cap="flat" w14:cmpd="sng" w14:algn="ctr">
                  <w14:noFill/>
                  <w14:prstDash w14:val="solid"/>
                  <w14:bevel/>
                </w14:textOutline>
              </w:rPr>
              <w:t>Public Hearings</w:t>
            </w:r>
          </w:p>
        </w:tc>
      </w:tr>
      <w:tr w:rsidR="008668B8" w:rsidRPr="00066040" w14:paraId="542E82FB" w14:textId="77777777" w:rsidTr="00354240">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9D0D372" w14:textId="77777777" w:rsidR="008668B8" w:rsidRPr="00066040" w:rsidRDefault="008668B8">
            <w:pPr>
              <w:pBdr>
                <w:top w:val="nil"/>
                <w:left w:val="nil"/>
                <w:bottom w:val="nil"/>
                <w:right w:val="nil"/>
                <w:between w:val="nil"/>
                <w:bar w:val="nil"/>
              </w:pBdr>
              <w:jc w:val="center"/>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No</w:t>
            </w:r>
            <w:r>
              <w:rPr>
                <w:rFonts w:ascii="Cambria" w:eastAsia="Calibri" w:hAnsi="Cambria" w:cs="Calibri"/>
                <w:color w:val="000000"/>
                <w:sz w:val="20"/>
                <w:szCs w:val="20"/>
                <w:u w:color="000000"/>
                <w:bdr w:val="nil"/>
                <w14:textOutline w14:w="0" w14:cap="flat" w14:cmpd="sng" w14:algn="ctr">
                  <w14:noFill/>
                  <w14:prstDash w14:val="solid"/>
                  <w14:bevel/>
                </w14:textOutline>
              </w:rPr>
              <w:t>.</w:t>
            </w:r>
          </w:p>
        </w:tc>
        <w:tc>
          <w:tcPr>
            <w:tcW w:w="2772" w:type="dxa"/>
            <w:vAlign w:val="center"/>
          </w:tcPr>
          <w:p w14:paraId="2B4C78BC"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Pr>
                <w:rFonts w:ascii="Cambria" w:eastAsia="Calibri" w:hAnsi="Cambria" w:cs="Calibri"/>
                <w:b/>
                <w:color w:val="000000"/>
                <w:sz w:val="20"/>
                <w:szCs w:val="20"/>
                <w:u w:color="000000"/>
                <w:bdr w:val="nil"/>
                <w14:textOutline w14:w="0" w14:cap="flat" w14:cmpd="sng" w14:algn="ctr">
                  <w14:noFill/>
                  <w14:prstDash w14:val="solid"/>
                  <w14:bevel/>
                </w14:textOutline>
              </w:rPr>
              <w:t>P</w:t>
            </w: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M</w:t>
            </w:r>
          </w:p>
        </w:tc>
        <w:tc>
          <w:tcPr>
            <w:tcW w:w="3978" w:type="dxa"/>
            <w:vAlign w:val="center"/>
          </w:tcPr>
          <w:p w14:paraId="2FC0803E"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Beneficiari</w:t>
            </w:r>
            <w:r>
              <w:rPr>
                <w:rFonts w:ascii="Cambria" w:eastAsia="Calibri" w:hAnsi="Cambria" w:cs="Calibri"/>
                <w:b/>
                <w:color w:val="000000"/>
                <w:sz w:val="20"/>
                <w:szCs w:val="20"/>
                <w:u w:color="000000"/>
                <w:bdr w:val="nil"/>
                <w14:textOutline w14:w="0" w14:cap="flat" w14:cmpd="sng" w14:algn="ctr">
                  <w14:noFill/>
                  <w14:prstDash w14:val="solid"/>
                  <w14:bevel/>
                </w14:textOutline>
              </w:rPr>
              <w:t>e</w:t>
            </w: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s</w:t>
            </w:r>
          </w:p>
        </w:tc>
        <w:tc>
          <w:tcPr>
            <w:tcW w:w="1980" w:type="dxa"/>
            <w:vAlign w:val="center"/>
          </w:tcPr>
          <w:p w14:paraId="070489FE"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Pr>
                <w:rFonts w:ascii="Cambria" w:eastAsia="Calibri" w:hAnsi="Cambria" w:cs="Calibri"/>
                <w:b/>
                <w:color w:val="000000"/>
                <w:sz w:val="20"/>
                <w:szCs w:val="20"/>
                <w:u w:color="000000"/>
                <w:bdr w:val="nil"/>
                <w14:textOutline w14:w="0" w14:cap="flat" w14:cmpd="sng" w14:algn="ctr">
                  <w14:noFill/>
                  <w14:prstDash w14:val="solid"/>
                  <w14:bevel/>
                </w14:textOutline>
              </w:rPr>
              <w:t>State</w:t>
            </w:r>
          </w:p>
        </w:tc>
      </w:tr>
      <w:tr w:rsidR="008668B8" w:rsidRPr="00066040" w14:paraId="39FC971A" w14:textId="77777777" w:rsidTr="00354240">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625" w:type="dxa"/>
          </w:tcPr>
          <w:p w14:paraId="1763A962"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w:t>
            </w:r>
          </w:p>
        </w:tc>
        <w:tc>
          <w:tcPr>
            <w:tcW w:w="2772" w:type="dxa"/>
          </w:tcPr>
          <w:p w14:paraId="6565D20A"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bdr w:val="nil"/>
                <w14:textOutline w14:w="0" w14:cap="flat" w14:cmpd="sng" w14:algn="ctr">
                  <w14:noFill/>
                  <w14:prstDash w14:val="solid"/>
                  <w14:bevel/>
                </w14:textOutline>
              </w:rPr>
            </w:pPr>
            <w:r w:rsidRPr="00066040">
              <w:rPr>
                <w:rFonts w:ascii="Cambria" w:eastAsia="Calibri" w:hAnsi="Cambria" w:cs="Calibri"/>
                <w:color w:val="000000"/>
                <w:sz w:val="20"/>
                <w:szCs w:val="20"/>
                <w:bdr w:val="nil"/>
                <w14:textOutline w14:w="0" w14:cap="flat" w14:cmpd="sng" w14:algn="ctr">
                  <w14:noFill/>
                  <w14:prstDash w14:val="solid"/>
                  <w14:bevel/>
                </w14:textOutline>
              </w:rPr>
              <w:t>37-14, 57-14, 74-22, 82-18, 84-13, 101-12, 160-11, 304-15, 334-18, 463-11, 471-11, 490-12, 551-21, 1080-20, 1170-21</w:t>
            </w:r>
          </w:p>
          <w:p w14:paraId="0E37C7BE"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p>
        </w:tc>
        <w:tc>
          <w:tcPr>
            <w:tcW w:w="3978" w:type="dxa"/>
          </w:tcPr>
          <w:p w14:paraId="0CF66C0A"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bdr w:val="nil"/>
                <w14:textOutline w14:w="0" w14:cap="flat" w14:cmpd="sng" w14:algn="ctr">
                  <w14:noFill/>
                  <w14:prstDash w14:val="solid"/>
                  <w14:bevel/>
                </w14:textOutline>
              </w:rPr>
            </w:pPr>
            <w:r w:rsidRPr="00066040">
              <w:rPr>
                <w:rFonts w:ascii="Cambria" w:hAnsi="Cambria"/>
                <w:sz w:val="20"/>
                <w:szCs w:val="20"/>
              </w:rPr>
              <w:t xml:space="preserve">15 </w:t>
            </w:r>
            <w:r>
              <w:rPr>
                <w:rFonts w:ascii="Cambria" w:hAnsi="Cambria"/>
                <w:sz w:val="20"/>
                <w:szCs w:val="20"/>
              </w:rPr>
              <w:t>precautionary measures on the death penalty and death row in the United States</w:t>
            </w:r>
          </w:p>
        </w:tc>
        <w:tc>
          <w:tcPr>
            <w:tcW w:w="1980" w:type="dxa"/>
          </w:tcPr>
          <w:p w14:paraId="649B6EF5"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United States</w:t>
            </w:r>
          </w:p>
        </w:tc>
      </w:tr>
      <w:tr w:rsidR="008668B8" w:rsidRPr="00066040" w14:paraId="5CAA21AB" w14:textId="77777777" w:rsidTr="00354240">
        <w:trPr>
          <w:trHeight w:val="433"/>
        </w:trPr>
        <w:tc>
          <w:tcPr>
            <w:cnfStyle w:val="001000000000" w:firstRow="0" w:lastRow="0" w:firstColumn="1" w:lastColumn="0" w:oddVBand="0" w:evenVBand="0" w:oddHBand="0" w:evenHBand="0" w:firstRowFirstColumn="0" w:firstRowLastColumn="0" w:lastRowFirstColumn="0" w:lastRowLastColumn="0"/>
            <w:tcW w:w="625" w:type="dxa"/>
          </w:tcPr>
          <w:p w14:paraId="2A3DA214" w14:textId="77777777" w:rsidR="008668B8" w:rsidRPr="00066040" w:rsidRDefault="008668B8">
            <w:pPr>
              <w:pBdr>
                <w:top w:val="nil"/>
                <w:left w:val="nil"/>
                <w:bottom w:val="nil"/>
                <w:right w:val="nil"/>
                <w:between w:val="nil"/>
                <w:bar w:val="nil"/>
              </w:pBdr>
              <w:jc w:val="both"/>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w:t>
            </w:r>
          </w:p>
        </w:tc>
        <w:tc>
          <w:tcPr>
            <w:tcW w:w="2772" w:type="dxa"/>
          </w:tcPr>
          <w:p w14:paraId="197FA6BF"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84-19, 96-21, 205-21, 444-20, 489-20, 610-21, 823-18, 949-21, 1169-21</w:t>
            </w:r>
          </w:p>
        </w:tc>
        <w:tc>
          <w:tcPr>
            <w:tcW w:w="3978" w:type="dxa"/>
          </w:tcPr>
          <w:p w14:paraId="512C99D2"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bdr w:val="nil"/>
                <w14:textOutline w14:w="0" w14:cap="flat" w14:cmpd="sng" w14:algn="ctr">
                  <w14:noFill/>
                  <w14:prstDash w14:val="solid"/>
                  <w14:bevel/>
                </w14:textOutline>
              </w:rPr>
            </w:pPr>
            <w:r w:rsidRPr="00066040">
              <w:rPr>
                <w:rFonts w:ascii="Cambria" w:hAnsi="Cambria"/>
                <w:sz w:val="20"/>
                <w:szCs w:val="20"/>
              </w:rPr>
              <w:t xml:space="preserve">10 </w:t>
            </w:r>
            <w:r>
              <w:rPr>
                <w:rFonts w:ascii="Cambria" w:hAnsi="Cambria"/>
                <w:sz w:val="20"/>
                <w:szCs w:val="20"/>
              </w:rPr>
              <w:t xml:space="preserve">precautionary measures on persons deprived of liberty in </w:t>
            </w:r>
            <w:r w:rsidRPr="00066040">
              <w:rPr>
                <w:rFonts w:ascii="Cambria" w:hAnsi="Cambria"/>
                <w:sz w:val="20"/>
                <w:szCs w:val="20"/>
              </w:rPr>
              <w:t>Nicaragua</w:t>
            </w:r>
          </w:p>
        </w:tc>
        <w:tc>
          <w:tcPr>
            <w:tcW w:w="1980" w:type="dxa"/>
          </w:tcPr>
          <w:p w14:paraId="3715DC1D"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Nicaragua</w:t>
            </w:r>
          </w:p>
        </w:tc>
      </w:tr>
      <w:bookmarkEnd w:id="55"/>
    </w:tbl>
    <w:p w14:paraId="05DA94DC" w14:textId="77777777" w:rsidR="008668B8" w:rsidRDefault="008668B8" w:rsidP="008668B8"/>
    <w:p w14:paraId="2D8D7971" w14:textId="77777777" w:rsidR="008668B8" w:rsidRPr="00066040" w:rsidRDefault="008668B8" w:rsidP="008668B8">
      <w:pPr>
        <w:jc w:val="both"/>
        <w:rPr>
          <w:rFonts w:ascii="Cambria" w:eastAsia="Calibri" w:hAnsi="Cambria" w:cs="Calibri"/>
          <w:color w:val="333333"/>
          <w:sz w:val="20"/>
          <w:szCs w:val="20"/>
        </w:rPr>
      </w:pPr>
    </w:p>
    <w:tbl>
      <w:tblPr>
        <w:tblStyle w:val="GridTable4-Accent51"/>
        <w:tblW w:w="9355" w:type="dxa"/>
        <w:tblLayout w:type="fixed"/>
        <w:tblLook w:val="04A0" w:firstRow="1" w:lastRow="0" w:firstColumn="1" w:lastColumn="0" w:noHBand="0" w:noVBand="1"/>
      </w:tblPr>
      <w:tblGrid>
        <w:gridCol w:w="625"/>
        <w:gridCol w:w="2772"/>
        <w:gridCol w:w="3978"/>
        <w:gridCol w:w="1980"/>
      </w:tblGrid>
      <w:tr w:rsidR="008668B8" w:rsidRPr="00066040" w14:paraId="5914BF4F" w14:textId="77777777" w:rsidTr="00354240">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355" w:type="dxa"/>
            <w:gridSpan w:val="4"/>
          </w:tcPr>
          <w:p w14:paraId="27789C66" w14:textId="77777777" w:rsidR="008668B8" w:rsidRPr="00066040" w:rsidRDefault="008668B8">
            <w:pPr>
              <w:pBdr>
                <w:top w:val="nil"/>
                <w:left w:val="nil"/>
                <w:bottom w:val="nil"/>
                <w:right w:val="nil"/>
                <w:between w:val="nil"/>
                <w:bar w:val="nil"/>
              </w:pBdr>
              <w:jc w:val="center"/>
              <w:rPr>
                <w:rFonts w:ascii="Cambria" w:eastAsia="Calibri" w:hAnsi="Cambria" w:cs="Calibri"/>
                <w:bCs w:val="0"/>
                <w:color w:val="000000"/>
                <w:u w:color="000000"/>
                <w:bdr w:val="nil"/>
                <w14:textOutline w14:w="0" w14:cap="flat" w14:cmpd="sng" w14:algn="ctr">
                  <w14:noFill/>
                  <w14:prstDash w14:val="solid"/>
                  <w14:bevel/>
                </w14:textOutline>
              </w:rPr>
            </w:pPr>
            <w:r w:rsidRPr="00066040">
              <w:rPr>
                <w:rFonts w:ascii="Cambria" w:eastAsia="Calibri" w:hAnsi="Cambria" w:cs="Calibri"/>
                <w:bCs w:val="0"/>
                <w:sz w:val="20"/>
                <w:szCs w:val="20"/>
                <w:u w:color="000000"/>
                <w:bdr w:val="nil"/>
                <w14:textOutline w14:w="0" w14:cap="flat" w14:cmpd="sng" w14:algn="ctr">
                  <w14:noFill/>
                  <w14:prstDash w14:val="solid"/>
                  <w14:bevel/>
                </w14:textOutline>
              </w:rPr>
              <w:t>185</w:t>
            </w:r>
            <w:r w:rsidRPr="0010620B">
              <w:rPr>
                <w:rFonts w:ascii="Cambria" w:eastAsia="Calibri" w:hAnsi="Cambria" w:cs="Calibri"/>
                <w:bCs w:val="0"/>
                <w:sz w:val="20"/>
                <w:szCs w:val="20"/>
                <w:u w:color="000000"/>
                <w:bdr w:val="nil"/>
                <w:vertAlign w:val="superscript"/>
                <w14:textOutline w14:w="0" w14:cap="flat" w14:cmpd="sng" w14:algn="ctr">
                  <w14:noFill/>
                  <w14:prstDash w14:val="solid"/>
                  <w14:bevel/>
                </w14:textOutline>
              </w:rPr>
              <w:t>th</w:t>
            </w:r>
            <w:r>
              <w:rPr>
                <w:rFonts w:ascii="Cambria" w:eastAsia="Calibri" w:hAnsi="Cambria" w:cs="Calibri"/>
                <w:bCs w:val="0"/>
                <w:sz w:val="20"/>
                <w:szCs w:val="20"/>
                <w:u w:color="000000"/>
                <w:bdr w:val="nil"/>
                <w14:textOutline w14:w="0" w14:cap="flat" w14:cmpd="sng" w14:algn="ctr">
                  <w14:noFill/>
                  <w14:prstDash w14:val="solid"/>
                  <w14:bevel/>
                </w14:textOutline>
              </w:rPr>
              <w:t xml:space="preserve"> Period of Sessions</w:t>
            </w:r>
          </w:p>
        </w:tc>
      </w:tr>
      <w:tr w:rsidR="008668B8" w:rsidRPr="00066040" w14:paraId="608F066A" w14:textId="77777777" w:rsidTr="003542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55" w:type="dxa"/>
            <w:gridSpan w:val="4"/>
          </w:tcPr>
          <w:p w14:paraId="0BFC13C4" w14:textId="77777777" w:rsidR="008668B8" w:rsidRPr="00066040" w:rsidRDefault="008668B8">
            <w:pPr>
              <w:pBdr>
                <w:top w:val="nil"/>
                <w:left w:val="nil"/>
                <w:bottom w:val="nil"/>
                <w:right w:val="nil"/>
                <w:between w:val="nil"/>
                <w:bar w:val="nil"/>
              </w:pBdr>
              <w:jc w:val="center"/>
              <w:rPr>
                <w:rFonts w:ascii="Cambria" w:eastAsia="Calibri" w:hAnsi="Cambria" w:cs="Calibri"/>
                <w:b w:val="0"/>
                <w:color w:val="000000"/>
                <w:sz w:val="20"/>
                <w:szCs w:val="20"/>
                <w:u w:color="000000"/>
                <w:bdr w:val="nil"/>
                <w14:textOutline w14:w="0" w14:cap="flat" w14:cmpd="sng" w14:algn="ctr">
                  <w14:noFill/>
                  <w14:prstDash w14:val="solid"/>
                  <w14:bevel/>
                </w14:textOutline>
              </w:rPr>
            </w:pPr>
            <w:r>
              <w:rPr>
                <w:rFonts w:ascii="Cambria" w:eastAsia="Calibri" w:hAnsi="Cambria" w:cs="Calibri"/>
                <w:sz w:val="20"/>
                <w:szCs w:val="20"/>
                <w:u w:color="000000"/>
                <w:bdr w:val="nil"/>
                <w14:textOutline w14:w="0" w14:cap="flat" w14:cmpd="sng" w14:algn="ctr">
                  <w14:noFill/>
                  <w14:prstDash w14:val="solid"/>
                  <w14:bevel/>
                </w14:textOutline>
              </w:rPr>
              <w:t>Public Hearings</w:t>
            </w:r>
          </w:p>
        </w:tc>
      </w:tr>
      <w:tr w:rsidR="008668B8" w:rsidRPr="00066040" w14:paraId="37415130" w14:textId="77777777" w:rsidTr="00354240">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9F603E5" w14:textId="77777777" w:rsidR="008668B8" w:rsidRPr="00066040" w:rsidRDefault="008668B8">
            <w:pPr>
              <w:pBdr>
                <w:top w:val="nil"/>
                <w:left w:val="nil"/>
                <w:bottom w:val="nil"/>
                <w:right w:val="nil"/>
                <w:between w:val="nil"/>
                <w:bar w:val="nil"/>
              </w:pBdr>
              <w:jc w:val="center"/>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No</w:t>
            </w:r>
            <w:r>
              <w:rPr>
                <w:rFonts w:ascii="Cambria" w:eastAsia="Calibri" w:hAnsi="Cambria" w:cs="Calibri"/>
                <w:color w:val="000000"/>
                <w:sz w:val="20"/>
                <w:szCs w:val="20"/>
                <w:u w:color="000000"/>
                <w:bdr w:val="nil"/>
                <w14:textOutline w14:w="0" w14:cap="flat" w14:cmpd="sng" w14:algn="ctr">
                  <w14:noFill/>
                  <w14:prstDash w14:val="solid"/>
                  <w14:bevel/>
                </w14:textOutline>
              </w:rPr>
              <w:t>.</w:t>
            </w:r>
          </w:p>
        </w:tc>
        <w:tc>
          <w:tcPr>
            <w:tcW w:w="2772" w:type="dxa"/>
            <w:vAlign w:val="center"/>
          </w:tcPr>
          <w:p w14:paraId="1E005DE8"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Pr>
                <w:rFonts w:ascii="Cambria" w:eastAsia="Calibri" w:hAnsi="Cambria" w:cs="Calibri"/>
                <w:b/>
                <w:color w:val="000000"/>
                <w:sz w:val="20"/>
                <w:szCs w:val="20"/>
                <w:u w:color="000000"/>
                <w:bdr w:val="nil"/>
                <w14:textOutline w14:w="0" w14:cap="flat" w14:cmpd="sng" w14:algn="ctr">
                  <w14:noFill/>
                  <w14:prstDash w14:val="solid"/>
                  <w14:bevel/>
                </w14:textOutline>
              </w:rPr>
              <w:t>P</w:t>
            </w: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M</w:t>
            </w:r>
          </w:p>
        </w:tc>
        <w:tc>
          <w:tcPr>
            <w:tcW w:w="3978" w:type="dxa"/>
            <w:vAlign w:val="center"/>
          </w:tcPr>
          <w:p w14:paraId="0F1F4E79"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Beneficiari</w:t>
            </w:r>
            <w:r>
              <w:rPr>
                <w:rFonts w:ascii="Cambria" w:eastAsia="Calibri" w:hAnsi="Cambria" w:cs="Calibri"/>
                <w:b/>
                <w:color w:val="000000"/>
                <w:sz w:val="20"/>
                <w:szCs w:val="20"/>
                <w:u w:color="000000"/>
                <w:bdr w:val="nil"/>
                <w14:textOutline w14:w="0" w14:cap="flat" w14:cmpd="sng" w14:algn="ctr">
                  <w14:noFill/>
                  <w14:prstDash w14:val="solid"/>
                  <w14:bevel/>
                </w14:textOutline>
              </w:rPr>
              <w:t>e</w:t>
            </w:r>
            <w:r w:rsidRPr="00066040">
              <w:rPr>
                <w:rFonts w:ascii="Cambria" w:eastAsia="Calibri" w:hAnsi="Cambria" w:cs="Calibri"/>
                <w:b/>
                <w:color w:val="000000"/>
                <w:sz w:val="20"/>
                <w:szCs w:val="20"/>
                <w:u w:color="000000"/>
                <w:bdr w:val="nil"/>
                <w14:textOutline w14:w="0" w14:cap="flat" w14:cmpd="sng" w14:algn="ctr">
                  <w14:noFill/>
                  <w14:prstDash w14:val="solid"/>
                  <w14:bevel/>
                </w14:textOutline>
              </w:rPr>
              <w:t>s</w:t>
            </w:r>
          </w:p>
        </w:tc>
        <w:tc>
          <w:tcPr>
            <w:tcW w:w="1980" w:type="dxa"/>
            <w:vAlign w:val="center"/>
          </w:tcPr>
          <w:p w14:paraId="3F122C7B"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color w:val="000000"/>
                <w:sz w:val="20"/>
                <w:szCs w:val="20"/>
                <w:u w:color="000000"/>
                <w:bdr w:val="nil"/>
                <w14:textOutline w14:w="0" w14:cap="flat" w14:cmpd="sng" w14:algn="ctr">
                  <w14:noFill/>
                  <w14:prstDash w14:val="solid"/>
                  <w14:bevel/>
                </w14:textOutline>
              </w:rPr>
            </w:pPr>
            <w:r>
              <w:rPr>
                <w:rFonts w:ascii="Cambria" w:eastAsia="Calibri" w:hAnsi="Cambria" w:cs="Calibri"/>
                <w:b/>
                <w:color w:val="000000"/>
                <w:sz w:val="20"/>
                <w:szCs w:val="20"/>
                <w:u w:color="000000"/>
                <w:bdr w:val="nil"/>
                <w14:textOutline w14:w="0" w14:cap="flat" w14:cmpd="sng" w14:algn="ctr">
                  <w14:noFill/>
                  <w14:prstDash w14:val="solid"/>
                  <w14:bevel/>
                </w14:textOutline>
              </w:rPr>
              <w:t>State</w:t>
            </w:r>
          </w:p>
        </w:tc>
      </w:tr>
      <w:tr w:rsidR="008668B8" w:rsidRPr="00066040" w14:paraId="57B3D81E" w14:textId="77777777" w:rsidTr="0035424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FD4647E" w14:textId="77777777" w:rsidR="008668B8" w:rsidRPr="00066040" w:rsidRDefault="008668B8">
            <w:pPr>
              <w:pBdr>
                <w:top w:val="nil"/>
                <w:left w:val="nil"/>
                <w:bottom w:val="nil"/>
                <w:right w:val="nil"/>
                <w:between w:val="nil"/>
                <w:bar w:val="nil"/>
              </w:pBdr>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3</w:t>
            </w:r>
          </w:p>
        </w:tc>
        <w:tc>
          <w:tcPr>
            <w:tcW w:w="2772" w:type="dxa"/>
            <w:vAlign w:val="center"/>
          </w:tcPr>
          <w:p w14:paraId="72202F9B"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bdr w:val="nil"/>
                <w14:textOutline w14:w="0" w14:cap="flat" w14:cmpd="sng" w14:algn="ctr">
                  <w14:noFill/>
                  <w14:prstDash w14:val="solid"/>
                  <w14:bevel/>
                </w14:textOutline>
              </w:rPr>
            </w:pPr>
            <w:r>
              <w:rPr>
                <w:rFonts w:ascii="Cambria" w:eastAsia="Calibri" w:hAnsi="Cambria" w:cs="Calibri"/>
                <w:color w:val="000000"/>
                <w:sz w:val="20"/>
                <w:szCs w:val="20"/>
                <w:bdr w:val="nil"/>
                <w14:textOutline w14:w="0" w14:cap="flat" w14:cmpd="sng" w14:algn="ctr">
                  <w14:noFill/>
                  <w14:prstDash w14:val="solid"/>
                  <w14:bevel/>
                </w14:textOutline>
              </w:rPr>
              <w:t>Topics</w:t>
            </w:r>
          </w:p>
        </w:tc>
        <w:tc>
          <w:tcPr>
            <w:tcW w:w="3978" w:type="dxa"/>
            <w:vAlign w:val="center"/>
          </w:tcPr>
          <w:p w14:paraId="57CF347C"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bdr w:val="nil"/>
                <w14:textOutline w14:w="0" w14:cap="flat" w14:cmpd="sng" w14:algn="ctr">
                  <w14:noFill/>
                  <w14:prstDash w14:val="solid"/>
                  <w14:bevel/>
                </w14:textOutline>
              </w:rPr>
            </w:pPr>
            <w:r w:rsidRPr="00066040">
              <w:rPr>
                <w:rFonts w:ascii="Cambria" w:eastAsia="Calibri" w:hAnsi="Cambria" w:cs="Calibri"/>
                <w:color w:val="000000"/>
                <w:sz w:val="20"/>
                <w:szCs w:val="20"/>
                <w:bdr w:val="nil"/>
                <w14:textOutline w14:w="0" w14:cap="flat" w14:cmpd="sng" w14:algn="ctr">
                  <w14:noFill/>
                  <w14:prstDash w14:val="solid"/>
                  <w14:bevel/>
                </w14:textOutline>
              </w:rPr>
              <w:t>Implementa</w:t>
            </w:r>
            <w:r>
              <w:rPr>
                <w:rFonts w:ascii="Cambria" w:eastAsia="Calibri" w:hAnsi="Cambria" w:cs="Calibri"/>
                <w:color w:val="000000"/>
                <w:sz w:val="20"/>
                <w:szCs w:val="20"/>
                <w:bdr w:val="nil"/>
                <w14:textOutline w14:w="0" w14:cap="flat" w14:cmpd="sng" w14:algn="ctr">
                  <w14:noFill/>
                  <w14:prstDash w14:val="solid"/>
                  <w14:bevel/>
                </w14:textOutline>
              </w:rPr>
              <w:t xml:space="preserve">tion of precautionary measures for defenders in </w:t>
            </w:r>
            <w:r w:rsidRPr="00066040">
              <w:rPr>
                <w:rFonts w:ascii="Cambria" w:eastAsia="Calibri" w:hAnsi="Cambria" w:cs="Calibri"/>
                <w:color w:val="000000"/>
                <w:sz w:val="20"/>
                <w:szCs w:val="20"/>
                <w:bdr w:val="nil"/>
                <w14:textOutline w14:w="0" w14:cap="flat" w14:cmpd="sng" w14:algn="ctr">
                  <w14:noFill/>
                  <w14:prstDash w14:val="solid"/>
                  <w14:bevel/>
                </w14:textOutline>
              </w:rPr>
              <w:t>Colombia</w:t>
            </w:r>
            <w:r w:rsidRPr="00066040">
              <w:rPr>
                <w:rFonts w:ascii="Cambria" w:eastAsia="Calibri" w:hAnsi="Cambria" w:cs="Calibri"/>
                <w:color w:val="000000" w:themeColor="text1"/>
                <w:sz w:val="20"/>
                <w:szCs w:val="20"/>
              </w:rPr>
              <w:t xml:space="preserve"> (</w:t>
            </w:r>
            <w:r>
              <w:rPr>
                <w:rFonts w:ascii="Cambria" w:eastAsia="Calibri" w:hAnsi="Cambria" w:cs="Calibri"/>
                <w:color w:val="000000" w:themeColor="text1"/>
                <w:sz w:val="20"/>
                <w:szCs w:val="20"/>
              </w:rPr>
              <w:t xml:space="preserve">amounting to </w:t>
            </w:r>
            <w:r w:rsidRPr="00066040">
              <w:rPr>
                <w:rFonts w:ascii="Cambria" w:eastAsia="Calibri" w:hAnsi="Cambria" w:cs="Calibri"/>
                <w:color w:val="000000" w:themeColor="text1"/>
                <w:sz w:val="20"/>
                <w:szCs w:val="20"/>
              </w:rPr>
              <w:t xml:space="preserve">69 </w:t>
            </w:r>
            <w:r>
              <w:rPr>
                <w:rFonts w:ascii="Cambria" w:eastAsia="Calibri" w:hAnsi="Cambria" w:cs="Calibri"/>
                <w:color w:val="000000" w:themeColor="text1"/>
                <w:sz w:val="20"/>
                <w:szCs w:val="20"/>
              </w:rPr>
              <w:t>P</w:t>
            </w:r>
            <w:r w:rsidRPr="00066040">
              <w:rPr>
                <w:rFonts w:ascii="Cambria" w:eastAsia="Calibri" w:hAnsi="Cambria" w:cs="Calibri"/>
                <w:color w:val="000000" w:themeColor="text1"/>
                <w:sz w:val="20"/>
                <w:szCs w:val="20"/>
              </w:rPr>
              <w:t>Ms)</w:t>
            </w:r>
          </w:p>
        </w:tc>
        <w:tc>
          <w:tcPr>
            <w:tcW w:w="1980" w:type="dxa"/>
            <w:vAlign w:val="center"/>
          </w:tcPr>
          <w:p w14:paraId="431D5788" w14:textId="77777777" w:rsidR="008668B8" w:rsidRPr="00066040" w:rsidRDefault="008668B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Cs/>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bCs/>
                <w:color w:val="000000"/>
                <w:sz w:val="20"/>
                <w:szCs w:val="20"/>
                <w:u w:color="000000"/>
                <w:bdr w:val="nil"/>
                <w14:textOutline w14:w="0" w14:cap="flat" w14:cmpd="sng" w14:algn="ctr">
                  <w14:noFill/>
                  <w14:prstDash w14:val="solid"/>
                  <w14:bevel/>
                </w14:textOutline>
              </w:rPr>
              <w:t>Colombia</w:t>
            </w:r>
          </w:p>
        </w:tc>
      </w:tr>
      <w:tr w:rsidR="008668B8" w:rsidRPr="00066040" w14:paraId="4FFE19FD" w14:textId="77777777" w:rsidTr="00354240">
        <w:trPr>
          <w:trHeight w:val="391"/>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976DD54" w14:textId="77777777" w:rsidR="008668B8" w:rsidRPr="00066040" w:rsidRDefault="008668B8">
            <w:pPr>
              <w:pBdr>
                <w:top w:val="nil"/>
                <w:left w:val="nil"/>
                <w:bottom w:val="nil"/>
                <w:right w:val="nil"/>
                <w:between w:val="nil"/>
                <w:bar w:val="nil"/>
              </w:pBdr>
              <w:rPr>
                <w:rFonts w:ascii="Cambria" w:eastAsia="Calibri" w:hAnsi="Cambria" w:cs="Calibri"/>
                <w:b w:val="0"/>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4</w:t>
            </w:r>
          </w:p>
        </w:tc>
        <w:tc>
          <w:tcPr>
            <w:tcW w:w="2772" w:type="dxa"/>
          </w:tcPr>
          <w:p w14:paraId="50159E9B"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259-02; 211-08; 422-14; 46-15; 184-17.</w:t>
            </w:r>
          </w:p>
        </w:tc>
        <w:tc>
          <w:tcPr>
            <w:tcW w:w="3978" w:type="dxa"/>
          </w:tcPr>
          <w:p w14:paraId="687277E6"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 xml:space="preserve">Detainees in </w:t>
            </w:r>
            <w:r w:rsidRPr="00066040">
              <w:rPr>
                <w:rFonts w:ascii="Cambria" w:hAnsi="Cambria"/>
                <w:sz w:val="20"/>
                <w:szCs w:val="20"/>
              </w:rPr>
              <w:t xml:space="preserve">Guantánamo Bay </w:t>
            </w:r>
            <w:r>
              <w:rPr>
                <w:rFonts w:ascii="Cambria" w:hAnsi="Cambria"/>
                <w:sz w:val="20"/>
                <w:szCs w:val="20"/>
              </w:rPr>
              <w:t>with respect to the United States</w:t>
            </w:r>
            <w:r w:rsidRPr="00066040">
              <w:rPr>
                <w:rFonts w:ascii="Cambria" w:hAnsi="Cambria"/>
                <w:sz w:val="20"/>
                <w:szCs w:val="20"/>
              </w:rPr>
              <w:t xml:space="preserve"> </w:t>
            </w:r>
          </w:p>
        </w:tc>
        <w:tc>
          <w:tcPr>
            <w:tcW w:w="1980" w:type="dxa"/>
          </w:tcPr>
          <w:p w14:paraId="0A6E995C" w14:textId="77777777" w:rsidR="008668B8" w:rsidRPr="00066040" w:rsidRDefault="008668B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United States</w:t>
            </w:r>
          </w:p>
        </w:tc>
      </w:tr>
    </w:tbl>
    <w:p w14:paraId="15D614A7" w14:textId="77777777" w:rsidR="008668B8" w:rsidRPr="00066040" w:rsidRDefault="008668B8" w:rsidP="00354240">
      <w:pPr>
        <w:pBdr>
          <w:top w:val="nil"/>
          <w:left w:val="nil"/>
          <w:bottom w:val="nil"/>
          <w:right w:val="nil"/>
          <w:between w:val="nil"/>
          <w:bar w:val="nil"/>
        </w:pBdr>
        <w:jc w:val="both"/>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p>
    <w:p w14:paraId="50E31AFE" w14:textId="77777777" w:rsidR="008668B8" w:rsidRPr="00354240" w:rsidRDefault="008668B8" w:rsidP="00933F91">
      <w:pPr>
        <w:pStyle w:val="BodyText"/>
        <w:widowControl/>
        <w:numPr>
          <w:ilvl w:val="0"/>
          <w:numId w:val="58"/>
        </w:numPr>
        <w:ind w:left="0" w:firstLine="720"/>
        <w:jc w:val="both"/>
        <w:rPr>
          <w:rFonts w:eastAsia="Calibri" w:cs="Calibri"/>
        </w:rPr>
      </w:pPr>
      <w:r w:rsidRPr="00354240">
        <w:rPr>
          <w:rFonts w:eastAsia="Calibri" w:cs="Calibri"/>
        </w:rPr>
        <w:t>The IACHR also made itself available for discussions in the context of the Technical Working Group in Colombia, which included an in-person visit to the country in April 2022. On that occasion, the IACHR delegation was led by Commissioner Joel Hernandez, Rapporteur for Colombia, accompanied by the Executive Secretariat’s technical team. The Technical Working Group with the State of Colombia made it possible to define the procedural status of matters in the country’s portfolio of precautionary measures; to learn about the challenges that the State faces when implementing precautionary measures in favor of beneficiaries; and have an explanation regarding Colombia’s institutional structure for the protection of persons at risk. Finally, the IACHR held in Bogota its first six in-person meetings since 2020 with respect to eight precautionary measures, which were selected based on information revealing the existence of high risk.</w:t>
      </w:r>
    </w:p>
    <w:p w14:paraId="338F5153" w14:textId="77777777" w:rsidR="008668B8" w:rsidRPr="00354240" w:rsidRDefault="008668B8" w:rsidP="00354240">
      <w:pPr>
        <w:pBdr>
          <w:top w:val="nil"/>
          <w:left w:val="nil"/>
          <w:bottom w:val="nil"/>
          <w:right w:val="nil"/>
          <w:between w:val="nil"/>
          <w:bar w:val="nil"/>
        </w:pBdr>
        <w:ind w:left="720"/>
        <w:jc w:val="both"/>
        <w:rPr>
          <w:rFonts w:ascii="Cambria" w:eastAsia="Calibri" w:hAnsi="Cambria" w:cs="Calibri"/>
          <w:sz w:val="20"/>
          <w:szCs w:val="20"/>
        </w:rPr>
      </w:pPr>
    </w:p>
    <w:p w14:paraId="1C2FA8D5" w14:textId="77777777" w:rsidR="008668B8" w:rsidRPr="00354240" w:rsidRDefault="008668B8" w:rsidP="00933F91">
      <w:pPr>
        <w:pStyle w:val="BodyText"/>
        <w:widowControl/>
        <w:numPr>
          <w:ilvl w:val="0"/>
          <w:numId w:val="58"/>
        </w:numPr>
        <w:ind w:left="0" w:firstLine="720"/>
        <w:jc w:val="both"/>
        <w:rPr>
          <w:rFonts w:eastAsia="Calibri" w:cs="Calibri"/>
        </w:rPr>
      </w:pPr>
      <w:r w:rsidRPr="00354240">
        <w:rPr>
          <w:rFonts w:eastAsia="Calibri" w:cs="Calibri"/>
        </w:rPr>
        <w:t>In addition, the IACHR held a Virtual Monitoring Meeting with respect to Guatemala from March 29 to March 31, 2022, which included a component on precautionary measures in force. On that occasion, it was possible to specifically scrutinize the implementation of specific precautionary measures considered priorities due to the alleged situation of risk. In addition, the State emphasized points indicating particular challenges for the implementation of precautionary measures and, in conjunction with the IACHR, a list of precautionary measures to be prioritized was defined given the risk and the challenges identified.</w:t>
      </w:r>
      <w:r w:rsidRPr="00CF4DAC">
        <w:rPr>
          <w:vertAlign w:val="superscript"/>
        </w:rPr>
        <w:footnoteReference w:id="168"/>
      </w:r>
    </w:p>
    <w:p w14:paraId="6B6CB863" w14:textId="77777777" w:rsidR="008668B8" w:rsidRPr="00354240" w:rsidRDefault="008668B8" w:rsidP="003D0784">
      <w:pPr>
        <w:pBdr>
          <w:top w:val="nil"/>
          <w:left w:val="nil"/>
          <w:bottom w:val="nil"/>
          <w:right w:val="nil"/>
          <w:between w:val="nil"/>
          <w:bar w:val="nil"/>
        </w:pBdr>
        <w:ind w:left="720"/>
        <w:jc w:val="both"/>
        <w:rPr>
          <w:rFonts w:ascii="Cambria" w:eastAsia="Calibri" w:hAnsi="Cambria" w:cs="Calibri"/>
          <w:sz w:val="20"/>
          <w:szCs w:val="20"/>
        </w:rPr>
      </w:pPr>
    </w:p>
    <w:p w14:paraId="44EA92F8" w14:textId="77777777" w:rsidR="008668B8" w:rsidRPr="00740CD6" w:rsidRDefault="008668B8" w:rsidP="00933F91">
      <w:pPr>
        <w:pStyle w:val="BodyText"/>
        <w:widowControl/>
        <w:numPr>
          <w:ilvl w:val="0"/>
          <w:numId w:val="58"/>
        </w:numPr>
        <w:ind w:left="0" w:firstLine="720"/>
        <w:jc w:val="both"/>
        <w:rPr>
          <w:rFonts w:eastAsia="Calibri" w:cs="Calibri"/>
          <w:color w:val="333333"/>
          <w:u w:color="000000"/>
          <w:bdr w:val="nil"/>
          <w:shd w:val="clear" w:color="auto" w:fill="FFFFFF"/>
          <w14:textOutline w14:w="0" w14:cap="flat" w14:cmpd="sng" w14:algn="ctr">
            <w14:noFill/>
            <w14:prstDash w14:val="solid"/>
            <w14:bevel/>
          </w14:textOutline>
        </w:rPr>
      </w:pPr>
      <w:r w:rsidRPr="00354240">
        <w:rPr>
          <w:rFonts w:eastAsia="Calibri" w:cs="Calibri"/>
        </w:rPr>
        <w:lastRenderedPageBreak/>
        <w:t>In 2022, the IACHR expanded the use of press releases and Tweets as tools for monitoring precautionary measures, frequently in conjunction with the monitoring area. Thus, eight press releases were</w:t>
      </w:r>
      <w:r w:rsidRPr="00740CD6">
        <w:rPr>
          <w:rFonts w:eastAsia="Calibri" w:cs="Calibri"/>
          <w:color w:val="333333"/>
          <w:bdr w:val="nil"/>
          <w:shd w:val="clear" w:color="auto" w:fill="FFFFFF"/>
          <w14:textOutline w14:w="0" w14:cap="flat" w14:cmpd="sng" w14:algn="ctr">
            <w14:noFill/>
            <w14:prstDash w14:val="solid"/>
            <w14:bevel/>
          </w14:textOutline>
        </w:rPr>
        <w:t xml:space="preserve"> published with respect to eight precautionary measures.</w:t>
      </w:r>
    </w:p>
    <w:p w14:paraId="7615083C" w14:textId="77777777" w:rsidR="008668B8" w:rsidRPr="00066040" w:rsidRDefault="008668B8" w:rsidP="008668B8">
      <w:pPr>
        <w:pStyle w:val="ListParagraph"/>
        <w:rPr>
          <w:rFonts w:ascii="Cambria" w:eastAsia="Calibri" w:hAnsi="Cambria" w:cs="Calibri"/>
          <w:b/>
          <w:bCs/>
          <w:color w:val="333333"/>
          <w:sz w:val="20"/>
          <w:szCs w:val="20"/>
          <w:u w:color="000000"/>
          <w:bdr w:val="nil"/>
          <w:shd w:val="clear" w:color="auto" w:fill="FFFFFF"/>
          <w14:textOutline w14:w="0" w14:cap="flat" w14:cmpd="sng" w14:algn="ctr">
            <w14:noFill/>
            <w14:prstDash w14:val="solid"/>
            <w14:bevel/>
          </w14:textOutline>
        </w:rPr>
      </w:pPr>
    </w:p>
    <w:tbl>
      <w:tblPr>
        <w:tblStyle w:val="GridTable4-Accent51"/>
        <w:tblW w:w="9355" w:type="dxa"/>
        <w:tblLook w:val="04A0" w:firstRow="1" w:lastRow="0" w:firstColumn="1" w:lastColumn="0" w:noHBand="0" w:noVBand="1"/>
      </w:tblPr>
      <w:tblGrid>
        <w:gridCol w:w="992"/>
        <w:gridCol w:w="5681"/>
        <w:gridCol w:w="1278"/>
        <w:gridCol w:w="1404"/>
      </w:tblGrid>
      <w:tr w:rsidR="008668B8" w:rsidRPr="00066040" w14:paraId="6B0F80FC" w14:textId="77777777" w:rsidTr="003D0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4"/>
            <w:shd w:val="clear" w:color="auto" w:fill="auto"/>
            <w:vAlign w:val="center"/>
          </w:tcPr>
          <w:p w14:paraId="1FE9E554" w14:textId="77777777" w:rsidR="008668B8" w:rsidRPr="00066040" w:rsidRDefault="008668B8">
            <w:pPr>
              <w:pStyle w:val="ListParagraph"/>
              <w:ind w:left="0"/>
              <w:jc w:val="cente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Press Releases</w:t>
            </w:r>
          </w:p>
        </w:tc>
      </w:tr>
      <w:tr w:rsidR="008668B8" w:rsidRPr="00066040" w14:paraId="1634FA14" w14:textId="77777777" w:rsidTr="003D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vAlign w:val="center"/>
          </w:tcPr>
          <w:p w14:paraId="4CD42999" w14:textId="77777777" w:rsidR="008668B8" w:rsidRPr="00066040" w:rsidRDefault="0071198A">
            <w:pPr>
              <w:rPr>
                <w:rFonts w:ascii="Cambria" w:eastAsia="Calibri" w:hAnsi="Cambria" w:cs="Calibri"/>
                <w:b w:val="0"/>
                <w:bCs w:val="0"/>
                <w:color w:val="333333"/>
                <w:sz w:val="20"/>
                <w:szCs w:val="20"/>
                <w:bdr w:val="nil"/>
                <w:shd w:val="clear" w:color="auto" w:fill="FFFFFF"/>
                <w14:textOutline w14:w="0" w14:cap="flat" w14:cmpd="sng" w14:algn="ctr">
                  <w14:noFill/>
                  <w14:prstDash w14:val="solid"/>
                  <w14:bevel/>
                </w14:textOutline>
              </w:rPr>
            </w:pPr>
            <w:hyperlink r:id="rId224" w:history="1">
              <w:r w:rsidR="008668B8" w:rsidRPr="00066040">
                <w:rPr>
                  <w:rFonts w:ascii="Cambria" w:hAnsi="Cambria"/>
                  <w:b w:val="0"/>
                  <w:bCs w:val="0"/>
                  <w:color w:val="000000"/>
                  <w:sz w:val="20"/>
                  <w:szCs w:val="20"/>
                </w:rPr>
                <w:t>2/22</w:t>
              </w:r>
            </w:hyperlink>
          </w:p>
        </w:tc>
        <w:tc>
          <w:tcPr>
            <w:tcW w:w="5681" w:type="dxa"/>
            <w:vAlign w:val="center"/>
          </w:tcPr>
          <w:p w14:paraId="024CBBB6" w14:textId="77777777" w:rsidR="008668B8" w:rsidRPr="00066040" w:rsidRDefault="008668B8">
            <w:pP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 xml:space="preserve">The IACHR Issues a Resolution to Follow Up on Precautionary Measures granted in Favor of the Families of the </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Laguna Larga </w:t>
            </w:r>
            <w:r>
              <w:rPr>
                <w:rFonts w:ascii="Cambria" w:eastAsia="Calibri" w:hAnsi="Cambria" w:cs="Calibri"/>
                <w:color w:val="000000"/>
                <w:sz w:val="20"/>
                <w:szCs w:val="20"/>
                <w:u w:color="000000"/>
                <w:bdr w:val="nil"/>
                <w14:textOutline w14:w="0" w14:cap="flat" w14:cmpd="sng" w14:algn="ctr">
                  <w14:noFill/>
                  <w14:prstDash w14:val="solid"/>
                  <w14:bevel/>
                </w14:textOutline>
              </w:rPr>
              <w:t xml:space="preserve">Community in </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Guatemala</w:t>
            </w:r>
          </w:p>
        </w:tc>
        <w:tc>
          <w:tcPr>
            <w:tcW w:w="1278" w:type="dxa"/>
            <w:vAlign w:val="center"/>
          </w:tcPr>
          <w:p w14:paraId="54C9E286" w14:textId="77777777" w:rsidR="008668B8" w:rsidRPr="00066040" w:rsidRDefault="008668B8">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Guatemala</w:t>
            </w:r>
          </w:p>
        </w:tc>
        <w:tc>
          <w:tcPr>
            <w:tcW w:w="1404" w:type="dxa"/>
            <w:vAlign w:val="center"/>
          </w:tcPr>
          <w:p w14:paraId="60040B5E" w14:textId="77777777" w:rsidR="008668B8" w:rsidRPr="00066040" w:rsidRDefault="008668B8">
            <w:pP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01/0</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6/2022</w:t>
            </w:r>
          </w:p>
        </w:tc>
      </w:tr>
      <w:tr w:rsidR="008668B8" w:rsidRPr="00066040" w14:paraId="53F3AF61" w14:textId="77777777" w:rsidTr="003D0784">
        <w:tc>
          <w:tcPr>
            <w:cnfStyle w:val="001000000000" w:firstRow="0" w:lastRow="0" w:firstColumn="1" w:lastColumn="0" w:oddVBand="0" w:evenVBand="0" w:oddHBand="0" w:evenHBand="0" w:firstRowFirstColumn="0" w:firstRowLastColumn="0" w:lastRowFirstColumn="0" w:lastRowLastColumn="0"/>
            <w:tcW w:w="992" w:type="dxa"/>
            <w:vAlign w:val="center"/>
          </w:tcPr>
          <w:p w14:paraId="096A9E72" w14:textId="77777777" w:rsidR="008668B8" w:rsidRPr="00066040" w:rsidRDefault="0071198A">
            <w:pPr>
              <w:pStyle w:val="ListParagraph"/>
              <w:ind w:left="0"/>
              <w:rPr>
                <w:rFonts w:ascii="Cambria" w:eastAsia="Calibri" w:hAnsi="Cambria" w:cs="Calibri"/>
                <w:b w:val="0"/>
                <w:bCs w:val="0"/>
                <w:color w:val="333333"/>
                <w:sz w:val="20"/>
                <w:szCs w:val="20"/>
                <w:bdr w:val="nil"/>
                <w:shd w:val="clear" w:color="auto" w:fill="FFFFFF"/>
                <w14:textOutline w14:w="0" w14:cap="flat" w14:cmpd="sng" w14:algn="ctr">
                  <w14:noFill/>
                  <w14:prstDash w14:val="solid"/>
                  <w14:bevel/>
                </w14:textOutline>
              </w:rPr>
            </w:pPr>
            <w:hyperlink r:id="rId225" w:history="1">
              <w:r w:rsidR="008668B8" w:rsidRPr="00066040">
                <w:rPr>
                  <w:rStyle w:val="Hyperlink"/>
                  <w:rFonts w:ascii="Cambria" w:eastAsia="Calibri" w:hAnsi="Cambria" w:cs="Calibri"/>
                  <w:b w:val="0"/>
                  <w:bCs w:val="0"/>
                  <w:sz w:val="20"/>
                  <w:szCs w:val="20"/>
                  <w:u w:val="none"/>
                  <w:bdr w:val="nil"/>
                  <w:shd w:val="clear" w:color="auto" w:fill="FFFFFF"/>
                  <w14:textOutline w14:w="0" w14:cap="flat" w14:cmpd="sng" w14:algn="ctr">
                    <w14:noFill/>
                    <w14:prstDash w14:val="solid"/>
                    <w14:bevel/>
                  </w14:textOutline>
                </w:rPr>
                <w:t>37/22</w:t>
              </w:r>
            </w:hyperlink>
          </w:p>
        </w:tc>
        <w:tc>
          <w:tcPr>
            <w:tcW w:w="5681" w:type="dxa"/>
            <w:vAlign w:val="center"/>
          </w:tcPr>
          <w:p w14:paraId="5A4D3256" w14:textId="77777777" w:rsidR="008668B8" w:rsidRPr="00066040" w:rsidRDefault="008668B8">
            <w:pPr>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IACHR</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 </w:t>
            </w:r>
            <w:r>
              <w:rPr>
                <w:rFonts w:ascii="Cambria" w:eastAsia="Calibri" w:hAnsi="Cambria" w:cs="Calibri"/>
                <w:color w:val="000000"/>
                <w:sz w:val="20"/>
                <w:szCs w:val="20"/>
                <w:u w:color="000000"/>
                <w:bdr w:val="nil"/>
                <w14:textOutline w14:w="0" w14:cap="flat" w14:cmpd="sng" w14:algn="ctr">
                  <w14:noFill/>
                  <w14:prstDash w14:val="solid"/>
                  <w14:bevel/>
                </w14:textOutline>
              </w:rPr>
              <w:t xml:space="preserve">Expresses Concern over New Violations of Judicial Independence in </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Guatemala</w:t>
            </w:r>
          </w:p>
        </w:tc>
        <w:tc>
          <w:tcPr>
            <w:tcW w:w="1278" w:type="dxa"/>
            <w:vAlign w:val="center"/>
          </w:tcPr>
          <w:p w14:paraId="5E90EC8D" w14:textId="77777777" w:rsidR="008668B8" w:rsidRPr="00066040" w:rsidRDefault="008668B8">
            <w:pPr>
              <w:pStyle w:val="ListParagraph"/>
              <w:ind w:left="-84" w:firstLine="84"/>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sidRPr="0006604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Guatemala</w:t>
            </w:r>
          </w:p>
        </w:tc>
        <w:tc>
          <w:tcPr>
            <w:tcW w:w="1404" w:type="dxa"/>
            <w:vAlign w:val="center"/>
          </w:tcPr>
          <w:p w14:paraId="78CFB8DB" w14:textId="77777777" w:rsidR="008668B8" w:rsidRPr="00066040" w:rsidRDefault="008668B8">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02/</w:t>
            </w:r>
            <w:r w:rsidRPr="0006604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22/2022</w:t>
            </w:r>
          </w:p>
        </w:tc>
      </w:tr>
      <w:tr w:rsidR="008668B8" w:rsidRPr="00066040" w14:paraId="2F5C9B41" w14:textId="77777777" w:rsidTr="003D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vAlign w:val="center"/>
          </w:tcPr>
          <w:p w14:paraId="469C05F6" w14:textId="77777777" w:rsidR="008668B8" w:rsidRPr="00066040" w:rsidRDefault="0071198A">
            <w:pPr>
              <w:rPr>
                <w:rFonts w:ascii="Cambria" w:eastAsia="Calibri" w:hAnsi="Cambria" w:cs="Calibri"/>
                <w:b w:val="0"/>
                <w:bCs w:val="0"/>
                <w:color w:val="333333"/>
                <w:sz w:val="20"/>
                <w:szCs w:val="20"/>
                <w:bdr w:val="nil"/>
                <w:shd w:val="clear" w:color="auto" w:fill="FFFFFF"/>
                <w14:textOutline w14:w="0" w14:cap="flat" w14:cmpd="sng" w14:algn="ctr">
                  <w14:noFill/>
                  <w14:prstDash w14:val="solid"/>
                  <w14:bevel/>
                </w14:textOutline>
              </w:rPr>
            </w:pPr>
            <w:hyperlink r:id="rId226" w:history="1">
              <w:r w:rsidR="008668B8" w:rsidRPr="00066040">
                <w:rPr>
                  <w:rFonts w:ascii="Cambria" w:hAnsi="Cambria"/>
                  <w:b w:val="0"/>
                  <w:bCs w:val="0"/>
                  <w:color w:val="000000"/>
                  <w:sz w:val="20"/>
                  <w:szCs w:val="20"/>
                </w:rPr>
                <w:t>42/22</w:t>
              </w:r>
            </w:hyperlink>
          </w:p>
        </w:tc>
        <w:tc>
          <w:tcPr>
            <w:tcW w:w="5681" w:type="dxa"/>
            <w:vAlign w:val="center"/>
          </w:tcPr>
          <w:p w14:paraId="6A9D9385" w14:textId="77777777" w:rsidR="008668B8" w:rsidRPr="00066040" w:rsidRDefault="008668B8">
            <w:pP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bdr w:val="nil"/>
                <w14:textOutline w14:w="0" w14:cap="flat" w14:cmpd="sng" w14:algn="ctr">
                  <w14:noFill/>
                  <w14:prstDash w14:val="solid"/>
                  <w14:bevel/>
                </w14:textOutline>
              </w:rPr>
            </w:pPr>
            <w:r>
              <w:rPr>
                <w:rFonts w:ascii="Cambria" w:eastAsia="Calibri" w:hAnsi="Cambria" w:cs="Calibri"/>
                <w:color w:val="000000"/>
                <w:sz w:val="20"/>
                <w:szCs w:val="20"/>
                <w:bdr w:val="nil"/>
                <w14:textOutline w14:w="0" w14:cap="flat" w14:cmpd="sng" w14:algn="ctr">
                  <w14:noFill/>
                  <w14:prstDash w14:val="solid"/>
                  <w14:bevel/>
                </w14:textOutline>
              </w:rPr>
              <w:t>IACHR Issues Follow-Up Resolution</w:t>
            </w:r>
            <w:r w:rsidRPr="00066040">
              <w:rPr>
                <w:rFonts w:ascii="Cambria" w:eastAsia="Calibri" w:hAnsi="Cambria" w:cs="Calibri"/>
                <w:color w:val="000000"/>
                <w:sz w:val="20"/>
                <w:szCs w:val="20"/>
                <w:bdr w:val="nil"/>
                <w14:textOutline w14:w="0" w14:cap="flat" w14:cmpd="sng" w14:algn="ctr">
                  <w14:noFill/>
                  <w14:prstDash w14:val="solid"/>
                  <w14:bevel/>
                </w14:textOutline>
              </w:rPr>
              <w:t xml:space="preserve"> </w:t>
            </w:r>
            <w:r>
              <w:rPr>
                <w:rFonts w:ascii="Cambria" w:eastAsia="Calibri" w:hAnsi="Cambria" w:cs="Calibri"/>
                <w:color w:val="000000"/>
                <w:sz w:val="20"/>
                <w:szCs w:val="20"/>
                <w:bdr w:val="nil"/>
                <w14:textOutline w14:w="0" w14:cap="flat" w14:cmpd="sng" w14:algn="ctr">
                  <w14:noFill/>
                  <w14:prstDash w14:val="solid"/>
                  <w14:bevel/>
                </w14:textOutline>
              </w:rPr>
              <w:t xml:space="preserve">on Precautionary Measures in Favor of Patients and Newborns at Concepción Palacios Maternity Hospital in </w:t>
            </w:r>
            <w:r w:rsidRPr="00066040">
              <w:rPr>
                <w:rFonts w:ascii="Cambria" w:eastAsia="Calibri" w:hAnsi="Cambria" w:cs="Calibri"/>
                <w:color w:val="000000"/>
                <w:sz w:val="20"/>
                <w:szCs w:val="20"/>
                <w:bdr w:val="nil"/>
                <w14:textOutline w14:w="0" w14:cap="flat" w14:cmpd="sng" w14:algn="ctr">
                  <w14:noFill/>
                  <w14:prstDash w14:val="solid"/>
                  <w14:bevel/>
                </w14:textOutline>
              </w:rPr>
              <w:t>Venezuela</w:t>
            </w:r>
          </w:p>
        </w:tc>
        <w:tc>
          <w:tcPr>
            <w:tcW w:w="1278" w:type="dxa"/>
            <w:vAlign w:val="center"/>
          </w:tcPr>
          <w:p w14:paraId="3A313766" w14:textId="77777777" w:rsidR="008668B8" w:rsidRPr="00066040" w:rsidRDefault="008668B8">
            <w:pP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Venezuela</w:t>
            </w:r>
          </w:p>
        </w:tc>
        <w:tc>
          <w:tcPr>
            <w:tcW w:w="1404" w:type="dxa"/>
            <w:vAlign w:val="center"/>
          </w:tcPr>
          <w:p w14:paraId="0D2714FB" w14:textId="77777777" w:rsidR="008668B8" w:rsidRPr="00066040" w:rsidRDefault="008668B8">
            <w:pP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03/01/</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2022</w:t>
            </w:r>
          </w:p>
        </w:tc>
      </w:tr>
      <w:tr w:rsidR="008668B8" w:rsidRPr="00066040" w14:paraId="0A42B13B" w14:textId="77777777" w:rsidTr="003D0784">
        <w:tc>
          <w:tcPr>
            <w:cnfStyle w:val="001000000000" w:firstRow="0" w:lastRow="0" w:firstColumn="1" w:lastColumn="0" w:oddVBand="0" w:evenVBand="0" w:oddHBand="0" w:evenHBand="0" w:firstRowFirstColumn="0" w:firstRowLastColumn="0" w:lastRowFirstColumn="0" w:lastRowLastColumn="0"/>
            <w:tcW w:w="992" w:type="dxa"/>
            <w:vAlign w:val="center"/>
          </w:tcPr>
          <w:p w14:paraId="0EBCDDB0" w14:textId="77777777" w:rsidR="008668B8" w:rsidRPr="00066040" w:rsidRDefault="0071198A">
            <w:pPr>
              <w:pStyle w:val="ListParagraph"/>
              <w:ind w:left="0"/>
              <w:rPr>
                <w:rFonts w:ascii="Cambria" w:eastAsia="Calibri" w:hAnsi="Cambria" w:cs="Calibri"/>
                <w:b w:val="0"/>
                <w:bCs w:val="0"/>
                <w:color w:val="333333"/>
                <w:sz w:val="20"/>
                <w:szCs w:val="20"/>
                <w:bdr w:val="nil"/>
                <w:shd w:val="clear" w:color="auto" w:fill="FFFFFF"/>
                <w14:textOutline w14:w="0" w14:cap="flat" w14:cmpd="sng" w14:algn="ctr">
                  <w14:noFill/>
                  <w14:prstDash w14:val="solid"/>
                  <w14:bevel/>
                </w14:textOutline>
              </w:rPr>
            </w:pPr>
            <w:hyperlink r:id="rId227" w:history="1">
              <w:r w:rsidR="008668B8" w:rsidRPr="00066040">
                <w:rPr>
                  <w:rStyle w:val="Hyperlink"/>
                  <w:rFonts w:ascii="Cambria" w:eastAsia="Calibri" w:hAnsi="Cambria" w:cs="Calibri"/>
                  <w:b w:val="0"/>
                  <w:bCs w:val="0"/>
                  <w:sz w:val="20"/>
                  <w:szCs w:val="20"/>
                  <w:u w:val="none"/>
                  <w:bdr w:val="nil"/>
                  <w:shd w:val="clear" w:color="auto" w:fill="FFFFFF"/>
                  <w14:textOutline w14:w="0" w14:cap="flat" w14:cmpd="sng" w14:algn="ctr">
                    <w14:noFill/>
                    <w14:prstDash w14:val="solid"/>
                    <w14:bevel/>
                  </w14:textOutline>
                </w:rPr>
                <w:t>87/22</w:t>
              </w:r>
            </w:hyperlink>
          </w:p>
        </w:tc>
        <w:tc>
          <w:tcPr>
            <w:tcW w:w="5681" w:type="dxa"/>
            <w:vAlign w:val="center"/>
          </w:tcPr>
          <w:p w14:paraId="7E9170F1" w14:textId="77777777" w:rsidR="008668B8" w:rsidRPr="00066040" w:rsidRDefault="008668B8">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 xml:space="preserve">IACHR Urges the United States to Refrain from Applying the Death Penalty to </w:t>
            </w:r>
            <w:r w:rsidRPr="0006604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 xml:space="preserve">Melissa Lucio, </w:t>
            </w:r>
            <w: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B</w:t>
            </w:r>
            <w:r w:rsidRPr="0006604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eneficiar</w:t>
            </w:r>
            <w: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y of Precautionary Measures</w:t>
            </w:r>
          </w:p>
        </w:tc>
        <w:tc>
          <w:tcPr>
            <w:tcW w:w="1278" w:type="dxa"/>
            <w:vAlign w:val="center"/>
          </w:tcPr>
          <w:p w14:paraId="2CA6BCBF" w14:textId="77777777" w:rsidR="008668B8" w:rsidRPr="00066040" w:rsidRDefault="008668B8">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United States</w:t>
            </w:r>
          </w:p>
        </w:tc>
        <w:tc>
          <w:tcPr>
            <w:tcW w:w="1404" w:type="dxa"/>
            <w:vAlign w:val="center"/>
          </w:tcPr>
          <w:p w14:paraId="13A3B425" w14:textId="77777777" w:rsidR="008668B8" w:rsidRPr="00066040" w:rsidRDefault="008668B8">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04/</w:t>
            </w:r>
            <w:r w:rsidRPr="0006604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22/2022</w:t>
            </w:r>
          </w:p>
        </w:tc>
      </w:tr>
      <w:tr w:rsidR="008668B8" w:rsidRPr="00066040" w14:paraId="37B75329" w14:textId="77777777" w:rsidTr="003D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vAlign w:val="center"/>
          </w:tcPr>
          <w:p w14:paraId="3B95EA58" w14:textId="77777777" w:rsidR="008668B8" w:rsidRPr="00066040" w:rsidRDefault="0071198A">
            <w:pPr>
              <w:rPr>
                <w:rFonts w:ascii="Cambria" w:eastAsia="Calibri" w:hAnsi="Cambria" w:cs="Calibri"/>
                <w:b w:val="0"/>
                <w:bCs w:val="0"/>
                <w:color w:val="000000"/>
                <w:sz w:val="20"/>
                <w:szCs w:val="20"/>
                <w:bdr w:val="nil"/>
                <w14:textOutline w14:w="0" w14:cap="flat" w14:cmpd="sng" w14:algn="ctr">
                  <w14:noFill/>
                  <w14:prstDash w14:val="solid"/>
                  <w14:bevel/>
                </w14:textOutline>
              </w:rPr>
            </w:pPr>
            <w:hyperlink r:id="rId228" w:history="1">
              <w:r w:rsidR="008668B8" w:rsidRPr="00066040">
                <w:rPr>
                  <w:rFonts w:ascii="Cambria" w:hAnsi="Cambria"/>
                  <w:b w:val="0"/>
                  <w:bCs w:val="0"/>
                  <w:color w:val="000000"/>
                  <w:sz w:val="20"/>
                  <w:szCs w:val="20"/>
                </w:rPr>
                <w:t>R138/22</w:t>
              </w:r>
            </w:hyperlink>
          </w:p>
        </w:tc>
        <w:tc>
          <w:tcPr>
            <w:tcW w:w="5681" w:type="dxa"/>
            <w:vAlign w:val="center"/>
          </w:tcPr>
          <w:p w14:paraId="014BF782" w14:textId="77777777" w:rsidR="008668B8" w:rsidRPr="00066040" w:rsidRDefault="008668B8">
            <w:pP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The</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 RELE </w:t>
            </w:r>
            <w:r>
              <w:rPr>
                <w:rFonts w:ascii="Cambria" w:eastAsia="Calibri" w:hAnsi="Cambria" w:cs="Calibri"/>
                <w:color w:val="000000"/>
                <w:sz w:val="20"/>
                <w:szCs w:val="20"/>
                <w:u w:color="000000"/>
                <w:bdr w:val="nil"/>
                <w14:textOutline w14:w="0" w14:cap="flat" w14:cmpd="sng" w14:algn="ctr">
                  <w14:noFill/>
                  <w14:prstDash w14:val="solid"/>
                  <w14:bevel/>
                </w14:textOutline>
              </w:rPr>
              <w:t>Condemns the Murders of the Beneficiaries of Precautionary Measures, the Journalist</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 Dom Phillips </w:t>
            </w:r>
            <w:r>
              <w:rPr>
                <w:rFonts w:ascii="Cambria" w:eastAsia="Calibri" w:hAnsi="Cambria" w:cs="Calibri"/>
                <w:color w:val="000000"/>
                <w:sz w:val="20"/>
                <w:szCs w:val="20"/>
                <w:u w:color="000000"/>
                <w:bdr w:val="nil"/>
                <w14:textOutline w14:w="0" w14:cap="flat" w14:cmpd="sng" w14:algn="ctr">
                  <w14:noFill/>
                  <w14:prstDash w14:val="solid"/>
                  <w14:bevel/>
                </w14:textOutline>
              </w:rPr>
              <w:t xml:space="preserve">and the Expert in Indigenous People </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Bruno Araújo Pereira </w:t>
            </w:r>
            <w:r>
              <w:rPr>
                <w:rFonts w:ascii="Cambria" w:eastAsia="Calibri" w:hAnsi="Cambria" w:cs="Calibri"/>
                <w:color w:val="000000"/>
                <w:sz w:val="20"/>
                <w:szCs w:val="20"/>
                <w:u w:color="000000"/>
                <w:bdr w:val="nil"/>
                <w14:textOutline w14:w="0" w14:cap="flat" w14:cmpd="sng" w14:algn="ctr">
                  <w14:noFill/>
                  <w14:prstDash w14:val="solid"/>
                  <w14:bevel/>
                </w14:textOutline>
              </w:rPr>
              <w:t>i</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 xml:space="preserve">n </w:t>
            </w:r>
            <w:r>
              <w:rPr>
                <w:rFonts w:ascii="Cambria" w:eastAsia="Calibri" w:hAnsi="Cambria" w:cs="Calibri"/>
                <w:color w:val="000000"/>
                <w:sz w:val="20"/>
                <w:szCs w:val="20"/>
                <w:u w:color="000000"/>
                <w:bdr w:val="nil"/>
                <w14:textOutline w14:w="0" w14:cap="flat" w14:cmpd="sng" w14:algn="ctr">
                  <w14:noFill/>
                  <w14:prstDash w14:val="solid"/>
                  <w14:bevel/>
                </w14:textOutline>
              </w:rPr>
              <w:t>Brazil</w:t>
            </w:r>
          </w:p>
        </w:tc>
        <w:tc>
          <w:tcPr>
            <w:tcW w:w="1278" w:type="dxa"/>
            <w:vAlign w:val="center"/>
          </w:tcPr>
          <w:p w14:paraId="5A62D8EB" w14:textId="77777777" w:rsidR="008668B8" w:rsidRPr="00066040" w:rsidRDefault="008668B8">
            <w:pP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Brazil</w:t>
            </w:r>
          </w:p>
        </w:tc>
        <w:tc>
          <w:tcPr>
            <w:tcW w:w="1404" w:type="dxa"/>
            <w:vAlign w:val="center"/>
          </w:tcPr>
          <w:p w14:paraId="1D288D09" w14:textId="77777777" w:rsidR="008668B8" w:rsidRPr="00066040" w:rsidRDefault="008668B8">
            <w:pPr>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u w:color="000000"/>
                <w:bdr w:val="nil"/>
                <w14:textOutline w14:w="0" w14:cap="flat" w14:cmpd="sng" w14:algn="ctr">
                  <w14:noFill/>
                  <w14:prstDash w14:val="solid"/>
                  <w14:bevel/>
                </w14:textOutline>
              </w:rPr>
            </w:pPr>
            <w:r>
              <w:rPr>
                <w:rFonts w:ascii="Cambria" w:eastAsia="Calibri" w:hAnsi="Cambria" w:cs="Calibri"/>
                <w:color w:val="000000"/>
                <w:sz w:val="20"/>
                <w:szCs w:val="20"/>
                <w:u w:color="000000"/>
                <w:bdr w:val="nil"/>
                <w14:textOutline w14:w="0" w14:cap="flat" w14:cmpd="sng" w14:algn="ctr">
                  <w14:noFill/>
                  <w14:prstDash w14:val="solid"/>
                  <w14:bevel/>
                </w14:textOutline>
              </w:rPr>
              <w:t>06/</w:t>
            </w:r>
            <w:r w:rsidRPr="00066040">
              <w:rPr>
                <w:rFonts w:ascii="Cambria" w:eastAsia="Calibri" w:hAnsi="Cambria" w:cs="Calibri"/>
                <w:color w:val="000000"/>
                <w:sz w:val="20"/>
                <w:szCs w:val="20"/>
                <w:u w:color="000000"/>
                <w:bdr w:val="nil"/>
                <w14:textOutline w14:w="0" w14:cap="flat" w14:cmpd="sng" w14:algn="ctr">
                  <w14:noFill/>
                  <w14:prstDash w14:val="solid"/>
                  <w14:bevel/>
                </w14:textOutline>
              </w:rPr>
              <w:t>18/2022</w:t>
            </w:r>
          </w:p>
        </w:tc>
      </w:tr>
      <w:tr w:rsidR="008668B8" w:rsidRPr="00066040" w14:paraId="0F929316" w14:textId="77777777" w:rsidTr="003D0784">
        <w:tc>
          <w:tcPr>
            <w:cnfStyle w:val="001000000000" w:firstRow="0" w:lastRow="0" w:firstColumn="1" w:lastColumn="0" w:oddVBand="0" w:evenVBand="0" w:oddHBand="0" w:evenHBand="0" w:firstRowFirstColumn="0" w:firstRowLastColumn="0" w:lastRowFirstColumn="0" w:lastRowLastColumn="0"/>
            <w:tcW w:w="992" w:type="dxa"/>
            <w:vAlign w:val="center"/>
          </w:tcPr>
          <w:p w14:paraId="0EFE0AEA" w14:textId="77777777" w:rsidR="008668B8" w:rsidRPr="00066040" w:rsidRDefault="0071198A">
            <w:pPr>
              <w:pStyle w:val="ListParagraph"/>
              <w:ind w:left="0"/>
              <w:rPr>
                <w:rFonts w:ascii="Cambria" w:eastAsia="Calibri" w:hAnsi="Cambria" w:cs="Calibri"/>
                <w:b w:val="0"/>
                <w:bCs w:val="0"/>
                <w:color w:val="333333"/>
                <w:sz w:val="20"/>
                <w:szCs w:val="20"/>
                <w:bdr w:val="nil"/>
                <w:shd w:val="clear" w:color="auto" w:fill="FFFFFF"/>
                <w14:textOutline w14:w="0" w14:cap="flat" w14:cmpd="sng" w14:algn="ctr">
                  <w14:noFill/>
                  <w14:prstDash w14:val="solid"/>
                  <w14:bevel/>
                </w14:textOutline>
              </w:rPr>
            </w:pPr>
            <w:hyperlink r:id="rId229" w:history="1">
              <w:r w:rsidR="008668B8" w:rsidRPr="00066040">
                <w:rPr>
                  <w:rStyle w:val="Hyperlink"/>
                  <w:rFonts w:ascii="Cambria" w:eastAsia="Calibri" w:hAnsi="Cambria" w:cs="Calibri"/>
                  <w:b w:val="0"/>
                  <w:bCs w:val="0"/>
                  <w:sz w:val="20"/>
                  <w:szCs w:val="20"/>
                  <w:u w:val="none"/>
                  <w:bdr w:val="nil"/>
                  <w:shd w:val="clear" w:color="auto" w:fill="FFFFFF"/>
                  <w14:textOutline w14:w="0" w14:cap="flat" w14:cmpd="sng" w14:algn="ctr">
                    <w14:noFill/>
                    <w14:prstDash w14:val="solid"/>
                    <w14:bevel/>
                  </w14:textOutline>
                </w:rPr>
                <w:t>160/22</w:t>
              </w:r>
            </w:hyperlink>
          </w:p>
        </w:tc>
        <w:tc>
          <w:tcPr>
            <w:tcW w:w="5681" w:type="dxa"/>
            <w:vAlign w:val="center"/>
          </w:tcPr>
          <w:p w14:paraId="42F55D44" w14:textId="77777777" w:rsidR="008668B8" w:rsidRPr="00066040" w:rsidRDefault="008668B8">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IACHR</w:t>
            </w:r>
            <w:r w:rsidRPr="0006604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 xml:space="preserve"> </w:t>
            </w:r>
            <w: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Grants Follow-Up Resolution concerning Precautionary Measures for Members of Salvadoran Newspaper</w:t>
            </w:r>
            <w:r w:rsidRPr="0006604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 xml:space="preserve"> El Faro</w:t>
            </w:r>
          </w:p>
        </w:tc>
        <w:tc>
          <w:tcPr>
            <w:tcW w:w="1278" w:type="dxa"/>
            <w:vAlign w:val="center"/>
          </w:tcPr>
          <w:p w14:paraId="5A07E4A0" w14:textId="77777777" w:rsidR="008668B8" w:rsidRPr="00066040" w:rsidRDefault="008668B8">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sidRPr="0006604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El Salvador</w:t>
            </w:r>
          </w:p>
        </w:tc>
        <w:tc>
          <w:tcPr>
            <w:tcW w:w="1404" w:type="dxa"/>
            <w:vAlign w:val="center"/>
          </w:tcPr>
          <w:p w14:paraId="7BDAAFAE" w14:textId="77777777" w:rsidR="008668B8" w:rsidRPr="00066040" w:rsidRDefault="008668B8">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07/</w:t>
            </w:r>
            <w:r w:rsidRPr="0006604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13/2022</w:t>
            </w:r>
          </w:p>
        </w:tc>
      </w:tr>
      <w:tr w:rsidR="008668B8" w:rsidRPr="00066040" w14:paraId="0FF62698" w14:textId="77777777" w:rsidTr="003D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vAlign w:val="center"/>
          </w:tcPr>
          <w:p w14:paraId="052163A0" w14:textId="77777777" w:rsidR="008668B8" w:rsidRPr="00066040" w:rsidRDefault="0071198A">
            <w:pPr>
              <w:rPr>
                <w:rFonts w:ascii="Cambria" w:hAnsi="Cambria"/>
                <w:b w:val="0"/>
                <w:bCs w:val="0"/>
                <w:color w:val="000000"/>
                <w:sz w:val="20"/>
                <w:szCs w:val="20"/>
              </w:rPr>
            </w:pPr>
            <w:hyperlink r:id="rId230" w:history="1">
              <w:r w:rsidR="008668B8" w:rsidRPr="00066040">
                <w:rPr>
                  <w:rFonts w:ascii="Cambria" w:hAnsi="Cambria"/>
                  <w:b w:val="0"/>
                  <w:bCs w:val="0"/>
                  <w:color w:val="000000"/>
                  <w:sz w:val="20"/>
                  <w:szCs w:val="20"/>
                </w:rPr>
                <w:t>221/22</w:t>
              </w:r>
            </w:hyperlink>
          </w:p>
        </w:tc>
        <w:tc>
          <w:tcPr>
            <w:tcW w:w="5681" w:type="dxa"/>
            <w:vAlign w:val="center"/>
          </w:tcPr>
          <w:p w14:paraId="6CF7A02D" w14:textId="77777777" w:rsidR="008668B8" w:rsidRPr="00066040" w:rsidRDefault="008668B8">
            <w:pPr>
              <w:cnfStyle w:val="000000100000" w:firstRow="0" w:lastRow="0" w:firstColumn="0" w:lastColumn="0" w:oddVBand="0" w:evenVBand="0" w:oddHBand="1" w:evenHBand="0" w:firstRowFirstColumn="0" w:firstRowLastColumn="0" w:lastRowFirstColumn="0" w:lastRowLastColumn="0"/>
              <w:rPr>
                <w:rFonts w:ascii="Cambria" w:hAnsi="Cambria"/>
                <w:color w:val="000000"/>
                <w:sz w:val="20"/>
                <w:szCs w:val="20"/>
                <w:u w:color="000000"/>
              </w:rPr>
            </w:pPr>
            <w:r>
              <w:rPr>
                <w:rFonts w:ascii="Cambria" w:hAnsi="Cambria"/>
                <w:color w:val="000000"/>
                <w:sz w:val="20"/>
                <w:szCs w:val="20"/>
                <w:u w:color="000000"/>
              </w:rPr>
              <w:t xml:space="preserve">IACHR Resolves to Follow-Up Precautionary Measures in Favor of Damas de Blanco (Ladies in White) in </w:t>
            </w:r>
            <w:r w:rsidRPr="00066040">
              <w:rPr>
                <w:rFonts w:ascii="Cambria" w:hAnsi="Cambria"/>
                <w:color w:val="000000"/>
                <w:sz w:val="20"/>
                <w:szCs w:val="20"/>
                <w:u w:color="000000"/>
              </w:rPr>
              <w:t>Cuba</w:t>
            </w:r>
          </w:p>
        </w:tc>
        <w:tc>
          <w:tcPr>
            <w:tcW w:w="1278" w:type="dxa"/>
            <w:vAlign w:val="center"/>
          </w:tcPr>
          <w:p w14:paraId="72C8E13F" w14:textId="77777777" w:rsidR="008668B8" w:rsidRPr="00066040" w:rsidRDefault="008668B8">
            <w:pPr>
              <w:cnfStyle w:val="000000100000" w:firstRow="0" w:lastRow="0" w:firstColumn="0" w:lastColumn="0" w:oddVBand="0" w:evenVBand="0" w:oddHBand="1" w:evenHBand="0" w:firstRowFirstColumn="0" w:firstRowLastColumn="0" w:lastRowFirstColumn="0" w:lastRowLastColumn="0"/>
              <w:rPr>
                <w:rFonts w:ascii="Cambria" w:hAnsi="Cambria"/>
                <w:color w:val="000000"/>
                <w:sz w:val="20"/>
                <w:szCs w:val="20"/>
                <w:u w:color="000000"/>
              </w:rPr>
            </w:pPr>
            <w:r w:rsidRPr="00066040">
              <w:rPr>
                <w:rFonts w:ascii="Cambria" w:hAnsi="Cambria"/>
                <w:color w:val="000000"/>
                <w:sz w:val="20"/>
                <w:szCs w:val="20"/>
                <w:u w:color="000000"/>
              </w:rPr>
              <w:t>Cuba</w:t>
            </w:r>
          </w:p>
        </w:tc>
        <w:tc>
          <w:tcPr>
            <w:tcW w:w="1404" w:type="dxa"/>
            <w:vAlign w:val="center"/>
          </w:tcPr>
          <w:p w14:paraId="1F761451" w14:textId="77777777" w:rsidR="008668B8" w:rsidRPr="00066040" w:rsidRDefault="008668B8">
            <w:pPr>
              <w:cnfStyle w:val="000000100000" w:firstRow="0" w:lastRow="0" w:firstColumn="0" w:lastColumn="0" w:oddVBand="0" w:evenVBand="0" w:oddHBand="1" w:evenHBand="0" w:firstRowFirstColumn="0" w:firstRowLastColumn="0" w:lastRowFirstColumn="0" w:lastRowLastColumn="0"/>
              <w:rPr>
                <w:rFonts w:ascii="Cambria" w:hAnsi="Cambria"/>
                <w:color w:val="000000"/>
                <w:sz w:val="20"/>
                <w:szCs w:val="20"/>
                <w:u w:color="000000"/>
              </w:rPr>
            </w:pPr>
            <w:r>
              <w:rPr>
                <w:rFonts w:ascii="Cambria" w:hAnsi="Cambria"/>
                <w:color w:val="000000"/>
                <w:sz w:val="20"/>
                <w:szCs w:val="20"/>
                <w:u w:color="000000"/>
              </w:rPr>
              <w:t>09/</w:t>
            </w:r>
            <w:r w:rsidRPr="00066040">
              <w:rPr>
                <w:rFonts w:ascii="Cambria" w:hAnsi="Cambria"/>
                <w:color w:val="000000"/>
                <w:sz w:val="20"/>
                <w:szCs w:val="20"/>
                <w:u w:color="000000"/>
              </w:rPr>
              <w:t>30/2022</w:t>
            </w:r>
          </w:p>
        </w:tc>
      </w:tr>
      <w:tr w:rsidR="008668B8" w:rsidRPr="00066040" w14:paraId="5C8DB027" w14:textId="77777777" w:rsidTr="003D0784">
        <w:tc>
          <w:tcPr>
            <w:cnfStyle w:val="001000000000" w:firstRow="0" w:lastRow="0" w:firstColumn="1" w:lastColumn="0" w:oddVBand="0" w:evenVBand="0" w:oddHBand="0" w:evenHBand="0" w:firstRowFirstColumn="0" w:firstRowLastColumn="0" w:lastRowFirstColumn="0" w:lastRowLastColumn="0"/>
            <w:tcW w:w="992" w:type="dxa"/>
            <w:vAlign w:val="center"/>
          </w:tcPr>
          <w:p w14:paraId="71334D6A" w14:textId="77777777" w:rsidR="008668B8" w:rsidRPr="00066040" w:rsidRDefault="0071198A">
            <w:pPr>
              <w:pStyle w:val="ListParagraph"/>
              <w:ind w:left="0"/>
              <w:rPr>
                <w:rFonts w:ascii="Cambria" w:eastAsia="Calibri" w:hAnsi="Cambria" w:cs="Calibri"/>
                <w:b w:val="0"/>
                <w:bCs w:val="0"/>
                <w:color w:val="333333"/>
                <w:sz w:val="20"/>
                <w:szCs w:val="20"/>
                <w:bdr w:val="nil"/>
                <w:shd w:val="clear" w:color="auto" w:fill="FFFFFF"/>
                <w14:textOutline w14:w="0" w14:cap="flat" w14:cmpd="sng" w14:algn="ctr">
                  <w14:noFill/>
                  <w14:prstDash w14:val="solid"/>
                  <w14:bevel/>
                </w14:textOutline>
              </w:rPr>
            </w:pPr>
            <w:hyperlink r:id="rId231" w:history="1">
              <w:r w:rsidR="008668B8" w:rsidRPr="00066040">
                <w:rPr>
                  <w:rStyle w:val="Hyperlink"/>
                  <w:rFonts w:ascii="Cambria" w:eastAsia="Calibri" w:hAnsi="Cambria" w:cs="Calibri"/>
                  <w:b w:val="0"/>
                  <w:bCs w:val="0"/>
                  <w:sz w:val="20"/>
                  <w:szCs w:val="20"/>
                  <w:u w:val="none"/>
                  <w:bdr w:val="nil"/>
                  <w:shd w:val="clear" w:color="auto" w:fill="FFFFFF"/>
                  <w14:textOutline w14:w="0" w14:cap="flat" w14:cmpd="sng" w14:algn="ctr">
                    <w14:noFill/>
                    <w14:prstDash w14:val="solid"/>
                    <w14:bevel/>
                  </w14:textOutline>
                </w:rPr>
                <w:t>253/22</w:t>
              </w:r>
            </w:hyperlink>
          </w:p>
        </w:tc>
        <w:tc>
          <w:tcPr>
            <w:tcW w:w="5681" w:type="dxa"/>
            <w:vAlign w:val="center"/>
          </w:tcPr>
          <w:p w14:paraId="582DBE30" w14:textId="77777777" w:rsidR="008668B8" w:rsidRPr="00066040" w:rsidRDefault="008668B8">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 xml:space="preserve">The IACHR Follows-Up Precautionary Measures in Favor of </w:t>
            </w:r>
            <w:r w:rsidRPr="0006604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 xml:space="preserve">José Javier Tarazona, </w:t>
            </w:r>
            <w: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i</w:t>
            </w:r>
            <w:r w:rsidRPr="0006604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n Venezuela</w:t>
            </w:r>
          </w:p>
        </w:tc>
        <w:tc>
          <w:tcPr>
            <w:tcW w:w="1278" w:type="dxa"/>
            <w:vAlign w:val="center"/>
          </w:tcPr>
          <w:p w14:paraId="6DE619D1" w14:textId="77777777" w:rsidR="008668B8" w:rsidRPr="00066040" w:rsidRDefault="008668B8">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p>
        </w:tc>
        <w:tc>
          <w:tcPr>
            <w:tcW w:w="1404" w:type="dxa"/>
            <w:vAlign w:val="center"/>
          </w:tcPr>
          <w:p w14:paraId="2F7953B9" w14:textId="77777777" w:rsidR="008668B8" w:rsidRPr="00066040" w:rsidRDefault="008668B8">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11/</w:t>
            </w:r>
            <w:r w:rsidRPr="00066040">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t>10/2022</w:t>
            </w:r>
          </w:p>
        </w:tc>
      </w:tr>
    </w:tbl>
    <w:p w14:paraId="42ABC11A" w14:textId="77777777" w:rsidR="008668B8" w:rsidRPr="00066040" w:rsidRDefault="008668B8" w:rsidP="008668B8">
      <w:pPr>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p>
    <w:p w14:paraId="12D5E313" w14:textId="324D2874" w:rsidR="008668B8" w:rsidRPr="00373E69" w:rsidRDefault="008668B8" w:rsidP="00933F91">
      <w:pPr>
        <w:pStyle w:val="BodyText"/>
        <w:widowControl/>
        <w:numPr>
          <w:ilvl w:val="0"/>
          <w:numId w:val="58"/>
        </w:numPr>
        <w:ind w:left="0" w:firstLine="720"/>
        <w:jc w:val="both"/>
        <w:rPr>
          <w:rFonts w:eastAsia="Calibri" w:cs="Calibri"/>
          <w:color w:val="333333"/>
          <w:bdr w:val="nil"/>
          <w:shd w:val="clear" w:color="auto" w:fill="FFFFFF"/>
          <w14:textOutline w14:w="0" w14:cap="flat" w14:cmpd="sng" w14:algn="ctr">
            <w14:noFill/>
            <w14:prstDash w14:val="solid"/>
            <w14:bevel/>
          </w14:textOutline>
        </w:rPr>
      </w:pPr>
      <w:r>
        <w:rPr>
          <w:rFonts w:eastAsia="Calibri" w:cs="Calibri"/>
          <w:color w:val="333333"/>
          <w:bdr w:val="nil"/>
          <w:shd w:val="clear" w:color="auto" w:fill="FFFFFF"/>
          <w14:textOutline w14:w="0" w14:cap="flat" w14:cmpd="sng" w14:algn="ctr">
            <w14:noFill/>
            <w14:prstDash w14:val="solid"/>
            <w14:bevel/>
          </w14:textOutline>
        </w:rPr>
        <w:t>It should be emphasized that a precautionary measure is intrinsically granted on a temporary basis. Accordingly, and based on Article 25, paragraph</w:t>
      </w:r>
      <w:r w:rsidRPr="00066040">
        <w:rPr>
          <w:rFonts w:eastAsia="Calibri" w:cs="Calibri"/>
          <w:color w:val="333333"/>
          <w:bdr w:val="nil"/>
          <w:shd w:val="clear" w:color="auto" w:fill="FFFFFF"/>
          <w14:textOutline w14:w="0" w14:cap="flat" w14:cmpd="sng" w14:algn="ctr">
            <w14:noFill/>
            <w14:prstDash w14:val="solid"/>
            <w14:bevel/>
          </w14:textOutline>
        </w:rPr>
        <w:t xml:space="preserve"> 9 </w:t>
      </w:r>
      <w:r>
        <w:rPr>
          <w:rFonts w:eastAsia="Calibri" w:cs="Calibri"/>
          <w:color w:val="333333"/>
          <w:bdr w:val="nil"/>
          <w:shd w:val="clear" w:color="auto" w:fill="FFFFFF"/>
          <w14:textOutline w14:w="0" w14:cap="flat" w14:cmpd="sng" w14:algn="ctr">
            <w14:noFill/>
            <w14:prstDash w14:val="solid"/>
            <w14:bevel/>
          </w14:textOutline>
        </w:rPr>
        <w:t xml:space="preserve">of its Rules of Procedure, the IACHR periodically evaluates precautionary measures in force, </w:t>
      </w:r>
      <w:r w:rsidRPr="6D82FDC4">
        <w:rPr>
          <w:rFonts w:eastAsia="Calibri" w:cs="Calibri"/>
          <w:i/>
          <w:iCs/>
          <w:color w:val="333333"/>
          <w:bdr w:val="nil"/>
          <w:shd w:val="clear" w:color="auto" w:fill="FFFFFF"/>
          <w14:textOutline w14:w="0" w14:cap="flat" w14:cmpd="sng" w14:algn="ctr">
            <w14:noFill/>
            <w14:prstDash w14:val="solid"/>
            <w14:bevel/>
          </w14:textOutline>
        </w:rPr>
        <w:t>ex officio</w:t>
      </w:r>
      <w:r>
        <w:rPr>
          <w:rFonts w:eastAsia="Calibri" w:cs="Calibri"/>
          <w:color w:val="333333"/>
          <w:bdr w:val="nil"/>
          <w:shd w:val="clear" w:color="auto" w:fill="FFFFFF"/>
          <w14:textOutline w14:w="0" w14:cap="flat" w14:cmpd="sng" w14:algn="ctr">
            <w14:noFill/>
            <w14:prstDash w14:val="solid"/>
            <w14:bevel/>
          </w14:textOutline>
        </w:rPr>
        <w:t xml:space="preserve"> or at the request of a party, in order to maintain, modify, or lift them. In this regard, in</w:t>
      </w:r>
      <w:r w:rsidRPr="00066040">
        <w:rPr>
          <w:rFonts w:eastAsia="Calibri" w:cs="Calibri"/>
          <w:color w:val="333333"/>
          <w:bdr w:val="nil"/>
          <w:shd w:val="clear" w:color="auto" w:fill="FFFFFF"/>
          <w14:textOutline w14:w="0" w14:cap="flat" w14:cmpd="sng" w14:algn="ctr">
            <w14:noFill/>
            <w14:prstDash w14:val="solid"/>
            <w14:bevel/>
          </w14:textOutline>
        </w:rPr>
        <w:t xml:space="preserve"> 2022, </w:t>
      </w:r>
      <w:r>
        <w:rPr>
          <w:rFonts w:eastAsia="Calibri" w:cs="Calibri"/>
          <w:color w:val="333333"/>
          <w:bdr w:val="nil"/>
          <w:shd w:val="clear" w:color="auto" w:fill="FFFFFF"/>
          <w14:textOutline w14:w="0" w14:cap="flat" w14:cmpd="sng" w14:algn="ctr">
            <w14:noFill/>
            <w14:prstDash w14:val="solid"/>
            <w14:bevel/>
          </w14:textOutline>
        </w:rPr>
        <w:t>the Commission issued</w:t>
      </w:r>
      <w:r w:rsidRPr="00066040">
        <w:rPr>
          <w:rFonts w:eastAsia="Calibri" w:cs="Calibri"/>
          <w:color w:val="333333"/>
          <w:bdr w:val="nil"/>
          <w:shd w:val="clear" w:color="auto" w:fill="FFFFFF"/>
          <w14:textOutline w14:w="0" w14:cap="flat" w14:cmpd="sng" w14:algn="ctr">
            <w14:noFill/>
            <w14:prstDash w14:val="solid"/>
            <w14:bevel/>
          </w14:textOutline>
        </w:rPr>
        <w:t xml:space="preserve"> </w:t>
      </w:r>
      <w:r>
        <w:rPr>
          <w:rFonts w:eastAsia="Calibri" w:cs="Calibri"/>
          <w:color w:val="333333"/>
          <w:bdr w:val="nil"/>
          <w:shd w:val="clear" w:color="auto" w:fill="FFFFFF"/>
          <w14:textOutline w14:w="0" w14:cap="flat" w14:cmpd="sng" w14:algn="ctr">
            <w14:noFill/>
            <w14:prstDash w14:val="solid"/>
            <w14:bevel/>
          </w14:textOutline>
        </w:rPr>
        <w:t>41</w:t>
      </w:r>
      <w:r w:rsidRPr="00066040">
        <w:rPr>
          <w:rFonts w:eastAsia="Calibri" w:cs="Calibri"/>
          <w:color w:val="333333"/>
          <w:bdr w:val="nil"/>
          <w:shd w:val="clear" w:color="auto" w:fill="FFFFFF"/>
          <w14:textOutline w14:w="0" w14:cap="flat" w14:cmpd="sng" w14:algn="ctr">
            <w14:noFill/>
            <w14:prstDash w14:val="solid"/>
            <w14:bevel/>
          </w14:textOutline>
        </w:rPr>
        <w:t xml:space="preserve"> resolu</w:t>
      </w:r>
      <w:r>
        <w:rPr>
          <w:rFonts w:eastAsia="Calibri" w:cs="Calibri"/>
          <w:color w:val="333333"/>
          <w:bdr w:val="nil"/>
          <w:shd w:val="clear" w:color="auto" w:fill="FFFFFF"/>
          <w14:textOutline w14:w="0" w14:cap="flat" w14:cmpd="sng" w14:algn="ctr">
            <w14:noFill/>
            <w14:prstDash w14:val="solid"/>
            <w14:bevel/>
          </w14:textOutline>
        </w:rPr>
        <w:t>tions related to 54</w:t>
      </w:r>
      <w:r w:rsidRPr="00066040">
        <w:rPr>
          <w:rFonts w:eastAsia="Calibri" w:cs="Calibri"/>
          <w:color w:val="333333"/>
          <w:bdr w:val="nil"/>
          <w:shd w:val="clear" w:color="auto" w:fill="FFFFFF"/>
          <w14:textOutline w14:w="0" w14:cap="flat" w14:cmpd="sng" w14:algn="ctr">
            <w14:noFill/>
            <w14:prstDash w14:val="solid"/>
            <w14:bevel/>
          </w14:textOutline>
        </w:rPr>
        <w:t xml:space="preserve"> </w:t>
      </w:r>
      <w:r>
        <w:rPr>
          <w:rFonts w:eastAsia="Calibri" w:cs="Calibri"/>
          <w:color w:val="333333"/>
          <w:bdr w:val="nil"/>
          <w:shd w:val="clear" w:color="auto" w:fill="FFFFFF"/>
          <w14:textOutline w14:w="0" w14:cap="flat" w14:cmpd="sng" w14:algn="ctr">
            <w14:noFill/>
            <w14:prstDash w14:val="solid"/>
            <w14:bevel/>
          </w14:textOutline>
        </w:rPr>
        <w:t xml:space="preserve">precautionary measures in force (see, </w:t>
      </w:r>
      <w:r w:rsidRPr="6D82FDC4">
        <w:rPr>
          <w:rFonts w:eastAsia="Calibri" w:cs="Calibri"/>
          <w:i/>
          <w:iCs/>
          <w:color w:val="333333"/>
          <w:bdr w:val="nil"/>
          <w:shd w:val="clear" w:color="auto" w:fill="FFFFFF"/>
          <w14:textOutline w14:w="0" w14:cap="flat" w14:cmpd="sng" w14:algn="ctr">
            <w14:noFill/>
            <w14:prstDash w14:val="solid"/>
            <w14:bevel/>
          </w14:textOutline>
        </w:rPr>
        <w:t>infra</w:t>
      </w:r>
      <w:r>
        <w:rPr>
          <w:rFonts w:eastAsia="Calibri" w:cs="Calibri"/>
          <w:color w:val="333333"/>
          <w:bdr w:val="nil"/>
          <w:shd w:val="clear" w:color="auto" w:fill="FFFFFF"/>
          <w14:textOutline w14:w="0" w14:cap="flat" w14:cmpd="sng" w14:algn="ctr">
            <w14:noFill/>
            <w14:prstDash w14:val="solid"/>
            <w14:bevel/>
          </w14:textOutline>
        </w:rPr>
        <w:t xml:space="preserve">, </w:t>
      </w:r>
      <w:r w:rsidRPr="000A34B4">
        <w:rPr>
          <w:rFonts w:eastAsia="Calibri" w:cs="Calibri"/>
          <w:color w:val="333333"/>
          <w:bdr w:val="nil"/>
          <w:shd w:val="clear" w:color="auto" w:fill="FFFFFF"/>
          <w14:textOutline w14:w="0" w14:cap="flat" w14:cmpd="sng" w14:algn="ctr">
            <w14:noFill/>
            <w14:prstDash w14:val="solid"/>
            <w14:bevel/>
          </w14:textOutline>
        </w:rPr>
        <w:t>details</w:t>
      </w:r>
      <w:r>
        <w:rPr>
          <w:rFonts w:eastAsia="Calibri" w:cs="Calibri"/>
          <w:color w:val="333333"/>
          <w:bdr w:val="nil"/>
          <w:shd w:val="clear" w:color="auto" w:fill="FFFFFF"/>
          <w14:textOutline w14:w="0" w14:cap="flat" w14:cmpd="sng" w14:algn="ctr">
            <w14:noFill/>
            <w14:prstDash w14:val="solid"/>
            <w14:bevel/>
          </w14:textOutline>
        </w:rPr>
        <w:t xml:space="preserve"> on each resolution</w:t>
      </w:r>
      <w:r w:rsidRPr="00066040">
        <w:rPr>
          <w:rFonts w:eastAsia="Calibri" w:cs="Calibri"/>
          <w:color w:val="333333"/>
          <w:bdr w:val="nil"/>
          <w:shd w:val="clear" w:color="auto" w:fill="FFFFFF"/>
          <w14:textOutline w14:w="0" w14:cap="flat" w14:cmpd="sng" w14:algn="ctr">
            <w14:noFill/>
            <w14:prstDash w14:val="solid"/>
            <w14:bevel/>
          </w14:textOutline>
        </w:rPr>
        <w:t xml:space="preserve">). </w:t>
      </w:r>
      <w:r>
        <w:rPr>
          <w:rFonts w:eastAsia="Calibri" w:cs="Calibri"/>
          <w:color w:val="333333"/>
          <w:bdr w:val="nil"/>
          <w:shd w:val="clear" w:color="auto" w:fill="FFFFFF"/>
          <w14:textOutline w14:w="0" w14:cap="flat" w14:cmpd="sng" w14:algn="ctr">
            <w14:noFill/>
            <w14:prstDash w14:val="solid"/>
            <w14:bevel/>
          </w14:textOutline>
        </w:rPr>
        <w:t xml:space="preserve">In addition, the IACHR </w:t>
      </w:r>
      <w:r w:rsidRPr="00113AB2">
        <w:rPr>
          <w:rFonts w:eastAsia="Calibri" w:cs="Calibri"/>
          <w:color w:val="333333"/>
          <w:bdr w:val="nil"/>
          <w:shd w:val="clear" w:color="auto" w:fill="FFFFFF"/>
          <w14:textOutline w14:w="0" w14:cap="flat" w14:cmpd="sng" w14:algn="ctr">
            <w14:noFill/>
            <w14:prstDash w14:val="solid"/>
            <w14:bevel/>
          </w14:textOutline>
        </w:rPr>
        <w:t>evaluated one request for extension of precautionary measures in which it decided not to extend and one request for provisional measures from the I/A Court H.R. in which it decided not to request them.</w:t>
      </w:r>
    </w:p>
    <w:p w14:paraId="3274F9CA" w14:textId="77777777" w:rsidR="008668B8" w:rsidRPr="00066040" w:rsidRDefault="008668B8" w:rsidP="008668B8">
      <w:pPr>
        <w:pBdr>
          <w:top w:val="nil"/>
          <w:left w:val="nil"/>
          <w:bottom w:val="nil"/>
          <w:right w:val="nil"/>
          <w:between w:val="nil"/>
          <w:bar w:val="nil"/>
        </w:pBdr>
        <w:jc w:val="both"/>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p>
    <w:tbl>
      <w:tblPr>
        <w:tblStyle w:val="GridTable4-Accent51"/>
        <w:tblW w:w="9634" w:type="dxa"/>
        <w:jc w:val="center"/>
        <w:tblLook w:val="04A0" w:firstRow="1" w:lastRow="0" w:firstColumn="1" w:lastColumn="0" w:noHBand="0" w:noVBand="1"/>
      </w:tblPr>
      <w:tblGrid>
        <w:gridCol w:w="1631"/>
        <w:gridCol w:w="2671"/>
        <w:gridCol w:w="3899"/>
        <w:gridCol w:w="1433"/>
      </w:tblGrid>
      <w:tr w:rsidR="008668B8" w:rsidRPr="00066040" w14:paraId="1E5CDF08"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34" w:type="dxa"/>
            <w:gridSpan w:val="4"/>
            <w:noWrap/>
          </w:tcPr>
          <w:p w14:paraId="4C9F8277" w14:textId="77777777" w:rsidR="008668B8" w:rsidRPr="00066040" w:rsidRDefault="008668B8">
            <w:pPr>
              <w:jc w:val="center"/>
              <w:rPr>
                <w:rFonts w:ascii="Cambria" w:eastAsia="Times New Roman" w:hAnsi="Cambria" w:cs="Calibri"/>
                <w:color w:val="FFFFFF" w:themeColor="background1"/>
                <w:sz w:val="20"/>
                <w:szCs w:val="20"/>
              </w:rPr>
            </w:pPr>
            <w:r w:rsidRPr="31502C94">
              <w:rPr>
                <w:rFonts w:ascii="Cambria" w:eastAsia="Times New Roman" w:hAnsi="Cambria" w:cs="Calibri"/>
                <w:color w:val="FFFFFF" w:themeColor="background1"/>
                <w:sz w:val="20"/>
                <w:szCs w:val="20"/>
              </w:rPr>
              <w:t>Resolutions</w:t>
            </w:r>
          </w:p>
        </w:tc>
      </w:tr>
      <w:tr w:rsidR="008668B8" w:rsidRPr="00066040" w14:paraId="39845719"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6BE4FA8A"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PM</w:t>
            </w:r>
            <w:r w:rsidRPr="00066040">
              <w:rPr>
                <w:rFonts w:ascii="Cambria" w:eastAsia="Times New Roman" w:hAnsi="Cambria" w:cs="Calibri"/>
                <w:color w:val="000000"/>
                <w:sz w:val="20"/>
                <w:szCs w:val="20"/>
              </w:rPr>
              <w:t>-243-10</w:t>
            </w:r>
          </w:p>
        </w:tc>
        <w:tc>
          <w:tcPr>
            <w:tcW w:w="2671" w:type="dxa"/>
            <w:noWrap/>
            <w:vAlign w:val="center"/>
            <w:hideMark/>
          </w:tcPr>
          <w:p w14:paraId="4A6C68A8"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3BF7DDDB"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6D82FDC4">
              <w:rPr>
                <w:rFonts w:ascii="Cambria" w:eastAsia="Times New Roman" w:hAnsi="Cambria" w:cs="Calibri"/>
                <w:color w:val="000000" w:themeColor="text1"/>
                <w:sz w:val="20"/>
                <w:szCs w:val="20"/>
              </w:rPr>
              <w:t>Sigifredo Espinosa Pérez and his family</w:t>
            </w:r>
          </w:p>
        </w:tc>
        <w:tc>
          <w:tcPr>
            <w:tcW w:w="1433" w:type="dxa"/>
            <w:noWrap/>
            <w:vAlign w:val="center"/>
            <w:hideMark/>
          </w:tcPr>
          <w:p w14:paraId="2F06F8D2"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Colombia</w:t>
            </w:r>
          </w:p>
        </w:tc>
      </w:tr>
      <w:tr w:rsidR="008668B8" w:rsidRPr="00066040" w14:paraId="08DA0F53"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250E2683"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PM</w:t>
            </w:r>
            <w:r w:rsidRPr="00066040">
              <w:rPr>
                <w:rFonts w:ascii="Cambria" w:eastAsia="Times New Roman" w:hAnsi="Cambria" w:cs="Calibri"/>
                <w:color w:val="000000"/>
                <w:sz w:val="20"/>
                <w:szCs w:val="20"/>
              </w:rPr>
              <w:t>-338-13</w:t>
            </w:r>
          </w:p>
        </w:tc>
        <w:tc>
          <w:tcPr>
            <w:tcW w:w="2671" w:type="dxa"/>
            <w:noWrap/>
            <w:vAlign w:val="center"/>
            <w:hideMark/>
          </w:tcPr>
          <w:p w14:paraId="2AE82D8F"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282882BE"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6D82FDC4">
              <w:rPr>
                <w:rFonts w:ascii="Cambria" w:eastAsia="Times New Roman" w:hAnsi="Cambria" w:cs="Calibri"/>
                <w:color w:val="000000" w:themeColor="text1"/>
                <w:sz w:val="20"/>
                <w:szCs w:val="20"/>
              </w:rPr>
              <w:t>Lorenzo Santos Torres and his family</w:t>
            </w:r>
          </w:p>
        </w:tc>
        <w:tc>
          <w:tcPr>
            <w:tcW w:w="1433" w:type="dxa"/>
            <w:noWrap/>
            <w:vAlign w:val="center"/>
            <w:hideMark/>
          </w:tcPr>
          <w:p w14:paraId="352C8AEA" w14:textId="77777777" w:rsidR="008668B8" w:rsidRPr="00066040" w:rsidRDefault="008668B8" w:rsidP="004B3A4F">
            <w:pPr>
              <w:ind w:right="-218"/>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Mexico</w:t>
            </w:r>
          </w:p>
        </w:tc>
      </w:tr>
      <w:tr w:rsidR="008668B8" w:rsidRPr="00066040" w14:paraId="5A55D5CF" w14:textId="77777777" w:rsidTr="004B3A4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308A8E3D"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w:t>
            </w:r>
            <w:r w:rsidRPr="00066040">
              <w:rPr>
                <w:rFonts w:ascii="Cambria" w:eastAsia="Times New Roman" w:hAnsi="Cambria" w:cs="Calibri"/>
                <w:color w:val="000000"/>
                <w:sz w:val="20"/>
                <w:szCs w:val="20"/>
              </w:rPr>
              <w:t>M-356-16</w:t>
            </w:r>
          </w:p>
        </w:tc>
        <w:tc>
          <w:tcPr>
            <w:tcW w:w="2671" w:type="dxa"/>
            <w:noWrap/>
            <w:vAlign w:val="center"/>
            <w:hideMark/>
          </w:tcPr>
          <w:p w14:paraId="4E7F7EA5"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0C2A5A88"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Child</w:t>
            </w:r>
            <w:r w:rsidRPr="00066040">
              <w:rPr>
                <w:rFonts w:ascii="Cambria" w:eastAsia="Times New Roman" w:hAnsi="Cambria" w:cs="Calibri"/>
                <w:color w:val="000000"/>
                <w:sz w:val="20"/>
                <w:szCs w:val="20"/>
              </w:rPr>
              <w:t xml:space="preserve"> A.R.</w:t>
            </w:r>
          </w:p>
        </w:tc>
        <w:tc>
          <w:tcPr>
            <w:tcW w:w="1433" w:type="dxa"/>
            <w:noWrap/>
            <w:vAlign w:val="center"/>
            <w:hideMark/>
          </w:tcPr>
          <w:p w14:paraId="4FDFDE09"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Argentina</w:t>
            </w:r>
          </w:p>
        </w:tc>
      </w:tr>
      <w:tr w:rsidR="008668B8" w:rsidRPr="00066040" w14:paraId="45BB040B"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29F85E89"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w:t>
            </w:r>
            <w:r w:rsidRPr="00066040">
              <w:rPr>
                <w:rFonts w:ascii="Cambria" w:eastAsia="Times New Roman" w:hAnsi="Cambria" w:cs="Calibri"/>
                <w:color w:val="000000"/>
                <w:sz w:val="20"/>
                <w:szCs w:val="20"/>
              </w:rPr>
              <w:t>M-254-10</w:t>
            </w:r>
          </w:p>
        </w:tc>
        <w:tc>
          <w:tcPr>
            <w:tcW w:w="2671" w:type="dxa"/>
            <w:noWrap/>
            <w:vAlign w:val="center"/>
            <w:hideMark/>
          </w:tcPr>
          <w:p w14:paraId="384F7CAB"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5C6E9039"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 xml:space="preserve">Leiderman Ortiz Berrio </w:t>
            </w:r>
          </w:p>
        </w:tc>
        <w:tc>
          <w:tcPr>
            <w:tcW w:w="1433" w:type="dxa"/>
            <w:noWrap/>
            <w:vAlign w:val="center"/>
            <w:hideMark/>
          </w:tcPr>
          <w:p w14:paraId="189FCE53"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Colombia</w:t>
            </w:r>
          </w:p>
        </w:tc>
      </w:tr>
      <w:tr w:rsidR="008668B8" w:rsidRPr="00066040" w14:paraId="16BB9F0E"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3296F52F"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w:t>
            </w:r>
            <w:r w:rsidRPr="00066040">
              <w:rPr>
                <w:rFonts w:ascii="Cambria" w:eastAsia="Times New Roman" w:hAnsi="Cambria" w:cs="Calibri"/>
                <w:color w:val="000000"/>
                <w:sz w:val="20"/>
                <w:szCs w:val="20"/>
              </w:rPr>
              <w:t>M-505-15</w:t>
            </w:r>
          </w:p>
        </w:tc>
        <w:tc>
          <w:tcPr>
            <w:tcW w:w="2671" w:type="dxa"/>
            <w:noWrap/>
            <w:vAlign w:val="center"/>
            <w:hideMark/>
          </w:tcPr>
          <w:p w14:paraId="6448E816"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Extend</w:t>
            </w:r>
          </w:p>
        </w:tc>
        <w:tc>
          <w:tcPr>
            <w:tcW w:w="3899" w:type="dxa"/>
            <w:noWrap/>
            <w:vAlign w:val="center"/>
            <w:hideMark/>
          </w:tcPr>
          <w:p w14:paraId="5BFC6FEE"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Ind</w:t>
            </w:r>
            <w:r>
              <w:rPr>
                <w:rFonts w:ascii="Cambria" w:eastAsia="Times New Roman" w:hAnsi="Cambria" w:cs="Calibri"/>
                <w:color w:val="000000"/>
                <w:sz w:val="20"/>
                <w:szCs w:val="20"/>
              </w:rPr>
              <w:t xml:space="preserve">igenous Peoples of the </w:t>
            </w:r>
            <w:r w:rsidRPr="00066040">
              <w:rPr>
                <w:rFonts w:ascii="Cambria" w:eastAsia="Times New Roman" w:hAnsi="Cambria" w:cs="Calibri"/>
                <w:color w:val="000000"/>
                <w:sz w:val="20"/>
                <w:szCs w:val="20"/>
              </w:rPr>
              <w:t>Musawas, Suniwas</w:t>
            </w:r>
            <w:r>
              <w:rPr>
                <w:rFonts w:ascii="Cambria" w:eastAsia="Times New Roman" w:hAnsi="Cambria" w:cs="Calibri"/>
                <w:color w:val="000000"/>
                <w:sz w:val="20"/>
                <w:szCs w:val="20"/>
              </w:rPr>
              <w:t>, and</w:t>
            </w:r>
            <w:r w:rsidRPr="00066040">
              <w:rPr>
                <w:rFonts w:ascii="Cambria" w:eastAsia="Times New Roman" w:hAnsi="Cambria" w:cs="Calibri"/>
                <w:color w:val="000000"/>
                <w:sz w:val="20"/>
                <w:szCs w:val="20"/>
              </w:rPr>
              <w:t xml:space="preserve"> Wilú </w:t>
            </w:r>
            <w:r>
              <w:rPr>
                <w:rFonts w:ascii="Cambria" w:eastAsia="Times New Roman" w:hAnsi="Cambria" w:cs="Calibri"/>
                <w:color w:val="000000"/>
                <w:sz w:val="20"/>
                <w:szCs w:val="20"/>
              </w:rPr>
              <w:t xml:space="preserve">Communities of the </w:t>
            </w:r>
            <w:r w:rsidRPr="00066040">
              <w:rPr>
                <w:rFonts w:ascii="Cambria" w:eastAsia="Times New Roman" w:hAnsi="Cambria" w:cs="Calibri"/>
                <w:color w:val="000000"/>
                <w:sz w:val="20"/>
                <w:szCs w:val="20"/>
              </w:rPr>
              <w:t xml:space="preserve">Mayangna Sauni As </w:t>
            </w:r>
            <w:r>
              <w:rPr>
                <w:rFonts w:ascii="Cambria" w:eastAsia="Times New Roman" w:hAnsi="Cambria" w:cs="Calibri"/>
                <w:color w:val="000000"/>
                <w:sz w:val="20"/>
                <w:szCs w:val="20"/>
              </w:rPr>
              <w:t>Territory in the North Caribbean Coast Autonomous Region</w:t>
            </w:r>
            <w:r w:rsidRPr="00066040">
              <w:rPr>
                <w:rFonts w:ascii="Cambria" w:eastAsia="Times New Roman" w:hAnsi="Cambria" w:cs="Calibri"/>
                <w:color w:val="000000"/>
                <w:sz w:val="20"/>
                <w:szCs w:val="20"/>
              </w:rPr>
              <w:t xml:space="preserve"> </w:t>
            </w:r>
          </w:p>
        </w:tc>
        <w:tc>
          <w:tcPr>
            <w:tcW w:w="1433" w:type="dxa"/>
            <w:noWrap/>
            <w:vAlign w:val="center"/>
            <w:hideMark/>
          </w:tcPr>
          <w:p w14:paraId="7E5ED26D"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Nicaragua</w:t>
            </w:r>
          </w:p>
        </w:tc>
      </w:tr>
      <w:tr w:rsidR="008668B8" w:rsidRPr="00066040" w14:paraId="0F61AC3F" w14:textId="77777777" w:rsidTr="004B3A4F">
        <w:trPr>
          <w:trHeight w:val="583"/>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36D18E83"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PM</w:t>
            </w:r>
            <w:r w:rsidRPr="00066040">
              <w:rPr>
                <w:rFonts w:ascii="Cambria" w:eastAsia="Times New Roman" w:hAnsi="Cambria" w:cs="Calibri"/>
                <w:color w:val="000000"/>
                <w:sz w:val="20"/>
                <w:szCs w:val="20"/>
              </w:rPr>
              <w:t>-150-19</w:t>
            </w:r>
          </w:p>
        </w:tc>
        <w:tc>
          <w:tcPr>
            <w:tcW w:w="2671" w:type="dxa"/>
            <w:noWrap/>
            <w:vAlign w:val="center"/>
            <w:hideMark/>
          </w:tcPr>
          <w:p w14:paraId="20551ACC"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Follow-Up</w:t>
            </w:r>
          </w:p>
        </w:tc>
        <w:tc>
          <w:tcPr>
            <w:tcW w:w="3899" w:type="dxa"/>
            <w:vAlign w:val="center"/>
            <w:hideMark/>
          </w:tcPr>
          <w:p w14:paraId="7BF1CA77"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 xml:space="preserve">Patients and Newborns in the </w:t>
            </w:r>
            <w:r w:rsidRPr="00066040">
              <w:rPr>
                <w:rFonts w:ascii="Cambria" w:eastAsia="Times New Roman" w:hAnsi="Cambria" w:cs="Calibri"/>
                <w:color w:val="000000"/>
                <w:sz w:val="20"/>
                <w:szCs w:val="20"/>
              </w:rPr>
              <w:t>Concepción Palacios</w:t>
            </w:r>
            <w:r>
              <w:rPr>
                <w:rFonts w:ascii="Cambria" w:eastAsia="Times New Roman" w:hAnsi="Cambria" w:cs="Calibri"/>
                <w:color w:val="000000"/>
                <w:sz w:val="20"/>
                <w:szCs w:val="20"/>
              </w:rPr>
              <w:t xml:space="preserve"> Maternity Hospital</w:t>
            </w:r>
          </w:p>
        </w:tc>
        <w:tc>
          <w:tcPr>
            <w:tcW w:w="1433" w:type="dxa"/>
            <w:noWrap/>
            <w:vAlign w:val="center"/>
            <w:hideMark/>
          </w:tcPr>
          <w:p w14:paraId="05F12694"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Venezuela</w:t>
            </w:r>
          </w:p>
        </w:tc>
      </w:tr>
      <w:tr w:rsidR="008668B8" w:rsidRPr="00066040" w14:paraId="61A64525"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3119B45F"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PM</w:t>
            </w:r>
            <w:r w:rsidRPr="00066040">
              <w:rPr>
                <w:rFonts w:ascii="Cambria" w:eastAsia="Times New Roman" w:hAnsi="Cambria" w:cs="Calibri"/>
                <w:color w:val="000000"/>
                <w:sz w:val="20"/>
                <w:szCs w:val="20"/>
              </w:rPr>
              <w:t xml:space="preserve"> 368-10</w:t>
            </w:r>
          </w:p>
        </w:tc>
        <w:tc>
          <w:tcPr>
            <w:tcW w:w="2671" w:type="dxa"/>
            <w:noWrap/>
            <w:vAlign w:val="center"/>
            <w:hideMark/>
          </w:tcPr>
          <w:p w14:paraId="42295EED"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482B8FB3" w14:textId="77777777" w:rsidR="008668B8" w:rsidRPr="00740CD6"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s-ES_tradnl"/>
              </w:rPr>
            </w:pPr>
            <w:r w:rsidRPr="00740CD6">
              <w:rPr>
                <w:rFonts w:ascii="Cambria" w:eastAsia="Times New Roman" w:hAnsi="Cambria" w:cs="Calibri"/>
                <w:color w:val="000000"/>
                <w:sz w:val="20"/>
                <w:szCs w:val="20"/>
                <w:lang w:val="es-ES_tradnl"/>
              </w:rPr>
              <w:t xml:space="preserve">María Tirsa Paz et al. </w:t>
            </w:r>
          </w:p>
        </w:tc>
        <w:tc>
          <w:tcPr>
            <w:tcW w:w="1433" w:type="dxa"/>
            <w:noWrap/>
            <w:vAlign w:val="center"/>
            <w:hideMark/>
          </w:tcPr>
          <w:p w14:paraId="4A34AB8E"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Colombia</w:t>
            </w:r>
          </w:p>
        </w:tc>
      </w:tr>
      <w:tr w:rsidR="008668B8" w:rsidRPr="00066040" w14:paraId="23D61D06"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42B77F1F"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w:t>
            </w:r>
            <w:r w:rsidRPr="00066040">
              <w:rPr>
                <w:rFonts w:ascii="Cambria" w:eastAsia="Times New Roman" w:hAnsi="Cambria" w:cs="Calibri"/>
                <w:color w:val="000000"/>
                <w:sz w:val="20"/>
                <w:szCs w:val="20"/>
              </w:rPr>
              <w:t>M-72-11</w:t>
            </w:r>
          </w:p>
        </w:tc>
        <w:tc>
          <w:tcPr>
            <w:tcW w:w="2671" w:type="dxa"/>
            <w:noWrap/>
            <w:vAlign w:val="center"/>
            <w:hideMark/>
          </w:tcPr>
          <w:p w14:paraId="1494AA92"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26606281"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 xml:space="preserve">Leonel Casco Gutiérrez </w:t>
            </w:r>
          </w:p>
        </w:tc>
        <w:tc>
          <w:tcPr>
            <w:tcW w:w="1433" w:type="dxa"/>
            <w:noWrap/>
            <w:vAlign w:val="center"/>
            <w:hideMark/>
          </w:tcPr>
          <w:p w14:paraId="5AAFC2EE"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Honduras</w:t>
            </w:r>
          </w:p>
        </w:tc>
      </w:tr>
      <w:tr w:rsidR="008668B8" w:rsidRPr="00066040" w14:paraId="0A5615EF"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68242C9E"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PM</w:t>
            </w:r>
            <w:r w:rsidRPr="00066040">
              <w:rPr>
                <w:rFonts w:ascii="Cambria" w:eastAsia="Times New Roman" w:hAnsi="Cambria" w:cs="Calibri"/>
                <w:color w:val="000000"/>
                <w:sz w:val="20"/>
                <w:szCs w:val="20"/>
              </w:rPr>
              <w:t>-209-07</w:t>
            </w:r>
          </w:p>
        </w:tc>
        <w:tc>
          <w:tcPr>
            <w:tcW w:w="2671" w:type="dxa"/>
            <w:noWrap/>
            <w:vAlign w:val="center"/>
            <w:hideMark/>
          </w:tcPr>
          <w:p w14:paraId="4ED0A781"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35B6CE3D"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 xml:space="preserve">Carlos Mario Gómez Gómez </w:t>
            </w:r>
          </w:p>
        </w:tc>
        <w:tc>
          <w:tcPr>
            <w:tcW w:w="1433" w:type="dxa"/>
            <w:noWrap/>
            <w:vAlign w:val="center"/>
            <w:hideMark/>
          </w:tcPr>
          <w:p w14:paraId="4112D3D9"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Colombia</w:t>
            </w:r>
          </w:p>
        </w:tc>
      </w:tr>
      <w:tr w:rsidR="008668B8" w:rsidRPr="00066040" w14:paraId="00C03BF1"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23942D18"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lastRenderedPageBreak/>
              <w:t>PM</w:t>
            </w:r>
            <w:r w:rsidRPr="00066040">
              <w:rPr>
                <w:rFonts w:ascii="Cambria" w:eastAsia="Times New Roman" w:hAnsi="Cambria" w:cs="Calibri"/>
                <w:color w:val="000000"/>
                <w:sz w:val="20"/>
                <w:szCs w:val="20"/>
              </w:rPr>
              <w:t>-52-16</w:t>
            </w:r>
          </w:p>
        </w:tc>
        <w:tc>
          <w:tcPr>
            <w:tcW w:w="2671" w:type="dxa"/>
            <w:noWrap/>
            <w:vAlign w:val="center"/>
            <w:hideMark/>
          </w:tcPr>
          <w:p w14:paraId="0692BF33"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46BDB3F6"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 xml:space="preserve">María Dolores López Godoy, Nelly Lizeth Martínez Martínez </w:t>
            </w:r>
            <w:r>
              <w:rPr>
                <w:rFonts w:ascii="Cambria" w:eastAsia="Times New Roman" w:hAnsi="Cambria" w:cs="Calibri"/>
                <w:color w:val="000000"/>
                <w:sz w:val="20"/>
                <w:szCs w:val="20"/>
              </w:rPr>
              <w:t>and family</w:t>
            </w:r>
            <w:r w:rsidRPr="00066040">
              <w:rPr>
                <w:rFonts w:ascii="Cambria" w:eastAsia="Times New Roman" w:hAnsi="Cambria" w:cs="Calibri"/>
                <w:color w:val="000000"/>
                <w:sz w:val="20"/>
                <w:szCs w:val="20"/>
              </w:rPr>
              <w:t xml:space="preserve"> </w:t>
            </w:r>
          </w:p>
        </w:tc>
        <w:tc>
          <w:tcPr>
            <w:tcW w:w="1433" w:type="dxa"/>
            <w:noWrap/>
            <w:vAlign w:val="center"/>
            <w:hideMark/>
          </w:tcPr>
          <w:p w14:paraId="76ADB330"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Honduras</w:t>
            </w:r>
          </w:p>
        </w:tc>
      </w:tr>
      <w:tr w:rsidR="008668B8" w:rsidRPr="00066040" w14:paraId="3CAA755B"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69C837A2"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w:t>
            </w:r>
            <w:r w:rsidRPr="00066040">
              <w:rPr>
                <w:rFonts w:ascii="Cambria" w:eastAsia="Times New Roman" w:hAnsi="Cambria" w:cs="Calibri"/>
                <w:color w:val="000000"/>
                <w:sz w:val="20"/>
                <w:szCs w:val="20"/>
              </w:rPr>
              <w:t>M-21-11</w:t>
            </w:r>
          </w:p>
        </w:tc>
        <w:tc>
          <w:tcPr>
            <w:tcW w:w="2671" w:type="dxa"/>
            <w:noWrap/>
            <w:vAlign w:val="center"/>
            <w:hideMark/>
          </w:tcPr>
          <w:p w14:paraId="410B2CB3"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64BEB514" w14:textId="77777777" w:rsidR="008668B8" w:rsidRPr="00740CD6"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s-ES_tradnl"/>
              </w:rPr>
            </w:pPr>
            <w:r w:rsidRPr="00740CD6">
              <w:rPr>
                <w:rFonts w:ascii="Cambria" w:eastAsia="Times New Roman" w:hAnsi="Cambria" w:cs="Calibri"/>
                <w:color w:val="000000"/>
                <w:sz w:val="20"/>
                <w:szCs w:val="20"/>
                <w:lang w:val="es-ES_tradnl"/>
              </w:rPr>
              <w:t>Blanca Velázquez Díaz et al.</w:t>
            </w:r>
          </w:p>
        </w:tc>
        <w:tc>
          <w:tcPr>
            <w:tcW w:w="1433" w:type="dxa"/>
            <w:noWrap/>
            <w:vAlign w:val="center"/>
            <w:hideMark/>
          </w:tcPr>
          <w:p w14:paraId="0335A93F" w14:textId="77777777" w:rsidR="008668B8" w:rsidRPr="00066040" w:rsidRDefault="008668B8" w:rsidP="004B3A4F">
            <w:pPr>
              <w:ind w:left="9" w:hanging="9"/>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Mexico</w:t>
            </w:r>
          </w:p>
        </w:tc>
      </w:tr>
      <w:tr w:rsidR="008668B8" w:rsidRPr="00066040" w14:paraId="1E763C3A"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726508FD"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w:t>
            </w:r>
            <w:r w:rsidRPr="00066040">
              <w:rPr>
                <w:rFonts w:ascii="Cambria" w:eastAsia="Times New Roman" w:hAnsi="Cambria" w:cs="Calibri"/>
                <w:color w:val="000000"/>
                <w:sz w:val="20"/>
                <w:szCs w:val="20"/>
              </w:rPr>
              <w:t>M-364-17</w:t>
            </w:r>
          </w:p>
        </w:tc>
        <w:tc>
          <w:tcPr>
            <w:tcW w:w="2671" w:type="dxa"/>
            <w:noWrap/>
            <w:vAlign w:val="center"/>
            <w:hideMark/>
          </w:tcPr>
          <w:p w14:paraId="2916B617"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675464A6"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 xml:space="preserve">G.Y.G.R. </w:t>
            </w:r>
          </w:p>
        </w:tc>
        <w:tc>
          <w:tcPr>
            <w:tcW w:w="1433" w:type="dxa"/>
            <w:noWrap/>
            <w:vAlign w:val="center"/>
            <w:hideMark/>
          </w:tcPr>
          <w:p w14:paraId="2BA61B68"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Mexico</w:t>
            </w:r>
          </w:p>
        </w:tc>
      </w:tr>
      <w:tr w:rsidR="008668B8" w:rsidRPr="00066040" w14:paraId="491A5546"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38F12F93"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w:t>
            </w:r>
            <w:r w:rsidRPr="00066040">
              <w:rPr>
                <w:rFonts w:ascii="Cambria" w:eastAsia="Times New Roman" w:hAnsi="Cambria" w:cs="Calibri"/>
                <w:color w:val="000000"/>
                <w:sz w:val="20"/>
                <w:szCs w:val="20"/>
              </w:rPr>
              <w:t>M-404-10</w:t>
            </w:r>
          </w:p>
        </w:tc>
        <w:tc>
          <w:tcPr>
            <w:tcW w:w="2671" w:type="dxa"/>
            <w:noWrap/>
            <w:vAlign w:val="center"/>
            <w:hideMark/>
          </w:tcPr>
          <w:p w14:paraId="17BADE37"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76EBA637"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Members of the</w:t>
            </w:r>
            <w:r w:rsidRPr="00066040">
              <w:rPr>
                <w:rFonts w:ascii="Cambria" w:eastAsia="Times New Roman" w:hAnsi="Cambria" w:cs="Calibri"/>
                <w:color w:val="000000"/>
                <w:sz w:val="20"/>
                <w:szCs w:val="20"/>
              </w:rPr>
              <w:t xml:space="preserve"> Qom Navogoh </w:t>
            </w:r>
            <w:r>
              <w:rPr>
                <w:rFonts w:ascii="Cambria" w:eastAsia="Times New Roman" w:hAnsi="Cambria" w:cs="Calibri"/>
                <w:color w:val="000000"/>
                <w:sz w:val="20"/>
                <w:szCs w:val="20"/>
              </w:rPr>
              <w:t xml:space="preserve">Indigenous Community </w:t>
            </w:r>
            <w:r w:rsidRPr="00066040">
              <w:rPr>
                <w:rFonts w:ascii="Cambria" w:eastAsia="Times New Roman" w:hAnsi="Cambria" w:cs="Calibri"/>
                <w:color w:val="000000"/>
                <w:sz w:val="20"/>
                <w:szCs w:val="20"/>
              </w:rPr>
              <w:t xml:space="preserve">“La Primavera” </w:t>
            </w:r>
          </w:p>
        </w:tc>
        <w:tc>
          <w:tcPr>
            <w:tcW w:w="1433" w:type="dxa"/>
            <w:noWrap/>
            <w:vAlign w:val="center"/>
            <w:hideMark/>
          </w:tcPr>
          <w:p w14:paraId="49547BB3"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Argentina</w:t>
            </w:r>
          </w:p>
        </w:tc>
      </w:tr>
      <w:tr w:rsidR="008668B8" w:rsidRPr="00066040" w14:paraId="51F709C3"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124630B4"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w:t>
            </w:r>
            <w:r w:rsidRPr="00066040">
              <w:rPr>
                <w:rFonts w:ascii="Cambria" w:eastAsia="Times New Roman" w:hAnsi="Cambria" w:cs="Calibri"/>
                <w:color w:val="000000"/>
                <w:sz w:val="20"/>
                <w:szCs w:val="20"/>
              </w:rPr>
              <w:t>M-819-18</w:t>
            </w:r>
          </w:p>
        </w:tc>
        <w:tc>
          <w:tcPr>
            <w:tcW w:w="2671" w:type="dxa"/>
            <w:noWrap/>
            <w:vAlign w:val="center"/>
            <w:hideMark/>
          </w:tcPr>
          <w:p w14:paraId="29C72DCD"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Extend</w:t>
            </w:r>
          </w:p>
        </w:tc>
        <w:tc>
          <w:tcPr>
            <w:tcW w:w="3899" w:type="dxa"/>
            <w:vAlign w:val="center"/>
            <w:hideMark/>
          </w:tcPr>
          <w:p w14:paraId="5934E517"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 xml:space="preserve">Yubrank Miguel Suazo Herrera </w:t>
            </w:r>
          </w:p>
        </w:tc>
        <w:tc>
          <w:tcPr>
            <w:tcW w:w="1433" w:type="dxa"/>
            <w:noWrap/>
            <w:vAlign w:val="center"/>
            <w:hideMark/>
          </w:tcPr>
          <w:p w14:paraId="5D459878"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Nicaragua</w:t>
            </w:r>
          </w:p>
        </w:tc>
      </w:tr>
      <w:tr w:rsidR="008668B8" w:rsidRPr="00066040" w14:paraId="21D01A5A"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0D3E5356"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w:t>
            </w:r>
            <w:r w:rsidRPr="00066040">
              <w:rPr>
                <w:rFonts w:ascii="Cambria" w:eastAsia="Times New Roman" w:hAnsi="Cambria" w:cs="Calibri"/>
                <w:color w:val="000000"/>
                <w:sz w:val="20"/>
                <w:szCs w:val="20"/>
              </w:rPr>
              <w:t>M-331-22</w:t>
            </w:r>
          </w:p>
        </w:tc>
        <w:tc>
          <w:tcPr>
            <w:tcW w:w="2671" w:type="dxa"/>
            <w:noWrap/>
            <w:vAlign w:val="center"/>
            <w:hideMark/>
          </w:tcPr>
          <w:p w14:paraId="2B0FC763"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1760DCD6"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 xml:space="preserve">Clarence Wayne Dixon </w:t>
            </w:r>
          </w:p>
        </w:tc>
        <w:tc>
          <w:tcPr>
            <w:tcW w:w="1433" w:type="dxa"/>
            <w:noWrap/>
            <w:vAlign w:val="center"/>
            <w:hideMark/>
          </w:tcPr>
          <w:p w14:paraId="7A04B63C"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United States</w:t>
            </w:r>
          </w:p>
        </w:tc>
      </w:tr>
      <w:tr w:rsidR="008668B8" w:rsidRPr="00066040" w14:paraId="556FD84D"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478FC098"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sz w:val="20"/>
                <w:szCs w:val="20"/>
              </w:rPr>
              <w:t>P</w:t>
            </w:r>
            <w:r w:rsidRPr="00066040">
              <w:rPr>
                <w:rFonts w:ascii="Cambria" w:eastAsia="Times New Roman" w:hAnsi="Cambria" w:cs="Calibri"/>
                <w:color w:val="000000"/>
                <w:sz w:val="20"/>
                <w:szCs w:val="20"/>
              </w:rPr>
              <w:t>M-286-19</w:t>
            </w:r>
          </w:p>
        </w:tc>
        <w:tc>
          <w:tcPr>
            <w:tcW w:w="2671" w:type="dxa"/>
            <w:noWrap/>
            <w:vAlign w:val="center"/>
            <w:hideMark/>
          </w:tcPr>
          <w:p w14:paraId="70DC4F26"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4ED54D08"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C.F.M.T.</w:t>
            </w:r>
          </w:p>
        </w:tc>
        <w:tc>
          <w:tcPr>
            <w:tcW w:w="1433" w:type="dxa"/>
            <w:noWrap/>
            <w:vAlign w:val="center"/>
            <w:hideMark/>
          </w:tcPr>
          <w:p w14:paraId="67F8F8DB"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Dominica</w:t>
            </w:r>
            <w:r>
              <w:rPr>
                <w:rFonts w:ascii="Cambria" w:eastAsia="Times New Roman" w:hAnsi="Cambria" w:cs="Calibri"/>
                <w:color w:val="000000"/>
                <w:sz w:val="20"/>
                <w:szCs w:val="20"/>
              </w:rPr>
              <w:t>n Republic</w:t>
            </w:r>
          </w:p>
        </w:tc>
      </w:tr>
      <w:tr w:rsidR="008668B8" w:rsidRPr="00066040" w14:paraId="2619AD55"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3EC9EDA5"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w:t>
            </w:r>
            <w:r w:rsidRPr="00066040">
              <w:rPr>
                <w:rFonts w:ascii="Cambria" w:eastAsia="Times New Roman" w:hAnsi="Cambria" w:cs="Calibri"/>
                <w:color w:val="000000" w:themeColor="text1"/>
                <w:sz w:val="20"/>
                <w:szCs w:val="20"/>
              </w:rPr>
              <w:t>M-886-21</w:t>
            </w:r>
          </w:p>
        </w:tc>
        <w:tc>
          <w:tcPr>
            <w:tcW w:w="2671" w:type="dxa"/>
            <w:noWrap/>
            <w:vAlign w:val="center"/>
            <w:hideMark/>
          </w:tcPr>
          <w:p w14:paraId="63AEAD74"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3F41252A"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Sebastián Quiñónez Echavarría</w:t>
            </w:r>
          </w:p>
        </w:tc>
        <w:tc>
          <w:tcPr>
            <w:tcW w:w="1433" w:type="dxa"/>
            <w:noWrap/>
            <w:vAlign w:val="center"/>
            <w:hideMark/>
          </w:tcPr>
          <w:p w14:paraId="413B96EC"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Colombia</w:t>
            </w:r>
          </w:p>
        </w:tc>
      </w:tr>
      <w:tr w:rsidR="008668B8" w:rsidRPr="00066040" w14:paraId="257A4263" w14:textId="77777777" w:rsidTr="004B3A4F">
        <w:trPr>
          <w:trHeight w:val="629"/>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421B684D"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w:t>
            </w:r>
            <w:r w:rsidRPr="00066040">
              <w:rPr>
                <w:rFonts w:ascii="Cambria" w:eastAsia="Times New Roman" w:hAnsi="Cambria" w:cs="Calibri"/>
                <w:color w:val="000000" w:themeColor="text1"/>
                <w:sz w:val="20"/>
                <w:szCs w:val="20"/>
              </w:rPr>
              <w:t>M-1051-20</w:t>
            </w:r>
          </w:p>
        </w:tc>
        <w:tc>
          <w:tcPr>
            <w:tcW w:w="2671" w:type="dxa"/>
            <w:vAlign w:val="center"/>
            <w:hideMark/>
          </w:tcPr>
          <w:p w14:paraId="307D2452"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Follow-Up, Extension, Partial Lifting</w:t>
            </w:r>
          </w:p>
        </w:tc>
        <w:tc>
          <w:tcPr>
            <w:tcW w:w="3899" w:type="dxa"/>
            <w:vAlign w:val="center"/>
            <w:hideMark/>
          </w:tcPr>
          <w:p w14:paraId="4BE7292B"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 xml:space="preserve">Identified Members of the Digital Newspaper </w:t>
            </w:r>
            <w:r w:rsidRPr="00066040">
              <w:rPr>
                <w:rFonts w:ascii="Cambria" w:eastAsia="Times New Roman" w:hAnsi="Cambria" w:cs="Calibri"/>
                <w:color w:val="000000"/>
                <w:sz w:val="20"/>
                <w:szCs w:val="20"/>
              </w:rPr>
              <w:t>El Faro</w:t>
            </w:r>
          </w:p>
        </w:tc>
        <w:tc>
          <w:tcPr>
            <w:tcW w:w="1433" w:type="dxa"/>
            <w:noWrap/>
            <w:vAlign w:val="center"/>
            <w:hideMark/>
          </w:tcPr>
          <w:p w14:paraId="7E23261E"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El Salvador</w:t>
            </w:r>
          </w:p>
        </w:tc>
      </w:tr>
      <w:tr w:rsidR="008668B8" w:rsidRPr="00066040" w14:paraId="70C3EE52"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5E51A29C"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w:t>
            </w:r>
            <w:r w:rsidRPr="00066040">
              <w:rPr>
                <w:rFonts w:ascii="Cambria" w:eastAsia="Times New Roman" w:hAnsi="Cambria" w:cs="Calibri"/>
                <w:color w:val="000000" w:themeColor="text1"/>
                <w:sz w:val="20"/>
                <w:szCs w:val="20"/>
              </w:rPr>
              <w:t>M-134-07</w:t>
            </w:r>
          </w:p>
        </w:tc>
        <w:tc>
          <w:tcPr>
            <w:tcW w:w="2671" w:type="dxa"/>
            <w:noWrap/>
            <w:vAlign w:val="center"/>
            <w:hideMark/>
          </w:tcPr>
          <w:p w14:paraId="7CD821EB"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0A9A401E"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 xml:space="preserve">Alba Gabriela Cruz Ramos </w:t>
            </w:r>
          </w:p>
        </w:tc>
        <w:tc>
          <w:tcPr>
            <w:tcW w:w="1433" w:type="dxa"/>
            <w:noWrap/>
            <w:vAlign w:val="center"/>
            <w:hideMark/>
          </w:tcPr>
          <w:p w14:paraId="5A9A693B"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Mexico</w:t>
            </w:r>
          </w:p>
        </w:tc>
      </w:tr>
      <w:tr w:rsidR="008668B8" w:rsidRPr="00066040" w14:paraId="4924B0B8"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279AC397"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w:t>
            </w:r>
            <w:r w:rsidRPr="00066040">
              <w:rPr>
                <w:rFonts w:ascii="Cambria" w:eastAsia="Times New Roman" w:hAnsi="Cambria" w:cs="Calibri"/>
                <w:color w:val="000000" w:themeColor="text1"/>
                <w:sz w:val="20"/>
                <w:szCs w:val="20"/>
              </w:rPr>
              <w:t>M-382-21</w:t>
            </w:r>
          </w:p>
        </w:tc>
        <w:tc>
          <w:tcPr>
            <w:tcW w:w="2671" w:type="dxa"/>
            <w:noWrap/>
            <w:vAlign w:val="center"/>
            <w:hideMark/>
          </w:tcPr>
          <w:p w14:paraId="774E3ECF"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0FCC8BEE"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 xml:space="preserve">Ovidio Jesús Poggioli Pérez </w:t>
            </w:r>
          </w:p>
        </w:tc>
        <w:tc>
          <w:tcPr>
            <w:tcW w:w="1433" w:type="dxa"/>
            <w:noWrap/>
            <w:vAlign w:val="center"/>
            <w:hideMark/>
          </w:tcPr>
          <w:p w14:paraId="3520DF56"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Venezuela</w:t>
            </w:r>
          </w:p>
        </w:tc>
      </w:tr>
      <w:tr w:rsidR="008668B8" w:rsidRPr="00066040" w14:paraId="7AD3A09F"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vAlign w:val="center"/>
            <w:hideMark/>
          </w:tcPr>
          <w:p w14:paraId="1F9C71D1"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w:t>
            </w:r>
            <w:r w:rsidRPr="00066040">
              <w:rPr>
                <w:rFonts w:ascii="Cambria" w:eastAsia="Times New Roman" w:hAnsi="Cambria" w:cs="Calibri"/>
                <w:color w:val="000000" w:themeColor="text1"/>
                <w:sz w:val="20"/>
                <w:szCs w:val="20"/>
              </w:rPr>
              <w:t>M-134-00</w:t>
            </w:r>
          </w:p>
        </w:tc>
        <w:tc>
          <w:tcPr>
            <w:tcW w:w="2671" w:type="dxa"/>
            <w:noWrap/>
            <w:vAlign w:val="center"/>
            <w:hideMark/>
          </w:tcPr>
          <w:p w14:paraId="4FC712C7"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23282A72"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Regional Corporation for the Defense of Human Rights</w:t>
            </w:r>
            <w:r w:rsidRPr="00066040">
              <w:rPr>
                <w:rFonts w:ascii="Cambria" w:eastAsia="Times New Roman" w:hAnsi="Cambria" w:cs="Calibri"/>
                <w:color w:val="000000"/>
                <w:sz w:val="20"/>
                <w:szCs w:val="20"/>
              </w:rPr>
              <w:t xml:space="preserve"> (CREDHOS)</w:t>
            </w:r>
          </w:p>
        </w:tc>
        <w:tc>
          <w:tcPr>
            <w:tcW w:w="1433" w:type="dxa"/>
            <w:noWrap/>
            <w:vAlign w:val="center"/>
            <w:hideMark/>
          </w:tcPr>
          <w:p w14:paraId="56F11C32"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Colombia</w:t>
            </w:r>
          </w:p>
        </w:tc>
      </w:tr>
      <w:tr w:rsidR="008668B8" w:rsidRPr="00066040" w14:paraId="6A697BEE"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23C5FAA2"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w:t>
            </w:r>
            <w:r w:rsidRPr="00066040">
              <w:rPr>
                <w:rFonts w:ascii="Cambria" w:eastAsia="Times New Roman" w:hAnsi="Cambria" w:cs="Calibri"/>
                <w:color w:val="000000" w:themeColor="text1"/>
                <w:sz w:val="20"/>
                <w:szCs w:val="20"/>
              </w:rPr>
              <w:t>M-349-20</w:t>
            </w:r>
          </w:p>
        </w:tc>
        <w:tc>
          <w:tcPr>
            <w:tcW w:w="2671" w:type="dxa"/>
            <w:noWrap/>
            <w:vAlign w:val="center"/>
            <w:hideMark/>
          </w:tcPr>
          <w:p w14:paraId="7D2CF0E4"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40224514"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Jorge Ernesto López Zea</w:t>
            </w:r>
          </w:p>
        </w:tc>
        <w:tc>
          <w:tcPr>
            <w:tcW w:w="1433" w:type="dxa"/>
            <w:noWrap/>
            <w:vAlign w:val="center"/>
            <w:hideMark/>
          </w:tcPr>
          <w:p w14:paraId="7DC0D99E"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Colombia</w:t>
            </w:r>
          </w:p>
        </w:tc>
      </w:tr>
      <w:tr w:rsidR="008668B8" w:rsidRPr="00066040" w14:paraId="79E03591"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6BC44B46" w14:textId="77777777" w:rsidR="008668B8" w:rsidRPr="00066040" w:rsidRDefault="008668B8" w:rsidP="004B3A4F">
            <w:pPr>
              <w:rPr>
                <w:rFonts w:ascii="Cambria" w:eastAsia="Times New Roman" w:hAnsi="Cambria" w:cs="Calibri"/>
                <w:color w:val="000000"/>
                <w:sz w:val="20"/>
                <w:szCs w:val="20"/>
              </w:rPr>
            </w:pPr>
            <w:r w:rsidRPr="31502C94">
              <w:rPr>
                <w:rFonts w:ascii="Cambria" w:eastAsia="Times New Roman" w:hAnsi="Cambria" w:cs="Calibri"/>
                <w:color w:val="000000" w:themeColor="text1"/>
                <w:sz w:val="20"/>
                <w:szCs w:val="20"/>
              </w:rPr>
              <w:t>PM-789-04, PM-1026-04 and PM-471-11</w:t>
            </w:r>
          </w:p>
        </w:tc>
        <w:tc>
          <w:tcPr>
            <w:tcW w:w="2671" w:type="dxa"/>
            <w:noWrap/>
            <w:vAlign w:val="center"/>
            <w:hideMark/>
          </w:tcPr>
          <w:p w14:paraId="6488B942"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6C380A7E"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 xml:space="preserve">Gregory Thompson </w:t>
            </w:r>
            <w:r>
              <w:rPr>
                <w:rFonts w:ascii="Cambria" w:eastAsia="Times New Roman" w:hAnsi="Cambria" w:cs="Calibri"/>
                <w:color w:val="000000"/>
                <w:sz w:val="20"/>
                <w:szCs w:val="20"/>
              </w:rPr>
              <w:t>et al.</w:t>
            </w:r>
          </w:p>
        </w:tc>
        <w:tc>
          <w:tcPr>
            <w:tcW w:w="1433" w:type="dxa"/>
            <w:noWrap/>
            <w:vAlign w:val="center"/>
            <w:hideMark/>
          </w:tcPr>
          <w:p w14:paraId="3CF764BB"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United States</w:t>
            </w:r>
          </w:p>
        </w:tc>
      </w:tr>
      <w:tr w:rsidR="008668B8" w:rsidRPr="00066040" w14:paraId="1EB43179"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29740180"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w:t>
            </w:r>
            <w:r w:rsidRPr="00066040">
              <w:rPr>
                <w:rFonts w:ascii="Cambria" w:eastAsia="Times New Roman" w:hAnsi="Cambria" w:cs="Calibri"/>
                <w:color w:val="000000" w:themeColor="text1"/>
                <w:sz w:val="20"/>
                <w:szCs w:val="20"/>
              </w:rPr>
              <w:t>M-306-06</w:t>
            </w:r>
          </w:p>
        </w:tc>
        <w:tc>
          <w:tcPr>
            <w:tcW w:w="2671" w:type="dxa"/>
            <w:noWrap/>
            <w:vAlign w:val="center"/>
            <w:hideMark/>
          </w:tcPr>
          <w:p w14:paraId="626A4EDC"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23603314" w14:textId="77777777" w:rsidR="008668B8" w:rsidRPr="00740CD6"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pt-BR"/>
              </w:rPr>
            </w:pPr>
            <w:r w:rsidRPr="00740CD6">
              <w:rPr>
                <w:rFonts w:ascii="Cambria" w:eastAsia="Times New Roman" w:hAnsi="Cambria" w:cs="Calibri"/>
                <w:color w:val="000000"/>
                <w:sz w:val="20"/>
                <w:szCs w:val="20"/>
                <w:lang w:val="pt-BR"/>
              </w:rPr>
              <w:t>Jorge Luís García Pérez Antúnez</w:t>
            </w:r>
          </w:p>
        </w:tc>
        <w:tc>
          <w:tcPr>
            <w:tcW w:w="1433" w:type="dxa"/>
            <w:noWrap/>
            <w:vAlign w:val="center"/>
            <w:hideMark/>
          </w:tcPr>
          <w:p w14:paraId="3C9441FC"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Cuba</w:t>
            </w:r>
          </w:p>
        </w:tc>
      </w:tr>
      <w:tr w:rsidR="008668B8" w:rsidRPr="00066040" w14:paraId="534A1529" w14:textId="77777777" w:rsidTr="004B3A4F">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01DAA908"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w:t>
            </w:r>
            <w:r w:rsidRPr="00066040">
              <w:rPr>
                <w:rFonts w:ascii="Cambria" w:eastAsia="Times New Roman" w:hAnsi="Cambria" w:cs="Calibri"/>
                <w:color w:val="000000" w:themeColor="text1"/>
                <w:sz w:val="20"/>
                <w:szCs w:val="20"/>
              </w:rPr>
              <w:t>M-264-22</w:t>
            </w:r>
          </w:p>
        </w:tc>
        <w:tc>
          <w:tcPr>
            <w:tcW w:w="2671" w:type="dxa"/>
            <w:noWrap/>
            <w:vAlign w:val="center"/>
            <w:hideMark/>
          </w:tcPr>
          <w:p w14:paraId="3C93429E"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Follow-Up</w:t>
            </w:r>
          </w:p>
        </w:tc>
        <w:tc>
          <w:tcPr>
            <w:tcW w:w="3899" w:type="dxa"/>
            <w:vAlign w:val="center"/>
            <w:hideMark/>
          </w:tcPr>
          <w:p w14:paraId="786F6F67"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 xml:space="preserve">Members of </w:t>
            </w:r>
            <w:r w:rsidRPr="00066040">
              <w:rPr>
                <w:rFonts w:ascii="Cambria" w:eastAsia="Times New Roman" w:hAnsi="Cambria" w:cs="Calibri"/>
                <w:color w:val="000000"/>
                <w:sz w:val="20"/>
                <w:szCs w:val="20"/>
              </w:rPr>
              <w:t xml:space="preserve">Damas de Blanco </w:t>
            </w:r>
          </w:p>
        </w:tc>
        <w:tc>
          <w:tcPr>
            <w:tcW w:w="1433" w:type="dxa"/>
            <w:noWrap/>
            <w:vAlign w:val="center"/>
            <w:hideMark/>
          </w:tcPr>
          <w:p w14:paraId="6611C89D"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Cuba</w:t>
            </w:r>
          </w:p>
        </w:tc>
      </w:tr>
      <w:tr w:rsidR="008668B8" w:rsidRPr="00066040" w14:paraId="212D890A"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5C1AB5D6"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w:t>
            </w:r>
            <w:r w:rsidRPr="00066040">
              <w:rPr>
                <w:rFonts w:ascii="Cambria" w:eastAsia="Times New Roman" w:hAnsi="Cambria" w:cs="Calibri"/>
                <w:color w:val="000000" w:themeColor="text1"/>
                <w:sz w:val="20"/>
                <w:szCs w:val="20"/>
              </w:rPr>
              <w:t>M-302-15</w:t>
            </w:r>
          </w:p>
        </w:tc>
        <w:tc>
          <w:tcPr>
            <w:tcW w:w="2671" w:type="dxa"/>
            <w:noWrap/>
            <w:vAlign w:val="center"/>
            <w:hideMark/>
          </w:tcPr>
          <w:p w14:paraId="07BEBAD2"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3B11C93B"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 xml:space="preserve">Adolescents </w:t>
            </w:r>
            <w:r>
              <w:rPr>
                <w:rFonts w:ascii="Cambria" w:eastAsia="Times New Roman" w:hAnsi="Cambria" w:cs="Calibri"/>
                <w:color w:val="000000"/>
                <w:sz w:val="20"/>
                <w:szCs w:val="20"/>
              </w:rPr>
              <w:t>Deprived of Their Liberty</w:t>
            </w:r>
            <w:r w:rsidRPr="00066040">
              <w:rPr>
                <w:rFonts w:ascii="Cambria" w:eastAsia="Times New Roman" w:hAnsi="Cambria" w:cs="Calibri"/>
                <w:color w:val="000000"/>
                <w:sz w:val="20"/>
                <w:szCs w:val="20"/>
              </w:rPr>
              <w:t xml:space="preserve"> </w:t>
            </w:r>
            <w:r>
              <w:rPr>
                <w:rFonts w:ascii="Cambria" w:eastAsia="Times New Roman" w:hAnsi="Cambria" w:cs="Calibri"/>
                <w:color w:val="000000"/>
                <w:sz w:val="20"/>
                <w:szCs w:val="20"/>
              </w:rPr>
              <w:t>at the Center for Social-Educational Attention of Adolescents</w:t>
            </w:r>
            <w:r w:rsidRPr="00066040">
              <w:rPr>
                <w:rFonts w:ascii="Cambria" w:eastAsia="Times New Roman" w:hAnsi="Cambria" w:cs="Calibri"/>
                <w:color w:val="000000"/>
                <w:sz w:val="20"/>
                <w:szCs w:val="20"/>
              </w:rPr>
              <w:t xml:space="preserve"> (CASA) Cedro </w:t>
            </w:r>
            <w:r>
              <w:rPr>
                <w:rFonts w:ascii="Cambria" w:eastAsia="Times New Roman" w:hAnsi="Cambria" w:cs="Calibri"/>
                <w:color w:val="000000"/>
                <w:sz w:val="20"/>
                <w:szCs w:val="20"/>
              </w:rPr>
              <w:t>with respect to Brazil</w:t>
            </w:r>
          </w:p>
        </w:tc>
        <w:tc>
          <w:tcPr>
            <w:tcW w:w="1433" w:type="dxa"/>
            <w:noWrap/>
            <w:vAlign w:val="center"/>
            <w:hideMark/>
          </w:tcPr>
          <w:p w14:paraId="3461A617"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Brazil</w:t>
            </w:r>
          </w:p>
        </w:tc>
      </w:tr>
      <w:tr w:rsidR="008668B8" w:rsidRPr="00066040" w14:paraId="4E557397"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6AEEFF73"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PM</w:t>
            </w:r>
            <w:r w:rsidRPr="00066040">
              <w:rPr>
                <w:rFonts w:ascii="Cambria" w:eastAsia="Times New Roman" w:hAnsi="Cambria" w:cs="Calibri"/>
                <w:color w:val="000000" w:themeColor="text1"/>
                <w:sz w:val="20"/>
                <w:szCs w:val="20"/>
              </w:rPr>
              <w:t>-888-19</w:t>
            </w:r>
          </w:p>
        </w:tc>
        <w:tc>
          <w:tcPr>
            <w:tcW w:w="2671" w:type="dxa"/>
            <w:noWrap/>
            <w:vAlign w:val="center"/>
            <w:hideMark/>
          </w:tcPr>
          <w:p w14:paraId="6DCACF2B"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Extension</w:t>
            </w:r>
          </w:p>
        </w:tc>
        <w:tc>
          <w:tcPr>
            <w:tcW w:w="3899" w:type="dxa"/>
            <w:vAlign w:val="center"/>
            <w:hideMark/>
          </w:tcPr>
          <w:p w14:paraId="187A9025"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 xml:space="preserve">Persons </w:t>
            </w:r>
            <w:r>
              <w:rPr>
                <w:rFonts w:ascii="Cambria" w:eastAsia="Times New Roman" w:hAnsi="Cambria" w:cs="Calibri"/>
                <w:color w:val="000000"/>
                <w:sz w:val="20"/>
                <w:szCs w:val="20"/>
              </w:rPr>
              <w:t xml:space="preserve">Deprived of Liberty in the </w:t>
            </w:r>
            <w:r w:rsidRPr="00066040">
              <w:rPr>
                <w:rFonts w:ascii="Cambria" w:eastAsia="Times New Roman" w:hAnsi="Cambria" w:cs="Calibri"/>
                <w:color w:val="000000"/>
                <w:sz w:val="20"/>
                <w:szCs w:val="20"/>
              </w:rPr>
              <w:t>Alfredo Tranjan</w:t>
            </w:r>
            <w:r>
              <w:rPr>
                <w:rFonts w:ascii="Cambria" w:eastAsia="Times New Roman" w:hAnsi="Cambria" w:cs="Calibri"/>
                <w:color w:val="000000"/>
                <w:sz w:val="20"/>
                <w:szCs w:val="20"/>
              </w:rPr>
              <w:t xml:space="preserve"> Penitentiary</w:t>
            </w:r>
          </w:p>
        </w:tc>
        <w:tc>
          <w:tcPr>
            <w:tcW w:w="1433" w:type="dxa"/>
            <w:noWrap/>
            <w:vAlign w:val="center"/>
            <w:hideMark/>
          </w:tcPr>
          <w:p w14:paraId="30F8A818"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Brazil</w:t>
            </w:r>
          </w:p>
        </w:tc>
      </w:tr>
      <w:tr w:rsidR="008668B8" w:rsidRPr="00066040" w14:paraId="778B2117"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3F403DA6"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PM-</w:t>
            </w:r>
            <w:r w:rsidRPr="00066040">
              <w:rPr>
                <w:rFonts w:ascii="Cambria" w:eastAsia="Times New Roman" w:hAnsi="Cambria" w:cs="Calibri"/>
                <w:color w:val="000000" w:themeColor="text1"/>
                <w:sz w:val="20"/>
                <w:szCs w:val="20"/>
              </w:rPr>
              <w:t xml:space="preserve">262-02, </w:t>
            </w:r>
            <w:r>
              <w:rPr>
                <w:rFonts w:ascii="Cambria" w:eastAsia="Times New Roman" w:hAnsi="Cambria" w:cs="Calibri"/>
                <w:color w:val="000000" w:themeColor="text1"/>
                <w:sz w:val="20"/>
                <w:szCs w:val="20"/>
              </w:rPr>
              <w:t>PM-</w:t>
            </w:r>
            <w:r w:rsidRPr="00066040">
              <w:rPr>
                <w:rFonts w:ascii="Cambria" w:eastAsia="Times New Roman" w:hAnsi="Cambria" w:cs="Calibri"/>
                <w:color w:val="000000" w:themeColor="text1"/>
                <w:sz w:val="20"/>
                <w:szCs w:val="20"/>
              </w:rPr>
              <w:t xml:space="preserve">465-11, </w:t>
            </w:r>
            <w:r>
              <w:rPr>
                <w:rFonts w:ascii="Cambria" w:eastAsia="Times New Roman" w:hAnsi="Cambria" w:cs="Calibri"/>
                <w:color w:val="000000" w:themeColor="text1"/>
                <w:sz w:val="20"/>
                <w:szCs w:val="20"/>
              </w:rPr>
              <w:t>PM-</w:t>
            </w:r>
            <w:r w:rsidRPr="00066040">
              <w:rPr>
                <w:rFonts w:ascii="Cambria" w:eastAsia="Times New Roman" w:hAnsi="Cambria" w:cs="Calibri"/>
                <w:color w:val="000000" w:themeColor="text1"/>
                <w:sz w:val="20"/>
                <w:szCs w:val="20"/>
              </w:rPr>
              <w:t xml:space="preserve">470-11 </w:t>
            </w:r>
            <w:r>
              <w:rPr>
                <w:rFonts w:ascii="Cambria" w:eastAsia="Times New Roman" w:hAnsi="Cambria" w:cs="Calibri"/>
                <w:color w:val="000000" w:themeColor="text1"/>
                <w:sz w:val="20"/>
                <w:szCs w:val="20"/>
              </w:rPr>
              <w:t>and</w:t>
            </w:r>
            <w:r w:rsidRPr="00066040">
              <w:rPr>
                <w:rFonts w:ascii="Cambria" w:eastAsia="Times New Roman" w:hAnsi="Cambria" w:cs="Calibri"/>
                <w:color w:val="000000" w:themeColor="text1"/>
                <w:sz w:val="20"/>
                <w:szCs w:val="20"/>
              </w:rPr>
              <w:t xml:space="preserve"> </w:t>
            </w:r>
            <w:r>
              <w:rPr>
                <w:rFonts w:ascii="Cambria" w:eastAsia="Times New Roman" w:hAnsi="Cambria" w:cs="Calibri"/>
                <w:color w:val="000000" w:themeColor="text1"/>
                <w:sz w:val="20"/>
                <w:szCs w:val="20"/>
              </w:rPr>
              <w:t>PM-</w:t>
            </w:r>
            <w:r w:rsidRPr="00066040">
              <w:rPr>
                <w:rFonts w:ascii="Cambria" w:eastAsia="Times New Roman" w:hAnsi="Cambria" w:cs="Calibri"/>
                <w:color w:val="000000" w:themeColor="text1"/>
                <w:sz w:val="20"/>
                <w:szCs w:val="20"/>
              </w:rPr>
              <w:t>357-11</w:t>
            </w:r>
          </w:p>
        </w:tc>
        <w:tc>
          <w:tcPr>
            <w:tcW w:w="2671" w:type="dxa"/>
            <w:noWrap/>
            <w:vAlign w:val="center"/>
            <w:hideMark/>
          </w:tcPr>
          <w:p w14:paraId="1E89E252"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2ABC358A"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Abu-Ali Abdur’ Rahman</w:t>
            </w:r>
            <w:r>
              <w:rPr>
                <w:rFonts w:ascii="Cambria" w:eastAsia="Times New Roman" w:hAnsi="Cambria" w:cs="Calibri"/>
                <w:color w:val="000000"/>
                <w:sz w:val="20"/>
                <w:szCs w:val="20"/>
              </w:rPr>
              <w:t xml:space="preserve"> and Three Other Persons</w:t>
            </w:r>
            <w:r w:rsidRPr="00066040">
              <w:rPr>
                <w:rFonts w:ascii="Cambria" w:eastAsia="Times New Roman" w:hAnsi="Cambria" w:cs="Calibri"/>
                <w:color w:val="000000"/>
                <w:sz w:val="20"/>
                <w:szCs w:val="20"/>
              </w:rPr>
              <w:t xml:space="preserve"> </w:t>
            </w:r>
          </w:p>
        </w:tc>
        <w:tc>
          <w:tcPr>
            <w:tcW w:w="1433" w:type="dxa"/>
            <w:noWrap/>
            <w:vAlign w:val="center"/>
            <w:hideMark/>
          </w:tcPr>
          <w:p w14:paraId="115EA921"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United States</w:t>
            </w:r>
          </w:p>
        </w:tc>
      </w:tr>
      <w:tr w:rsidR="008668B8" w:rsidRPr="00066040" w14:paraId="6148F6EA" w14:textId="77777777" w:rsidTr="004B3A4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2F8161D9"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PM-</w:t>
            </w:r>
            <w:r w:rsidRPr="00066040">
              <w:rPr>
                <w:rFonts w:ascii="Cambria" w:eastAsia="Times New Roman" w:hAnsi="Cambria" w:cs="Calibri"/>
                <w:color w:val="000000" w:themeColor="text1"/>
                <w:sz w:val="20"/>
                <w:szCs w:val="20"/>
              </w:rPr>
              <w:t>968-20</w:t>
            </w:r>
          </w:p>
        </w:tc>
        <w:tc>
          <w:tcPr>
            <w:tcW w:w="2671" w:type="dxa"/>
            <w:noWrap/>
            <w:vAlign w:val="center"/>
            <w:hideMark/>
          </w:tcPr>
          <w:p w14:paraId="11938A4A"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642D0528"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 xml:space="preserve">Mariano Valle Peters </w:t>
            </w:r>
          </w:p>
        </w:tc>
        <w:tc>
          <w:tcPr>
            <w:tcW w:w="1433" w:type="dxa"/>
            <w:noWrap/>
            <w:vAlign w:val="center"/>
            <w:hideMark/>
          </w:tcPr>
          <w:p w14:paraId="2E2BCC4A"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Nicaragua</w:t>
            </w:r>
          </w:p>
        </w:tc>
      </w:tr>
      <w:tr w:rsidR="008668B8" w:rsidRPr="00066040" w14:paraId="65D48A7F"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47356C83"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PM-</w:t>
            </w:r>
            <w:r w:rsidRPr="00066040">
              <w:rPr>
                <w:rFonts w:ascii="Cambria" w:eastAsia="Times New Roman" w:hAnsi="Cambria" w:cs="Calibri"/>
                <w:color w:val="000000" w:themeColor="text1"/>
                <w:sz w:val="20"/>
                <w:szCs w:val="20"/>
              </w:rPr>
              <w:t>449-22</w:t>
            </w:r>
          </w:p>
        </w:tc>
        <w:tc>
          <w:tcPr>
            <w:tcW w:w="2671" w:type="dxa"/>
            <w:noWrap/>
            <w:vAlign w:val="center"/>
            <w:hideMark/>
          </w:tcPr>
          <w:p w14:paraId="6790C0F1"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Extension and Follow-Up</w:t>
            </w:r>
          </w:p>
        </w:tc>
        <w:tc>
          <w:tcPr>
            <w:tcW w:w="3899" w:type="dxa"/>
            <w:vAlign w:val="center"/>
            <w:hideMark/>
          </w:tcPr>
          <w:p w14:paraId="3746D836" w14:textId="77777777" w:rsidR="008668B8" w:rsidRPr="00740CD6"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pt-BR"/>
              </w:rPr>
            </w:pPr>
            <w:r w:rsidRPr="00740CD6">
              <w:rPr>
                <w:rFonts w:ascii="Cambria" w:eastAsia="Times New Roman" w:hAnsi="Cambria" w:cs="Calibri"/>
                <w:color w:val="000000"/>
                <w:sz w:val="20"/>
                <w:szCs w:val="20"/>
                <w:lang w:val="pt-BR"/>
              </w:rPr>
              <w:t>União dos Povos Indígenas do Vale de Javari</w:t>
            </w:r>
          </w:p>
        </w:tc>
        <w:tc>
          <w:tcPr>
            <w:tcW w:w="1433" w:type="dxa"/>
            <w:noWrap/>
            <w:vAlign w:val="center"/>
            <w:hideMark/>
          </w:tcPr>
          <w:p w14:paraId="33E1505B"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Brazil</w:t>
            </w:r>
          </w:p>
        </w:tc>
      </w:tr>
      <w:tr w:rsidR="008668B8" w:rsidRPr="00066040" w14:paraId="5826F0ED"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25D2295E"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PM-</w:t>
            </w:r>
            <w:r w:rsidRPr="00066040">
              <w:rPr>
                <w:rFonts w:ascii="Cambria" w:eastAsia="Times New Roman" w:hAnsi="Cambria" w:cs="Calibri"/>
                <w:color w:val="000000" w:themeColor="text1"/>
                <w:sz w:val="20"/>
                <w:szCs w:val="20"/>
              </w:rPr>
              <w:t>258-20</w:t>
            </w:r>
          </w:p>
        </w:tc>
        <w:tc>
          <w:tcPr>
            <w:tcW w:w="2671" w:type="dxa"/>
            <w:noWrap/>
            <w:vAlign w:val="center"/>
            <w:hideMark/>
          </w:tcPr>
          <w:p w14:paraId="0A89BEF6"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Modify and Follow-Up</w:t>
            </w:r>
          </w:p>
        </w:tc>
        <w:tc>
          <w:tcPr>
            <w:tcW w:w="3899" w:type="dxa"/>
            <w:vAlign w:val="center"/>
            <w:hideMark/>
          </w:tcPr>
          <w:p w14:paraId="616FA59A"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José Javier Tarazona Sánchez</w:t>
            </w:r>
          </w:p>
        </w:tc>
        <w:tc>
          <w:tcPr>
            <w:tcW w:w="1433" w:type="dxa"/>
            <w:noWrap/>
            <w:vAlign w:val="center"/>
            <w:hideMark/>
          </w:tcPr>
          <w:p w14:paraId="1330F4AB"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Venezuela</w:t>
            </w:r>
          </w:p>
        </w:tc>
      </w:tr>
      <w:tr w:rsidR="008668B8" w:rsidRPr="00066040" w14:paraId="0EB446FB"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68F5A5C3"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PM-</w:t>
            </w:r>
            <w:r w:rsidRPr="00066040">
              <w:rPr>
                <w:rFonts w:ascii="Cambria" w:eastAsia="Times New Roman" w:hAnsi="Cambria" w:cs="Calibri"/>
                <w:color w:val="000000" w:themeColor="text1"/>
                <w:sz w:val="20"/>
                <w:szCs w:val="20"/>
              </w:rPr>
              <w:t>114-06</w:t>
            </w:r>
          </w:p>
        </w:tc>
        <w:tc>
          <w:tcPr>
            <w:tcW w:w="2671" w:type="dxa"/>
            <w:noWrap/>
            <w:vAlign w:val="center"/>
            <w:hideMark/>
          </w:tcPr>
          <w:p w14:paraId="32E518BC"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19F2B78B" w14:textId="77777777" w:rsidR="008668B8" w:rsidRPr="00740CD6"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s-ES_tradnl"/>
              </w:rPr>
            </w:pPr>
            <w:r w:rsidRPr="00740CD6">
              <w:rPr>
                <w:rFonts w:ascii="Cambria" w:eastAsia="Times New Roman" w:hAnsi="Cambria" w:cs="Calibri"/>
                <w:color w:val="000000"/>
                <w:sz w:val="20"/>
                <w:szCs w:val="20"/>
                <w:lang w:val="es-ES_tradnl"/>
              </w:rPr>
              <w:t xml:space="preserve">Mayan Community-Sitio El Rosario-Naranjo </w:t>
            </w:r>
          </w:p>
        </w:tc>
        <w:tc>
          <w:tcPr>
            <w:tcW w:w="1433" w:type="dxa"/>
            <w:noWrap/>
            <w:vAlign w:val="center"/>
            <w:hideMark/>
          </w:tcPr>
          <w:p w14:paraId="0F7821C5"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Guatemala</w:t>
            </w:r>
          </w:p>
        </w:tc>
      </w:tr>
      <w:tr w:rsidR="008668B8" w:rsidRPr="00066040" w14:paraId="42A3220B"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3513B871"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PM-</w:t>
            </w:r>
            <w:r w:rsidRPr="00066040">
              <w:rPr>
                <w:rFonts w:ascii="Cambria" w:eastAsia="Times New Roman" w:hAnsi="Cambria" w:cs="Calibri"/>
                <w:color w:val="000000" w:themeColor="text1"/>
                <w:sz w:val="20"/>
                <w:szCs w:val="20"/>
              </w:rPr>
              <w:t>1014-17</w:t>
            </w:r>
          </w:p>
        </w:tc>
        <w:tc>
          <w:tcPr>
            <w:tcW w:w="2671" w:type="dxa"/>
            <w:noWrap/>
            <w:vAlign w:val="center"/>
            <w:hideMark/>
          </w:tcPr>
          <w:p w14:paraId="509795CD"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Lift</w:t>
            </w:r>
          </w:p>
        </w:tc>
        <w:tc>
          <w:tcPr>
            <w:tcW w:w="3899" w:type="dxa"/>
            <w:vAlign w:val="center"/>
            <w:hideMark/>
          </w:tcPr>
          <w:p w14:paraId="625AAFA3"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Indigenous Girl</w:t>
            </w:r>
            <w:r w:rsidRPr="00066040">
              <w:rPr>
                <w:rFonts w:ascii="Cambria" w:eastAsia="Times New Roman" w:hAnsi="Cambria" w:cs="Calibri"/>
                <w:color w:val="000000"/>
                <w:sz w:val="20"/>
                <w:szCs w:val="20"/>
              </w:rPr>
              <w:t xml:space="preserve"> U. V. O. </w:t>
            </w:r>
            <w:r>
              <w:rPr>
                <w:rFonts w:ascii="Cambria" w:eastAsia="Times New Roman" w:hAnsi="Cambria" w:cs="Calibri"/>
                <w:color w:val="000000"/>
                <w:sz w:val="20"/>
                <w:szCs w:val="20"/>
              </w:rPr>
              <w:t>and family</w:t>
            </w:r>
            <w:r w:rsidRPr="00066040">
              <w:rPr>
                <w:rFonts w:ascii="Cambria" w:eastAsia="Times New Roman" w:hAnsi="Cambria" w:cs="Calibri"/>
                <w:color w:val="000000"/>
                <w:sz w:val="20"/>
                <w:szCs w:val="20"/>
              </w:rPr>
              <w:t xml:space="preserve"> </w:t>
            </w:r>
          </w:p>
        </w:tc>
        <w:tc>
          <w:tcPr>
            <w:tcW w:w="1433" w:type="dxa"/>
            <w:noWrap/>
            <w:vAlign w:val="center"/>
            <w:hideMark/>
          </w:tcPr>
          <w:p w14:paraId="4C10FC12" w14:textId="77777777" w:rsidR="008668B8" w:rsidRPr="00066040"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Mexico</w:t>
            </w:r>
          </w:p>
        </w:tc>
      </w:tr>
      <w:tr w:rsidR="008668B8" w:rsidRPr="00066040" w14:paraId="02B679BE"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hideMark/>
          </w:tcPr>
          <w:p w14:paraId="075DE23B" w14:textId="77777777" w:rsidR="008668B8" w:rsidRPr="00066040" w:rsidRDefault="008668B8" w:rsidP="004B3A4F">
            <w:pPr>
              <w:rPr>
                <w:rFonts w:ascii="Cambria" w:eastAsia="Times New Roman" w:hAnsi="Cambria" w:cs="Calibri"/>
                <w:color w:val="000000"/>
                <w:sz w:val="20"/>
                <w:szCs w:val="20"/>
              </w:rPr>
            </w:pPr>
            <w:r>
              <w:rPr>
                <w:rFonts w:ascii="Cambria" w:eastAsia="Times New Roman" w:hAnsi="Cambria" w:cs="Calibri"/>
                <w:color w:val="000000" w:themeColor="text1"/>
                <w:sz w:val="20"/>
                <w:szCs w:val="20"/>
              </w:rPr>
              <w:t>P</w:t>
            </w:r>
            <w:r w:rsidRPr="00066040">
              <w:rPr>
                <w:rFonts w:ascii="Cambria" w:eastAsia="Times New Roman" w:hAnsi="Cambria" w:cs="Calibri"/>
                <w:color w:val="000000" w:themeColor="text1"/>
                <w:sz w:val="20"/>
                <w:szCs w:val="20"/>
              </w:rPr>
              <w:t>M-693-18</w:t>
            </w:r>
          </w:p>
        </w:tc>
        <w:tc>
          <w:tcPr>
            <w:tcW w:w="2671" w:type="dxa"/>
            <w:noWrap/>
            <w:vAlign w:val="center"/>
            <w:hideMark/>
          </w:tcPr>
          <w:p w14:paraId="37BCA9EE"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Extension</w:t>
            </w:r>
          </w:p>
        </w:tc>
        <w:tc>
          <w:tcPr>
            <w:tcW w:w="3899" w:type="dxa"/>
            <w:vAlign w:val="center"/>
            <w:hideMark/>
          </w:tcPr>
          <w:p w14:paraId="5BCFE7A6"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 xml:space="preserve">Katya Milady Reyes Ortiz </w:t>
            </w:r>
          </w:p>
        </w:tc>
        <w:tc>
          <w:tcPr>
            <w:tcW w:w="1433" w:type="dxa"/>
            <w:noWrap/>
            <w:vAlign w:val="center"/>
            <w:hideMark/>
          </w:tcPr>
          <w:p w14:paraId="51F6C37D" w14:textId="77777777" w:rsidR="008668B8" w:rsidRPr="00066040"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066040">
              <w:rPr>
                <w:rFonts w:ascii="Cambria" w:eastAsia="Times New Roman" w:hAnsi="Cambria" w:cs="Calibri"/>
                <w:color w:val="000000"/>
                <w:sz w:val="20"/>
                <w:szCs w:val="20"/>
              </w:rPr>
              <w:t>Nicaragua</w:t>
            </w:r>
          </w:p>
        </w:tc>
      </w:tr>
      <w:tr w:rsidR="008668B8" w:rsidRPr="00066040" w14:paraId="519533FF"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tcPr>
          <w:p w14:paraId="2D690DA5" w14:textId="77777777" w:rsidR="008668B8" w:rsidRPr="00113AB2" w:rsidRDefault="008668B8" w:rsidP="004B3A4F">
            <w:pPr>
              <w:rPr>
                <w:rFonts w:ascii="Cambria" w:eastAsia="Times New Roman" w:hAnsi="Cambria" w:cs="Calibri"/>
                <w:color w:val="000000" w:themeColor="text1"/>
                <w:sz w:val="20"/>
                <w:szCs w:val="20"/>
              </w:rPr>
            </w:pPr>
            <w:r>
              <w:rPr>
                <w:rFonts w:ascii="Cambria" w:hAnsi="Cambria"/>
                <w:sz w:val="20"/>
                <w:szCs w:val="20"/>
              </w:rPr>
              <w:t>PM</w:t>
            </w:r>
            <w:r w:rsidRPr="00113AB2">
              <w:rPr>
                <w:rFonts w:ascii="Cambria" w:hAnsi="Cambria"/>
                <w:sz w:val="20"/>
                <w:szCs w:val="20"/>
              </w:rPr>
              <w:t>-197-10</w:t>
            </w:r>
          </w:p>
        </w:tc>
        <w:tc>
          <w:tcPr>
            <w:tcW w:w="2671" w:type="dxa"/>
            <w:noWrap/>
            <w:vAlign w:val="center"/>
          </w:tcPr>
          <w:p w14:paraId="323D3F72" w14:textId="77777777" w:rsidR="008668B8" w:rsidRPr="00113AB2"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hAnsi="Cambria"/>
                <w:sz w:val="20"/>
                <w:szCs w:val="20"/>
              </w:rPr>
              <w:t>Lift</w:t>
            </w:r>
          </w:p>
        </w:tc>
        <w:tc>
          <w:tcPr>
            <w:tcW w:w="3899" w:type="dxa"/>
            <w:vAlign w:val="center"/>
          </w:tcPr>
          <w:p w14:paraId="72B7D459" w14:textId="77777777" w:rsidR="008668B8" w:rsidRPr="00113AB2"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s-ES_tradnl"/>
              </w:rPr>
            </w:pPr>
            <w:r w:rsidRPr="00113AB2">
              <w:rPr>
                <w:rFonts w:ascii="Cambria" w:hAnsi="Cambria"/>
                <w:sz w:val="20"/>
                <w:szCs w:val="20"/>
                <w:lang w:val="es-ES_tradnl"/>
              </w:rPr>
              <w:t>135 habitantes de San Juan Copala</w:t>
            </w:r>
          </w:p>
        </w:tc>
        <w:tc>
          <w:tcPr>
            <w:tcW w:w="1433" w:type="dxa"/>
            <w:noWrap/>
            <w:vAlign w:val="center"/>
          </w:tcPr>
          <w:p w14:paraId="115A55AB" w14:textId="77777777" w:rsidR="008668B8" w:rsidRPr="00113AB2"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113AB2">
              <w:rPr>
                <w:rFonts w:ascii="Cambria" w:hAnsi="Cambria"/>
                <w:sz w:val="20"/>
                <w:szCs w:val="20"/>
              </w:rPr>
              <w:t>México</w:t>
            </w:r>
          </w:p>
        </w:tc>
      </w:tr>
      <w:tr w:rsidR="008668B8" w:rsidRPr="00066040" w14:paraId="4CE9EB79"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tcPr>
          <w:p w14:paraId="63F8A449" w14:textId="77777777" w:rsidR="008668B8" w:rsidRPr="00113AB2" w:rsidRDefault="008668B8" w:rsidP="004B3A4F">
            <w:pPr>
              <w:rPr>
                <w:rFonts w:ascii="Cambria" w:eastAsia="Times New Roman" w:hAnsi="Cambria" w:cs="Calibri"/>
                <w:color w:val="000000" w:themeColor="text1"/>
                <w:sz w:val="20"/>
                <w:szCs w:val="20"/>
              </w:rPr>
            </w:pPr>
            <w:r>
              <w:rPr>
                <w:rFonts w:ascii="Cambria" w:hAnsi="Cambria"/>
                <w:sz w:val="20"/>
                <w:szCs w:val="20"/>
              </w:rPr>
              <w:t>PM</w:t>
            </w:r>
            <w:r w:rsidRPr="00113AB2">
              <w:rPr>
                <w:rFonts w:ascii="Cambria" w:hAnsi="Cambria"/>
                <w:sz w:val="20"/>
                <w:szCs w:val="20"/>
              </w:rPr>
              <w:t>-400-15</w:t>
            </w:r>
          </w:p>
        </w:tc>
        <w:tc>
          <w:tcPr>
            <w:tcW w:w="2671" w:type="dxa"/>
            <w:noWrap/>
            <w:vAlign w:val="center"/>
          </w:tcPr>
          <w:p w14:paraId="54C37EE0" w14:textId="77777777" w:rsidR="008668B8" w:rsidRPr="00113AB2"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hAnsi="Cambria"/>
                <w:sz w:val="20"/>
                <w:szCs w:val="20"/>
              </w:rPr>
              <w:t>Lift</w:t>
            </w:r>
          </w:p>
        </w:tc>
        <w:tc>
          <w:tcPr>
            <w:tcW w:w="3899" w:type="dxa"/>
            <w:vAlign w:val="center"/>
          </w:tcPr>
          <w:p w14:paraId="6AE748F7" w14:textId="77777777" w:rsidR="008668B8" w:rsidRPr="00303107"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303107">
              <w:rPr>
                <w:rFonts w:ascii="Cambria" w:hAnsi="Cambria"/>
                <w:sz w:val="20"/>
                <w:szCs w:val="20"/>
              </w:rPr>
              <w:t xml:space="preserve">O.Y.L. and 14 other persons (15 identified members of the Governing Board of the </w:t>
            </w:r>
            <w:r w:rsidRPr="00303107">
              <w:rPr>
                <w:rFonts w:ascii="Cambria" w:hAnsi="Cambria"/>
                <w:sz w:val="20"/>
                <w:szCs w:val="20"/>
              </w:rPr>
              <w:lastRenderedPageBreak/>
              <w:t>Alto Mira and Frontera Community Council - CCAMF)</w:t>
            </w:r>
          </w:p>
        </w:tc>
        <w:tc>
          <w:tcPr>
            <w:tcW w:w="1433" w:type="dxa"/>
            <w:noWrap/>
            <w:vAlign w:val="center"/>
          </w:tcPr>
          <w:p w14:paraId="45E713A8" w14:textId="77777777" w:rsidR="008668B8" w:rsidRPr="00113AB2"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113AB2">
              <w:rPr>
                <w:rFonts w:ascii="Cambria" w:hAnsi="Cambria"/>
                <w:sz w:val="20"/>
                <w:szCs w:val="20"/>
              </w:rPr>
              <w:lastRenderedPageBreak/>
              <w:t>Colombia</w:t>
            </w:r>
          </w:p>
        </w:tc>
      </w:tr>
      <w:tr w:rsidR="008668B8" w:rsidRPr="00066040" w14:paraId="1C669373"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tcPr>
          <w:p w14:paraId="44FB59D2" w14:textId="77777777" w:rsidR="008668B8" w:rsidRPr="00113AB2" w:rsidRDefault="008668B8" w:rsidP="004B3A4F">
            <w:pPr>
              <w:rPr>
                <w:rFonts w:ascii="Cambria" w:eastAsia="Times New Roman" w:hAnsi="Cambria" w:cs="Calibri"/>
                <w:color w:val="000000" w:themeColor="text1"/>
                <w:sz w:val="20"/>
                <w:szCs w:val="20"/>
              </w:rPr>
            </w:pPr>
            <w:r>
              <w:rPr>
                <w:rFonts w:ascii="Cambria" w:hAnsi="Cambria"/>
                <w:sz w:val="20"/>
                <w:szCs w:val="20"/>
              </w:rPr>
              <w:t>PM</w:t>
            </w:r>
            <w:r w:rsidRPr="00113AB2">
              <w:rPr>
                <w:rFonts w:ascii="Cambria" w:hAnsi="Cambria"/>
                <w:sz w:val="20"/>
                <w:szCs w:val="20"/>
              </w:rPr>
              <w:t>-452-13</w:t>
            </w:r>
          </w:p>
        </w:tc>
        <w:tc>
          <w:tcPr>
            <w:tcW w:w="2671" w:type="dxa"/>
            <w:noWrap/>
            <w:vAlign w:val="center"/>
          </w:tcPr>
          <w:p w14:paraId="79B1B776" w14:textId="77777777" w:rsidR="008668B8" w:rsidRPr="00113AB2"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hAnsi="Cambria"/>
                <w:sz w:val="20"/>
                <w:szCs w:val="20"/>
              </w:rPr>
              <w:t>Partial Lift</w:t>
            </w:r>
          </w:p>
        </w:tc>
        <w:tc>
          <w:tcPr>
            <w:tcW w:w="3899" w:type="dxa"/>
            <w:vAlign w:val="center"/>
          </w:tcPr>
          <w:p w14:paraId="31D81278" w14:textId="77777777" w:rsidR="008668B8" w:rsidRPr="00113AB2"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s-ES"/>
              </w:rPr>
            </w:pPr>
            <w:r w:rsidRPr="6D82FDC4">
              <w:rPr>
                <w:rFonts w:ascii="Cambria" w:hAnsi="Cambria"/>
                <w:sz w:val="20"/>
                <w:szCs w:val="20"/>
                <w:lang w:val="es-ES"/>
              </w:rPr>
              <w:t>Lauro Baumea Mora et al.</w:t>
            </w:r>
          </w:p>
        </w:tc>
        <w:tc>
          <w:tcPr>
            <w:tcW w:w="1433" w:type="dxa"/>
            <w:noWrap/>
            <w:vAlign w:val="center"/>
          </w:tcPr>
          <w:p w14:paraId="49494EF3" w14:textId="77777777" w:rsidR="008668B8" w:rsidRPr="00113AB2"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113AB2">
              <w:rPr>
                <w:rFonts w:ascii="Cambria" w:hAnsi="Cambria"/>
                <w:sz w:val="20"/>
                <w:szCs w:val="20"/>
              </w:rPr>
              <w:t>M</w:t>
            </w:r>
            <w:r>
              <w:rPr>
                <w:rFonts w:ascii="Cambria" w:hAnsi="Cambria"/>
                <w:sz w:val="20"/>
                <w:szCs w:val="20"/>
              </w:rPr>
              <w:t>e</w:t>
            </w:r>
            <w:r w:rsidRPr="00113AB2">
              <w:rPr>
                <w:rFonts w:ascii="Cambria" w:hAnsi="Cambria"/>
                <w:sz w:val="20"/>
                <w:szCs w:val="20"/>
              </w:rPr>
              <w:t>xico</w:t>
            </w:r>
          </w:p>
        </w:tc>
      </w:tr>
      <w:tr w:rsidR="008668B8" w:rsidRPr="00066040" w14:paraId="345D681B"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tcPr>
          <w:p w14:paraId="26336E15" w14:textId="77777777" w:rsidR="008668B8" w:rsidRPr="00113AB2" w:rsidRDefault="008668B8" w:rsidP="004B3A4F">
            <w:pPr>
              <w:rPr>
                <w:rFonts w:ascii="Cambria" w:eastAsia="Times New Roman" w:hAnsi="Cambria" w:cs="Calibri"/>
                <w:color w:val="000000" w:themeColor="text1"/>
                <w:sz w:val="20"/>
                <w:szCs w:val="20"/>
              </w:rPr>
            </w:pPr>
            <w:r>
              <w:rPr>
                <w:rFonts w:ascii="Cambria" w:hAnsi="Cambria"/>
                <w:sz w:val="20"/>
                <w:szCs w:val="20"/>
              </w:rPr>
              <w:t>PM</w:t>
            </w:r>
            <w:r w:rsidRPr="00113AB2">
              <w:rPr>
                <w:rFonts w:ascii="Cambria" w:hAnsi="Cambria"/>
                <w:sz w:val="20"/>
                <w:szCs w:val="20"/>
              </w:rPr>
              <w:t>-29-15</w:t>
            </w:r>
          </w:p>
        </w:tc>
        <w:tc>
          <w:tcPr>
            <w:tcW w:w="2671" w:type="dxa"/>
            <w:noWrap/>
            <w:vAlign w:val="center"/>
          </w:tcPr>
          <w:p w14:paraId="1E12E429" w14:textId="77777777" w:rsidR="008668B8" w:rsidRPr="00113AB2"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hAnsi="Cambria"/>
                <w:sz w:val="20"/>
                <w:szCs w:val="20"/>
              </w:rPr>
              <w:t>Lift</w:t>
            </w:r>
          </w:p>
        </w:tc>
        <w:tc>
          <w:tcPr>
            <w:tcW w:w="3899" w:type="dxa"/>
            <w:vAlign w:val="center"/>
          </w:tcPr>
          <w:p w14:paraId="55C7CC24" w14:textId="77777777" w:rsidR="008668B8" w:rsidRPr="00113AB2"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113AB2">
              <w:rPr>
                <w:rFonts w:ascii="Cambria" w:hAnsi="Cambria"/>
                <w:sz w:val="20"/>
                <w:szCs w:val="20"/>
              </w:rPr>
              <w:t>Nazira María Ugalde Alfaro</w:t>
            </w:r>
          </w:p>
        </w:tc>
        <w:tc>
          <w:tcPr>
            <w:tcW w:w="1433" w:type="dxa"/>
            <w:noWrap/>
            <w:vAlign w:val="center"/>
          </w:tcPr>
          <w:p w14:paraId="6CEF5359" w14:textId="77777777" w:rsidR="008668B8" w:rsidRPr="00113AB2" w:rsidRDefault="008668B8" w:rsidP="004B3A4F">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31502C94">
              <w:rPr>
                <w:rFonts w:ascii="Cambria" w:hAnsi="Cambria"/>
                <w:sz w:val="20"/>
                <w:szCs w:val="20"/>
              </w:rPr>
              <w:t>Peru</w:t>
            </w:r>
          </w:p>
        </w:tc>
      </w:tr>
      <w:tr w:rsidR="008668B8" w:rsidRPr="00066040" w14:paraId="4099E0F7"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tcPr>
          <w:p w14:paraId="7E6FA780" w14:textId="77777777" w:rsidR="008668B8" w:rsidRPr="00113AB2" w:rsidRDefault="008668B8" w:rsidP="004B3A4F">
            <w:pPr>
              <w:rPr>
                <w:rFonts w:ascii="Cambria" w:eastAsia="Times New Roman" w:hAnsi="Cambria" w:cs="Calibri"/>
                <w:color w:val="000000" w:themeColor="text1"/>
                <w:sz w:val="20"/>
                <w:szCs w:val="20"/>
              </w:rPr>
            </w:pPr>
            <w:r w:rsidRPr="31502C94">
              <w:rPr>
                <w:rFonts w:ascii="Cambria" w:hAnsi="Cambria"/>
                <w:sz w:val="20"/>
                <w:szCs w:val="20"/>
              </w:rPr>
              <w:t>PM-384-02, PM-348-06, PM-177-14, PM-204-07, PM-736-17 and PM-250-17</w:t>
            </w:r>
          </w:p>
        </w:tc>
        <w:tc>
          <w:tcPr>
            <w:tcW w:w="2671" w:type="dxa"/>
            <w:noWrap/>
            <w:vAlign w:val="center"/>
          </w:tcPr>
          <w:p w14:paraId="1C79D595" w14:textId="77777777" w:rsidR="008668B8" w:rsidRPr="00113AB2"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hAnsi="Cambria"/>
                <w:sz w:val="20"/>
                <w:szCs w:val="20"/>
              </w:rPr>
              <w:t>Lift</w:t>
            </w:r>
          </w:p>
        </w:tc>
        <w:tc>
          <w:tcPr>
            <w:tcW w:w="3899" w:type="dxa"/>
            <w:vAlign w:val="center"/>
          </w:tcPr>
          <w:p w14:paraId="0903872E" w14:textId="77777777" w:rsidR="008668B8" w:rsidRPr="00303107"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303107">
              <w:rPr>
                <w:rFonts w:ascii="Cambria" w:hAnsi="Cambria"/>
                <w:sz w:val="20"/>
                <w:szCs w:val="20"/>
              </w:rPr>
              <w:t>Roberto Moreno Ramos and five other persons</w:t>
            </w:r>
          </w:p>
        </w:tc>
        <w:tc>
          <w:tcPr>
            <w:tcW w:w="1433" w:type="dxa"/>
            <w:noWrap/>
            <w:vAlign w:val="center"/>
          </w:tcPr>
          <w:p w14:paraId="67659F37" w14:textId="77777777" w:rsidR="008668B8" w:rsidRPr="00113AB2"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hAnsi="Cambria"/>
                <w:sz w:val="20"/>
                <w:szCs w:val="20"/>
              </w:rPr>
              <w:t>United States</w:t>
            </w:r>
          </w:p>
        </w:tc>
      </w:tr>
      <w:tr w:rsidR="008668B8" w:rsidRPr="00066040" w14:paraId="65FB2FBF" w14:textId="77777777" w:rsidTr="004B3A4F">
        <w:trPr>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tcPr>
          <w:p w14:paraId="6A58315B" w14:textId="77777777" w:rsidR="008668B8" w:rsidRPr="00113AB2" w:rsidRDefault="008668B8" w:rsidP="004B3A4F">
            <w:pPr>
              <w:rPr>
                <w:rFonts w:ascii="Cambria" w:eastAsia="Times New Roman" w:hAnsi="Cambria" w:cs="Calibri"/>
                <w:color w:val="000000" w:themeColor="text1"/>
                <w:sz w:val="20"/>
                <w:szCs w:val="20"/>
              </w:rPr>
            </w:pPr>
            <w:r w:rsidRPr="31502C94">
              <w:rPr>
                <w:rFonts w:ascii="Cambria" w:hAnsi="Cambria"/>
                <w:sz w:val="20"/>
                <w:szCs w:val="20"/>
              </w:rPr>
              <w:t>PM-204-14, PM-489-15, PM-156-17 and PM1048-20</w:t>
            </w:r>
          </w:p>
        </w:tc>
        <w:tc>
          <w:tcPr>
            <w:tcW w:w="2671" w:type="dxa"/>
            <w:noWrap/>
            <w:vAlign w:val="center"/>
          </w:tcPr>
          <w:p w14:paraId="546A50CA" w14:textId="77777777" w:rsidR="008668B8" w:rsidRPr="00113AB2"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hAnsi="Cambria"/>
                <w:sz w:val="20"/>
                <w:szCs w:val="20"/>
              </w:rPr>
              <w:t>Lift</w:t>
            </w:r>
          </w:p>
        </w:tc>
        <w:tc>
          <w:tcPr>
            <w:tcW w:w="3899" w:type="dxa"/>
            <w:vAlign w:val="center"/>
          </w:tcPr>
          <w:p w14:paraId="0DAA4255" w14:textId="77777777" w:rsidR="008668B8" w:rsidRPr="00303107" w:rsidRDefault="008668B8" w:rsidP="004B3A4F">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303107">
              <w:rPr>
                <w:rFonts w:ascii="Cambria" w:hAnsi="Cambria"/>
                <w:sz w:val="20"/>
                <w:szCs w:val="20"/>
              </w:rPr>
              <w:t>John Winfield and three others</w:t>
            </w:r>
          </w:p>
        </w:tc>
        <w:tc>
          <w:tcPr>
            <w:tcW w:w="1433" w:type="dxa"/>
            <w:noWrap/>
            <w:vAlign w:val="center"/>
          </w:tcPr>
          <w:p w14:paraId="57BF6E66" w14:textId="77777777" w:rsidR="008668B8" w:rsidRPr="00113AB2" w:rsidRDefault="008668B8" w:rsidP="004B3A4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hAnsi="Cambria"/>
                <w:sz w:val="20"/>
                <w:szCs w:val="20"/>
              </w:rPr>
              <w:t>United States</w:t>
            </w:r>
          </w:p>
        </w:tc>
      </w:tr>
      <w:tr w:rsidR="008668B8" w:rsidRPr="00066040" w14:paraId="5C22B741" w14:textId="77777777" w:rsidTr="004B3A4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1" w:type="dxa"/>
            <w:noWrap/>
            <w:vAlign w:val="center"/>
          </w:tcPr>
          <w:p w14:paraId="7063936B" w14:textId="77777777" w:rsidR="008668B8" w:rsidRPr="00113AB2" w:rsidRDefault="008668B8" w:rsidP="004B3A4F">
            <w:pPr>
              <w:rPr>
                <w:rFonts w:ascii="Cambria" w:eastAsia="Times New Roman" w:hAnsi="Cambria" w:cs="Calibri"/>
                <w:color w:val="000000" w:themeColor="text1"/>
                <w:sz w:val="20"/>
                <w:szCs w:val="20"/>
              </w:rPr>
            </w:pPr>
            <w:r>
              <w:rPr>
                <w:rFonts w:ascii="Cambria" w:hAnsi="Cambria"/>
                <w:sz w:val="20"/>
                <w:szCs w:val="20"/>
              </w:rPr>
              <w:t>PM</w:t>
            </w:r>
            <w:r w:rsidRPr="00113AB2">
              <w:rPr>
                <w:rFonts w:ascii="Cambria" w:hAnsi="Cambria"/>
                <w:sz w:val="20"/>
                <w:szCs w:val="20"/>
              </w:rPr>
              <w:t>-29-16</w:t>
            </w:r>
          </w:p>
        </w:tc>
        <w:tc>
          <w:tcPr>
            <w:tcW w:w="2671" w:type="dxa"/>
            <w:noWrap/>
            <w:vAlign w:val="center"/>
          </w:tcPr>
          <w:p w14:paraId="371B5254" w14:textId="77777777" w:rsidR="008668B8" w:rsidRPr="00113AB2"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hAnsi="Cambria"/>
                <w:sz w:val="20"/>
                <w:szCs w:val="20"/>
              </w:rPr>
              <w:t>Lift</w:t>
            </w:r>
          </w:p>
        </w:tc>
        <w:tc>
          <w:tcPr>
            <w:tcW w:w="3899" w:type="dxa"/>
            <w:vAlign w:val="center"/>
          </w:tcPr>
          <w:p w14:paraId="2E322E11" w14:textId="77777777" w:rsidR="008668B8" w:rsidRPr="00113AB2"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s-ES"/>
              </w:rPr>
            </w:pPr>
            <w:r w:rsidRPr="6D82FDC4">
              <w:rPr>
                <w:rFonts w:ascii="Cambria" w:hAnsi="Cambria"/>
                <w:sz w:val="20"/>
                <w:szCs w:val="20"/>
                <w:lang w:val="es-ES"/>
              </w:rPr>
              <w:t>Margarita Marín Yan et al.</w:t>
            </w:r>
          </w:p>
        </w:tc>
        <w:tc>
          <w:tcPr>
            <w:tcW w:w="1433" w:type="dxa"/>
            <w:noWrap/>
            <w:vAlign w:val="center"/>
          </w:tcPr>
          <w:p w14:paraId="561E1BF0" w14:textId="77777777" w:rsidR="008668B8" w:rsidRPr="00113AB2" w:rsidRDefault="008668B8" w:rsidP="004B3A4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113AB2">
              <w:rPr>
                <w:rFonts w:ascii="Cambria" w:hAnsi="Cambria"/>
                <w:sz w:val="20"/>
                <w:szCs w:val="20"/>
              </w:rPr>
              <w:t>M</w:t>
            </w:r>
            <w:r>
              <w:rPr>
                <w:rFonts w:ascii="Cambria" w:hAnsi="Cambria"/>
                <w:sz w:val="20"/>
                <w:szCs w:val="20"/>
              </w:rPr>
              <w:t>e</w:t>
            </w:r>
            <w:r w:rsidRPr="00113AB2">
              <w:rPr>
                <w:rFonts w:ascii="Cambria" w:hAnsi="Cambria"/>
                <w:sz w:val="20"/>
                <w:szCs w:val="20"/>
              </w:rPr>
              <w:t>xico</w:t>
            </w:r>
          </w:p>
        </w:tc>
      </w:tr>
    </w:tbl>
    <w:p w14:paraId="3ADD1620" w14:textId="77777777" w:rsidR="008668B8" w:rsidRPr="00066040" w:rsidRDefault="008668B8" w:rsidP="008668B8">
      <w:pPr>
        <w:pBdr>
          <w:top w:val="nil"/>
          <w:left w:val="nil"/>
          <w:bottom w:val="nil"/>
          <w:right w:val="nil"/>
          <w:between w:val="nil"/>
          <w:bar w:val="nil"/>
        </w:pBdr>
        <w:jc w:val="both"/>
        <w:rPr>
          <w:rFonts w:ascii="Cambria" w:eastAsia="Calibri" w:hAnsi="Cambria" w:cs="Calibri"/>
          <w:color w:val="333333"/>
          <w:sz w:val="20"/>
          <w:szCs w:val="20"/>
          <w:u w:color="000000"/>
          <w:bdr w:val="nil"/>
          <w:shd w:val="clear" w:color="auto" w:fill="FFFFFF"/>
          <w14:textOutline w14:w="0" w14:cap="flat" w14:cmpd="sng" w14:algn="ctr">
            <w14:noFill/>
            <w14:prstDash w14:val="solid"/>
            <w14:bevel/>
          </w14:textOutline>
        </w:rPr>
      </w:pPr>
    </w:p>
    <w:p w14:paraId="4EA6977A" w14:textId="77777777" w:rsidR="008668B8" w:rsidRPr="00066040" w:rsidRDefault="008668B8" w:rsidP="00933F91">
      <w:pPr>
        <w:pStyle w:val="BodyText"/>
        <w:widowControl/>
        <w:numPr>
          <w:ilvl w:val="0"/>
          <w:numId w:val="58"/>
        </w:numPr>
        <w:ind w:left="0" w:firstLine="720"/>
        <w:jc w:val="both"/>
        <w:rPr>
          <w:rFonts w:eastAsia="Calibri" w:cs="Calibri"/>
          <w:bdr w:val="nil"/>
          <w:shd w:val="clear" w:color="auto" w:fill="FFFFFF"/>
          <w14:textOutline w14:w="0" w14:cap="flat" w14:cmpd="sng" w14:algn="ctr">
            <w14:noFill/>
            <w14:prstDash w14:val="solid"/>
            <w14:bevel/>
          </w14:textOutline>
        </w:rPr>
      </w:pPr>
      <w:r>
        <w:rPr>
          <w:rFonts w:eastAsia="Calibri" w:cs="Calibri"/>
          <w:bdr w:val="nil"/>
          <w:shd w:val="clear" w:color="auto" w:fill="FFFFFF"/>
          <w14:textOutline w14:w="0" w14:cap="flat" w14:cmpd="sng" w14:algn="ctr">
            <w14:noFill/>
            <w14:prstDash w14:val="solid"/>
            <w14:bevel/>
          </w14:textOutline>
        </w:rPr>
        <w:t xml:space="preserve">Follow-Up Resolutions are a practice that the IACHR decided to consolidate through the above-mentioned </w:t>
      </w:r>
      <w:hyperlink r:id="rId232">
        <w:r w:rsidRPr="6D82FDC4">
          <w:rPr>
            <w:rStyle w:val="Hyperlink"/>
            <w:rFonts w:eastAsia="Calibri" w:cs="Calibri"/>
          </w:rPr>
          <w:t>Resolution 2/2020</w:t>
        </w:r>
      </w:hyperlink>
      <w:r w:rsidRPr="00066040">
        <w:rPr>
          <w:rFonts w:eastAsia="Calibri" w:cs="Calibri"/>
          <w:bdr w:val="nil"/>
          <w:shd w:val="clear" w:color="auto" w:fill="FFFFFF"/>
          <w14:textOutline w14:w="0" w14:cap="flat" w14:cmpd="sng" w14:algn="ctr">
            <w14:noFill/>
            <w14:prstDash w14:val="solid"/>
            <w14:bevel/>
          </w14:textOutline>
        </w:rPr>
        <w:t xml:space="preserve">. </w:t>
      </w:r>
      <w:r>
        <w:rPr>
          <w:rFonts w:eastAsia="Calibri" w:cs="Calibri"/>
          <w:bdr w:val="nil"/>
          <w:shd w:val="clear" w:color="auto" w:fill="FFFFFF"/>
          <w14:textOutline w14:w="0" w14:cap="flat" w14:cmpd="sng" w14:algn="ctr">
            <w14:noFill/>
            <w14:prstDash w14:val="solid"/>
            <w14:bevel/>
          </w14:textOutline>
        </w:rPr>
        <w:t xml:space="preserve">They provide an opportunity for the Commission to evaluate the implementation and mitigation measures adopted by the State and to delve into the specific aspects of each </w:t>
      </w:r>
      <w:r w:rsidRPr="00740CD6">
        <w:rPr>
          <w:rFonts w:eastAsia="Calibri" w:cs="Calibri"/>
          <w:bdr w:val="nil"/>
          <w:shd w:val="clear" w:color="auto" w:fill="FFFFFF"/>
          <w14:textOutline w14:w="0" w14:cap="flat" w14:cmpd="sng" w14:algn="ctr">
            <w14:noFill/>
            <w14:prstDash w14:val="solid"/>
            <w14:bevel/>
          </w14:textOutline>
        </w:rPr>
        <w:t>matter, taking into account the criteria established in that resolution. In 2022, the Commission granted five follow</w:t>
      </w:r>
      <w:r>
        <w:rPr>
          <w:rFonts w:eastAsia="Calibri" w:cs="Calibri"/>
          <w:bdr w:val="nil"/>
          <w:shd w:val="clear" w:color="auto" w:fill="FFFFFF"/>
          <w14:textOutline w14:w="0" w14:cap="flat" w14:cmpd="sng" w14:algn="ctr">
            <w14:noFill/>
            <w14:prstDash w14:val="solid"/>
            <w14:bevel/>
          </w14:textOutline>
        </w:rPr>
        <w:t>-up resolutions, which are detailed as follows</w:t>
      </w:r>
      <w:r w:rsidRPr="00066040">
        <w:rPr>
          <w:rFonts w:eastAsia="Calibri" w:cs="Calibri"/>
          <w:bdr w:val="nil"/>
          <w:shd w:val="clear" w:color="auto" w:fill="FFFFFF"/>
          <w14:textOutline w14:w="0" w14:cap="flat" w14:cmpd="sng" w14:algn="ctr">
            <w14:noFill/>
            <w14:prstDash w14:val="solid"/>
            <w14:bevel/>
          </w14:textOutline>
        </w:rPr>
        <w:t>:</w:t>
      </w:r>
    </w:p>
    <w:p w14:paraId="680DF298" w14:textId="77777777" w:rsidR="008668B8" w:rsidRPr="00066040" w:rsidRDefault="008668B8" w:rsidP="008668B8">
      <w:pPr>
        <w:pBdr>
          <w:top w:val="nil"/>
          <w:left w:val="nil"/>
          <w:bottom w:val="nil"/>
          <w:right w:val="nil"/>
          <w:between w:val="nil"/>
          <w:bar w:val="nil"/>
        </w:pBdr>
        <w:ind w:left="2160"/>
        <w:jc w:val="both"/>
        <w:rPr>
          <w:rFonts w:ascii="Cambria" w:eastAsia="Calibri" w:hAnsi="Cambria" w:cs="Calibri"/>
          <w:sz w:val="20"/>
          <w:szCs w:val="20"/>
          <w:bdr w:val="nil"/>
          <w:shd w:val="clear" w:color="auto" w:fill="FFFFFF"/>
          <w14:textOutline w14:w="0" w14:cap="flat" w14:cmpd="sng" w14:algn="ctr">
            <w14:noFill/>
            <w14:prstDash w14:val="solid"/>
            <w14:bevel/>
          </w14:textOutline>
        </w:rPr>
      </w:pPr>
    </w:p>
    <w:p w14:paraId="7A2091CC" w14:textId="77777777" w:rsidR="008668B8" w:rsidRPr="00066040" w:rsidRDefault="0071198A" w:rsidP="008668B8">
      <w:pPr>
        <w:pBdr>
          <w:top w:val="nil"/>
          <w:left w:val="nil"/>
          <w:bottom w:val="nil"/>
          <w:right w:val="nil"/>
          <w:between w:val="nil"/>
          <w:bar w:val="nil"/>
        </w:pBdr>
        <w:ind w:left="2160"/>
        <w:jc w:val="both"/>
        <w:rPr>
          <w:rFonts w:ascii="Cambria" w:eastAsia="Calibri" w:hAnsi="Cambria" w:cs="Calibri"/>
          <w:sz w:val="20"/>
          <w:szCs w:val="20"/>
        </w:rPr>
      </w:pPr>
      <w:hyperlink r:id="rId233">
        <w:r w:rsidR="008668B8" w:rsidRPr="6D82FDC4">
          <w:rPr>
            <w:rStyle w:val="Hyperlink"/>
            <w:rFonts w:ascii="Cambria" w:eastAsia="Calibri" w:hAnsi="Cambria" w:cs="Calibri"/>
            <w:sz w:val="20"/>
            <w:szCs w:val="20"/>
          </w:rPr>
          <w:t>Resolution No. 11/22</w:t>
        </w:r>
      </w:hyperlink>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PM</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150-19 - Concepción Palacios</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Maternity Hospital</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Venezuela</w:t>
      </w:r>
    </w:p>
    <w:p w14:paraId="4E86447B" w14:textId="77777777" w:rsidR="008668B8" w:rsidRPr="00066040" w:rsidRDefault="008668B8" w:rsidP="008668B8">
      <w:pPr>
        <w:pBdr>
          <w:top w:val="nil"/>
          <w:left w:val="nil"/>
          <w:bottom w:val="nil"/>
          <w:right w:val="nil"/>
          <w:between w:val="nil"/>
          <w:bar w:val="nil"/>
        </w:pBdr>
        <w:ind w:left="2160"/>
        <w:jc w:val="both"/>
        <w:rPr>
          <w:rFonts w:ascii="Cambria" w:eastAsia="Calibri" w:hAnsi="Cambria" w:cs="Calibri"/>
          <w:sz w:val="20"/>
          <w:szCs w:val="20"/>
        </w:rPr>
      </w:pPr>
      <w:r w:rsidRPr="6D82FDC4">
        <w:rPr>
          <w:rFonts w:ascii="Cambria" w:eastAsia="Calibri" w:hAnsi="Cambria" w:cs="Calibri"/>
          <w:sz w:val="20"/>
          <w:szCs w:val="20"/>
        </w:rPr>
        <w:t>On February 27, 2022, the Commission issued a follow-up resolution in favor of female patients in delivery rooms and emergency areas, as well as newborns in the neonatology areas of the Concepción Palacios Maternity Hospital in Venezuela. On that occasion, the IACHR referred to the State’s lack of response in following up the matter, which it considered a serious deficiency given the threatening situation analyzed. With regard to the beneficiaries’ situation, the Commission determined that the risk factors continued to be present, analyzing distinct factors such as the gender dimension and expressed its interest in visiting the Concepción Palacios Hospital.</w:t>
      </w:r>
    </w:p>
    <w:p w14:paraId="0FFE08D0" w14:textId="77777777" w:rsidR="008668B8" w:rsidRPr="00066040" w:rsidRDefault="008668B8" w:rsidP="008668B8">
      <w:pPr>
        <w:ind w:left="2160"/>
        <w:jc w:val="both"/>
        <w:rPr>
          <w:rFonts w:ascii="Cambria" w:eastAsia="Calibri" w:hAnsi="Cambria" w:cs="Calibri"/>
          <w:sz w:val="20"/>
          <w:szCs w:val="20"/>
        </w:rPr>
      </w:pPr>
    </w:p>
    <w:p w14:paraId="1FA4DD25" w14:textId="77777777" w:rsidR="008668B8" w:rsidRPr="00066040" w:rsidRDefault="008668B8" w:rsidP="008668B8">
      <w:pPr>
        <w:pBdr>
          <w:top w:val="nil"/>
          <w:left w:val="nil"/>
          <w:bottom w:val="nil"/>
          <w:right w:val="nil"/>
          <w:between w:val="nil"/>
          <w:bar w:val="nil"/>
        </w:pBdr>
        <w:ind w:left="2160"/>
        <w:jc w:val="both"/>
        <w:rPr>
          <w:rFonts w:ascii="Cambria" w:eastAsia="Calibri" w:hAnsi="Cambria" w:cs="Calibri"/>
          <w:sz w:val="20"/>
          <w:szCs w:val="20"/>
          <w:bdr w:val="nil"/>
          <w:shd w:val="clear" w:color="auto" w:fill="FFFFFF"/>
          <w14:textOutline w14:w="0" w14:cap="flat" w14:cmpd="sng" w14:algn="ctr">
            <w14:noFill/>
            <w14:prstDash w14:val="solid"/>
            <w14:bevel/>
          </w14:textOutline>
        </w:rPr>
      </w:pPr>
    </w:p>
    <w:p w14:paraId="12C49628" w14:textId="77777777" w:rsidR="008668B8" w:rsidRPr="00066040" w:rsidRDefault="0071198A" w:rsidP="008668B8">
      <w:pPr>
        <w:pBdr>
          <w:top w:val="nil"/>
          <w:left w:val="nil"/>
          <w:bottom w:val="nil"/>
          <w:right w:val="nil"/>
          <w:between w:val="nil"/>
          <w:bar w:val="nil"/>
        </w:pBdr>
        <w:spacing w:after="120"/>
        <w:ind w:left="2160"/>
        <w:jc w:val="both"/>
        <w:rPr>
          <w:rFonts w:ascii="Cambria" w:eastAsia="Calibri" w:hAnsi="Cambria" w:cs="Calibri"/>
          <w:sz w:val="20"/>
          <w:szCs w:val="20"/>
          <w:bdr w:val="nil"/>
          <w:shd w:val="clear" w:color="auto" w:fill="FFFFFF"/>
          <w14:textOutline w14:w="0" w14:cap="flat" w14:cmpd="sng" w14:algn="ctr">
            <w14:noFill/>
            <w14:prstDash w14:val="solid"/>
            <w14:bevel/>
          </w14:textOutline>
        </w:rPr>
      </w:pPr>
      <w:hyperlink r:id="rId234">
        <w:r w:rsidR="008668B8" w:rsidRPr="6D82FDC4">
          <w:rPr>
            <w:rStyle w:val="Hyperlink"/>
            <w:rFonts w:ascii="Cambria" w:eastAsia="Calibri" w:hAnsi="Cambria" w:cs="Calibri"/>
            <w:sz w:val="20"/>
            <w:szCs w:val="20"/>
          </w:rPr>
          <w:t>Resolution No. 32/22</w:t>
        </w:r>
      </w:hyperlink>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P</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M 1051-20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Identified Members of the Digital Newspaper </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El Faro, El Salvador</w:t>
      </w:r>
    </w:p>
    <w:p w14:paraId="1AC13B79" w14:textId="77777777" w:rsidR="008668B8" w:rsidRPr="00066040" w:rsidRDefault="008668B8" w:rsidP="008668B8">
      <w:pPr>
        <w:pBdr>
          <w:top w:val="nil"/>
          <w:left w:val="nil"/>
          <w:bottom w:val="nil"/>
          <w:right w:val="nil"/>
          <w:between w:val="nil"/>
          <w:bar w:val="nil"/>
        </w:pBdr>
        <w:spacing w:after="120"/>
        <w:ind w:left="2160"/>
        <w:jc w:val="both"/>
        <w:rPr>
          <w:rFonts w:ascii="Cambria" w:eastAsia="Calibri" w:hAnsi="Cambria" w:cs="Calibri"/>
          <w:sz w:val="20"/>
          <w:szCs w:val="20"/>
          <w:bdr w:val="nil"/>
          <w:shd w:val="clear" w:color="auto" w:fill="FFFFFF"/>
          <w14:textOutline w14:w="0" w14:cap="flat" w14:cmpd="sng" w14:algn="ctr">
            <w14:noFill/>
            <w14:prstDash w14:val="solid"/>
            <w14:bevel/>
          </w14:textOutline>
        </w:rPr>
      </w:pPr>
      <w:r>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On July 8, </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2022, </w:t>
      </w:r>
      <w:r>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the IACHR issued a follow-up resolution in favor of the identified members of the digital newspaper </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El Faro. </w:t>
      </w:r>
      <w:r>
        <w:rPr>
          <w:rFonts w:ascii="Cambria" w:eastAsia="Calibri" w:hAnsi="Cambria" w:cs="Calibri"/>
          <w:sz w:val="20"/>
          <w:szCs w:val="20"/>
          <w:bdr w:val="nil"/>
          <w:shd w:val="clear" w:color="auto" w:fill="FFFFFF"/>
          <w14:textOutline w14:w="0" w14:cap="flat" w14:cmpd="sng" w14:algn="ctr">
            <w14:noFill/>
            <w14:prstDash w14:val="solid"/>
            <w14:bevel/>
          </w14:textOutline>
        </w:rPr>
        <w:t>On that occasion, the Commission assessed the parties’ efforts to collaborate, the State’s explicit expression of its desire to move ahead with implementation of protective measures in favor of the beneficiaries and offer of specific protection details.</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Pr>
          <w:rFonts w:ascii="Cambria" w:eastAsia="Calibri" w:hAnsi="Cambria" w:cs="Calibri"/>
          <w:sz w:val="20"/>
          <w:szCs w:val="20"/>
          <w:bdr w:val="nil"/>
          <w:shd w:val="clear" w:color="auto" w:fill="FFFFFF"/>
          <w14:textOutline w14:w="0" w14:cap="flat" w14:cmpd="sng" w14:algn="ctr">
            <w14:noFill/>
            <w14:prstDash w14:val="solid"/>
            <w14:bevel/>
          </w14:textOutline>
        </w:rPr>
        <w:t>At the same time, the IACHR noted obstacles to concrete advances in security measures, disputes regarding the adequacy of the protection details offered, as well as the ongoing risk events against the beneficiaries in their work as journalists. The Commission asked the State of</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El Salvador</w:t>
      </w:r>
      <w:r>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to continue adopting the measures necessary to effectively guarantee the life and personal integrity of the beneficiaries, so as to ensure that they are able to carry out their journalistic activities while exercising their right to freedom of expression and without being subject to acts of intimidation, threats, and harassment</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w:t>
      </w:r>
    </w:p>
    <w:p w14:paraId="02135A9E" w14:textId="77777777" w:rsidR="008668B8" w:rsidRPr="00066040" w:rsidRDefault="0071198A" w:rsidP="008668B8">
      <w:pPr>
        <w:pBdr>
          <w:top w:val="nil"/>
          <w:left w:val="nil"/>
          <w:bottom w:val="nil"/>
          <w:right w:val="nil"/>
          <w:between w:val="nil"/>
          <w:bar w:val="nil"/>
        </w:pBdr>
        <w:spacing w:after="120"/>
        <w:ind w:left="2160"/>
        <w:jc w:val="both"/>
        <w:rPr>
          <w:rFonts w:ascii="Cambria" w:eastAsia="Calibri" w:hAnsi="Cambria" w:cs="Calibri"/>
          <w:sz w:val="20"/>
          <w:szCs w:val="20"/>
          <w:bdr w:val="nil"/>
          <w:shd w:val="clear" w:color="auto" w:fill="FFFFFF"/>
          <w14:textOutline w14:w="0" w14:cap="flat" w14:cmpd="sng" w14:algn="ctr">
            <w14:noFill/>
            <w14:prstDash w14:val="solid"/>
            <w14:bevel/>
          </w14:textOutline>
        </w:rPr>
      </w:pPr>
      <w:hyperlink r:id="rId235">
        <w:r w:rsidR="008668B8" w:rsidRPr="6D82FDC4">
          <w:rPr>
            <w:rStyle w:val="Hyperlink"/>
            <w:rFonts w:ascii="Cambria" w:eastAsia="Calibri" w:hAnsi="Cambria" w:cs="Calibri"/>
            <w:sz w:val="20"/>
            <w:szCs w:val="20"/>
          </w:rPr>
          <w:t>Resolution No. 48/22</w:t>
        </w:r>
      </w:hyperlink>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P</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M 264-13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Members of </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Damas de Blanco, Cuba</w:t>
      </w:r>
    </w:p>
    <w:p w14:paraId="6BB6AAAA" w14:textId="776225A4" w:rsidR="008668B8" w:rsidRPr="00066040" w:rsidRDefault="008668B8" w:rsidP="00503B16">
      <w:pPr>
        <w:pBdr>
          <w:top w:val="nil"/>
          <w:left w:val="nil"/>
          <w:bottom w:val="nil"/>
          <w:right w:val="nil"/>
          <w:between w:val="nil"/>
          <w:bar w:val="nil"/>
        </w:pBdr>
        <w:spacing w:after="120"/>
        <w:ind w:left="2160"/>
        <w:jc w:val="both"/>
        <w:rPr>
          <w:rFonts w:ascii="Cambria" w:eastAsia="Calibri" w:hAnsi="Cambria" w:cs="Calibri"/>
          <w:sz w:val="20"/>
          <w:szCs w:val="20"/>
          <w:bdr w:val="nil"/>
          <w:shd w:val="clear" w:color="auto" w:fill="FFFFFF"/>
          <w14:textOutline w14:w="0" w14:cap="flat" w14:cmpd="sng" w14:algn="ctr">
            <w14:noFill/>
            <w14:prstDash w14:val="solid"/>
            <w14:bevel/>
          </w14:textOutline>
        </w:rPr>
      </w:pPr>
      <w:r>
        <w:rPr>
          <w:rFonts w:ascii="Cambria" w:eastAsia="Calibri" w:hAnsi="Cambria" w:cs="Calibri"/>
          <w:sz w:val="20"/>
          <w:szCs w:val="20"/>
          <w:bdr w:val="nil"/>
          <w:shd w:val="clear" w:color="auto" w:fill="FFFFFF"/>
          <w14:textOutline w14:w="0" w14:cap="flat" w14:cmpd="sng" w14:algn="ctr">
            <w14:noFill/>
            <w14:prstDash w14:val="solid"/>
            <w14:bevel/>
          </w14:textOutline>
        </w:rPr>
        <w:lastRenderedPageBreak/>
        <w:t>On September 28,</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2022,</w:t>
      </w:r>
      <w:r>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the Commission issued a follow-up resolution in which it addressed the implementation of precautionary measures in favor of the members of the </w:t>
      </w:r>
      <w:r w:rsidRPr="6D82FDC4">
        <w:rPr>
          <w:rFonts w:ascii="Cambria" w:eastAsia="Calibri" w:hAnsi="Cambria" w:cs="Calibri"/>
          <w:i/>
          <w:iCs/>
          <w:sz w:val="20"/>
          <w:szCs w:val="20"/>
          <w:bdr w:val="nil"/>
          <w:shd w:val="clear" w:color="auto" w:fill="FFFFFF"/>
          <w14:textOutline w14:w="0" w14:cap="flat" w14:cmpd="sng" w14:algn="ctr">
            <w14:noFill/>
            <w14:prstDash w14:val="solid"/>
            <w14:bevel/>
          </w14:textOutline>
        </w:rPr>
        <w:t>Damas de Blanco</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Pr>
          <w:rFonts w:ascii="Cambria" w:eastAsia="Calibri" w:hAnsi="Cambria" w:cs="Calibri"/>
          <w:sz w:val="20"/>
          <w:szCs w:val="20"/>
          <w:bdr w:val="nil"/>
          <w:shd w:val="clear" w:color="auto" w:fill="FFFFFF"/>
          <w14:textOutline w14:w="0" w14:cap="flat" w14:cmpd="sng" w14:algn="ctr">
            <w14:noFill/>
            <w14:prstDash w14:val="solid"/>
            <w14:bevel/>
          </w14:textOutline>
        </w:rPr>
        <w:t>organization in</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Cuba. </w:t>
      </w:r>
      <w:r>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The Commission analyzed information provided by the representation regarding implementation of the precautionary measures in the current context and lamented the lack of response from the State, identifying gender-based differential treatment the organization faces as women human rights defenders. In addition, the Commission noted that members of the </w:t>
      </w:r>
      <w:r w:rsidRPr="6D82FDC4">
        <w:rPr>
          <w:rFonts w:ascii="Cambria" w:eastAsia="Calibri" w:hAnsi="Cambria" w:cs="Calibri"/>
          <w:i/>
          <w:iCs/>
          <w:sz w:val="20"/>
          <w:szCs w:val="20"/>
          <w:bdr w:val="nil"/>
          <w:shd w:val="clear" w:color="auto" w:fill="FFFFFF"/>
          <w14:textOutline w14:w="0" w14:cap="flat" w14:cmpd="sng" w14:algn="ctr">
            <w14:noFill/>
            <w14:prstDash w14:val="solid"/>
            <w14:bevel/>
          </w14:textOutline>
        </w:rPr>
        <w:t>Damas de Blanco</w:t>
      </w:r>
      <w:r>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organization share common risk factors based on their belonging to that organization, establishing that the universe of beneficiaries of precautionary measures can be defined based on a series of criteria</w:t>
      </w:r>
      <w:r w:rsidRPr="00066040">
        <w:rPr>
          <w:rStyle w:val="FootnoteReference"/>
          <w:rFonts w:ascii="Cambria" w:eastAsia="Calibri" w:hAnsi="Cambria" w:cs="Calibri"/>
          <w:sz w:val="20"/>
          <w:szCs w:val="20"/>
          <w:bdr w:val="nil"/>
          <w:shd w:val="clear" w:color="auto" w:fill="FFFFFF"/>
          <w14:textOutline w14:w="0" w14:cap="flat" w14:cmpd="sng" w14:algn="ctr">
            <w14:noFill/>
            <w14:prstDash w14:val="solid"/>
            <w14:bevel/>
          </w14:textOutline>
        </w:rPr>
        <w:footnoteReference w:id="169"/>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Pr>
          <w:rFonts w:ascii="Cambria" w:eastAsia="Calibri" w:hAnsi="Cambria" w:cs="Calibri"/>
          <w:sz w:val="20"/>
          <w:szCs w:val="20"/>
          <w:bdr w:val="nil"/>
          <w:shd w:val="clear" w:color="auto" w:fill="FFFFFF"/>
          <w14:textOutline w14:w="0" w14:cap="flat" w14:cmpd="sng" w14:algn="ctr">
            <w14:noFill/>
            <w14:prstDash w14:val="solid"/>
            <w14:bevel/>
          </w14:textOutline>
        </w:rPr>
        <w:t>and would not be limited to the exhaustive list submitted when the precautionary measures were initially granted.</w:t>
      </w:r>
    </w:p>
    <w:p w14:paraId="59BE1CCA" w14:textId="77777777" w:rsidR="008668B8" w:rsidRPr="00066040" w:rsidRDefault="0071198A" w:rsidP="008668B8">
      <w:pPr>
        <w:pBdr>
          <w:top w:val="nil"/>
          <w:left w:val="nil"/>
          <w:bottom w:val="nil"/>
          <w:right w:val="nil"/>
          <w:between w:val="nil"/>
          <w:bar w:val="nil"/>
        </w:pBdr>
        <w:spacing w:after="120"/>
        <w:ind w:left="2160"/>
        <w:jc w:val="both"/>
        <w:rPr>
          <w:rFonts w:ascii="Cambria" w:eastAsia="Calibri" w:hAnsi="Cambria" w:cs="Calibri"/>
          <w:sz w:val="20"/>
          <w:szCs w:val="20"/>
          <w:bdr w:val="nil"/>
          <w:shd w:val="clear" w:color="auto" w:fill="FFFFFF"/>
          <w14:textOutline w14:w="0" w14:cap="flat" w14:cmpd="sng" w14:algn="ctr">
            <w14:noFill/>
            <w14:prstDash w14:val="solid"/>
            <w14:bevel/>
          </w14:textOutline>
        </w:rPr>
      </w:pPr>
      <w:hyperlink r:id="rId236">
        <w:r w:rsidR="008668B8" w:rsidRPr="6D82FDC4">
          <w:rPr>
            <w:rStyle w:val="Hyperlink"/>
            <w:rFonts w:ascii="Cambria" w:eastAsia="Calibri" w:hAnsi="Cambria" w:cs="Calibri"/>
            <w:sz w:val="20"/>
            <w:szCs w:val="20"/>
          </w:rPr>
          <w:t>Resolution No. 59/22</w:t>
        </w:r>
      </w:hyperlink>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PM</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449-22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Identified members of the </w:t>
      </w:r>
      <w:r w:rsidR="008668B8" w:rsidRPr="6D82FDC4">
        <w:rPr>
          <w:rFonts w:ascii="Cambria" w:eastAsia="Calibri" w:hAnsi="Cambria" w:cs="Calibri"/>
          <w:i/>
          <w:iCs/>
          <w:sz w:val="20"/>
          <w:szCs w:val="20"/>
          <w:bdr w:val="nil"/>
          <w:shd w:val="clear" w:color="auto" w:fill="FFFFFF"/>
          <w14:textOutline w14:w="0" w14:cap="flat" w14:cmpd="sng" w14:algn="ctr">
            <w14:noFill/>
            <w14:prstDash w14:val="solid"/>
            <w14:bevel/>
          </w14:textOutline>
        </w:rPr>
        <w:t>União dos Povos Indígenas do Vale de Javari</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-UNIVAJA</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(Union of Indigenous Peoples of Vale de Javari)</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Brazil</w:t>
      </w:r>
    </w:p>
    <w:p w14:paraId="6D6353E9" w14:textId="77777777" w:rsidR="008668B8" w:rsidRPr="00066040" w:rsidRDefault="008668B8" w:rsidP="008668B8">
      <w:pPr>
        <w:pBdr>
          <w:top w:val="nil"/>
          <w:left w:val="nil"/>
          <w:bottom w:val="nil"/>
          <w:right w:val="nil"/>
          <w:between w:val="nil"/>
          <w:bar w:val="nil"/>
        </w:pBdr>
        <w:spacing w:after="120"/>
        <w:ind w:left="2160"/>
        <w:jc w:val="both"/>
        <w:rPr>
          <w:rFonts w:ascii="Cambria" w:eastAsia="Calibri" w:hAnsi="Cambria" w:cs="Calibri"/>
          <w:sz w:val="20"/>
          <w:szCs w:val="20"/>
          <w:bdr w:val="nil"/>
          <w:shd w:val="clear" w:color="auto" w:fill="FFFFFF"/>
          <w14:textOutline w14:w="0" w14:cap="flat" w14:cmpd="sng" w14:algn="ctr">
            <w14:noFill/>
            <w14:prstDash w14:val="solid"/>
            <w14:bevel/>
          </w14:textOutline>
        </w:rPr>
      </w:pPr>
      <w:r>
        <w:rPr>
          <w:rFonts w:ascii="Cambria" w:eastAsia="Calibri" w:hAnsi="Cambria" w:cs="Calibri"/>
          <w:sz w:val="20"/>
          <w:szCs w:val="20"/>
          <w:bdr w:val="nil"/>
          <w:shd w:val="clear" w:color="auto" w:fill="FFFFFF"/>
          <w14:textOutline w14:w="0" w14:cap="flat" w14:cmpd="sng" w14:algn="ctr">
            <w14:noFill/>
            <w14:prstDash w14:val="solid"/>
            <w14:bevel/>
          </w14:textOutline>
        </w:rPr>
        <w:t>On October</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27</w:t>
      </w:r>
      <w:r>
        <w:rPr>
          <w:rFonts w:ascii="Cambria" w:eastAsia="Calibri" w:hAnsi="Cambria" w:cs="Calibri"/>
          <w:sz w:val="20"/>
          <w:szCs w:val="20"/>
          <w:bdr w:val="nil"/>
          <w:shd w:val="clear" w:color="auto" w:fill="FFFFFF"/>
          <w14:textOutline w14:w="0" w14:cap="flat" w14:cmpd="sng" w14:algn="ctr">
            <w14:noFill/>
            <w14:prstDash w14:val="solid"/>
            <w14:bevel/>
          </w14:textOutline>
        </w:rPr>
        <w:t>,</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2022, </w:t>
      </w:r>
      <w:r>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the IACHR issued, in conjunction with a resolution to extend, a follow-up resolution with respect to the indigenist, </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Bruno Araújo Pereira</w:t>
      </w:r>
      <w:r>
        <w:rPr>
          <w:rFonts w:ascii="Cambria" w:eastAsia="Calibri" w:hAnsi="Cambria" w:cs="Calibri"/>
          <w:sz w:val="20"/>
          <w:szCs w:val="20"/>
          <w:bdr w:val="nil"/>
          <w:shd w:val="clear" w:color="auto" w:fill="FFFFFF"/>
          <w14:textOutline w14:w="0" w14:cap="flat" w14:cmpd="sng" w14:algn="ctr">
            <w14:noFill/>
            <w14:prstDash w14:val="solid"/>
            <w14:bevel/>
          </w14:textOutline>
        </w:rPr>
        <w:t>,</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Pr>
          <w:rFonts w:ascii="Cambria" w:eastAsia="Calibri" w:hAnsi="Cambria" w:cs="Calibri"/>
          <w:sz w:val="20"/>
          <w:szCs w:val="20"/>
          <w:bdr w:val="nil"/>
          <w:shd w:val="clear" w:color="auto" w:fill="FFFFFF"/>
          <w14:textOutline w14:w="0" w14:cap="flat" w14:cmpd="sng" w14:algn="ctr">
            <w14:noFill/>
            <w14:prstDash w14:val="solid"/>
            <w14:bevel/>
          </w14:textOutline>
        </w:rPr>
        <w:t>and the journalist,</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Dom Phillips. </w:t>
      </w:r>
      <w:r>
        <w:rPr>
          <w:rFonts w:ascii="Cambria" w:eastAsia="Calibri" w:hAnsi="Cambria" w:cs="Calibri"/>
          <w:sz w:val="20"/>
          <w:szCs w:val="20"/>
          <w:bdr w:val="nil"/>
          <w:shd w:val="clear" w:color="auto" w:fill="FFFFFF"/>
          <w14:textOutline w14:w="0" w14:cap="flat" w14:cmpd="sng" w14:algn="ctr">
            <w14:noFill/>
            <w14:prstDash w14:val="solid"/>
            <w14:bevel/>
          </w14:textOutline>
        </w:rPr>
        <w:t>The IACHR</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Pr>
          <w:rFonts w:ascii="Cambria" w:eastAsia="Calibri" w:hAnsi="Cambria" w:cs="Calibri"/>
          <w:sz w:val="20"/>
          <w:szCs w:val="20"/>
          <w:bdr w:val="nil"/>
          <w:shd w:val="clear" w:color="auto" w:fill="FFFFFF"/>
          <w14:textOutline w14:w="0" w14:cap="flat" w14:cmpd="sng" w14:algn="ctr">
            <w14:noFill/>
            <w14:prstDash w14:val="solid"/>
            <w14:bevel/>
          </w14:textOutline>
        </w:rPr>
        <w:t>positively assessed the advances made in investigating the murder of both beneficiaries as reported by the State, while at the same time recalling the importance of investigating, determining, and punishing those responsible in order to mitigate a situation entailing a risk</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Pr>
          <w:rFonts w:ascii="Cambria" w:eastAsia="Calibri" w:hAnsi="Cambria" w:cs="Calibri"/>
          <w:sz w:val="20"/>
          <w:szCs w:val="20"/>
          <w:bdr w:val="nil"/>
          <w:shd w:val="clear" w:color="auto" w:fill="FFFFFF"/>
          <w14:textOutline w14:w="0" w14:cap="flat" w14:cmpd="sng" w14:algn="ctr">
            <w14:noFill/>
            <w14:prstDash w14:val="solid"/>
            <w14:bevel/>
          </w14:textOutline>
        </w:rPr>
        <w:t>In addition, the Commission appreciated the State’s willingness with regard to the representation’s proposal to create a special follow-up mechanism. However, it noted that they have different positions regarding the scope of the possible special follow-up team or mechanism; accordingly, the Commission made itself available to the parties in view of their openness to constructive dialogue</w:t>
      </w:r>
      <w:r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w:t>
      </w:r>
    </w:p>
    <w:p w14:paraId="16970C61" w14:textId="77777777" w:rsidR="008668B8" w:rsidRPr="00066040" w:rsidRDefault="0071198A" w:rsidP="008668B8">
      <w:pPr>
        <w:pBdr>
          <w:top w:val="nil"/>
          <w:left w:val="nil"/>
          <w:bottom w:val="nil"/>
          <w:right w:val="nil"/>
          <w:between w:val="nil"/>
          <w:bar w:val="nil"/>
        </w:pBdr>
        <w:spacing w:after="120"/>
        <w:ind w:left="2160"/>
        <w:jc w:val="both"/>
        <w:rPr>
          <w:rFonts w:ascii="Cambria" w:eastAsia="Calibri" w:hAnsi="Cambria" w:cs="Calibri"/>
          <w:sz w:val="20"/>
          <w:szCs w:val="20"/>
          <w:bdr w:val="nil"/>
          <w:shd w:val="clear" w:color="auto" w:fill="FFFFFF"/>
          <w14:textOutline w14:w="0" w14:cap="flat" w14:cmpd="sng" w14:algn="ctr">
            <w14:noFill/>
            <w14:prstDash w14:val="solid"/>
            <w14:bevel/>
          </w14:textOutline>
        </w:rPr>
      </w:pPr>
      <w:hyperlink r:id="rId237">
        <w:r w:rsidR="008668B8" w:rsidRPr="6D82FDC4">
          <w:rPr>
            <w:rStyle w:val="Hyperlink"/>
            <w:rFonts w:ascii="Cambria" w:eastAsia="Calibri" w:hAnsi="Cambria" w:cs="Calibri"/>
            <w:sz w:val="20"/>
            <w:szCs w:val="20"/>
          </w:rPr>
          <w:t>Resolution No. 60/22</w:t>
        </w:r>
      </w:hyperlink>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 xml:space="preserve"> </w:t>
      </w:r>
      <w:r w:rsidR="008668B8">
        <w:rPr>
          <w:rFonts w:ascii="Cambria" w:eastAsia="Calibri" w:hAnsi="Cambria" w:cs="Calibri"/>
          <w:sz w:val="20"/>
          <w:szCs w:val="20"/>
          <w:bdr w:val="nil"/>
          <w:shd w:val="clear" w:color="auto" w:fill="FFFFFF"/>
          <w14:textOutline w14:w="0" w14:cap="flat" w14:cmpd="sng" w14:algn="ctr">
            <w14:noFill/>
            <w14:prstDash w14:val="solid"/>
            <w14:bevel/>
          </w14:textOutline>
        </w:rPr>
        <w:t>P</w:t>
      </w:r>
      <w:r w:rsidR="008668B8" w:rsidRPr="00066040">
        <w:rPr>
          <w:rFonts w:ascii="Cambria" w:eastAsia="Calibri" w:hAnsi="Cambria" w:cs="Calibri"/>
          <w:sz w:val="20"/>
          <w:szCs w:val="20"/>
          <w:bdr w:val="nil"/>
          <w:shd w:val="clear" w:color="auto" w:fill="FFFFFF"/>
          <w14:textOutline w14:w="0" w14:cap="flat" w14:cmpd="sng" w14:algn="ctr">
            <w14:noFill/>
            <w14:prstDash w14:val="solid"/>
            <w14:bevel/>
          </w14:textOutline>
        </w:rPr>
        <w:t>M 258-20 - José Javier Tarazona Sánchez, Venezuela</w:t>
      </w:r>
    </w:p>
    <w:p w14:paraId="3BC2AD18" w14:textId="77777777" w:rsidR="008668B8" w:rsidRPr="00066040" w:rsidRDefault="008668B8" w:rsidP="008668B8">
      <w:pPr>
        <w:pBdr>
          <w:top w:val="nil"/>
          <w:left w:val="nil"/>
          <w:bottom w:val="nil"/>
          <w:right w:val="nil"/>
          <w:between w:val="nil"/>
          <w:bar w:val="nil"/>
        </w:pBdr>
        <w:spacing w:after="120"/>
        <w:ind w:left="2160"/>
        <w:jc w:val="both"/>
        <w:rPr>
          <w:rFonts w:ascii="Cambria" w:hAnsi="Cambria"/>
          <w:sz w:val="20"/>
          <w:szCs w:val="20"/>
        </w:rPr>
      </w:pPr>
      <w:r w:rsidRPr="6D82FDC4">
        <w:rPr>
          <w:rFonts w:ascii="Cambria" w:hAnsi="Cambria"/>
          <w:sz w:val="20"/>
          <w:szCs w:val="20"/>
        </w:rPr>
        <w:t>On October 30, 2022, the IACHR issued a follow-up resolution in which it addressed the implementation of precautionary measures in favor of José Javier Tarazona Sánchez in Venezuela. In the resolution, the Commission emphasized that the beneficiary continued to be subjected to stigmatization, threats, harassment, and pursuit by agents of the State up to the day he was detained by State agents on July 2, 2021. It also noted his situation of risk while being deprived of liberty in the Helicoide, despite a court order that he been held in a different center. In this regard, the Commission analyzed allegations of possible acts of torture and mistreatment, inadequate conditions of detention, and the lack of care and required medical treatment. In that section, the Commission expanded on the absolute prohibition of torture, including through long periods in isolation and the refusal to provide required medical treatment, such as not being allowed to take specific medications while in isolation, which directly impacts deterioration of the beneficiary’s health.</w:t>
      </w:r>
    </w:p>
    <w:p w14:paraId="367752FA" w14:textId="77777777" w:rsidR="008668B8" w:rsidRPr="00066040" w:rsidRDefault="008668B8" w:rsidP="008668B8">
      <w:pPr>
        <w:spacing w:after="120"/>
        <w:jc w:val="both"/>
        <w:rPr>
          <w:rFonts w:ascii="Cambria" w:eastAsia="Calibri" w:hAnsi="Cambria" w:cs="Calibri"/>
          <w:sz w:val="20"/>
          <w:szCs w:val="20"/>
        </w:rPr>
      </w:pPr>
    </w:p>
    <w:p w14:paraId="1AB711D2" w14:textId="1FC16677" w:rsidR="008668B8" w:rsidRPr="00066040" w:rsidRDefault="008668B8" w:rsidP="00933F91">
      <w:pPr>
        <w:pStyle w:val="BodyText"/>
        <w:widowControl/>
        <w:numPr>
          <w:ilvl w:val="0"/>
          <w:numId w:val="58"/>
        </w:numPr>
        <w:ind w:left="0" w:firstLine="720"/>
        <w:jc w:val="both"/>
        <w:rPr>
          <w:rFonts w:eastAsia="Calibri" w:cs="Calibri"/>
          <w:bdr w:val="nil"/>
          <w:shd w:val="clear" w:color="auto" w:fill="FFFFFF"/>
          <w14:textOutline w14:w="0" w14:cap="flat" w14:cmpd="sng" w14:algn="ctr">
            <w14:noFill/>
            <w14:prstDash w14:val="solid"/>
            <w14:bevel/>
          </w14:textOutline>
        </w:rPr>
      </w:pPr>
      <w:r>
        <w:rPr>
          <w:rFonts w:eastAsia="Calibri" w:cs="Calibri"/>
          <w:bdr w:val="nil"/>
          <w:shd w:val="clear" w:color="auto" w:fill="FFFFFF"/>
          <w14:textOutline w14:w="0" w14:cap="flat" w14:cmpd="sng" w14:algn="ctr">
            <w14:noFill/>
            <w14:prstDash w14:val="solid"/>
            <w14:bevel/>
          </w14:textOutline>
        </w:rPr>
        <w:t xml:space="preserve">In the periodic evaluation of its precautionary measures, the IACHR analyzes whether they continue to meet the requirements of Article </w:t>
      </w:r>
      <w:r w:rsidRPr="00066040">
        <w:rPr>
          <w:rFonts w:eastAsia="Calibri" w:cs="Calibri"/>
          <w:bdr w:val="nil"/>
          <w:shd w:val="clear" w:color="auto" w:fill="FFFFFF"/>
          <w14:textOutline w14:w="0" w14:cap="flat" w14:cmpd="sng" w14:algn="ctr">
            <w14:noFill/>
            <w14:prstDash w14:val="solid"/>
            <w14:bevel/>
          </w14:textOutline>
        </w:rPr>
        <w:t xml:space="preserve">25 </w:t>
      </w:r>
      <w:r>
        <w:rPr>
          <w:rFonts w:eastAsia="Calibri" w:cs="Calibri"/>
          <w:bdr w:val="nil"/>
          <w:shd w:val="clear" w:color="auto" w:fill="FFFFFF"/>
          <w14:textOutline w14:w="0" w14:cap="flat" w14:cmpd="sng" w14:algn="ctr">
            <w14:noFill/>
            <w14:prstDash w14:val="solid"/>
            <w14:bevel/>
          </w14:textOutline>
        </w:rPr>
        <w:t xml:space="preserve">of the Rules of </w:t>
      </w:r>
      <w:r w:rsidR="00AB246E">
        <w:rPr>
          <w:rFonts w:eastAsia="Calibri" w:cs="Calibri"/>
          <w:bdr w:val="nil"/>
          <w:shd w:val="clear" w:color="auto" w:fill="FFFFFF"/>
          <w14:textOutline w14:w="0" w14:cap="flat" w14:cmpd="sng" w14:algn="ctr">
            <w14:noFill/>
            <w14:prstDash w14:val="solid"/>
            <w14:bevel/>
          </w14:textOutline>
        </w:rPr>
        <w:t>Procedure and</w:t>
      </w:r>
      <w:r>
        <w:rPr>
          <w:rFonts w:eastAsia="Calibri" w:cs="Calibri"/>
          <w:bdr w:val="nil"/>
          <w:shd w:val="clear" w:color="auto" w:fill="FFFFFF"/>
          <w14:textOutline w14:w="0" w14:cap="flat" w14:cmpd="sng" w14:algn="ctr">
            <w14:noFill/>
            <w14:prstDash w14:val="solid"/>
            <w14:bevel/>
          </w14:textOutline>
        </w:rPr>
        <w:t xml:space="preserve"> may eventually decide to lift them when the existence of a serious and urgent risk of irreparable harm is no longer perceived.</w:t>
      </w:r>
      <w:r w:rsidRPr="00066040">
        <w:rPr>
          <w:rFonts w:eastAsia="Calibri" w:cs="Calibri"/>
          <w:bdr w:val="nil"/>
          <w:shd w:val="clear" w:color="auto" w:fill="FFFFFF"/>
          <w14:textOutline w14:w="0" w14:cap="flat" w14:cmpd="sng" w14:algn="ctr">
            <w14:noFill/>
            <w14:prstDash w14:val="solid"/>
            <w14:bevel/>
          </w14:textOutline>
        </w:rPr>
        <w:t xml:space="preserve"> </w:t>
      </w:r>
      <w:r>
        <w:rPr>
          <w:rFonts w:eastAsia="Calibri" w:cs="Calibri"/>
          <w:bdr w:val="nil"/>
          <w:shd w:val="clear" w:color="auto" w:fill="FFFFFF"/>
          <w14:textOutline w14:w="0" w14:cap="flat" w14:cmpd="sng" w14:algn="ctr">
            <w14:noFill/>
            <w14:prstDash w14:val="solid"/>
            <w14:bevel/>
          </w14:textOutline>
        </w:rPr>
        <w:t xml:space="preserve">In the process of supervising the implementation of measures, the IACHR also bears in mind information on the context and </w:t>
      </w:r>
      <w:r>
        <w:rPr>
          <w:rFonts w:eastAsia="Calibri" w:cs="Calibri"/>
          <w:bdr w:val="nil"/>
          <w:shd w:val="clear" w:color="auto" w:fill="FFFFFF"/>
          <w14:textOutline w14:w="0" w14:cap="flat" w14:cmpd="sng" w14:algn="ctr">
            <w14:noFill/>
            <w14:prstDash w14:val="solid"/>
            <w14:bevel/>
          </w14:textOutline>
        </w:rPr>
        <w:lastRenderedPageBreak/>
        <w:t>a differentiated approach in the case of groups in a particularly vulnerable situation, and a gender, intercultural, and age-based approach, taking into account the risk that persons belonging to these groups may face in specific contexts</w:t>
      </w:r>
      <w:r w:rsidRPr="00066040">
        <w:rPr>
          <w:rFonts w:eastAsia="Calibri" w:cs="Calibri"/>
          <w:bdr w:val="nil"/>
          <w:shd w:val="clear" w:color="auto" w:fill="FFFFFF"/>
          <w14:textOutline w14:w="0" w14:cap="flat" w14:cmpd="sng" w14:algn="ctr">
            <w14:noFill/>
            <w14:prstDash w14:val="solid"/>
            <w14:bevel/>
          </w14:textOutline>
        </w:rPr>
        <w:t>.</w:t>
      </w:r>
    </w:p>
    <w:p w14:paraId="7C336653" w14:textId="77777777" w:rsidR="008668B8" w:rsidRPr="00D97145" w:rsidRDefault="008668B8" w:rsidP="00D97145">
      <w:pPr>
        <w:pStyle w:val="BodyText"/>
        <w:widowControl/>
        <w:ind w:left="720"/>
        <w:jc w:val="both"/>
        <w:rPr>
          <w:rFonts w:eastAsia="Calibri" w:cs="Calibri"/>
          <w:bdr w:val="nil"/>
          <w:shd w:val="clear" w:color="auto" w:fill="FFFFFF"/>
          <w14:textOutline w14:w="0" w14:cap="flat" w14:cmpd="sng" w14:algn="ctr">
            <w14:noFill/>
            <w14:prstDash w14:val="solid"/>
            <w14:bevel/>
          </w14:textOutline>
        </w:rPr>
      </w:pPr>
    </w:p>
    <w:p w14:paraId="48B2D10D" w14:textId="4A58DFBB" w:rsidR="008668B8" w:rsidRPr="00D97145" w:rsidRDefault="008668B8" w:rsidP="00933F91">
      <w:pPr>
        <w:pStyle w:val="BodyText"/>
        <w:widowControl/>
        <w:numPr>
          <w:ilvl w:val="0"/>
          <w:numId w:val="58"/>
        </w:numPr>
        <w:ind w:left="0" w:firstLine="720"/>
        <w:jc w:val="both"/>
        <w:rPr>
          <w:rFonts w:cs="Cambria"/>
          <w:bdr w:val="nil"/>
          <w14:textOutline w14:w="0" w14:cap="flat" w14:cmpd="sng" w14:algn="ctr">
            <w14:noFill/>
            <w14:prstDash w14:val="solid"/>
            <w14:bevel/>
          </w14:textOutline>
        </w:rPr>
      </w:pPr>
      <w:r w:rsidRPr="00D97145">
        <w:rPr>
          <w:rFonts w:eastAsia="Calibri" w:cs="Calibri"/>
          <w:bdr w:val="nil"/>
          <w:shd w:val="clear" w:color="auto" w:fill="FFFFFF"/>
          <w14:textOutline w14:w="0" w14:cap="flat" w14:cmpd="sng" w14:algn="ctr">
            <w14:noFill/>
            <w14:prstDash w14:val="solid"/>
            <w14:bevel/>
          </w14:textOutline>
        </w:rPr>
        <w:t>In 2022, the IACHR decided to fully lift 43 precautionary measures and partially lift three. Lifted measures refer</w:t>
      </w:r>
      <w:r>
        <w:rPr>
          <w:rFonts w:eastAsia="Calibri" w:cs="Calibri"/>
          <w:bdr w:val="nil"/>
          <w14:textOutline w14:w="0" w14:cap="flat" w14:cmpd="sng" w14:algn="ctr">
            <w14:noFill/>
            <w14:prstDash w14:val="solid"/>
            <w14:bevel/>
          </w14:textOutline>
        </w:rPr>
        <w:t xml:space="preserve"> to inactive issues, that no longer serve a purpose, or generally measures for which risk factors supporting their continuation in force were not confirmed</w:t>
      </w:r>
      <w:r w:rsidRPr="00066040">
        <w:rPr>
          <w:rFonts w:eastAsia="Calibri" w:cs="Calibri"/>
          <w:bdr w:val="nil"/>
          <w14:textOutline w14:w="0" w14:cap="flat" w14:cmpd="sng" w14:algn="ctr">
            <w14:noFill/>
            <w14:prstDash w14:val="solid"/>
            <w14:bevel/>
          </w14:textOutline>
        </w:rPr>
        <w:t xml:space="preserve">. </w:t>
      </w:r>
      <w:r>
        <w:rPr>
          <w:rFonts w:eastAsia="Calibri" w:cs="Calibri"/>
          <w:bdr w:val="nil"/>
          <w14:textOutline w14:w="0" w14:cap="flat" w14:cmpd="sng" w14:algn="ctr">
            <w14:noFill/>
            <w14:prstDash w14:val="solid"/>
            <w14:bevel/>
          </w14:textOutline>
        </w:rPr>
        <w:t xml:space="preserve">As indicated in Article </w:t>
      </w:r>
      <w:r w:rsidRPr="00066040">
        <w:rPr>
          <w:rFonts w:eastAsia="Calibri" w:cs="Calibri"/>
          <w:bdr w:val="nil"/>
          <w14:textOutline w14:w="0" w14:cap="flat" w14:cmpd="sng" w14:algn="ctr">
            <w14:noFill/>
            <w14:prstDash w14:val="solid"/>
            <w14:bevel/>
          </w14:textOutline>
        </w:rPr>
        <w:t xml:space="preserve">25 </w:t>
      </w:r>
      <w:r>
        <w:rPr>
          <w:rFonts w:eastAsia="Calibri" w:cs="Calibri"/>
          <w:bdr w:val="nil"/>
          <w14:textOutline w14:w="0" w14:cap="flat" w14:cmpd="sng" w14:algn="ctr">
            <w14:noFill/>
            <w14:prstDash w14:val="solid"/>
            <w14:bevel/>
          </w14:textOutline>
        </w:rPr>
        <w:t xml:space="preserve">of the Rules of Procedure, decisions to lift a measure are issued by means of well-founded resolutions (see summaries </w:t>
      </w:r>
      <w:r w:rsidRPr="6D82FDC4">
        <w:rPr>
          <w:rFonts w:eastAsia="Calibri" w:cs="Calibri"/>
          <w:i/>
          <w:iCs/>
          <w:bdr w:val="nil"/>
          <w14:textOutline w14:w="0" w14:cap="flat" w14:cmpd="sng" w14:algn="ctr">
            <w14:noFill/>
            <w14:prstDash w14:val="solid"/>
            <w14:bevel/>
          </w14:textOutline>
        </w:rPr>
        <w:t>infra</w:t>
      </w:r>
      <w:r w:rsidRPr="00066040">
        <w:rPr>
          <w:rFonts w:eastAsia="Calibri" w:cs="Calibri"/>
          <w:bdr w:val="nil"/>
          <w14:textOutline w14:w="0" w14:cap="flat" w14:cmpd="sng" w14:algn="ctr">
            <w14:noFill/>
            <w14:prstDash w14:val="solid"/>
            <w14:bevel/>
          </w14:textOutline>
        </w:rPr>
        <w:t xml:space="preserve">). </w:t>
      </w:r>
      <w:r>
        <w:rPr>
          <w:rFonts w:eastAsia="Calibri" w:cs="Calibri"/>
          <w:bdr w:val="nil"/>
          <w14:textOutline w14:w="0" w14:cap="flat" w14:cmpd="sng" w14:algn="ctr">
            <w14:noFill/>
            <w14:prstDash w14:val="solid"/>
            <w14:bevel/>
          </w14:textOutline>
        </w:rPr>
        <w:t>Among other aspects, particular consideration is given to</w:t>
      </w:r>
      <w:r w:rsidRPr="00066040">
        <w:rPr>
          <w:rFonts w:eastAsia="Calibri" w:cs="Calibri"/>
          <w:bdr w:val="nil"/>
          <w14:textOutline w14:w="0" w14:cap="flat" w14:cmpd="sng" w14:algn="ctr">
            <w14:noFill/>
            <w14:prstDash w14:val="solid"/>
            <w14:bevel/>
          </w14:textOutline>
        </w:rPr>
        <w:t xml:space="preserve">: i) </w:t>
      </w:r>
      <w:r>
        <w:rPr>
          <w:rFonts w:eastAsia="Calibri" w:cs="Calibri"/>
          <w:bdr w:val="nil"/>
          <w14:textOutline w14:w="0" w14:cap="flat" w14:cmpd="sng" w14:algn="ctr">
            <w14:noFill/>
            <w14:prstDash w14:val="solid"/>
            <w14:bevel/>
          </w14:textOutline>
        </w:rPr>
        <w:t>the existence or continuation of the risk situation</w:t>
      </w:r>
      <w:r w:rsidRPr="00066040">
        <w:rPr>
          <w:rFonts w:eastAsia="Calibri" w:cs="Calibri"/>
          <w:bdr w:val="nil"/>
          <w14:textOutline w14:w="0" w14:cap="flat" w14:cmpd="sng" w14:algn="ctr">
            <w14:noFill/>
            <w14:prstDash w14:val="solid"/>
            <w14:bevel/>
          </w14:textOutline>
        </w:rPr>
        <w:t xml:space="preserve">; ii) </w:t>
      </w:r>
      <w:r>
        <w:rPr>
          <w:rFonts w:eastAsia="Calibri" w:cs="Calibri"/>
          <w:bdr w:val="nil"/>
          <w14:textOutline w14:w="0" w14:cap="flat" w14:cmpd="sng" w14:algn="ctr">
            <w14:noFill/>
            <w14:prstDash w14:val="solid"/>
            <w14:bevel/>
          </w14:textOutline>
        </w:rPr>
        <w:t>whether the situation has changed during implementation</w:t>
      </w:r>
      <w:r w:rsidRPr="00066040">
        <w:rPr>
          <w:rFonts w:eastAsia="Calibri" w:cs="Calibri"/>
          <w:bdr w:val="nil"/>
          <w14:textOutline w14:w="0" w14:cap="flat" w14:cmpd="sng" w14:algn="ctr">
            <w14:noFill/>
            <w14:prstDash w14:val="solid"/>
            <w14:bevel/>
          </w14:textOutline>
        </w:rPr>
        <w:t xml:space="preserve">; iii) </w:t>
      </w:r>
      <w:r>
        <w:rPr>
          <w:rFonts w:eastAsia="Calibri" w:cs="Calibri"/>
          <w:bdr w:val="nil"/>
          <w14:textOutline w14:w="0" w14:cap="flat" w14:cmpd="sng" w14:algn="ctr">
            <w14:noFill/>
            <w14:prstDash w14:val="solid"/>
            <w14:bevel/>
          </w14:textOutline>
        </w:rPr>
        <w:t>the effectiveness of the measures adopted by the State</w:t>
      </w:r>
      <w:r w:rsidRPr="00066040">
        <w:rPr>
          <w:rFonts w:eastAsia="Calibri" w:cs="Calibri"/>
          <w:bdr w:val="nil"/>
          <w14:textOutline w14:w="0" w14:cap="flat" w14:cmpd="sng" w14:algn="ctr">
            <w14:noFill/>
            <w14:prstDash w14:val="solid"/>
            <w14:bevel/>
          </w14:textOutline>
        </w:rPr>
        <w:t xml:space="preserve">; iv) </w:t>
      </w:r>
      <w:r>
        <w:rPr>
          <w:rFonts w:eastAsia="Calibri" w:cs="Calibri"/>
          <w:bdr w:val="nil"/>
          <w14:textOutline w14:w="0" w14:cap="flat" w14:cmpd="sng" w14:algn="ctr">
            <w14:noFill/>
            <w14:prstDash w14:val="solid"/>
            <w14:bevel/>
          </w14:textOutline>
        </w:rPr>
        <w:t>mitigation of the risk</w:t>
      </w:r>
      <w:r w:rsidRPr="00066040">
        <w:rPr>
          <w:rFonts w:eastAsia="Calibri" w:cs="Calibri"/>
          <w:bdr w:val="nil"/>
          <w14:textOutline w14:w="0" w14:cap="flat" w14:cmpd="sng" w14:algn="ctr">
            <w14:noFill/>
            <w14:prstDash w14:val="solid"/>
            <w14:bevel/>
          </w14:textOutline>
        </w:rPr>
        <w:t xml:space="preserve">; v) </w:t>
      </w:r>
      <w:r>
        <w:rPr>
          <w:rFonts w:eastAsia="Calibri" w:cs="Calibri"/>
          <w:bdr w:val="nil"/>
          <w14:textOutline w14:w="0" w14:cap="flat" w14:cmpd="sng" w14:algn="ctr">
            <w14:noFill/>
            <w14:prstDash w14:val="solid"/>
            <w14:bevel/>
          </w14:textOutline>
        </w:rPr>
        <w:t>whether the beneficiaries continue to reside or have a presence in the State in question</w:t>
      </w:r>
      <w:r w:rsidRPr="00066040">
        <w:rPr>
          <w:rFonts w:eastAsia="Calibri" w:cs="Calibri"/>
          <w:bdr w:val="nil"/>
          <w14:textOutline w14:w="0" w14:cap="flat" w14:cmpd="sng" w14:algn="ctr">
            <w14:noFill/>
            <w14:prstDash w14:val="solid"/>
            <w14:bevel/>
          </w14:textOutline>
        </w:rPr>
        <w:t xml:space="preserve">; vi) </w:t>
      </w:r>
      <w:r>
        <w:rPr>
          <w:rFonts w:eastAsia="Calibri" w:cs="Calibri"/>
          <w:bdr w:val="nil"/>
          <w14:textOutline w14:w="0" w14:cap="flat" w14:cmpd="sng" w14:algn="ctr">
            <w14:noFill/>
            <w14:prstDash w14:val="solid"/>
            <w14:bevel/>
          </w14:textOutline>
        </w:rPr>
        <w:t>inactivity or lack of a response by the representatives to requests for information made by the IACHR</w:t>
      </w:r>
      <w:r w:rsidRPr="00066040">
        <w:rPr>
          <w:rFonts w:eastAsia="Calibri" w:cs="Calibri"/>
          <w:bdr w:val="nil"/>
          <w14:textOutline w14:w="0" w14:cap="flat" w14:cmpd="sng" w14:algn="ctr">
            <w14:noFill/>
            <w14:prstDash w14:val="solid"/>
            <w14:bevel/>
          </w14:textOutline>
        </w:rPr>
        <w:t xml:space="preserve">, </w:t>
      </w:r>
      <w:r>
        <w:rPr>
          <w:rFonts w:eastAsia="Calibri" w:cs="Calibri"/>
          <w:bdr w:val="nil"/>
          <w14:textOutline w14:w="0" w14:cap="flat" w14:cmpd="sng" w14:algn="ctr">
            <w14:noFill/>
            <w14:prstDash w14:val="solid"/>
            <w14:bevel/>
          </w14:textOutline>
        </w:rPr>
        <w:t>so that it does not have information to justify keeping the precautionary measures in force. The foregoing is consistent with the framework of the strategy to keep the portfolio more focused on those matters that, given their current risk level, demand special attention from the IACHR</w:t>
      </w:r>
      <w:r w:rsidRPr="00066040">
        <w:rPr>
          <w:rFonts w:eastAsia="Calibri" w:cs="Calibri"/>
          <w:bdr w:val="nil"/>
          <w14:textOutline w14:w="0" w14:cap="flat" w14:cmpd="sng" w14:algn="ctr">
            <w14:noFill/>
            <w14:prstDash w14:val="solid"/>
            <w14:bevel/>
          </w14:textOutline>
        </w:rPr>
        <w:t>.</w:t>
      </w:r>
    </w:p>
    <w:p w14:paraId="0F0AAC01" w14:textId="77777777" w:rsidR="008668B8" w:rsidRPr="00D97145" w:rsidRDefault="008668B8" w:rsidP="00933F91">
      <w:pPr>
        <w:pStyle w:val="Heading1"/>
        <w:numPr>
          <w:ilvl w:val="0"/>
          <w:numId w:val="41"/>
        </w:numPr>
        <w:ind w:left="1440" w:hanging="720"/>
        <w:rPr>
          <w:rFonts w:ascii="Cambria" w:hAnsi="Cambria"/>
          <w:b/>
          <w:color w:val="auto"/>
          <w:sz w:val="22"/>
          <w:szCs w:val="22"/>
          <w:bdr w:val="nil"/>
        </w:rPr>
      </w:pPr>
      <w:r w:rsidRPr="00D97145">
        <w:rPr>
          <w:rFonts w:ascii="Cambria" w:hAnsi="Cambria"/>
          <w:b/>
          <w:color w:val="auto"/>
          <w:sz w:val="22"/>
          <w:szCs w:val="22"/>
          <w:bdr w:val="nil"/>
        </w:rPr>
        <w:t>Resolutions adopted</w:t>
      </w:r>
    </w:p>
    <w:p w14:paraId="27755265" w14:textId="77777777" w:rsidR="008668B8" w:rsidRPr="00066040" w:rsidRDefault="008668B8" w:rsidP="008668B8">
      <w:pPr>
        <w:pBdr>
          <w:top w:val="nil"/>
          <w:left w:val="nil"/>
          <w:bottom w:val="nil"/>
          <w:right w:val="nil"/>
          <w:between w:val="nil"/>
          <w:bar w:val="nil"/>
        </w:pBdr>
        <w:jc w:val="both"/>
        <w:rPr>
          <w:rFonts w:ascii="Cambria" w:eastAsia="Cambria" w:hAnsi="Cambria" w:cs="Cambria"/>
          <w:sz w:val="20"/>
          <w:szCs w:val="20"/>
          <w:bdr w:val="nil"/>
          <w14:textOutline w14:w="0" w14:cap="flat" w14:cmpd="sng" w14:algn="ctr">
            <w14:noFill/>
            <w14:prstDash w14:val="solid"/>
            <w14:bevel/>
          </w14:textOutline>
        </w:rPr>
      </w:pPr>
    </w:p>
    <w:p w14:paraId="5AE6B0BA" w14:textId="6BC61218" w:rsidR="008668B8" w:rsidRPr="008D79C6" w:rsidRDefault="008668B8" w:rsidP="00933F91">
      <w:pPr>
        <w:pStyle w:val="BodyText"/>
        <w:widowControl/>
        <w:numPr>
          <w:ilvl w:val="0"/>
          <w:numId w:val="58"/>
        </w:numPr>
        <w:ind w:left="0" w:firstLine="720"/>
        <w:jc w:val="both"/>
        <w:rPr>
          <w:rFonts w:eastAsia="Calibri" w:cs="Calibri"/>
          <w:bdr w:val="nil"/>
          <w14:textOutline w14:w="0" w14:cap="flat" w14:cmpd="sng" w14:algn="ctr">
            <w14:noFill/>
            <w14:prstDash w14:val="solid"/>
            <w14:bevel/>
          </w14:textOutline>
        </w:rPr>
      </w:pPr>
      <w:r>
        <w:rPr>
          <w:rFonts w:eastAsia="Calibri" w:cs="Calibri"/>
          <w:bdr w:val="nil"/>
          <w14:textOutline w14:w="0" w14:cap="flat" w14:cmpd="sng" w14:algn="ctr">
            <w14:noFill/>
            <w14:prstDash w14:val="solid"/>
            <w14:bevel/>
          </w14:textOutline>
        </w:rPr>
        <w:t>Reference is made below to the</w:t>
      </w:r>
      <w:r w:rsidRPr="00066040">
        <w:rPr>
          <w:rFonts w:eastAsia="Calibri" w:cs="Calibri"/>
          <w:bdr w:val="nil"/>
          <w14:textOutline w14:w="0" w14:cap="flat" w14:cmpd="sng" w14:algn="ctr">
            <w14:noFill/>
            <w14:prstDash w14:val="solid"/>
            <w14:bevel/>
          </w14:textOutline>
        </w:rPr>
        <w:t xml:space="preserve"> </w:t>
      </w:r>
      <w:r>
        <w:rPr>
          <w:rFonts w:eastAsia="Calibri" w:cs="Calibri"/>
          <w:bdr w:val="nil"/>
          <w14:textOutline w14:w="0" w14:cap="flat" w14:cmpd="sng" w14:algn="ctr">
            <w14:noFill/>
            <w14:prstDash w14:val="solid"/>
            <w14:bevel/>
          </w14:textOutline>
        </w:rPr>
        <w:t>80</w:t>
      </w:r>
      <w:r w:rsidRPr="00066040">
        <w:rPr>
          <w:rFonts w:eastAsia="Calibri" w:cs="Calibri"/>
          <w:bdr w:val="nil"/>
          <w14:textOutline w14:w="0" w14:cap="flat" w14:cmpd="sng" w14:algn="ctr">
            <w14:noFill/>
            <w14:prstDash w14:val="solid"/>
            <w14:bevel/>
          </w14:textOutline>
        </w:rPr>
        <w:t xml:space="preserve"> </w:t>
      </w:r>
      <w:hyperlink r:id="rId238" w:history="1">
        <w:r w:rsidRPr="004F5F22">
          <w:rPr>
            <w:rStyle w:val="Hyperlink"/>
            <w:rFonts w:eastAsia="Calibri" w:cs="Calibri"/>
            <w:bdr w:val="nil"/>
            <w14:textOutline w14:w="0" w14:cap="flat" w14:cmpd="sng" w14:algn="ctr">
              <w14:noFill/>
              <w14:prstDash w14:val="solid"/>
              <w14:bevel/>
            </w14:textOutline>
          </w:rPr>
          <w:t>resolutions</w:t>
        </w:r>
      </w:hyperlink>
      <w:r>
        <w:rPr>
          <w:rFonts w:eastAsia="Calibri" w:cs="Calibri"/>
          <w:bdr w:val="nil"/>
          <w14:textOutline w14:w="0" w14:cap="flat" w14:cmpd="sng" w14:algn="ctr">
            <w14:noFill/>
            <w14:prstDash w14:val="solid"/>
            <w14:bevel/>
          </w14:textOutline>
        </w:rPr>
        <w:t xml:space="preserve"> on precautionary measures adopted during</w:t>
      </w:r>
      <w:r w:rsidRPr="00066040">
        <w:rPr>
          <w:rFonts w:eastAsia="Calibri" w:cs="Calibri"/>
          <w:bdr w:val="nil"/>
          <w14:textOutline w14:w="0" w14:cap="flat" w14:cmpd="sng" w14:algn="ctr">
            <w14:noFill/>
            <w14:prstDash w14:val="solid"/>
            <w14:bevel/>
          </w14:textOutline>
        </w:rPr>
        <w:t xml:space="preserve"> 2022</w:t>
      </w:r>
      <w:r>
        <w:rPr>
          <w:rFonts w:eastAsia="Calibri" w:cs="Calibri"/>
          <w:bdr w:val="nil"/>
          <w14:textOutline w14:w="0" w14:cap="flat" w14:cmpd="sng" w14:algn="ctr">
            <w14:noFill/>
            <w14:prstDash w14:val="solid"/>
            <w14:bevel/>
          </w14:textOutline>
        </w:rPr>
        <w:t xml:space="preserve"> with regard to:</w:t>
      </w:r>
      <w:r w:rsidRPr="00066040">
        <w:rPr>
          <w:rFonts w:eastAsia="Calibri" w:cs="Calibri"/>
          <w:bdr w:val="nil"/>
          <w14:textOutline w14:w="0" w14:cap="flat" w14:cmpd="sng" w14:algn="ctr">
            <w14:noFill/>
            <w14:prstDash w14:val="solid"/>
            <w14:bevel/>
          </w14:textOutline>
        </w:rPr>
        <w:t xml:space="preserve"> </w:t>
      </w:r>
      <w:r>
        <w:rPr>
          <w:rFonts w:eastAsia="Calibri" w:cs="Calibri"/>
          <w:bdr w:val="nil"/>
          <w14:textOutline w14:w="0" w14:cap="flat" w14:cmpd="sng" w14:algn="ctr">
            <w14:noFill/>
            <w14:prstDash w14:val="solid"/>
            <w14:bevel/>
          </w14:textOutline>
        </w:rPr>
        <w:t>44</w:t>
      </w:r>
      <w:r w:rsidRPr="00066040">
        <w:rPr>
          <w:rFonts w:eastAsia="Calibri" w:cs="Calibri"/>
          <w:bdr w:val="nil"/>
          <w14:textOutline w14:w="0" w14:cap="flat" w14:cmpd="sng" w14:algn="ctr">
            <w14:noFill/>
            <w14:prstDash w14:val="solid"/>
            <w14:bevel/>
          </w14:textOutline>
        </w:rPr>
        <w:t xml:space="preserve"> </w:t>
      </w:r>
      <w:r>
        <w:rPr>
          <w:rFonts w:eastAsia="Calibri" w:cs="Calibri"/>
          <w:bdr w:val="nil"/>
          <w14:textOutline w14:w="0" w14:cap="flat" w14:cmpd="sng" w14:algn="ctr">
            <w14:noFill/>
            <w14:prstDash w14:val="solid"/>
            <w14:bevel/>
          </w14:textOutline>
        </w:rPr>
        <w:t>precautionary measures granted</w:t>
      </w:r>
      <w:r w:rsidRPr="00066040">
        <w:rPr>
          <w:rFonts w:eastAsia="Calibri" w:cs="Calibri"/>
          <w:bdr w:val="nil"/>
          <w14:textOutline w14:w="0" w14:cap="flat" w14:cmpd="sng" w14:algn="ctr">
            <w14:noFill/>
            <w14:prstDash w14:val="solid"/>
            <w14:bevel/>
          </w14:textOutline>
        </w:rPr>
        <w:t xml:space="preserve">; </w:t>
      </w:r>
      <w:r>
        <w:rPr>
          <w:rFonts w:eastAsia="Calibri" w:cs="Calibri"/>
          <w:bdr w:val="nil"/>
          <w14:textOutline w14:w="0" w14:cap="flat" w14:cmpd="sng" w14:algn="ctr">
            <w14:noFill/>
            <w14:prstDash w14:val="solid"/>
            <w14:bevel/>
          </w14:textOutline>
        </w:rPr>
        <w:t>four extensions of precautionary measures in force; one</w:t>
      </w:r>
      <w:r w:rsidRPr="00066040">
        <w:rPr>
          <w:rFonts w:eastAsia="Calibri" w:cs="Calibri"/>
          <w:bdr w:val="nil"/>
          <w14:textOutline w14:w="0" w14:cap="flat" w14:cmpd="sng" w14:algn="ctr">
            <w14:noFill/>
            <w14:prstDash w14:val="solid"/>
            <w14:bevel/>
          </w14:textOutline>
        </w:rPr>
        <w:t xml:space="preserve"> </w:t>
      </w:r>
      <w:r>
        <w:rPr>
          <w:rFonts w:eastAsia="Calibri" w:cs="Calibri"/>
          <w:bdr w:val="nil"/>
          <w14:textOutline w14:w="0" w14:cap="flat" w14:cmpd="sng" w14:algn="ctr">
            <w14:noFill/>
            <w14:prstDash w14:val="solid"/>
            <w14:bevel/>
          </w14:textOutline>
        </w:rPr>
        <w:t xml:space="preserve">precautionary measure extended with </w:t>
      </w:r>
      <w:r w:rsidRPr="008D79C6">
        <w:rPr>
          <w:rFonts w:eastAsia="Calibri" w:cs="Calibri"/>
          <w:bdr w:val="nil"/>
          <w14:textOutline w14:w="0" w14:cap="flat" w14:cmpd="sng" w14:algn="ctr">
            <w14:noFill/>
            <w14:prstDash w14:val="solid"/>
            <w14:bevel/>
          </w14:textOutline>
        </w:rPr>
        <w:t>follow-up resolution; one precautionary measure extended and partially lifted with follow-up resolution; one modification and follow-up resolution; 43 measures lifted totally, and two measures lifted partially.</w:t>
      </w:r>
    </w:p>
    <w:p w14:paraId="5F16A6B6" w14:textId="77777777" w:rsidR="008668B8" w:rsidRPr="00066040" w:rsidRDefault="008668B8" w:rsidP="008668B8">
      <w:pPr>
        <w:jc w:val="both"/>
        <w:rPr>
          <w:rFonts w:ascii="Cambria" w:eastAsia="Cambria" w:hAnsi="Cambria" w:cs="Cambria"/>
          <w:sz w:val="20"/>
          <w:szCs w:val="20"/>
        </w:rPr>
      </w:pPr>
    </w:p>
    <w:p w14:paraId="0306777A" w14:textId="77777777" w:rsidR="008668B8" w:rsidRPr="005B477D" w:rsidRDefault="008668B8" w:rsidP="008668B8">
      <w:pPr>
        <w:jc w:val="both"/>
        <w:rPr>
          <w:rFonts w:ascii="Cambria" w:eastAsia="Times New Roman" w:hAnsi="Cambria" w:cs="Cambria"/>
          <w:b/>
          <w:bCs/>
          <w:sz w:val="22"/>
          <w:szCs w:val="22"/>
        </w:rPr>
      </w:pPr>
      <w:r w:rsidRPr="005B477D">
        <w:rPr>
          <w:rFonts w:ascii="Cambria" w:eastAsia="Times New Roman" w:hAnsi="Cambria" w:cs="Cambria"/>
          <w:b/>
          <w:bCs/>
          <w:sz w:val="22"/>
          <w:szCs w:val="22"/>
        </w:rPr>
        <w:t>ARGENTINA</w:t>
      </w:r>
    </w:p>
    <w:p w14:paraId="2A223141" w14:textId="77777777" w:rsidR="008668B8" w:rsidRPr="005B477D" w:rsidRDefault="008668B8" w:rsidP="008668B8">
      <w:pPr>
        <w:jc w:val="both"/>
        <w:rPr>
          <w:rFonts w:ascii="Cambria" w:eastAsia="Times New Roman" w:hAnsi="Cambria" w:cs="Cambria"/>
          <w:b/>
          <w:bCs/>
          <w:sz w:val="22"/>
          <w:szCs w:val="22"/>
        </w:rPr>
      </w:pPr>
    </w:p>
    <w:p w14:paraId="7CC84B5A"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Resolution No. 4/22 (LIFT)</w:t>
      </w:r>
    </w:p>
    <w:p w14:paraId="2AFFAA24"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PM 356-16 - Child A. R., Argentina</w:t>
      </w:r>
    </w:p>
    <w:p w14:paraId="2D2EF707" w14:textId="77777777" w:rsidR="008668B8" w:rsidRPr="005B477D" w:rsidRDefault="008668B8" w:rsidP="008668B8">
      <w:pPr>
        <w:jc w:val="both"/>
        <w:rPr>
          <w:rFonts w:ascii="Cambria" w:eastAsia="Times New Roman" w:hAnsi="Cambria" w:cs="Cambria"/>
          <w:sz w:val="20"/>
          <w:szCs w:val="20"/>
        </w:rPr>
      </w:pPr>
    </w:p>
    <w:p w14:paraId="7DC79A1C" w14:textId="77777777" w:rsidR="008668B8" w:rsidRPr="005B477D" w:rsidRDefault="008668B8" w:rsidP="008668B8">
      <w:pPr>
        <w:jc w:val="both"/>
        <w:rPr>
          <w:rFonts w:ascii="Cambria" w:eastAsia="Times New Roman" w:hAnsi="Cambria" w:cs="Cambria"/>
          <w:sz w:val="20"/>
          <w:szCs w:val="20"/>
        </w:rPr>
      </w:pPr>
      <w:r w:rsidRPr="31502C94">
        <w:rPr>
          <w:rFonts w:ascii="Cambria" w:eastAsia="Times New Roman" w:hAnsi="Cambria" w:cs="Cambria"/>
          <w:sz w:val="20"/>
          <w:szCs w:val="20"/>
        </w:rPr>
        <w:t>The Inter-American Commission on Human Rights (IACHR) decides to lift the current measures in favor of the child A. R. When making the decision, the Commission assessed the actions adopted by the State during implementation as well as observations from the beneficiary’s representation. The Commission understands that the factual circumstances that led the precautionary measures to be granted have changed significantly. Currently, there are domestic court decisions that stay the international return order and make it conditional on the welfare of child A. R. In addition, it is not a matter of dispute that child A. R. receives specialized medical care. Upon not identifying compliance with the procedural rules, the IACHR decided to lift the current measures.</w:t>
      </w:r>
    </w:p>
    <w:p w14:paraId="6D702AD1" w14:textId="77777777" w:rsidR="008668B8" w:rsidRPr="005B477D" w:rsidRDefault="008668B8" w:rsidP="008668B8">
      <w:pPr>
        <w:jc w:val="both"/>
        <w:rPr>
          <w:rFonts w:ascii="Cambria" w:eastAsia="Times New Roman" w:hAnsi="Cambria" w:cs="Cambria"/>
          <w:sz w:val="20"/>
          <w:szCs w:val="20"/>
        </w:rPr>
      </w:pPr>
    </w:p>
    <w:p w14:paraId="03277D81"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Resolution No. 20/22 (LIFT)</w:t>
      </w:r>
    </w:p>
    <w:p w14:paraId="1D066ECB"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PM 404-10 – Members pf the Qom Navogoh Indigenous Community “La Primavera,” Argentina</w:t>
      </w:r>
    </w:p>
    <w:p w14:paraId="1AD52CAE" w14:textId="77777777" w:rsidR="008668B8" w:rsidRPr="005B477D" w:rsidRDefault="008668B8" w:rsidP="008668B8">
      <w:pPr>
        <w:jc w:val="both"/>
        <w:rPr>
          <w:rFonts w:ascii="Cambria" w:eastAsia="Times New Roman" w:hAnsi="Cambria" w:cs="Cambria"/>
          <w:sz w:val="20"/>
          <w:szCs w:val="20"/>
        </w:rPr>
      </w:pPr>
    </w:p>
    <w:p w14:paraId="7F1FCBE6"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lift these precautionary measures in favor of the Qom Navogoh indigenous community "La Primavera," in Formosa Province in Argentina. When making the decision, the Commission evaluated the actions adopted by the State during implementation as well as observations from the beneficiaries’ representatives. Following the State’s request to lift, the IACHR asked for the representatives’ observations. After assessing the change in circumstances and not identifying compliance with the procedural regulations based on the available information, the IACHR decided to lift the current measures.</w:t>
      </w:r>
    </w:p>
    <w:p w14:paraId="01DE3BB5" w14:textId="77777777" w:rsidR="008668B8" w:rsidRPr="005B477D" w:rsidRDefault="008668B8" w:rsidP="008668B8">
      <w:pPr>
        <w:rPr>
          <w:rFonts w:ascii="Cambria" w:eastAsia="Times New Roman" w:hAnsi="Cambria" w:cs="Arial"/>
          <w:b/>
          <w:bCs/>
          <w:sz w:val="20"/>
          <w:szCs w:val="20"/>
        </w:rPr>
      </w:pPr>
    </w:p>
    <w:p w14:paraId="45A539B0" w14:textId="77777777" w:rsidR="008668B8" w:rsidRPr="005B477D" w:rsidRDefault="008668B8" w:rsidP="008668B8">
      <w:pPr>
        <w:jc w:val="both"/>
        <w:rPr>
          <w:rFonts w:ascii="Cambria" w:eastAsia="Times New Roman" w:hAnsi="Cambria" w:cs="Arial"/>
          <w:b/>
          <w:bCs/>
          <w:sz w:val="20"/>
          <w:szCs w:val="20"/>
        </w:rPr>
      </w:pPr>
      <w:r w:rsidRPr="005B477D">
        <w:rPr>
          <w:rFonts w:ascii="Cambria" w:eastAsia="Times New Roman" w:hAnsi="Cambria" w:cs="Arial"/>
          <w:b/>
          <w:bCs/>
          <w:sz w:val="20"/>
          <w:szCs w:val="20"/>
        </w:rPr>
        <w:t>BRAZIL</w:t>
      </w:r>
    </w:p>
    <w:p w14:paraId="6EA2F1D9" w14:textId="77777777" w:rsidR="008668B8" w:rsidRPr="005B477D" w:rsidRDefault="008668B8" w:rsidP="008668B8">
      <w:pPr>
        <w:jc w:val="both"/>
        <w:rPr>
          <w:rFonts w:ascii="Cambria" w:eastAsia="Times New Roman" w:hAnsi="Cambria" w:cs="Cambria"/>
          <w:sz w:val="20"/>
          <w:szCs w:val="20"/>
        </w:rPr>
      </w:pPr>
    </w:p>
    <w:p w14:paraId="7C250BA9" w14:textId="77777777" w:rsidR="008668B8" w:rsidRPr="005B477D" w:rsidRDefault="008668B8" w:rsidP="008668B8">
      <w:pPr>
        <w:jc w:val="both"/>
        <w:rPr>
          <w:rFonts w:ascii="Cambria" w:eastAsia="Times New Roman" w:hAnsi="Cambria" w:cs="Arial"/>
          <w:sz w:val="20"/>
          <w:szCs w:val="20"/>
        </w:rPr>
      </w:pPr>
      <w:r w:rsidRPr="005B477D">
        <w:rPr>
          <w:rFonts w:ascii="Cambria" w:eastAsia="Times New Roman" w:hAnsi="Cambria" w:cs="Cambria"/>
          <w:sz w:val="20"/>
          <w:szCs w:val="20"/>
        </w:rPr>
        <w:t>Resolution No. 24/22 (GRANT)</w:t>
      </w:r>
    </w:p>
    <w:p w14:paraId="343D6016"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lastRenderedPageBreak/>
        <w:t xml:space="preserve">PM 449-22 - Bruno Araújo Pereira and Dom Phillips, Brazil </w:t>
      </w:r>
    </w:p>
    <w:p w14:paraId="319BF20D" w14:textId="77777777" w:rsidR="008668B8" w:rsidRPr="005B477D" w:rsidRDefault="008668B8" w:rsidP="008668B8">
      <w:pPr>
        <w:jc w:val="both"/>
        <w:rPr>
          <w:rFonts w:ascii="Cambria" w:eastAsia="Times New Roman" w:hAnsi="Cambria" w:cs="Cambria"/>
          <w:sz w:val="20"/>
          <w:szCs w:val="20"/>
        </w:rPr>
      </w:pPr>
    </w:p>
    <w:p w14:paraId="46A1B031" w14:textId="77777777" w:rsidR="008668B8" w:rsidRPr="005B477D" w:rsidRDefault="008668B8" w:rsidP="008668B8">
      <w:pPr>
        <w:jc w:val="both"/>
        <w:rPr>
          <w:rFonts w:ascii="Cambria" w:eastAsia="Times New Roman" w:hAnsi="Cambria" w:cs="Cambria"/>
          <w:sz w:val="20"/>
          <w:szCs w:val="20"/>
        </w:rPr>
      </w:pPr>
      <w:r w:rsidRPr="31502C94">
        <w:rPr>
          <w:rFonts w:ascii="Cambria" w:eastAsia="Times New Roman" w:hAnsi="Cambria" w:cs="Cambria"/>
          <w:sz w:val="20"/>
          <w:szCs w:val="20"/>
        </w:rPr>
        <w:t xml:space="preserve">On June 11, 2022, the IACHR decided to grant precautionary measures in favor of indigenist and defender of the rights of indigenous peoples, Bruno Araújo Pereira, and British journalist, Dom Phillips. The request for precautionary measures indicates that the proposed beneficiaries have been missing since June 5, 2022, when they were traveling through the Vale del Javari Indigenous Land towards the city of Atalaia do Norte in order to visit the Indigenous Surveillance team on site and conduct interviews. After analyzing the allegations of fact and law provided by the applicants, the Commission considered that the beneficiaries are in a serious and urgent situation, since their rights face a risk of irreparable harm, based on the applicable </w:t>
      </w:r>
      <w:r w:rsidRPr="31502C94">
        <w:rPr>
          <w:rFonts w:ascii="Cambria" w:eastAsia="Times New Roman" w:hAnsi="Cambria" w:cs="Cambria"/>
          <w:i/>
          <w:iCs/>
          <w:sz w:val="20"/>
          <w:szCs w:val="20"/>
        </w:rPr>
        <w:t>prima facie</w:t>
      </w:r>
      <w:r w:rsidRPr="31502C94">
        <w:rPr>
          <w:rFonts w:ascii="Cambria" w:eastAsia="Times New Roman" w:hAnsi="Cambria" w:cs="Cambria"/>
          <w:sz w:val="20"/>
          <w:szCs w:val="20"/>
        </w:rPr>
        <w:t xml:space="preserve"> standard. Therefore, based on Article 25 of its Rules of Procedure, the Commission requested that the State of Brazil redouble its efforts to determine the situation and whereabout of Bruno Araújo Pereira and Dom Phillips in order to protect their rights to life and personal integrity and allow them to continue their human rights defense work or journalistic activities, as applicable. Also, report on the actions taken to investigate with due diligence the alleged facts that led to the adoption of this precautionary measure and thus prevent their recurrence.</w:t>
      </w:r>
    </w:p>
    <w:p w14:paraId="43F12EFA" w14:textId="77777777" w:rsidR="008668B8" w:rsidRPr="005B477D" w:rsidRDefault="008668B8" w:rsidP="008668B8">
      <w:pPr>
        <w:jc w:val="both"/>
        <w:rPr>
          <w:rFonts w:ascii="Cambria" w:eastAsia="Times New Roman" w:hAnsi="Cambria" w:cs="Cambria"/>
          <w:sz w:val="20"/>
          <w:szCs w:val="20"/>
        </w:rPr>
      </w:pPr>
    </w:p>
    <w:p w14:paraId="16A40B3C" w14:textId="77777777" w:rsidR="008668B8" w:rsidRPr="005B477D" w:rsidRDefault="008668B8" w:rsidP="008668B8">
      <w:pPr>
        <w:jc w:val="both"/>
        <w:rPr>
          <w:rFonts w:ascii="Cambria" w:eastAsiaTheme="majorEastAsia" w:hAnsi="Cambria" w:cs="Times New Roman"/>
          <w:sz w:val="20"/>
          <w:szCs w:val="20"/>
        </w:rPr>
      </w:pPr>
      <w:r w:rsidRPr="005B477D">
        <w:rPr>
          <w:rFonts w:ascii="Cambria" w:eastAsia="Times New Roman" w:hAnsi="Cambria" w:cs="Cambria"/>
          <w:sz w:val="20"/>
          <w:szCs w:val="20"/>
        </w:rPr>
        <w:t>Resolution No. 34/22 (GRANT)</w:t>
      </w:r>
    </w:p>
    <w:p w14:paraId="2E4FAB2E"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PM 408-22 - Benny Briolly Rosa da Silva Santos and members of her work team, Brazil</w:t>
      </w:r>
    </w:p>
    <w:p w14:paraId="4166C7E5" w14:textId="77777777" w:rsidR="008668B8" w:rsidRPr="005B477D" w:rsidRDefault="008668B8" w:rsidP="008668B8">
      <w:pPr>
        <w:jc w:val="both"/>
        <w:rPr>
          <w:rFonts w:ascii="Cambria" w:eastAsia="Times New Roman" w:hAnsi="Cambria" w:cs="Cambria"/>
          <w:sz w:val="20"/>
          <w:szCs w:val="20"/>
        </w:rPr>
      </w:pPr>
    </w:p>
    <w:p w14:paraId="78562CC0" w14:textId="660DD3AE" w:rsidR="008668B8" w:rsidRDefault="008668B8" w:rsidP="002F0ED9">
      <w:pPr>
        <w:jc w:val="both"/>
        <w:rPr>
          <w:rFonts w:ascii="Cambria" w:eastAsia="Times New Roman" w:hAnsi="Cambria" w:cs="Cambria"/>
          <w:sz w:val="20"/>
          <w:szCs w:val="20"/>
        </w:rPr>
      </w:pPr>
      <w:r w:rsidRPr="31502C94">
        <w:rPr>
          <w:rFonts w:ascii="Cambria" w:eastAsia="Times New Roman" w:hAnsi="Cambria" w:cs="Cambria"/>
          <w:sz w:val="20"/>
          <w:szCs w:val="20"/>
        </w:rPr>
        <w:t xml:space="preserve">On July 11, 2022, the IACHR granted precautionary measures in favor of Benny Briolly Rosa da Silva Santos and members of her work team. The request for precautionary measures alleges that the beneficiary, a councilor in the municipality of Niterói, is receiving a series of death threats as a result of her identification as a black transvestite woman and her work as a human rights defender. Upon analyzing the allegations of fact and law provided by the parties, the Commission considers that the information presented shows that the beneficiaries are in a serious and urgent situation of risk of irreparable harm based on the applicable </w:t>
      </w:r>
      <w:r w:rsidRPr="31502C94">
        <w:rPr>
          <w:rFonts w:ascii="Cambria" w:eastAsia="Times New Roman" w:hAnsi="Cambria" w:cs="Cambria"/>
          <w:i/>
          <w:iCs/>
          <w:sz w:val="20"/>
          <w:szCs w:val="20"/>
        </w:rPr>
        <w:t xml:space="preserve">prima facie </w:t>
      </w:r>
      <w:r w:rsidRPr="31502C94">
        <w:rPr>
          <w:rFonts w:ascii="Cambria" w:eastAsia="Times New Roman" w:hAnsi="Cambria" w:cs="Cambria"/>
          <w:sz w:val="20"/>
          <w:szCs w:val="20"/>
        </w:rPr>
        <w:t>standard.</w:t>
      </w:r>
      <w:r w:rsidR="002F0ED9">
        <w:rPr>
          <w:rFonts w:ascii="Cambria" w:eastAsia="Times New Roman" w:hAnsi="Cambria" w:cs="Cambria"/>
          <w:sz w:val="20"/>
          <w:szCs w:val="20"/>
        </w:rPr>
        <w:t xml:space="preserve"> </w:t>
      </w:r>
      <w:r w:rsidRPr="005B477D">
        <w:rPr>
          <w:rFonts w:ascii="Cambria" w:eastAsia="Times New Roman" w:hAnsi="Cambria" w:cs="Cambria"/>
          <w:sz w:val="20"/>
          <w:szCs w:val="20"/>
        </w:rPr>
        <w:t>Consequently, in accordance with Article 25 of the Rules of Procedure, the Commission asks Brazil to:</w:t>
      </w:r>
    </w:p>
    <w:p w14:paraId="0327BB35" w14:textId="77777777" w:rsidR="002F0ED9" w:rsidRPr="005B477D" w:rsidRDefault="002F0ED9" w:rsidP="002F0ED9">
      <w:pPr>
        <w:jc w:val="both"/>
        <w:rPr>
          <w:rFonts w:ascii="Cambria" w:eastAsia="Times New Roman" w:hAnsi="Cambria" w:cs="Cambria"/>
          <w:sz w:val="20"/>
          <w:szCs w:val="20"/>
        </w:rPr>
      </w:pPr>
    </w:p>
    <w:p w14:paraId="1CFFC82D" w14:textId="77777777" w:rsidR="008668B8" w:rsidRPr="005B477D" w:rsidRDefault="008668B8" w:rsidP="00933F91">
      <w:pPr>
        <w:numPr>
          <w:ilvl w:val="0"/>
          <w:numId w:val="39"/>
        </w:numPr>
        <w:spacing w:after="120"/>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protect the rights to life and personal integrity of Ms. Benny Briolly Rosa da Silva Santos and three members of her work team, considering the ethnic-racial and gender approaches;</w:t>
      </w:r>
    </w:p>
    <w:p w14:paraId="1BAF14BB" w14:textId="77777777" w:rsidR="008668B8" w:rsidRPr="005B477D" w:rsidRDefault="008668B8" w:rsidP="00933F91">
      <w:pPr>
        <w:numPr>
          <w:ilvl w:val="0"/>
          <w:numId w:val="39"/>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adopted with the beneficiaries and their representatives; and</w:t>
      </w:r>
    </w:p>
    <w:p w14:paraId="26BB0E1F" w14:textId="77777777" w:rsidR="008668B8" w:rsidRPr="005B477D" w:rsidRDefault="008668B8" w:rsidP="00933F91">
      <w:pPr>
        <w:numPr>
          <w:ilvl w:val="0"/>
          <w:numId w:val="39"/>
        </w:numPr>
        <w:contextualSpacing/>
        <w:jc w:val="both"/>
        <w:rPr>
          <w:rFonts w:ascii="Cambria" w:eastAsia="Times New Roman" w:hAnsi="Cambria" w:cs="Cambria"/>
          <w:sz w:val="20"/>
          <w:szCs w:val="20"/>
        </w:rPr>
      </w:pPr>
      <w:r w:rsidRPr="31502C94">
        <w:rPr>
          <w:rFonts w:ascii="Cambria" w:eastAsia="Times New Roman" w:hAnsi="Cambria" w:cs="Cambria"/>
          <w:sz w:val="20"/>
          <w:szCs w:val="20"/>
        </w:rPr>
        <w:t>Report on actions taken to investigate the alleged events that led to the adoption of this precautionary measure and thus prevent their recurrence.</w:t>
      </w:r>
    </w:p>
    <w:p w14:paraId="711979F9" w14:textId="77777777" w:rsidR="008668B8" w:rsidRPr="005B477D" w:rsidRDefault="008668B8" w:rsidP="008668B8">
      <w:pPr>
        <w:jc w:val="both"/>
        <w:rPr>
          <w:rFonts w:ascii="Cambria" w:eastAsia="Times New Roman" w:hAnsi="Cambria" w:cs="Cambria"/>
          <w:sz w:val="16"/>
          <w:szCs w:val="16"/>
        </w:rPr>
      </w:pPr>
    </w:p>
    <w:p w14:paraId="796946EE" w14:textId="77777777" w:rsidR="008668B8" w:rsidRPr="005B477D" w:rsidRDefault="008668B8" w:rsidP="008668B8">
      <w:pPr>
        <w:rPr>
          <w:rFonts w:ascii="Cambria" w:eastAsia="Times New Roman" w:hAnsi="Cambria" w:cs="Cambria"/>
          <w:sz w:val="20"/>
          <w:szCs w:val="20"/>
        </w:rPr>
      </w:pPr>
      <w:r w:rsidRPr="31502C94">
        <w:rPr>
          <w:rFonts w:ascii="Cambria" w:eastAsia="Times New Roman" w:hAnsi="Cambria" w:cs="Arial"/>
          <w:sz w:val="20"/>
          <w:szCs w:val="20"/>
        </w:rPr>
        <w:t>Resolution No. 50/22 (GRANT)</w:t>
      </w:r>
      <w:r>
        <w:br/>
      </w:r>
      <w:r w:rsidRPr="31502C94">
        <w:rPr>
          <w:rFonts w:ascii="Cambria" w:eastAsia="Times New Roman" w:hAnsi="Cambria" w:cs="Cambria"/>
          <w:sz w:val="20"/>
          <w:szCs w:val="20"/>
        </w:rPr>
        <w:t>PM 517-22 – Members of the Guapoy’s Community of the Guarani Kaiowá People, Brazil</w:t>
      </w:r>
    </w:p>
    <w:p w14:paraId="56D313DE" w14:textId="77777777" w:rsidR="008668B8" w:rsidRPr="005B477D" w:rsidRDefault="008668B8" w:rsidP="008668B8">
      <w:pPr>
        <w:jc w:val="both"/>
        <w:rPr>
          <w:rFonts w:ascii="Cambria" w:eastAsia="Times New Roman" w:hAnsi="Cambria" w:cs="Cambria"/>
          <w:sz w:val="20"/>
          <w:szCs w:val="20"/>
        </w:rPr>
      </w:pPr>
    </w:p>
    <w:p w14:paraId="7AAE0BC7" w14:textId="77777777" w:rsidR="008668B8" w:rsidRPr="005B477D" w:rsidRDefault="008668B8" w:rsidP="008668B8">
      <w:pPr>
        <w:spacing w:after="120"/>
        <w:jc w:val="both"/>
        <w:rPr>
          <w:rFonts w:ascii="Cambria" w:eastAsia="Times New Roman" w:hAnsi="Cambria" w:cs="Cambria"/>
          <w:sz w:val="20"/>
          <w:szCs w:val="20"/>
        </w:rPr>
      </w:pPr>
      <w:r w:rsidRPr="31502C94">
        <w:rPr>
          <w:rFonts w:ascii="Cambria" w:eastAsia="Times New Roman" w:hAnsi="Cambria" w:cs="Cambria"/>
          <w:sz w:val="20"/>
          <w:szCs w:val="20"/>
        </w:rPr>
        <w:t>On October 2, 2022, the IACHR granted precautionary measures in favor of members of the Guapoy’s community of the Guarani Kaiowá Indigenous People, with respect to Brazil. The IACHR considered that the members of the beneficiary community are at serious and urgent risk of irreparable harm to their rights, after being subjected to acts of violence in the context of disputes over land ownership in the region and the murder of two proposed indigenous beneficiaries. The Commission evaluated the actions developed by the State and observed that, despite the measures adopted, the applicants have reported the occurrence of new events that, alleged and understood as a whole, allow the identification of violent events that have been increasing over time and impacting the life and integrity of the members of the beneficiary community. Under the terms of Article 25 of its Rules of Procedure, the IACHR decided to grant the precautionary measure and asked the State of Brazil to:</w:t>
      </w:r>
    </w:p>
    <w:p w14:paraId="0206D339" w14:textId="77777777" w:rsidR="008668B8" w:rsidRPr="005B477D" w:rsidRDefault="008668B8" w:rsidP="00933F91">
      <w:pPr>
        <w:numPr>
          <w:ilvl w:val="0"/>
          <w:numId w:val="38"/>
        </w:numPr>
        <w:spacing w:after="120"/>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and culturally appropriate measures to protect the rights to life and personal integrity of the members of the Guapoy’s community of the Guarani Kaiowá Indigenous People. In addition, the State should ensure that the beneficiaries’ rights are respected both in accordance with the standards established by international human rights law and in relation to acts constituting risk attributable to third parties;</w:t>
      </w:r>
    </w:p>
    <w:p w14:paraId="5AE1E3FC" w14:textId="77777777" w:rsidR="008668B8" w:rsidRPr="005B477D" w:rsidRDefault="008668B8" w:rsidP="00933F91">
      <w:pPr>
        <w:numPr>
          <w:ilvl w:val="0"/>
          <w:numId w:val="38"/>
        </w:numPr>
        <w:contextualSpacing/>
        <w:jc w:val="both"/>
        <w:rPr>
          <w:rFonts w:ascii="Cambria" w:eastAsia="Times New Roman" w:hAnsi="Cambria" w:cs="Cambria"/>
          <w:sz w:val="20"/>
          <w:szCs w:val="20"/>
        </w:rPr>
      </w:pPr>
      <w:r w:rsidRPr="005B477D">
        <w:rPr>
          <w:rFonts w:ascii="Cambria" w:eastAsia="Times New Roman" w:hAnsi="Cambria" w:cs="Cambria"/>
          <w:sz w:val="20"/>
          <w:szCs w:val="20"/>
        </w:rPr>
        <w:lastRenderedPageBreak/>
        <w:t>Consult and agree upon the measures to be adopted with the beneficiaries and/or their representatives; and</w:t>
      </w:r>
    </w:p>
    <w:p w14:paraId="26F40FD2" w14:textId="77777777" w:rsidR="008668B8" w:rsidRPr="005B477D" w:rsidRDefault="008668B8" w:rsidP="00933F91">
      <w:pPr>
        <w:numPr>
          <w:ilvl w:val="0"/>
          <w:numId w:val="38"/>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the actions implemented to investigate the facts that led to the adoption of this precautionary measure and thus prevent their reoccurrence.</w:t>
      </w:r>
    </w:p>
    <w:p w14:paraId="7C0FAA86" w14:textId="77777777" w:rsidR="008668B8" w:rsidRPr="005B477D" w:rsidRDefault="008668B8" w:rsidP="008668B8">
      <w:pPr>
        <w:jc w:val="both"/>
        <w:rPr>
          <w:rFonts w:ascii="Cambria" w:eastAsia="Times New Roman" w:hAnsi="Cambria" w:cs="Cambria"/>
          <w:sz w:val="20"/>
          <w:szCs w:val="20"/>
        </w:rPr>
      </w:pPr>
    </w:p>
    <w:p w14:paraId="000DE293" w14:textId="77777777" w:rsidR="008668B8" w:rsidRPr="005B477D" w:rsidRDefault="008668B8" w:rsidP="008668B8">
      <w:pPr>
        <w:jc w:val="both"/>
        <w:rPr>
          <w:rFonts w:ascii="Cambria" w:eastAsia="Times New Roman" w:hAnsi="Cambria" w:cs="Arial"/>
          <w:sz w:val="20"/>
          <w:szCs w:val="20"/>
        </w:rPr>
      </w:pPr>
      <w:r w:rsidRPr="005B477D">
        <w:rPr>
          <w:rFonts w:ascii="Cambria" w:eastAsia="Times New Roman" w:hAnsi="Cambria" w:cs="Cambria"/>
          <w:sz w:val="20"/>
          <w:szCs w:val="20"/>
        </w:rPr>
        <w:t>Resolution No. 51/22 (LIFT)</w:t>
      </w:r>
    </w:p>
    <w:p w14:paraId="2FB9D9AD"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PM 302-15 - Adolescents deprived of their liberty at the Center for Socio-Educational Attention of Adolescents (CASA) Cedro, Brazil</w:t>
      </w:r>
    </w:p>
    <w:p w14:paraId="07E08523" w14:textId="77777777" w:rsidR="008668B8" w:rsidRPr="005B477D" w:rsidRDefault="008668B8" w:rsidP="008668B8">
      <w:pPr>
        <w:jc w:val="both"/>
        <w:rPr>
          <w:rFonts w:ascii="Cambria" w:eastAsia="Times New Roman" w:hAnsi="Cambria" w:cs="Cambria"/>
          <w:sz w:val="20"/>
          <w:szCs w:val="20"/>
        </w:rPr>
      </w:pPr>
    </w:p>
    <w:p w14:paraId="4B60552C"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lift these precautionary measures in favor of the adolescents deprived of liberty at the Center for Socio-Educational Attention of Adolescents (CASA) Cedro with respect to Brazil. When making the decision, the Commission evaluated the change in circumstances, the suspension of activities since March 10, 2021, and the fact that there are no longer adolescents deprived of their liberty at the Center. Upon identifying that the procedural requirements are currently no longer being met, the IACHR decided to lift these measures.</w:t>
      </w:r>
    </w:p>
    <w:p w14:paraId="49B0616F" w14:textId="77777777" w:rsidR="008668B8" w:rsidRPr="005B477D" w:rsidRDefault="008668B8" w:rsidP="008668B8">
      <w:pPr>
        <w:jc w:val="both"/>
        <w:rPr>
          <w:rFonts w:ascii="Cambria" w:eastAsia="Times New Roman" w:hAnsi="Cambria" w:cs="Cambria"/>
          <w:sz w:val="20"/>
          <w:szCs w:val="20"/>
        </w:rPr>
      </w:pPr>
    </w:p>
    <w:p w14:paraId="0E96C11C" w14:textId="77777777" w:rsidR="008668B8" w:rsidRPr="005B477D" w:rsidRDefault="008668B8" w:rsidP="008668B8">
      <w:pPr>
        <w:jc w:val="both"/>
        <w:rPr>
          <w:rFonts w:ascii="Cambria" w:eastAsia="Times New Roman" w:hAnsi="Cambria" w:cs="Arial"/>
          <w:sz w:val="20"/>
          <w:szCs w:val="20"/>
        </w:rPr>
      </w:pPr>
      <w:r w:rsidRPr="005B477D">
        <w:rPr>
          <w:rFonts w:ascii="Cambria" w:eastAsia="Times New Roman" w:hAnsi="Cambria" w:cs="Cambria"/>
          <w:sz w:val="20"/>
          <w:szCs w:val="20"/>
        </w:rPr>
        <w:t>Resolution No. 53/22 (EXTENSION)</w:t>
      </w:r>
    </w:p>
    <w:p w14:paraId="487B0439"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PM 888-19 - Persons Deprived of Liberty at the Alfredo Tranjan Penitentiary, Brazil</w:t>
      </w:r>
    </w:p>
    <w:p w14:paraId="325DC943" w14:textId="77777777" w:rsidR="008668B8" w:rsidRPr="005B477D" w:rsidRDefault="008668B8" w:rsidP="008668B8">
      <w:pPr>
        <w:jc w:val="both"/>
        <w:rPr>
          <w:rFonts w:ascii="Cambria" w:eastAsia="Times New Roman" w:hAnsi="Cambria" w:cs="Cambria"/>
          <w:sz w:val="20"/>
          <w:szCs w:val="20"/>
        </w:rPr>
      </w:pPr>
    </w:p>
    <w:p w14:paraId="52FEDEEA" w14:textId="77777777" w:rsidR="008668B8" w:rsidRPr="005B477D" w:rsidRDefault="008668B8" w:rsidP="008668B8">
      <w:pPr>
        <w:spacing w:after="120"/>
        <w:jc w:val="both"/>
        <w:rPr>
          <w:rFonts w:ascii="Cambria" w:eastAsia="Times New Roman" w:hAnsi="Cambria" w:cs="Cambria"/>
          <w:sz w:val="20"/>
          <w:szCs w:val="20"/>
        </w:rPr>
      </w:pPr>
      <w:r w:rsidRPr="53B1CD61">
        <w:rPr>
          <w:rFonts w:ascii="Cambria" w:eastAsia="Times New Roman" w:hAnsi="Cambria" w:cs="Cambria"/>
          <w:sz w:val="20"/>
          <w:szCs w:val="20"/>
        </w:rPr>
        <w:t>On October 11, 2022, the IACHR granted precautionary measures in favor of persons deprived of liberty at the Alfredo Tranjan Penitentiary (PAT) in Brazil. According to the representatives, the PAT was allegedly receiving persons deprived of liberty transferred from the Jorge Santana Public Penitentiary, who were being kept at the PAT under inadequate conditions of detention and without adequate and timely access to medical care. Therefore, in accordance with Article 25 of its Rules of Procedure, the Commission decided to extend the precautionary measures and requested that the State of Brazil:</w:t>
      </w:r>
    </w:p>
    <w:p w14:paraId="16BA8D1A" w14:textId="77777777" w:rsidR="008668B8" w:rsidRPr="005B477D" w:rsidRDefault="008668B8" w:rsidP="00933F91">
      <w:pPr>
        <w:numPr>
          <w:ilvl w:val="0"/>
          <w:numId w:val="37"/>
        </w:numPr>
        <w:spacing w:after="120"/>
        <w:contextualSpacing/>
        <w:jc w:val="both"/>
        <w:rPr>
          <w:rFonts w:ascii="Cambria" w:eastAsia="Times New Roman" w:hAnsi="Cambria" w:cs="Cambria"/>
          <w:sz w:val="20"/>
          <w:szCs w:val="20"/>
        </w:rPr>
      </w:pPr>
      <w:r w:rsidRPr="005B477D">
        <w:rPr>
          <w:rFonts w:ascii="Cambria" w:eastAsia="Times New Roman" w:hAnsi="Cambria" w:cs="Calibri"/>
          <w:sz w:val="20"/>
          <w:szCs w:val="20"/>
        </w:rPr>
        <w:t>A</w:t>
      </w:r>
      <w:r w:rsidRPr="005B477D">
        <w:rPr>
          <w:rFonts w:ascii="Cambria" w:eastAsia="Times New Roman" w:hAnsi="Cambria" w:cs="Calibri"/>
          <w:sz w:val="20"/>
          <w:szCs w:val="20"/>
          <w:shd w:val="clear" w:color="auto" w:fill="FFFFFF"/>
        </w:rPr>
        <w:t>dopt any measures necessary to protect the lives, personal integrity, and health of persons who are deprived of liberty at Alfredo Tranjan Penitentiary (particularly by ensuring the provision of adequate, timely healthcare that follows the recommendations of the relevant experts</w:t>
      </w:r>
      <w:r w:rsidRPr="005B477D">
        <w:rPr>
          <w:rFonts w:ascii="Cambria" w:eastAsia="Times New Roman" w:hAnsi="Cambria" w:cs="Cambria"/>
          <w:sz w:val="20"/>
          <w:szCs w:val="20"/>
        </w:rPr>
        <w:t>;</w:t>
      </w:r>
    </w:p>
    <w:p w14:paraId="0DC3ECF9" w14:textId="77777777" w:rsidR="008668B8" w:rsidRPr="005B477D" w:rsidRDefault="008668B8" w:rsidP="00933F91">
      <w:pPr>
        <w:numPr>
          <w:ilvl w:val="0"/>
          <w:numId w:val="37"/>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any measures necessary to ensure that beneficiaries’ conditions of detention comply with the applicable international standards, in particular by ensuring that the structure of the Alfredo Tranjan Penitentiary meets suitable security requirements, given the beneficiaries’ disabilities and injuries, including mutilation and fractures or other types of wounds, and in order to prevent greater impacts on the entire prison population, taking immediate actions to substantially reduce crowding and providing for adequate sanitation and hygiene;</w:t>
      </w:r>
    </w:p>
    <w:p w14:paraId="3066CDB9" w14:textId="77777777" w:rsidR="008668B8" w:rsidRPr="005B477D" w:rsidRDefault="008668B8" w:rsidP="00933F91">
      <w:pPr>
        <w:numPr>
          <w:ilvl w:val="0"/>
          <w:numId w:val="37"/>
        </w:numPr>
        <w:contextualSpacing/>
        <w:jc w:val="both"/>
        <w:rPr>
          <w:rFonts w:ascii="Cambria" w:eastAsia="Times New Roman" w:hAnsi="Cambria" w:cs="Cambria"/>
          <w:sz w:val="20"/>
          <w:szCs w:val="20"/>
        </w:rPr>
      </w:pPr>
      <w:r w:rsidRPr="005B477D">
        <w:rPr>
          <w:rFonts w:ascii="Cambria" w:eastAsia="Times New Roman" w:hAnsi="Cambria" w:cs="Cambria"/>
          <w:sz w:val="20"/>
          <w:szCs w:val="20"/>
        </w:rPr>
        <w:t>Take measures aimed at reassessing the compatibility of the deprivation of liberty in the individual situation of risk to the life and personal integrity of beneficiaries with disabilities —whether temporary or permanent— and others with specific health needs in light of applicable international standards;</w:t>
      </w:r>
    </w:p>
    <w:p w14:paraId="72EEEDB3" w14:textId="77777777" w:rsidR="008668B8" w:rsidRPr="005B477D" w:rsidRDefault="008668B8" w:rsidP="00933F91">
      <w:pPr>
        <w:numPr>
          <w:ilvl w:val="0"/>
          <w:numId w:val="37"/>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reach agreement on measures to be adopted with the beneficiaries and their representatives; and</w:t>
      </w:r>
    </w:p>
    <w:p w14:paraId="5321CE68" w14:textId="77777777" w:rsidR="008668B8" w:rsidRPr="005B477D" w:rsidRDefault="008668B8" w:rsidP="00933F91">
      <w:pPr>
        <w:numPr>
          <w:ilvl w:val="0"/>
          <w:numId w:val="37"/>
        </w:numPr>
        <w:contextualSpacing/>
        <w:jc w:val="both"/>
        <w:rPr>
          <w:rFonts w:ascii="Cambria" w:eastAsia="Times New Roman" w:hAnsi="Cambria" w:cs="Cambria"/>
          <w:sz w:val="20"/>
          <w:szCs w:val="20"/>
        </w:rPr>
      </w:pPr>
      <w:r w:rsidRPr="31502C94">
        <w:rPr>
          <w:rFonts w:ascii="Cambria" w:eastAsia="Times New Roman" w:hAnsi="Cambria" w:cs="Cambria"/>
          <w:sz w:val="20"/>
          <w:szCs w:val="20"/>
        </w:rPr>
        <w:t>Report on actions taken to investigate the facts that led to the adoption of this precautionary measure and thus prevent their recurrence.</w:t>
      </w:r>
    </w:p>
    <w:p w14:paraId="52F858A7" w14:textId="77777777" w:rsidR="008668B8" w:rsidRPr="005B477D" w:rsidRDefault="008668B8" w:rsidP="008668B8">
      <w:pPr>
        <w:jc w:val="both"/>
        <w:rPr>
          <w:rFonts w:ascii="Cambria" w:eastAsia="Times New Roman" w:hAnsi="Cambria" w:cs="Cambria"/>
          <w:sz w:val="20"/>
          <w:szCs w:val="20"/>
        </w:rPr>
      </w:pPr>
    </w:p>
    <w:p w14:paraId="1C6DD596"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Resolution No. 59/22 (EXTENSION AND FOLLOW-UP)</w:t>
      </w:r>
    </w:p>
    <w:p w14:paraId="3CA7A9F1" w14:textId="77777777" w:rsidR="008668B8" w:rsidRPr="005B477D" w:rsidRDefault="008668B8" w:rsidP="008668B8">
      <w:pPr>
        <w:jc w:val="both"/>
        <w:rPr>
          <w:rFonts w:ascii="Cambria" w:eastAsia="Times New Roman" w:hAnsi="Cambria" w:cs="Cambria"/>
          <w:sz w:val="20"/>
          <w:szCs w:val="20"/>
          <w:lang w:val="pt-BR"/>
        </w:rPr>
      </w:pPr>
      <w:r w:rsidRPr="005B477D">
        <w:rPr>
          <w:rFonts w:ascii="Cambria" w:eastAsia="Times New Roman" w:hAnsi="Cambria" w:cs="Cambria"/>
          <w:sz w:val="20"/>
          <w:szCs w:val="20"/>
          <w:lang w:val="pt-BR"/>
        </w:rPr>
        <w:t>PM 449-22 – Identified members of the “União dos Povos Indígenas do Vale de Javari” - UNIVAJA, Brazil</w:t>
      </w:r>
    </w:p>
    <w:p w14:paraId="072F6336" w14:textId="77777777" w:rsidR="008668B8" w:rsidRPr="005B477D" w:rsidRDefault="008668B8" w:rsidP="008668B8">
      <w:pPr>
        <w:jc w:val="both"/>
        <w:rPr>
          <w:rFonts w:ascii="Cambria" w:eastAsia="Times New Roman" w:hAnsi="Cambria" w:cs="Cambria"/>
          <w:sz w:val="20"/>
          <w:szCs w:val="20"/>
          <w:lang w:val="pt-BR"/>
        </w:rPr>
      </w:pPr>
    </w:p>
    <w:p w14:paraId="3FFDCE3B" w14:textId="77777777" w:rsidR="008668B8" w:rsidRDefault="008668B8" w:rsidP="008668B8">
      <w:pPr>
        <w:spacing w:after="120"/>
        <w:contextualSpacing/>
        <w:jc w:val="both"/>
        <w:rPr>
          <w:rFonts w:ascii="Cambria" w:eastAsia="Times New Roman" w:hAnsi="Cambria" w:cs="Cambria"/>
          <w:sz w:val="20"/>
          <w:szCs w:val="20"/>
        </w:rPr>
      </w:pPr>
      <w:r w:rsidRPr="005B477D">
        <w:rPr>
          <w:rFonts w:ascii="Cambria" w:eastAsia="Times New Roman" w:hAnsi="Cambria" w:cs="Cambria"/>
          <w:sz w:val="20"/>
          <w:szCs w:val="20"/>
        </w:rPr>
        <w:t xml:space="preserve">On October 27, 2022, the Inter-American Commission on Human Rights extended the precautionary measures in favor of 11 members of the "União dos Povos Indígenas do Vale de Javari" (UNIVAJA) in Brazil. According to the information received, the beneficiaries are at risk due to their work protecting the Vale do Javari indigenous peoples and their territory, as well as for their direct participation in the search for Bruno Araújo Pereira and Dom Phillips and their demand for justice regarding their murders. Upon analyzing the submissions of fact and law furnished by the parties, the Commission considered that the information presented shows prima facie </w:t>
      </w:r>
      <w:r w:rsidRPr="005B477D">
        <w:rPr>
          <w:rFonts w:ascii="Cambria" w:eastAsia="Times New Roman" w:hAnsi="Cambria" w:cs="Cambria"/>
          <w:sz w:val="20"/>
          <w:szCs w:val="20"/>
        </w:rPr>
        <w:lastRenderedPageBreak/>
        <w:t>that the 11 persons identified are in a serious and urgent situation, given that their rights to life and personal integrity are at serious risk. Consequently, in accordance with Article 25 of the Rules of Procedure of the IACHR, Brazil is requested to:</w:t>
      </w:r>
    </w:p>
    <w:p w14:paraId="453D1A27" w14:textId="77777777" w:rsidR="00312E16" w:rsidRPr="005B477D" w:rsidRDefault="00312E16" w:rsidP="008668B8">
      <w:pPr>
        <w:spacing w:after="120"/>
        <w:contextualSpacing/>
        <w:jc w:val="both"/>
        <w:rPr>
          <w:rFonts w:ascii="Cambria" w:eastAsia="Times New Roman" w:hAnsi="Cambria" w:cs="Cambria"/>
          <w:sz w:val="20"/>
          <w:szCs w:val="20"/>
        </w:rPr>
      </w:pPr>
    </w:p>
    <w:p w14:paraId="06DD8F72" w14:textId="77777777" w:rsidR="008668B8" w:rsidRPr="005B477D" w:rsidRDefault="008668B8" w:rsidP="008668B8">
      <w:pPr>
        <w:tabs>
          <w:tab w:val="left" w:pos="709"/>
        </w:tabs>
        <w:ind w:left="709" w:hanging="349"/>
        <w:jc w:val="both"/>
        <w:rPr>
          <w:rFonts w:ascii="Cambria" w:eastAsia="Times New Roman" w:hAnsi="Cambria" w:cs="Cambria"/>
          <w:sz w:val="20"/>
          <w:szCs w:val="20"/>
        </w:rPr>
      </w:pPr>
      <w:r w:rsidRPr="31502C94">
        <w:rPr>
          <w:rFonts w:ascii="Cambria" w:eastAsia="Times New Roman" w:hAnsi="Cambria" w:cs="Cambria"/>
          <w:sz w:val="20"/>
          <w:szCs w:val="20"/>
        </w:rPr>
        <w:t xml:space="preserve">a.   </w:t>
      </w:r>
      <w:r>
        <w:tab/>
      </w:r>
      <w:r w:rsidRPr="31502C94">
        <w:rPr>
          <w:rFonts w:ascii="Cambria" w:eastAsia="Times New Roman" w:hAnsi="Cambria" w:cs="Cambria"/>
          <w:sz w:val="20"/>
          <w:szCs w:val="20"/>
        </w:rPr>
        <w:t>Adopt the measures necessary to protect the life and personal integrity of the 11 persons identified, taking into consideration the cultural appropriateness of the measures adopted;</w:t>
      </w:r>
    </w:p>
    <w:p w14:paraId="7CD4AC00" w14:textId="77777777" w:rsidR="008668B8" w:rsidRPr="005B477D" w:rsidRDefault="008668B8" w:rsidP="008668B8">
      <w:pPr>
        <w:tabs>
          <w:tab w:val="left" w:pos="709"/>
        </w:tabs>
        <w:ind w:left="709" w:hanging="349"/>
        <w:jc w:val="both"/>
        <w:rPr>
          <w:rFonts w:ascii="Cambria" w:eastAsia="Times New Roman" w:hAnsi="Cambria" w:cs="Cambria"/>
          <w:sz w:val="20"/>
          <w:szCs w:val="20"/>
        </w:rPr>
      </w:pPr>
      <w:r w:rsidRPr="005B477D">
        <w:rPr>
          <w:rFonts w:ascii="Cambria" w:eastAsia="Times New Roman" w:hAnsi="Cambria" w:cs="Cambria"/>
          <w:sz w:val="20"/>
          <w:szCs w:val="20"/>
        </w:rPr>
        <w:t xml:space="preserve">b. </w:t>
      </w:r>
      <w:r w:rsidRPr="005B477D">
        <w:rPr>
          <w:rFonts w:ascii="Cambria" w:eastAsia="Times New Roman" w:hAnsi="Cambria" w:cs="Cambria"/>
          <w:sz w:val="20"/>
          <w:szCs w:val="20"/>
        </w:rPr>
        <w:tab/>
      </w:r>
      <w:r w:rsidRPr="005B477D">
        <w:rPr>
          <w:rFonts w:ascii="Cambria" w:eastAsia="Times New Roman" w:hAnsi="Cambria" w:cs="Cambria"/>
          <w:sz w:val="20"/>
          <w:szCs w:val="20"/>
        </w:rPr>
        <w:tab/>
        <w:t>Adopt the measures necessary to guarantee that the beneficiaries can continue to carry out their work as human rights defenders without being subjected to threats, harassment, or acts of violence in performing their work;</w:t>
      </w:r>
    </w:p>
    <w:p w14:paraId="05D786EC" w14:textId="77777777" w:rsidR="008668B8" w:rsidRPr="005B477D" w:rsidRDefault="008668B8" w:rsidP="008668B8">
      <w:pPr>
        <w:tabs>
          <w:tab w:val="left" w:pos="709"/>
        </w:tabs>
        <w:ind w:left="709" w:hanging="349"/>
        <w:jc w:val="both"/>
        <w:rPr>
          <w:rFonts w:ascii="Cambria" w:eastAsia="Times New Roman" w:hAnsi="Cambria" w:cs="Cambria"/>
          <w:sz w:val="20"/>
          <w:szCs w:val="20"/>
        </w:rPr>
      </w:pPr>
      <w:r w:rsidRPr="31502C94">
        <w:rPr>
          <w:rFonts w:ascii="Cambria" w:eastAsia="Times New Roman" w:hAnsi="Cambria" w:cs="Cambria"/>
          <w:sz w:val="20"/>
          <w:szCs w:val="20"/>
        </w:rPr>
        <w:t xml:space="preserve">c. </w:t>
      </w:r>
      <w:r>
        <w:tab/>
      </w:r>
      <w:r w:rsidRPr="31502C94">
        <w:rPr>
          <w:rFonts w:ascii="Cambria" w:eastAsia="Times New Roman" w:hAnsi="Cambria" w:cs="Cambria"/>
          <w:sz w:val="20"/>
          <w:szCs w:val="20"/>
        </w:rPr>
        <w:t>Consult and agree upon the measures to be adopted with the beneficiaries and their representatives; and</w:t>
      </w:r>
    </w:p>
    <w:p w14:paraId="385FB638" w14:textId="77777777" w:rsidR="008668B8" w:rsidRPr="005B477D" w:rsidRDefault="008668B8" w:rsidP="008668B8">
      <w:pPr>
        <w:tabs>
          <w:tab w:val="left" w:pos="709"/>
        </w:tabs>
        <w:ind w:left="709" w:hanging="349"/>
        <w:jc w:val="both"/>
        <w:rPr>
          <w:rFonts w:ascii="Cambria" w:eastAsia="Times New Roman" w:hAnsi="Cambria" w:cs="Cambria"/>
          <w:sz w:val="20"/>
          <w:szCs w:val="20"/>
        </w:rPr>
      </w:pPr>
      <w:r w:rsidRPr="31502C94">
        <w:rPr>
          <w:rFonts w:ascii="Cambria" w:eastAsia="Times New Roman" w:hAnsi="Cambria" w:cs="Cambria"/>
          <w:sz w:val="20"/>
          <w:szCs w:val="20"/>
        </w:rPr>
        <w:t>d.</w:t>
      </w:r>
      <w:r>
        <w:tab/>
      </w:r>
      <w:r>
        <w:tab/>
      </w:r>
      <w:r w:rsidRPr="31502C94">
        <w:rPr>
          <w:rFonts w:ascii="Cambria" w:eastAsia="Times New Roman" w:hAnsi="Cambria" w:cs="Cambria"/>
          <w:sz w:val="20"/>
          <w:szCs w:val="20"/>
        </w:rPr>
        <w:t>Report on the actions taken to investigate the alleged acts that led to the adoption of this precautionary measure and thus prevent their recurrence.</w:t>
      </w:r>
    </w:p>
    <w:p w14:paraId="4ADE5BCF" w14:textId="77777777" w:rsidR="008668B8" w:rsidRPr="005B477D" w:rsidRDefault="008668B8" w:rsidP="008668B8">
      <w:pPr>
        <w:ind w:left="360"/>
        <w:jc w:val="both"/>
        <w:rPr>
          <w:rFonts w:ascii="Cambria" w:eastAsia="Times New Roman" w:hAnsi="Cambria" w:cs="Cambria"/>
          <w:sz w:val="20"/>
          <w:szCs w:val="20"/>
        </w:rPr>
      </w:pPr>
    </w:p>
    <w:p w14:paraId="4F74E964" w14:textId="77777777" w:rsidR="008668B8" w:rsidRPr="005B477D" w:rsidRDefault="008668B8" w:rsidP="008668B8">
      <w:pPr>
        <w:jc w:val="both"/>
        <w:rPr>
          <w:rFonts w:ascii="Cambria" w:eastAsia="Times New Roman" w:hAnsi="Cambria" w:cs="Cambria"/>
          <w:b/>
          <w:bCs/>
          <w:sz w:val="20"/>
          <w:szCs w:val="20"/>
        </w:rPr>
      </w:pPr>
      <w:r w:rsidRPr="005B477D">
        <w:rPr>
          <w:rFonts w:ascii="Cambria" w:eastAsia="Times New Roman" w:hAnsi="Cambria" w:cs="Cambria"/>
          <w:b/>
          <w:bCs/>
          <w:sz w:val="20"/>
          <w:szCs w:val="20"/>
        </w:rPr>
        <w:t>COLOMBIA</w:t>
      </w:r>
    </w:p>
    <w:p w14:paraId="532A8F52" w14:textId="77777777" w:rsidR="008668B8" w:rsidRPr="005B477D" w:rsidRDefault="008668B8" w:rsidP="008668B8">
      <w:pPr>
        <w:rPr>
          <w:rFonts w:ascii="Cambria" w:eastAsia="Times New Roman" w:hAnsi="Cambria" w:cs="Cambria"/>
          <w:sz w:val="20"/>
          <w:szCs w:val="20"/>
        </w:rPr>
      </w:pPr>
    </w:p>
    <w:p w14:paraId="22C92F82" w14:textId="77777777" w:rsidR="008668B8" w:rsidRPr="005B477D" w:rsidRDefault="008668B8" w:rsidP="008668B8">
      <w:pPr>
        <w:rPr>
          <w:rFonts w:ascii="Cambria" w:eastAsia="Times New Roman" w:hAnsi="Cambria" w:cs="Cambria"/>
          <w:sz w:val="20"/>
          <w:szCs w:val="20"/>
        </w:rPr>
      </w:pPr>
      <w:r w:rsidRPr="005B477D">
        <w:rPr>
          <w:rFonts w:ascii="Cambria" w:eastAsia="Times New Roman" w:hAnsi="Cambria" w:cs="Cambria"/>
          <w:sz w:val="20"/>
          <w:szCs w:val="20"/>
        </w:rPr>
        <w:t>Resolution No. 2/22 (LIFT)</w:t>
      </w:r>
      <w:r w:rsidRPr="005B477D">
        <w:rPr>
          <w:rFonts w:ascii="Cambria" w:eastAsiaTheme="majorEastAsia" w:hAnsi="Cambria" w:cs="Times New Roman"/>
          <w:sz w:val="20"/>
          <w:szCs w:val="20"/>
        </w:rPr>
        <w:br/>
      </w:r>
      <w:r w:rsidRPr="005B477D">
        <w:rPr>
          <w:rFonts w:ascii="Cambria" w:eastAsia="Times New Roman" w:hAnsi="Cambria" w:cs="Cambria"/>
          <w:sz w:val="20"/>
          <w:szCs w:val="20"/>
        </w:rPr>
        <w:t>PM 243-10 - Sigifredo Espinosa Pérez and his family, Colombia</w:t>
      </w:r>
    </w:p>
    <w:p w14:paraId="1B30453A" w14:textId="77777777" w:rsidR="008668B8" w:rsidRPr="005B477D" w:rsidRDefault="008668B8" w:rsidP="008668B8">
      <w:pPr>
        <w:jc w:val="both"/>
        <w:rPr>
          <w:rFonts w:ascii="Cambria" w:eastAsia="Times New Roman" w:hAnsi="Cambria" w:cs="Cambria"/>
          <w:sz w:val="20"/>
          <w:szCs w:val="20"/>
        </w:rPr>
      </w:pPr>
    </w:p>
    <w:p w14:paraId="25DC81FC"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lift the precautionary measures in favor of Sigifredo Espinosa Pérez and his family in Colombia. When making the decision, the Commission assessed the actions taken by the State during implementation as well as the observations of the beneficiaries’ representation. Following several requests to have the measures lifted made by the State between 2010 and 2021, responses from the representation received up to 2020 as well as its lack of response in the procedure to the request for information made in 2021, and upon not identifying compliance with the procedural requirements, the IACHR decided to lift these measures.</w:t>
      </w:r>
    </w:p>
    <w:p w14:paraId="17737811" w14:textId="77777777" w:rsidR="008668B8" w:rsidRPr="005B477D" w:rsidRDefault="008668B8" w:rsidP="008668B8">
      <w:pPr>
        <w:rPr>
          <w:rFonts w:ascii="Cambria" w:eastAsia="Times New Roman" w:hAnsi="Cambria" w:cs="Cambria"/>
          <w:sz w:val="20"/>
          <w:szCs w:val="20"/>
        </w:rPr>
      </w:pPr>
    </w:p>
    <w:p w14:paraId="43D1DDA5" w14:textId="77777777" w:rsidR="008668B8" w:rsidRPr="005B477D" w:rsidRDefault="008668B8" w:rsidP="008668B8">
      <w:pPr>
        <w:rPr>
          <w:rFonts w:ascii="Cambria" w:eastAsia="Times New Roman" w:hAnsi="Cambria" w:cs="Cambria"/>
          <w:sz w:val="20"/>
          <w:szCs w:val="20"/>
        </w:rPr>
      </w:pPr>
      <w:r w:rsidRPr="005B477D">
        <w:rPr>
          <w:rFonts w:ascii="Cambria" w:eastAsia="Times New Roman" w:hAnsi="Cambria" w:cs="Cambria"/>
          <w:sz w:val="20"/>
          <w:szCs w:val="20"/>
        </w:rPr>
        <w:t>Resolution No. 5/22 (GRANT)</w:t>
      </w:r>
      <w:r w:rsidRPr="005B477D">
        <w:rPr>
          <w:rFonts w:ascii="Cambria" w:eastAsiaTheme="majorEastAsia" w:hAnsi="Cambria" w:cs="Times New Roman"/>
          <w:sz w:val="20"/>
          <w:szCs w:val="20"/>
        </w:rPr>
        <w:br/>
      </w:r>
      <w:r w:rsidRPr="005B477D">
        <w:rPr>
          <w:rFonts w:ascii="Cambria" w:eastAsia="Times New Roman" w:hAnsi="Cambria" w:cs="Cambria"/>
          <w:sz w:val="20"/>
          <w:szCs w:val="20"/>
        </w:rPr>
        <w:t>PM 858-21 – Families of the Río Murindó and Río Chageradó Reservation of the Embera Eyábida Indigenous People, Colombia</w:t>
      </w:r>
    </w:p>
    <w:p w14:paraId="6530E8FE" w14:textId="77777777" w:rsidR="008668B8" w:rsidRPr="005B477D" w:rsidRDefault="008668B8" w:rsidP="008668B8">
      <w:pPr>
        <w:jc w:val="both"/>
        <w:rPr>
          <w:rFonts w:ascii="Cambria" w:eastAsia="Times New Roman" w:hAnsi="Cambria" w:cs="Cambria"/>
          <w:sz w:val="20"/>
          <w:szCs w:val="20"/>
        </w:rPr>
      </w:pPr>
    </w:p>
    <w:p w14:paraId="20674140"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Arial"/>
          <w:sz w:val="20"/>
          <w:szCs w:val="20"/>
        </w:rPr>
        <w:t>On February 1, 2022, the IACHR decided to request the adoption of precautionary measures in favor of the families of the Río Murindó and Río Chageradó Reservations of the Embera Eyábida Indigenous People, in Colombia. The request for precautionary measures alleges that the proposed beneficiaries are at risk, given that their native lands are being occupied by armed groups carrying out acts of violence that affect the proposed beneficiaries, with reports having been made of attacks, harassment, displacement, and even murders. Upon analyzing the submissions of fact and law, the IACHR considers that the information provided shows, in principle, that the beneficiaries are at serious and urgent risk of irreparable harm. Consequently, in accordance with Article 25 of the Rules of Procedure of the IACHR, the Commission requested that Colombia adopt the necessary and culturally appropriate measures to safeguard the life and personal integrity of the families of the Río Murindó and Río Chageradó Reservations; consult and agree upon the measures to be adopted with the beneficiaries and/or their representatives; and report on the actions taken to investigate the alleged facts that gave rise to this precautionary measure and thus prevent their recurrence</w:t>
      </w:r>
      <w:r w:rsidRPr="005B477D">
        <w:rPr>
          <w:rFonts w:ascii="Cambria" w:eastAsia="Times New Roman" w:hAnsi="Cambria" w:cs="Cambria"/>
          <w:sz w:val="20"/>
          <w:szCs w:val="20"/>
        </w:rPr>
        <w:t>.</w:t>
      </w:r>
    </w:p>
    <w:p w14:paraId="343EFA16" w14:textId="77777777" w:rsidR="008668B8" w:rsidRPr="005B477D" w:rsidRDefault="008668B8" w:rsidP="008668B8">
      <w:pPr>
        <w:jc w:val="both"/>
        <w:rPr>
          <w:rFonts w:ascii="Cambria" w:eastAsia="Times New Roman" w:hAnsi="Cambria" w:cs="Cambria"/>
          <w:sz w:val="20"/>
          <w:szCs w:val="20"/>
        </w:rPr>
      </w:pPr>
    </w:p>
    <w:p w14:paraId="6F0CDC8E" w14:textId="77777777" w:rsidR="008668B8" w:rsidRPr="005B477D" w:rsidRDefault="008668B8" w:rsidP="008668B8">
      <w:pPr>
        <w:jc w:val="both"/>
        <w:rPr>
          <w:rFonts w:ascii="Cambria" w:eastAsia="Times New Roman" w:hAnsi="Cambria" w:cs="Arial"/>
          <w:sz w:val="20"/>
          <w:szCs w:val="20"/>
          <w:lang w:val="es-ES_tradnl"/>
        </w:rPr>
      </w:pPr>
      <w:r w:rsidRPr="005B477D">
        <w:rPr>
          <w:rFonts w:ascii="Cambria" w:eastAsia="Times New Roman" w:hAnsi="Cambria" w:cs="Cambria"/>
          <w:sz w:val="20"/>
          <w:szCs w:val="20"/>
          <w:lang w:val="es-ES_tradnl"/>
        </w:rPr>
        <w:t>Resolution No. 6/22 (LIFT)</w:t>
      </w:r>
    </w:p>
    <w:p w14:paraId="5B762720" w14:textId="77777777" w:rsidR="008668B8" w:rsidRPr="005B477D" w:rsidRDefault="008668B8" w:rsidP="008668B8">
      <w:pPr>
        <w:jc w:val="both"/>
        <w:rPr>
          <w:rFonts w:ascii="Cambria" w:eastAsia="Times New Roman" w:hAnsi="Cambria" w:cs="Cambria"/>
          <w:sz w:val="20"/>
          <w:szCs w:val="20"/>
          <w:lang w:val="es-ES_tradnl"/>
        </w:rPr>
      </w:pPr>
      <w:r w:rsidRPr="005B477D">
        <w:rPr>
          <w:rFonts w:ascii="Cambria" w:eastAsia="Times New Roman" w:hAnsi="Cambria" w:cs="Cambria"/>
          <w:sz w:val="20"/>
          <w:szCs w:val="20"/>
          <w:lang w:val="es-ES_tradnl"/>
        </w:rPr>
        <w:t>PM 254-10 - Leiderman Ortiz Berrio, Colombia</w:t>
      </w:r>
    </w:p>
    <w:p w14:paraId="5EC7D40F" w14:textId="77777777" w:rsidR="008668B8" w:rsidRPr="005B477D" w:rsidRDefault="008668B8" w:rsidP="008668B8">
      <w:pPr>
        <w:jc w:val="both"/>
        <w:rPr>
          <w:rFonts w:ascii="Cambria" w:eastAsia="Times New Roman" w:hAnsi="Cambria" w:cs="Cambria"/>
          <w:sz w:val="20"/>
          <w:szCs w:val="20"/>
          <w:lang w:val="es-ES_tradnl"/>
        </w:rPr>
      </w:pPr>
    </w:p>
    <w:p w14:paraId="331F30B2"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 xml:space="preserve">The Inter-American Commission on Human Rights (IACHR) decides to lift these precautionary measures in favor of Leiderman Ortiz Berrio in Colombia. When making the decision, the Commission evaluated the actions taken by the State during implementation as well as the observations of the beneficiary’s representation. After several transfers of information between the parties, the representation stopped providing information as of 2015. Following the State’s request to have the measures lifted in 2021, the representation responded and </w:t>
      </w:r>
      <w:r w:rsidRPr="005B477D">
        <w:rPr>
          <w:rFonts w:ascii="Cambria" w:eastAsia="Times New Roman" w:hAnsi="Cambria" w:cs="Cambria"/>
          <w:sz w:val="20"/>
          <w:szCs w:val="20"/>
        </w:rPr>
        <w:lastRenderedPageBreak/>
        <w:t>agreed with the State, considering that the beneficiary died for reasons related to COVID-19. Upon not identifying compliance with the procedural requirements, the IACHR decided to lift these measures.</w:t>
      </w:r>
    </w:p>
    <w:p w14:paraId="4E9BF00F" w14:textId="77777777" w:rsidR="008668B8" w:rsidRPr="005B477D" w:rsidRDefault="008668B8" w:rsidP="008668B8">
      <w:pPr>
        <w:jc w:val="both"/>
        <w:rPr>
          <w:rFonts w:ascii="Cambria" w:eastAsia="Times New Roman" w:hAnsi="Cambria" w:cs="Cambria"/>
          <w:sz w:val="20"/>
          <w:szCs w:val="20"/>
        </w:rPr>
      </w:pPr>
    </w:p>
    <w:p w14:paraId="4F554FA8" w14:textId="77777777" w:rsidR="008668B8" w:rsidRPr="005B477D" w:rsidRDefault="008668B8" w:rsidP="008668B8">
      <w:pPr>
        <w:jc w:val="both"/>
        <w:rPr>
          <w:rFonts w:ascii="Cambria" w:eastAsia="Times New Roman" w:hAnsi="Cambria" w:cs="Arial"/>
          <w:sz w:val="20"/>
          <w:szCs w:val="20"/>
          <w:lang w:val="es-ES_tradnl"/>
        </w:rPr>
      </w:pPr>
      <w:r w:rsidRPr="005B477D">
        <w:rPr>
          <w:rFonts w:ascii="Cambria" w:eastAsia="Times New Roman" w:hAnsi="Cambria" w:cs="Cambria"/>
          <w:sz w:val="20"/>
          <w:szCs w:val="20"/>
          <w:lang w:val="es-ES_tradnl"/>
        </w:rPr>
        <w:t>Resolution No. 13/22 (LIFT)</w:t>
      </w:r>
    </w:p>
    <w:p w14:paraId="16DDC291" w14:textId="77777777" w:rsidR="008668B8" w:rsidRPr="005B477D" w:rsidRDefault="008668B8" w:rsidP="008668B8">
      <w:pPr>
        <w:jc w:val="both"/>
        <w:rPr>
          <w:rFonts w:ascii="Cambria" w:eastAsia="Times New Roman" w:hAnsi="Cambria" w:cs="Cambria"/>
          <w:sz w:val="20"/>
          <w:szCs w:val="20"/>
          <w:lang w:val="es-ES_tradnl"/>
        </w:rPr>
      </w:pPr>
      <w:r w:rsidRPr="005B477D">
        <w:rPr>
          <w:rFonts w:ascii="Cambria" w:eastAsia="Times New Roman" w:hAnsi="Cambria" w:cs="Cambria"/>
          <w:sz w:val="20"/>
          <w:szCs w:val="20"/>
          <w:lang w:val="es-ES_tradnl"/>
        </w:rPr>
        <w:t>PM 368-10 - María Tirsa Paz et al., Colombia</w:t>
      </w:r>
    </w:p>
    <w:p w14:paraId="547DE2AE" w14:textId="77777777" w:rsidR="008668B8" w:rsidRPr="005B477D" w:rsidRDefault="008668B8" w:rsidP="008668B8">
      <w:pPr>
        <w:jc w:val="both"/>
        <w:rPr>
          <w:rFonts w:ascii="Cambria" w:eastAsia="Times New Roman" w:hAnsi="Cambria" w:cs="Cambria"/>
          <w:sz w:val="20"/>
          <w:szCs w:val="20"/>
          <w:lang w:val="es-ES_tradnl"/>
        </w:rPr>
      </w:pPr>
    </w:p>
    <w:p w14:paraId="7C6E1B47"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lift these precautionary measures in favor of María Tirsa Paz et al. in Colombia. When making the decision, the Commission assessed the actions taken by the State within the framework of these measures as well as the request to lift the measures together with the observations made by the representation. The Commission understands that, based on the information available, the requirements of Article 25 of its Rules of Procedure are not currently being met.</w:t>
      </w:r>
    </w:p>
    <w:p w14:paraId="27196C7A" w14:textId="77777777" w:rsidR="008668B8" w:rsidRPr="005B477D" w:rsidRDefault="008668B8" w:rsidP="008668B8">
      <w:pPr>
        <w:jc w:val="both"/>
        <w:rPr>
          <w:rFonts w:ascii="Cambria" w:eastAsia="Times New Roman" w:hAnsi="Cambria" w:cs="Cambria"/>
          <w:sz w:val="20"/>
          <w:szCs w:val="20"/>
        </w:rPr>
      </w:pPr>
    </w:p>
    <w:p w14:paraId="15635D90" w14:textId="77777777" w:rsidR="008668B8" w:rsidRPr="005B477D" w:rsidRDefault="008668B8" w:rsidP="008668B8">
      <w:pPr>
        <w:jc w:val="both"/>
        <w:rPr>
          <w:rFonts w:ascii="Cambria" w:eastAsia="Times New Roman" w:hAnsi="Cambria" w:cs="Arial"/>
          <w:sz w:val="20"/>
          <w:szCs w:val="20"/>
          <w:lang w:val="es-ES_tradnl"/>
        </w:rPr>
      </w:pPr>
      <w:r w:rsidRPr="005B477D">
        <w:rPr>
          <w:rFonts w:ascii="Cambria" w:eastAsia="Times New Roman" w:hAnsi="Cambria" w:cs="Cambria"/>
          <w:sz w:val="20"/>
          <w:szCs w:val="20"/>
          <w:lang w:val="es-ES_tradnl"/>
        </w:rPr>
        <w:t>Resolution No. 15/22 (LIFT)</w:t>
      </w:r>
    </w:p>
    <w:p w14:paraId="20091D9A" w14:textId="77777777" w:rsidR="008668B8" w:rsidRPr="005B477D" w:rsidRDefault="008668B8" w:rsidP="008668B8">
      <w:pPr>
        <w:jc w:val="both"/>
        <w:rPr>
          <w:rFonts w:ascii="Cambria" w:eastAsia="Times New Roman" w:hAnsi="Cambria" w:cs="Cambria"/>
          <w:sz w:val="20"/>
          <w:szCs w:val="20"/>
          <w:lang w:val="es-ES_tradnl"/>
        </w:rPr>
      </w:pPr>
      <w:r w:rsidRPr="005B477D">
        <w:rPr>
          <w:rFonts w:ascii="Cambria" w:eastAsia="Times New Roman" w:hAnsi="Cambria" w:cs="Cambria"/>
          <w:sz w:val="20"/>
          <w:szCs w:val="20"/>
          <w:lang w:val="es-ES_tradnl"/>
        </w:rPr>
        <w:t>PM 209-07 - Carlos Mario Gómez Gómez, Colombia</w:t>
      </w:r>
    </w:p>
    <w:p w14:paraId="18C170F1" w14:textId="77777777" w:rsidR="008668B8" w:rsidRPr="005B477D" w:rsidRDefault="008668B8" w:rsidP="008668B8">
      <w:pPr>
        <w:jc w:val="both"/>
        <w:rPr>
          <w:rFonts w:ascii="Cambria" w:eastAsia="Times New Roman" w:hAnsi="Cambria" w:cs="Cambria"/>
          <w:sz w:val="20"/>
          <w:szCs w:val="20"/>
          <w:lang w:val="es-ES_tradnl"/>
        </w:rPr>
      </w:pPr>
    </w:p>
    <w:p w14:paraId="501698C7"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lift these precautionary measures in favor of Carlos Mario Gómez Gómez, in Colombia. When making the decision, the Commission notes that the State has requested that this matter be lifted. The Commission assessed the actions taken by the State in implementing these measures and the information provided by the representation. Upon analyzing the available information, the IACHR considered that there are no sufficient elements to continue identifying compliance with the procedural requirements. In its assessment, the IACHR observed that there is no dispute between the parties that Mr. Gómez has regained his freedom so that the factual circumstances that led to the granting of precautionary measures have changed significantly.</w:t>
      </w:r>
    </w:p>
    <w:p w14:paraId="0DEFF239" w14:textId="77777777" w:rsidR="008668B8" w:rsidRPr="005B477D" w:rsidRDefault="008668B8" w:rsidP="008668B8">
      <w:pPr>
        <w:jc w:val="both"/>
        <w:rPr>
          <w:rFonts w:ascii="Cambria" w:eastAsia="Times New Roman" w:hAnsi="Cambria" w:cs="Cambria"/>
          <w:sz w:val="20"/>
          <w:szCs w:val="20"/>
        </w:rPr>
      </w:pPr>
    </w:p>
    <w:p w14:paraId="492C25B6" w14:textId="77777777" w:rsidR="008668B8" w:rsidRPr="005B477D" w:rsidRDefault="008668B8" w:rsidP="008668B8">
      <w:pPr>
        <w:jc w:val="both"/>
        <w:rPr>
          <w:rFonts w:ascii="Cambria" w:eastAsia="Times New Roman" w:hAnsi="Cambria" w:cs="Arial"/>
          <w:sz w:val="20"/>
          <w:szCs w:val="20"/>
          <w:lang w:val="es-ES_tradnl"/>
        </w:rPr>
      </w:pPr>
      <w:r w:rsidRPr="005B477D">
        <w:rPr>
          <w:rFonts w:ascii="Cambria" w:eastAsia="Times New Roman" w:hAnsi="Cambria" w:cs="Cambria"/>
          <w:sz w:val="20"/>
          <w:szCs w:val="20"/>
          <w:lang w:val="es-ES_tradnl"/>
        </w:rPr>
        <w:t>Resolution No. 31/22 (LIFT)</w:t>
      </w:r>
    </w:p>
    <w:p w14:paraId="3DAF8904" w14:textId="77777777" w:rsidR="008668B8" w:rsidRPr="005B477D" w:rsidRDefault="008668B8" w:rsidP="008668B8">
      <w:pPr>
        <w:jc w:val="both"/>
        <w:rPr>
          <w:rFonts w:ascii="Cambria" w:eastAsia="Times New Roman" w:hAnsi="Cambria" w:cs="Cambria"/>
          <w:sz w:val="20"/>
          <w:szCs w:val="20"/>
          <w:lang w:val="es-ES_tradnl"/>
        </w:rPr>
      </w:pPr>
      <w:r w:rsidRPr="005B477D">
        <w:rPr>
          <w:rFonts w:ascii="Cambria" w:eastAsia="Times New Roman" w:hAnsi="Cambria" w:cs="Cambria"/>
          <w:sz w:val="20"/>
          <w:szCs w:val="20"/>
          <w:lang w:val="es-ES_tradnl"/>
        </w:rPr>
        <w:t>PM 886-21 - Sebastián Quiñónez Echavarría, Colombia</w:t>
      </w:r>
    </w:p>
    <w:p w14:paraId="12282663" w14:textId="77777777" w:rsidR="008668B8" w:rsidRPr="005B477D" w:rsidRDefault="008668B8" w:rsidP="008668B8">
      <w:pPr>
        <w:jc w:val="both"/>
        <w:rPr>
          <w:rFonts w:ascii="Cambria" w:eastAsia="Times New Roman" w:hAnsi="Cambria" w:cs="Cambria"/>
          <w:sz w:val="20"/>
          <w:szCs w:val="20"/>
          <w:lang w:val="es-ES_tradnl"/>
        </w:rPr>
      </w:pPr>
    </w:p>
    <w:p w14:paraId="295565D4"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lift these precautionary measures in favor of Mr. Sebastián Quiñónez Echavarría in Colombia. When making the decision, the Commission observed that the fate and whereabouts of the beneficiary have been identified. In this regard, since his whereabouts have been determined, the IACHR regretted the death of Sebastián Quiñónez Echavarría and, given the change in circumstances, considered that the measures had been rendered moot, given that the requirements of Article 25 of the Rules of Procedure were not being met.</w:t>
      </w:r>
    </w:p>
    <w:p w14:paraId="4C3042E4" w14:textId="77777777" w:rsidR="008668B8" w:rsidRPr="005B477D" w:rsidRDefault="008668B8" w:rsidP="008668B8">
      <w:pPr>
        <w:jc w:val="both"/>
        <w:rPr>
          <w:rFonts w:ascii="Cambria" w:eastAsia="Times New Roman" w:hAnsi="Cambria" w:cs="Cambria"/>
          <w:sz w:val="20"/>
          <w:szCs w:val="20"/>
        </w:rPr>
      </w:pPr>
    </w:p>
    <w:p w14:paraId="72830C9A" w14:textId="77777777" w:rsidR="008668B8" w:rsidRPr="005B477D" w:rsidRDefault="008668B8" w:rsidP="008668B8">
      <w:pPr>
        <w:rPr>
          <w:rFonts w:ascii="Cambria" w:eastAsia="Times New Roman" w:hAnsi="Cambria" w:cs="Cambria"/>
          <w:sz w:val="20"/>
          <w:szCs w:val="20"/>
        </w:rPr>
      </w:pPr>
      <w:r w:rsidRPr="005B477D">
        <w:rPr>
          <w:rFonts w:ascii="Cambria" w:eastAsia="Times New Roman" w:hAnsi="Cambria" w:cs="Cambria"/>
          <w:sz w:val="20"/>
          <w:szCs w:val="20"/>
        </w:rPr>
        <w:t>Resolution No. 39/22 (LIFT)</w:t>
      </w:r>
      <w:r w:rsidRPr="005B477D">
        <w:rPr>
          <w:rFonts w:ascii="Cambria" w:eastAsiaTheme="majorEastAsia" w:hAnsi="Cambria" w:cs="Times New Roman"/>
          <w:sz w:val="20"/>
          <w:szCs w:val="20"/>
        </w:rPr>
        <w:br/>
      </w:r>
      <w:r w:rsidRPr="005B477D">
        <w:rPr>
          <w:rFonts w:ascii="Cambria" w:eastAsia="Times New Roman" w:hAnsi="Cambria" w:cs="Cambria"/>
          <w:sz w:val="20"/>
          <w:szCs w:val="20"/>
        </w:rPr>
        <w:t>PM 134-00 – Regional Corporation for the Defense of Human Rights (CREDHOS), Colombia</w:t>
      </w:r>
    </w:p>
    <w:p w14:paraId="28875FBD" w14:textId="77777777" w:rsidR="008668B8" w:rsidRPr="005B477D" w:rsidRDefault="008668B8" w:rsidP="008668B8">
      <w:pPr>
        <w:rPr>
          <w:rFonts w:ascii="Cambria" w:eastAsia="Times New Roman" w:hAnsi="Cambria" w:cs="Cambria"/>
          <w:sz w:val="20"/>
          <w:szCs w:val="20"/>
        </w:rPr>
      </w:pPr>
    </w:p>
    <w:p w14:paraId="6C70AFCC"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lift these precautionary measures in favor of the directors and officials of the Regional Corporation for the Defense of Human Rights (CREDHOS). When making the decision, the Commission evaluated the actions taken by the State during implementation as well as the observations of the beneficiaries’ representation. Following the State’s requests to have the measures lifted, the IACHR requested information from the representation, who did not provide a response. Upon not identifying compliance with the procedural requirements, the IACHR decided to lift these measures.</w:t>
      </w:r>
    </w:p>
    <w:p w14:paraId="3A1512A8" w14:textId="77777777" w:rsidR="008668B8" w:rsidRPr="005B477D" w:rsidRDefault="008668B8" w:rsidP="008668B8">
      <w:pPr>
        <w:jc w:val="both"/>
        <w:rPr>
          <w:rFonts w:ascii="Cambria" w:eastAsia="Times New Roman" w:hAnsi="Cambria" w:cs="Cambria"/>
          <w:sz w:val="20"/>
          <w:szCs w:val="20"/>
        </w:rPr>
      </w:pPr>
    </w:p>
    <w:p w14:paraId="55798016" w14:textId="77777777" w:rsidR="008668B8" w:rsidRPr="005B477D" w:rsidRDefault="008668B8" w:rsidP="008668B8">
      <w:pPr>
        <w:rPr>
          <w:rFonts w:ascii="Cambria" w:eastAsia="Times New Roman" w:hAnsi="Cambria" w:cs="Cambria"/>
          <w:sz w:val="20"/>
          <w:szCs w:val="20"/>
        </w:rPr>
      </w:pPr>
      <w:r w:rsidRPr="005B477D">
        <w:rPr>
          <w:rFonts w:ascii="Cambria" w:eastAsia="Times New Roman" w:hAnsi="Cambria" w:cs="Cambria"/>
          <w:sz w:val="20"/>
          <w:szCs w:val="20"/>
        </w:rPr>
        <w:t>Resolution No. 40/22 (LIFT)</w:t>
      </w:r>
      <w:r w:rsidRPr="005B477D">
        <w:rPr>
          <w:rFonts w:ascii="Cambria" w:eastAsiaTheme="majorEastAsia" w:hAnsi="Cambria" w:cs="Times New Roman"/>
          <w:sz w:val="20"/>
          <w:szCs w:val="20"/>
        </w:rPr>
        <w:br/>
      </w:r>
      <w:r w:rsidRPr="005B477D">
        <w:rPr>
          <w:rFonts w:ascii="Cambria" w:eastAsia="Times New Roman" w:hAnsi="Cambria" w:cs="Cambria"/>
          <w:sz w:val="20"/>
          <w:szCs w:val="20"/>
        </w:rPr>
        <w:t>PM 349-20 - Jorge Ernesto López Zea, Colombia</w:t>
      </w:r>
    </w:p>
    <w:p w14:paraId="3133A9A7" w14:textId="77777777" w:rsidR="008668B8" w:rsidRPr="005B477D" w:rsidRDefault="008668B8" w:rsidP="008668B8">
      <w:pPr>
        <w:jc w:val="both"/>
        <w:rPr>
          <w:rFonts w:ascii="Cambria" w:eastAsia="Times New Roman" w:hAnsi="Cambria" w:cs="Cambria"/>
          <w:sz w:val="20"/>
          <w:szCs w:val="20"/>
        </w:rPr>
      </w:pPr>
    </w:p>
    <w:p w14:paraId="26004775" w14:textId="77777777" w:rsidR="008668B8" w:rsidRPr="005B477D" w:rsidRDefault="008668B8" w:rsidP="008668B8">
      <w:pPr>
        <w:rPr>
          <w:rFonts w:ascii="Cambria" w:eastAsia="Times New Roman" w:hAnsi="Cambria" w:cs="Cambria"/>
          <w:sz w:val="20"/>
          <w:szCs w:val="20"/>
        </w:rPr>
      </w:pPr>
      <w:r w:rsidRPr="005B477D">
        <w:rPr>
          <w:rFonts w:ascii="Cambria" w:eastAsia="Times New Roman" w:hAnsi="Cambria" w:cs="Cambria"/>
          <w:sz w:val="20"/>
          <w:szCs w:val="20"/>
        </w:rPr>
        <w:t xml:space="preserve">The Inter-American Commission on Human Rights (IACHR) decided to lift these precautionary measures in favor of Mr. Jorge Ernesto López Zea in Colombia. When making the decision, the Commission observes that the beneficiary’s situation has changed significantly as he is no longer deprived of his liberty. After evaluating the information received by the parties within the framework of analyzing whether these precautionary </w:t>
      </w:r>
      <w:r w:rsidRPr="005B477D">
        <w:rPr>
          <w:rFonts w:ascii="Cambria" w:eastAsia="Times New Roman" w:hAnsi="Cambria" w:cs="Cambria"/>
          <w:sz w:val="20"/>
          <w:szCs w:val="20"/>
        </w:rPr>
        <w:lastRenderedPageBreak/>
        <w:t>measures should remain in force, the IACHR considered that they should be lifted in accordance with the terms of Article 25 of its Rules of Procedure.</w:t>
      </w:r>
    </w:p>
    <w:p w14:paraId="73C21A88" w14:textId="77777777" w:rsidR="008668B8" w:rsidRPr="005B477D" w:rsidRDefault="008668B8" w:rsidP="008668B8">
      <w:pPr>
        <w:rPr>
          <w:rFonts w:ascii="Cambria" w:eastAsia="Times New Roman" w:hAnsi="Cambria" w:cs="Cambria"/>
          <w:sz w:val="20"/>
          <w:szCs w:val="20"/>
        </w:rPr>
      </w:pPr>
    </w:p>
    <w:p w14:paraId="7880DB19" w14:textId="77777777" w:rsidR="008668B8" w:rsidRPr="005B477D" w:rsidRDefault="008668B8" w:rsidP="008668B8">
      <w:pPr>
        <w:rPr>
          <w:rFonts w:ascii="Cambria" w:eastAsia="Times New Roman" w:hAnsi="Cambria" w:cs="Cambria"/>
          <w:sz w:val="20"/>
          <w:szCs w:val="20"/>
        </w:rPr>
      </w:pPr>
      <w:r w:rsidRPr="005B477D">
        <w:rPr>
          <w:rFonts w:ascii="Cambria" w:eastAsia="Times New Roman" w:hAnsi="Cambria" w:cs="Arial"/>
          <w:sz w:val="20"/>
          <w:szCs w:val="20"/>
        </w:rPr>
        <w:t>Resolution No. 46/22 (GRANT)</w:t>
      </w:r>
      <w:r w:rsidRPr="005B477D">
        <w:rPr>
          <w:rFonts w:ascii="Cambria" w:eastAsia="Times New Roman" w:hAnsi="Cambria" w:cs="Arial"/>
          <w:sz w:val="20"/>
          <w:szCs w:val="20"/>
        </w:rPr>
        <w:br/>
      </w:r>
      <w:r w:rsidRPr="005B477D">
        <w:rPr>
          <w:rFonts w:ascii="Cambria" w:eastAsia="Times New Roman" w:hAnsi="Cambria" w:cs="Cambria"/>
          <w:sz w:val="20"/>
          <w:szCs w:val="20"/>
        </w:rPr>
        <w:t>PM 702-22 - Carlos Santiago Vallejos Mora and his family unit, Colombia</w:t>
      </w:r>
    </w:p>
    <w:p w14:paraId="02624C7D" w14:textId="77777777" w:rsidR="008668B8" w:rsidRPr="005B477D" w:rsidRDefault="008668B8" w:rsidP="008668B8">
      <w:pPr>
        <w:jc w:val="both"/>
        <w:rPr>
          <w:rFonts w:ascii="Cambria" w:eastAsia="Times New Roman" w:hAnsi="Cambria" w:cs="Cambria"/>
          <w:sz w:val="20"/>
          <w:szCs w:val="20"/>
        </w:rPr>
      </w:pPr>
    </w:p>
    <w:p w14:paraId="101D1B60" w14:textId="77777777" w:rsidR="008668B8"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On September 23, 2022, the IACHR granted precautionary measures in favor of Carlos Santiago Vallejos Mora, upon deciding that he is in a serious and urgent situation of risk of irreparable harm to his rights in Colombia. The request for precautionary measures alleges that the whereabouts or fate of the proposed beneficiary has been unknown since August 7, 2022, following his alleged detention by members of the National Army of Colombia, in the municipality of Ricaurte, in the department of Nariño. After analyzing the submissions of fact and law provided by the parties, the Commission considered that, based on the applicable prima facie standard, Mr. Vallejos Mora is at serious and urgent risk of irreparable harm to his rights. Consequently, in accordance with Article 25 of its Rules of Procedure, the Commission asked Colombia to:</w:t>
      </w:r>
    </w:p>
    <w:p w14:paraId="15E258BD" w14:textId="77777777" w:rsidR="00312E16" w:rsidRPr="005B477D" w:rsidRDefault="00312E16" w:rsidP="008668B8">
      <w:pPr>
        <w:jc w:val="both"/>
        <w:rPr>
          <w:rFonts w:ascii="Cambria" w:eastAsia="Times New Roman" w:hAnsi="Cambria" w:cs="Cambria"/>
          <w:sz w:val="20"/>
          <w:szCs w:val="20"/>
        </w:rPr>
      </w:pPr>
    </w:p>
    <w:p w14:paraId="47AFDBB0" w14:textId="77777777" w:rsidR="008668B8" w:rsidRPr="005B477D" w:rsidRDefault="008668B8" w:rsidP="00933F91">
      <w:pPr>
        <w:numPr>
          <w:ilvl w:val="0"/>
          <w:numId w:val="36"/>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measures necessary to determine the situation and whereabouts of Carlos Santiago Vallejos Mora, in order to protect his rights to life and personal integrity;</w:t>
      </w:r>
    </w:p>
    <w:p w14:paraId="408BC70E" w14:textId="77777777" w:rsidR="008668B8" w:rsidRPr="005B477D" w:rsidRDefault="008668B8" w:rsidP="00933F91">
      <w:pPr>
        <w:numPr>
          <w:ilvl w:val="0"/>
          <w:numId w:val="36"/>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measures necessary to protect the rights to life and personal integrity of the identified members of the beneficiary’s family unit; and</w:t>
      </w:r>
    </w:p>
    <w:p w14:paraId="4D602EF0" w14:textId="77777777" w:rsidR="008668B8" w:rsidRPr="005B477D" w:rsidRDefault="008668B8" w:rsidP="00933F91">
      <w:pPr>
        <w:numPr>
          <w:ilvl w:val="0"/>
          <w:numId w:val="36"/>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the actions taken to investigate the alleged facts that led to the adoption of this resolution and thus prevent their recurrence.</w:t>
      </w:r>
    </w:p>
    <w:p w14:paraId="7DF598A2" w14:textId="77777777" w:rsidR="008668B8" w:rsidRPr="005B477D" w:rsidRDefault="008668B8" w:rsidP="008668B8">
      <w:pPr>
        <w:jc w:val="both"/>
        <w:rPr>
          <w:rFonts w:ascii="Cambria" w:eastAsia="Times New Roman" w:hAnsi="Cambria" w:cs="Cambria"/>
          <w:sz w:val="20"/>
          <w:szCs w:val="20"/>
        </w:rPr>
      </w:pPr>
    </w:p>
    <w:p w14:paraId="51ED6AD3"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55/22 (GRANT)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261-22 - A.A.V.B. and his family, Colombia</w:t>
      </w:r>
    </w:p>
    <w:p w14:paraId="1C27F0C1" w14:textId="77777777" w:rsidR="008668B8" w:rsidRPr="005B477D" w:rsidRDefault="008668B8" w:rsidP="008668B8">
      <w:pPr>
        <w:jc w:val="both"/>
        <w:rPr>
          <w:rFonts w:ascii="Cambria" w:eastAsia="Times New Roman" w:hAnsi="Cambria" w:cs="Cambria"/>
          <w:sz w:val="20"/>
          <w:szCs w:val="20"/>
        </w:rPr>
      </w:pPr>
    </w:p>
    <w:p w14:paraId="4F677A04" w14:textId="2969DDDF" w:rsidR="008668B8" w:rsidRPr="005B477D" w:rsidRDefault="008668B8" w:rsidP="008668B8">
      <w:pPr>
        <w:spacing w:after="120"/>
        <w:jc w:val="both"/>
        <w:rPr>
          <w:rFonts w:ascii="Cambria" w:eastAsia="Times New Roman" w:hAnsi="Cambria" w:cs="Cambria"/>
          <w:sz w:val="20"/>
          <w:szCs w:val="20"/>
        </w:rPr>
      </w:pPr>
      <w:r w:rsidRPr="005B477D">
        <w:rPr>
          <w:rFonts w:ascii="Cambria" w:eastAsia="Times New Roman" w:hAnsi="Cambria" w:cs="Cambria"/>
          <w:sz w:val="20"/>
          <w:szCs w:val="20"/>
        </w:rPr>
        <w:t>On October 15, 2022, the IACHR decided to grant precautionary measures in favor of A. A. V. B. and his family. According to the request, the beneficiary – who is an Afro-Colombian youth, social, environmental, and community leader in Cali – is at risk due to the murder of four members of the movement presided over by A. A. V. B., and due to acts entailing threats and harassment by illegal armed groups. The Commission assessed the actions undertaken by the State and the information available. However, it noted that the applicants have referred to ongoing threats from illegal armed groups and the presence of armed persons in the area.</w:t>
      </w:r>
      <w:r w:rsidR="00B94C73">
        <w:rPr>
          <w:rFonts w:ascii="Cambria" w:eastAsia="Times New Roman" w:hAnsi="Cambria" w:cs="Cambria"/>
          <w:sz w:val="20"/>
          <w:szCs w:val="20"/>
        </w:rPr>
        <w:t xml:space="preserve"> </w:t>
      </w:r>
      <w:r w:rsidRPr="005B477D">
        <w:rPr>
          <w:rFonts w:ascii="Cambria" w:eastAsia="Times New Roman" w:hAnsi="Cambria" w:cs="Cambria"/>
          <w:sz w:val="20"/>
          <w:szCs w:val="20"/>
        </w:rPr>
        <w:t>Consequently, under the terms of Article 25 of its Rules of Procedure, the IACHR decided to grant the precautionary measure and asked the State of Colombia to:</w:t>
      </w:r>
    </w:p>
    <w:p w14:paraId="4FC0D5B3" w14:textId="77777777" w:rsidR="008668B8" w:rsidRPr="005B477D" w:rsidRDefault="008668B8" w:rsidP="00933F91">
      <w:pPr>
        <w:numPr>
          <w:ilvl w:val="0"/>
          <w:numId w:val="35"/>
        </w:numPr>
        <w:spacing w:after="120"/>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with the appropriate ethnic-racial and gender-based approach, to protect the rights to life and personal integrity of Mr. A. A. V. B. and his immediate family members;</w:t>
      </w:r>
    </w:p>
    <w:p w14:paraId="33D32399" w14:textId="77777777" w:rsidR="008668B8" w:rsidRPr="005B477D" w:rsidRDefault="008668B8" w:rsidP="00933F91">
      <w:pPr>
        <w:numPr>
          <w:ilvl w:val="0"/>
          <w:numId w:val="35"/>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protection measures so that Mr. A. A. V. B. can continue to carry out his activities in defense of human rights without being subject to threats, intimidation, harassment, or acts of violence;</w:t>
      </w:r>
    </w:p>
    <w:p w14:paraId="460969D1" w14:textId="77777777" w:rsidR="008668B8" w:rsidRPr="005B477D" w:rsidRDefault="008668B8" w:rsidP="00933F91">
      <w:pPr>
        <w:numPr>
          <w:ilvl w:val="0"/>
          <w:numId w:val="35"/>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implemented with the beneficiaries and their representatives; and</w:t>
      </w:r>
    </w:p>
    <w:p w14:paraId="722D4A78" w14:textId="77777777" w:rsidR="008668B8" w:rsidRPr="005B477D" w:rsidRDefault="008668B8" w:rsidP="00933F91">
      <w:pPr>
        <w:numPr>
          <w:ilvl w:val="0"/>
          <w:numId w:val="35"/>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the actions taken to investigate the alleged facts that gave risk to the adoption of this resolution and thus prevent their recurrence.</w:t>
      </w:r>
    </w:p>
    <w:p w14:paraId="4E8ECBBD" w14:textId="77777777" w:rsidR="008668B8" w:rsidRPr="005B477D" w:rsidRDefault="008668B8" w:rsidP="008668B8">
      <w:pPr>
        <w:ind w:left="720"/>
        <w:contextualSpacing/>
        <w:jc w:val="both"/>
        <w:rPr>
          <w:rFonts w:ascii="Cambria" w:eastAsia="Times New Roman" w:hAnsi="Cambria" w:cs="Cambria"/>
          <w:sz w:val="20"/>
          <w:szCs w:val="20"/>
        </w:rPr>
      </w:pPr>
    </w:p>
    <w:p w14:paraId="572AEC19"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Resolution No. 67/22 (LIFT)</w:t>
      </w:r>
    </w:p>
    <w:p w14:paraId="24B05E24"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 xml:space="preserve">PM 400-15 - O.Y.L. and 14 other persons, Colombia </w:t>
      </w:r>
    </w:p>
    <w:p w14:paraId="1D184380" w14:textId="77777777" w:rsidR="008668B8" w:rsidRPr="005B477D" w:rsidRDefault="008668B8" w:rsidP="008668B8">
      <w:pPr>
        <w:jc w:val="both"/>
        <w:rPr>
          <w:rFonts w:ascii="Cambria" w:eastAsia="Times New Roman" w:hAnsi="Cambria" w:cs="Cambria"/>
          <w:sz w:val="20"/>
          <w:szCs w:val="20"/>
        </w:rPr>
      </w:pPr>
    </w:p>
    <w:p w14:paraId="46E256B9" w14:textId="77777777" w:rsidR="008668B8" w:rsidRPr="005B477D" w:rsidRDefault="008668B8" w:rsidP="008668B8">
      <w:pPr>
        <w:jc w:val="both"/>
        <w:rPr>
          <w:rFonts w:ascii="Cambria" w:eastAsia="Times New Roman" w:hAnsi="Cambria" w:cs="Arial"/>
          <w:sz w:val="20"/>
          <w:szCs w:val="20"/>
        </w:rPr>
      </w:pPr>
      <w:r w:rsidRPr="005B477D">
        <w:rPr>
          <w:rFonts w:ascii="Cambria" w:eastAsia="Times New Roman" w:hAnsi="Cambria" w:cs="Arial"/>
          <w:sz w:val="20"/>
          <w:szCs w:val="20"/>
        </w:rPr>
        <w:t xml:space="preserve">The Inter-American Commission on Human Rights (IACHR) decides to lift these precautionary measures in favor of the 15 identified members of the Governing Board of the Alto Mira and Frontera Community Council (CCAMF, by its acronym in Spanish). At the time of taking the decision to lift the precautionary measures, the Commission assessed the measures implemented by the State reported over time. Considering that the State requested the lifting of these precautionary measures, the Commission forwarded the request to the </w:t>
      </w:r>
      <w:r w:rsidRPr="005B477D">
        <w:rPr>
          <w:rFonts w:ascii="Cambria" w:eastAsia="Times New Roman" w:hAnsi="Cambria" w:cs="Arial"/>
          <w:sz w:val="20"/>
          <w:szCs w:val="20"/>
        </w:rPr>
        <w:lastRenderedPageBreak/>
        <w:t>representatives, who did not respond. The last communication from the representatives is from 2018. Upon not identifying compliance with the procedural requirements, the IACHR has decided to lift these measures.</w:t>
      </w:r>
    </w:p>
    <w:p w14:paraId="7425CD26" w14:textId="77777777" w:rsidR="008668B8" w:rsidRPr="005B477D" w:rsidRDefault="008668B8" w:rsidP="008668B8">
      <w:pPr>
        <w:jc w:val="both"/>
        <w:rPr>
          <w:rFonts w:ascii="Cambria" w:eastAsia="Times New Roman" w:hAnsi="Cambria" w:cs="Arial"/>
          <w:sz w:val="20"/>
          <w:szCs w:val="20"/>
        </w:rPr>
      </w:pPr>
    </w:p>
    <w:p w14:paraId="693C11C1"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Resolution No. 70/22 (GRANT)</w:t>
      </w:r>
    </w:p>
    <w:p w14:paraId="40820922"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 xml:space="preserve">PM 822-22 – Jhon Anderson Ipia Bubu, Colombia </w:t>
      </w:r>
    </w:p>
    <w:p w14:paraId="57A52608" w14:textId="77777777" w:rsidR="008668B8" w:rsidRPr="005B477D" w:rsidRDefault="008668B8" w:rsidP="008668B8">
      <w:pPr>
        <w:spacing w:before="192" w:after="192"/>
        <w:ind w:right="144"/>
        <w:jc w:val="both"/>
        <w:rPr>
          <w:rFonts w:ascii="Cambria" w:eastAsia="Times New Roman" w:hAnsi="Cambria" w:cs="Tahoma"/>
          <w:sz w:val="20"/>
          <w:szCs w:val="20"/>
          <w:lang w:eastAsia="es-AR"/>
        </w:rPr>
      </w:pPr>
      <w:r w:rsidRPr="31502C94">
        <w:rPr>
          <w:rFonts w:ascii="Cambria" w:eastAsia="Times New Roman" w:hAnsi="Cambria" w:cs="Tahoma"/>
          <w:sz w:val="20"/>
          <w:szCs w:val="20"/>
          <w:lang w:eastAsia="es-AR"/>
        </w:rPr>
        <w:t>On December 11, 2022, the IACHR decided to grant precautionary measures in favor of Jhon Anderson Ipia Bubu. According to the request, the beneficiary - who is an indigenous leader of the Nasa People of the Kwe'sx Yu Kiwe Indigenous Reservation, delegate of the Nasa people as political coordinator in different spaces, and ethno-educational teacher - is at risk due to receiving various threats and harassment by illegal armed groups, and after being shot at with a firearm. The Commission evaluated the actions carried out by the State and the information available, however, it noted that the applicants have referred to the continuity of threats from illegal armed groups and the insufficiency of protection measures that the State adopted. Consequently, under the terms of Article 25 of its Rules of Procedure, the IACHR decided to grant the precautionary measure and requested that the State of Colombia:</w:t>
      </w:r>
    </w:p>
    <w:p w14:paraId="75B0E216" w14:textId="77777777" w:rsidR="008668B8" w:rsidRPr="005B477D" w:rsidRDefault="008668B8" w:rsidP="00933F91">
      <w:pPr>
        <w:numPr>
          <w:ilvl w:val="0"/>
          <w:numId w:val="49"/>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Adopt the necessary measures, with the corresponding ethnic approach, to protect the rights to life and personal integrity of Mr. Jhon Anderson Ipia Bubu;</w:t>
      </w:r>
    </w:p>
    <w:p w14:paraId="1DDE5663" w14:textId="77777777" w:rsidR="008668B8" w:rsidRPr="005B477D" w:rsidRDefault="008668B8" w:rsidP="00933F91">
      <w:pPr>
        <w:numPr>
          <w:ilvl w:val="0"/>
          <w:numId w:val="49"/>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Adopt the necessary protection measures so that Mr. Jhon Anderson Ipia Bubu can continue to exercise his indigenous leadership without being subjected to threats, intimidation, harassment, or acts of violence;</w:t>
      </w:r>
    </w:p>
    <w:p w14:paraId="75A4D91F" w14:textId="77777777" w:rsidR="008668B8" w:rsidRPr="005B477D" w:rsidRDefault="008668B8" w:rsidP="00933F91">
      <w:pPr>
        <w:numPr>
          <w:ilvl w:val="0"/>
          <w:numId w:val="49"/>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Consult and agree upon the measures to be implemented with the beneficiary and his representatives; and</w:t>
      </w:r>
    </w:p>
    <w:p w14:paraId="502A6D33" w14:textId="77777777" w:rsidR="008668B8" w:rsidRPr="005B477D" w:rsidRDefault="008668B8" w:rsidP="00933F91">
      <w:pPr>
        <w:numPr>
          <w:ilvl w:val="0"/>
          <w:numId w:val="49"/>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Report on the actions taken to investigate the alleged facts that gave rise to the adoption of this resolution, so as to prevent such events from reoccurring.</w:t>
      </w:r>
    </w:p>
    <w:p w14:paraId="06AC2FF2" w14:textId="77777777" w:rsidR="008668B8" w:rsidRPr="005B477D" w:rsidRDefault="008668B8" w:rsidP="008668B8">
      <w:pPr>
        <w:jc w:val="both"/>
        <w:rPr>
          <w:rFonts w:ascii="Cambria" w:eastAsia="Times New Roman" w:hAnsi="Cambria" w:cs="Cambria"/>
          <w:sz w:val="20"/>
          <w:szCs w:val="20"/>
        </w:rPr>
      </w:pPr>
    </w:p>
    <w:p w14:paraId="16B81867"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Resolution No. 73/22 (GRANT)</w:t>
      </w:r>
    </w:p>
    <w:p w14:paraId="2F8CF7D1"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 xml:space="preserve">PM 642-22 – O.P.C. and his family unit, Colombia </w:t>
      </w:r>
    </w:p>
    <w:p w14:paraId="4E0BE2F1" w14:textId="77777777" w:rsidR="008668B8" w:rsidRPr="005B477D" w:rsidRDefault="008668B8" w:rsidP="008668B8">
      <w:pPr>
        <w:spacing w:before="192" w:after="192"/>
        <w:ind w:right="144"/>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On December 19, 2022, the IACHR decided to grant precautionary measures in favor of O.P.C. and his family unit regarding Colombia. The request indicates that the proposed beneficiaries are at risk, after having moved away from their property, due to threats, harassment and acts of violence allegedly carried out by armed groups operating in the area. Pursuant to Article 25 of its Rules of Procedure, the IACHR decided to grant the precautionary measure and requested that the State of Colombia:</w:t>
      </w:r>
    </w:p>
    <w:p w14:paraId="390E2579" w14:textId="77777777" w:rsidR="008668B8" w:rsidRPr="005B477D" w:rsidRDefault="008668B8" w:rsidP="00933F91">
      <w:pPr>
        <w:numPr>
          <w:ilvl w:val="0"/>
          <w:numId w:val="50"/>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Immediately adopt the necessary measures to preserve the life and personal integrity of O.P.C. and his family, through measures that take into account their situation of displacement, as well as the different approaches that may be relevant;</w:t>
      </w:r>
    </w:p>
    <w:p w14:paraId="6EC05857" w14:textId="77777777" w:rsidR="008668B8" w:rsidRPr="005B477D" w:rsidRDefault="008668B8" w:rsidP="00933F91">
      <w:pPr>
        <w:numPr>
          <w:ilvl w:val="0"/>
          <w:numId w:val="50"/>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Consult and agree upon the measures to be adopted with the beneficiaries and their representatives; and</w:t>
      </w:r>
    </w:p>
    <w:p w14:paraId="6409E316" w14:textId="77777777" w:rsidR="008668B8" w:rsidRPr="005B477D" w:rsidRDefault="008668B8" w:rsidP="00933F91">
      <w:pPr>
        <w:numPr>
          <w:ilvl w:val="0"/>
          <w:numId w:val="50"/>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Report on the actions taken to investigate the alleged facts that led to the adoption of this precautionary measure.</w:t>
      </w:r>
    </w:p>
    <w:p w14:paraId="6A59A8F8" w14:textId="77777777" w:rsidR="008668B8" w:rsidRPr="005B477D" w:rsidRDefault="008668B8" w:rsidP="008668B8">
      <w:pPr>
        <w:jc w:val="both"/>
        <w:rPr>
          <w:rFonts w:ascii="Cambria" w:eastAsia="Times New Roman" w:hAnsi="Cambria" w:cs="Cambria"/>
          <w:sz w:val="20"/>
          <w:szCs w:val="20"/>
        </w:rPr>
      </w:pPr>
    </w:p>
    <w:p w14:paraId="0CB4141A" w14:textId="77777777" w:rsidR="008668B8" w:rsidRDefault="008668B8" w:rsidP="008668B8">
      <w:pPr>
        <w:jc w:val="both"/>
        <w:rPr>
          <w:rFonts w:ascii="Cambria" w:eastAsia="Times New Roman" w:hAnsi="Cambria" w:cs="Cambria"/>
          <w:b/>
          <w:bCs/>
          <w:sz w:val="22"/>
          <w:szCs w:val="22"/>
        </w:rPr>
      </w:pPr>
      <w:r w:rsidRPr="005B477D">
        <w:rPr>
          <w:rFonts w:ascii="Cambria" w:eastAsia="Times New Roman" w:hAnsi="Cambria" w:cs="Cambria"/>
          <w:b/>
          <w:bCs/>
          <w:sz w:val="22"/>
          <w:szCs w:val="22"/>
        </w:rPr>
        <w:t>CUBA</w:t>
      </w:r>
    </w:p>
    <w:p w14:paraId="192698CF" w14:textId="77777777" w:rsidR="00CD67C6" w:rsidRPr="005B477D" w:rsidRDefault="00CD67C6" w:rsidP="008668B8">
      <w:pPr>
        <w:jc w:val="both"/>
        <w:rPr>
          <w:rFonts w:ascii="Cambria" w:eastAsia="Times New Roman" w:hAnsi="Cambria" w:cs="Cambria"/>
          <w:b/>
          <w:bCs/>
          <w:sz w:val="22"/>
          <w:szCs w:val="22"/>
        </w:rPr>
      </w:pPr>
    </w:p>
    <w:p w14:paraId="7373F366"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30/22 (GRANT)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46-22, 193-22 - Walnier Luis Aguilar Rivera and Ibrahim Domínguez Aguilar, Cuba</w:t>
      </w:r>
    </w:p>
    <w:p w14:paraId="424D749C" w14:textId="77777777" w:rsidR="008668B8" w:rsidRPr="005B477D" w:rsidRDefault="008668B8" w:rsidP="008668B8">
      <w:pPr>
        <w:jc w:val="both"/>
        <w:rPr>
          <w:rFonts w:ascii="Cambria" w:eastAsia="Times New Roman" w:hAnsi="Cambria" w:cs="Cambria"/>
          <w:sz w:val="20"/>
          <w:szCs w:val="20"/>
        </w:rPr>
      </w:pPr>
    </w:p>
    <w:p w14:paraId="307F5585"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On July 8, 2022, the IACHR granted precautionary measures to Walnier Luis Aguilar Rivera and Ibrahim Domínguez Aguilar, who are deprived of liberty and reportedly held in severe conditions of detention without receiving adequate medical care to date.</w:t>
      </w:r>
    </w:p>
    <w:p w14:paraId="2000A8C8" w14:textId="77777777" w:rsidR="008668B8" w:rsidRPr="005B477D" w:rsidRDefault="008668B8" w:rsidP="008668B8">
      <w:pPr>
        <w:jc w:val="both"/>
        <w:rPr>
          <w:rFonts w:ascii="Cambria" w:eastAsia="Times New Roman" w:hAnsi="Cambria" w:cs="Cambria"/>
          <w:sz w:val="20"/>
          <w:szCs w:val="20"/>
        </w:rPr>
      </w:pPr>
    </w:p>
    <w:p w14:paraId="5457D5D9" w14:textId="77777777" w:rsidR="008668B8" w:rsidRPr="005B477D" w:rsidRDefault="008668B8" w:rsidP="008668B8">
      <w:pPr>
        <w:spacing w:after="120"/>
        <w:jc w:val="both"/>
        <w:rPr>
          <w:rFonts w:ascii="Cambria" w:eastAsia="Times New Roman" w:hAnsi="Cambria" w:cs="Cambria"/>
          <w:sz w:val="20"/>
          <w:szCs w:val="20"/>
        </w:rPr>
      </w:pPr>
      <w:r w:rsidRPr="005B477D">
        <w:rPr>
          <w:rFonts w:ascii="Cambria" w:eastAsia="Times New Roman" w:hAnsi="Cambria" w:cs="Cambria"/>
          <w:sz w:val="20"/>
          <w:szCs w:val="20"/>
        </w:rPr>
        <w:lastRenderedPageBreak/>
        <w:t>In evaluating this decision, the IACHR noted that the beneficiaries are being deprived of their liberty following first instance convictions with appeals pending decision or formal notification and highlighted the allegations regarding the mistreatment the proposed beneficiaries have suffered in prison and the terrible conditions of detention they are reportedly facing, particularly considering that the alleged risk events would be attributable to penitentiary authorities. The Commission also noted that the allegations are consistent with the information being received since the country’s monitoring, specifically on deplorable conditions of detention for persons deprived of liberty in Cuba, such as prison overcrowding; insufficient medications, food and drinking water; inadequate hygiene and sanitation; deficient medical care; and a wide range of discretion afforded to officials when guaranteeing order within the penitentiaries.</w:t>
      </w:r>
    </w:p>
    <w:p w14:paraId="48B3D3D4" w14:textId="77777777" w:rsidR="008668B8" w:rsidRPr="005B477D" w:rsidRDefault="008668B8" w:rsidP="008668B8">
      <w:pPr>
        <w:spacing w:after="120"/>
        <w:jc w:val="both"/>
        <w:rPr>
          <w:rFonts w:ascii="Cambria" w:eastAsia="Times New Roman" w:hAnsi="Cambria" w:cs="Cambria"/>
          <w:sz w:val="20"/>
          <w:szCs w:val="20"/>
        </w:rPr>
      </w:pPr>
      <w:r w:rsidRPr="005B477D">
        <w:rPr>
          <w:rFonts w:ascii="Cambria" w:eastAsia="Times New Roman" w:hAnsi="Cambria" w:cs="Cambria"/>
          <w:sz w:val="20"/>
          <w:szCs w:val="20"/>
        </w:rPr>
        <w:t>After analyzing the available information, in accordance with Article 25 of its Rules of Procedure, the IACHR requested that Cuba:</w:t>
      </w:r>
    </w:p>
    <w:p w14:paraId="35D2385E" w14:textId="77777777" w:rsidR="008668B8" w:rsidRPr="005B477D" w:rsidRDefault="008668B8" w:rsidP="00933F91">
      <w:pPr>
        <w:numPr>
          <w:ilvl w:val="0"/>
          <w:numId w:val="34"/>
        </w:numPr>
        <w:spacing w:after="120"/>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protect the rights to life, personal integrity, and health of Walnier Luis Aguilar Rivera and Ibrahim Domínguez Aguilar;</w:t>
      </w:r>
    </w:p>
    <w:p w14:paraId="5CC94B82" w14:textId="77777777" w:rsidR="008668B8" w:rsidRPr="005B477D" w:rsidRDefault="008668B8" w:rsidP="00933F91">
      <w:pPr>
        <w:numPr>
          <w:ilvl w:val="0"/>
          <w:numId w:val="34"/>
        </w:numPr>
        <w:contextualSpacing/>
        <w:jc w:val="both"/>
        <w:rPr>
          <w:rFonts w:ascii="Cambria" w:eastAsia="Times New Roman" w:hAnsi="Cambria" w:cs="Cambria"/>
          <w:sz w:val="20"/>
          <w:szCs w:val="20"/>
        </w:rPr>
      </w:pPr>
      <w:r w:rsidRPr="005B477D">
        <w:rPr>
          <w:rFonts w:ascii="Cambria" w:eastAsia="Times New Roman" w:hAnsi="Cambria" w:cs="Cambria"/>
          <w:sz w:val="20"/>
          <w:szCs w:val="20"/>
        </w:rPr>
        <w:t>Ensure that the conditions of detention of the proposed beneficiaries are in compliance with applicable international standards on the matter;</w:t>
      </w:r>
    </w:p>
    <w:p w14:paraId="3162A081" w14:textId="77777777" w:rsidR="008668B8" w:rsidRPr="005B477D" w:rsidRDefault="008668B8" w:rsidP="00933F91">
      <w:pPr>
        <w:numPr>
          <w:ilvl w:val="0"/>
          <w:numId w:val="34"/>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with the beneficiaries and their representatives; and</w:t>
      </w:r>
    </w:p>
    <w:p w14:paraId="2FB44C61" w14:textId="77777777" w:rsidR="008668B8" w:rsidRPr="005B477D" w:rsidRDefault="008668B8" w:rsidP="00933F91">
      <w:pPr>
        <w:numPr>
          <w:ilvl w:val="0"/>
          <w:numId w:val="34"/>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the actions undertaken to investigate the alleged events that led to adoption of this precautionary measure and thus prevent their recurrence.</w:t>
      </w:r>
    </w:p>
    <w:p w14:paraId="32E30513" w14:textId="77777777" w:rsidR="008668B8" w:rsidRPr="005B477D" w:rsidRDefault="008668B8" w:rsidP="008668B8">
      <w:pPr>
        <w:rPr>
          <w:rFonts w:ascii="Cambria" w:eastAsia="Times New Roman" w:hAnsi="Cambria" w:cs="Cambria"/>
          <w:sz w:val="20"/>
          <w:szCs w:val="20"/>
        </w:rPr>
      </w:pPr>
    </w:p>
    <w:p w14:paraId="4A466997"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37/22 (GRANT)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768-21 - Félix Navarro Rodríguez, Cuba</w:t>
      </w:r>
    </w:p>
    <w:p w14:paraId="0A4DAED5" w14:textId="77777777" w:rsidR="008668B8" w:rsidRPr="005B477D" w:rsidRDefault="008668B8" w:rsidP="008668B8">
      <w:pPr>
        <w:jc w:val="both"/>
        <w:rPr>
          <w:rFonts w:ascii="Cambria" w:eastAsia="Times New Roman" w:hAnsi="Cambria" w:cs="Cambria"/>
          <w:sz w:val="20"/>
          <w:szCs w:val="20"/>
        </w:rPr>
      </w:pPr>
    </w:p>
    <w:p w14:paraId="6138E736"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On July 28, 2022, the IACHR granted precautionary measures in favor of Félix Navarro Rodríguez, who has been deprived of liberty since July 2021 under severe conditions of detention and without receiving adequate medical care.</w:t>
      </w:r>
    </w:p>
    <w:p w14:paraId="5F0AE78B" w14:textId="77777777" w:rsidR="008668B8" w:rsidRPr="005B477D" w:rsidRDefault="008668B8" w:rsidP="008668B8">
      <w:pPr>
        <w:jc w:val="both"/>
        <w:rPr>
          <w:rFonts w:ascii="Cambria" w:eastAsia="Times New Roman" w:hAnsi="Cambria" w:cs="Cambria"/>
          <w:sz w:val="20"/>
          <w:szCs w:val="20"/>
        </w:rPr>
      </w:pPr>
    </w:p>
    <w:p w14:paraId="4061B309"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 xml:space="preserve">After analyzing the allegations of fact and law provided by the applicants, the IACHR notes that the proposed beneficiary, who has been deprived of liberty after participating in protests in July 2021, is an elderly person who purportedly suffers from various medical conditions and has not received adequate medical care to date, after 12 months of detention and despite his delicate health condition. Similarly, the IACHR notes that his family members have not had access to consistent information regarding his health conditions nor have they had regular access to visits. The IACHR considers, based on the applicable </w:t>
      </w:r>
      <w:r w:rsidRPr="005B477D">
        <w:rPr>
          <w:rFonts w:ascii="Cambria" w:eastAsia="Times New Roman" w:hAnsi="Cambria" w:cs="Cambria"/>
          <w:i/>
          <w:iCs/>
          <w:sz w:val="20"/>
          <w:szCs w:val="20"/>
        </w:rPr>
        <w:t>prima facie</w:t>
      </w:r>
      <w:r w:rsidRPr="005B477D">
        <w:rPr>
          <w:rFonts w:ascii="Cambria" w:eastAsia="Times New Roman" w:hAnsi="Cambria" w:cs="Cambria"/>
          <w:sz w:val="20"/>
          <w:szCs w:val="20"/>
        </w:rPr>
        <w:t xml:space="preserve"> standard, that the proposed beneficiary is in a serious and urgent situation presenting a risk of irreparable harm.</w:t>
      </w:r>
    </w:p>
    <w:p w14:paraId="7F1E3D8D" w14:textId="77777777" w:rsidR="008668B8" w:rsidRPr="005B477D" w:rsidRDefault="008668B8" w:rsidP="008668B8">
      <w:pPr>
        <w:jc w:val="both"/>
        <w:rPr>
          <w:rFonts w:ascii="Cambria" w:eastAsia="Times New Roman" w:hAnsi="Cambria" w:cs="Cambria"/>
          <w:sz w:val="20"/>
          <w:szCs w:val="20"/>
        </w:rPr>
      </w:pPr>
    </w:p>
    <w:p w14:paraId="462C4FE5"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Consequently, in accordance with Article 25 of its Rules of Procedure, the IACHR requests that Cuba:</w:t>
      </w:r>
    </w:p>
    <w:p w14:paraId="2D01DFD5" w14:textId="77777777" w:rsidR="008668B8" w:rsidRPr="005B477D" w:rsidRDefault="008668B8" w:rsidP="008668B8">
      <w:pPr>
        <w:jc w:val="both"/>
        <w:rPr>
          <w:rFonts w:ascii="Cambria" w:eastAsia="Times New Roman" w:hAnsi="Cambria" w:cs="Cambria"/>
          <w:sz w:val="20"/>
          <w:szCs w:val="20"/>
        </w:rPr>
      </w:pPr>
    </w:p>
    <w:p w14:paraId="3BF4A77A" w14:textId="77777777" w:rsidR="008668B8" w:rsidRPr="005B477D" w:rsidRDefault="008668B8" w:rsidP="00933F91">
      <w:pPr>
        <w:numPr>
          <w:ilvl w:val="0"/>
          <w:numId w:val="33"/>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measures necessary to protect the rights to life, personal integrity, and health of Félix Navarro Rodríguez;</w:t>
      </w:r>
    </w:p>
    <w:p w14:paraId="33C9B688" w14:textId="77777777" w:rsidR="008668B8" w:rsidRPr="005B477D" w:rsidRDefault="008668B8" w:rsidP="00933F91">
      <w:pPr>
        <w:numPr>
          <w:ilvl w:val="0"/>
          <w:numId w:val="33"/>
        </w:numPr>
        <w:contextualSpacing/>
        <w:jc w:val="both"/>
        <w:rPr>
          <w:rFonts w:ascii="Cambria" w:eastAsia="Times New Roman" w:hAnsi="Cambria" w:cs="Cambria"/>
          <w:sz w:val="20"/>
          <w:szCs w:val="20"/>
        </w:rPr>
      </w:pPr>
      <w:r w:rsidRPr="005B477D">
        <w:rPr>
          <w:rFonts w:ascii="Cambria" w:eastAsia="Times New Roman" w:hAnsi="Cambria" w:cs="Cambria"/>
          <w:sz w:val="20"/>
          <w:szCs w:val="20"/>
        </w:rPr>
        <w:t>Ensure that the conditions of detention of the proposed beneficiary are consistent with the applicable international standards on the matter. In particular, among other measures, (i) provide medical care as prescribed by medical specialists, (ii) allow regular visits by family members and legal representation, (iii) assess in light of the conditions of detention and health of the proposed beneficiary whether the application of any other alternative to deprivation of liberty is permitted, (iv) verify the sanitation and cleanliness of the place of detention; and (v) ensure access to food and drinking water for the proposed beneficiary, considering his age and medical condition;</w:t>
      </w:r>
    </w:p>
    <w:p w14:paraId="5C6C569F" w14:textId="77777777" w:rsidR="008668B8" w:rsidRPr="005B477D" w:rsidRDefault="008668B8" w:rsidP="00933F91">
      <w:pPr>
        <w:numPr>
          <w:ilvl w:val="0"/>
          <w:numId w:val="33"/>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measures with the beneficiary and his representatives; and</w:t>
      </w:r>
    </w:p>
    <w:p w14:paraId="4343FC16" w14:textId="77777777" w:rsidR="008668B8" w:rsidRPr="005B477D" w:rsidRDefault="008668B8" w:rsidP="00933F91">
      <w:pPr>
        <w:numPr>
          <w:ilvl w:val="0"/>
          <w:numId w:val="33"/>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actions taken to investigate the alleged events that led to adoption of this precautionary measure and thus prevent their recurrence.</w:t>
      </w:r>
    </w:p>
    <w:p w14:paraId="222AA82B" w14:textId="77777777" w:rsidR="008668B8" w:rsidRPr="005B477D" w:rsidRDefault="008668B8" w:rsidP="008668B8">
      <w:pPr>
        <w:jc w:val="both"/>
        <w:rPr>
          <w:rFonts w:ascii="Cambria" w:eastAsia="Times New Roman" w:hAnsi="Cambria" w:cs="Cambria"/>
          <w:sz w:val="20"/>
          <w:szCs w:val="20"/>
        </w:rPr>
      </w:pPr>
    </w:p>
    <w:p w14:paraId="59823ABC" w14:textId="77777777" w:rsidR="008668B8" w:rsidRPr="005B477D" w:rsidRDefault="008668B8" w:rsidP="008668B8">
      <w:pPr>
        <w:rPr>
          <w:rFonts w:ascii="Cambria" w:eastAsia="Times New Roman" w:hAnsi="Cambria" w:cs="Arial"/>
          <w:sz w:val="20"/>
          <w:szCs w:val="20"/>
          <w:lang w:val="es-ES_tradnl"/>
        </w:rPr>
      </w:pPr>
      <w:r w:rsidRPr="005B477D">
        <w:rPr>
          <w:rFonts w:ascii="Cambria" w:eastAsia="Times New Roman" w:hAnsi="Cambria" w:cs="Arial"/>
          <w:sz w:val="20"/>
          <w:szCs w:val="20"/>
          <w:lang w:val="es-ES_tradnl"/>
        </w:rPr>
        <w:t>Resolution No. 41/22 (GRANT)</w:t>
      </w:r>
      <w:r w:rsidRPr="005B477D">
        <w:rPr>
          <w:rFonts w:ascii="Cambria" w:eastAsiaTheme="majorEastAsia" w:hAnsi="Cambria" w:cs="Times New Roman"/>
          <w:sz w:val="20"/>
          <w:szCs w:val="20"/>
          <w:lang w:val="es-ES_tradnl"/>
        </w:rPr>
        <w:br/>
      </w:r>
      <w:r w:rsidRPr="005B477D">
        <w:rPr>
          <w:rFonts w:ascii="Cambria" w:eastAsia="Times New Roman" w:hAnsi="Cambria" w:cs="Arial"/>
          <w:sz w:val="20"/>
          <w:szCs w:val="20"/>
          <w:lang w:val="es-ES_tradnl"/>
        </w:rPr>
        <w:t>PM 30-21 - Luis Robles Elizástegui, Cuba</w:t>
      </w:r>
    </w:p>
    <w:p w14:paraId="74141237" w14:textId="77777777" w:rsidR="008668B8" w:rsidRPr="005B477D" w:rsidRDefault="008668B8" w:rsidP="008668B8">
      <w:pPr>
        <w:jc w:val="both"/>
        <w:rPr>
          <w:rFonts w:ascii="Cambria" w:eastAsia="Times New Roman" w:hAnsi="Cambria" w:cs="Cambria"/>
          <w:sz w:val="20"/>
          <w:szCs w:val="20"/>
          <w:lang w:val="es-ES_tradnl"/>
        </w:rPr>
      </w:pPr>
    </w:p>
    <w:p w14:paraId="410BB29B" w14:textId="77777777" w:rsidR="008668B8" w:rsidRPr="005B477D" w:rsidRDefault="008668B8" w:rsidP="008668B8">
      <w:pPr>
        <w:jc w:val="both"/>
        <w:rPr>
          <w:rFonts w:ascii="Cambria" w:eastAsia="Times New Roman" w:hAnsi="Cambria" w:cs="Cambria"/>
          <w:sz w:val="20"/>
          <w:szCs w:val="20"/>
        </w:rPr>
      </w:pPr>
      <w:r w:rsidRPr="31502C94">
        <w:rPr>
          <w:rFonts w:ascii="Cambria" w:eastAsia="Times New Roman" w:hAnsi="Cambria" w:cs="Cambria"/>
          <w:sz w:val="20"/>
          <w:szCs w:val="20"/>
        </w:rPr>
        <w:t>On August 9, 2022, the IACHR granted precautionary measures in favor of Luis Robles Elizástegui, who has been deprived of liberty since December 2020 and said to be in severe conditions of detention without receiving adequate medical care to date.</w:t>
      </w:r>
    </w:p>
    <w:p w14:paraId="78CFAA10" w14:textId="77777777" w:rsidR="008668B8" w:rsidRPr="005B477D" w:rsidRDefault="008668B8" w:rsidP="008668B8">
      <w:pPr>
        <w:jc w:val="both"/>
        <w:rPr>
          <w:rFonts w:ascii="Cambria" w:eastAsia="Times New Roman" w:hAnsi="Cambria" w:cs="Cambria"/>
          <w:sz w:val="20"/>
          <w:szCs w:val="20"/>
        </w:rPr>
      </w:pPr>
    </w:p>
    <w:p w14:paraId="51BC2C23"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After analyzing the allegations of fact and law provided by the applicants, the IACHR notes that the proposed beneficiary, who has been deprived of liberty following a public demonstration in December 2020, is reportedly being held under severe conditions of detention and has not received the medications necessary for the chronic illness from which he suffers. Similarly, the IACHR observes that his family members and attorney have faced restrictions on visiting and contacting the proposed beneficiary. The IACHR considers, based on the applicable prima facie standard that the proposed beneficiary is in a serious and urgent situation presenting risk of irreparable harm.</w:t>
      </w:r>
    </w:p>
    <w:p w14:paraId="3AF60C2A" w14:textId="77777777" w:rsidR="008668B8" w:rsidRPr="005B477D" w:rsidRDefault="008668B8" w:rsidP="008668B8">
      <w:pPr>
        <w:jc w:val="both"/>
        <w:rPr>
          <w:rFonts w:ascii="Cambria" w:eastAsia="Times New Roman" w:hAnsi="Cambria" w:cs="Cambria"/>
          <w:sz w:val="20"/>
          <w:szCs w:val="20"/>
        </w:rPr>
      </w:pPr>
    </w:p>
    <w:p w14:paraId="0C3D6BBF"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Consequently, in accordance with Article 25 of its Rules of Procedure, the IACHR requested that Cuba:</w:t>
      </w:r>
    </w:p>
    <w:p w14:paraId="2B5B329D" w14:textId="77777777" w:rsidR="008668B8" w:rsidRPr="005B477D" w:rsidRDefault="008668B8" w:rsidP="008668B8">
      <w:pPr>
        <w:jc w:val="both"/>
        <w:rPr>
          <w:rFonts w:ascii="Cambria" w:eastAsia="Times New Roman" w:hAnsi="Cambria" w:cs="Cambria"/>
          <w:sz w:val="20"/>
          <w:szCs w:val="20"/>
        </w:rPr>
      </w:pPr>
    </w:p>
    <w:p w14:paraId="64B17BA9" w14:textId="77777777" w:rsidR="008668B8" w:rsidRPr="005B477D" w:rsidRDefault="008668B8" w:rsidP="00933F91">
      <w:pPr>
        <w:numPr>
          <w:ilvl w:val="0"/>
          <w:numId w:val="32"/>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measures necessary to protect the rights to life, personal integrity, and health of Luis Robles Elizástegui;</w:t>
      </w:r>
    </w:p>
    <w:p w14:paraId="07E1FF4E" w14:textId="77777777" w:rsidR="008668B8" w:rsidRPr="005B477D" w:rsidRDefault="008668B8" w:rsidP="00933F91">
      <w:pPr>
        <w:numPr>
          <w:ilvl w:val="0"/>
          <w:numId w:val="32"/>
        </w:numPr>
        <w:contextualSpacing/>
        <w:jc w:val="both"/>
        <w:rPr>
          <w:rFonts w:ascii="Cambria" w:eastAsia="Times New Roman" w:hAnsi="Cambria" w:cs="Cambria"/>
          <w:sz w:val="20"/>
          <w:szCs w:val="20"/>
        </w:rPr>
      </w:pPr>
      <w:r w:rsidRPr="005B477D">
        <w:rPr>
          <w:rFonts w:ascii="Cambria" w:eastAsia="Times New Roman" w:hAnsi="Cambria" w:cs="Cambria"/>
          <w:sz w:val="20"/>
          <w:szCs w:val="20"/>
        </w:rPr>
        <w:t>Ensure that the conditions of detention of the proposed beneficiary are consistent with applicable international standards on the matter. In particular, among other measures: (i) provide medical care according to what is prescribed by medical specialists, (ii) allow regular visits by family members and legal representation, (iii) assess in light of the conditions of detention and health of the proposed beneficiary the application of any alternative measures to deprivation of liberty, and (iv) take actions in the face of threats, harassment, intimidation, or acts of violence against the proposed beneficiary for denouncing his current situation; and</w:t>
      </w:r>
    </w:p>
    <w:p w14:paraId="040BFEF3" w14:textId="77777777" w:rsidR="008668B8" w:rsidRPr="005B477D" w:rsidRDefault="008668B8" w:rsidP="00933F91">
      <w:pPr>
        <w:numPr>
          <w:ilvl w:val="0"/>
          <w:numId w:val="32"/>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actions taken to investigate the alleged facts that gave rise to the adoption of this precautionary measure and thus prevent their recurrence.</w:t>
      </w:r>
    </w:p>
    <w:p w14:paraId="5B4058D0" w14:textId="77777777" w:rsidR="008668B8" w:rsidRPr="005B477D" w:rsidRDefault="008668B8" w:rsidP="008668B8">
      <w:pPr>
        <w:rPr>
          <w:rFonts w:ascii="Cambria" w:eastAsia="Times New Roman" w:hAnsi="Cambria" w:cs="Cambria"/>
          <w:sz w:val="20"/>
          <w:szCs w:val="20"/>
        </w:rPr>
      </w:pPr>
    </w:p>
    <w:p w14:paraId="4E9C07AB"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45/22 (LIFT)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306-06 - Jorge Luís García Pérez Antúnez, Cuba</w:t>
      </w:r>
    </w:p>
    <w:p w14:paraId="52DEF85F" w14:textId="77777777" w:rsidR="008668B8" w:rsidRPr="005B477D" w:rsidRDefault="008668B8" w:rsidP="008668B8">
      <w:pPr>
        <w:jc w:val="both"/>
        <w:rPr>
          <w:rFonts w:ascii="Cambria" w:eastAsia="Times New Roman" w:hAnsi="Cambria" w:cs="Arial"/>
          <w:sz w:val="20"/>
          <w:szCs w:val="20"/>
        </w:rPr>
      </w:pPr>
    </w:p>
    <w:p w14:paraId="4EEB38C4" w14:textId="77777777" w:rsidR="008668B8" w:rsidRPr="005B477D" w:rsidRDefault="008668B8" w:rsidP="008668B8">
      <w:pPr>
        <w:jc w:val="both"/>
        <w:rPr>
          <w:rFonts w:ascii="Cambria" w:eastAsia="Times New Roman" w:hAnsi="Cambria" w:cs="Arial"/>
          <w:sz w:val="20"/>
          <w:szCs w:val="20"/>
        </w:rPr>
      </w:pPr>
      <w:r w:rsidRPr="005B477D">
        <w:rPr>
          <w:rFonts w:ascii="Cambria" w:eastAsia="Times New Roman" w:hAnsi="Cambria" w:cs="Arial"/>
          <w:sz w:val="20"/>
          <w:szCs w:val="20"/>
        </w:rPr>
        <w:t>The Inter-American Commission on Human Rights (IACHR) decides to lift these precautionary measures in favor of Jorge Luís García Pérez Antúnez in Cuba. When making the decision, the Commission evaluated the change in the beneficiary’s situation, who currently resides in the United States of America. After failing to identify compliance with the procedural requirements, the IACHR decided to lift these measures, while regretting the lack of information from the Cuban State.</w:t>
      </w:r>
    </w:p>
    <w:p w14:paraId="30ED9264" w14:textId="77777777" w:rsidR="008668B8" w:rsidRPr="005B477D" w:rsidRDefault="008668B8" w:rsidP="008668B8">
      <w:pPr>
        <w:jc w:val="both"/>
        <w:rPr>
          <w:rFonts w:ascii="Cambria" w:eastAsia="Times New Roman" w:hAnsi="Cambria" w:cs="Arial"/>
          <w:b/>
          <w:bCs/>
          <w:sz w:val="20"/>
          <w:szCs w:val="20"/>
        </w:rPr>
      </w:pPr>
    </w:p>
    <w:p w14:paraId="2515E258"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48/22 (FOLLOW-UP)</w:t>
      </w:r>
      <w:r w:rsidRPr="005B477D">
        <w:rPr>
          <w:rFonts w:ascii="Cambria" w:eastAsiaTheme="majorEastAsia" w:hAnsi="Cambria" w:cs="Times New Roman"/>
          <w:sz w:val="20"/>
          <w:szCs w:val="20"/>
        </w:rPr>
        <w:br/>
      </w:r>
      <w:r w:rsidRPr="005B477D">
        <w:rPr>
          <w:rFonts w:ascii="Cambria" w:eastAsia="Times New Roman" w:hAnsi="Cambria" w:cs="Arial"/>
          <w:sz w:val="20"/>
          <w:szCs w:val="20"/>
        </w:rPr>
        <w:t>PM 264-13 – Members of Damas de Blanco, Cuba</w:t>
      </w:r>
    </w:p>
    <w:p w14:paraId="5398FF8B" w14:textId="77777777" w:rsidR="008668B8" w:rsidRPr="005B477D" w:rsidRDefault="008668B8" w:rsidP="008668B8">
      <w:pPr>
        <w:jc w:val="both"/>
        <w:rPr>
          <w:rFonts w:ascii="Cambria" w:eastAsia="Times New Roman" w:hAnsi="Cambria" w:cs="Cambria"/>
          <w:sz w:val="20"/>
          <w:szCs w:val="20"/>
        </w:rPr>
      </w:pPr>
    </w:p>
    <w:p w14:paraId="2F904C77" w14:textId="77777777" w:rsidR="008668B8" w:rsidRPr="005B477D" w:rsidRDefault="008668B8" w:rsidP="008668B8">
      <w:pPr>
        <w:jc w:val="both"/>
        <w:rPr>
          <w:rFonts w:ascii="Cambria" w:eastAsia="Times New Roman" w:hAnsi="Cambria" w:cs="Cambria"/>
          <w:sz w:val="20"/>
          <w:szCs w:val="20"/>
        </w:rPr>
      </w:pPr>
      <w:r w:rsidRPr="31502C94">
        <w:rPr>
          <w:rFonts w:ascii="Cambria" w:eastAsia="Times New Roman" w:hAnsi="Cambria" w:cs="Cambria"/>
          <w:sz w:val="20"/>
          <w:szCs w:val="20"/>
        </w:rPr>
        <w:t>The Inter-American Commission on Human Rights (IACHR) decides to issue this Follow-Up Resolution on precautionary measures under the terms of Article 25 of its Rules of Procedure. The Commission laments the lack of response from the State regarding measures adopted to implement the current precautionary measures. Based on the information available and evaluated as a whole, the Commission urgently calls upon the Republic of Cuba to promptly adopt measures for the implementation of the precautionary measures considering that the risk factors remain in effect under the terms of Article 25 of the Rules of Procedure.</w:t>
      </w:r>
    </w:p>
    <w:p w14:paraId="4DD24A52" w14:textId="77777777" w:rsidR="008668B8" w:rsidRPr="005B477D" w:rsidRDefault="008668B8" w:rsidP="008668B8">
      <w:pPr>
        <w:jc w:val="both"/>
        <w:rPr>
          <w:rFonts w:ascii="Cambria" w:eastAsia="Times New Roman" w:hAnsi="Cambria" w:cs="Cambria"/>
          <w:b/>
          <w:bCs/>
          <w:sz w:val="22"/>
          <w:szCs w:val="22"/>
        </w:rPr>
      </w:pPr>
    </w:p>
    <w:p w14:paraId="177A0482" w14:textId="77777777" w:rsidR="008668B8" w:rsidRPr="005B477D" w:rsidRDefault="008668B8" w:rsidP="008668B8">
      <w:pPr>
        <w:jc w:val="both"/>
        <w:rPr>
          <w:rFonts w:ascii="Cambria" w:eastAsia="Times New Roman" w:hAnsi="Cambria" w:cs="Cambria"/>
          <w:b/>
          <w:bCs/>
          <w:sz w:val="22"/>
          <w:szCs w:val="22"/>
        </w:rPr>
      </w:pPr>
      <w:r w:rsidRPr="005B477D">
        <w:rPr>
          <w:rFonts w:ascii="Cambria" w:eastAsia="Times New Roman" w:hAnsi="Cambria" w:cs="Cambria"/>
          <w:b/>
          <w:bCs/>
          <w:sz w:val="22"/>
          <w:szCs w:val="22"/>
        </w:rPr>
        <w:t>DOMINICAN REPUBLIC</w:t>
      </w:r>
    </w:p>
    <w:p w14:paraId="3F0BA51A" w14:textId="77777777" w:rsidR="008668B8" w:rsidRPr="005B477D" w:rsidRDefault="008668B8" w:rsidP="008668B8">
      <w:pPr>
        <w:jc w:val="both"/>
        <w:rPr>
          <w:rFonts w:ascii="Cambria" w:eastAsia="Times New Roman" w:hAnsi="Cambria" w:cs="Cambria"/>
          <w:sz w:val="20"/>
          <w:szCs w:val="20"/>
        </w:rPr>
      </w:pPr>
    </w:p>
    <w:p w14:paraId="3CC9A0ED" w14:textId="77777777" w:rsidR="008668B8" w:rsidRPr="005B477D" w:rsidRDefault="008668B8" w:rsidP="008668B8">
      <w:pPr>
        <w:rPr>
          <w:rFonts w:ascii="Cambria" w:eastAsia="Times New Roman" w:hAnsi="Cambria" w:cs="Cambria"/>
          <w:sz w:val="20"/>
          <w:szCs w:val="20"/>
        </w:rPr>
      </w:pPr>
      <w:r w:rsidRPr="005B477D">
        <w:rPr>
          <w:rFonts w:ascii="Cambria" w:eastAsia="Times New Roman" w:hAnsi="Cambria" w:cs="Cambria"/>
          <w:sz w:val="20"/>
          <w:szCs w:val="20"/>
        </w:rPr>
        <w:t>Resolution No. 29/22 (LIFT)</w:t>
      </w:r>
      <w:r w:rsidRPr="005B477D">
        <w:rPr>
          <w:rFonts w:ascii="Cambria" w:eastAsiaTheme="majorEastAsia" w:hAnsi="Cambria" w:cs="Times New Roman"/>
          <w:sz w:val="20"/>
          <w:szCs w:val="20"/>
        </w:rPr>
        <w:br/>
      </w:r>
      <w:r w:rsidRPr="005B477D">
        <w:rPr>
          <w:rFonts w:ascii="Cambria" w:eastAsia="Times New Roman" w:hAnsi="Cambria" w:cs="Cambria"/>
          <w:sz w:val="20"/>
          <w:szCs w:val="20"/>
        </w:rPr>
        <w:t>PM 286-19 - C.F.M.T., Dominican Republic</w:t>
      </w:r>
    </w:p>
    <w:p w14:paraId="1E2F6CB5" w14:textId="77777777" w:rsidR="008668B8" w:rsidRPr="005B477D" w:rsidRDefault="008668B8" w:rsidP="008668B8">
      <w:pPr>
        <w:jc w:val="both"/>
        <w:rPr>
          <w:rFonts w:ascii="Cambria" w:eastAsia="Times New Roman" w:hAnsi="Cambria" w:cs="Cambria"/>
          <w:sz w:val="20"/>
          <w:szCs w:val="20"/>
        </w:rPr>
      </w:pPr>
    </w:p>
    <w:p w14:paraId="1C6A0F9B" w14:textId="77777777" w:rsidR="008668B8" w:rsidRPr="005B477D" w:rsidRDefault="008668B8" w:rsidP="008668B8">
      <w:pPr>
        <w:jc w:val="both"/>
        <w:rPr>
          <w:rFonts w:ascii="Cambria" w:eastAsia="Times New Roman" w:hAnsi="Cambria" w:cs="Cambria"/>
          <w:sz w:val="20"/>
          <w:szCs w:val="20"/>
        </w:rPr>
      </w:pPr>
      <w:r w:rsidRPr="31502C94">
        <w:rPr>
          <w:rFonts w:ascii="Cambria" w:eastAsia="Times New Roman" w:hAnsi="Cambria" w:cs="Cambria"/>
          <w:sz w:val="20"/>
          <w:szCs w:val="20"/>
        </w:rPr>
        <w:lastRenderedPageBreak/>
        <w:t>The Inter-American Commission on Human Rights (IACHR) decides to lift these precautionary measures granted in favor of C.F.M.T. while he was deprived of liberty in the Dominican Republic. When making the decision, the Commission assessed the actions taken by the State during implementation as well as the observations made by the representation. Following the State’s request to lift the measures, the IACHR sought information from the representation, who confirmed that C.F.M.T. had regained his freedom. Upon not identifying compliance with the procedural requirements and given change in the circumstances that led to the granting of precautionary measures, the IACHR decided to lift these measures.</w:t>
      </w:r>
    </w:p>
    <w:p w14:paraId="2BE57B76" w14:textId="77777777" w:rsidR="008668B8" w:rsidRPr="005B477D" w:rsidRDefault="008668B8" w:rsidP="008668B8">
      <w:pPr>
        <w:jc w:val="both"/>
        <w:rPr>
          <w:rFonts w:ascii="Cambria" w:eastAsia="Times New Roman" w:hAnsi="Cambria" w:cs="Cambria"/>
          <w:b/>
          <w:bCs/>
          <w:sz w:val="20"/>
          <w:szCs w:val="20"/>
        </w:rPr>
      </w:pPr>
    </w:p>
    <w:p w14:paraId="1DBE22A7" w14:textId="77777777" w:rsidR="008668B8" w:rsidRPr="005B477D" w:rsidRDefault="008668B8" w:rsidP="008668B8">
      <w:pPr>
        <w:jc w:val="both"/>
        <w:rPr>
          <w:rFonts w:ascii="Cambria" w:eastAsia="Times New Roman" w:hAnsi="Cambria" w:cs="Cambria"/>
          <w:b/>
          <w:bCs/>
          <w:sz w:val="22"/>
          <w:szCs w:val="22"/>
        </w:rPr>
      </w:pPr>
      <w:r w:rsidRPr="005B477D">
        <w:rPr>
          <w:rFonts w:ascii="Cambria" w:eastAsia="Times New Roman" w:hAnsi="Cambria" w:cs="Cambria"/>
          <w:b/>
          <w:bCs/>
          <w:sz w:val="22"/>
          <w:szCs w:val="22"/>
        </w:rPr>
        <w:t>ECUADOR</w:t>
      </w:r>
    </w:p>
    <w:p w14:paraId="224430C5" w14:textId="77777777" w:rsidR="008668B8" w:rsidRPr="005B477D" w:rsidRDefault="008668B8" w:rsidP="008668B8">
      <w:pPr>
        <w:jc w:val="both"/>
        <w:rPr>
          <w:rFonts w:ascii="Cambria" w:eastAsia="Times New Roman" w:hAnsi="Cambria" w:cs="Cambria"/>
          <w:b/>
          <w:bCs/>
          <w:sz w:val="22"/>
          <w:szCs w:val="22"/>
        </w:rPr>
      </w:pPr>
    </w:p>
    <w:p w14:paraId="2D0FAFB6"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33/22 (GRANT)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533-21 - Patricio Fabián Vaca Castro, Ecuador</w:t>
      </w:r>
    </w:p>
    <w:p w14:paraId="4DD4B128" w14:textId="77777777" w:rsidR="008668B8" w:rsidRPr="005B477D" w:rsidRDefault="008668B8" w:rsidP="008668B8">
      <w:pPr>
        <w:jc w:val="both"/>
        <w:rPr>
          <w:rFonts w:ascii="Cambria" w:eastAsia="Times New Roman" w:hAnsi="Cambria" w:cs="Cambria"/>
          <w:sz w:val="20"/>
          <w:szCs w:val="20"/>
        </w:rPr>
      </w:pPr>
    </w:p>
    <w:p w14:paraId="739D35C7"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On July 11, 2022, the IACHR granted precautionary measures in favor of Patricio Fabián Vaca Castro and three other people diagnosed with Chronic Myeloid Leukemia in Ecuador. The request for precautionary measures alleges that the beneficiaries, patients with blood cancer at the Carlos Andrade Marín Hospital, do not have access to the medication necessary for their adequate treatment for prolonged periods of times, despite court decisions ordering the delivery of this medication.</w:t>
      </w:r>
    </w:p>
    <w:p w14:paraId="712502DC" w14:textId="77777777" w:rsidR="008668B8" w:rsidRPr="005B477D" w:rsidRDefault="008668B8" w:rsidP="008668B8">
      <w:pPr>
        <w:jc w:val="both"/>
        <w:rPr>
          <w:rFonts w:ascii="Cambria" w:eastAsia="Times New Roman" w:hAnsi="Cambria" w:cs="Cambria"/>
          <w:sz w:val="20"/>
          <w:szCs w:val="20"/>
        </w:rPr>
      </w:pPr>
    </w:p>
    <w:p w14:paraId="33EB9D98"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After analyzing the submissions of fact and law presented by the parties, the Commission considers that the information shows that the beneficiaries are in a serious and urgent situation presenting risk of irreparable harm, based on the applicable prima facie standard.</w:t>
      </w:r>
    </w:p>
    <w:p w14:paraId="7109AACE" w14:textId="77777777" w:rsidR="008668B8" w:rsidRPr="005B477D" w:rsidRDefault="008668B8" w:rsidP="008668B8">
      <w:pPr>
        <w:jc w:val="both"/>
        <w:rPr>
          <w:rFonts w:ascii="Cambria" w:eastAsia="Times New Roman" w:hAnsi="Cambria" w:cs="Cambria"/>
          <w:sz w:val="20"/>
          <w:szCs w:val="20"/>
        </w:rPr>
      </w:pPr>
    </w:p>
    <w:p w14:paraId="1AEA91D5" w14:textId="77777777" w:rsidR="008668B8" w:rsidRPr="005B477D" w:rsidRDefault="008668B8" w:rsidP="008668B8">
      <w:pPr>
        <w:jc w:val="both"/>
        <w:rPr>
          <w:rFonts w:ascii="Cambria" w:eastAsia="Times New Roman" w:hAnsi="Cambria" w:cs="Cambria"/>
          <w:sz w:val="20"/>
          <w:szCs w:val="20"/>
        </w:rPr>
      </w:pPr>
      <w:r w:rsidRPr="31502C94">
        <w:rPr>
          <w:rFonts w:ascii="Cambria" w:eastAsia="Times New Roman" w:hAnsi="Cambria" w:cs="Cambria"/>
          <w:sz w:val="20"/>
          <w:szCs w:val="20"/>
        </w:rPr>
        <w:t>Consequently, in accordance with Article 25 of its Rules of Procedure, the Commission requests that Ecuador:</w:t>
      </w:r>
    </w:p>
    <w:p w14:paraId="33E9488F" w14:textId="77777777" w:rsidR="008668B8" w:rsidRPr="005B477D" w:rsidRDefault="008668B8" w:rsidP="008668B8">
      <w:pPr>
        <w:jc w:val="both"/>
        <w:rPr>
          <w:rFonts w:ascii="Cambria" w:eastAsia="Times New Roman" w:hAnsi="Cambria" w:cs="Cambria"/>
          <w:sz w:val="20"/>
          <w:szCs w:val="20"/>
        </w:rPr>
      </w:pPr>
    </w:p>
    <w:p w14:paraId="179167EC" w14:textId="77777777" w:rsidR="008668B8" w:rsidRPr="005B477D" w:rsidRDefault="008668B8" w:rsidP="00933F91">
      <w:pPr>
        <w:numPr>
          <w:ilvl w:val="0"/>
          <w:numId w:val="31"/>
        </w:numPr>
        <w:contextualSpacing/>
        <w:jc w:val="both"/>
        <w:rPr>
          <w:rFonts w:ascii="Cambria" w:eastAsia="Times New Roman" w:hAnsi="Cambria" w:cs="Cambria"/>
          <w:sz w:val="20"/>
          <w:szCs w:val="20"/>
        </w:rPr>
      </w:pPr>
      <w:r w:rsidRPr="31502C94">
        <w:rPr>
          <w:rFonts w:ascii="Cambria" w:eastAsia="Times New Roman" w:hAnsi="Cambria" w:cs="Cambria"/>
          <w:sz w:val="20"/>
          <w:szCs w:val="20"/>
        </w:rPr>
        <w:t>Adopt the necessary measures to protect the rights to life, personal integrity, and health of the beneficiaries, by adopting immediate measures that allow access to adequate and timely medical treatment and, in particular, by, guaranteeing regular access to the necessary medications as prescribed by the corresponding health professionals, as well as diagnoses and examinations that allow regular evaluation of their health status, according to the applicable international standards; and</w:t>
      </w:r>
    </w:p>
    <w:p w14:paraId="404C97A2" w14:textId="77777777" w:rsidR="008668B8" w:rsidRPr="005B477D" w:rsidRDefault="008668B8" w:rsidP="00933F91">
      <w:pPr>
        <w:numPr>
          <w:ilvl w:val="0"/>
          <w:numId w:val="31"/>
        </w:numPr>
        <w:contextualSpacing/>
        <w:jc w:val="both"/>
        <w:rPr>
          <w:rFonts w:ascii="Cambria" w:eastAsia="Times New Roman" w:hAnsi="Cambria" w:cs="Cambria"/>
          <w:sz w:val="20"/>
          <w:szCs w:val="20"/>
        </w:rPr>
      </w:pPr>
      <w:r w:rsidRPr="005B477D">
        <w:rPr>
          <w:rFonts w:ascii="Cambria" w:eastAsia="Times New Roman" w:hAnsi="Cambria" w:cs="Cambria"/>
          <w:sz w:val="20"/>
          <w:szCs w:val="20"/>
        </w:rPr>
        <w:t xml:space="preserve">Consult and agree upon the measures with the beneficiaries and their representatives. </w:t>
      </w:r>
    </w:p>
    <w:p w14:paraId="556205F4" w14:textId="77777777" w:rsidR="008668B8" w:rsidRPr="005B477D" w:rsidRDefault="008668B8" w:rsidP="008668B8">
      <w:pPr>
        <w:jc w:val="both"/>
        <w:rPr>
          <w:rFonts w:ascii="Cambria" w:eastAsia="Times New Roman" w:hAnsi="Cambria" w:cs="Cambria"/>
          <w:sz w:val="20"/>
          <w:szCs w:val="20"/>
        </w:rPr>
      </w:pPr>
    </w:p>
    <w:p w14:paraId="2C8B5542" w14:textId="77777777" w:rsidR="008668B8" w:rsidRPr="005B477D" w:rsidRDefault="008668B8" w:rsidP="008668B8">
      <w:pPr>
        <w:jc w:val="both"/>
        <w:rPr>
          <w:rFonts w:ascii="Cambria" w:eastAsia="Times New Roman" w:hAnsi="Cambria" w:cs="Cambria"/>
          <w:b/>
          <w:bCs/>
          <w:sz w:val="22"/>
          <w:szCs w:val="22"/>
        </w:rPr>
      </w:pPr>
      <w:r w:rsidRPr="005B477D">
        <w:rPr>
          <w:rFonts w:ascii="Cambria" w:eastAsia="Times New Roman" w:hAnsi="Cambria" w:cs="Cambria"/>
          <w:b/>
          <w:bCs/>
          <w:sz w:val="22"/>
          <w:szCs w:val="22"/>
        </w:rPr>
        <w:t xml:space="preserve">EL SALVADOR </w:t>
      </w:r>
    </w:p>
    <w:p w14:paraId="785282DD" w14:textId="77777777" w:rsidR="008668B8" w:rsidRPr="005B477D" w:rsidRDefault="008668B8" w:rsidP="008668B8">
      <w:pPr>
        <w:rPr>
          <w:rFonts w:ascii="Cambria" w:eastAsia="Times New Roman" w:hAnsi="Cambria" w:cs="Arial"/>
          <w:sz w:val="20"/>
          <w:szCs w:val="20"/>
        </w:rPr>
      </w:pPr>
    </w:p>
    <w:p w14:paraId="107359D7"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32/22 (FOLLOW-UP)</w:t>
      </w:r>
      <w:r w:rsidRPr="005B477D">
        <w:rPr>
          <w:rFonts w:ascii="Cambria" w:eastAsiaTheme="majorEastAsia" w:hAnsi="Cambria" w:cs="Times New Roman"/>
          <w:sz w:val="20"/>
          <w:szCs w:val="20"/>
        </w:rPr>
        <w:br/>
      </w:r>
      <w:r w:rsidRPr="005B477D">
        <w:rPr>
          <w:rFonts w:ascii="Cambria" w:eastAsia="Times New Roman" w:hAnsi="Cambria" w:cs="Arial"/>
          <w:sz w:val="20"/>
          <w:szCs w:val="20"/>
        </w:rPr>
        <w:t xml:space="preserve">PM 1051-20 – Identified members of the digital newspaper </w:t>
      </w:r>
      <w:r w:rsidRPr="005B477D">
        <w:rPr>
          <w:rFonts w:ascii="Cambria" w:eastAsia="Times New Roman" w:hAnsi="Cambria" w:cs="Arial"/>
          <w:i/>
          <w:iCs/>
          <w:sz w:val="20"/>
          <w:szCs w:val="20"/>
        </w:rPr>
        <w:t>El Faro</w:t>
      </w:r>
      <w:r w:rsidRPr="005B477D">
        <w:rPr>
          <w:rFonts w:ascii="Cambria" w:eastAsia="Times New Roman" w:hAnsi="Cambria" w:cs="Arial"/>
          <w:sz w:val="20"/>
          <w:szCs w:val="20"/>
        </w:rPr>
        <w:t>, El Salvador</w:t>
      </w:r>
    </w:p>
    <w:p w14:paraId="344A42D5" w14:textId="77777777" w:rsidR="008668B8" w:rsidRPr="005B477D" w:rsidRDefault="008668B8" w:rsidP="008668B8">
      <w:pPr>
        <w:jc w:val="both"/>
        <w:rPr>
          <w:rFonts w:ascii="Cambria" w:eastAsia="Times New Roman" w:hAnsi="Cambria" w:cs="Cambria"/>
          <w:sz w:val="20"/>
          <w:szCs w:val="20"/>
        </w:rPr>
      </w:pPr>
    </w:p>
    <w:p w14:paraId="1FF2A1EC"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issue this follow-up resolution on precautionary measures under the terms of Article 25 of its Rules of Procedure. The IACHR takes into consideration the continuous requests from the representatives that the precautionary measures be duly implemented and the new risk events alleged, as well as the challenges of consulting and agreeing upon the protection measures to be adopted, as reported by both parties. In this regard, the IACHR identifies challenges that arose throughout the period in force; addresses questions from the parties; develops the scope of these precautionary measures; and makes itself available to the parties to continue with implementation of the measures:</w:t>
      </w:r>
    </w:p>
    <w:p w14:paraId="3A3AAB95" w14:textId="77777777" w:rsidR="008668B8" w:rsidRPr="005B477D" w:rsidRDefault="008668B8" w:rsidP="008668B8">
      <w:pPr>
        <w:jc w:val="both"/>
        <w:rPr>
          <w:rFonts w:ascii="Cambria" w:eastAsia="Times New Roman" w:hAnsi="Cambria" w:cs="Cambria"/>
          <w:sz w:val="20"/>
          <w:szCs w:val="20"/>
        </w:rPr>
      </w:pPr>
    </w:p>
    <w:p w14:paraId="77D54C97" w14:textId="77777777" w:rsidR="008668B8" w:rsidRPr="005B477D" w:rsidRDefault="008668B8" w:rsidP="00933F91">
      <w:pPr>
        <w:numPr>
          <w:ilvl w:val="0"/>
          <w:numId w:val="1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 xml:space="preserve">Maintain the precautionary measures granted in favor of the members of the newspaper El Faro (1) C. A. D. S., (2) J. L. S. R., (3) D. V., (4) O. M., (5) M. L. N., (6) C. M, (7) S. A., (8) E. L., (9) V. G., (10) J. A., (11) G. L., (12) N. R., (13) G. C., (14) M. C., (15) R. L., (16) V. P., (17) C. B., (18) O. M., (19) D. R., (20) K. R., (21) D. B., (22) C. S., (23) A. A., (24) A. B. L., (25) M. S., (26) J. R., (27) M. V. and (28) M. A., whereby it requests that the State of El Salvador continue to adopt the measures necessary to effectively ensure their life and personal integrity, so as to guarantee that the beneficiaries are able to carry out their journalistic </w:t>
      </w:r>
      <w:r w:rsidRPr="005B477D">
        <w:rPr>
          <w:rFonts w:ascii="Cambria" w:eastAsia="Times New Roman" w:hAnsi="Cambria" w:cs="Cambria"/>
          <w:sz w:val="20"/>
          <w:szCs w:val="20"/>
        </w:rPr>
        <w:lastRenderedPageBreak/>
        <w:t>activities in the exercise of their right to freedom of expression, without being subjected to acts of intimidation, threats, and harassment, under the terms of the requests made under Resolution 12/2021 considering the assessments of this resolution;</w:t>
      </w:r>
    </w:p>
    <w:p w14:paraId="4CE83869" w14:textId="77777777" w:rsidR="008668B8" w:rsidRPr="005B477D" w:rsidRDefault="008668B8" w:rsidP="00933F91">
      <w:pPr>
        <w:numPr>
          <w:ilvl w:val="0"/>
          <w:numId w:val="1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Extend precautionary measure 1051-21 in favor of (29) J. N. G. P.; (30) L. M. G. C., and (31) R. M. M. Z., asking El Salvador to act under the same terms as sought through Resolution 12/2021;</w:t>
      </w:r>
    </w:p>
    <w:p w14:paraId="03C90238" w14:textId="77777777" w:rsidR="008668B8" w:rsidRPr="005B477D" w:rsidRDefault="008668B8" w:rsidP="00933F91">
      <w:pPr>
        <w:numPr>
          <w:ilvl w:val="0"/>
          <w:numId w:val="1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Lift the precautionary measures in favor of (1) A. S.; (2) E. G.; (3) M. A.; (4) L. G.; (5) M. T.; and (6) J. C.;</w:t>
      </w:r>
    </w:p>
    <w:p w14:paraId="5166CB4D" w14:textId="77777777" w:rsidR="008668B8" w:rsidRPr="005B477D" w:rsidRDefault="008668B8" w:rsidP="00933F91">
      <w:pPr>
        <w:numPr>
          <w:ilvl w:val="0"/>
          <w:numId w:val="1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Request the parties to submit, within 90 days of the date they are notified of this resolution, concrete, detailed, and updated information on the beneficiaries’ situation and measures taken to implement this precautionary measure with a view to continuing to evaluate their situation under the terms of Article 25 of the Rules of Procedure;</w:t>
      </w:r>
    </w:p>
    <w:p w14:paraId="6F922236" w14:textId="77777777" w:rsidR="008668B8" w:rsidRPr="005B477D" w:rsidRDefault="008668B8" w:rsidP="00933F91">
      <w:pPr>
        <w:numPr>
          <w:ilvl w:val="0"/>
          <w:numId w:val="1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Request that the parties continue with consultation and coordination efforts at the domestic level within the framework of implementing these precautionary measures in the light of the considerations set forth in this resolution;</w:t>
      </w:r>
    </w:p>
    <w:p w14:paraId="54375845" w14:textId="77777777" w:rsidR="008668B8" w:rsidRPr="005B477D" w:rsidRDefault="008668B8" w:rsidP="00933F91">
      <w:pPr>
        <w:numPr>
          <w:ilvl w:val="0"/>
          <w:numId w:val="1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Express the willingness of the IACHR, through its Rapporteurship for Freedom of Expression, to deepen the technical and thematic contributions relevant to the implementation of these precautionary measures in accordance with the principle of agreement between the parties;</w:t>
      </w:r>
    </w:p>
    <w:p w14:paraId="6A422335" w14:textId="77777777" w:rsidR="008668B8" w:rsidRPr="005B477D" w:rsidRDefault="008668B8" w:rsidP="00933F91">
      <w:pPr>
        <w:numPr>
          <w:ilvl w:val="0"/>
          <w:numId w:val="1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Express the willingness of the IACHR to carry out an on-site visit to El Salvador, with prior consent from the State, in order to verify the situation of the beneficiaries of these precautionary measures, which may include, among others, a working meeting with the parties and meetings with the beneficiaries and the authorities directly responsible for implementing these precautionary measures, with the foregoing being part of the follow-up measures appropriate for the effective implementation of these precautionary measures; and</w:t>
      </w:r>
    </w:p>
    <w:p w14:paraId="064DA7C9" w14:textId="77777777" w:rsidR="008668B8" w:rsidRPr="005B477D" w:rsidRDefault="008668B8" w:rsidP="00933F91">
      <w:pPr>
        <w:numPr>
          <w:ilvl w:val="0"/>
          <w:numId w:val="1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Continue implementing the appropriate follow-up measures pursuant to the terms of Article 25(10) and other provisions of its Rules of Procedure.</w:t>
      </w:r>
    </w:p>
    <w:p w14:paraId="6C2A8356" w14:textId="77777777" w:rsidR="008668B8" w:rsidRPr="005B477D" w:rsidRDefault="008668B8" w:rsidP="008668B8">
      <w:pPr>
        <w:jc w:val="both"/>
        <w:rPr>
          <w:rFonts w:ascii="Cambria" w:eastAsia="Times New Roman" w:hAnsi="Cambria" w:cs="Cambria"/>
          <w:sz w:val="20"/>
          <w:szCs w:val="20"/>
        </w:rPr>
      </w:pPr>
    </w:p>
    <w:p w14:paraId="35FD78B9" w14:textId="77777777" w:rsidR="008668B8" w:rsidRPr="005B477D" w:rsidRDefault="008668B8" w:rsidP="008668B8">
      <w:pPr>
        <w:jc w:val="both"/>
        <w:rPr>
          <w:rFonts w:ascii="Cambria" w:eastAsia="Times New Roman" w:hAnsi="Cambria" w:cs="Cambria"/>
          <w:b/>
          <w:bCs/>
          <w:sz w:val="22"/>
          <w:szCs w:val="22"/>
          <w:lang w:val="es-AR"/>
        </w:rPr>
      </w:pPr>
      <w:r w:rsidRPr="005B477D">
        <w:rPr>
          <w:rFonts w:ascii="Cambria" w:eastAsia="Times New Roman" w:hAnsi="Cambria" w:cs="Cambria"/>
          <w:b/>
          <w:bCs/>
          <w:sz w:val="22"/>
          <w:szCs w:val="22"/>
          <w:lang w:val="es-AR"/>
        </w:rPr>
        <w:t>GUATEMALA</w:t>
      </w:r>
    </w:p>
    <w:p w14:paraId="580D1C0F" w14:textId="77777777" w:rsidR="008668B8" w:rsidRPr="005B477D" w:rsidRDefault="008668B8" w:rsidP="008668B8">
      <w:pPr>
        <w:jc w:val="both"/>
        <w:rPr>
          <w:rFonts w:ascii="Cambria" w:eastAsia="Times New Roman" w:hAnsi="Cambria" w:cs="Cambria"/>
          <w:bCs/>
          <w:sz w:val="20"/>
          <w:szCs w:val="20"/>
          <w:lang w:val="es-AR"/>
        </w:rPr>
      </w:pPr>
    </w:p>
    <w:p w14:paraId="09FA56E6" w14:textId="77777777" w:rsidR="008668B8" w:rsidRPr="005B477D" w:rsidRDefault="008668B8" w:rsidP="008668B8">
      <w:pPr>
        <w:jc w:val="both"/>
        <w:rPr>
          <w:rFonts w:ascii="Cambria" w:eastAsia="Times New Roman" w:hAnsi="Cambria" w:cs="Cambria"/>
          <w:bCs/>
          <w:sz w:val="20"/>
          <w:szCs w:val="20"/>
          <w:lang w:val="es-AR"/>
        </w:rPr>
      </w:pPr>
      <w:r w:rsidRPr="005B477D">
        <w:rPr>
          <w:rFonts w:ascii="Cambria" w:eastAsia="Times New Roman" w:hAnsi="Cambria" w:cs="Cambria"/>
          <w:bCs/>
          <w:sz w:val="20"/>
          <w:szCs w:val="20"/>
          <w:lang w:val="es-AR"/>
        </w:rPr>
        <w:t>Resolution No. 62/22 (LIFT)</w:t>
      </w:r>
    </w:p>
    <w:p w14:paraId="63E47B29" w14:textId="77777777" w:rsidR="008668B8" w:rsidRPr="005B477D" w:rsidRDefault="008668B8" w:rsidP="008668B8">
      <w:pPr>
        <w:jc w:val="both"/>
        <w:rPr>
          <w:rFonts w:ascii="Cambria" w:eastAsia="Times New Roman" w:hAnsi="Cambria" w:cs="Cambria"/>
          <w:bCs/>
          <w:sz w:val="20"/>
          <w:szCs w:val="20"/>
          <w:lang w:val="es-AR"/>
        </w:rPr>
      </w:pPr>
      <w:r w:rsidRPr="005B477D">
        <w:rPr>
          <w:rFonts w:ascii="Cambria" w:eastAsia="Times New Roman" w:hAnsi="Cambria" w:cs="Cambria"/>
          <w:bCs/>
          <w:sz w:val="20"/>
          <w:szCs w:val="20"/>
          <w:lang w:val="es-AR"/>
        </w:rPr>
        <w:t>PM 114-06 – Mayan Community-Sitio “El Rosario-Naranjo”, Guatemala</w:t>
      </w:r>
    </w:p>
    <w:p w14:paraId="4F55CA48" w14:textId="77777777" w:rsidR="008668B8" w:rsidRPr="005B477D" w:rsidRDefault="008668B8" w:rsidP="008668B8">
      <w:pPr>
        <w:jc w:val="both"/>
        <w:rPr>
          <w:rFonts w:ascii="Cambria" w:eastAsia="Times New Roman" w:hAnsi="Cambria" w:cs="Cambria"/>
          <w:bCs/>
          <w:sz w:val="20"/>
          <w:szCs w:val="20"/>
          <w:lang w:val="es-AR"/>
        </w:rPr>
      </w:pPr>
    </w:p>
    <w:p w14:paraId="293E05B3" w14:textId="77777777" w:rsidR="008668B8" w:rsidRPr="005B477D" w:rsidRDefault="008668B8" w:rsidP="008668B8">
      <w:pPr>
        <w:jc w:val="both"/>
        <w:rPr>
          <w:rFonts w:ascii="Cambria" w:eastAsia="Times New Roman" w:hAnsi="Cambria" w:cs="Arial"/>
          <w:sz w:val="20"/>
          <w:szCs w:val="20"/>
        </w:rPr>
      </w:pPr>
      <w:r w:rsidRPr="005B477D">
        <w:rPr>
          <w:rFonts w:ascii="Cambria" w:eastAsia="Times New Roman" w:hAnsi="Cambria" w:cs="Arial"/>
          <w:sz w:val="20"/>
          <w:szCs w:val="20"/>
        </w:rPr>
        <w:t>The Inter-American Commission on Human Rights (IACHR) has decided to lift these precautionary measures in favor of the Sitio “El Rosario-Naranjo” in Guatemala Mayan Community. At the time of making the decision, the Commission assessed the responses issued by the State and the observations submitted by the representatives. Following the request to lift reiterated by the State over time, and the response submitted by the representatives, the IACHR has decided to lift these precautionary measures.</w:t>
      </w:r>
    </w:p>
    <w:p w14:paraId="4B6D59D3" w14:textId="77777777" w:rsidR="008668B8" w:rsidRPr="005B477D" w:rsidRDefault="008668B8" w:rsidP="008668B8">
      <w:pPr>
        <w:jc w:val="both"/>
        <w:rPr>
          <w:rFonts w:ascii="Cambria" w:eastAsia="Times New Roman" w:hAnsi="Cambria" w:cs="Cambria"/>
          <w:bCs/>
          <w:sz w:val="20"/>
          <w:szCs w:val="20"/>
        </w:rPr>
      </w:pPr>
    </w:p>
    <w:p w14:paraId="3D1BDD87" w14:textId="77777777" w:rsidR="008668B8" w:rsidRPr="005B477D" w:rsidRDefault="008668B8" w:rsidP="008668B8">
      <w:pPr>
        <w:jc w:val="both"/>
        <w:rPr>
          <w:rFonts w:ascii="Cambria" w:eastAsia="Times New Roman" w:hAnsi="Cambria" w:cs="Cambria"/>
          <w:b/>
          <w:bCs/>
          <w:sz w:val="22"/>
          <w:szCs w:val="22"/>
        </w:rPr>
      </w:pPr>
      <w:r w:rsidRPr="005B477D">
        <w:rPr>
          <w:rFonts w:ascii="Cambria" w:eastAsia="Times New Roman" w:hAnsi="Cambria" w:cs="Cambria"/>
          <w:b/>
          <w:bCs/>
          <w:sz w:val="22"/>
          <w:szCs w:val="22"/>
        </w:rPr>
        <w:t>HAITI</w:t>
      </w:r>
    </w:p>
    <w:p w14:paraId="710E50C4" w14:textId="77777777" w:rsidR="008668B8" w:rsidRPr="005B477D" w:rsidRDefault="008668B8" w:rsidP="008668B8">
      <w:pPr>
        <w:rPr>
          <w:rFonts w:ascii="Cambria" w:eastAsia="Times New Roman" w:hAnsi="Cambria" w:cs="Arial"/>
          <w:sz w:val="20"/>
          <w:szCs w:val="20"/>
        </w:rPr>
      </w:pPr>
    </w:p>
    <w:p w14:paraId="4D3D6F68"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43/22 (GRANT)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433-22 - M.A.C., Haiti</w:t>
      </w:r>
    </w:p>
    <w:p w14:paraId="48E7BA87"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 xml:space="preserve"> </w:t>
      </w:r>
    </w:p>
    <w:p w14:paraId="7CEBAD66" w14:textId="77777777" w:rsidR="008668B8" w:rsidRPr="005B477D" w:rsidRDefault="008668B8" w:rsidP="008668B8">
      <w:pPr>
        <w:jc w:val="both"/>
        <w:rPr>
          <w:rFonts w:ascii="Cambria" w:eastAsia="Times New Roman" w:hAnsi="Cambria" w:cs="Cambria"/>
          <w:sz w:val="20"/>
          <w:szCs w:val="20"/>
        </w:rPr>
      </w:pPr>
      <w:r w:rsidRPr="31502C94">
        <w:rPr>
          <w:rFonts w:ascii="Cambria" w:eastAsia="Times New Roman" w:hAnsi="Cambria" w:cs="Cambria"/>
          <w:sz w:val="20"/>
          <w:szCs w:val="20"/>
        </w:rPr>
        <w:t>On August 30, 2022, the IACHR decided to grant precautionary measures in favor of M. A. C. According to the request, the beneficiary— who is identified as a defender of women’s human rights in Haiti —is at risk due to threats and harassment against her in the context of her search for justice for acts of sexual violence she allegedly suffered. After analyzing the allegations of fact and law provided by the applicant, the Commission considers that the information presented shows prima facie the existence of a serious and urgent risk of irreparable harm to the life and personal integrity of Ms. M. A. C, in accordance with Article 25 of its Rules of Procedure. Consequently, the Commission requests that Haiti:</w:t>
      </w:r>
    </w:p>
    <w:p w14:paraId="78681285" w14:textId="77777777" w:rsidR="008668B8" w:rsidRPr="005B477D" w:rsidRDefault="008668B8" w:rsidP="008668B8">
      <w:pPr>
        <w:jc w:val="both"/>
        <w:rPr>
          <w:rFonts w:ascii="Cambria" w:eastAsia="Times New Roman" w:hAnsi="Cambria" w:cs="Cambria"/>
          <w:sz w:val="20"/>
          <w:szCs w:val="20"/>
        </w:rPr>
      </w:pPr>
    </w:p>
    <w:p w14:paraId="4B9B6AE2" w14:textId="77777777" w:rsidR="008668B8" w:rsidRPr="005B477D" w:rsidRDefault="008668B8" w:rsidP="00933F91">
      <w:pPr>
        <w:numPr>
          <w:ilvl w:val="0"/>
          <w:numId w:val="27"/>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measures necessary, from a gender-based perspective, to protect the rights to life and personal integrity of M. A. C.;</w:t>
      </w:r>
    </w:p>
    <w:p w14:paraId="24602F9A" w14:textId="77777777" w:rsidR="008668B8" w:rsidRPr="005B477D" w:rsidRDefault="008668B8" w:rsidP="00933F91">
      <w:pPr>
        <w:numPr>
          <w:ilvl w:val="0"/>
          <w:numId w:val="27"/>
        </w:numPr>
        <w:contextualSpacing/>
        <w:jc w:val="both"/>
        <w:rPr>
          <w:rFonts w:ascii="Cambria" w:eastAsia="Times New Roman" w:hAnsi="Cambria" w:cs="Cambria"/>
          <w:sz w:val="20"/>
          <w:szCs w:val="20"/>
        </w:rPr>
      </w:pPr>
      <w:r w:rsidRPr="005B477D">
        <w:rPr>
          <w:rFonts w:ascii="Cambria" w:eastAsia="Times New Roman" w:hAnsi="Cambria" w:cs="Cambria"/>
          <w:sz w:val="20"/>
          <w:szCs w:val="20"/>
        </w:rPr>
        <w:lastRenderedPageBreak/>
        <w:t>Adopt the measures necessary to allow M. A. C. to pursue her activities as a human rights defender without being subjected to acts of intimidation, harassment, threats, or violence in the performance of her work;</w:t>
      </w:r>
    </w:p>
    <w:p w14:paraId="190EF613" w14:textId="77777777" w:rsidR="008668B8" w:rsidRPr="005B477D" w:rsidRDefault="008668B8" w:rsidP="00933F91">
      <w:pPr>
        <w:numPr>
          <w:ilvl w:val="0"/>
          <w:numId w:val="27"/>
        </w:numPr>
        <w:contextualSpacing/>
        <w:jc w:val="both"/>
        <w:rPr>
          <w:rFonts w:ascii="Cambria" w:eastAsia="Times New Roman" w:hAnsi="Cambria" w:cs="Cambria"/>
          <w:sz w:val="20"/>
          <w:szCs w:val="20"/>
        </w:rPr>
      </w:pPr>
      <w:r w:rsidRPr="005B477D">
        <w:rPr>
          <w:rFonts w:ascii="Cambria" w:eastAsia="Times New Roman" w:hAnsi="Cambria" w:cs="Cambria"/>
          <w:sz w:val="20"/>
          <w:szCs w:val="20"/>
        </w:rPr>
        <w:t xml:space="preserve">Consult and agree upon the measures to be adopted with the beneficiary and her representative; and; </w:t>
      </w:r>
    </w:p>
    <w:p w14:paraId="6E02E32F" w14:textId="77777777" w:rsidR="008668B8" w:rsidRPr="005B477D" w:rsidRDefault="008668B8" w:rsidP="00933F91">
      <w:pPr>
        <w:numPr>
          <w:ilvl w:val="0"/>
          <w:numId w:val="27"/>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the actions taken to investigate the alleged acts that led to the adoption of this precautionary measure and thus prevent their recurrence.</w:t>
      </w:r>
    </w:p>
    <w:p w14:paraId="7FD26952" w14:textId="77777777" w:rsidR="008668B8" w:rsidRPr="005B477D" w:rsidRDefault="008668B8" w:rsidP="008668B8">
      <w:pPr>
        <w:jc w:val="both"/>
        <w:rPr>
          <w:rFonts w:ascii="Cambria" w:eastAsia="Times New Roman" w:hAnsi="Cambria" w:cs="Cambria"/>
          <w:b/>
          <w:bCs/>
          <w:sz w:val="20"/>
          <w:szCs w:val="20"/>
        </w:rPr>
      </w:pPr>
    </w:p>
    <w:p w14:paraId="461F7AAE" w14:textId="77777777" w:rsidR="008668B8" w:rsidRPr="005B477D" w:rsidRDefault="008668B8" w:rsidP="008668B8">
      <w:pPr>
        <w:jc w:val="both"/>
        <w:rPr>
          <w:rFonts w:ascii="Cambria" w:eastAsia="Times New Roman" w:hAnsi="Cambria" w:cs="Cambria"/>
          <w:b/>
          <w:bCs/>
          <w:sz w:val="22"/>
          <w:szCs w:val="22"/>
        </w:rPr>
      </w:pPr>
      <w:r w:rsidRPr="005B477D">
        <w:rPr>
          <w:rFonts w:ascii="Cambria" w:eastAsia="Times New Roman" w:hAnsi="Cambria" w:cs="Cambria"/>
          <w:b/>
          <w:bCs/>
          <w:sz w:val="22"/>
          <w:szCs w:val="22"/>
        </w:rPr>
        <w:t>HONDURAS</w:t>
      </w:r>
    </w:p>
    <w:p w14:paraId="40B243D8" w14:textId="77777777" w:rsidR="008668B8" w:rsidRPr="005B477D" w:rsidRDefault="008668B8" w:rsidP="008668B8">
      <w:pPr>
        <w:rPr>
          <w:rFonts w:ascii="Cambria" w:eastAsia="Times New Roman" w:hAnsi="Cambria" w:cs="Arial"/>
          <w:sz w:val="20"/>
          <w:szCs w:val="20"/>
        </w:rPr>
      </w:pPr>
    </w:p>
    <w:p w14:paraId="11E19F1F"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14/22 (LIFT)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72-11 - Leonel Casco Gutiérrez, Honduras</w:t>
      </w:r>
    </w:p>
    <w:p w14:paraId="17A22016" w14:textId="77777777" w:rsidR="008668B8" w:rsidRPr="005B477D" w:rsidRDefault="008668B8" w:rsidP="008668B8">
      <w:pPr>
        <w:jc w:val="both"/>
        <w:rPr>
          <w:rFonts w:ascii="Cambria" w:eastAsia="Times New Roman" w:hAnsi="Cambria" w:cs="Cambria"/>
          <w:sz w:val="20"/>
          <w:szCs w:val="20"/>
        </w:rPr>
      </w:pPr>
    </w:p>
    <w:p w14:paraId="41B5ABD5"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lift these precautionary measures in favor of Lionel Casco Gutiérrez. When making the decision, the Commission assessed the actions taken by the State during implementation as well as the observations made by the representation. Following the State’s request to lift the measures, the IACHR repeatedly asked for observations from the representation, which responded for the last time in 2017 and failed to respond to requests for information in 2018, 2020, and 2022. Upon failing to identify compliance with the procedural requirements, IACHR decided to lift these measures.</w:t>
      </w:r>
    </w:p>
    <w:p w14:paraId="718DDAED" w14:textId="77777777" w:rsidR="008668B8" w:rsidRPr="005B477D" w:rsidRDefault="008668B8" w:rsidP="008668B8">
      <w:pPr>
        <w:rPr>
          <w:rFonts w:ascii="Cambria" w:eastAsia="Times New Roman" w:hAnsi="Cambria" w:cs="Arial"/>
          <w:sz w:val="20"/>
          <w:szCs w:val="20"/>
        </w:rPr>
      </w:pPr>
    </w:p>
    <w:p w14:paraId="6A149A0D"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16/22 (LIFT)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52-16 - María Dolores López Godoy, Nelly Lizeth Martínez Martínez and family, Honduras</w:t>
      </w:r>
    </w:p>
    <w:p w14:paraId="3366CA8D" w14:textId="77777777" w:rsidR="008668B8" w:rsidRPr="005B477D" w:rsidRDefault="008668B8" w:rsidP="008668B8">
      <w:pPr>
        <w:jc w:val="both"/>
        <w:rPr>
          <w:rFonts w:ascii="Cambria" w:eastAsia="Times New Roman" w:hAnsi="Cambria" w:cs="Cambria"/>
          <w:sz w:val="20"/>
          <w:szCs w:val="20"/>
        </w:rPr>
      </w:pPr>
    </w:p>
    <w:p w14:paraId="0975574C"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lift these precautionary measures in favor of María Dolores López Godoy, Nelly Lizeth Martínez Martínez  and family. When making the decision, the Commission assessed the actions taken by the State during implementation. Following the State’s requests to lift the measures, the IACHR repeatedly asked for observations from the representation, which has not submitted information since the precautionary measures were granted. Upon not identifying compliance with the procedural requirements, the IACHR decided to lift these measures.</w:t>
      </w:r>
    </w:p>
    <w:p w14:paraId="75A2AA71" w14:textId="77777777" w:rsidR="008668B8" w:rsidRPr="005B477D" w:rsidRDefault="008668B8" w:rsidP="008668B8">
      <w:pPr>
        <w:jc w:val="both"/>
        <w:rPr>
          <w:rFonts w:ascii="Cambria" w:eastAsia="Times New Roman" w:hAnsi="Cambria" w:cs="Cambria"/>
          <w:sz w:val="20"/>
          <w:szCs w:val="20"/>
        </w:rPr>
      </w:pPr>
    </w:p>
    <w:p w14:paraId="7C7194DA" w14:textId="77777777" w:rsidR="008668B8" w:rsidRPr="005B477D" w:rsidRDefault="008668B8" w:rsidP="008668B8">
      <w:pPr>
        <w:jc w:val="both"/>
        <w:rPr>
          <w:rFonts w:ascii="Cambria" w:eastAsia="Times New Roman" w:hAnsi="Cambria" w:cs="Cambria"/>
          <w:b/>
          <w:bCs/>
          <w:sz w:val="22"/>
          <w:szCs w:val="22"/>
        </w:rPr>
      </w:pPr>
      <w:r w:rsidRPr="005B477D">
        <w:rPr>
          <w:rFonts w:ascii="Cambria" w:eastAsia="Times New Roman" w:hAnsi="Cambria" w:cs="Cambria"/>
          <w:b/>
          <w:bCs/>
          <w:sz w:val="22"/>
          <w:szCs w:val="22"/>
        </w:rPr>
        <w:t xml:space="preserve">JAMAICA </w:t>
      </w:r>
    </w:p>
    <w:p w14:paraId="2C686D4D" w14:textId="77777777" w:rsidR="008668B8" w:rsidRPr="005B477D" w:rsidRDefault="008668B8" w:rsidP="008668B8">
      <w:pPr>
        <w:jc w:val="both"/>
        <w:rPr>
          <w:rFonts w:ascii="Cambria" w:eastAsia="Times New Roman" w:hAnsi="Cambria" w:cs="Cambria"/>
          <w:b/>
          <w:bCs/>
          <w:sz w:val="22"/>
          <w:szCs w:val="22"/>
        </w:rPr>
      </w:pPr>
    </w:p>
    <w:p w14:paraId="3D35F16C" w14:textId="77777777" w:rsidR="008668B8" w:rsidRPr="005B477D" w:rsidRDefault="008668B8" w:rsidP="008668B8">
      <w:pPr>
        <w:jc w:val="both"/>
        <w:rPr>
          <w:rFonts w:ascii="Cambria" w:eastAsia="Times New Roman" w:hAnsi="Cambria" w:cs="Cambria"/>
          <w:bCs/>
          <w:sz w:val="20"/>
          <w:szCs w:val="22"/>
        </w:rPr>
      </w:pPr>
      <w:r w:rsidRPr="005B477D">
        <w:rPr>
          <w:rFonts w:ascii="Cambria" w:eastAsia="Times New Roman" w:hAnsi="Cambria" w:cs="Cambria"/>
          <w:bCs/>
          <w:sz w:val="20"/>
          <w:szCs w:val="22"/>
        </w:rPr>
        <w:t>Resolution No. 65/22 (GRANT)</w:t>
      </w:r>
    </w:p>
    <w:p w14:paraId="597B9CE4" w14:textId="77777777" w:rsidR="008668B8" w:rsidRPr="005B477D" w:rsidRDefault="008668B8" w:rsidP="008668B8">
      <w:pPr>
        <w:jc w:val="both"/>
        <w:rPr>
          <w:rFonts w:ascii="Cambria" w:eastAsia="Times New Roman" w:hAnsi="Cambria" w:cs="Cambria"/>
          <w:bCs/>
          <w:sz w:val="20"/>
          <w:szCs w:val="22"/>
        </w:rPr>
      </w:pPr>
      <w:r w:rsidRPr="005B477D">
        <w:rPr>
          <w:rFonts w:ascii="Cambria" w:eastAsia="Times New Roman" w:hAnsi="Cambria" w:cs="Cambria"/>
          <w:bCs/>
          <w:sz w:val="20"/>
          <w:szCs w:val="22"/>
        </w:rPr>
        <w:t>PM 425-22 – Afro-descendant families from peasant communities in the region of St. Ann, Jamaica</w:t>
      </w:r>
    </w:p>
    <w:p w14:paraId="763EBCCD" w14:textId="77777777" w:rsidR="008668B8" w:rsidRPr="005B477D" w:rsidRDefault="008668B8" w:rsidP="008668B8">
      <w:pPr>
        <w:spacing w:before="192" w:after="192"/>
        <w:ind w:right="144"/>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On November 24, 2022, the IACHR decided to grant precautionary measures in favor of individualized Afro-descendant persons from peasant communities of St. Ann, after considering that they are in a serious and urgent situation that poses a risk of irreparable harm to their rights in Jamaica. According to the request, the proposed beneficiaries are suffering from various health problems as a result of the bauxite mining activities that are taking place in the vicinity of their communities. In this context, they reportedly do not have access to adequate, timely, and specialized medical care to treat their multiple ailments. The applicant also alleged that several of the proposed beneficiaries are subjected to threats, harassment, and intimidation by police officers and third parties because of their critical stance against bauxite mining activities in the area, as well as because of the legal actions taken at the domestic level. Upon analyzing the available information, the Commission considered that compliance with the requirements contained in Article 25 of its Rules of Procedure was sufficiently justified. Therefore, the IACHR requested that Jamaica:</w:t>
      </w:r>
    </w:p>
    <w:p w14:paraId="5FDE0CD7" w14:textId="77777777" w:rsidR="008668B8" w:rsidRPr="005B477D" w:rsidRDefault="008668B8" w:rsidP="00933F91">
      <w:pPr>
        <w:numPr>
          <w:ilvl w:val="0"/>
          <w:numId w:val="48"/>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Take the necessary measures to protect the rights to life, personal integrity, and health of the Afro-descendant persons identified as beneficiaries in the St. Ann region, with a cultural, gender-based, and age-appropriate perspective, including the following: i. carry out the necessary medical diagnoses to define the corresponding medical care; ii. guarantee adequate, timely, and specialized medical care, according to the medical conditions; and iii. guarantee access to contaminant-free water;</w:t>
      </w:r>
    </w:p>
    <w:p w14:paraId="649F846C" w14:textId="77777777" w:rsidR="008668B8" w:rsidRPr="005B477D" w:rsidRDefault="008668B8" w:rsidP="00933F91">
      <w:pPr>
        <w:numPr>
          <w:ilvl w:val="0"/>
          <w:numId w:val="48"/>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lastRenderedPageBreak/>
        <w:t>Adopt the necessary measures to prevent threats, harassment, and other acts of violence against the beneficiaries;</w:t>
      </w:r>
    </w:p>
    <w:p w14:paraId="56A807C9" w14:textId="77777777" w:rsidR="008668B8" w:rsidRPr="005B477D" w:rsidRDefault="008668B8" w:rsidP="00933F91">
      <w:pPr>
        <w:numPr>
          <w:ilvl w:val="0"/>
          <w:numId w:val="48"/>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Consult and agree upon the measures to be adopted with the beneficiaries and their representatives; and</w:t>
      </w:r>
    </w:p>
    <w:p w14:paraId="073FA116" w14:textId="77777777" w:rsidR="008668B8" w:rsidRPr="005B477D" w:rsidRDefault="008668B8" w:rsidP="00933F91">
      <w:pPr>
        <w:numPr>
          <w:ilvl w:val="0"/>
          <w:numId w:val="48"/>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Report on the actions taken to investigate the events that led to the adoption of this precautionary measure, so as to prevent such events from reoccurring.</w:t>
      </w:r>
    </w:p>
    <w:p w14:paraId="2F136E28" w14:textId="77777777" w:rsidR="008668B8" w:rsidRPr="005B477D" w:rsidRDefault="008668B8" w:rsidP="008668B8">
      <w:pPr>
        <w:jc w:val="both"/>
        <w:rPr>
          <w:rFonts w:ascii="Cambria" w:eastAsia="Times New Roman" w:hAnsi="Cambria" w:cs="Cambria"/>
          <w:sz w:val="20"/>
          <w:szCs w:val="22"/>
        </w:rPr>
      </w:pPr>
    </w:p>
    <w:p w14:paraId="1775D1F8" w14:textId="77777777" w:rsidR="008668B8" w:rsidRPr="005B477D" w:rsidRDefault="008668B8" w:rsidP="008668B8">
      <w:pPr>
        <w:jc w:val="both"/>
        <w:rPr>
          <w:rFonts w:ascii="Cambria" w:eastAsia="Times New Roman" w:hAnsi="Cambria" w:cs="Cambria"/>
          <w:b/>
          <w:bCs/>
          <w:sz w:val="22"/>
          <w:szCs w:val="22"/>
          <w:lang w:val="es-CO"/>
        </w:rPr>
      </w:pPr>
      <w:r w:rsidRPr="005B477D">
        <w:rPr>
          <w:rFonts w:ascii="Cambria" w:eastAsia="Times New Roman" w:hAnsi="Cambria" w:cs="Cambria"/>
          <w:b/>
          <w:bCs/>
          <w:sz w:val="22"/>
          <w:szCs w:val="22"/>
          <w:lang w:val="es-CO"/>
        </w:rPr>
        <w:t>MEXICO</w:t>
      </w:r>
    </w:p>
    <w:p w14:paraId="1E04DDFA" w14:textId="77777777" w:rsidR="008668B8" w:rsidRPr="005B477D" w:rsidRDefault="008668B8" w:rsidP="008668B8">
      <w:pPr>
        <w:rPr>
          <w:rFonts w:ascii="Cambria" w:eastAsia="Times New Roman" w:hAnsi="Cambria" w:cs="Arial"/>
          <w:sz w:val="20"/>
          <w:szCs w:val="20"/>
          <w:lang w:val="es-CO"/>
        </w:rPr>
      </w:pPr>
    </w:p>
    <w:p w14:paraId="3BC49337" w14:textId="77777777" w:rsidR="008668B8" w:rsidRPr="005B477D" w:rsidRDefault="008668B8" w:rsidP="008668B8">
      <w:pPr>
        <w:rPr>
          <w:rFonts w:ascii="Cambria" w:eastAsia="Times New Roman" w:hAnsi="Cambria" w:cs="Arial"/>
          <w:sz w:val="20"/>
          <w:szCs w:val="20"/>
          <w:lang w:val="es-CO"/>
        </w:rPr>
      </w:pPr>
      <w:r w:rsidRPr="005B477D">
        <w:rPr>
          <w:rFonts w:ascii="Cambria" w:eastAsia="Times New Roman" w:hAnsi="Cambria" w:cs="Arial"/>
          <w:sz w:val="20"/>
          <w:szCs w:val="20"/>
          <w:lang w:val="es-CO"/>
        </w:rPr>
        <w:t>Resolution No. 3/22 (LIFT)</w:t>
      </w:r>
      <w:r w:rsidRPr="005B477D">
        <w:rPr>
          <w:rFonts w:ascii="Cambria" w:eastAsiaTheme="majorEastAsia" w:hAnsi="Cambria" w:cs="Times New Roman"/>
          <w:sz w:val="20"/>
          <w:szCs w:val="20"/>
          <w:lang w:val="es-CO"/>
        </w:rPr>
        <w:br/>
      </w:r>
      <w:r w:rsidRPr="005B477D">
        <w:rPr>
          <w:rFonts w:ascii="Cambria" w:eastAsia="Times New Roman" w:hAnsi="Cambria" w:cs="Arial"/>
          <w:sz w:val="20"/>
          <w:szCs w:val="20"/>
          <w:lang w:val="es-CO"/>
        </w:rPr>
        <w:t>PM 338-13 - Lorenzo Santos Torres and family, Mexico</w:t>
      </w:r>
    </w:p>
    <w:p w14:paraId="7F50852F" w14:textId="77777777" w:rsidR="008668B8" w:rsidRPr="005B477D" w:rsidRDefault="008668B8" w:rsidP="008668B8">
      <w:pPr>
        <w:jc w:val="both"/>
        <w:rPr>
          <w:rFonts w:ascii="Cambria" w:eastAsia="Times New Roman" w:hAnsi="Cambria" w:cs="Cambria"/>
          <w:sz w:val="20"/>
          <w:szCs w:val="20"/>
          <w:lang w:val="es-CO"/>
        </w:rPr>
      </w:pPr>
    </w:p>
    <w:p w14:paraId="4F1264F8"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lift these precautionary measures in favor of Lorenzo Santos Torres and his family in Mexico. When making the decision, the Commission assessed the measures implemented by the State while the precautionary measures were in force as well as the observations made by the representation. Following the State’s repeated requests that the measures be lifted, the IACHR sought observations from the representation. The representation did not respond. Its final communication was in August 2021. After evaluating the significant change in the factual circumstances and the measures adopted by the State, the IACHR decided to lift these measures, under the terms of Article 25 of its Rules of Procedure.</w:t>
      </w:r>
    </w:p>
    <w:p w14:paraId="0FB8528B" w14:textId="77777777" w:rsidR="008668B8" w:rsidRPr="005B477D" w:rsidRDefault="008668B8" w:rsidP="008668B8">
      <w:pPr>
        <w:jc w:val="both"/>
        <w:rPr>
          <w:rFonts w:ascii="Cambria" w:eastAsia="Times New Roman" w:hAnsi="Cambria" w:cs="Cambria"/>
          <w:b/>
          <w:bCs/>
          <w:sz w:val="20"/>
          <w:szCs w:val="20"/>
        </w:rPr>
      </w:pPr>
    </w:p>
    <w:p w14:paraId="2D4346CF" w14:textId="77777777" w:rsidR="008668B8" w:rsidRPr="005B477D" w:rsidRDefault="008668B8" w:rsidP="008668B8">
      <w:pPr>
        <w:rPr>
          <w:rFonts w:ascii="Cambria" w:eastAsia="Times New Roman" w:hAnsi="Cambria" w:cs="Arial"/>
          <w:sz w:val="20"/>
          <w:szCs w:val="20"/>
          <w:lang w:val="es-ES_tradnl"/>
        </w:rPr>
      </w:pPr>
      <w:r w:rsidRPr="005B477D">
        <w:rPr>
          <w:rFonts w:ascii="Cambria" w:eastAsia="Times New Roman" w:hAnsi="Cambria" w:cs="Arial"/>
          <w:sz w:val="20"/>
          <w:szCs w:val="20"/>
          <w:lang w:val="es-ES_tradnl"/>
        </w:rPr>
        <w:t>Resolution No. 18/22 (LIFT)</w:t>
      </w:r>
      <w:r w:rsidRPr="005B477D">
        <w:rPr>
          <w:rFonts w:ascii="Cambria" w:eastAsiaTheme="majorEastAsia" w:hAnsi="Cambria" w:cs="Times New Roman"/>
          <w:sz w:val="20"/>
          <w:szCs w:val="20"/>
          <w:lang w:val="es-ES_tradnl"/>
        </w:rPr>
        <w:br/>
      </w:r>
      <w:r w:rsidRPr="005B477D">
        <w:rPr>
          <w:rFonts w:ascii="Cambria" w:eastAsia="Times New Roman" w:hAnsi="Cambria" w:cs="Arial"/>
          <w:sz w:val="20"/>
          <w:szCs w:val="20"/>
          <w:lang w:val="es-ES_tradnl"/>
        </w:rPr>
        <w:t>PM 21-11 - Blanca Velázquez Díaz et al., Mexico</w:t>
      </w:r>
    </w:p>
    <w:p w14:paraId="09004267" w14:textId="77777777" w:rsidR="008668B8" w:rsidRPr="005B477D" w:rsidRDefault="008668B8" w:rsidP="008668B8">
      <w:pPr>
        <w:jc w:val="both"/>
        <w:rPr>
          <w:rFonts w:ascii="Cambria" w:eastAsia="Times New Roman" w:hAnsi="Cambria" w:cs="Cambria"/>
          <w:sz w:val="20"/>
          <w:szCs w:val="20"/>
          <w:lang w:val="es-ES_tradnl"/>
        </w:rPr>
      </w:pPr>
    </w:p>
    <w:p w14:paraId="6A001CAB"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lift these precautionary measures in favor of Blanca Velázquez Díaz et al. in Mexico. When making the decision, the Commission assessed the actions taken by the State during implementation as well as the observations made by the representation. Following the State’s request that the measures be lifted, the IACHR repeatedly asked for observations from the representation, which responded for the last time in 2015. To date, no response has been received from communications in 2017, 2019, and 2022.  Not identifying compliance with the procedural regulations, the IACHR decided to lift these measures. The IACHR also acknowledged that, according to public information, Ms. Blanca Velázquez Díaz died of cancer in 2021.</w:t>
      </w:r>
    </w:p>
    <w:p w14:paraId="2158AF41" w14:textId="77777777" w:rsidR="008668B8" w:rsidRPr="005B477D" w:rsidRDefault="008668B8" w:rsidP="008668B8">
      <w:pPr>
        <w:jc w:val="both"/>
        <w:rPr>
          <w:rFonts w:ascii="Cambria" w:eastAsia="Times New Roman" w:hAnsi="Cambria" w:cs="Cambria"/>
          <w:sz w:val="20"/>
          <w:szCs w:val="20"/>
        </w:rPr>
      </w:pPr>
    </w:p>
    <w:p w14:paraId="62481000" w14:textId="77777777" w:rsidR="008668B8" w:rsidRPr="005B477D" w:rsidRDefault="008668B8" w:rsidP="008668B8">
      <w:pPr>
        <w:rPr>
          <w:rFonts w:ascii="Cambria" w:eastAsia="Times New Roman" w:hAnsi="Cambria" w:cs="Arial"/>
          <w:sz w:val="20"/>
          <w:szCs w:val="20"/>
          <w:lang w:val="es-CO"/>
        </w:rPr>
      </w:pPr>
      <w:r w:rsidRPr="005B477D">
        <w:rPr>
          <w:rFonts w:ascii="Cambria" w:eastAsia="Times New Roman" w:hAnsi="Cambria" w:cs="Arial"/>
          <w:sz w:val="20"/>
          <w:szCs w:val="20"/>
          <w:lang w:val="es-CO"/>
        </w:rPr>
        <w:t>Resolution No. 19/22 (LIFT)</w:t>
      </w:r>
      <w:r w:rsidRPr="005B477D">
        <w:rPr>
          <w:rFonts w:ascii="Cambria" w:eastAsiaTheme="majorEastAsia" w:hAnsi="Cambria" w:cs="Times New Roman"/>
          <w:sz w:val="20"/>
          <w:szCs w:val="20"/>
          <w:lang w:val="es-CO"/>
        </w:rPr>
        <w:br/>
      </w:r>
      <w:r w:rsidRPr="005B477D">
        <w:rPr>
          <w:rFonts w:ascii="Cambria" w:eastAsia="Times New Roman" w:hAnsi="Cambria" w:cs="Arial"/>
          <w:sz w:val="20"/>
          <w:szCs w:val="20"/>
          <w:lang w:val="es-CO"/>
        </w:rPr>
        <w:t>PM 364-17 - G. Y. G. R., Mexico</w:t>
      </w:r>
    </w:p>
    <w:p w14:paraId="019AC378" w14:textId="77777777" w:rsidR="008668B8" w:rsidRPr="005B477D" w:rsidRDefault="008668B8" w:rsidP="008668B8">
      <w:pPr>
        <w:jc w:val="both"/>
        <w:rPr>
          <w:rFonts w:ascii="Cambria" w:eastAsia="Times New Roman" w:hAnsi="Cambria" w:cs="Cambria"/>
          <w:sz w:val="20"/>
          <w:szCs w:val="20"/>
          <w:lang w:val="es-CO"/>
        </w:rPr>
      </w:pPr>
    </w:p>
    <w:p w14:paraId="2949828D"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lift these precautionary measures in favor of the adolescent G. Y. G. R. in Mexico. When making the decision, the Commission assessed the change in circumstances as well as the measures adopted by the State during implementation, determining that Mr. González is the father of G. Y. G. R., and in 2011 lifted the precautionary measures that impeded their relationship. Similarly, it was observed that the process toward rebuilding the relationship continues to progress with the aid of specialists and the assessments of judicial authorities. Upon not identifying compliance with the procedural requirements, the IACHR decided to lift these measures.</w:t>
      </w:r>
    </w:p>
    <w:p w14:paraId="0422184B" w14:textId="77777777" w:rsidR="008668B8" w:rsidRPr="005B477D" w:rsidRDefault="008668B8" w:rsidP="008668B8">
      <w:pPr>
        <w:jc w:val="both"/>
        <w:rPr>
          <w:rFonts w:ascii="Cambria" w:eastAsia="Times New Roman" w:hAnsi="Cambria" w:cs="Cambria"/>
          <w:sz w:val="20"/>
          <w:szCs w:val="20"/>
        </w:rPr>
      </w:pPr>
    </w:p>
    <w:p w14:paraId="2B0AB5A6"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35/22 (LIFT)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134-07 - Alba Gabriela Cruz Ramos, Mexico</w:t>
      </w:r>
    </w:p>
    <w:p w14:paraId="54E76C92" w14:textId="77777777" w:rsidR="008668B8" w:rsidRPr="005B477D" w:rsidRDefault="008668B8" w:rsidP="008668B8">
      <w:pPr>
        <w:rPr>
          <w:rFonts w:eastAsia="Times New Roman" w:cs="Arial"/>
        </w:rPr>
      </w:pPr>
    </w:p>
    <w:p w14:paraId="4D3CF544"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lift these precautionary measures in favor of Alba Gabriela Cruz Ramos in Mexico. When making the decision, the Commission assessed the actions taken by the State during implementation and the repeated request to lift the measures as well as the lack of information from the beneficiary. Upon not identifying compliance with the procedural regulations, the IACHR decided to lift these measures.</w:t>
      </w:r>
    </w:p>
    <w:p w14:paraId="369A1A27" w14:textId="77777777" w:rsidR="008668B8" w:rsidRPr="005B477D" w:rsidRDefault="008668B8" w:rsidP="008668B8">
      <w:pPr>
        <w:rPr>
          <w:rFonts w:ascii="Cambria" w:eastAsia="Times New Roman" w:hAnsi="Cambria" w:cs="Cambria"/>
          <w:sz w:val="20"/>
          <w:szCs w:val="20"/>
        </w:rPr>
      </w:pPr>
    </w:p>
    <w:p w14:paraId="50EA2BF3" w14:textId="77777777" w:rsidR="008668B8" w:rsidRPr="005B477D" w:rsidRDefault="008668B8" w:rsidP="008668B8">
      <w:pPr>
        <w:rPr>
          <w:rFonts w:ascii="Cambria" w:eastAsia="Times New Roman" w:hAnsi="Cambria" w:cs="Cambria"/>
          <w:sz w:val="20"/>
          <w:szCs w:val="20"/>
        </w:rPr>
      </w:pPr>
      <w:r w:rsidRPr="005B477D">
        <w:rPr>
          <w:rFonts w:ascii="Cambria" w:eastAsia="Times New Roman" w:hAnsi="Cambria" w:cs="Cambria"/>
          <w:sz w:val="20"/>
          <w:szCs w:val="20"/>
        </w:rPr>
        <w:t>Resolution No. 63/22 (LIFT)</w:t>
      </w:r>
    </w:p>
    <w:p w14:paraId="42A4E4B1" w14:textId="77777777" w:rsidR="008668B8" w:rsidRPr="005B477D" w:rsidRDefault="008668B8" w:rsidP="008668B8">
      <w:pPr>
        <w:rPr>
          <w:rFonts w:ascii="Cambria" w:eastAsia="Times New Roman" w:hAnsi="Cambria" w:cs="Cambria"/>
          <w:sz w:val="20"/>
          <w:szCs w:val="20"/>
        </w:rPr>
      </w:pPr>
      <w:r w:rsidRPr="005B477D">
        <w:rPr>
          <w:rFonts w:ascii="Cambria" w:eastAsia="Times New Roman" w:hAnsi="Cambria" w:cs="Cambria"/>
          <w:sz w:val="20"/>
          <w:szCs w:val="20"/>
        </w:rPr>
        <w:t>PM 1014-17 – Indigenous girl U.V.O. and family, Mexico</w:t>
      </w:r>
    </w:p>
    <w:p w14:paraId="4AE624DB" w14:textId="77777777" w:rsidR="008668B8" w:rsidRPr="005B477D" w:rsidRDefault="008668B8" w:rsidP="008668B8">
      <w:pPr>
        <w:rPr>
          <w:rFonts w:ascii="Cambria" w:eastAsia="Times New Roman" w:hAnsi="Cambria" w:cs="Cambria"/>
          <w:sz w:val="20"/>
          <w:szCs w:val="20"/>
        </w:rPr>
      </w:pPr>
    </w:p>
    <w:p w14:paraId="7A20B521" w14:textId="77777777" w:rsidR="008668B8" w:rsidRPr="005B477D" w:rsidRDefault="008668B8" w:rsidP="008668B8">
      <w:pPr>
        <w:jc w:val="both"/>
        <w:rPr>
          <w:rFonts w:ascii="Cambria" w:eastAsia="Times New Roman" w:hAnsi="Cambria" w:cs="Arial"/>
          <w:sz w:val="20"/>
          <w:szCs w:val="20"/>
        </w:rPr>
      </w:pPr>
      <w:r w:rsidRPr="005B477D">
        <w:rPr>
          <w:rFonts w:ascii="Cambria" w:eastAsia="Times New Roman" w:hAnsi="Cambria" w:cs="Arial"/>
          <w:sz w:val="20"/>
          <w:szCs w:val="20"/>
        </w:rPr>
        <w:t>The Inter-American Commission on Human Rights (IACHR) decides to lift these precautionary measures in favor of the indigenous girl U. V. O. and her family, in Mexico. At the time of making the decision, the Commission assessed the actions taken by the State during the implementation, as well as the lack of updated information from representatives. Upon not identifying compliance with the procedural requirements and considering the State’s request to lift the precautionary measures, the IACHR decided to lift them.</w:t>
      </w:r>
    </w:p>
    <w:p w14:paraId="53D1AF71" w14:textId="77777777" w:rsidR="008668B8" w:rsidRPr="005B477D" w:rsidRDefault="008668B8" w:rsidP="008668B8">
      <w:pPr>
        <w:jc w:val="both"/>
        <w:rPr>
          <w:rFonts w:ascii="Cambria" w:eastAsia="Times New Roman" w:hAnsi="Cambria" w:cs="Arial"/>
          <w:sz w:val="20"/>
          <w:szCs w:val="20"/>
        </w:rPr>
      </w:pPr>
    </w:p>
    <w:p w14:paraId="2E447704" w14:textId="77777777" w:rsidR="008668B8" w:rsidRPr="005B477D" w:rsidRDefault="008668B8" w:rsidP="008668B8">
      <w:pPr>
        <w:jc w:val="both"/>
        <w:rPr>
          <w:rFonts w:ascii="Cambria" w:eastAsia="Times New Roman" w:hAnsi="Cambria" w:cs="Arial"/>
          <w:sz w:val="20"/>
          <w:szCs w:val="20"/>
        </w:rPr>
      </w:pPr>
      <w:r w:rsidRPr="005B477D">
        <w:rPr>
          <w:rFonts w:ascii="Cambria" w:eastAsia="Times New Roman" w:hAnsi="Cambria" w:cs="Arial"/>
          <w:sz w:val="20"/>
          <w:szCs w:val="20"/>
        </w:rPr>
        <w:t>Resolution No. 66/22 (LIFT)</w:t>
      </w:r>
    </w:p>
    <w:p w14:paraId="13969CB0" w14:textId="77777777" w:rsidR="008668B8" w:rsidRPr="005B477D" w:rsidRDefault="008668B8" w:rsidP="008668B8">
      <w:pPr>
        <w:jc w:val="both"/>
        <w:rPr>
          <w:rFonts w:ascii="Cambria" w:eastAsia="Times New Roman" w:hAnsi="Cambria" w:cs="Arial"/>
          <w:sz w:val="20"/>
          <w:szCs w:val="20"/>
        </w:rPr>
      </w:pPr>
      <w:r w:rsidRPr="005B477D">
        <w:rPr>
          <w:rFonts w:ascii="Cambria" w:eastAsia="Times New Roman" w:hAnsi="Cambria" w:cs="Arial"/>
          <w:sz w:val="20"/>
          <w:szCs w:val="20"/>
        </w:rPr>
        <w:t>PM 197-10 – 135 inhabitants of San Juan Copala regarding Mexico, Mexico</w:t>
      </w:r>
    </w:p>
    <w:p w14:paraId="1405C350" w14:textId="77777777" w:rsidR="008668B8" w:rsidRPr="005B477D" w:rsidRDefault="008668B8" w:rsidP="008668B8">
      <w:pPr>
        <w:jc w:val="both"/>
        <w:rPr>
          <w:rFonts w:ascii="Cambria" w:eastAsia="Times New Roman" w:hAnsi="Cambria" w:cs="Arial"/>
          <w:sz w:val="20"/>
          <w:szCs w:val="20"/>
        </w:rPr>
      </w:pPr>
    </w:p>
    <w:p w14:paraId="3C229075" w14:textId="77777777" w:rsidR="008668B8" w:rsidRPr="005B477D" w:rsidRDefault="008668B8" w:rsidP="008668B8">
      <w:pPr>
        <w:jc w:val="both"/>
        <w:rPr>
          <w:rFonts w:ascii="Cambria" w:eastAsia="Times New Roman" w:hAnsi="Cambria" w:cs="Arial"/>
          <w:sz w:val="20"/>
          <w:szCs w:val="20"/>
        </w:rPr>
      </w:pPr>
      <w:r w:rsidRPr="005B477D">
        <w:rPr>
          <w:rFonts w:ascii="Cambria" w:eastAsia="Times New Roman" w:hAnsi="Cambria" w:cs="Arial"/>
          <w:sz w:val="20"/>
          <w:szCs w:val="20"/>
        </w:rPr>
        <w:t>The Inter-American Commission on Human Rights (IACHR) decides to lift these precautionary measures in favor of 135 inhabitants of San Juan Copala in Mexico. At the time of making the decision, the Commission assessed the actions taken by the State during the implementation, the observations of the representatives, and the fact that the initial situation presenting a risk no longer exists. Following the requests made by the State to have the measures lifted and the information provided by the representatives, including the agreement of one party, the IACHR decided to lift these measures.</w:t>
      </w:r>
    </w:p>
    <w:p w14:paraId="150C9B6B" w14:textId="77777777" w:rsidR="008668B8" w:rsidRPr="005B477D" w:rsidRDefault="008668B8" w:rsidP="008668B8">
      <w:pPr>
        <w:jc w:val="both"/>
        <w:rPr>
          <w:rFonts w:ascii="Cambria" w:eastAsia="Times New Roman" w:hAnsi="Cambria" w:cs="Arial"/>
          <w:sz w:val="20"/>
          <w:szCs w:val="20"/>
        </w:rPr>
      </w:pPr>
    </w:p>
    <w:p w14:paraId="1FB31337" w14:textId="77777777" w:rsidR="008668B8" w:rsidRPr="005B477D" w:rsidRDefault="008668B8" w:rsidP="008668B8">
      <w:pPr>
        <w:jc w:val="both"/>
        <w:rPr>
          <w:rFonts w:ascii="Cambria" w:eastAsia="Times New Roman" w:hAnsi="Cambria" w:cs="Arial"/>
          <w:sz w:val="20"/>
          <w:szCs w:val="20"/>
          <w:lang w:val="es-AR"/>
        </w:rPr>
      </w:pPr>
      <w:r w:rsidRPr="005B477D">
        <w:rPr>
          <w:rFonts w:ascii="Cambria" w:eastAsia="Times New Roman" w:hAnsi="Cambria" w:cs="Arial"/>
          <w:sz w:val="20"/>
          <w:szCs w:val="20"/>
          <w:lang w:val="es-AR"/>
        </w:rPr>
        <w:t>Resolution No. 69/22 (LIFT)</w:t>
      </w:r>
    </w:p>
    <w:p w14:paraId="33F4F96D" w14:textId="77777777" w:rsidR="008668B8" w:rsidRPr="005B477D" w:rsidRDefault="008668B8" w:rsidP="008668B8">
      <w:pPr>
        <w:jc w:val="both"/>
        <w:rPr>
          <w:rFonts w:ascii="Cambria" w:eastAsia="Times New Roman" w:hAnsi="Cambria" w:cs="Arial"/>
          <w:sz w:val="20"/>
          <w:szCs w:val="20"/>
          <w:lang w:val="es-AR"/>
        </w:rPr>
      </w:pPr>
      <w:r w:rsidRPr="005B477D">
        <w:rPr>
          <w:rFonts w:ascii="Cambria" w:eastAsia="Times New Roman" w:hAnsi="Cambria" w:cs="Arial"/>
          <w:sz w:val="20"/>
          <w:szCs w:val="20"/>
          <w:lang w:val="es-AR"/>
        </w:rPr>
        <w:t>PM 452-13 – Lauro Baumea Mora et al., Mexico</w:t>
      </w:r>
    </w:p>
    <w:p w14:paraId="58119945" w14:textId="77777777" w:rsidR="008668B8" w:rsidRPr="005B477D" w:rsidRDefault="008668B8" w:rsidP="008668B8">
      <w:pPr>
        <w:spacing w:before="192" w:after="192"/>
        <w:ind w:right="144"/>
        <w:jc w:val="both"/>
        <w:rPr>
          <w:rFonts w:ascii="Cambria" w:eastAsia="Times New Roman" w:hAnsi="Cambria" w:cs="Tahoma"/>
          <w:sz w:val="20"/>
          <w:szCs w:val="20"/>
          <w:lang w:eastAsia="es-AR"/>
        </w:rPr>
      </w:pPr>
      <w:r w:rsidRPr="005B477D">
        <w:rPr>
          <w:rFonts w:ascii="Cambria" w:eastAsia="Times New Roman" w:hAnsi="Cambria" w:cs="Tahoma"/>
          <w:sz w:val="20"/>
          <w:szCs w:val="20"/>
          <w:lang w:val="es-AR" w:eastAsia="es-AR"/>
        </w:rPr>
        <w:t xml:space="preserve">The Inter-American Commission on Human Rights (IACHR) decides to partially lift these precautionary measures granted in favor of (1) Lauro Baumea Mora, (2) Miguel Ángel Cota Tórtola, (3) Aurelia Butimenia, (4) Librado Valenzuela Valencia, (5) Esteban Cecilio Valenzuela Buitimea, (6) Arturo Matas Gonzáles, (7) Gilberto Gálvez Palma, and (8) Gregorio Valdez Molina, members of the Yaqui People. </w:t>
      </w:r>
      <w:r w:rsidRPr="005B477D">
        <w:rPr>
          <w:rFonts w:ascii="Cambria" w:eastAsia="Times New Roman" w:hAnsi="Cambria" w:cs="Tahoma"/>
          <w:sz w:val="20"/>
          <w:szCs w:val="20"/>
          <w:lang w:eastAsia="es-AR"/>
        </w:rPr>
        <w:t>At the time of making the decision, the Commission assessed the actions taken by the State during the implementation, as well as the absence of recent threatening events, along with the will of Ms. Aurelia Buitimea. Upon not identifying compliance with the procedural requirements regarding these persons, the IACHR decided to lift the instant measures.</w:t>
      </w:r>
    </w:p>
    <w:p w14:paraId="3631E1A1" w14:textId="77777777" w:rsidR="008668B8" w:rsidRPr="005B477D" w:rsidRDefault="008668B8" w:rsidP="008668B8">
      <w:pPr>
        <w:spacing w:before="192" w:after="192"/>
        <w:ind w:right="144"/>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On the other hand, the IACHR decided to maintain the precautionary measures in favor of Mario Luna and his family. Consequently, the Commission requested as follows:</w:t>
      </w:r>
    </w:p>
    <w:p w14:paraId="32A9B71B" w14:textId="77777777" w:rsidR="008668B8" w:rsidRPr="005B477D" w:rsidRDefault="008668B8" w:rsidP="00933F91">
      <w:pPr>
        <w:numPr>
          <w:ilvl w:val="0"/>
          <w:numId w:val="51"/>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to the representatives, to present updated information on the risk faced by Mr. Mario Luna and his family;</w:t>
      </w:r>
    </w:p>
    <w:p w14:paraId="33E24394" w14:textId="77777777" w:rsidR="008668B8" w:rsidRPr="005B477D" w:rsidRDefault="008668B8" w:rsidP="00933F91">
      <w:pPr>
        <w:numPr>
          <w:ilvl w:val="0"/>
          <w:numId w:val="51"/>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to the State, to carry out an updated risk assessment and adopt the appropriate and effective protection measures determined by its authorities in the matter;</w:t>
      </w:r>
    </w:p>
    <w:p w14:paraId="0A474429" w14:textId="77777777" w:rsidR="008668B8" w:rsidRPr="005B477D" w:rsidRDefault="008668B8" w:rsidP="00933F91">
      <w:pPr>
        <w:numPr>
          <w:ilvl w:val="0"/>
          <w:numId w:val="51"/>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to both parties, to collaborate in the concerted actions that may be necessary for the proper implementation of the precautionary measures.</w:t>
      </w:r>
    </w:p>
    <w:p w14:paraId="6B0E7FA1" w14:textId="77777777" w:rsidR="008668B8" w:rsidRPr="005B477D" w:rsidRDefault="008668B8" w:rsidP="008668B8">
      <w:pPr>
        <w:ind w:left="720"/>
        <w:jc w:val="both"/>
        <w:rPr>
          <w:rFonts w:ascii="Cambria" w:eastAsia="Times New Roman" w:hAnsi="Cambria" w:cs="Tahoma"/>
          <w:sz w:val="20"/>
          <w:szCs w:val="20"/>
          <w:lang w:eastAsia="es-AR"/>
        </w:rPr>
      </w:pPr>
    </w:p>
    <w:p w14:paraId="2643402C" w14:textId="77777777" w:rsidR="008668B8" w:rsidRPr="005B477D" w:rsidRDefault="008668B8" w:rsidP="008668B8">
      <w:pPr>
        <w:rPr>
          <w:rFonts w:ascii="Cambria" w:eastAsia="Times New Roman" w:hAnsi="Cambria" w:cs="Arial"/>
          <w:sz w:val="20"/>
        </w:rPr>
      </w:pPr>
      <w:r w:rsidRPr="005B477D">
        <w:rPr>
          <w:rFonts w:ascii="Cambria" w:eastAsia="Times New Roman" w:hAnsi="Cambria" w:cs="Arial"/>
          <w:sz w:val="20"/>
        </w:rPr>
        <w:t>Upon receiving the information from the parties and having forwarded the corresponding information, the Commission will analyze whether the beneficiaries’ situation persists.</w:t>
      </w:r>
    </w:p>
    <w:p w14:paraId="7D01950C" w14:textId="77777777" w:rsidR="008668B8" w:rsidRPr="005B477D" w:rsidRDefault="008668B8" w:rsidP="008668B8">
      <w:pPr>
        <w:rPr>
          <w:rFonts w:ascii="Cambria" w:eastAsia="Times New Roman" w:hAnsi="Cambria" w:cs="Arial"/>
          <w:sz w:val="20"/>
        </w:rPr>
      </w:pPr>
    </w:p>
    <w:p w14:paraId="40BFEEFC" w14:textId="77777777" w:rsidR="008668B8" w:rsidRPr="005B477D" w:rsidRDefault="008668B8" w:rsidP="008668B8">
      <w:pPr>
        <w:rPr>
          <w:rFonts w:ascii="Cambria" w:eastAsia="Times New Roman" w:hAnsi="Cambria" w:cs="Cambria"/>
          <w:sz w:val="20"/>
          <w:szCs w:val="20"/>
          <w:lang w:val="es-AR"/>
        </w:rPr>
      </w:pPr>
      <w:r w:rsidRPr="005B477D">
        <w:rPr>
          <w:rFonts w:ascii="Cambria" w:eastAsia="Times New Roman" w:hAnsi="Cambria" w:cs="Cambria"/>
          <w:sz w:val="20"/>
          <w:szCs w:val="20"/>
          <w:lang w:val="es-AR"/>
        </w:rPr>
        <w:t>Resolution No. 72/22 (GRANT)</w:t>
      </w:r>
    </w:p>
    <w:p w14:paraId="1E401CAE" w14:textId="77777777" w:rsidR="008668B8" w:rsidRPr="005B477D" w:rsidRDefault="008668B8" w:rsidP="008668B8">
      <w:pPr>
        <w:rPr>
          <w:rFonts w:ascii="Cambria" w:eastAsia="Times New Roman" w:hAnsi="Cambria" w:cs="Cambria"/>
          <w:sz w:val="20"/>
          <w:szCs w:val="20"/>
          <w:lang w:val="es-AR"/>
        </w:rPr>
      </w:pPr>
      <w:r w:rsidRPr="005B477D">
        <w:rPr>
          <w:rFonts w:ascii="Cambria" w:eastAsia="Times New Roman" w:hAnsi="Cambria" w:cs="Cambria"/>
          <w:sz w:val="20"/>
          <w:szCs w:val="20"/>
          <w:lang w:val="es-AR"/>
        </w:rPr>
        <w:t>PM 603-22 – Girl K.L.R., Mexico, Mexico</w:t>
      </w:r>
    </w:p>
    <w:p w14:paraId="1C98FE9A" w14:textId="77777777" w:rsidR="008668B8" w:rsidRPr="005B477D" w:rsidRDefault="008668B8" w:rsidP="008668B8">
      <w:pPr>
        <w:rPr>
          <w:rFonts w:ascii="Cambria" w:eastAsia="Times New Roman" w:hAnsi="Cambria" w:cs="Cambria"/>
          <w:sz w:val="20"/>
          <w:szCs w:val="20"/>
          <w:lang w:val="es-AR"/>
        </w:rPr>
      </w:pPr>
    </w:p>
    <w:p w14:paraId="346C270C" w14:textId="77777777" w:rsidR="008668B8" w:rsidRPr="005B477D" w:rsidRDefault="008668B8" w:rsidP="008668B8">
      <w:pPr>
        <w:rPr>
          <w:rFonts w:ascii="Cambria" w:eastAsia="Times New Roman" w:hAnsi="Cambria" w:cs="Arial"/>
          <w:sz w:val="20"/>
          <w:szCs w:val="20"/>
        </w:rPr>
      </w:pPr>
      <w:r w:rsidRPr="31502C94">
        <w:rPr>
          <w:rFonts w:ascii="Cambria" w:eastAsia="Times New Roman" w:hAnsi="Cambria" w:cs="Arial"/>
          <w:sz w:val="20"/>
          <w:szCs w:val="20"/>
        </w:rPr>
        <w:t xml:space="preserve">On December 19, 2022, the IACHR decided to grant precautionary measures in favor of K.L.R., in Mexico. The request indicates that girl K.L.R. has been unaccounted for since she was abducted by her father on February 8, 2020. The disappearance of the girl has been reported to the competent judicial bodies. However, as of today, it was alleged that the authorities have not promoted suitable and effective actions to locate her and have not legally defined custody and the visiting arrangement by her parents. Finally, it was alleged that the </w:t>
      </w:r>
      <w:r w:rsidRPr="31502C94">
        <w:rPr>
          <w:rFonts w:ascii="Cambria" w:eastAsia="Times New Roman" w:hAnsi="Cambria" w:cs="Arial"/>
          <w:sz w:val="20"/>
          <w:szCs w:val="20"/>
        </w:rPr>
        <w:lastRenderedPageBreak/>
        <w:t>mother has no contact with her daughter. Pursuant to Article 25 of its Rules of Procedure, the IACHR decided to grant the precautionary measure and requested that the State of Mexico immediately adopt the necessary, appropriate, and effective measures to protect the rights to protection of the family, identity, and personal integrity of the child K.L.R., determining her whereabouts and safeguarding, in accordance with her best interests, her ties with her mother, in accordance with the applicable international standards on the matter.</w:t>
      </w:r>
    </w:p>
    <w:p w14:paraId="3422CDAE" w14:textId="77777777" w:rsidR="008668B8" w:rsidRDefault="008668B8" w:rsidP="008668B8">
      <w:pPr>
        <w:rPr>
          <w:rFonts w:ascii="Cambria" w:eastAsia="Times New Roman" w:hAnsi="Cambria" w:cs="Arial"/>
          <w:sz w:val="20"/>
          <w:szCs w:val="20"/>
        </w:rPr>
      </w:pPr>
    </w:p>
    <w:p w14:paraId="36394947" w14:textId="77777777" w:rsidR="008668B8" w:rsidRPr="00303107" w:rsidRDefault="008668B8" w:rsidP="008668B8">
      <w:pPr>
        <w:rPr>
          <w:rFonts w:ascii="Cambria" w:eastAsia="Times New Roman" w:hAnsi="Cambria" w:cs="Arial"/>
          <w:sz w:val="20"/>
          <w:szCs w:val="20"/>
          <w:lang w:val="es-AR"/>
        </w:rPr>
      </w:pPr>
      <w:r w:rsidRPr="00303107">
        <w:rPr>
          <w:rFonts w:ascii="Cambria" w:eastAsia="Times New Roman" w:hAnsi="Cambria" w:cs="Arial"/>
          <w:sz w:val="20"/>
          <w:szCs w:val="20"/>
          <w:lang w:val="es-AR"/>
        </w:rPr>
        <w:t>Resolution No. 80/22 (LIFT)</w:t>
      </w:r>
    </w:p>
    <w:p w14:paraId="4EBD040E" w14:textId="77777777" w:rsidR="008668B8" w:rsidRPr="00303107" w:rsidRDefault="008668B8" w:rsidP="008668B8">
      <w:pPr>
        <w:rPr>
          <w:rFonts w:ascii="Cambria" w:eastAsia="Times New Roman" w:hAnsi="Cambria" w:cs="Arial"/>
          <w:sz w:val="20"/>
          <w:szCs w:val="20"/>
          <w:lang w:val="es-AR"/>
        </w:rPr>
      </w:pPr>
      <w:r w:rsidRPr="00303107">
        <w:rPr>
          <w:rFonts w:ascii="Cambria" w:eastAsia="Times New Roman" w:hAnsi="Cambria" w:cs="Arial"/>
          <w:sz w:val="20"/>
          <w:szCs w:val="20"/>
          <w:lang w:val="es-AR"/>
        </w:rPr>
        <w:t xml:space="preserve">PM 29-16 - Margarita Marín Yan </w:t>
      </w:r>
      <w:r w:rsidRPr="00303107">
        <w:rPr>
          <w:rFonts w:ascii="Cambria" w:eastAsia="Times New Roman" w:hAnsi="Cambria" w:cs="Arial"/>
          <w:i/>
          <w:iCs/>
          <w:sz w:val="20"/>
          <w:szCs w:val="20"/>
          <w:lang w:val="es-AR"/>
        </w:rPr>
        <w:t>et al</w:t>
      </w:r>
      <w:r w:rsidRPr="00303107">
        <w:rPr>
          <w:rFonts w:ascii="Cambria" w:eastAsia="Times New Roman" w:hAnsi="Cambria" w:cs="Arial"/>
          <w:sz w:val="20"/>
          <w:szCs w:val="20"/>
          <w:lang w:val="es-AR"/>
        </w:rPr>
        <w:t>., Mexico</w:t>
      </w:r>
    </w:p>
    <w:p w14:paraId="44517011" w14:textId="77777777" w:rsidR="008668B8" w:rsidRPr="00303107" w:rsidRDefault="008668B8" w:rsidP="008668B8">
      <w:pPr>
        <w:rPr>
          <w:rFonts w:ascii="Cambria" w:eastAsia="Times New Roman" w:hAnsi="Cambria" w:cs="Arial"/>
          <w:sz w:val="20"/>
          <w:szCs w:val="20"/>
          <w:lang w:val="es-AR"/>
        </w:rPr>
      </w:pPr>
    </w:p>
    <w:p w14:paraId="034513FF" w14:textId="77777777" w:rsidR="008668B8" w:rsidRDefault="008668B8" w:rsidP="008668B8">
      <w:pPr>
        <w:jc w:val="both"/>
        <w:rPr>
          <w:rFonts w:ascii="Cambria" w:eastAsia="Times New Roman" w:hAnsi="Cambria" w:cs="Arial"/>
          <w:sz w:val="20"/>
          <w:szCs w:val="20"/>
        </w:rPr>
      </w:pPr>
      <w:r w:rsidRPr="31502C94">
        <w:rPr>
          <w:rFonts w:ascii="Cambria" w:eastAsia="Times New Roman" w:hAnsi="Cambria" w:cs="Arial"/>
          <w:sz w:val="20"/>
          <w:szCs w:val="20"/>
        </w:rPr>
        <w:t>The Inter-American Commission on Human Rights (IACHR) decides to lift these precautionary measures in favor of David Mendoza Marín, Margarita Marín Yan, and Alfredo Elías Marín Bustos, as well as Carola Marín, Tomás Mendoza, and their respective families, in Mexico. At the time of making the decision, the Commission assessed the actions taken by the State during the implementation and the change in circumstances that led to the granting, such as having found the whereabouts of the disappeared persons, whose corpses were found. Similarly, the Commission identifies the lack of specific facts that would be sufficient to identify, at present, an imminent risk to the detriment of the remaining beneficiaries. Following the State’s request to have the measures lifted, the IACHR requested comments from the representatives, who have provided comments aimed at the friendly settlement process, which it is not appropriate to evaluate through the precautionary measures mechanism. Upon not identifying compliance with the procedural requirements, the IACHR has decided to lift these measures.</w:t>
      </w:r>
    </w:p>
    <w:p w14:paraId="47E29EF8" w14:textId="77777777" w:rsidR="008668B8" w:rsidRDefault="008668B8" w:rsidP="008668B8">
      <w:pPr>
        <w:rPr>
          <w:rFonts w:ascii="Cambria" w:eastAsia="Times New Roman" w:hAnsi="Cambria" w:cs="Cambria"/>
          <w:b/>
          <w:bCs/>
          <w:sz w:val="22"/>
          <w:szCs w:val="22"/>
        </w:rPr>
      </w:pPr>
    </w:p>
    <w:p w14:paraId="5BF96B32" w14:textId="77777777" w:rsidR="008668B8" w:rsidRPr="005B477D" w:rsidRDefault="008668B8" w:rsidP="008668B8">
      <w:pPr>
        <w:jc w:val="both"/>
        <w:rPr>
          <w:rFonts w:ascii="Cambria" w:eastAsia="Times New Roman" w:hAnsi="Cambria" w:cs="Cambria"/>
          <w:b/>
          <w:bCs/>
          <w:sz w:val="22"/>
          <w:szCs w:val="22"/>
        </w:rPr>
      </w:pPr>
      <w:r w:rsidRPr="005B477D">
        <w:rPr>
          <w:rFonts w:ascii="Cambria" w:eastAsia="Times New Roman" w:hAnsi="Cambria" w:cs="Cambria"/>
          <w:b/>
          <w:bCs/>
          <w:sz w:val="22"/>
          <w:szCs w:val="22"/>
        </w:rPr>
        <w:t>NICARAGUA</w:t>
      </w:r>
    </w:p>
    <w:p w14:paraId="0A92494A" w14:textId="77777777" w:rsidR="008668B8" w:rsidRPr="005B477D" w:rsidRDefault="008668B8" w:rsidP="008668B8">
      <w:pPr>
        <w:rPr>
          <w:rFonts w:ascii="Cambria" w:eastAsia="Times New Roman" w:hAnsi="Cambria" w:cs="Arial"/>
          <w:sz w:val="20"/>
          <w:szCs w:val="20"/>
        </w:rPr>
      </w:pPr>
    </w:p>
    <w:p w14:paraId="2912537B"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1/22 (GRANT)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1088-21 - Edgar Francisco Parrales Castillo, Nicaragua</w:t>
      </w:r>
    </w:p>
    <w:p w14:paraId="3F1966FB" w14:textId="77777777" w:rsidR="008668B8" w:rsidRPr="005B477D" w:rsidRDefault="008668B8" w:rsidP="008668B8">
      <w:pPr>
        <w:jc w:val="both"/>
        <w:rPr>
          <w:rFonts w:ascii="Cambria" w:eastAsia="Times New Roman" w:hAnsi="Cambria" w:cs="Cambria"/>
          <w:sz w:val="20"/>
          <w:szCs w:val="20"/>
        </w:rPr>
      </w:pPr>
    </w:p>
    <w:p w14:paraId="4C908818"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On January 12, 2022, the IACHR granted precautionary measures in favor of Edgar Francisco Parrales Castillo, upon considering that he is a serious and urgent situation presenting risk of irreparable harm to his rights in Nicaragua. The request for precautionary measures alleges that the proposed beneficiary, identified or perceived as a political opponent in the current context in Nicaragua, has been deprived of liberty since November 22, 2021, is being held incommunicado from his relatives or attorneys, suffers from serious illness, and has not received timely medical care. Pursuant to 25 of its Rules of Procedure, the Commission requests that Nicaragua:</w:t>
      </w:r>
    </w:p>
    <w:p w14:paraId="5FC1E38C" w14:textId="77777777" w:rsidR="008668B8" w:rsidRPr="005B477D" w:rsidRDefault="008668B8" w:rsidP="008668B8">
      <w:pPr>
        <w:jc w:val="both"/>
        <w:rPr>
          <w:rFonts w:ascii="Cambria" w:eastAsia="Times New Roman" w:hAnsi="Cambria" w:cs="Cambria"/>
          <w:sz w:val="20"/>
          <w:szCs w:val="20"/>
        </w:rPr>
      </w:pPr>
    </w:p>
    <w:p w14:paraId="2C43621A" w14:textId="77777777" w:rsidR="008668B8" w:rsidRPr="005B477D" w:rsidRDefault="008668B8" w:rsidP="00933F91">
      <w:pPr>
        <w:numPr>
          <w:ilvl w:val="0"/>
          <w:numId w:val="26"/>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protect the rights to life, personal integrity, and health of Edgar Francisco Parrales Castillo;</w:t>
      </w:r>
    </w:p>
    <w:p w14:paraId="30175D08" w14:textId="77777777" w:rsidR="008668B8" w:rsidRPr="005B477D" w:rsidRDefault="008668B8" w:rsidP="00933F91">
      <w:pPr>
        <w:numPr>
          <w:ilvl w:val="0"/>
          <w:numId w:val="26"/>
        </w:numPr>
        <w:contextualSpacing/>
        <w:jc w:val="both"/>
        <w:rPr>
          <w:rFonts w:ascii="Cambria" w:eastAsia="Times New Roman" w:hAnsi="Cambria" w:cs="Cambria"/>
          <w:sz w:val="20"/>
          <w:szCs w:val="20"/>
        </w:rPr>
      </w:pPr>
      <w:r w:rsidRPr="005B477D">
        <w:rPr>
          <w:rFonts w:ascii="Cambria" w:eastAsia="Times New Roman" w:hAnsi="Cambria" w:cs="Cambria"/>
          <w:sz w:val="20"/>
          <w:szCs w:val="20"/>
        </w:rPr>
        <w:t xml:space="preserve">Ensure that his conditions of detention are consistent with applicable international standards on the matter, including, </w:t>
      </w:r>
      <w:r w:rsidRPr="005B477D">
        <w:rPr>
          <w:rFonts w:ascii="Cambria" w:eastAsia="Times New Roman" w:hAnsi="Cambria" w:cs="Cambria"/>
          <w:i/>
          <w:iCs/>
          <w:sz w:val="20"/>
          <w:szCs w:val="20"/>
        </w:rPr>
        <w:t>inter alia</w:t>
      </w:r>
      <w:r w:rsidRPr="005B477D">
        <w:rPr>
          <w:rFonts w:ascii="Cambria" w:eastAsia="Times New Roman" w:hAnsi="Cambria" w:cs="Cambria"/>
          <w:sz w:val="20"/>
          <w:szCs w:val="20"/>
        </w:rPr>
        <w:t>: i. allow contact with his relatives and defense attorneys; ii. taking into account the situation of risk to his life, personal integrity, and health as a result of the circumstances surrounding his current deprivation of liberty and his state of health, immediately carry out an impartial and specialized medical assessment of his current state of health; iii. provide the treatments and medications that the proposed beneficiary has reportedly been prescribed, and iv. immediately assess the possibility of granting alternative measures to deprivation of liberty, in view of his state of health, in accordance with internal regulations, and in light of the applicable inter-American standards; and</w:t>
      </w:r>
    </w:p>
    <w:p w14:paraId="0B58D0BB" w14:textId="77777777" w:rsidR="008668B8" w:rsidRPr="005B477D" w:rsidRDefault="008668B8" w:rsidP="00933F91">
      <w:pPr>
        <w:numPr>
          <w:ilvl w:val="0"/>
          <w:numId w:val="26"/>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actions taken to investigate the alleged acts that led to the adoption of this resolution and thus prevent their recurrence.</w:t>
      </w:r>
    </w:p>
    <w:p w14:paraId="694C3AB9" w14:textId="77777777" w:rsidR="008668B8" w:rsidRPr="005B477D" w:rsidRDefault="008668B8" w:rsidP="008668B8">
      <w:pPr>
        <w:jc w:val="both"/>
        <w:rPr>
          <w:rFonts w:ascii="Cambria" w:eastAsia="Times New Roman" w:hAnsi="Cambria" w:cs="Cambria"/>
          <w:sz w:val="20"/>
          <w:szCs w:val="20"/>
        </w:rPr>
      </w:pPr>
    </w:p>
    <w:p w14:paraId="2C75AC2A"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7/22 (GRANT)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217-21 - William Alfredo Balmaceda Ubieta and his nuclear family, Nicaragua</w:t>
      </w:r>
    </w:p>
    <w:p w14:paraId="395AA2BF" w14:textId="77777777" w:rsidR="008668B8" w:rsidRPr="005B477D" w:rsidRDefault="008668B8" w:rsidP="008668B8">
      <w:pPr>
        <w:jc w:val="both"/>
        <w:rPr>
          <w:rFonts w:ascii="Cambria" w:eastAsia="Times New Roman" w:hAnsi="Cambria" w:cs="Cambria"/>
          <w:sz w:val="20"/>
          <w:szCs w:val="20"/>
        </w:rPr>
      </w:pPr>
    </w:p>
    <w:p w14:paraId="65224AE8" w14:textId="77777777" w:rsidR="008668B8"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lastRenderedPageBreak/>
        <w:t>On February 8, 2022, the IACHR granted precautionary measures in favor of William Alfredo Balmaceda Ubieta and his nuclear family with respect to Nicaragua, upon considering that they face a serious and urgent risk of irreparable harm to their rights in Nicaragua. The request for precautionary measures alleges that the proposed beneficiary, identified or perceived as a political opponent in the current context in Nicaragua, is being subjected to threats, attacks, harassment, and surveillance by state and para-stage agents. In accordance with Article 25 of its Rules of Procedure, the Commission requests that Nicaragua:</w:t>
      </w:r>
    </w:p>
    <w:p w14:paraId="1514A82C" w14:textId="77777777" w:rsidR="00F33658" w:rsidRPr="005B477D" w:rsidRDefault="00F33658" w:rsidP="008668B8">
      <w:pPr>
        <w:jc w:val="both"/>
        <w:rPr>
          <w:rFonts w:ascii="Cambria" w:eastAsia="Times New Roman" w:hAnsi="Cambria" w:cs="Cambria"/>
          <w:sz w:val="20"/>
          <w:szCs w:val="20"/>
        </w:rPr>
      </w:pPr>
    </w:p>
    <w:p w14:paraId="6FA09818" w14:textId="77777777" w:rsidR="008668B8" w:rsidRPr="005B477D" w:rsidRDefault="008668B8" w:rsidP="00933F91">
      <w:pPr>
        <w:numPr>
          <w:ilvl w:val="0"/>
          <w:numId w:val="25"/>
        </w:numPr>
        <w:contextualSpacing/>
        <w:jc w:val="both"/>
        <w:rPr>
          <w:rFonts w:ascii="Cambria" w:eastAsia="Times New Roman" w:hAnsi="Cambria" w:cs="Cambria"/>
          <w:sz w:val="20"/>
          <w:szCs w:val="20"/>
        </w:rPr>
      </w:pPr>
      <w:r w:rsidRPr="31502C94">
        <w:rPr>
          <w:rFonts w:ascii="Cambria" w:eastAsia="Times New Roman" w:hAnsi="Cambria" w:cs="Cambria"/>
          <w:sz w:val="20"/>
          <w:szCs w:val="20"/>
        </w:rPr>
        <w:t>Adopt the necessary measures to protect the rights to life and personal integrity of William Alfredo Balmaceda Ubieta and his nuclear family. To this end, the State must both ensure that its agents respect the life and personal integrity of the beneficiaries and protect their rights in relation to acts presenting a risk that are attributable to third parties, in accordance with the standards established by international human rights law;</w:t>
      </w:r>
    </w:p>
    <w:p w14:paraId="7EF7CD8C" w14:textId="77777777" w:rsidR="008668B8" w:rsidRPr="005B477D" w:rsidRDefault="008668B8" w:rsidP="00933F91">
      <w:pPr>
        <w:numPr>
          <w:ilvl w:val="0"/>
          <w:numId w:val="25"/>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adopted with the beneficiaries and their representatives; and</w:t>
      </w:r>
    </w:p>
    <w:p w14:paraId="03956561" w14:textId="77777777" w:rsidR="008668B8" w:rsidRPr="005B477D" w:rsidRDefault="008668B8" w:rsidP="00933F91">
      <w:pPr>
        <w:numPr>
          <w:ilvl w:val="0"/>
          <w:numId w:val="25"/>
        </w:numPr>
        <w:contextualSpacing/>
        <w:jc w:val="both"/>
        <w:rPr>
          <w:rFonts w:ascii="Cambria" w:eastAsia="Times New Roman" w:hAnsi="Cambria" w:cs="Cambria"/>
          <w:sz w:val="20"/>
          <w:szCs w:val="20"/>
        </w:rPr>
      </w:pPr>
      <w:r w:rsidRPr="005B477D">
        <w:rPr>
          <w:rFonts w:ascii="Cambria" w:eastAsia="Times New Roman" w:hAnsi="Cambria" w:cs="Cambria"/>
          <w:sz w:val="20"/>
          <w:szCs w:val="20"/>
        </w:rPr>
        <w:t xml:space="preserve">Report on the actions taken to investigate the alleged acts that led to the adoption of this precautionary measure and thus prevent their recurrence. </w:t>
      </w:r>
    </w:p>
    <w:p w14:paraId="155EF4E9" w14:textId="77777777" w:rsidR="008668B8" w:rsidRPr="005B477D" w:rsidRDefault="008668B8" w:rsidP="008668B8">
      <w:pPr>
        <w:jc w:val="both"/>
        <w:rPr>
          <w:rFonts w:ascii="Cambria" w:eastAsia="Times New Roman" w:hAnsi="Cambria" w:cs="Cambria"/>
          <w:sz w:val="20"/>
          <w:szCs w:val="20"/>
        </w:rPr>
      </w:pPr>
    </w:p>
    <w:p w14:paraId="76E64ABC" w14:textId="77777777" w:rsidR="008668B8" w:rsidRPr="005B477D" w:rsidRDefault="008668B8" w:rsidP="008668B8">
      <w:pPr>
        <w:rPr>
          <w:rFonts w:ascii="Cambria" w:eastAsia="Times New Roman" w:hAnsi="Cambria" w:cs="Arial"/>
          <w:sz w:val="20"/>
          <w:szCs w:val="20"/>
          <w:lang w:val="es-ES_tradnl"/>
        </w:rPr>
      </w:pPr>
      <w:r w:rsidRPr="005B477D">
        <w:rPr>
          <w:rFonts w:ascii="Cambria" w:eastAsia="Times New Roman" w:hAnsi="Cambria" w:cs="Arial"/>
          <w:sz w:val="20"/>
          <w:szCs w:val="20"/>
          <w:lang w:val="es-ES_tradnl"/>
        </w:rPr>
        <w:t>Resolution No. 8/22 (GRANT)</w:t>
      </w:r>
      <w:r w:rsidRPr="005B477D">
        <w:rPr>
          <w:rFonts w:ascii="Cambria" w:eastAsiaTheme="majorEastAsia" w:hAnsi="Cambria" w:cs="Times New Roman"/>
          <w:sz w:val="20"/>
          <w:szCs w:val="20"/>
          <w:lang w:val="es-ES_tradnl"/>
        </w:rPr>
        <w:br/>
      </w:r>
      <w:r w:rsidRPr="005B477D">
        <w:rPr>
          <w:rFonts w:ascii="Cambria" w:eastAsia="Times New Roman" w:hAnsi="Cambria" w:cs="Arial"/>
          <w:sz w:val="20"/>
          <w:szCs w:val="20"/>
          <w:lang w:val="es-ES_tradnl"/>
        </w:rPr>
        <w:t>PM 564-21 - Martha del Socorro Ubilla, Marlon Antonio Castellón Ubilla, and Marvin Antonio Castellón Ubilla, Nicaragua</w:t>
      </w:r>
    </w:p>
    <w:p w14:paraId="7BCE020F" w14:textId="77777777" w:rsidR="008668B8" w:rsidRPr="005B477D" w:rsidRDefault="008668B8" w:rsidP="008668B8">
      <w:pPr>
        <w:jc w:val="both"/>
        <w:rPr>
          <w:rFonts w:ascii="Cambria" w:eastAsia="Times New Roman" w:hAnsi="Cambria" w:cs="Cambria"/>
          <w:sz w:val="20"/>
          <w:szCs w:val="20"/>
          <w:lang w:val="es-ES_tradnl"/>
        </w:rPr>
      </w:pPr>
    </w:p>
    <w:p w14:paraId="2931EBB7" w14:textId="77777777" w:rsidR="008668B8" w:rsidRPr="005B477D" w:rsidRDefault="008668B8" w:rsidP="008668B8">
      <w:pPr>
        <w:spacing w:after="120"/>
        <w:jc w:val="both"/>
        <w:rPr>
          <w:rFonts w:ascii="Cambria" w:eastAsia="Times New Roman" w:hAnsi="Cambria" w:cs="Cambria"/>
          <w:sz w:val="20"/>
          <w:szCs w:val="20"/>
        </w:rPr>
      </w:pPr>
      <w:r w:rsidRPr="005B477D">
        <w:rPr>
          <w:rFonts w:ascii="Cambria" w:eastAsia="Times New Roman" w:hAnsi="Cambria" w:cs="Cambria"/>
          <w:sz w:val="20"/>
          <w:szCs w:val="20"/>
        </w:rPr>
        <w:t>On February 13, 2022, the IACHR granted precautionary measures in favor of Martha del Socorro Ubilla, Marlon Antonio Castellón Ubilla, and Marvin Antonio Castellón Ubilla regarding Nicaragua, considering that they are at serious and urgent risk of irreparable harm to their rights in Nicaragua. The request for precautionary measures alleges that the proposed beneficiaries, who are identified as opponents of the current Nicaraguan government, are being threatened and are suffering attacks, harassment, and arbitrary detention carried out by state and para-state agents. Similarly, it indicates that the proposed beneficiary, Marvin Antonio Castellón Ubilla, is reportedly deprived of liberty, where he is being subjected to threats and attacks in addition to inadequate conditions of detention. Pursuant to Article 25 of the Rules of Procedure, the Commission requests that Nicaragua:</w:t>
      </w:r>
    </w:p>
    <w:p w14:paraId="7B2CA577" w14:textId="77777777" w:rsidR="008668B8" w:rsidRPr="005B477D" w:rsidRDefault="008668B8" w:rsidP="00933F91">
      <w:pPr>
        <w:numPr>
          <w:ilvl w:val="0"/>
          <w:numId w:val="24"/>
        </w:numPr>
        <w:spacing w:after="120"/>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protect the rights to life and personal integrity of Martha del Socorro Ubilla, Marlon Antonio Castellón Ubilla, and Marvin Antonio Castellón Ubilla. To this end, the State must both ensure that its agents respect the life and personal integrity of the beneficiaries and protect their rights in relation to acts presenting a risk and attributable to third parties, in accordance with the standards established by international human rights law and incorporating a gender perspective;</w:t>
      </w:r>
    </w:p>
    <w:p w14:paraId="7AD4CC33" w14:textId="77777777" w:rsidR="008668B8" w:rsidRPr="005B477D" w:rsidRDefault="008668B8" w:rsidP="00933F91">
      <w:pPr>
        <w:numPr>
          <w:ilvl w:val="0"/>
          <w:numId w:val="24"/>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ensure that the conditions of detention of Mr. Marvin Antonio Castellón Ubilla are consistent with applicable international standards;</w:t>
      </w:r>
    </w:p>
    <w:p w14:paraId="50AAB80A" w14:textId="77777777" w:rsidR="008668B8" w:rsidRPr="005B477D" w:rsidRDefault="008668B8" w:rsidP="00933F91">
      <w:pPr>
        <w:numPr>
          <w:ilvl w:val="0"/>
          <w:numId w:val="24"/>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adopted with the beneficiaries and their representatives; and</w:t>
      </w:r>
    </w:p>
    <w:p w14:paraId="406326AF" w14:textId="77777777" w:rsidR="008668B8" w:rsidRPr="005B477D" w:rsidRDefault="008668B8" w:rsidP="00933F91">
      <w:pPr>
        <w:numPr>
          <w:ilvl w:val="0"/>
          <w:numId w:val="24"/>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the actions taken to investigate the alleged acts that led to the adoption of this precautionary measure and thus prevent their recurrence.</w:t>
      </w:r>
    </w:p>
    <w:p w14:paraId="36CFD341" w14:textId="77777777" w:rsidR="008668B8" w:rsidRPr="005B477D" w:rsidRDefault="008668B8" w:rsidP="008668B8">
      <w:pPr>
        <w:jc w:val="both"/>
        <w:rPr>
          <w:rFonts w:ascii="Cambria" w:eastAsia="Times New Roman" w:hAnsi="Cambria" w:cs="Cambria"/>
          <w:sz w:val="20"/>
          <w:szCs w:val="20"/>
        </w:rPr>
      </w:pPr>
    </w:p>
    <w:p w14:paraId="5DE8299F"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9/22 (EXTENSION)</w:t>
      </w:r>
      <w:r w:rsidRPr="005B477D">
        <w:rPr>
          <w:rFonts w:ascii="Cambria" w:eastAsiaTheme="majorEastAsia" w:hAnsi="Cambria" w:cs="Times New Roman"/>
          <w:sz w:val="20"/>
          <w:szCs w:val="20"/>
        </w:rPr>
        <w:br/>
      </w:r>
      <w:r w:rsidRPr="005B477D">
        <w:rPr>
          <w:rFonts w:ascii="Cambria" w:eastAsia="Times New Roman" w:hAnsi="Cambria" w:cs="Arial"/>
          <w:sz w:val="20"/>
          <w:szCs w:val="20"/>
        </w:rPr>
        <w:t>PM 505-15 – Indigenous Peoples of the Musawas, Suniwas, and Wilú Communities of the Mayangna Sauni Territory in the North Caribbean Coast Autonomous Region, Nicaragua</w:t>
      </w:r>
    </w:p>
    <w:p w14:paraId="2E919DC4" w14:textId="77777777" w:rsidR="008668B8" w:rsidRPr="005B477D" w:rsidRDefault="008668B8" w:rsidP="008668B8">
      <w:pPr>
        <w:jc w:val="both"/>
        <w:rPr>
          <w:rFonts w:ascii="Cambria" w:eastAsia="Times New Roman" w:hAnsi="Cambria" w:cs="Cambria"/>
          <w:sz w:val="20"/>
          <w:szCs w:val="20"/>
        </w:rPr>
      </w:pPr>
    </w:p>
    <w:p w14:paraId="235E3C5A" w14:textId="77777777" w:rsidR="008668B8" w:rsidRPr="005B477D" w:rsidRDefault="008668B8" w:rsidP="008668B8">
      <w:pPr>
        <w:spacing w:after="120"/>
        <w:jc w:val="both"/>
        <w:rPr>
          <w:rFonts w:ascii="Cambria" w:eastAsia="Times New Roman" w:hAnsi="Cambria" w:cs="Cambria"/>
          <w:sz w:val="20"/>
          <w:szCs w:val="20"/>
        </w:rPr>
      </w:pPr>
      <w:r w:rsidRPr="31502C94">
        <w:rPr>
          <w:rFonts w:ascii="Cambria" w:eastAsia="Times New Roman" w:hAnsi="Cambria" w:cs="Cambria"/>
          <w:sz w:val="20"/>
          <w:szCs w:val="20"/>
        </w:rPr>
        <w:t xml:space="preserve">On February 13, 2022, the IACHR decided to extend precautionary measures in favor of Indigenous Peoples of the Musawas, Suniwas, and Wilú Communities in the Mayangna Sauni as Territory in the North Caribbean Coast Autonomous Region, in Nicaragua. The request alleged that the inhabitants of the identified communities are subjected to threats, intimidation, and acts of violence on the Caribbean Coast in a context where land titling processes are pending due to the presence of settlers in indigenous territories. Upon analyzing the submissions of fact and law, the IACHR considers that the information provided shows </w:t>
      </w:r>
      <w:r w:rsidRPr="31502C94">
        <w:rPr>
          <w:rFonts w:ascii="Cambria" w:eastAsia="Times New Roman" w:hAnsi="Cambria" w:cs="Cambria"/>
          <w:i/>
          <w:iCs/>
          <w:sz w:val="20"/>
          <w:szCs w:val="20"/>
        </w:rPr>
        <w:t>prima facie</w:t>
      </w:r>
      <w:r w:rsidRPr="31502C94">
        <w:rPr>
          <w:rFonts w:ascii="Cambria" w:eastAsia="Times New Roman" w:hAnsi="Cambria" w:cs="Cambria"/>
          <w:sz w:val="20"/>
          <w:szCs w:val="20"/>
        </w:rPr>
        <w:t xml:space="preserve"> that the beneficiaries are </w:t>
      </w:r>
      <w:r w:rsidRPr="31502C94">
        <w:rPr>
          <w:rFonts w:ascii="Cambria" w:eastAsia="Times New Roman" w:hAnsi="Cambria" w:cs="Cambria"/>
          <w:sz w:val="20"/>
          <w:szCs w:val="20"/>
        </w:rPr>
        <w:lastRenderedPageBreak/>
        <w:t>at serious and urgent risk of irreparable harm. Consequently, in accordance with Article 25 of the Rules of Procedure of the IACHR, the Commission requested that Nicaragua:</w:t>
      </w:r>
    </w:p>
    <w:p w14:paraId="713DFB7E" w14:textId="77777777" w:rsidR="008668B8" w:rsidRPr="005B477D" w:rsidRDefault="008668B8" w:rsidP="00933F91">
      <w:pPr>
        <w:numPr>
          <w:ilvl w:val="0"/>
          <w:numId w:val="23"/>
        </w:numPr>
        <w:spacing w:after="120"/>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and culturally appropriate measures to safeguard the life and personal integrity of the indigenous peoples of the Musawas, Suniwas, and Wilú Communities in the Mayangna Sauni As Territory in the North Caribbean Coast Autonomous Region;</w:t>
      </w:r>
    </w:p>
    <w:p w14:paraId="71E616D1" w14:textId="77777777" w:rsidR="008668B8" w:rsidRPr="005B477D" w:rsidRDefault="008668B8" w:rsidP="00933F91">
      <w:pPr>
        <w:numPr>
          <w:ilvl w:val="0"/>
          <w:numId w:val="23"/>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measures to be implemented with the beneficiaries and their representatives; and</w:t>
      </w:r>
    </w:p>
    <w:p w14:paraId="23064E7B" w14:textId="77777777" w:rsidR="008668B8" w:rsidRPr="005B477D" w:rsidRDefault="008668B8" w:rsidP="00933F91">
      <w:pPr>
        <w:numPr>
          <w:ilvl w:val="0"/>
          <w:numId w:val="23"/>
        </w:numPr>
        <w:contextualSpacing/>
        <w:jc w:val="both"/>
        <w:rPr>
          <w:rFonts w:ascii="Cambria" w:eastAsia="Times New Roman" w:hAnsi="Cambria" w:cs="Cambria"/>
          <w:sz w:val="20"/>
          <w:szCs w:val="20"/>
        </w:rPr>
      </w:pPr>
      <w:r w:rsidRPr="31502C94">
        <w:rPr>
          <w:rFonts w:ascii="Cambria" w:eastAsia="Times New Roman" w:hAnsi="Cambria" w:cs="Cambria"/>
          <w:sz w:val="20"/>
          <w:szCs w:val="20"/>
        </w:rPr>
        <w:t>Report on the actions taken to investigate the alleged acts that led to the adoption of these precautionary measures and thus prevent their recurrence.</w:t>
      </w:r>
    </w:p>
    <w:p w14:paraId="43FD9695" w14:textId="77777777" w:rsidR="008668B8" w:rsidRPr="005B477D" w:rsidRDefault="008668B8" w:rsidP="008668B8">
      <w:pPr>
        <w:jc w:val="both"/>
        <w:rPr>
          <w:rFonts w:ascii="Cambria" w:eastAsia="Times New Roman" w:hAnsi="Cambria" w:cs="Cambria"/>
          <w:sz w:val="20"/>
          <w:szCs w:val="20"/>
        </w:rPr>
      </w:pPr>
    </w:p>
    <w:p w14:paraId="72869A0F"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17/22 (GRANT)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1169-21 - Lázaro Ernesto Rivas Pérez, Nicaragua</w:t>
      </w:r>
    </w:p>
    <w:p w14:paraId="30D119AD" w14:textId="77777777" w:rsidR="008668B8" w:rsidRPr="005B477D" w:rsidRDefault="008668B8" w:rsidP="008668B8">
      <w:pPr>
        <w:jc w:val="both"/>
        <w:rPr>
          <w:rFonts w:ascii="Cambria" w:eastAsia="Times New Roman" w:hAnsi="Cambria" w:cs="Cambria"/>
          <w:sz w:val="20"/>
          <w:szCs w:val="20"/>
        </w:rPr>
      </w:pPr>
    </w:p>
    <w:p w14:paraId="60D2CECC" w14:textId="77777777" w:rsidR="008668B8" w:rsidRPr="005B477D" w:rsidRDefault="008668B8" w:rsidP="008668B8">
      <w:pPr>
        <w:jc w:val="both"/>
        <w:rPr>
          <w:rFonts w:ascii="Cambria" w:eastAsia="Times New Roman" w:hAnsi="Cambria" w:cs="Cambria"/>
          <w:sz w:val="20"/>
          <w:szCs w:val="20"/>
        </w:rPr>
      </w:pPr>
      <w:r w:rsidRPr="31502C94">
        <w:rPr>
          <w:rFonts w:ascii="Cambria" w:eastAsia="Times New Roman" w:hAnsi="Cambria" w:cs="Cambria"/>
          <w:sz w:val="20"/>
          <w:szCs w:val="20"/>
        </w:rPr>
        <w:t xml:space="preserve">On December 20, 2021, the Inter-American Commission on Human Rights (“the Inter-American Commission,” “the Commission,” or “the IACHR”) received a request for precautionary measures submitted by the Human Rights Collective </w:t>
      </w:r>
      <w:r w:rsidRPr="31502C94">
        <w:rPr>
          <w:rFonts w:ascii="Cambria" w:eastAsia="Times New Roman" w:hAnsi="Cambria" w:cs="Cambria"/>
          <w:i/>
          <w:iCs/>
          <w:sz w:val="20"/>
          <w:szCs w:val="20"/>
        </w:rPr>
        <w:t>Nicaragua Nunca Más</w:t>
      </w:r>
      <w:r w:rsidRPr="31502C94">
        <w:rPr>
          <w:rFonts w:ascii="Cambria" w:eastAsia="Times New Roman" w:hAnsi="Cambria" w:cs="Cambria"/>
          <w:sz w:val="20"/>
          <w:szCs w:val="20"/>
        </w:rPr>
        <w:t xml:space="preserve"> (“the requesting organization”) urging the Commission to request that the State of Nicaragua (“the State” or “Nicaragua”) adopt the measures necessary to protect the rights to life, personal integrity, and health of Mr. Lázaro Ernesto Rivas Pérez ("the proposed beneficiary”). According to the request, the proposed beneficiary, who is identified or perceived as a political opponent of the current Nicaraguan government, has been deprived of liberty since July 29, 2020, under inadequate conditions and without healthcare. </w:t>
      </w:r>
    </w:p>
    <w:p w14:paraId="4894D4DE" w14:textId="77777777" w:rsidR="008668B8" w:rsidRPr="005B477D" w:rsidRDefault="008668B8" w:rsidP="008668B8">
      <w:pPr>
        <w:rPr>
          <w:rFonts w:ascii="Cambria" w:eastAsia="Times New Roman" w:hAnsi="Cambria" w:cs="Arial"/>
          <w:sz w:val="20"/>
          <w:szCs w:val="20"/>
        </w:rPr>
      </w:pPr>
    </w:p>
    <w:p w14:paraId="5CCCC5EB" w14:textId="5038E5F8" w:rsidR="008668B8" w:rsidRDefault="008668B8" w:rsidP="00BB066C">
      <w:pPr>
        <w:rPr>
          <w:rFonts w:ascii="Cambria" w:eastAsia="Times New Roman" w:hAnsi="Cambria" w:cs="Arial"/>
          <w:sz w:val="20"/>
          <w:szCs w:val="20"/>
          <w:lang w:val="es-ES_tradnl"/>
        </w:rPr>
      </w:pPr>
      <w:r w:rsidRPr="005B477D">
        <w:rPr>
          <w:rFonts w:ascii="Cambria" w:eastAsia="Times New Roman" w:hAnsi="Cambria" w:cs="Arial"/>
          <w:sz w:val="20"/>
          <w:szCs w:val="20"/>
          <w:lang w:val="es-ES_tradnl"/>
        </w:rPr>
        <w:t>Resolution No. 21/22 (GRANT)</w:t>
      </w:r>
      <w:r w:rsidRPr="005B477D">
        <w:rPr>
          <w:rFonts w:ascii="Cambria" w:eastAsiaTheme="majorEastAsia" w:hAnsi="Cambria" w:cs="Times New Roman"/>
          <w:sz w:val="20"/>
          <w:szCs w:val="20"/>
          <w:lang w:val="es-ES_tradnl"/>
        </w:rPr>
        <w:br/>
      </w:r>
      <w:r w:rsidRPr="005B477D">
        <w:rPr>
          <w:rFonts w:ascii="Cambria" w:eastAsia="Times New Roman" w:hAnsi="Cambria" w:cs="Arial"/>
          <w:sz w:val="20"/>
          <w:szCs w:val="20"/>
          <w:lang w:val="es-ES_tradnl"/>
        </w:rPr>
        <w:t>PM 145-22 - Yoel Ibzán Sandino Ibarra, Nicaragua</w:t>
      </w:r>
    </w:p>
    <w:p w14:paraId="4478C4BE" w14:textId="77777777" w:rsidR="00BB066C" w:rsidRPr="00BB066C" w:rsidRDefault="00BB066C" w:rsidP="00BB066C">
      <w:pPr>
        <w:rPr>
          <w:rFonts w:ascii="Cambria" w:eastAsia="Times New Roman" w:hAnsi="Cambria" w:cs="Arial"/>
          <w:sz w:val="20"/>
          <w:szCs w:val="20"/>
          <w:lang w:val="es-ES_tradnl"/>
        </w:rPr>
      </w:pPr>
    </w:p>
    <w:p w14:paraId="36D1A309" w14:textId="77777777" w:rsidR="008668B8" w:rsidRPr="005B477D" w:rsidRDefault="008668B8" w:rsidP="008668B8">
      <w:pPr>
        <w:spacing w:after="120"/>
        <w:jc w:val="both"/>
        <w:rPr>
          <w:rFonts w:ascii="Cambria" w:eastAsia="Times New Roman" w:hAnsi="Cambria" w:cs="Cambria"/>
          <w:sz w:val="20"/>
          <w:szCs w:val="20"/>
        </w:rPr>
      </w:pPr>
      <w:r w:rsidRPr="31502C94">
        <w:rPr>
          <w:rFonts w:ascii="Cambria" w:eastAsia="Times New Roman" w:hAnsi="Cambria" w:cs="Cambria"/>
          <w:sz w:val="20"/>
          <w:szCs w:val="20"/>
        </w:rPr>
        <w:t>On May 5, 2022, the IACHR granted precautionary measures in favor of Yoel Ibzán Sandino Ibarra, upon considering that he is in a serious and urgent situation presenting risk of irreparable harm to his rights. The request for precautionary measures alleges that the proposed beneficiary, who is identified or perceived as a political opponent of the current Nicaraguan government, has been deprived of liberty since November 5, 2012, and has not received timely medical care. In accordance with Article 25 of the Rules of Procedure, the Commission requests that Nicaragua:</w:t>
      </w:r>
    </w:p>
    <w:p w14:paraId="236861DE" w14:textId="77777777" w:rsidR="008668B8" w:rsidRPr="005B477D" w:rsidRDefault="008668B8" w:rsidP="00933F91">
      <w:pPr>
        <w:numPr>
          <w:ilvl w:val="0"/>
          <w:numId w:val="22"/>
        </w:numPr>
        <w:spacing w:after="120"/>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protect the rights to life, personal integrity, and health of Yoel Ibzán Sandino Ibarra;</w:t>
      </w:r>
    </w:p>
    <w:p w14:paraId="767F5411" w14:textId="77777777" w:rsidR="008668B8" w:rsidRPr="005B477D" w:rsidRDefault="008668B8" w:rsidP="00933F91">
      <w:pPr>
        <w:numPr>
          <w:ilvl w:val="0"/>
          <w:numId w:val="22"/>
        </w:numPr>
        <w:contextualSpacing/>
        <w:jc w:val="both"/>
        <w:rPr>
          <w:rFonts w:ascii="Cambria" w:eastAsia="Times New Roman" w:hAnsi="Cambria" w:cs="Cambria"/>
          <w:sz w:val="20"/>
          <w:szCs w:val="20"/>
        </w:rPr>
      </w:pPr>
      <w:r w:rsidRPr="31502C94">
        <w:rPr>
          <w:rFonts w:ascii="Cambria" w:eastAsia="Times New Roman" w:hAnsi="Cambria" w:cs="Cambria"/>
          <w:sz w:val="20"/>
          <w:szCs w:val="20"/>
        </w:rPr>
        <w:t xml:space="preserve">Ensure that his conditions of detention are consistent with applicable international standards on the matter, including, </w:t>
      </w:r>
      <w:r w:rsidRPr="31502C94">
        <w:rPr>
          <w:rFonts w:ascii="Cambria" w:eastAsia="Times New Roman" w:hAnsi="Cambria" w:cs="Cambria"/>
          <w:i/>
          <w:iCs/>
          <w:sz w:val="20"/>
          <w:szCs w:val="20"/>
        </w:rPr>
        <w:t>inter alia</w:t>
      </w:r>
      <w:r w:rsidRPr="31502C94">
        <w:rPr>
          <w:rFonts w:ascii="Cambria" w:eastAsia="Times New Roman" w:hAnsi="Cambria" w:cs="Cambria"/>
          <w:sz w:val="20"/>
          <w:szCs w:val="20"/>
        </w:rPr>
        <w:t>: i. allow him contact with his relatives and attorneys; ii. taking into account the situation of risk to his life, personal integrity, and health, immediately carry out an impartial and specialized medical evaluation of his current state of health; iii. grant the treatments and medications reportedly prescribed for the proposed beneficiary;</w:t>
      </w:r>
    </w:p>
    <w:p w14:paraId="0DC908E3" w14:textId="77777777" w:rsidR="008668B8" w:rsidRPr="005B477D" w:rsidRDefault="008668B8" w:rsidP="00933F91">
      <w:pPr>
        <w:numPr>
          <w:ilvl w:val="0"/>
          <w:numId w:val="22"/>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adopted with the proposed beneficiary and his representatives; and</w:t>
      </w:r>
    </w:p>
    <w:p w14:paraId="7466B7EA" w14:textId="77777777" w:rsidR="008668B8" w:rsidRPr="005B477D" w:rsidRDefault="008668B8" w:rsidP="00933F91">
      <w:pPr>
        <w:numPr>
          <w:ilvl w:val="0"/>
          <w:numId w:val="22"/>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the actions undertaken to investigate the alleged acts that led to adoption of this resolution and thus prevent their recurrence.</w:t>
      </w:r>
    </w:p>
    <w:p w14:paraId="23AA88D7" w14:textId="77777777" w:rsidR="008668B8" w:rsidRPr="005B477D" w:rsidRDefault="008668B8" w:rsidP="008668B8">
      <w:pPr>
        <w:jc w:val="both"/>
        <w:rPr>
          <w:rFonts w:ascii="Cambria" w:eastAsia="Times New Roman" w:hAnsi="Cambria" w:cs="Cambria"/>
          <w:sz w:val="20"/>
          <w:szCs w:val="20"/>
        </w:rPr>
      </w:pPr>
    </w:p>
    <w:p w14:paraId="60506B42" w14:textId="77777777" w:rsidR="008668B8" w:rsidRPr="005B477D" w:rsidRDefault="008668B8" w:rsidP="008668B8">
      <w:pPr>
        <w:rPr>
          <w:rFonts w:ascii="Cambria" w:eastAsia="Times New Roman" w:hAnsi="Cambria" w:cs="Arial"/>
          <w:sz w:val="20"/>
          <w:szCs w:val="20"/>
          <w:lang w:val="pt-BR"/>
        </w:rPr>
      </w:pPr>
      <w:r w:rsidRPr="005B477D">
        <w:rPr>
          <w:rFonts w:ascii="Cambria" w:eastAsia="Times New Roman" w:hAnsi="Cambria" w:cs="Arial"/>
          <w:sz w:val="20"/>
          <w:szCs w:val="20"/>
          <w:lang w:val="pt-BR"/>
        </w:rPr>
        <w:t>Resolution No. 23/22 (GRANT)</w:t>
      </w:r>
      <w:r w:rsidRPr="005B477D">
        <w:rPr>
          <w:rFonts w:ascii="Cambria" w:eastAsiaTheme="majorEastAsia" w:hAnsi="Cambria" w:cs="Times New Roman"/>
          <w:sz w:val="20"/>
          <w:szCs w:val="20"/>
          <w:lang w:val="pt-BR"/>
        </w:rPr>
        <w:br/>
      </w:r>
      <w:r w:rsidRPr="005B477D">
        <w:rPr>
          <w:rFonts w:ascii="Cambria" w:eastAsia="Times New Roman" w:hAnsi="Cambria" w:cs="Arial"/>
          <w:sz w:val="20"/>
          <w:szCs w:val="20"/>
          <w:lang w:val="pt-BR"/>
        </w:rPr>
        <w:t>PM 212-21 - Samuel Mauricio Mairena Rocha, Nicaragua</w:t>
      </w:r>
    </w:p>
    <w:p w14:paraId="082FA3F0" w14:textId="77777777" w:rsidR="008668B8" w:rsidRPr="005B477D" w:rsidRDefault="008668B8" w:rsidP="008668B8">
      <w:pPr>
        <w:jc w:val="both"/>
        <w:rPr>
          <w:rFonts w:ascii="Cambria" w:eastAsia="Times New Roman" w:hAnsi="Cambria" w:cs="Cambria"/>
          <w:sz w:val="20"/>
          <w:szCs w:val="20"/>
          <w:lang w:val="pt-BR"/>
        </w:rPr>
      </w:pPr>
    </w:p>
    <w:p w14:paraId="26B0E350" w14:textId="77777777" w:rsidR="008668B8" w:rsidRPr="005B477D" w:rsidRDefault="008668B8" w:rsidP="008668B8">
      <w:pPr>
        <w:spacing w:after="120"/>
        <w:jc w:val="both"/>
        <w:rPr>
          <w:rFonts w:ascii="Cambria" w:eastAsia="Times New Roman" w:hAnsi="Cambria" w:cs="Cambria"/>
          <w:sz w:val="20"/>
          <w:szCs w:val="20"/>
        </w:rPr>
      </w:pPr>
      <w:r w:rsidRPr="31502C94">
        <w:rPr>
          <w:rFonts w:ascii="Cambria" w:eastAsia="Times New Roman" w:hAnsi="Cambria" w:cs="Cambria"/>
          <w:sz w:val="20"/>
          <w:szCs w:val="20"/>
        </w:rPr>
        <w:t xml:space="preserve">On May 30, 2022, the IACHR granted precautionary measures in favor of Samuel Mauricio Mairena Rocha after considering that he is in a serious and urgent situation presenting a risk of irreparable harm to his rights. The request for precautionary measures alleges that the proposed beneficiary, who is identified or perceived as a political opponent of the current Nicaraguan government, is at risk as he has been subject to threats, </w:t>
      </w:r>
      <w:r w:rsidRPr="31502C94">
        <w:rPr>
          <w:rFonts w:ascii="Cambria" w:eastAsia="Times New Roman" w:hAnsi="Cambria" w:cs="Cambria"/>
          <w:sz w:val="20"/>
          <w:szCs w:val="20"/>
        </w:rPr>
        <w:lastRenderedPageBreak/>
        <w:t>harassment, and surveillance by state and para-state agents from 2018 to present. In accordance with Article 25 of the Rules of Procedure, the Commission requests that Nicaragua:</w:t>
      </w:r>
    </w:p>
    <w:p w14:paraId="6B0D4595" w14:textId="77777777" w:rsidR="008668B8" w:rsidRPr="005B477D" w:rsidRDefault="008668B8" w:rsidP="00933F91">
      <w:pPr>
        <w:numPr>
          <w:ilvl w:val="0"/>
          <w:numId w:val="21"/>
        </w:numPr>
        <w:spacing w:after="120"/>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protect the rights to life and personal integrity of Samuel Mauricio Mairena Rocha. To that end, the State should both ensure that its agents respect the life and personal integrity of the proposed beneficiary and protect his rights in relation to acts presenting risk that are attributable to third parties, in accordance with the standards established by international human rights law;</w:t>
      </w:r>
    </w:p>
    <w:p w14:paraId="773356F1" w14:textId="77777777" w:rsidR="008668B8" w:rsidRPr="005B477D" w:rsidRDefault="008668B8" w:rsidP="00933F91">
      <w:pPr>
        <w:numPr>
          <w:ilvl w:val="0"/>
          <w:numId w:val="21"/>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adopted with the proposed beneficiary and his representatives; and</w:t>
      </w:r>
    </w:p>
    <w:p w14:paraId="079B5876" w14:textId="77777777" w:rsidR="008668B8" w:rsidRPr="005B477D" w:rsidRDefault="008668B8" w:rsidP="00933F91">
      <w:pPr>
        <w:numPr>
          <w:ilvl w:val="0"/>
          <w:numId w:val="21"/>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the actions taken to investigate the alleged acts that led to adoption of this resolution and thus prevent their recurrence.</w:t>
      </w:r>
    </w:p>
    <w:p w14:paraId="6D9D528C" w14:textId="77777777" w:rsidR="008668B8" w:rsidRPr="005B477D" w:rsidRDefault="008668B8" w:rsidP="008668B8">
      <w:pPr>
        <w:jc w:val="both"/>
        <w:rPr>
          <w:rFonts w:ascii="Cambria" w:eastAsia="Times New Roman" w:hAnsi="Cambria" w:cs="Cambria"/>
          <w:sz w:val="20"/>
          <w:szCs w:val="20"/>
        </w:rPr>
      </w:pPr>
    </w:p>
    <w:p w14:paraId="4774C117"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25/22 (EXTENSION)</w:t>
      </w:r>
      <w:r w:rsidRPr="005B477D">
        <w:rPr>
          <w:rFonts w:ascii="Cambria" w:eastAsiaTheme="majorEastAsia" w:hAnsi="Cambria" w:cs="Times New Roman"/>
          <w:sz w:val="20"/>
          <w:szCs w:val="20"/>
        </w:rPr>
        <w:br/>
      </w:r>
      <w:r w:rsidRPr="005B477D">
        <w:rPr>
          <w:rFonts w:ascii="Cambria" w:eastAsia="Times New Roman" w:hAnsi="Cambria" w:cs="Arial"/>
          <w:sz w:val="20"/>
          <w:szCs w:val="20"/>
        </w:rPr>
        <w:t>PM 819-18 - Yubrank Miguel Suazo Herrera, Nicaragua</w:t>
      </w:r>
    </w:p>
    <w:p w14:paraId="65206F7D" w14:textId="77777777" w:rsidR="008668B8" w:rsidRPr="005B477D" w:rsidRDefault="008668B8" w:rsidP="008668B8">
      <w:pPr>
        <w:jc w:val="both"/>
        <w:rPr>
          <w:rFonts w:ascii="Cambria" w:eastAsia="Times New Roman" w:hAnsi="Cambria" w:cs="Cambria"/>
          <w:sz w:val="20"/>
          <w:szCs w:val="20"/>
        </w:rPr>
      </w:pPr>
    </w:p>
    <w:p w14:paraId="2861E9F9" w14:textId="77777777" w:rsidR="008668B8" w:rsidRPr="005B477D" w:rsidRDefault="008668B8" w:rsidP="008668B8">
      <w:pPr>
        <w:spacing w:after="120"/>
        <w:jc w:val="both"/>
        <w:rPr>
          <w:rFonts w:ascii="Cambria" w:eastAsia="Times New Roman" w:hAnsi="Cambria" w:cs="Cambria"/>
          <w:sz w:val="20"/>
          <w:szCs w:val="20"/>
        </w:rPr>
      </w:pPr>
      <w:r w:rsidRPr="005B477D">
        <w:rPr>
          <w:rFonts w:ascii="Cambria" w:eastAsia="Times New Roman" w:hAnsi="Cambria" w:cs="Cambria"/>
          <w:sz w:val="20"/>
          <w:szCs w:val="20"/>
        </w:rPr>
        <w:t>On June 13, 2022, the IACHR decided to extend the precautionary measures in favor of Yubrank Miguel Suazo Herrera. The request indicates that Suazo was arrested and transferred to the Directorate of Judicial Assistance (DAJ) known as the Nuevo Chipote in May 2022 and his father was also assaulted at that time. The Commission assessed that the detention was conducted with the use of violence followed by a refusal to provide information on the reason for Suazo’s detention and whereabouts. In addition, relatives and attorneys have not had access to information regarding the situation that would enable them to pursue the necessary remedies.</w:t>
      </w:r>
    </w:p>
    <w:p w14:paraId="429AC131" w14:textId="15904BE7" w:rsidR="00BB066C" w:rsidRDefault="008668B8" w:rsidP="00BB066C">
      <w:pPr>
        <w:jc w:val="both"/>
        <w:rPr>
          <w:rFonts w:ascii="Cambria" w:eastAsia="Times New Roman" w:hAnsi="Cambria" w:cs="Cambria"/>
          <w:sz w:val="20"/>
          <w:szCs w:val="20"/>
        </w:rPr>
      </w:pPr>
      <w:r w:rsidRPr="31502C94">
        <w:rPr>
          <w:rFonts w:ascii="Cambria" w:eastAsia="Times New Roman" w:hAnsi="Cambria" w:cs="Cambria"/>
          <w:sz w:val="20"/>
          <w:szCs w:val="20"/>
        </w:rPr>
        <w:t xml:space="preserve">Upon analyzing the allegations of fact and law provided by the representation, the Commission considered that the beneficiary is in a serious and urgent situation, as his rights are at risk of irreparable harm in accordance with the applicable </w:t>
      </w:r>
      <w:r w:rsidRPr="31502C94">
        <w:rPr>
          <w:rFonts w:ascii="Cambria" w:eastAsia="Times New Roman" w:hAnsi="Cambria" w:cs="Cambria"/>
          <w:i/>
          <w:iCs/>
          <w:sz w:val="20"/>
          <w:szCs w:val="20"/>
        </w:rPr>
        <w:t xml:space="preserve">prima facie </w:t>
      </w:r>
      <w:r w:rsidRPr="31502C94">
        <w:rPr>
          <w:rFonts w:ascii="Cambria" w:eastAsia="Times New Roman" w:hAnsi="Cambria" w:cs="Cambria"/>
          <w:sz w:val="20"/>
          <w:szCs w:val="20"/>
        </w:rPr>
        <w:t>standard. Consequently, based on Article 25 of its Rules of Procedure, the Commission requests that the State of Nicaragua:</w:t>
      </w:r>
    </w:p>
    <w:p w14:paraId="6C63BFB5" w14:textId="77777777" w:rsidR="00BB066C" w:rsidRPr="005B477D" w:rsidRDefault="00BB066C" w:rsidP="00BB066C">
      <w:pPr>
        <w:jc w:val="both"/>
        <w:rPr>
          <w:rFonts w:ascii="Cambria" w:eastAsia="Times New Roman" w:hAnsi="Cambria" w:cs="Cambria"/>
          <w:sz w:val="20"/>
          <w:szCs w:val="20"/>
        </w:rPr>
      </w:pPr>
    </w:p>
    <w:p w14:paraId="433EAA9C" w14:textId="77777777" w:rsidR="008668B8" w:rsidRPr="005B477D" w:rsidRDefault="008668B8" w:rsidP="00933F91">
      <w:pPr>
        <w:numPr>
          <w:ilvl w:val="0"/>
          <w:numId w:val="2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measures necessary to guarantee the rights to life and personal integrity of Mr. Yubrank Miguel Suazo Herrera. In particular, the State should both ensure that its agents respect the rights of the beneficiary in accordance with the standards established by international human rights law and in relation to acts presenting risk and attributable to third parties;</w:t>
      </w:r>
    </w:p>
    <w:p w14:paraId="5623F983" w14:textId="77777777" w:rsidR="008668B8" w:rsidRPr="005B477D" w:rsidRDefault="008668B8" w:rsidP="00933F91">
      <w:pPr>
        <w:numPr>
          <w:ilvl w:val="0"/>
          <w:numId w:val="2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For purposes of verifying his situation, facilitate Mr. Suazo Herrera’s access to his representatives and his family visits in accordance with the applicable standards;</w:t>
      </w:r>
    </w:p>
    <w:p w14:paraId="3D28046F" w14:textId="77777777" w:rsidR="008668B8" w:rsidRPr="005B477D" w:rsidRDefault="008668B8" w:rsidP="00933F91">
      <w:pPr>
        <w:numPr>
          <w:ilvl w:val="0"/>
          <w:numId w:val="2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adopted with the beneficiary and his representatives; and</w:t>
      </w:r>
    </w:p>
    <w:p w14:paraId="433EFB1A" w14:textId="77777777" w:rsidR="008668B8" w:rsidRPr="005B477D" w:rsidRDefault="008668B8" w:rsidP="00933F91">
      <w:pPr>
        <w:numPr>
          <w:ilvl w:val="0"/>
          <w:numId w:val="2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the actions taken to investigate the alleged acts that led to adoption of this precautionary measure.</w:t>
      </w:r>
    </w:p>
    <w:p w14:paraId="6233FA0C" w14:textId="77777777" w:rsidR="008668B8" w:rsidRPr="005B477D" w:rsidRDefault="008668B8" w:rsidP="008668B8">
      <w:pPr>
        <w:jc w:val="both"/>
        <w:rPr>
          <w:rFonts w:ascii="Cambria" w:eastAsia="Times New Roman" w:hAnsi="Cambria" w:cs="Cambria"/>
          <w:sz w:val="20"/>
          <w:szCs w:val="20"/>
        </w:rPr>
      </w:pPr>
    </w:p>
    <w:p w14:paraId="7F0C83E2"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26/22 (GRANT)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66-22, 135-22 - José Antonio Peraza Collado, Roger Abel Reyes Barrera, and Irving Isidro Larios Sánchez and the members of his nuclear family, Nicaragua</w:t>
      </w:r>
    </w:p>
    <w:p w14:paraId="1E2C7A07" w14:textId="77777777" w:rsidR="008668B8" w:rsidRPr="005B477D" w:rsidRDefault="008668B8" w:rsidP="008668B8">
      <w:pPr>
        <w:jc w:val="both"/>
        <w:rPr>
          <w:rFonts w:ascii="Cambria" w:eastAsia="Times New Roman" w:hAnsi="Cambria" w:cs="Cambria"/>
          <w:sz w:val="20"/>
          <w:szCs w:val="20"/>
        </w:rPr>
      </w:pPr>
    </w:p>
    <w:p w14:paraId="2B521B03" w14:textId="77777777" w:rsidR="008668B8" w:rsidRPr="005B477D" w:rsidRDefault="008668B8" w:rsidP="008668B8">
      <w:pPr>
        <w:spacing w:after="120"/>
        <w:jc w:val="both"/>
        <w:rPr>
          <w:rFonts w:ascii="Cambria" w:eastAsia="Times New Roman" w:hAnsi="Cambria" w:cs="Cambria"/>
          <w:sz w:val="20"/>
          <w:szCs w:val="20"/>
        </w:rPr>
      </w:pPr>
      <w:r w:rsidRPr="31502C94">
        <w:rPr>
          <w:rFonts w:ascii="Cambria" w:eastAsia="Times New Roman" w:hAnsi="Cambria" w:cs="Cambria"/>
          <w:sz w:val="20"/>
          <w:szCs w:val="20"/>
        </w:rPr>
        <w:t>On June 20, 2022, the IACHR granted precautionary measures in favor of José Antonio Peraza Collado, Roger Abel Reyes Barrera, and Irving Isidro Larios Sánchez with respect to Nicaragua, upon considering that they are in a serious and urgent situation presenting risk of irreparable harm to their rights in Nicaragua. The requests for precautionary measures allege that the proposed beneficiaries, who are identified as opponents of the current Nicaraguan government, are purportedly deprived of liberty in the Directorate of Judicial Assistance known as the “Nuevo Chipote” under inadequate conditions of detention and without receiving the medical care needed for their health. In addition, they indicate that the proposed beneficiaries are allegedly being subjected to acts of intimidation and harassment by state agents, a situation that also affects their families. In accordance with Article 25 of the Rules of Procedure, the Commission requests that Nicaragua:</w:t>
      </w:r>
    </w:p>
    <w:p w14:paraId="07E30BF9" w14:textId="77777777" w:rsidR="008668B8" w:rsidRPr="005B477D" w:rsidRDefault="008668B8" w:rsidP="00933F91">
      <w:pPr>
        <w:numPr>
          <w:ilvl w:val="0"/>
          <w:numId w:val="19"/>
        </w:numPr>
        <w:spacing w:after="120"/>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protect the rights to life, personal integrity, and health of the proposed beneficiaries;</w:t>
      </w:r>
    </w:p>
    <w:p w14:paraId="2C4F06AE" w14:textId="77777777" w:rsidR="008668B8" w:rsidRPr="005B477D" w:rsidRDefault="008668B8" w:rsidP="00933F91">
      <w:pPr>
        <w:numPr>
          <w:ilvl w:val="0"/>
          <w:numId w:val="19"/>
        </w:numPr>
        <w:contextualSpacing/>
        <w:jc w:val="both"/>
        <w:rPr>
          <w:rFonts w:ascii="Cambria" w:eastAsia="Times New Roman" w:hAnsi="Cambria" w:cs="Cambria"/>
          <w:sz w:val="20"/>
          <w:szCs w:val="20"/>
        </w:rPr>
      </w:pPr>
      <w:r w:rsidRPr="005B477D">
        <w:rPr>
          <w:rFonts w:ascii="Cambria" w:eastAsia="Times New Roman" w:hAnsi="Cambria" w:cs="Cambria"/>
          <w:sz w:val="20"/>
          <w:szCs w:val="20"/>
        </w:rPr>
        <w:lastRenderedPageBreak/>
        <w:t>Adopt the measures necessary to ensure that the conditions of detention of the proposed beneficiaries are consistent with applicable international standards on the matter, including:  ensuring they are not subject to threats, intimidation, harassment, or attacks inside the penitentiary center; ii. ensuring access to adequate and specialized medical care and an immediate specialized medical assessment of the health of each of them; and iii. providing the treatments and medications necessary to treat their respective ailments;</w:t>
      </w:r>
    </w:p>
    <w:p w14:paraId="6EC01607" w14:textId="77777777" w:rsidR="008668B8" w:rsidRPr="005B477D" w:rsidRDefault="008668B8" w:rsidP="00933F91">
      <w:pPr>
        <w:numPr>
          <w:ilvl w:val="0"/>
          <w:numId w:val="19"/>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adopted with the proposed beneficiaries and their representatives; and</w:t>
      </w:r>
    </w:p>
    <w:p w14:paraId="5A19FC0F" w14:textId="77777777" w:rsidR="008668B8" w:rsidRPr="005B477D" w:rsidRDefault="008668B8" w:rsidP="00933F91">
      <w:pPr>
        <w:numPr>
          <w:ilvl w:val="0"/>
          <w:numId w:val="19"/>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the actions taken to investigate the alleged acts that led to adoption of this precautionary measure and thus prevent their recurrence.</w:t>
      </w:r>
    </w:p>
    <w:p w14:paraId="31E7AC7C" w14:textId="77777777" w:rsidR="008668B8" w:rsidRPr="005B477D" w:rsidRDefault="008668B8" w:rsidP="008668B8">
      <w:pPr>
        <w:jc w:val="both"/>
        <w:rPr>
          <w:rFonts w:ascii="Cambria" w:eastAsia="Times New Roman" w:hAnsi="Cambria" w:cs="Cambria"/>
          <w:sz w:val="20"/>
          <w:szCs w:val="20"/>
        </w:rPr>
      </w:pPr>
    </w:p>
    <w:p w14:paraId="1FD0CD24"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27/22 (GRANT)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266-22 - José Alejandro Quintanilla Hernández and his nuclear family, Nicaragua</w:t>
      </w:r>
    </w:p>
    <w:p w14:paraId="285AAB7B" w14:textId="77777777" w:rsidR="008668B8" w:rsidRPr="005B477D" w:rsidRDefault="008668B8" w:rsidP="008668B8">
      <w:pPr>
        <w:jc w:val="both"/>
        <w:rPr>
          <w:rFonts w:ascii="Cambria" w:eastAsia="Times New Roman" w:hAnsi="Cambria" w:cs="Cambria"/>
          <w:sz w:val="20"/>
          <w:szCs w:val="20"/>
        </w:rPr>
      </w:pPr>
    </w:p>
    <w:p w14:paraId="39715983" w14:textId="77777777" w:rsidR="008668B8" w:rsidRDefault="008668B8" w:rsidP="00015CF4">
      <w:pPr>
        <w:jc w:val="both"/>
        <w:rPr>
          <w:rFonts w:ascii="Cambria" w:eastAsia="Times New Roman" w:hAnsi="Cambria" w:cs="Cambria"/>
          <w:sz w:val="20"/>
          <w:szCs w:val="20"/>
        </w:rPr>
      </w:pPr>
      <w:r w:rsidRPr="31502C94">
        <w:rPr>
          <w:rFonts w:ascii="Cambria" w:eastAsia="Times New Roman" w:hAnsi="Cambria" w:cs="Cambria"/>
          <w:sz w:val="20"/>
          <w:szCs w:val="20"/>
        </w:rPr>
        <w:t>On June 22, 2022, the IACHR granted precautionary measures in favor of José Alejandro Quintanilla Hernández and his nuclear family, upon considering that he is in a situation of serious and urgent risk of irreparable harm to his rights. The request for precautionary measures alleges that the proposed beneficiary, who is identified or perceived as a political opponent of the current Nicaraguan government, has been deprived of liberty since August 23, 2021, and has not received timely medical care. In accordance with Article 25 of the Rules of Procedure, the Commission requests that Nicaragua:</w:t>
      </w:r>
    </w:p>
    <w:p w14:paraId="2638402E" w14:textId="77777777" w:rsidR="00015CF4" w:rsidRPr="005B477D" w:rsidRDefault="00015CF4" w:rsidP="00015CF4">
      <w:pPr>
        <w:jc w:val="both"/>
        <w:rPr>
          <w:rFonts w:ascii="Cambria" w:eastAsia="Times New Roman" w:hAnsi="Cambria" w:cs="Cambria"/>
          <w:sz w:val="20"/>
          <w:szCs w:val="20"/>
        </w:rPr>
      </w:pPr>
    </w:p>
    <w:p w14:paraId="4C83C989" w14:textId="77777777" w:rsidR="008668B8" w:rsidRPr="005B477D" w:rsidRDefault="008668B8" w:rsidP="00933F91">
      <w:pPr>
        <w:numPr>
          <w:ilvl w:val="0"/>
          <w:numId w:val="18"/>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protect the rights to life, personal integrity, and health of José Alejandro Quintanilla Hernández and his nuclear family;</w:t>
      </w:r>
    </w:p>
    <w:p w14:paraId="76D76987" w14:textId="77777777" w:rsidR="008668B8" w:rsidRPr="005B477D" w:rsidRDefault="008668B8" w:rsidP="00933F91">
      <w:pPr>
        <w:numPr>
          <w:ilvl w:val="0"/>
          <w:numId w:val="18"/>
        </w:numPr>
        <w:contextualSpacing/>
        <w:jc w:val="both"/>
        <w:rPr>
          <w:rFonts w:ascii="Cambria" w:eastAsia="Times New Roman" w:hAnsi="Cambria" w:cs="Cambria"/>
          <w:sz w:val="20"/>
          <w:szCs w:val="20"/>
        </w:rPr>
      </w:pPr>
      <w:r w:rsidRPr="005B477D">
        <w:rPr>
          <w:rFonts w:ascii="Cambria" w:eastAsia="Times New Roman" w:hAnsi="Cambria" w:cs="Cambria"/>
          <w:sz w:val="20"/>
          <w:szCs w:val="20"/>
        </w:rPr>
        <w:t xml:space="preserve">Ensure that his conditions of detention are consistent with applicable international standards on the matter, including, </w:t>
      </w:r>
      <w:r w:rsidRPr="005B477D">
        <w:rPr>
          <w:rFonts w:ascii="Cambria" w:eastAsia="Times New Roman" w:hAnsi="Cambria" w:cs="Cambria"/>
          <w:i/>
          <w:iCs/>
          <w:sz w:val="20"/>
          <w:szCs w:val="20"/>
        </w:rPr>
        <w:t>inter alia</w:t>
      </w:r>
      <w:r w:rsidRPr="005B477D">
        <w:rPr>
          <w:rFonts w:ascii="Cambria" w:eastAsia="Times New Roman" w:hAnsi="Cambria" w:cs="Cambria"/>
          <w:sz w:val="20"/>
          <w:szCs w:val="20"/>
        </w:rPr>
        <w:t>: i. ensure regular contact with his relatives and attorneys; ii. taking into account the situation of risk to life, personal integrity, and health, immediately conduct an impartial and specialized medical evaluation of his current health status; iii. provide the treatments and medications prescribed for the proposed beneficiary by competent health personnel;</w:t>
      </w:r>
    </w:p>
    <w:p w14:paraId="40F85B4D" w14:textId="77777777" w:rsidR="008668B8" w:rsidRPr="005B477D" w:rsidRDefault="008668B8" w:rsidP="00933F91">
      <w:pPr>
        <w:numPr>
          <w:ilvl w:val="0"/>
          <w:numId w:val="18"/>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adopted with the proposed beneficiaries and their representatives; and</w:t>
      </w:r>
    </w:p>
    <w:p w14:paraId="12D36B2C" w14:textId="77777777" w:rsidR="008668B8" w:rsidRPr="005B477D" w:rsidRDefault="008668B8" w:rsidP="00933F91">
      <w:pPr>
        <w:numPr>
          <w:ilvl w:val="0"/>
          <w:numId w:val="18"/>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the actions taken to investigate the alleged facts that led to adoption of this resolution and thus prevent their recurrence.</w:t>
      </w:r>
    </w:p>
    <w:p w14:paraId="53C3346D" w14:textId="77777777" w:rsidR="008668B8" w:rsidRPr="005B477D" w:rsidRDefault="008668B8" w:rsidP="008668B8">
      <w:pPr>
        <w:jc w:val="both"/>
        <w:rPr>
          <w:rFonts w:ascii="Cambria" w:eastAsia="Times New Roman" w:hAnsi="Cambria" w:cs="Cambria"/>
          <w:sz w:val="20"/>
          <w:szCs w:val="20"/>
        </w:rPr>
      </w:pPr>
    </w:p>
    <w:p w14:paraId="02BF1158" w14:textId="77777777" w:rsidR="008668B8" w:rsidRPr="005B477D" w:rsidRDefault="008668B8" w:rsidP="008668B8">
      <w:pPr>
        <w:rPr>
          <w:rFonts w:ascii="Cambria" w:eastAsia="Times New Roman" w:hAnsi="Cambria" w:cs="Arial"/>
          <w:sz w:val="20"/>
          <w:szCs w:val="20"/>
          <w:lang w:val="pt-BR"/>
        </w:rPr>
      </w:pPr>
      <w:r w:rsidRPr="005B477D">
        <w:rPr>
          <w:rFonts w:ascii="Cambria" w:eastAsia="Times New Roman" w:hAnsi="Cambria" w:cs="Arial"/>
          <w:sz w:val="20"/>
          <w:szCs w:val="20"/>
          <w:lang w:val="pt-BR"/>
        </w:rPr>
        <w:t>Resolution No. 38/22 (GRANT)</w:t>
      </w:r>
      <w:r w:rsidRPr="005B477D">
        <w:rPr>
          <w:rFonts w:ascii="Cambria" w:eastAsiaTheme="majorEastAsia" w:hAnsi="Cambria" w:cs="Times New Roman"/>
          <w:sz w:val="20"/>
          <w:szCs w:val="20"/>
          <w:lang w:val="pt-BR"/>
        </w:rPr>
        <w:br/>
      </w:r>
      <w:r w:rsidRPr="005B477D">
        <w:rPr>
          <w:rFonts w:ascii="Cambria" w:eastAsia="Times New Roman" w:hAnsi="Cambria" w:cs="Arial"/>
          <w:sz w:val="20"/>
          <w:szCs w:val="20"/>
          <w:lang w:val="pt-BR"/>
        </w:rPr>
        <w:t>PM 506-22 - Rusia Evelyn Pinto Centeno, Nicaragua</w:t>
      </w:r>
    </w:p>
    <w:p w14:paraId="770904FA" w14:textId="77777777" w:rsidR="008668B8" w:rsidRPr="005B477D" w:rsidRDefault="008668B8" w:rsidP="008668B8">
      <w:pPr>
        <w:jc w:val="both"/>
        <w:rPr>
          <w:rFonts w:ascii="Cambria" w:eastAsia="Times New Roman" w:hAnsi="Cambria" w:cs="Cambria"/>
          <w:sz w:val="20"/>
          <w:szCs w:val="20"/>
          <w:lang w:val="pt-BR"/>
        </w:rPr>
      </w:pPr>
    </w:p>
    <w:p w14:paraId="3010EAE0"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On July 31, 2022, the IACHR granted precautionary measures in favor of Rusia Evelyn Pinto Centeno with respect to Nicaragua, upon considering that she is in a serious and urgent situation entailing risk of irreparable harm to her rights in Nicaragua. The request for precautionary measures alleges that the proposed beneficiary, who is identified as an opponent of the current Nicaraguan government, is purportedly deprived of liberty at the La Esperanza Comprehensive Women’s Penitentiary Facility under inadequate conditions of detention and without receiving the necessary medical care. In addition, the request indicates that the proposed beneficiary is subject to constant surveillance, as well as stigmatizing and discriminatory treatment by prison officers. In accordance with Article 25 of the Rules of Procedure, the Commission requests that Nicaragua:</w:t>
      </w:r>
    </w:p>
    <w:p w14:paraId="140F6E1E" w14:textId="77777777" w:rsidR="008668B8" w:rsidRPr="005B477D" w:rsidRDefault="008668B8" w:rsidP="008668B8">
      <w:pPr>
        <w:jc w:val="both"/>
        <w:rPr>
          <w:rFonts w:ascii="Cambria" w:eastAsia="Times New Roman" w:hAnsi="Cambria" w:cs="Cambria"/>
          <w:sz w:val="20"/>
          <w:szCs w:val="20"/>
        </w:rPr>
      </w:pPr>
    </w:p>
    <w:p w14:paraId="2F00271A" w14:textId="77777777" w:rsidR="008668B8" w:rsidRPr="005B477D" w:rsidRDefault="008668B8" w:rsidP="00933F91">
      <w:pPr>
        <w:numPr>
          <w:ilvl w:val="0"/>
          <w:numId w:val="17"/>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protect the rights to life, personal integrity, and health of Rusia Evelyn Pinto Centeno;</w:t>
      </w:r>
    </w:p>
    <w:p w14:paraId="33E8DEBF" w14:textId="77777777" w:rsidR="008668B8" w:rsidRPr="005B477D" w:rsidRDefault="008668B8" w:rsidP="00933F91">
      <w:pPr>
        <w:numPr>
          <w:ilvl w:val="0"/>
          <w:numId w:val="17"/>
        </w:numPr>
        <w:contextualSpacing/>
        <w:jc w:val="both"/>
        <w:rPr>
          <w:rFonts w:ascii="Cambria" w:eastAsia="Times New Roman" w:hAnsi="Cambria" w:cs="Cambria"/>
          <w:sz w:val="20"/>
          <w:szCs w:val="20"/>
        </w:rPr>
      </w:pPr>
      <w:r w:rsidRPr="005B477D">
        <w:rPr>
          <w:rFonts w:ascii="Cambria" w:eastAsia="Times New Roman" w:hAnsi="Cambria" w:cs="Cambria"/>
          <w:sz w:val="20"/>
          <w:szCs w:val="20"/>
        </w:rPr>
        <w:t xml:space="preserve">Adopt the measures necessary to ensure that the conditions of detention of Ms. Rusia Evelyn Pinto Centeno are consistent with applicable international standards on the matter, including: i. allowing contact with her attorneys and legal representatives; ii. ensuring that she is not subject to discriminatory and stigmatizing treatment inside the penitentiary center; iii. immediately conducting an impartial and specialized medical evaluation of her current health status, including conducting the </w:t>
      </w:r>
      <w:r w:rsidRPr="005B477D">
        <w:rPr>
          <w:rFonts w:ascii="Cambria" w:eastAsia="Times New Roman" w:hAnsi="Cambria" w:cs="Cambria"/>
          <w:sz w:val="20"/>
          <w:szCs w:val="20"/>
        </w:rPr>
        <w:lastRenderedPageBreak/>
        <w:t>medical examinations needed to determine her health status; iv. providing her the necessary treatment and medications prescribed by competent health personnel; and v. in light of the conditions of detention and health of the proposed beneficiary, evaluating the granting of alternative measures to deprivation of liberty;</w:t>
      </w:r>
    </w:p>
    <w:p w14:paraId="07B6181C" w14:textId="77777777" w:rsidR="008668B8" w:rsidRPr="005B477D" w:rsidRDefault="008668B8" w:rsidP="00933F91">
      <w:pPr>
        <w:numPr>
          <w:ilvl w:val="0"/>
          <w:numId w:val="17"/>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adopted with the proposed beneficiary and her representatives;</w:t>
      </w:r>
    </w:p>
    <w:p w14:paraId="6FC7B207" w14:textId="77777777" w:rsidR="008668B8" w:rsidRPr="005B477D" w:rsidRDefault="008668B8" w:rsidP="00933F91">
      <w:pPr>
        <w:numPr>
          <w:ilvl w:val="0"/>
          <w:numId w:val="17"/>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the actions adopted to investigate the alleged events that led to adoption of this precautionary measure and thus prevent their recurrence.</w:t>
      </w:r>
    </w:p>
    <w:p w14:paraId="5B0597CC" w14:textId="77777777" w:rsidR="008668B8" w:rsidRPr="005B477D" w:rsidRDefault="008668B8" w:rsidP="008668B8">
      <w:pPr>
        <w:jc w:val="both"/>
        <w:rPr>
          <w:rFonts w:ascii="Cambria" w:eastAsia="Times New Roman" w:hAnsi="Cambria" w:cs="Cambria"/>
          <w:sz w:val="20"/>
          <w:szCs w:val="20"/>
        </w:rPr>
      </w:pPr>
    </w:p>
    <w:p w14:paraId="009D64A0" w14:textId="77777777" w:rsidR="008668B8" w:rsidRPr="005B477D" w:rsidRDefault="008668B8" w:rsidP="008668B8">
      <w:pPr>
        <w:rPr>
          <w:rFonts w:ascii="Cambria" w:eastAsia="Times New Roman" w:hAnsi="Cambria" w:cs="Cambria"/>
          <w:sz w:val="20"/>
          <w:szCs w:val="20"/>
        </w:rPr>
      </w:pPr>
      <w:r w:rsidRPr="005B477D">
        <w:rPr>
          <w:rFonts w:ascii="Cambria" w:eastAsia="Times New Roman" w:hAnsi="Cambria" w:cs="Cambria"/>
          <w:sz w:val="20"/>
          <w:szCs w:val="20"/>
        </w:rPr>
        <w:t>Resolution No. 42/22 (GRANT)</w:t>
      </w:r>
      <w:r w:rsidRPr="005B477D">
        <w:rPr>
          <w:rFonts w:ascii="Cambria" w:eastAsiaTheme="majorEastAsia" w:hAnsi="Cambria" w:cs="Times New Roman"/>
          <w:sz w:val="20"/>
          <w:szCs w:val="20"/>
        </w:rPr>
        <w:br/>
      </w:r>
      <w:r w:rsidRPr="005B477D">
        <w:rPr>
          <w:rFonts w:ascii="Cambria" w:eastAsia="Times New Roman" w:hAnsi="Cambria" w:cs="Cambria"/>
          <w:sz w:val="20"/>
          <w:szCs w:val="20"/>
        </w:rPr>
        <w:t>PM 485-22 - Yolanda del Carmen González Escobar and her nuclear family, Nicaragua</w:t>
      </w:r>
    </w:p>
    <w:p w14:paraId="3129F6BD" w14:textId="77777777" w:rsidR="008668B8" w:rsidRPr="005B477D" w:rsidRDefault="008668B8" w:rsidP="008668B8">
      <w:pPr>
        <w:jc w:val="both"/>
        <w:rPr>
          <w:rFonts w:ascii="Cambria" w:eastAsia="Times New Roman" w:hAnsi="Cambria" w:cs="Cambria"/>
          <w:sz w:val="20"/>
          <w:szCs w:val="20"/>
        </w:rPr>
      </w:pPr>
    </w:p>
    <w:p w14:paraId="31EB755F" w14:textId="77777777" w:rsidR="008668B8" w:rsidRDefault="008668B8" w:rsidP="00FE7ECD">
      <w:pPr>
        <w:jc w:val="both"/>
        <w:rPr>
          <w:rFonts w:ascii="Cambria" w:eastAsia="Times New Roman" w:hAnsi="Cambria" w:cs="Cambria"/>
          <w:sz w:val="20"/>
          <w:szCs w:val="20"/>
        </w:rPr>
      </w:pPr>
      <w:r w:rsidRPr="005B477D">
        <w:rPr>
          <w:rFonts w:ascii="Cambria" w:eastAsia="Times New Roman" w:hAnsi="Cambria" w:cs="Cambria"/>
          <w:sz w:val="20"/>
          <w:szCs w:val="20"/>
        </w:rPr>
        <w:t>On August 29, 2022, the IACHR granted precautionary measures in favor of Yolanda del Carmen González Escobar and her nuclear family, upon considering that she is in a serious and urgent situation entailing risk of irreparable harm to her rights. The request for precautionary measures alleges that the proposed beneficiary, who is identified or perceived as a political opponent of the current Nicaraguan government, has been subjected to threats, harassment, and constant surveillance by police and para-state agents from 2018 until the present. That situation intensified and she allegedly endured a violent raid, during which her family members were also harassed and threatened for participating in religious activities. In accordance with Article 25 of the Rules of Procedure, the Commission requests that Nicaragua:</w:t>
      </w:r>
    </w:p>
    <w:p w14:paraId="11580C4D" w14:textId="77777777" w:rsidR="00FE7ECD" w:rsidRPr="005B477D" w:rsidRDefault="00FE7ECD" w:rsidP="00FE7ECD">
      <w:pPr>
        <w:jc w:val="both"/>
        <w:rPr>
          <w:rFonts w:ascii="Cambria" w:eastAsia="Times New Roman" w:hAnsi="Cambria" w:cs="Cambria"/>
          <w:sz w:val="20"/>
          <w:szCs w:val="20"/>
        </w:rPr>
      </w:pPr>
    </w:p>
    <w:p w14:paraId="31029225" w14:textId="77777777" w:rsidR="008668B8" w:rsidRPr="005B477D" w:rsidRDefault="008668B8" w:rsidP="00933F91">
      <w:pPr>
        <w:numPr>
          <w:ilvl w:val="0"/>
          <w:numId w:val="16"/>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protect the rights to life and personal integrity of Yolanda del Carmen González Escobar and her nuclear family. To that end, the State should both ensure that its agents respect the life and personal integrity of the beneficiaries and protect their rights in relation to acts attributable to third parties, in accordance with the standards established by international human rights law;</w:t>
      </w:r>
    </w:p>
    <w:p w14:paraId="4AAD625B" w14:textId="77777777" w:rsidR="008668B8" w:rsidRPr="005B477D" w:rsidRDefault="008668B8" w:rsidP="00933F91">
      <w:pPr>
        <w:numPr>
          <w:ilvl w:val="0"/>
          <w:numId w:val="16"/>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adopted with the beneficiaries and their representatives; and</w:t>
      </w:r>
    </w:p>
    <w:p w14:paraId="78A31522" w14:textId="77777777" w:rsidR="008668B8" w:rsidRPr="005B477D" w:rsidRDefault="008668B8" w:rsidP="00933F91">
      <w:pPr>
        <w:numPr>
          <w:ilvl w:val="0"/>
          <w:numId w:val="16"/>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actions taken to investigate the alleged events that led to adoption of this resolution and thus prevent their recurrence.</w:t>
      </w:r>
    </w:p>
    <w:p w14:paraId="236EBA3B" w14:textId="77777777" w:rsidR="008668B8" w:rsidRPr="005B477D" w:rsidRDefault="008668B8" w:rsidP="008668B8">
      <w:pPr>
        <w:jc w:val="both"/>
        <w:rPr>
          <w:rFonts w:ascii="Cambria" w:eastAsia="Times New Roman" w:hAnsi="Cambria" w:cs="Cambria"/>
          <w:sz w:val="20"/>
          <w:szCs w:val="20"/>
        </w:rPr>
      </w:pPr>
    </w:p>
    <w:p w14:paraId="69EB2D17" w14:textId="77777777" w:rsidR="008668B8" w:rsidRPr="005B477D" w:rsidRDefault="008668B8" w:rsidP="008668B8">
      <w:pPr>
        <w:rPr>
          <w:rFonts w:ascii="Cambria" w:eastAsia="Times New Roman" w:hAnsi="Cambria" w:cs="Cambria"/>
          <w:sz w:val="20"/>
          <w:szCs w:val="20"/>
        </w:rPr>
      </w:pPr>
      <w:r w:rsidRPr="005B477D">
        <w:rPr>
          <w:rFonts w:ascii="Cambria" w:eastAsia="Times New Roman" w:hAnsi="Cambria" w:cs="Cambria"/>
          <w:sz w:val="20"/>
          <w:szCs w:val="20"/>
        </w:rPr>
        <w:t>Resolution No. 47/22 (GRANT)</w:t>
      </w:r>
      <w:r w:rsidRPr="005B477D">
        <w:rPr>
          <w:rFonts w:ascii="Cambria" w:eastAsiaTheme="majorEastAsia" w:hAnsi="Cambria" w:cs="Times New Roman"/>
          <w:sz w:val="20"/>
          <w:szCs w:val="20"/>
        </w:rPr>
        <w:br/>
      </w:r>
      <w:r w:rsidRPr="005B477D">
        <w:rPr>
          <w:rFonts w:ascii="Cambria" w:eastAsia="Times New Roman" w:hAnsi="Cambria" w:cs="Cambria"/>
          <w:sz w:val="20"/>
          <w:szCs w:val="20"/>
        </w:rPr>
        <w:t>PM 608-22, 625-22 - Edder Oniel Muñoz Centeno and Nidia Lorena Barbosa Castillo, Nicaragua</w:t>
      </w:r>
    </w:p>
    <w:p w14:paraId="7E2DCC61" w14:textId="77777777" w:rsidR="008668B8" w:rsidRPr="005B477D" w:rsidRDefault="008668B8" w:rsidP="008668B8">
      <w:pPr>
        <w:rPr>
          <w:rFonts w:eastAsia="Times New Roman" w:cs="Arial"/>
        </w:rPr>
      </w:pPr>
    </w:p>
    <w:p w14:paraId="3E069D33"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On September 23, 2022, the IACHR granted precautionary measures in favor of Edder Oniel Muñoz Centeno and Nidia Lorena Barbosa Castillo, upon considering that they are in a serious and urgent situation entailing risk of irreparable harm to their rights in Nicaragua. The requests for precautionary measures allege that the proposed beneficiaries, who are identified or perceived as opponents of the current Nicaraguan government, are being held in the National Penitentiary System unit in Granada under inadequate conditions of detention and without receiving necessary, timely, and adequate medical care to treat their different ailments. Specifically, the Commission noted the particularly vulnerable situation of Ms. Barbosa Castillo as an elderly woman. Consequently, in accordance with Article 25 of its Rules of Procedure, the IACHR requested that Nicaragua:</w:t>
      </w:r>
    </w:p>
    <w:p w14:paraId="1EC98007" w14:textId="77777777" w:rsidR="008668B8" w:rsidRPr="005B477D" w:rsidRDefault="008668B8" w:rsidP="008668B8">
      <w:pPr>
        <w:jc w:val="both"/>
        <w:rPr>
          <w:rFonts w:ascii="Cambria" w:eastAsia="Times New Roman" w:hAnsi="Cambria" w:cs="Cambria"/>
          <w:sz w:val="20"/>
          <w:szCs w:val="20"/>
        </w:rPr>
      </w:pPr>
    </w:p>
    <w:p w14:paraId="33413F7F" w14:textId="77777777" w:rsidR="008668B8" w:rsidRPr="005B477D" w:rsidRDefault="008668B8" w:rsidP="00933F91">
      <w:pPr>
        <w:numPr>
          <w:ilvl w:val="0"/>
          <w:numId w:val="15"/>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protect the rights to life, personal integrity, and health of the proposed beneficiaries;</w:t>
      </w:r>
    </w:p>
    <w:p w14:paraId="692DB264" w14:textId="77777777" w:rsidR="008668B8" w:rsidRPr="005B477D" w:rsidRDefault="008668B8" w:rsidP="00933F91">
      <w:pPr>
        <w:numPr>
          <w:ilvl w:val="0"/>
          <w:numId w:val="15"/>
        </w:numPr>
        <w:contextualSpacing/>
        <w:jc w:val="both"/>
        <w:rPr>
          <w:rFonts w:ascii="Cambria" w:eastAsia="Times New Roman" w:hAnsi="Cambria" w:cs="Cambria"/>
          <w:sz w:val="20"/>
          <w:szCs w:val="20"/>
        </w:rPr>
      </w:pPr>
      <w:r w:rsidRPr="31502C94">
        <w:rPr>
          <w:rFonts w:ascii="Cambria" w:eastAsia="Times New Roman" w:hAnsi="Cambria" w:cs="Cambria"/>
          <w:sz w:val="20"/>
          <w:szCs w:val="20"/>
        </w:rPr>
        <w:t xml:space="preserve">Adopt the measures necessary to ensure that the conditions of detention of the proposed beneficiaries are consistent with applicable international standards on the matter, including: i. allowing contact with their attorneys and legal representatives; ii. ensuring that they are not subject to threats, intimidation, harassment, or assaults within the penitentiary; iii. ensuring access to adequate and specialized medical care and an immediate specialized medical assessment of the health status of each of them; iv. providing the treatments and medications necessary to treat their respective ailments; v. providing </w:t>
      </w:r>
      <w:r w:rsidRPr="31502C94">
        <w:rPr>
          <w:rFonts w:ascii="Cambria" w:eastAsia="Times New Roman" w:hAnsi="Cambria" w:cs="Cambria"/>
          <w:sz w:val="20"/>
          <w:szCs w:val="20"/>
        </w:rPr>
        <w:lastRenderedPageBreak/>
        <w:t>adequate food; and, vi. in light of the conditions of detention and health of the proposed beneficiaries, evaluating the granting of alternative measures to deprivation of liberty;</w:t>
      </w:r>
    </w:p>
    <w:p w14:paraId="19219C91" w14:textId="77777777" w:rsidR="008668B8" w:rsidRPr="005B477D" w:rsidRDefault="008668B8" w:rsidP="00933F91">
      <w:pPr>
        <w:numPr>
          <w:ilvl w:val="0"/>
          <w:numId w:val="15"/>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adopted with the proposed beneficiaries and their representatives; and</w:t>
      </w:r>
    </w:p>
    <w:p w14:paraId="39803247" w14:textId="77777777" w:rsidR="008668B8" w:rsidRPr="005B477D" w:rsidRDefault="008668B8" w:rsidP="00933F91">
      <w:pPr>
        <w:numPr>
          <w:ilvl w:val="0"/>
          <w:numId w:val="15"/>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actions taken to investigate the alleged events that led to adoption of this resolution and thus prevent their recurrence.</w:t>
      </w:r>
    </w:p>
    <w:p w14:paraId="0615B233" w14:textId="77777777" w:rsidR="008668B8" w:rsidRPr="005B477D" w:rsidRDefault="008668B8" w:rsidP="008668B8">
      <w:pPr>
        <w:jc w:val="both"/>
        <w:rPr>
          <w:rFonts w:ascii="Cambria" w:eastAsia="Times New Roman" w:hAnsi="Cambria" w:cs="Cambria"/>
          <w:sz w:val="20"/>
          <w:szCs w:val="20"/>
        </w:rPr>
      </w:pPr>
    </w:p>
    <w:p w14:paraId="0962114B" w14:textId="77777777" w:rsidR="008668B8" w:rsidRPr="005B477D" w:rsidRDefault="008668B8" w:rsidP="008668B8">
      <w:pPr>
        <w:rPr>
          <w:rFonts w:ascii="Cambria" w:eastAsia="Times New Roman" w:hAnsi="Cambria" w:cs="Cambria"/>
          <w:sz w:val="20"/>
          <w:szCs w:val="20"/>
        </w:rPr>
      </w:pPr>
      <w:r w:rsidRPr="005B477D">
        <w:rPr>
          <w:rFonts w:ascii="Cambria" w:eastAsia="Times New Roman" w:hAnsi="Cambria" w:cs="Cambria"/>
          <w:sz w:val="20"/>
          <w:szCs w:val="20"/>
        </w:rPr>
        <w:t>Resolution No. 49/22 (GRANT)</w:t>
      </w:r>
      <w:r w:rsidRPr="005B477D">
        <w:rPr>
          <w:rFonts w:ascii="Cambria" w:eastAsiaTheme="majorEastAsia" w:hAnsi="Cambria" w:cs="Times New Roman"/>
          <w:sz w:val="20"/>
          <w:szCs w:val="20"/>
        </w:rPr>
        <w:br/>
      </w:r>
      <w:r w:rsidRPr="005B477D">
        <w:rPr>
          <w:rFonts w:ascii="Cambria" w:eastAsia="Times New Roman" w:hAnsi="Cambria" w:cs="Cambria"/>
          <w:sz w:val="20"/>
          <w:szCs w:val="20"/>
        </w:rPr>
        <w:t>PM 652-22 - Juan Lorenzo Holmann Chamorro and his nuclear family, Nicaragua</w:t>
      </w:r>
    </w:p>
    <w:p w14:paraId="123E17A8" w14:textId="77777777" w:rsidR="008668B8" w:rsidRPr="005B477D" w:rsidRDefault="008668B8" w:rsidP="008668B8">
      <w:pPr>
        <w:jc w:val="both"/>
        <w:rPr>
          <w:rFonts w:ascii="Cambria" w:eastAsia="Times New Roman" w:hAnsi="Cambria" w:cs="Cambria"/>
          <w:sz w:val="20"/>
          <w:szCs w:val="20"/>
        </w:rPr>
      </w:pPr>
    </w:p>
    <w:p w14:paraId="731E3E5A" w14:textId="77777777" w:rsidR="008668B8"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 xml:space="preserve">On September 29, 2022, the IACHR decided to grant precautionary measures in favor of Juan Lorenzo Holmann Chamorro and his nuclear family. According to the request, the beneficiary —who is the reported general manager of the independent media outlet </w:t>
      </w:r>
      <w:r w:rsidRPr="005B477D">
        <w:rPr>
          <w:rFonts w:ascii="Cambria" w:eastAsia="Times New Roman" w:hAnsi="Cambria" w:cs="Cambria"/>
          <w:i/>
          <w:iCs/>
          <w:sz w:val="20"/>
          <w:szCs w:val="20"/>
        </w:rPr>
        <w:t>Diario La Prensa</w:t>
      </w:r>
      <w:r w:rsidRPr="005B477D">
        <w:rPr>
          <w:rFonts w:ascii="Cambria" w:eastAsia="Times New Roman" w:hAnsi="Cambria" w:cs="Cambria"/>
          <w:sz w:val="20"/>
          <w:szCs w:val="20"/>
        </w:rPr>
        <w:t xml:space="preserve">— is detained in the Judicial Assistance Directorate, known as "Nuevo Chipote," under inadequate conditions of detention and without receive necessary, timely, and adequate medical care to treat his health conditions. In addition, the Commission emphasized its concern regarding impacts on the right to freedom of expression in Nicaragua’s current context and a series of actions against </w:t>
      </w:r>
      <w:r w:rsidRPr="005B477D">
        <w:rPr>
          <w:rFonts w:ascii="Cambria" w:eastAsia="Times New Roman" w:hAnsi="Cambria" w:cs="Cambria"/>
          <w:i/>
          <w:iCs/>
          <w:sz w:val="20"/>
          <w:szCs w:val="20"/>
        </w:rPr>
        <w:t>Diario La Prensa</w:t>
      </w:r>
      <w:r w:rsidRPr="005B477D">
        <w:rPr>
          <w:rFonts w:ascii="Cambria" w:eastAsia="Times New Roman" w:hAnsi="Cambria" w:cs="Cambria"/>
          <w:sz w:val="20"/>
          <w:szCs w:val="20"/>
        </w:rPr>
        <w:t>. Consequently, in accordance with Article 25 of its Rules of Procedure, the IACHR requested that Nicaragua:</w:t>
      </w:r>
    </w:p>
    <w:p w14:paraId="20703182" w14:textId="77777777" w:rsidR="00FE7ECD" w:rsidRPr="005B477D" w:rsidRDefault="00FE7ECD" w:rsidP="008668B8">
      <w:pPr>
        <w:jc w:val="both"/>
        <w:rPr>
          <w:rFonts w:ascii="Cambria" w:eastAsia="Times New Roman" w:hAnsi="Cambria" w:cs="Cambria"/>
          <w:sz w:val="20"/>
          <w:szCs w:val="20"/>
        </w:rPr>
      </w:pPr>
    </w:p>
    <w:p w14:paraId="6A4AF6FB" w14:textId="77777777" w:rsidR="008668B8" w:rsidRPr="005B477D" w:rsidRDefault="008668B8" w:rsidP="00933F91">
      <w:pPr>
        <w:numPr>
          <w:ilvl w:val="0"/>
          <w:numId w:val="14"/>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protect the rights to life, personal integrity, and health of Mr. Juan Lorenzo Holmann Chamorro and the members of his nuclear family;</w:t>
      </w:r>
    </w:p>
    <w:p w14:paraId="58F1F7CA" w14:textId="77777777" w:rsidR="008668B8" w:rsidRPr="005B477D" w:rsidRDefault="008668B8" w:rsidP="00933F91">
      <w:pPr>
        <w:numPr>
          <w:ilvl w:val="0"/>
          <w:numId w:val="14"/>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measures necessary to ensure that the beneficiary’s conditions of detention are consistent with applicable international standards on the matter, including: i. ensuring that he is not subject to threats, intimidation, harassment, or assaults inside the penitentiary; iii. ensuring access to adequate and specialized medical care, and an immediate and specialized medical assessment of his health status; iv. providing the treatments and medications necessary to treat his ailments; and v. in light of the beneficiary’s conditions of detention and health, evaluating the granting of alternative measures to deprivation of liberty;</w:t>
      </w:r>
    </w:p>
    <w:p w14:paraId="55BBDCD8" w14:textId="77777777" w:rsidR="008668B8" w:rsidRPr="005B477D" w:rsidRDefault="008668B8" w:rsidP="00933F91">
      <w:pPr>
        <w:numPr>
          <w:ilvl w:val="0"/>
          <w:numId w:val="14"/>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measures necessary to allow Juan Lorenzo Holmann Chamorro to carry out his activities without being subject to acts of violence, intimidation, threats, or harassment in the performance of his work. The foregoing includes adopting measures allowing him to duly exercise his right to freedom of expression;</w:t>
      </w:r>
    </w:p>
    <w:p w14:paraId="231429DB" w14:textId="77777777" w:rsidR="008668B8" w:rsidRPr="005B477D" w:rsidRDefault="008668B8" w:rsidP="00933F91">
      <w:pPr>
        <w:numPr>
          <w:ilvl w:val="0"/>
          <w:numId w:val="14"/>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measures to be adopted with the beneficiary and his representatives; and</w:t>
      </w:r>
    </w:p>
    <w:p w14:paraId="579672CD" w14:textId="77777777" w:rsidR="008668B8" w:rsidRPr="005B477D" w:rsidRDefault="008668B8" w:rsidP="00933F91">
      <w:pPr>
        <w:numPr>
          <w:ilvl w:val="0"/>
          <w:numId w:val="14"/>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actions taken to investigate the alleged events that led to adoption of this resolution and thus prevent their recurrence.</w:t>
      </w:r>
    </w:p>
    <w:p w14:paraId="41BEFDCF" w14:textId="77777777" w:rsidR="008668B8" w:rsidRPr="005B477D" w:rsidRDefault="008668B8" w:rsidP="008668B8">
      <w:pPr>
        <w:contextualSpacing/>
        <w:jc w:val="both"/>
        <w:rPr>
          <w:rFonts w:ascii="Cambria" w:eastAsia="Times New Roman" w:hAnsi="Cambria" w:cs="Cambria"/>
          <w:sz w:val="20"/>
          <w:szCs w:val="20"/>
        </w:rPr>
      </w:pPr>
    </w:p>
    <w:p w14:paraId="571BD826" w14:textId="77777777" w:rsidR="008668B8" w:rsidRPr="005B477D" w:rsidRDefault="008668B8" w:rsidP="008668B8">
      <w:pPr>
        <w:contextualSpacing/>
        <w:jc w:val="both"/>
        <w:rPr>
          <w:rFonts w:ascii="Cambria" w:eastAsia="Times New Roman" w:hAnsi="Cambria" w:cs="Cambria"/>
          <w:sz w:val="20"/>
          <w:szCs w:val="20"/>
        </w:rPr>
      </w:pPr>
      <w:r w:rsidRPr="005B477D">
        <w:rPr>
          <w:rFonts w:ascii="Cambria" w:eastAsia="Times New Roman" w:hAnsi="Cambria" w:cs="Cambria"/>
          <w:sz w:val="20"/>
          <w:szCs w:val="20"/>
        </w:rPr>
        <w:t>Resolution No. 56/22 (LIFT)</w:t>
      </w:r>
    </w:p>
    <w:p w14:paraId="623FFD7F" w14:textId="77777777" w:rsidR="008668B8" w:rsidRPr="005B477D" w:rsidRDefault="008668B8" w:rsidP="008668B8">
      <w:pPr>
        <w:contextualSpacing/>
        <w:jc w:val="both"/>
        <w:rPr>
          <w:rFonts w:ascii="Cambria" w:eastAsia="Times New Roman" w:hAnsi="Cambria" w:cs="Cambria"/>
          <w:sz w:val="20"/>
          <w:szCs w:val="20"/>
        </w:rPr>
      </w:pPr>
      <w:r w:rsidRPr="005B477D">
        <w:rPr>
          <w:rFonts w:ascii="Cambria" w:eastAsia="Times New Roman" w:hAnsi="Cambria" w:cs="Cambria"/>
          <w:sz w:val="20"/>
          <w:szCs w:val="20"/>
        </w:rPr>
        <w:t>PM 968-20 – Mariano Valle Peters, Nicaragua</w:t>
      </w:r>
    </w:p>
    <w:p w14:paraId="4BECED38" w14:textId="77777777" w:rsidR="008668B8" w:rsidRPr="005B477D" w:rsidRDefault="008668B8" w:rsidP="008668B8">
      <w:pPr>
        <w:contextualSpacing/>
        <w:jc w:val="both"/>
        <w:rPr>
          <w:rFonts w:ascii="Cambria" w:eastAsia="Times New Roman" w:hAnsi="Cambria" w:cs="Cambria"/>
          <w:sz w:val="20"/>
          <w:szCs w:val="20"/>
        </w:rPr>
      </w:pPr>
    </w:p>
    <w:p w14:paraId="5B554F64" w14:textId="77777777" w:rsidR="008668B8" w:rsidRPr="005B477D" w:rsidRDefault="008668B8" w:rsidP="008668B8">
      <w:pPr>
        <w:spacing w:after="192"/>
        <w:ind w:right="144"/>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The Inter-American Commission on Human Rights (IACHR) has decided to lift these precautionary measures in favor of Mr. Mariano Valle Peters, in Nicaragua. At the time of making the decision, the Commission assessed the change in circumstances and the request to have the measures lifted made by the representatives themselves. Upon not identifying compliance with the procedural requirements, the IACHR has decided to lift these measures under the terms of Article 25 of its Rules of Procedure.</w:t>
      </w:r>
    </w:p>
    <w:p w14:paraId="72D38531" w14:textId="77777777" w:rsidR="008668B8" w:rsidRPr="005B477D" w:rsidRDefault="008668B8" w:rsidP="008668B8">
      <w:pPr>
        <w:rPr>
          <w:rFonts w:ascii="Cambria" w:eastAsia="Times New Roman" w:hAnsi="Cambria" w:cs="Cambria"/>
          <w:sz w:val="20"/>
          <w:szCs w:val="20"/>
        </w:rPr>
      </w:pPr>
      <w:r w:rsidRPr="005B477D">
        <w:rPr>
          <w:rFonts w:ascii="Cambria" w:eastAsia="Times New Roman" w:hAnsi="Cambria" w:cs="Cambria"/>
          <w:sz w:val="20"/>
          <w:szCs w:val="20"/>
        </w:rPr>
        <w:t>Resolution No. 57/22 (GRANT)</w:t>
      </w:r>
      <w:r w:rsidRPr="005B477D">
        <w:rPr>
          <w:rFonts w:ascii="Cambria" w:eastAsiaTheme="majorEastAsia" w:hAnsi="Cambria" w:cs="Times New Roman"/>
          <w:sz w:val="20"/>
          <w:szCs w:val="20"/>
        </w:rPr>
        <w:br/>
      </w:r>
      <w:r w:rsidRPr="005B477D">
        <w:rPr>
          <w:rFonts w:ascii="Cambria" w:eastAsia="Times New Roman" w:hAnsi="Cambria" w:cs="Cambria"/>
          <w:sz w:val="20"/>
          <w:szCs w:val="20"/>
        </w:rPr>
        <w:t>PM 660-22 - José Santos Sánchez and his nuclear family, Nicaragua</w:t>
      </w:r>
    </w:p>
    <w:p w14:paraId="37A9AF26" w14:textId="77777777" w:rsidR="008668B8" w:rsidRPr="005B477D" w:rsidRDefault="008668B8" w:rsidP="008668B8">
      <w:pPr>
        <w:jc w:val="both"/>
        <w:rPr>
          <w:rFonts w:ascii="Cambria" w:eastAsia="Times New Roman" w:hAnsi="Cambria" w:cs="Cambria"/>
          <w:sz w:val="20"/>
          <w:szCs w:val="20"/>
        </w:rPr>
      </w:pPr>
    </w:p>
    <w:p w14:paraId="03B11282" w14:textId="77777777" w:rsidR="008668B8" w:rsidRDefault="008668B8" w:rsidP="00BA6719">
      <w:pPr>
        <w:jc w:val="both"/>
        <w:rPr>
          <w:rFonts w:ascii="Cambria" w:eastAsia="Times New Roman" w:hAnsi="Cambria" w:cs="Cambria"/>
          <w:sz w:val="20"/>
          <w:szCs w:val="20"/>
        </w:rPr>
      </w:pPr>
      <w:r w:rsidRPr="005B477D">
        <w:rPr>
          <w:rFonts w:ascii="Cambria" w:eastAsia="Times New Roman" w:hAnsi="Cambria" w:cs="Cambria"/>
          <w:sz w:val="20"/>
          <w:szCs w:val="20"/>
        </w:rPr>
        <w:t xml:space="preserve">On October 24, 2022, the IACHR decided to grant precautionary measures in favor of José Santos Sánchez and his nuclear family. According to the request, the beneficiary —who is reportedly identified or perceived as an opponent of the current Nicaraguan government— is being held in the facilities of the Jorge Navarro Penitentiary, known as </w:t>
      </w:r>
      <w:r w:rsidRPr="005B477D">
        <w:rPr>
          <w:rFonts w:ascii="Cambria" w:eastAsia="Times New Roman" w:hAnsi="Cambria" w:cs="Cambria"/>
          <w:i/>
          <w:iCs/>
          <w:sz w:val="20"/>
          <w:szCs w:val="20"/>
        </w:rPr>
        <w:t>La Modelo</w:t>
      </w:r>
      <w:r w:rsidRPr="005B477D">
        <w:rPr>
          <w:rFonts w:ascii="Cambria" w:eastAsia="Times New Roman" w:hAnsi="Cambria" w:cs="Cambria"/>
          <w:sz w:val="20"/>
          <w:szCs w:val="20"/>
        </w:rPr>
        <w:t xml:space="preserve">, under inadequate conditions of detention and without receiving necessary, </w:t>
      </w:r>
      <w:r w:rsidRPr="005B477D">
        <w:rPr>
          <w:rFonts w:ascii="Cambria" w:eastAsia="Times New Roman" w:hAnsi="Cambria" w:cs="Cambria"/>
          <w:sz w:val="20"/>
          <w:szCs w:val="20"/>
        </w:rPr>
        <w:lastRenderedPageBreak/>
        <w:t>timely, and adequate medical care for treating his health conditions. In addition, the Commission emphasizes its concern regarding the alleged acts of physical and psychological torture against Mr. Santos Sánchez, which allegedly produced side effects that could be related to his current symptoms. Consequently, in accordance with Article 25 of its Rules of Procedure, the IACHR requested that Nicaragua:</w:t>
      </w:r>
    </w:p>
    <w:p w14:paraId="0C35CF74" w14:textId="77777777" w:rsidR="00BA6719" w:rsidRPr="005B477D" w:rsidRDefault="00BA6719" w:rsidP="00BA6719">
      <w:pPr>
        <w:jc w:val="both"/>
        <w:rPr>
          <w:rFonts w:ascii="Cambria" w:eastAsia="Times New Roman" w:hAnsi="Cambria" w:cs="Cambria"/>
          <w:sz w:val="20"/>
          <w:szCs w:val="20"/>
        </w:rPr>
      </w:pPr>
    </w:p>
    <w:p w14:paraId="3B1FC691" w14:textId="77777777" w:rsidR="008668B8" w:rsidRPr="005B477D" w:rsidRDefault="008668B8" w:rsidP="00933F91">
      <w:pPr>
        <w:numPr>
          <w:ilvl w:val="0"/>
          <w:numId w:val="13"/>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protect the rights to life, personal integrity, and health of Mr. José Santos Sánchez and the members of his nuclear family;</w:t>
      </w:r>
    </w:p>
    <w:p w14:paraId="4D116B23" w14:textId="77777777" w:rsidR="008668B8" w:rsidRPr="005B477D" w:rsidRDefault="008668B8" w:rsidP="00933F91">
      <w:pPr>
        <w:numPr>
          <w:ilvl w:val="0"/>
          <w:numId w:val="13"/>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measures necessary to ensure that the beneficiary’s conditions of detention are consistent with applicable international standards on the matter, including: i. ensuring that he is not subject to threats, intimidation, harassment, or assaults inside the penitentiary; ii. ensuring access to adequate and specialized medical care and an immediate specialized assessment of his health status; iii. providing the treatments and medications needed to treat his ailments; iv. providing adequate food; and v. in light of the beneficiary’s conditions of detention and health, evaluating the granting of alternative measures to the deprivation of liberty;</w:t>
      </w:r>
    </w:p>
    <w:p w14:paraId="3047FBFA" w14:textId="77777777" w:rsidR="008668B8" w:rsidRPr="005B477D" w:rsidRDefault="008668B8" w:rsidP="00933F91">
      <w:pPr>
        <w:numPr>
          <w:ilvl w:val="0"/>
          <w:numId w:val="13"/>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adopted with the beneficiary and his representatives; and</w:t>
      </w:r>
    </w:p>
    <w:p w14:paraId="549A6CA0" w14:textId="77777777" w:rsidR="008668B8" w:rsidRPr="005B477D" w:rsidRDefault="008668B8" w:rsidP="00933F91">
      <w:pPr>
        <w:numPr>
          <w:ilvl w:val="0"/>
          <w:numId w:val="13"/>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actions taken to investigate the alleged events that led to adoption of this resolution and thus prevent their recurrence.</w:t>
      </w:r>
    </w:p>
    <w:p w14:paraId="434628EA" w14:textId="77777777" w:rsidR="008668B8" w:rsidRPr="005B477D" w:rsidRDefault="008668B8" w:rsidP="008668B8">
      <w:pPr>
        <w:ind w:left="720"/>
        <w:contextualSpacing/>
        <w:jc w:val="both"/>
        <w:rPr>
          <w:rFonts w:ascii="Cambria" w:eastAsia="Times New Roman" w:hAnsi="Cambria" w:cs="Cambria"/>
          <w:sz w:val="20"/>
          <w:szCs w:val="20"/>
        </w:rPr>
      </w:pPr>
    </w:p>
    <w:p w14:paraId="759C7D55" w14:textId="77777777" w:rsidR="008668B8" w:rsidRPr="005B477D" w:rsidRDefault="008668B8" w:rsidP="008668B8">
      <w:pPr>
        <w:contextualSpacing/>
        <w:jc w:val="both"/>
        <w:rPr>
          <w:rFonts w:ascii="Cambria" w:eastAsia="Times New Roman" w:hAnsi="Cambria" w:cs="Cambria"/>
          <w:sz w:val="20"/>
          <w:szCs w:val="20"/>
        </w:rPr>
      </w:pPr>
      <w:r w:rsidRPr="005B477D">
        <w:rPr>
          <w:rFonts w:ascii="Cambria" w:eastAsia="Times New Roman" w:hAnsi="Cambria" w:cs="Cambria"/>
          <w:sz w:val="20"/>
          <w:szCs w:val="20"/>
        </w:rPr>
        <w:t>Resolution No. 58/22 (GRANT)</w:t>
      </w:r>
    </w:p>
    <w:p w14:paraId="0F812E67" w14:textId="77777777" w:rsidR="008668B8" w:rsidRPr="005B477D" w:rsidRDefault="008668B8" w:rsidP="008668B8">
      <w:pPr>
        <w:contextualSpacing/>
        <w:jc w:val="both"/>
        <w:rPr>
          <w:rFonts w:ascii="Cambria" w:eastAsia="Times New Roman" w:hAnsi="Cambria" w:cs="Cambria"/>
          <w:sz w:val="20"/>
          <w:szCs w:val="20"/>
        </w:rPr>
      </w:pPr>
      <w:r w:rsidRPr="005B477D">
        <w:rPr>
          <w:rFonts w:ascii="Cambria" w:eastAsia="Times New Roman" w:hAnsi="Cambria" w:cs="Cambria"/>
          <w:sz w:val="20"/>
          <w:szCs w:val="20"/>
        </w:rPr>
        <w:t xml:space="preserve">PM 367-22 – E.A.G.A. and his family, Nicaragua </w:t>
      </w:r>
    </w:p>
    <w:p w14:paraId="69DDD718" w14:textId="77777777" w:rsidR="008668B8" w:rsidRPr="005B477D" w:rsidRDefault="008668B8" w:rsidP="008668B8">
      <w:pPr>
        <w:contextualSpacing/>
        <w:jc w:val="both"/>
        <w:rPr>
          <w:rFonts w:ascii="Cambria" w:eastAsia="Times New Roman" w:hAnsi="Cambria" w:cs="Cambria"/>
          <w:sz w:val="20"/>
          <w:szCs w:val="20"/>
        </w:rPr>
      </w:pPr>
    </w:p>
    <w:p w14:paraId="7E919DF7" w14:textId="77777777" w:rsidR="008668B8" w:rsidRPr="005B477D" w:rsidRDefault="008668B8" w:rsidP="008668B8">
      <w:pPr>
        <w:ind w:right="144"/>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On October 26, 2022, the IACHR granted precautionary measures in favor of E.A.G.A. and his family unit, after considering that they are in a serious and urgent situation presenting a risk of irreparable harm to their rights. The request for precautionary measures alleges that the proposed beneficiary is identified or perceived as a political opponent of the current Nicaraguan government as a result of his participation as a leading member of organizations that have been allegedly in charge with financing civic protests, as well as his work as a lawyer in the defense of persons known as “political prisoners”. Due to the foregoing, the proposed beneficiary is reportedly being subjected to threats, harassment, and constant surveillance by police and parastatal agents since 2018 to date. In accordance with Article 25 of the Rules of Procedure, the Commission requests that Nicaragua:</w:t>
      </w:r>
    </w:p>
    <w:p w14:paraId="3365FC4D" w14:textId="77777777" w:rsidR="008668B8" w:rsidRPr="005B477D" w:rsidRDefault="008668B8" w:rsidP="008668B8">
      <w:pPr>
        <w:ind w:right="144"/>
        <w:jc w:val="both"/>
        <w:rPr>
          <w:rFonts w:ascii="Cambria" w:eastAsia="Times New Roman" w:hAnsi="Cambria" w:cs="Tahoma"/>
          <w:sz w:val="20"/>
          <w:szCs w:val="20"/>
          <w:lang w:eastAsia="es-AR"/>
        </w:rPr>
      </w:pPr>
    </w:p>
    <w:p w14:paraId="6A8CDB47" w14:textId="77777777" w:rsidR="008668B8" w:rsidRPr="005B477D" w:rsidRDefault="008668B8" w:rsidP="00933F91">
      <w:pPr>
        <w:numPr>
          <w:ilvl w:val="0"/>
          <w:numId w:val="43"/>
        </w:numPr>
        <w:jc w:val="both"/>
        <w:rPr>
          <w:rFonts w:ascii="Cambria" w:eastAsia="Times New Roman" w:hAnsi="Cambria" w:cs="Tahoma"/>
          <w:sz w:val="20"/>
          <w:szCs w:val="20"/>
          <w:lang w:eastAsia="es-AR"/>
        </w:rPr>
      </w:pPr>
      <w:r w:rsidRPr="31502C94">
        <w:rPr>
          <w:rFonts w:ascii="Cambria" w:eastAsia="Times New Roman" w:hAnsi="Cambria" w:cs="Tahoma"/>
          <w:sz w:val="20"/>
          <w:szCs w:val="20"/>
          <w:lang w:eastAsia="es-AR"/>
        </w:rPr>
        <w:t xml:space="preserve">Adopt the necessary measures to protect the rights to life and personal integrity of E.A.G.A. and </w:t>
      </w:r>
      <w:bookmarkStart w:id="56" w:name="_Int_KNN2nr41"/>
      <w:r w:rsidRPr="31502C94">
        <w:rPr>
          <w:rFonts w:ascii="Cambria" w:eastAsia="Times New Roman" w:hAnsi="Cambria" w:cs="Tahoma"/>
          <w:sz w:val="20"/>
          <w:szCs w:val="20"/>
          <w:lang w:eastAsia="es-AR"/>
        </w:rPr>
        <w:t>his</w:t>
      </w:r>
      <w:bookmarkEnd w:id="56"/>
      <w:r w:rsidRPr="31502C94">
        <w:rPr>
          <w:rFonts w:ascii="Cambria" w:eastAsia="Times New Roman" w:hAnsi="Cambria" w:cs="Tahoma"/>
          <w:sz w:val="20"/>
          <w:szCs w:val="20"/>
          <w:lang w:eastAsia="es-AR"/>
        </w:rPr>
        <w:t xml:space="preserve"> family unit. To this end, the State must both ensure that state actors respect the beneficiaries’ life and personal integrity, and protect their rights in relation to acts of risk attributable to third parties, in accordance with the standards established by international human rights law; take immediate measures to ensure the beneficiary is safe and can continue his legal defense work on behalf of persons detained in Nicaragua;</w:t>
      </w:r>
    </w:p>
    <w:p w14:paraId="38C533AC" w14:textId="77777777" w:rsidR="008668B8" w:rsidRPr="005B477D" w:rsidRDefault="008668B8" w:rsidP="00933F91">
      <w:pPr>
        <w:numPr>
          <w:ilvl w:val="0"/>
          <w:numId w:val="43"/>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Consult and agree upon the measures to be adopted with the beneficiaries and their representatives; and</w:t>
      </w:r>
    </w:p>
    <w:p w14:paraId="005C1126" w14:textId="77777777" w:rsidR="008668B8" w:rsidRPr="005B477D" w:rsidRDefault="008668B8" w:rsidP="00933F91">
      <w:pPr>
        <w:numPr>
          <w:ilvl w:val="0"/>
          <w:numId w:val="43"/>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Report on the actions taken to investigate the alleged events that led to the adoption of this precautionary measure, so as to prevent such events from reoccurring.</w:t>
      </w:r>
    </w:p>
    <w:p w14:paraId="670A931A" w14:textId="77777777" w:rsidR="008668B8" w:rsidRPr="005B477D" w:rsidRDefault="008668B8" w:rsidP="008668B8">
      <w:pPr>
        <w:ind w:left="720"/>
        <w:jc w:val="both"/>
        <w:rPr>
          <w:rFonts w:ascii="Cambria" w:eastAsia="Times New Roman" w:hAnsi="Cambria" w:cs="Tahoma"/>
          <w:sz w:val="20"/>
          <w:szCs w:val="20"/>
          <w:lang w:eastAsia="es-AR"/>
        </w:rPr>
      </w:pPr>
    </w:p>
    <w:p w14:paraId="1BBA4469" w14:textId="77777777" w:rsidR="008668B8" w:rsidRPr="005B477D" w:rsidRDefault="008668B8" w:rsidP="008668B8">
      <w:pPr>
        <w:jc w:val="both"/>
        <w:rPr>
          <w:rFonts w:ascii="Cambria" w:eastAsia="Times New Roman" w:hAnsi="Cambria" w:cs="Cambria"/>
          <w:sz w:val="20"/>
          <w:szCs w:val="20"/>
          <w:lang w:val="es-CO"/>
        </w:rPr>
      </w:pPr>
      <w:r w:rsidRPr="31502C94">
        <w:rPr>
          <w:rFonts w:ascii="Cambria" w:eastAsia="Times New Roman" w:hAnsi="Cambria" w:cs="Cambria"/>
          <w:sz w:val="20"/>
          <w:szCs w:val="20"/>
          <w:lang w:val="es-CO"/>
        </w:rPr>
        <w:t>Resolution No. 64/22 (EXTENSION)</w:t>
      </w:r>
    </w:p>
    <w:p w14:paraId="53DF2A96" w14:textId="77777777" w:rsidR="008668B8" w:rsidRPr="005B477D" w:rsidRDefault="008668B8" w:rsidP="008668B8">
      <w:pPr>
        <w:jc w:val="both"/>
        <w:rPr>
          <w:rFonts w:ascii="Cambria" w:eastAsia="Times New Roman" w:hAnsi="Cambria" w:cs="Cambria"/>
          <w:sz w:val="20"/>
          <w:szCs w:val="20"/>
          <w:lang w:val="es-CO"/>
        </w:rPr>
      </w:pPr>
      <w:r w:rsidRPr="005B477D">
        <w:rPr>
          <w:rFonts w:ascii="Cambria" w:eastAsia="Times New Roman" w:hAnsi="Cambria" w:cs="Cambria"/>
          <w:sz w:val="20"/>
          <w:szCs w:val="20"/>
          <w:lang w:val="es-CO"/>
        </w:rPr>
        <w:t xml:space="preserve">Pm 693-18 – Katya Milady Reyes Ortiz, Nicaragua </w:t>
      </w:r>
    </w:p>
    <w:p w14:paraId="3371B068" w14:textId="77777777" w:rsidR="008668B8" w:rsidRPr="005B477D" w:rsidRDefault="008668B8" w:rsidP="008668B8">
      <w:pPr>
        <w:jc w:val="both"/>
        <w:rPr>
          <w:rFonts w:ascii="Cambria" w:eastAsia="Times New Roman" w:hAnsi="Cambria" w:cs="Cambria"/>
          <w:sz w:val="20"/>
          <w:szCs w:val="20"/>
          <w:lang w:val="es-CO"/>
        </w:rPr>
      </w:pPr>
    </w:p>
    <w:p w14:paraId="2B895F8C" w14:textId="77777777" w:rsidR="008668B8" w:rsidRPr="005B477D" w:rsidRDefault="008668B8" w:rsidP="008668B8">
      <w:pPr>
        <w:ind w:right="144"/>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 xml:space="preserve">On November 14, 2022, the IACHR decided to extend precautionary measures in favor of Katya Milady Reyes Ortiz. The request indicates that Ms. Reyes is a journalist and has been part of the Radio Darío team since 2016; and in that sense, she has been the subject of threats and harassment in the context of repression of independent journalism in Nicaragua. Upon analyzing the submissions of fact and law provided by the representatives and not disproved by the State, the Commission considered that the beneficiary is in a serious and urgent situation, given that from the applicable prima facie standard she is facing a risk of irreparable </w:t>
      </w:r>
      <w:r w:rsidRPr="005B477D">
        <w:rPr>
          <w:rFonts w:ascii="Cambria" w:eastAsia="Times New Roman" w:hAnsi="Cambria" w:cs="Tahoma"/>
          <w:sz w:val="20"/>
          <w:szCs w:val="20"/>
          <w:lang w:eastAsia="es-AR"/>
        </w:rPr>
        <w:lastRenderedPageBreak/>
        <w:t>harm to her rights. Consequently, based on Article 25 of its Rules of Procedure, the Commission requests that the State of Nicaragua:</w:t>
      </w:r>
    </w:p>
    <w:p w14:paraId="50234890" w14:textId="77777777" w:rsidR="008668B8" w:rsidRPr="005B477D" w:rsidRDefault="008668B8" w:rsidP="008668B8">
      <w:pPr>
        <w:ind w:right="144"/>
        <w:jc w:val="both"/>
        <w:rPr>
          <w:rFonts w:ascii="Cambria" w:eastAsia="Times New Roman" w:hAnsi="Cambria" w:cs="Tahoma"/>
          <w:sz w:val="20"/>
          <w:szCs w:val="20"/>
          <w:lang w:eastAsia="es-AR"/>
        </w:rPr>
      </w:pPr>
    </w:p>
    <w:p w14:paraId="74A399D2" w14:textId="77777777" w:rsidR="008668B8" w:rsidRPr="005B477D" w:rsidRDefault="008668B8" w:rsidP="00933F91">
      <w:pPr>
        <w:numPr>
          <w:ilvl w:val="0"/>
          <w:numId w:val="42"/>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Adopt the necessary measures to guarantee the rights to life and personal integrity of Ms. Katya Milady Reyes Ortiz. In particular, the State must ensure that its agents respect the beneficiary’s rights in accordance with the standards established by international human rights law, as well as in relation to acts of risk attributable to third parties;</w:t>
      </w:r>
    </w:p>
    <w:p w14:paraId="43510181" w14:textId="77777777" w:rsidR="008668B8" w:rsidRPr="005B477D" w:rsidRDefault="008668B8" w:rsidP="00933F91">
      <w:pPr>
        <w:numPr>
          <w:ilvl w:val="0"/>
          <w:numId w:val="42"/>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Adopt the necessary measures so that Ms. Katya Milady Reyes Ortiz can carry out her work as a journalist without being subjected to acts of intimidation, threats, or other acts of violence in the exercise thereof;</w:t>
      </w:r>
    </w:p>
    <w:p w14:paraId="15B38137" w14:textId="77777777" w:rsidR="008668B8" w:rsidRPr="005B477D" w:rsidRDefault="008668B8" w:rsidP="00933F91">
      <w:pPr>
        <w:numPr>
          <w:ilvl w:val="0"/>
          <w:numId w:val="42"/>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Consult and agree upon the measures to be adopted with the beneficiary and her representatives; and</w:t>
      </w:r>
    </w:p>
    <w:p w14:paraId="2270DC2C" w14:textId="77777777" w:rsidR="008668B8" w:rsidRPr="005B477D" w:rsidRDefault="008668B8" w:rsidP="00933F91">
      <w:pPr>
        <w:numPr>
          <w:ilvl w:val="0"/>
          <w:numId w:val="42"/>
        </w:numPr>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Report on the actions taken to investigate the alleged events that led to the adoption of the precautionary measures at hand.</w:t>
      </w:r>
    </w:p>
    <w:p w14:paraId="5EBB3882" w14:textId="77777777" w:rsidR="008668B8" w:rsidRPr="005B477D" w:rsidRDefault="008668B8" w:rsidP="008668B8">
      <w:pPr>
        <w:ind w:left="720"/>
        <w:jc w:val="both"/>
        <w:rPr>
          <w:rFonts w:ascii="Cambria" w:eastAsia="Times New Roman" w:hAnsi="Cambria" w:cs="Tahoma"/>
          <w:sz w:val="20"/>
          <w:szCs w:val="20"/>
          <w:lang w:eastAsia="es-AR"/>
        </w:rPr>
      </w:pPr>
    </w:p>
    <w:p w14:paraId="4F73B9BA"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Resolution No. 68/22 (GRANT)</w:t>
      </w:r>
    </w:p>
    <w:p w14:paraId="25A900FE"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PM 265-22; 859-22; 866-22 – Cynthia Samantha Jirón Padilla Ubieta, Jeannine Horvilleur Cuadra, Ana Carolina Álvarez Horvilleur, and Harry Bayardo Chávez Cerda, Nicaragua</w:t>
      </w:r>
    </w:p>
    <w:p w14:paraId="5F97E3BE" w14:textId="77777777" w:rsidR="008668B8" w:rsidRPr="005B477D" w:rsidRDefault="008668B8" w:rsidP="008668B8">
      <w:pPr>
        <w:spacing w:before="192" w:after="192"/>
        <w:ind w:right="144"/>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 xml:space="preserve">On December 6, 2022, the IACHR granted precautionary measures in favor of Cynthia Samantha Jirón Padilla Ubieta and her family; Jeannine Horvilleur Cuadra, Ana Carolina Álvarez Horvilleur, and their respective families; and Harry Bayardo Chávez Cerda, after considering that they are in a serious and urgent situation presenting a risk of irreparable harm to their rights. The requests for precautionary measures allege that the beneficiaries are identified as political opponents of the current Nicaraguan government, have been deprived of their liberty since November 2021 and September 2022, in appalling conditions of detention and without receiving timely and adequate medical attention. Specifically, the Commission noted the special situation of vulnerability of Ms. Jeannine Horvilleur and Mr. Harry Chávez, due to their condition as elderly persons with underlying health problems. In accordance with Article 25 of the Rules of Procedure, the Commission requests that Nicaragua: </w:t>
      </w:r>
    </w:p>
    <w:p w14:paraId="6108D733" w14:textId="77777777" w:rsidR="008668B8" w:rsidRPr="005B477D" w:rsidRDefault="008668B8" w:rsidP="00933F91">
      <w:pPr>
        <w:numPr>
          <w:ilvl w:val="0"/>
          <w:numId w:val="44"/>
        </w:numPr>
        <w:ind w:right="144"/>
        <w:contextualSpacing/>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Adopt the necessary measures to protect the rights to life, personal integrity, and health of Cynthia Samantha Jirón Padilla Ubieta and her family unit; Jeannine Horvilleur Cuadra, Ana Carolina Álvarez Horvilleur and their respective family units; and Harry Bayardo Chávez Cerda;</w:t>
      </w:r>
    </w:p>
    <w:p w14:paraId="2B349DF0" w14:textId="77777777" w:rsidR="008668B8" w:rsidRPr="005B477D" w:rsidRDefault="008668B8" w:rsidP="00933F91">
      <w:pPr>
        <w:numPr>
          <w:ilvl w:val="0"/>
          <w:numId w:val="44"/>
        </w:numPr>
        <w:ind w:right="144"/>
        <w:contextualSpacing/>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 xml:space="preserve">Adopt the necessary measures to ensure that the beneficiaries’ detention conditions are compatible with the applicable international standards in this area, including: i. ensuring that they are not subject to threats, intimidation, harassment, or assaults within the penitentiary center; ii. guaranteeing access to adequate and specialized medical care, and a specialized medical assessment is immediately carried out on their health situation; iii. granting the necessary treatments and medicines to treat their conditions; and iv. assessing the granting of alternative measures to the deprivation of liberty in light of the detention conditions and the beneficiaries’ health; </w:t>
      </w:r>
    </w:p>
    <w:p w14:paraId="1C9BD4EF" w14:textId="77777777" w:rsidR="008668B8" w:rsidRPr="005B477D" w:rsidRDefault="008668B8" w:rsidP="00933F91">
      <w:pPr>
        <w:numPr>
          <w:ilvl w:val="0"/>
          <w:numId w:val="44"/>
        </w:numPr>
        <w:ind w:right="144"/>
        <w:contextualSpacing/>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 xml:space="preserve">Consult and agree upon the measures to be adopted with the beneficiaries and their representatives; and </w:t>
      </w:r>
    </w:p>
    <w:p w14:paraId="21449903" w14:textId="77777777" w:rsidR="008668B8" w:rsidRPr="005B477D" w:rsidRDefault="008668B8" w:rsidP="00933F91">
      <w:pPr>
        <w:numPr>
          <w:ilvl w:val="0"/>
          <w:numId w:val="44"/>
        </w:numPr>
        <w:ind w:right="144"/>
        <w:contextualSpacing/>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Report on the actions taken to investigate the alleged events that led to the adoption of this precautionary measure, so as to prevent similar events from reoccurring.</w:t>
      </w:r>
    </w:p>
    <w:p w14:paraId="5FAEC6CE" w14:textId="77777777" w:rsidR="008668B8" w:rsidRPr="005B477D" w:rsidRDefault="008668B8" w:rsidP="008668B8">
      <w:pPr>
        <w:ind w:right="144"/>
        <w:jc w:val="both"/>
        <w:rPr>
          <w:rFonts w:ascii="Cambria" w:eastAsia="Times New Roman" w:hAnsi="Cambria" w:cs="Tahoma"/>
          <w:sz w:val="20"/>
          <w:szCs w:val="20"/>
          <w:lang w:eastAsia="es-AR"/>
        </w:rPr>
      </w:pPr>
    </w:p>
    <w:p w14:paraId="4F0DA7F3"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Resolution No. 71/22 (GRANT)</w:t>
      </w:r>
    </w:p>
    <w:p w14:paraId="59F0EA52"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PM 873-21 – Moisés Alberto Silva González and his family, Nicaragua</w:t>
      </w:r>
    </w:p>
    <w:p w14:paraId="0A5A2BDA" w14:textId="77777777" w:rsidR="008668B8" w:rsidRPr="005B477D" w:rsidRDefault="008668B8" w:rsidP="008668B8">
      <w:pPr>
        <w:jc w:val="both"/>
        <w:rPr>
          <w:rFonts w:ascii="Cambria" w:eastAsia="Times New Roman" w:hAnsi="Cambria" w:cs="Cambria"/>
          <w:sz w:val="20"/>
          <w:szCs w:val="20"/>
        </w:rPr>
      </w:pPr>
    </w:p>
    <w:p w14:paraId="4050F86D" w14:textId="77777777" w:rsidR="008668B8" w:rsidRPr="005B477D" w:rsidRDefault="008668B8" w:rsidP="008668B8">
      <w:pPr>
        <w:jc w:val="both"/>
        <w:rPr>
          <w:rFonts w:ascii="Cambria" w:eastAsia="Times New Roman" w:hAnsi="Cambria" w:cs="Arial"/>
          <w:sz w:val="20"/>
          <w:szCs w:val="20"/>
        </w:rPr>
      </w:pPr>
      <w:r w:rsidRPr="005B477D">
        <w:rPr>
          <w:rFonts w:ascii="Cambria" w:eastAsia="Times New Roman" w:hAnsi="Cambria" w:cs="Arial"/>
          <w:sz w:val="20"/>
          <w:szCs w:val="20"/>
        </w:rPr>
        <w:t xml:space="preserve">On December 11, 2022, the IACHR granted precautionary measures in favor of Moisés Alberto Silva González and his family unit upon deciding that they are in a serious and urgent situation of risk of irreparable harm to their rights. The request for precautionary measures alleges that the proposed beneficiary is identified as a political opponent of the current Nicaraguan government, given his participation in civic protests and social movements. Due to the foregoing, the proposed beneficiary and his family members have reportedly been </w:t>
      </w:r>
      <w:r w:rsidRPr="005B477D">
        <w:rPr>
          <w:rFonts w:ascii="Cambria" w:eastAsia="Times New Roman" w:hAnsi="Cambria" w:cs="Arial"/>
          <w:sz w:val="20"/>
          <w:szCs w:val="20"/>
        </w:rPr>
        <w:lastRenderedPageBreak/>
        <w:t>subject to acts of threats, harassment, and surveillance by state and parastatal agents since 2018 to date. In accordance with Article 25 of the Rules of Procedure, the Commission requests Nicaragua to:</w:t>
      </w:r>
    </w:p>
    <w:p w14:paraId="7D574A35" w14:textId="77777777" w:rsidR="008668B8" w:rsidRPr="005B477D" w:rsidRDefault="008668B8" w:rsidP="008668B8">
      <w:pPr>
        <w:jc w:val="both"/>
        <w:rPr>
          <w:rFonts w:ascii="Cambria" w:eastAsia="Times New Roman" w:hAnsi="Cambria" w:cs="Arial"/>
          <w:sz w:val="20"/>
          <w:szCs w:val="20"/>
        </w:rPr>
      </w:pPr>
    </w:p>
    <w:p w14:paraId="18C6C094" w14:textId="77777777" w:rsidR="008668B8" w:rsidRPr="005B477D" w:rsidRDefault="008668B8" w:rsidP="00933F91">
      <w:pPr>
        <w:numPr>
          <w:ilvl w:val="0"/>
          <w:numId w:val="45"/>
        </w:numPr>
        <w:contextualSpacing/>
        <w:jc w:val="both"/>
        <w:rPr>
          <w:rFonts w:ascii="Cambria" w:eastAsia="Times New Roman" w:hAnsi="Cambria" w:cs="Arial"/>
          <w:sz w:val="20"/>
          <w:szCs w:val="20"/>
        </w:rPr>
      </w:pPr>
      <w:r w:rsidRPr="005B477D">
        <w:rPr>
          <w:rFonts w:ascii="Cambria" w:eastAsia="Times New Roman" w:hAnsi="Cambria" w:cs="Arial"/>
          <w:sz w:val="20"/>
          <w:szCs w:val="20"/>
        </w:rPr>
        <w:t>Adopt the necessary measures to protect the rights to life and personal integrity of the proposed beneficiaries. To this end, the State must both ensure that state actors respect the beneficiaries’ life and personal integrity, and protect their rights in relation to acts of risk attributable to third parties, in accordance with the standards established by international human rights law;</w:t>
      </w:r>
    </w:p>
    <w:p w14:paraId="1BD6A1D8" w14:textId="77777777" w:rsidR="008668B8" w:rsidRPr="005B477D" w:rsidRDefault="008668B8" w:rsidP="00933F91">
      <w:pPr>
        <w:numPr>
          <w:ilvl w:val="0"/>
          <w:numId w:val="45"/>
        </w:numPr>
        <w:contextualSpacing/>
        <w:jc w:val="both"/>
        <w:rPr>
          <w:rFonts w:ascii="Cambria" w:eastAsia="Times New Roman" w:hAnsi="Cambria" w:cs="Arial"/>
          <w:sz w:val="20"/>
          <w:szCs w:val="20"/>
        </w:rPr>
      </w:pPr>
      <w:r w:rsidRPr="005B477D">
        <w:rPr>
          <w:rFonts w:ascii="Cambria" w:eastAsia="Times New Roman" w:hAnsi="Cambria" w:cs="Arial"/>
          <w:sz w:val="20"/>
          <w:szCs w:val="20"/>
        </w:rPr>
        <w:t>Consult and agree upon the measures to be adopted with the beneficiaries and their representatives; and</w:t>
      </w:r>
    </w:p>
    <w:p w14:paraId="140B982A" w14:textId="77777777" w:rsidR="008668B8" w:rsidRPr="005B477D" w:rsidRDefault="008668B8" w:rsidP="00933F91">
      <w:pPr>
        <w:numPr>
          <w:ilvl w:val="0"/>
          <w:numId w:val="45"/>
        </w:numPr>
        <w:contextualSpacing/>
        <w:jc w:val="both"/>
        <w:rPr>
          <w:rFonts w:ascii="Cambria" w:eastAsia="Times New Roman" w:hAnsi="Cambria" w:cs="Arial"/>
          <w:sz w:val="20"/>
          <w:szCs w:val="20"/>
        </w:rPr>
      </w:pPr>
      <w:r w:rsidRPr="005B477D">
        <w:rPr>
          <w:rFonts w:ascii="Cambria" w:eastAsia="Times New Roman" w:hAnsi="Cambria" w:cs="Arial"/>
          <w:sz w:val="20"/>
          <w:szCs w:val="20"/>
        </w:rPr>
        <w:t>Report on the actions taken to investigate the alleged events that led to the adoption of this precautionary measure, so as to prevent such events from reoccurring.</w:t>
      </w:r>
    </w:p>
    <w:p w14:paraId="1BD93BAE" w14:textId="77777777" w:rsidR="008668B8" w:rsidRPr="005B477D" w:rsidRDefault="008668B8" w:rsidP="008668B8">
      <w:pPr>
        <w:jc w:val="both"/>
        <w:rPr>
          <w:rFonts w:ascii="Cambria" w:eastAsia="Times New Roman" w:hAnsi="Cambria" w:cs="Cambria"/>
          <w:sz w:val="20"/>
          <w:szCs w:val="20"/>
        </w:rPr>
      </w:pPr>
    </w:p>
    <w:p w14:paraId="77D3536E"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Resolution No. 74/22 (GRANT)</w:t>
      </w:r>
    </w:p>
    <w:p w14:paraId="01349F45"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PM 355-22 – Rodrigo José Navarrete Venegas and his family unit, Nicaragua</w:t>
      </w:r>
    </w:p>
    <w:p w14:paraId="5ACEDABA" w14:textId="77777777" w:rsidR="008668B8" w:rsidRPr="005B477D" w:rsidRDefault="008668B8" w:rsidP="008668B8">
      <w:pPr>
        <w:spacing w:before="192" w:after="192"/>
        <w:ind w:right="144"/>
        <w:jc w:val="both"/>
        <w:rPr>
          <w:rFonts w:ascii="Cambria" w:eastAsia="Times New Roman" w:hAnsi="Cambria" w:cs="Calibri"/>
          <w:sz w:val="20"/>
          <w:szCs w:val="20"/>
          <w:lang w:eastAsia="es-AR"/>
        </w:rPr>
      </w:pPr>
      <w:r w:rsidRPr="31502C94">
        <w:rPr>
          <w:rFonts w:ascii="Cambria" w:eastAsia="Times New Roman" w:hAnsi="Cambria" w:cs="Calibri"/>
          <w:sz w:val="20"/>
          <w:szCs w:val="20"/>
          <w:lang w:eastAsia="es-AR"/>
        </w:rPr>
        <w:t>On December 19, 2022, the IACHR granted precautionary measures in favor of Rodrigo José Navarrete Vanegas and his family unit, after considering that they face a serious and urgent situation presenting a risk of irreparable harm to their rights. The request for precautionary measures alleges that the proposed beneficiary is identified or perceived as a political opponent of the current Government of Nicaragua, as a result of his action denouncing violations of the rights of people considered “political prisoners.” Mr. Rodrigo Navarrete has been detained since November 25, 2022, in the Jorge Navarro Penitentiary Center, being held incommunicado from his relatives and lawyers. In accordance with Article 25 of the Rules of Procedure, the Commission requests that Nicaragua:</w:t>
      </w:r>
    </w:p>
    <w:p w14:paraId="4CAA0868" w14:textId="77777777" w:rsidR="008668B8" w:rsidRPr="005B477D" w:rsidRDefault="008668B8" w:rsidP="00933F91">
      <w:pPr>
        <w:numPr>
          <w:ilvl w:val="0"/>
          <w:numId w:val="46"/>
        </w:numPr>
        <w:spacing w:before="192" w:after="192"/>
        <w:ind w:right="144"/>
        <w:contextualSpacing/>
        <w:jc w:val="both"/>
        <w:rPr>
          <w:rFonts w:ascii="Cambria" w:eastAsia="Times New Roman" w:hAnsi="Cambria" w:cs="Calibri"/>
          <w:sz w:val="20"/>
          <w:szCs w:val="20"/>
          <w:lang w:eastAsia="es-AR"/>
        </w:rPr>
      </w:pPr>
      <w:r w:rsidRPr="005B477D">
        <w:rPr>
          <w:rFonts w:ascii="Cambria" w:eastAsia="Times New Roman" w:hAnsi="Cambria" w:cs="Calibri"/>
          <w:sz w:val="20"/>
          <w:szCs w:val="20"/>
          <w:lang w:eastAsia="es-AR"/>
        </w:rPr>
        <w:t>Adopt the necessary measures to protect the rights to life, personal integrity, and health of Rodrigo José Navarrete Vanegas and his family unit;</w:t>
      </w:r>
    </w:p>
    <w:p w14:paraId="3211663C" w14:textId="77777777" w:rsidR="008668B8" w:rsidRPr="005B477D" w:rsidRDefault="008668B8" w:rsidP="00933F91">
      <w:pPr>
        <w:numPr>
          <w:ilvl w:val="0"/>
          <w:numId w:val="46"/>
        </w:numPr>
        <w:spacing w:before="192" w:after="192"/>
        <w:ind w:right="144"/>
        <w:contextualSpacing/>
        <w:jc w:val="both"/>
        <w:rPr>
          <w:rFonts w:ascii="Cambria" w:eastAsia="Times New Roman" w:hAnsi="Cambria" w:cs="Calibri"/>
          <w:sz w:val="20"/>
          <w:szCs w:val="20"/>
          <w:lang w:eastAsia="es-AR"/>
        </w:rPr>
      </w:pPr>
      <w:r w:rsidRPr="005B477D">
        <w:rPr>
          <w:rFonts w:ascii="Cambria" w:eastAsia="Times New Roman" w:hAnsi="Cambria" w:cs="Calibri"/>
          <w:sz w:val="20"/>
          <w:szCs w:val="20"/>
          <w:lang w:eastAsia="es-AR"/>
        </w:rPr>
        <w:t>Adopt the necessary measures to ensure that the beneficiary’s detention conditions are compatible with the international standards applicable in the matter, inter alia: i. guarantee that he is not subjected to threats, intimidation, harassment, or attacks within the prison; ii. guarantee access to adequate and specialized medical care, and that a specialized medical evaluation be immediately performed to assess his health; iii. grant the necessary treatments and medicines to treat his health issues; and iv. assess alternative measures to deprivation of liberty in light of the beneficiary’s detention conditions and health;</w:t>
      </w:r>
    </w:p>
    <w:p w14:paraId="608BC737" w14:textId="77777777" w:rsidR="008668B8" w:rsidRPr="005B477D" w:rsidRDefault="008668B8" w:rsidP="00933F91">
      <w:pPr>
        <w:numPr>
          <w:ilvl w:val="0"/>
          <w:numId w:val="46"/>
        </w:numPr>
        <w:spacing w:before="192" w:after="192"/>
        <w:ind w:right="144"/>
        <w:contextualSpacing/>
        <w:jc w:val="both"/>
        <w:rPr>
          <w:rFonts w:ascii="Cambria" w:eastAsia="Times New Roman" w:hAnsi="Cambria" w:cs="Calibri"/>
          <w:sz w:val="20"/>
          <w:szCs w:val="20"/>
          <w:lang w:eastAsia="es-AR"/>
        </w:rPr>
      </w:pPr>
      <w:r w:rsidRPr="005B477D">
        <w:rPr>
          <w:rFonts w:ascii="Cambria" w:eastAsia="Times New Roman" w:hAnsi="Cambria" w:cs="Calibri"/>
          <w:sz w:val="20"/>
          <w:szCs w:val="20"/>
          <w:lang w:eastAsia="es-AR"/>
        </w:rPr>
        <w:t>Consult and agree upon the measures to be adopted with the beneficiaries and their representatives; and</w:t>
      </w:r>
    </w:p>
    <w:p w14:paraId="6D666464" w14:textId="77777777" w:rsidR="008668B8" w:rsidRPr="005B477D" w:rsidRDefault="008668B8" w:rsidP="00933F91">
      <w:pPr>
        <w:numPr>
          <w:ilvl w:val="0"/>
          <w:numId w:val="46"/>
        </w:numPr>
        <w:spacing w:before="192" w:after="192"/>
        <w:ind w:right="144"/>
        <w:contextualSpacing/>
        <w:jc w:val="both"/>
        <w:rPr>
          <w:rFonts w:ascii="Cambria" w:eastAsia="Times New Roman" w:hAnsi="Cambria" w:cs="Calibri"/>
          <w:sz w:val="20"/>
          <w:szCs w:val="20"/>
          <w:lang w:eastAsia="es-AR"/>
        </w:rPr>
      </w:pPr>
      <w:r w:rsidRPr="31502C94">
        <w:rPr>
          <w:rFonts w:ascii="Cambria" w:eastAsia="Times New Roman" w:hAnsi="Cambria" w:cs="Calibri"/>
          <w:sz w:val="20"/>
          <w:szCs w:val="20"/>
          <w:lang w:eastAsia="es-AR"/>
        </w:rPr>
        <w:t>Report on the actions taken in order to investigate the alleged facts that led to the adoption of this resolution, so as to prevent these events from reoccurring.</w:t>
      </w:r>
    </w:p>
    <w:p w14:paraId="0C264140" w14:textId="77777777" w:rsidR="008668B8" w:rsidRDefault="008668B8" w:rsidP="008668B8">
      <w:pPr>
        <w:jc w:val="both"/>
        <w:rPr>
          <w:rFonts w:ascii="Cambria" w:eastAsia="Times New Roman" w:hAnsi="Cambria" w:cs="Cambria"/>
          <w:sz w:val="20"/>
          <w:szCs w:val="20"/>
        </w:rPr>
      </w:pPr>
    </w:p>
    <w:p w14:paraId="32A1DD89"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Resolution No. 76/22 (GRANT)</w:t>
      </w:r>
    </w:p>
    <w:p w14:paraId="06BCADD6"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PM 991-22 – Oscar René Vargas Escobar, Nicaragua</w:t>
      </w:r>
    </w:p>
    <w:p w14:paraId="0F658EC9" w14:textId="77777777" w:rsidR="008668B8" w:rsidRPr="005B477D" w:rsidRDefault="008668B8" w:rsidP="008668B8">
      <w:pPr>
        <w:jc w:val="both"/>
        <w:rPr>
          <w:rFonts w:ascii="Cambria" w:eastAsia="Times New Roman" w:hAnsi="Cambria" w:cs="Cambria"/>
          <w:sz w:val="20"/>
          <w:szCs w:val="20"/>
        </w:rPr>
      </w:pPr>
    </w:p>
    <w:p w14:paraId="462376A8" w14:textId="77777777" w:rsidR="008668B8" w:rsidRPr="005B477D" w:rsidRDefault="008668B8" w:rsidP="008668B8">
      <w:pPr>
        <w:jc w:val="both"/>
        <w:rPr>
          <w:rFonts w:ascii="Cambria" w:eastAsia="Times New Roman" w:hAnsi="Cambria" w:cs="Arial"/>
          <w:sz w:val="20"/>
          <w:szCs w:val="20"/>
        </w:rPr>
      </w:pPr>
      <w:r w:rsidRPr="31502C94">
        <w:rPr>
          <w:rFonts w:ascii="Cambria" w:eastAsia="Times New Roman" w:hAnsi="Cambria" w:cs="Arial"/>
          <w:sz w:val="20"/>
          <w:szCs w:val="20"/>
        </w:rPr>
        <w:t>On December 26, 2022, the IACHR granted precautionary measures in favor of Oscar René Vargas Escobar, upon considering that he is in a serious and urgent situation of risk of irreparable harm to his rights. The request for precautionary measures indicates that the proposed beneficiary is co-founder of the Sandinista National Liberation Front (FSLN), a political dissident and critic of the current Nicaraguan government. He has reportedly been deprived of liberty since November 22, 2022, and is held at the Directorate of Judicial Assistance in Managua. The Commission observed that the proposed beneficiary had not received medical attention to date, despite being an older adult and having previous illnesses. In accordance with Article 25 of the Rules of Procedure, the Commission requests that Nicaragua:</w:t>
      </w:r>
    </w:p>
    <w:p w14:paraId="598BE95D" w14:textId="77777777" w:rsidR="008668B8" w:rsidRPr="005B477D" w:rsidRDefault="008668B8" w:rsidP="008668B8">
      <w:pPr>
        <w:jc w:val="both"/>
        <w:rPr>
          <w:rFonts w:ascii="Cambria" w:eastAsia="Times New Roman" w:hAnsi="Cambria" w:cs="Arial"/>
          <w:sz w:val="20"/>
          <w:szCs w:val="20"/>
        </w:rPr>
      </w:pPr>
    </w:p>
    <w:p w14:paraId="678488EC" w14:textId="77777777" w:rsidR="008668B8" w:rsidRPr="005B477D" w:rsidRDefault="008668B8" w:rsidP="00933F91">
      <w:pPr>
        <w:numPr>
          <w:ilvl w:val="0"/>
          <w:numId w:val="47"/>
        </w:numPr>
        <w:ind w:left="709" w:hanging="425"/>
        <w:contextualSpacing/>
        <w:jc w:val="both"/>
        <w:rPr>
          <w:rFonts w:ascii="Cambria" w:eastAsia="Times New Roman" w:hAnsi="Cambria" w:cs="Arial"/>
          <w:sz w:val="20"/>
          <w:szCs w:val="20"/>
        </w:rPr>
      </w:pPr>
      <w:r w:rsidRPr="005B477D">
        <w:rPr>
          <w:rFonts w:ascii="Cambria" w:eastAsia="Times New Roman" w:hAnsi="Cambria" w:cs="Arial"/>
          <w:sz w:val="20"/>
          <w:szCs w:val="20"/>
        </w:rPr>
        <w:t>Adopt the necessary measures to protect the rights to life, personal integrity, and health of Oscar René Vargas Escobar, taking into account that he is an older adult;</w:t>
      </w:r>
    </w:p>
    <w:p w14:paraId="6285B467" w14:textId="77777777" w:rsidR="008668B8" w:rsidRPr="005B477D" w:rsidRDefault="008668B8" w:rsidP="00933F91">
      <w:pPr>
        <w:numPr>
          <w:ilvl w:val="0"/>
          <w:numId w:val="47"/>
        </w:numPr>
        <w:ind w:left="709" w:hanging="425"/>
        <w:contextualSpacing/>
        <w:jc w:val="both"/>
        <w:rPr>
          <w:rFonts w:ascii="Cambria" w:eastAsia="Times New Roman" w:hAnsi="Cambria" w:cs="Arial"/>
          <w:sz w:val="20"/>
          <w:szCs w:val="20"/>
        </w:rPr>
      </w:pPr>
      <w:r w:rsidRPr="005B477D">
        <w:rPr>
          <w:rFonts w:ascii="Cambria" w:eastAsia="Times New Roman" w:hAnsi="Cambria" w:cs="Arial"/>
          <w:sz w:val="20"/>
          <w:szCs w:val="20"/>
        </w:rPr>
        <w:lastRenderedPageBreak/>
        <w:t xml:space="preserve">Adopt the necessary measures to ensure that the beneficiary’s detention conditions are compatible with the international standards applicable in the matter, including: i. guarantee that they are not subject to threats, intimidation, harassment, or attacks within the prison; ii. guarantee access to adequate and specialized medical care, and a specialized medical evaluation is immediately performed to assess his health; iii. grant the necessary treatments and medicines to treat his health issues; and iv. assess alternative measures to the deprivation of liberty in light of the beneficiary’s detention conditions and health; </w:t>
      </w:r>
    </w:p>
    <w:p w14:paraId="3E66B81F" w14:textId="77777777" w:rsidR="008668B8" w:rsidRPr="005B477D" w:rsidRDefault="008668B8" w:rsidP="00933F91">
      <w:pPr>
        <w:numPr>
          <w:ilvl w:val="0"/>
          <w:numId w:val="47"/>
        </w:numPr>
        <w:ind w:left="709" w:hanging="425"/>
        <w:contextualSpacing/>
        <w:jc w:val="both"/>
        <w:rPr>
          <w:rFonts w:ascii="Cambria" w:eastAsia="Times New Roman" w:hAnsi="Cambria" w:cs="Arial"/>
          <w:sz w:val="20"/>
          <w:szCs w:val="20"/>
        </w:rPr>
      </w:pPr>
      <w:r w:rsidRPr="005B477D">
        <w:rPr>
          <w:rFonts w:ascii="Cambria" w:eastAsia="Times New Roman" w:hAnsi="Cambria" w:cs="Arial"/>
          <w:sz w:val="20"/>
          <w:szCs w:val="20"/>
        </w:rPr>
        <w:t xml:space="preserve">Consult and agree upon the measures to be adopted with the beneficiaries and his representatives; and </w:t>
      </w:r>
    </w:p>
    <w:p w14:paraId="05B25BE6" w14:textId="77777777" w:rsidR="008668B8" w:rsidRPr="005B477D" w:rsidRDefault="008668B8" w:rsidP="00933F91">
      <w:pPr>
        <w:numPr>
          <w:ilvl w:val="0"/>
          <w:numId w:val="47"/>
        </w:numPr>
        <w:ind w:left="709" w:hanging="425"/>
        <w:contextualSpacing/>
        <w:jc w:val="both"/>
        <w:rPr>
          <w:rFonts w:ascii="Cambria" w:eastAsia="Times New Roman" w:hAnsi="Cambria" w:cs="Arial"/>
          <w:sz w:val="20"/>
          <w:szCs w:val="20"/>
        </w:rPr>
      </w:pPr>
      <w:r w:rsidRPr="005B477D">
        <w:rPr>
          <w:rFonts w:ascii="Cambria" w:eastAsia="Times New Roman" w:hAnsi="Cambria" w:cs="Arial"/>
          <w:sz w:val="20"/>
          <w:szCs w:val="20"/>
        </w:rPr>
        <w:t>Report on the actions undertaken in order to investigate the alleged facts that led to the adoption of this resolution so as to prevent such events from reoccurring.</w:t>
      </w:r>
    </w:p>
    <w:p w14:paraId="267C49D8" w14:textId="77777777" w:rsidR="008668B8" w:rsidRPr="005B477D" w:rsidRDefault="008668B8" w:rsidP="008668B8">
      <w:pPr>
        <w:ind w:left="709" w:hanging="425"/>
        <w:jc w:val="both"/>
        <w:rPr>
          <w:rFonts w:ascii="Cambria" w:eastAsia="Times New Roman" w:hAnsi="Cambria" w:cs="Arial"/>
          <w:sz w:val="20"/>
          <w:szCs w:val="20"/>
        </w:rPr>
      </w:pPr>
    </w:p>
    <w:p w14:paraId="09299B4B" w14:textId="77777777" w:rsidR="008668B8" w:rsidRPr="005B477D" w:rsidRDefault="008668B8" w:rsidP="008668B8">
      <w:pPr>
        <w:jc w:val="both"/>
        <w:rPr>
          <w:rFonts w:ascii="Cambria" w:eastAsia="Times New Roman" w:hAnsi="Cambria" w:cs="Cambria"/>
          <w:b/>
          <w:bCs/>
          <w:sz w:val="22"/>
          <w:szCs w:val="22"/>
        </w:rPr>
      </w:pPr>
      <w:r w:rsidRPr="005B477D">
        <w:rPr>
          <w:rFonts w:ascii="Cambria" w:eastAsia="Times New Roman" w:hAnsi="Cambria" w:cs="Cambria"/>
          <w:b/>
          <w:bCs/>
          <w:sz w:val="22"/>
          <w:szCs w:val="22"/>
        </w:rPr>
        <w:t>PERU</w:t>
      </w:r>
    </w:p>
    <w:p w14:paraId="1C374C16" w14:textId="77777777" w:rsidR="008668B8" w:rsidRPr="005B477D" w:rsidRDefault="008668B8" w:rsidP="008668B8">
      <w:pPr>
        <w:jc w:val="both"/>
        <w:rPr>
          <w:rFonts w:ascii="Cambria" w:eastAsia="Times New Roman" w:hAnsi="Cambria" w:cs="Cambria"/>
          <w:b/>
          <w:bCs/>
          <w:sz w:val="22"/>
          <w:szCs w:val="22"/>
        </w:rPr>
      </w:pPr>
    </w:p>
    <w:p w14:paraId="106EB88B" w14:textId="77777777" w:rsidR="008668B8" w:rsidRPr="005B477D" w:rsidRDefault="008668B8" w:rsidP="008668B8">
      <w:pPr>
        <w:jc w:val="both"/>
        <w:rPr>
          <w:rFonts w:ascii="Cambria" w:eastAsia="Times New Roman" w:hAnsi="Cambria" w:cs="Cambria"/>
          <w:bCs/>
          <w:sz w:val="20"/>
          <w:szCs w:val="22"/>
        </w:rPr>
      </w:pPr>
      <w:r w:rsidRPr="005B477D">
        <w:rPr>
          <w:rFonts w:ascii="Cambria" w:eastAsia="Times New Roman" w:hAnsi="Cambria" w:cs="Cambria"/>
          <w:bCs/>
          <w:sz w:val="20"/>
          <w:szCs w:val="22"/>
        </w:rPr>
        <w:t>Resolution No. 75/22 (LIFT)</w:t>
      </w:r>
    </w:p>
    <w:p w14:paraId="02AA6A17" w14:textId="77777777" w:rsidR="008668B8" w:rsidRPr="005B477D" w:rsidRDefault="008668B8" w:rsidP="008668B8">
      <w:pPr>
        <w:jc w:val="both"/>
        <w:rPr>
          <w:rFonts w:ascii="Cambria" w:eastAsia="Times New Roman" w:hAnsi="Cambria" w:cs="Cambria"/>
          <w:bCs/>
          <w:sz w:val="20"/>
          <w:szCs w:val="22"/>
        </w:rPr>
      </w:pPr>
      <w:r w:rsidRPr="005B477D">
        <w:rPr>
          <w:rFonts w:ascii="Cambria" w:eastAsia="Times New Roman" w:hAnsi="Cambria" w:cs="Cambria"/>
          <w:bCs/>
          <w:sz w:val="20"/>
          <w:szCs w:val="22"/>
        </w:rPr>
        <w:t>PM 29-15 – Nazaria María Ugalde Alfaro, Peru</w:t>
      </w:r>
    </w:p>
    <w:p w14:paraId="5EB4B3AB" w14:textId="77777777" w:rsidR="008668B8" w:rsidRPr="005B477D" w:rsidRDefault="008668B8" w:rsidP="008668B8">
      <w:pPr>
        <w:jc w:val="both"/>
        <w:rPr>
          <w:rFonts w:ascii="Cambria" w:eastAsia="Times New Roman" w:hAnsi="Cambria" w:cs="Cambria"/>
          <w:bCs/>
          <w:sz w:val="20"/>
          <w:szCs w:val="22"/>
        </w:rPr>
      </w:pPr>
    </w:p>
    <w:p w14:paraId="555D939E" w14:textId="77777777" w:rsidR="008668B8" w:rsidRPr="005B477D" w:rsidRDefault="008668B8" w:rsidP="008668B8">
      <w:pPr>
        <w:jc w:val="both"/>
        <w:rPr>
          <w:rFonts w:ascii="Cambria" w:eastAsia="Times New Roman" w:hAnsi="Cambria" w:cs="Arial"/>
          <w:sz w:val="20"/>
        </w:rPr>
      </w:pPr>
      <w:r w:rsidRPr="005B477D">
        <w:rPr>
          <w:rFonts w:ascii="Cambria" w:eastAsia="Times New Roman" w:hAnsi="Cambria" w:cs="Arial"/>
          <w:sz w:val="20"/>
        </w:rPr>
        <w:t>The Inter-American Commission on Human Rights (IACHR) has decided to lift these precautionary measures in favor of Nazira María Ugalde Alfaro. At the time of taking the decision, the Commission assessed the measures that the State adopted internally and identified a factual change in the circumstances regarding Ms. Ugalde. In that regard, the Commission considered that, at present, it is not possible to identify an imminent risk situation within the meaning of Article 25 of the Rules of Procedure. Upon not identifying compliance with the procedural requirements, the IACHR has decided to lift these measures.</w:t>
      </w:r>
    </w:p>
    <w:p w14:paraId="01F505D8" w14:textId="77777777" w:rsidR="008668B8" w:rsidRPr="005B477D" w:rsidRDefault="008668B8" w:rsidP="008668B8">
      <w:pPr>
        <w:jc w:val="both"/>
        <w:rPr>
          <w:rFonts w:ascii="Cambria" w:eastAsia="Times New Roman" w:hAnsi="Cambria" w:cs="Arial"/>
          <w:sz w:val="20"/>
        </w:rPr>
      </w:pPr>
    </w:p>
    <w:p w14:paraId="2FEDE318" w14:textId="77777777" w:rsidR="008668B8" w:rsidRPr="005B477D" w:rsidRDefault="008668B8" w:rsidP="008668B8">
      <w:pPr>
        <w:jc w:val="both"/>
        <w:rPr>
          <w:rFonts w:ascii="Cambria" w:eastAsia="Times New Roman" w:hAnsi="Cambria" w:cs="Cambria"/>
          <w:b/>
          <w:bCs/>
          <w:sz w:val="22"/>
          <w:szCs w:val="22"/>
        </w:rPr>
      </w:pPr>
      <w:r w:rsidRPr="005B477D">
        <w:rPr>
          <w:rFonts w:ascii="Cambria" w:eastAsia="Times New Roman" w:hAnsi="Cambria" w:cs="Cambria"/>
          <w:b/>
          <w:bCs/>
          <w:sz w:val="22"/>
          <w:szCs w:val="22"/>
        </w:rPr>
        <w:t>UNITED STATES</w:t>
      </w:r>
    </w:p>
    <w:p w14:paraId="542DEF54" w14:textId="77777777" w:rsidR="008668B8" w:rsidRPr="005B477D" w:rsidRDefault="008668B8" w:rsidP="008668B8">
      <w:pPr>
        <w:rPr>
          <w:rFonts w:ascii="Cambria" w:eastAsia="Times New Roman" w:hAnsi="Cambria" w:cs="Arial"/>
          <w:sz w:val="20"/>
          <w:szCs w:val="20"/>
        </w:rPr>
      </w:pPr>
    </w:p>
    <w:p w14:paraId="014351AC"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10/22 (GRANT)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1170-21 - Melissa Lucio, United States</w:t>
      </w:r>
    </w:p>
    <w:p w14:paraId="0EA0D308" w14:textId="77777777" w:rsidR="008668B8" w:rsidRPr="005B477D" w:rsidRDefault="008668B8" w:rsidP="008668B8">
      <w:pPr>
        <w:jc w:val="both"/>
        <w:rPr>
          <w:rFonts w:ascii="Cambria" w:eastAsia="Times New Roman" w:hAnsi="Cambria" w:cs="Cambria"/>
          <w:sz w:val="20"/>
          <w:szCs w:val="20"/>
        </w:rPr>
      </w:pPr>
    </w:p>
    <w:p w14:paraId="4ACC9F71" w14:textId="77777777" w:rsidR="008668B8" w:rsidRPr="005B477D" w:rsidRDefault="008668B8" w:rsidP="008668B8">
      <w:pPr>
        <w:spacing w:after="120"/>
        <w:jc w:val="both"/>
        <w:rPr>
          <w:rFonts w:ascii="Cambria" w:eastAsia="Times New Roman" w:hAnsi="Cambria" w:cs="Cambria"/>
          <w:sz w:val="20"/>
          <w:szCs w:val="20"/>
        </w:rPr>
      </w:pPr>
      <w:r w:rsidRPr="31502C94">
        <w:rPr>
          <w:rFonts w:ascii="Cambria" w:eastAsia="Times New Roman" w:hAnsi="Cambria" w:cs="Cambria"/>
          <w:sz w:val="20"/>
          <w:szCs w:val="20"/>
        </w:rPr>
        <w:t>On February 18, 2022, the IACHR granted precautionary measures in favor of Melissa Lucio. According to the request, the beneficiary has been on death row in Texas, United States for 14 years. The request indicates that Ms. Lucio finds herself in a situation of risk given the imminent execution of the death penalty and her current conditions of confinement. The applicant also filed a petition alleging violations of the American Declaration on the Rights and Duties of Man with regard to Ms. Lucio’s right to life, liberty, and personal security; right to equality before the law; right of the child to special protection; right to a fair trial; right to humane treatment while in custody; right to due process of law, and right not to receive cruel, infamous, or unusual punishment. After analyzing the allegations of fact and law submitted by the parties, the Commission considers that the information presented demonstrates prima facie the existence of a serious and urgent risk of irreparable harm to the rights to life and personal integrity of Ms. Lucio, in accordance with Article 25 of its Rules of Procedure. Moreover, in the event that Ms. Lucio is executed before the Commission has had the opportunity to examine the merits of her petition, any eventual decision would be rendered moot, which would result in a situation of irreparable harm. Consequently, the Commission requests that the United States of America:</w:t>
      </w:r>
    </w:p>
    <w:p w14:paraId="270D869C" w14:textId="77777777" w:rsidR="008668B8" w:rsidRPr="005B477D" w:rsidRDefault="008668B8" w:rsidP="00933F91">
      <w:pPr>
        <w:numPr>
          <w:ilvl w:val="0"/>
          <w:numId w:val="30"/>
        </w:numPr>
        <w:spacing w:after="120"/>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measures necessary to protect the life and personal integrity of Melissa Lucio;</w:t>
      </w:r>
    </w:p>
    <w:p w14:paraId="4CF1D4A8" w14:textId="77777777" w:rsidR="008668B8" w:rsidRPr="005B477D" w:rsidRDefault="008668B8" w:rsidP="00933F91">
      <w:pPr>
        <w:numPr>
          <w:ilvl w:val="0"/>
          <w:numId w:val="3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Refrain from carrying out the death penalty on Melissa Lucio until the IACHR has had the opportunity to reach a decision on her petition;</w:t>
      </w:r>
    </w:p>
    <w:p w14:paraId="7477FD88" w14:textId="77777777" w:rsidR="008668B8" w:rsidRPr="005B477D" w:rsidRDefault="008668B8" w:rsidP="00933F91">
      <w:pPr>
        <w:numPr>
          <w:ilvl w:val="0"/>
          <w:numId w:val="3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Ensure that Melissa Lucio’s conditions of detention are consistent with international standards, giving special consid</w:t>
      </w:r>
      <w:r>
        <w:rPr>
          <w:rFonts w:ascii="Cambria" w:eastAsia="Times New Roman" w:hAnsi="Cambria" w:cs="Cambria"/>
          <w:sz w:val="20"/>
          <w:szCs w:val="20"/>
        </w:rPr>
        <w:t>e</w:t>
      </w:r>
      <w:r w:rsidRPr="005B477D">
        <w:rPr>
          <w:rFonts w:ascii="Cambria" w:eastAsia="Times New Roman" w:hAnsi="Cambria" w:cs="Cambria"/>
          <w:sz w:val="20"/>
          <w:szCs w:val="20"/>
        </w:rPr>
        <w:t>ration to her personal conditions; and</w:t>
      </w:r>
    </w:p>
    <w:p w14:paraId="3A4635B4" w14:textId="77777777" w:rsidR="008668B8" w:rsidRPr="005B477D" w:rsidRDefault="008668B8" w:rsidP="00933F91">
      <w:pPr>
        <w:numPr>
          <w:ilvl w:val="0"/>
          <w:numId w:val="30"/>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Agree on the measures to be adopted with the beneficiary and her representatives.</w:t>
      </w:r>
    </w:p>
    <w:p w14:paraId="3287186D" w14:textId="77777777" w:rsidR="008668B8" w:rsidRPr="005B477D" w:rsidRDefault="008668B8" w:rsidP="008668B8">
      <w:pPr>
        <w:rPr>
          <w:rFonts w:ascii="Cambria" w:eastAsia="Times New Roman" w:hAnsi="Cambria" w:cs="Cambria"/>
          <w:sz w:val="20"/>
          <w:szCs w:val="20"/>
        </w:rPr>
      </w:pPr>
    </w:p>
    <w:p w14:paraId="03C0E5DE"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12/22 (GRANT)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74-22 - Richard Eugene Glossip, United States</w:t>
      </w:r>
    </w:p>
    <w:p w14:paraId="1A3F2814" w14:textId="77777777" w:rsidR="008668B8" w:rsidRPr="005B477D" w:rsidRDefault="008668B8" w:rsidP="008668B8">
      <w:pPr>
        <w:jc w:val="both"/>
        <w:rPr>
          <w:rFonts w:ascii="Cambria" w:eastAsia="Times New Roman" w:hAnsi="Cambria" w:cs="Cambria"/>
          <w:sz w:val="20"/>
          <w:szCs w:val="20"/>
        </w:rPr>
      </w:pPr>
    </w:p>
    <w:p w14:paraId="03F1441D" w14:textId="77777777" w:rsidR="008668B8" w:rsidRPr="005B477D" w:rsidRDefault="008668B8" w:rsidP="008668B8">
      <w:pPr>
        <w:spacing w:after="120"/>
        <w:jc w:val="both"/>
        <w:rPr>
          <w:rFonts w:ascii="Cambria" w:eastAsia="Times New Roman" w:hAnsi="Cambria" w:cs="Cambria"/>
          <w:sz w:val="20"/>
          <w:szCs w:val="20"/>
        </w:rPr>
      </w:pPr>
      <w:r w:rsidRPr="31502C94">
        <w:rPr>
          <w:rFonts w:ascii="Cambria" w:eastAsia="Times New Roman" w:hAnsi="Cambria" w:cs="Cambria"/>
          <w:sz w:val="20"/>
          <w:szCs w:val="20"/>
        </w:rPr>
        <w:lastRenderedPageBreak/>
        <w:t>On March 3, 2022, the IACHR decided to grant precautionary measures in favor of Richard Eugene Glossip. According to the request, the beneficiary has been held for 23 years in solitary confinement on death row in the state of Oklahoma. The request indicates that Mr. Glossip is in a situation of risk given the imminent execution of the death penalty, and different dates have been scheduled for his execution. The applicant also filed a petition alleging violations of the American Declaration of the Rights and Duties of Man in relation to the rights of Mr. Richard Eugene Glossip to life, liberty, and personal security; right to a fair trial; right to humane treatment while in custody; right to due process of law; and the right not to receive cruel, infamous, or unusual punishment. Having analyzed the allegations of fact and law made by the parties, the Commission considers that the information presented demonstrates prima facie the existence of serious and urgent risk of irreparable harm to Mr. Glossip’s rights to life and personal integrity, in accordance with Article 25 of its Rules of Procedure. Moreover, in the event that Mr. Glossip is executed before the Commission has the opportunity to examine the merits of his petition, any eventual decision would be rendered moot and would cause irreparable harm. Consequently, the Commission requests that the United States of America:</w:t>
      </w:r>
    </w:p>
    <w:p w14:paraId="59CEAC87" w14:textId="77777777" w:rsidR="008668B8" w:rsidRPr="005B477D" w:rsidRDefault="008668B8" w:rsidP="00933F91">
      <w:pPr>
        <w:numPr>
          <w:ilvl w:val="0"/>
          <w:numId w:val="29"/>
        </w:numPr>
        <w:spacing w:after="120"/>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measures necessary to protect the life and personal integrity of Richard Eugene Glossip;</w:t>
      </w:r>
    </w:p>
    <w:p w14:paraId="68BDA662" w14:textId="77777777" w:rsidR="008668B8" w:rsidRPr="005B477D" w:rsidRDefault="008668B8" w:rsidP="00933F91">
      <w:pPr>
        <w:numPr>
          <w:ilvl w:val="0"/>
          <w:numId w:val="29"/>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Refrain from carrying out the death penalty on Richard Eugene Glossip until the IACHR has had the opportunity to reach a decision on his petition;</w:t>
      </w:r>
    </w:p>
    <w:p w14:paraId="4EA4FAA8" w14:textId="77777777" w:rsidR="008668B8" w:rsidRPr="005B477D" w:rsidRDefault="008668B8" w:rsidP="00933F91">
      <w:pPr>
        <w:numPr>
          <w:ilvl w:val="0"/>
          <w:numId w:val="29"/>
        </w:numPr>
        <w:contextualSpacing/>
        <w:jc w:val="both"/>
        <w:rPr>
          <w:rFonts w:ascii="Cambria" w:eastAsia="Times New Roman" w:hAnsi="Cambria" w:cs="Cambria"/>
          <w:sz w:val="20"/>
          <w:szCs w:val="20"/>
        </w:rPr>
      </w:pPr>
      <w:r w:rsidRPr="005B477D">
        <w:rPr>
          <w:rFonts w:ascii="Cambria" w:eastAsia="Times New Roman" w:hAnsi="Cambria" w:cs="Cambria"/>
          <w:sz w:val="20"/>
          <w:szCs w:val="20"/>
        </w:rPr>
        <w:t>Ensure that Richard Eugene Glossip’s conditions of detention are consistent with international standards; and</w:t>
      </w:r>
    </w:p>
    <w:p w14:paraId="2A30DEF1" w14:textId="77777777" w:rsidR="008668B8" w:rsidRPr="005B477D" w:rsidRDefault="008668B8" w:rsidP="00933F91">
      <w:pPr>
        <w:numPr>
          <w:ilvl w:val="0"/>
          <w:numId w:val="29"/>
        </w:numPr>
        <w:contextualSpacing/>
        <w:jc w:val="both"/>
        <w:rPr>
          <w:rFonts w:ascii="Cambria" w:eastAsia="Times New Roman" w:hAnsi="Cambria" w:cs="Cambria"/>
          <w:sz w:val="20"/>
          <w:szCs w:val="20"/>
        </w:rPr>
      </w:pPr>
      <w:r w:rsidRPr="31502C94">
        <w:rPr>
          <w:rFonts w:ascii="Cambria" w:eastAsia="Times New Roman" w:hAnsi="Cambria" w:cs="Cambria"/>
          <w:sz w:val="20"/>
          <w:szCs w:val="20"/>
        </w:rPr>
        <w:t>Agree on the measures to be adopted with the beneficiary and his representatives.</w:t>
      </w:r>
    </w:p>
    <w:p w14:paraId="2FE58A36" w14:textId="77777777" w:rsidR="008668B8" w:rsidRPr="005B477D" w:rsidRDefault="008668B8" w:rsidP="008668B8">
      <w:pPr>
        <w:rPr>
          <w:rFonts w:ascii="Cambria" w:eastAsia="Times New Roman" w:hAnsi="Cambria" w:cs="Cambria"/>
          <w:sz w:val="20"/>
          <w:szCs w:val="20"/>
        </w:rPr>
      </w:pPr>
    </w:p>
    <w:p w14:paraId="13F3F81C"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22/22 (GRANT)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331-22 - Clarence Wayne Dixon, United States</w:t>
      </w:r>
    </w:p>
    <w:p w14:paraId="11821062" w14:textId="77777777" w:rsidR="008668B8" w:rsidRPr="005B477D" w:rsidRDefault="008668B8" w:rsidP="008668B8">
      <w:pPr>
        <w:jc w:val="both"/>
        <w:rPr>
          <w:rFonts w:ascii="Cambria" w:eastAsia="Times New Roman" w:hAnsi="Cambria" w:cs="Cambria"/>
          <w:sz w:val="20"/>
          <w:szCs w:val="20"/>
        </w:rPr>
      </w:pPr>
    </w:p>
    <w:p w14:paraId="45BB3AA5" w14:textId="77777777" w:rsidR="008668B8" w:rsidRDefault="008668B8" w:rsidP="005877D2">
      <w:pPr>
        <w:jc w:val="both"/>
        <w:rPr>
          <w:rFonts w:ascii="Cambria" w:eastAsia="Times New Roman" w:hAnsi="Cambria" w:cs="Cambria"/>
          <w:sz w:val="20"/>
          <w:szCs w:val="20"/>
        </w:rPr>
      </w:pPr>
      <w:r w:rsidRPr="005B477D">
        <w:rPr>
          <w:rFonts w:ascii="Cambria" w:eastAsia="Times New Roman" w:hAnsi="Cambria" w:cs="Cambria"/>
          <w:sz w:val="20"/>
          <w:szCs w:val="20"/>
        </w:rPr>
        <w:t>On May 10, 2022, the IACHR decided to grant precautionary measures in favor of Clarence Wayne Dixon. According to the request, he has been held in solitary confinement on death row in the state of Arizona. The request indicates that Mr. Dixon is in a situation of risk due to imminent execution of the death penalty, given that he is a person suffering from multiple mental and physical health conditions. The applicant also filed a petition alleging violations of the American Declaration on the Rights and Duties of Man in relation to Mr. Clarence Wayne Dixon’s rights to life, liberty, and personal security; right to a fair trial; right to humane treatment during deprivation of liberty; right to due process; and right not to receive cruel, infamous, or unusual punishment. Due to the immediacy of the harm, in this matter precautionary measures are ordered without having previously sought relevant information from the United States (pursuant to the exception provided in Article 25.5 of the Commission’s Rules of Procedure). Having analyzed the allegations of fact and law provided, the Commission considers that the information presented demonstrates prima facie the existence of serious and urgent risk of irreparable harm to Mr. Dixon’s life and personal integrity, in accordance with Article 25 of its Rules of Procedure. Moreover, in the event that Mr. Dixon is executed before the Commission has the opportunity to examine the merits of hits petition, any eventual decision would be rendered moot and would cause irreparable harm. Consequently, the Commission requests that the United States of America:</w:t>
      </w:r>
    </w:p>
    <w:p w14:paraId="50990AAE" w14:textId="77777777" w:rsidR="005877D2" w:rsidRPr="005B477D" w:rsidRDefault="005877D2" w:rsidP="005877D2">
      <w:pPr>
        <w:jc w:val="both"/>
        <w:rPr>
          <w:rFonts w:ascii="Cambria" w:eastAsia="Times New Roman" w:hAnsi="Cambria" w:cs="Cambria"/>
          <w:sz w:val="20"/>
          <w:szCs w:val="20"/>
        </w:rPr>
      </w:pPr>
    </w:p>
    <w:p w14:paraId="3AC5AAE0" w14:textId="77777777" w:rsidR="008668B8" w:rsidRPr="005B477D" w:rsidRDefault="008668B8" w:rsidP="00933F91">
      <w:pPr>
        <w:numPr>
          <w:ilvl w:val="0"/>
          <w:numId w:val="28"/>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measures necessary to protect the life and personal integrity of Clarence Wayne Dixon;</w:t>
      </w:r>
    </w:p>
    <w:p w14:paraId="4C393289" w14:textId="77777777" w:rsidR="008668B8" w:rsidRPr="005B477D" w:rsidRDefault="008668B8" w:rsidP="00933F91">
      <w:pPr>
        <w:numPr>
          <w:ilvl w:val="0"/>
          <w:numId w:val="28"/>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Refrain from executing the death penalty on Clarence Wayne Dixon until the IACHR has had the opportunity to reach a decision on his petition;</w:t>
      </w:r>
    </w:p>
    <w:p w14:paraId="49547F78" w14:textId="77777777" w:rsidR="008668B8" w:rsidRPr="005B477D" w:rsidRDefault="008668B8" w:rsidP="00933F91">
      <w:pPr>
        <w:numPr>
          <w:ilvl w:val="0"/>
          <w:numId w:val="28"/>
        </w:numPr>
        <w:contextualSpacing/>
        <w:jc w:val="both"/>
        <w:rPr>
          <w:rFonts w:ascii="Cambria" w:eastAsia="Times New Roman" w:hAnsi="Cambria" w:cs="Cambria"/>
          <w:sz w:val="20"/>
          <w:szCs w:val="20"/>
        </w:rPr>
      </w:pPr>
      <w:r w:rsidRPr="005B477D">
        <w:rPr>
          <w:rFonts w:ascii="Cambria" w:eastAsia="Times New Roman" w:hAnsi="Cambria" w:cs="Cambria"/>
          <w:sz w:val="20"/>
          <w:szCs w:val="20"/>
        </w:rPr>
        <w:t>Ensure that Clarence Wayne Dixon’s conditions of detention are consistent with international standards, with special consideration given to his disabilities and medical condition; and</w:t>
      </w:r>
    </w:p>
    <w:p w14:paraId="49AB064B" w14:textId="77777777" w:rsidR="008668B8" w:rsidRPr="005B477D" w:rsidRDefault="008668B8" w:rsidP="00933F91">
      <w:pPr>
        <w:numPr>
          <w:ilvl w:val="0"/>
          <w:numId w:val="28"/>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Agree on the measures to be adopted with the beneficiary and his representatives.</w:t>
      </w:r>
    </w:p>
    <w:p w14:paraId="411D5412" w14:textId="77777777" w:rsidR="008668B8" w:rsidRPr="005B477D" w:rsidRDefault="008668B8" w:rsidP="008668B8">
      <w:pPr>
        <w:rPr>
          <w:rFonts w:ascii="Cambria" w:eastAsia="Times New Roman" w:hAnsi="Cambria" w:cs="Arial"/>
          <w:sz w:val="20"/>
          <w:szCs w:val="20"/>
        </w:rPr>
      </w:pPr>
    </w:p>
    <w:p w14:paraId="1D2F14CD"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28/22 (LIFT)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331-22 - Clarence Wayne Dixon, United States</w:t>
      </w:r>
    </w:p>
    <w:p w14:paraId="323DC348" w14:textId="77777777" w:rsidR="008668B8" w:rsidRPr="005B477D" w:rsidRDefault="008668B8" w:rsidP="008668B8">
      <w:pPr>
        <w:rPr>
          <w:rFonts w:ascii="Cambria" w:eastAsia="Times New Roman" w:hAnsi="Cambria" w:cs="Arial"/>
          <w:sz w:val="20"/>
          <w:szCs w:val="20"/>
        </w:rPr>
      </w:pPr>
    </w:p>
    <w:p w14:paraId="06796D96" w14:textId="77777777" w:rsidR="008668B8" w:rsidRPr="005B477D" w:rsidRDefault="008668B8" w:rsidP="008668B8">
      <w:pPr>
        <w:jc w:val="both"/>
        <w:rPr>
          <w:rFonts w:ascii="Cambria" w:eastAsia="Times New Roman" w:hAnsi="Cambria" w:cs="Arial"/>
          <w:sz w:val="20"/>
          <w:szCs w:val="20"/>
        </w:rPr>
      </w:pPr>
      <w:r w:rsidRPr="005B477D">
        <w:rPr>
          <w:rFonts w:ascii="Cambria" w:eastAsia="Times New Roman" w:hAnsi="Cambria" w:cs="Arial"/>
          <w:sz w:val="20"/>
          <w:szCs w:val="20"/>
        </w:rPr>
        <w:t xml:space="preserve">The Inter-American Commission on Human Rights (IACHR) decides to lift these precautionary measures in favor of Mr. Clarence Wayne Dixon in the United States. When making the decision, the Commission observes </w:t>
      </w:r>
      <w:r w:rsidRPr="005B477D">
        <w:rPr>
          <w:rFonts w:ascii="Cambria" w:eastAsia="Times New Roman" w:hAnsi="Cambria" w:cs="Arial"/>
          <w:sz w:val="20"/>
          <w:szCs w:val="20"/>
        </w:rPr>
        <w:lastRenderedPageBreak/>
        <w:t>that the death penalty imposed on Mr. Clarence Wayne Dixon was executed. Upon analyzing the information available, the IACHR considered that there are no elements that would allow continued identification of compliance with the procedural requirements. In its assessment, the IACHR observed that execution of the death penalty represents a significant change in the factual circumstances that motivated the granting of precautionary measures. Consequently, the IACHR decided to lift these precautionary measures.</w:t>
      </w:r>
    </w:p>
    <w:p w14:paraId="7B6DD174" w14:textId="77777777" w:rsidR="008668B8" w:rsidRPr="005B477D" w:rsidRDefault="008668B8" w:rsidP="008668B8">
      <w:pPr>
        <w:rPr>
          <w:rFonts w:ascii="Cambria" w:eastAsia="Times New Roman" w:hAnsi="Cambria" w:cs="Arial"/>
          <w:b/>
          <w:bCs/>
          <w:sz w:val="20"/>
          <w:szCs w:val="20"/>
        </w:rPr>
      </w:pPr>
    </w:p>
    <w:p w14:paraId="3F0957A9"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44/22 (LIFT)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789-04, 1026-04, 471-11 (partial) - Gregory Thompson and other persons, United States</w:t>
      </w:r>
    </w:p>
    <w:p w14:paraId="6474C66F" w14:textId="77777777" w:rsidR="008668B8" w:rsidRPr="005B477D" w:rsidRDefault="008668B8" w:rsidP="008668B8">
      <w:pPr>
        <w:jc w:val="both"/>
        <w:rPr>
          <w:rFonts w:ascii="Cambria" w:eastAsia="Times New Roman" w:hAnsi="Cambria" w:cs="Cambria"/>
          <w:sz w:val="20"/>
          <w:szCs w:val="20"/>
        </w:rPr>
      </w:pPr>
    </w:p>
    <w:p w14:paraId="6EED7A92"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lift these precautionary measures in favor of Gregory Thompson, Richard Michael Rossi, German Sinnistera, Robert L. Bolden, and Arboleda Ortiz in the United States. When making the decision, the Commission observes that the beneficiaries have died or their sentences have been commuted. The Commission assessed the actions taken by the State in implementing these measures and the information provided by the representatives. Upon analyzing the available information, the IACHR considered that there is no evidence that would allow continuing to identify compliance with the procedural requirements. In its assessment, the IACHR observed that the death of the beneficiaries represents a significant change in the factual circumstances that led to the granting of the precautionary measures.</w:t>
      </w:r>
    </w:p>
    <w:p w14:paraId="2784229C" w14:textId="77777777" w:rsidR="008668B8" w:rsidRPr="005B477D" w:rsidRDefault="008668B8" w:rsidP="008668B8">
      <w:pPr>
        <w:rPr>
          <w:rFonts w:ascii="Cambria" w:eastAsia="Times New Roman" w:hAnsi="Cambria" w:cs="Cambria"/>
          <w:b/>
          <w:bCs/>
          <w:sz w:val="20"/>
          <w:szCs w:val="20"/>
        </w:rPr>
      </w:pPr>
    </w:p>
    <w:p w14:paraId="13307FFC"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Resolution No. 54/22 (LIFT)</w:t>
      </w:r>
      <w:r w:rsidRPr="005B477D">
        <w:rPr>
          <w:rFonts w:ascii="Cambria" w:eastAsiaTheme="majorEastAsia" w:hAnsi="Cambria" w:cs="Times New Roman"/>
          <w:sz w:val="20"/>
          <w:szCs w:val="20"/>
        </w:rPr>
        <w:br/>
      </w:r>
      <w:r w:rsidRPr="005B477D">
        <w:rPr>
          <w:rFonts w:ascii="Cambria" w:eastAsia="Times New Roman" w:hAnsi="Cambria" w:cs="Arial"/>
          <w:sz w:val="20"/>
          <w:szCs w:val="20"/>
        </w:rPr>
        <w:t>PM 262-02, 465-11, 470-11, 357-11 - Abu-Ali Abdur’ Rahman and three other people, United States</w:t>
      </w:r>
    </w:p>
    <w:p w14:paraId="46AA9AB2" w14:textId="77777777" w:rsidR="008668B8" w:rsidRPr="005B477D" w:rsidRDefault="008668B8" w:rsidP="008668B8">
      <w:pPr>
        <w:rPr>
          <w:rFonts w:eastAsia="Times New Roman" w:cs="Arial"/>
        </w:rPr>
      </w:pPr>
    </w:p>
    <w:p w14:paraId="19FD88B1" w14:textId="77777777" w:rsidR="008668B8" w:rsidRPr="005B477D" w:rsidRDefault="008668B8" w:rsidP="008668B8">
      <w:pPr>
        <w:jc w:val="both"/>
        <w:rPr>
          <w:rFonts w:ascii="Cambria" w:eastAsia="Times New Roman" w:hAnsi="Cambria" w:cs="Cambria"/>
          <w:sz w:val="20"/>
          <w:szCs w:val="20"/>
        </w:rPr>
      </w:pPr>
      <w:r w:rsidRPr="5264292C">
        <w:rPr>
          <w:rFonts w:ascii="Cambria" w:eastAsia="Times New Roman" w:hAnsi="Cambria" w:cs="Cambria"/>
          <w:sz w:val="20"/>
          <w:szCs w:val="20"/>
        </w:rPr>
        <w:t>The Inter-American Commission on Human Rights (IACHR) decides to lift these precautionary measures in favor of Abu-Ali Abdur' Rahman, Virgilio Maldonado Rodríguez, Iván Teleguz, and Héctor Rolando Medina in the United States. Upon analyzing the information available, the IACHR considered that there is no evidence allowing continuing to identify compliance with the requirements of Article 25 of its Rules of Procedure. In its assessment, the IACHR observed that commutations of the death penalty represent a significant change in the factual circumstances that motivated the granting of precautionary measures at the time.</w:t>
      </w:r>
    </w:p>
    <w:p w14:paraId="2E71A29A" w14:textId="77777777" w:rsidR="008668B8" w:rsidRDefault="008668B8" w:rsidP="008668B8">
      <w:pPr>
        <w:jc w:val="both"/>
        <w:rPr>
          <w:rFonts w:ascii="Cambria" w:eastAsia="Times New Roman" w:hAnsi="Cambria" w:cs="Cambria"/>
          <w:sz w:val="20"/>
          <w:szCs w:val="20"/>
        </w:rPr>
      </w:pPr>
    </w:p>
    <w:p w14:paraId="5877BF8B" w14:textId="77777777" w:rsidR="008668B8" w:rsidRDefault="008668B8" w:rsidP="008668B8">
      <w:pPr>
        <w:jc w:val="both"/>
        <w:rPr>
          <w:rFonts w:ascii="Cambria" w:eastAsia="Times New Roman" w:hAnsi="Cambria" w:cs="Cambria"/>
          <w:sz w:val="20"/>
          <w:szCs w:val="20"/>
        </w:rPr>
      </w:pPr>
      <w:r w:rsidRPr="31502C94">
        <w:rPr>
          <w:rFonts w:ascii="Cambria" w:eastAsia="Times New Roman" w:hAnsi="Cambria" w:cs="Cambria"/>
          <w:sz w:val="20"/>
          <w:szCs w:val="20"/>
        </w:rPr>
        <w:t>Resolution No. 78/22 (LIFT)</w:t>
      </w:r>
    </w:p>
    <w:p w14:paraId="04FC09EC" w14:textId="77777777" w:rsidR="008668B8" w:rsidRDefault="008668B8" w:rsidP="008668B8">
      <w:pPr>
        <w:jc w:val="both"/>
        <w:rPr>
          <w:rFonts w:ascii="Cambria" w:eastAsia="Times New Roman" w:hAnsi="Cambria" w:cs="Cambria"/>
          <w:sz w:val="20"/>
          <w:szCs w:val="20"/>
        </w:rPr>
      </w:pPr>
      <w:r w:rsidRPr="5264292C">
        <w:rPr>
          <w:rFonts w:ascii="Cambria" w:eastAsia="Times New Roman" w:hAnsi="Cambria" w:cs="Cambria"/>
          <w:sz w:val="20"/>
          <w:szCs w:val="20"/>
        </w:rPr>
        <w:t>PM 384-02, 348-06, 177-14, 204-07, 736-17 and 250-17 - Roberto Moreno Ramos and five other persons, United States</w:t>
      </w:r>
    </w:p>
    <w:p w14:paraId="54154EB7" w14:textId="77777777" w:rsidR="008668B8" w:rsidRPr="005B477D" w:rsidRDefault="008668B8" w:rsidP="008668B8">
      <w:pPr>
        <w:jc w:val="both"/>
        <w:rPr>
          <w:rFonts w:ascii="Cambria" w:eastAsia="Times New Roman" w:hAnsi="Cambria" w:cs="Cambria"/>
          <w:b/>
          <w:bCs/>
          <w:sz w:val="20"/>
          <w:szCs w:val="20"/>
        </w:rPr>
      </w:pPr>
    </w:p>
    <w:p w14:paraId="5079B439" w14:textId="77777777" w:rsidR="008668B8" w:rsidRDefault="008668B8" w:rsidP="008668B8">
      <w:pPr>
        <w:ind w:right="-360"/>
        <w:jc w:val="both"/>
        <w:rPr>
          <w:rFonts w:ascii="Cambria" w:eastAsia="Times New Roman" w:hAnsi="Cambria" w:cs="Cambria"/>
          <w:sz w:val="20"/>
          <w:szCs w:val="20"/>
        </w:rPr>
      </w:pPr>
      <w:r w:rsidRPr="5264292C">
        <w:rPr>
          <w:rFonts w:ascii="Cambria" w:eastAsia="Times New Roman" w:hAnsi="Cambria" w:cs="Cambria"/>
          <w:sz w:val="20"/>
          <w:szCs w:val="20"/>
        </w:rPr>
        <w:t>The Inter-American Commission on Human Rights (IACHR) decides to lift these precautionary measures in favor of Roberto Moreno Ramos, Rubén Ramírez Cárdenas, Orlando Cordia Hall, Russell Bucklew, Charles Warner, and Lezmond C. Mitchell in the United States. At the time of taking the decision, the Commission notes that the beneficiaries have been executed even though the precautionary measures granted in their favor were in force and the IACHR issued Merits Reports whereby the responsibility of the State was determined, as appropriate. In its assessment, the IACHR also observed that the execution of sentences giving rise to the death penalty implies both a significant change in the factual circumstances that motivated the granting of precautionary measures, as well as a failure to implement them. The IACHR condemns the application of the death penalty to beneficiaries of precautionary measures.</w:t>
      </w:r>
    </w:p>
    <w:p w14:paraId="6803BE34" w14:textId="77777777" w:rsidR="008668B8" w:rsidRDefault="008668B8" w:rsidP="008668B8">
      <w:pPr>
        <w:ind w:right="-360"/>
        <w:jc w:val="both"/>
        <w:rPr>
          <w:rFonts w:ascii="Cambria" w:eastAsia="Times New Roman" w:hAnsi="Cambria" w:cs="Cambria"/>
          <w:sz w:val="20"/>
          <w:szCs w:val="20"/>
        </w:rPr>
      </w:pPr>
    </w:p>
    <w:p w14:paraId="72A4C660" w14:textId="77777777" w:rsidR="008668B8" w:rsidRDefault="008668B8" w:rsidP="008668B8">
      <w:pPr>
        <w:ind w:right="-360"/>
        <w:jc w:val="both"/>
        <w:rPr>
          <w:rFonts w:ascii="Cambria" w:eastAsia="Times New Roman" w:hAnsi="Cambria" w:cs="Cambria"/>
          <w:sz w:val="20"/>
          <w:szCs w:val="20"/>
        </w:rPr>
      </w:pPr>
      <w:r w:rsidRPr="6D82FDC4">
        <w:rPr>
          <w:rFonts w:ascii="Cambria" w:eastAsia="Times New Roman" w:hAnsi="Cambria" w:cs="Cambria"/>
          <w:sz w:val="20"/>
          <w:szCs w:val="20"/>
        </w:rPr>
        <w:t>Resolution No. 79/22 (LIFT)</w:t>
      </w:r>
    </w:p>
    <w:p w14:paraId="365B49E3" w14:textId="77777777" w:rsidR="008668B8" w:rsidRDefault="008668B8" w:rsidP="008668B8">
      <w:pPr>
        <w:ind w:right="-360"/>
        <w:jc w:val="both"/>
        <w:rPr>
          <w:rFonts w:ascii="Cambria" w:eastAsia="Times New Roman" w:hAnsi="Cambria" w:cs="Cambria"/>
          <w:sz w:val="20"/>
          <w:szCs w:val="20"/>
        </w:rPr>
      </w:pPr>
      <w:r w:rsidRPr="5264292C">
        <w:rPr>
          <w:rFonts w:ascii="Cambria" w:eastAsia="Times New Roman" w:hAnsi="Cambria" w:cs="Cambria"/>
          <w:sz w:val="20"/>
          <w:szCs w:val="20"/>
        </w:rPr>
        <w:t>PM 204-14, 489-15, 156-17, and 1048-20 - John Winfield and three others, United States</w:t>
      </w:r>
    </w:p>
    <w:p w14:paraId="672E4A6D" w14:textId="77777777" w:rsidR="008668B8" w:rsidRDefault="008668B8" w:rsidP="008668B8">
      <w:pPr>
        <w:ind w:right="-360"/>
        <w:jc w:val="both"/>
        <w:rPr>
          <w:rFonts w:ascii="Cambria" w:eastAsia="Times New Roman" w:hAnsi="Cambria" w:cs="Cambria"/>
          <w:sz w:val="20"/>
          <w:szCs w:val="20"/>
        </w:rPr>
      </w:pPr>
    </w:p>
    <w:p w14:paraId="75EA23F1" w14:textId="77777777" w:rsidR="008668B8" w:rsidRDefault="008668B8" w:rsidP="008668B8">
      <w:pPr>
        <w:ind w:right="-360"/>
        <w:jc w:val="both"/>
        <w:rPr>
          <w:rFonts w:ascii="Cambria" w:eastAsia="Times New Roman" w:hAnsi="Cambria" w:cs="Cambria"/>
          <w:sz w:val="20"/>
          <w:szCs w:val="20"/>
        </w:rPr>
      </w:pPr>
      <w:r w:rsidRPr="31502C94">
        <w:rPr>
          <w:rFonts w:ascii="Cambria" w:eastAsia="Times New Roman" w:hAnsi="Cambria" w:cs="Cambria"/>
          <w:sz w:val="20"/>
          <w:szCs w:val="20"/>
        </w:rPr>
        <w:t xml:space="preserve">The Inter-American Commission on Human Rights (IACHR) decides to lift these precautionary measures in favor of John Winfield, Alfredo Rolando Prieto, William Charles Morva, and Lisa Montgomery in the United States. At the time of the decision, the Commission observes that the beneficiaries have been executed despite the precautionary measures being in force and having requested that the State refrain from applying the death penalty while the Commission analyzed the related petitions. In its assessment, the IACHR also observed that the execution of sentences giving rise to the death penalty implies both a significant change in the factual circumstances that motivated the granting of precautionary measures, as well as a failure to implement them. The IACHR condemns </w:t>
      </w:r>
      <w:r w:rsidRPr="31502C94">
        <w:rPr>
          <w:rFonts w:ascii="Cambria" w:eastAsia="Times New Roman" w:hAnsi="Cambria" w:cs="Cambria"/>
          <w:sz w:val="20"/>
          <w:szCs w:val="20"/>
        </w:rPr>
        <w:lastRenderedPageBreak/>
        <w:t>the application of the death penalty to persons benefiting from precautionary measures. Notwithstanding the lifting of the precautionary measures, the Commission continues with the analysis of the related petitions, as appropriate.</w:t>
      </w:r>
    </w:p>
    <w:p w14:paraId="51FC18E1" w14:textId="77777777" w:rsidR="008668B8" w:rsidRDefault="008668B8" w:rsidP="008668B8">
      <w:pPr>
        <w:jc w:val="both"/>
        <w:rPr>
          <w:rFonts w:ascii="Cambria" w:eastAsia="Times New Roman" w:hAnsi="Cambria" w:cs="Cambria"/>
          <w:b/>
          <w:bCs/>
          <w:sz w:val="20"/>
          <w:szCs w:val="20"/>
        </w:rPr>
      </w:pPr>
    </w:p>
    <w:p w14:paraId="4F5354BE" w14:textId="77777777" w:rsidR="008668B8" w:rsidRPr="005B477D" w:rsidRDefault="008668B8" w:rsidP="008668B8">
      <w:pPr>
        <w:jc w:val="both"/>
        <w:rPr>
          <w:rFonts w:ascii="Cambria" w:eastAsia="Times New Roman" w:hAnsi="Cambria" w:cs="Cambria"/>
          <w:b/>
          <w:bCs/>
          <w:sz w:val="22"/>
          <w:szCs w:val="22"/>
        </w:rPr>
      </w:pPr>
      <w:r w:rsidRPr="005B477D">
        <w:rPr>
          <w:rFonts w:ascii="Cambria" w:eastAsia="Times New Roman" w:hAnsi="Cambria" w:cs="Cambria"/>
          <w:b/>
          <w:bCs/>
          <w:sz w:val="22"/>
          <w:szCs w:val="22"/>
        </w:rPr>
        <w:t>VENEZUELA</w:t>
      </w:r>
    </w:p>
    <w:p w14:paraId="4AE6D12B" w14:textId="77777777" w:rsidR="008668B8" w:rsidRPr="005B477D" w:rsidRDefault="008668B8" w:rsidP="008668B8">
      <w:pPr>
        <w:jc w:val="both"/>
        <w:rPr>
          <w:rFonts w:ascii="Cambria" w:eastAsia="Times New Roman" w:hAnsi="Cambria" w:cs="Cambria"/>
          <w:b/>
          <w:bCs/>
          <w:sz w:val="22"/>
          <w:szCs w:val="22"/>
        </w:rPr>
      </w:pPr>
    </w:p>
    <w:p w14:paraId="13F337CA" w14:textId="77777777" w:rsidR="008668B8" w:rsidRPr="005B477D" w:rsidRDefault="008668B8" w:rsidP="008668B8">
      <w:pPr>
        <w:jc w:val="both"/>
        <w:rPr>
          <w:rFonts w:ascii="Cambria" w:eastAsia="Times New Roman" w:hAnsi="Cambria" w:cs="Arial"/>
          <w:sz w:val="20"/>
          <w:szCs w:val="20"/>
        </w:rPr>
      </w:pPr>
      <w:r w:rsidRPr="005B477D">
        <w:rPr>
          <w:rFonts w:ascii="Cambria" w:eastAsia="Times New Roman" w:hAnsi="Cambria" w:cs="Cambria"/>
          <w:sz w:val="20"/>
          <w:szCs w:val="20"/>
        </w:rPr>
        <w:t>Resolution No. 11/22 (FOLLOW-UP)</w:t>
      </w:r>
    </w:p>
    <w:p w14:paraId="74AFF9B3"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PM 150-19 - Concepción Palacios Maternity Hospital, Venezuela</w:t>
      </w:r>
    </w:p>
    <w:p w14:paraId="1E0B4682"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The Inter-American Commission on Human Rights (IACHR) decides to issue this Follow-up Resolution on precautionary measures under the terms of Article 25 of its Rules of Procedure. The Commission laments the lack of response from the State regarding measures adopted to implement these precautionary measures. Based on the information available and assessed as a whole, it urgently calls on the State of Venezuela to adopt prompt measures for the implementation of the precautionary measures considering that the risk factors remain in effect under the terms of Article 25 of the Rules of Procedure.</w:t>
      </w:r>
    </w:p>
    <w:p w14:paraId="319CB415" w14:textId="77777777" w:rsidR="008668B8" w:rsidRPr="005B477D" w:rsidRDefault="008668B8" w:rsidP="008668B8">
      <w:pPr>
        <w:jc w:val="both"/>
        <w:rPr>
          <w:rFonts w:ascii="Cambria" w:eastAsia="Times New Roman" w:hAnsi="Cambria" w:cs="Cambria"/>
          <w:sz w:val="20"/>
          <w:szCs w:val="20"/>
        </w:rPr>
      </w:pPr>
    </w:p>
    <w:p w14:paraId="63B54EB6"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Resolution No. 36/22 (LIFT)</w:t>
      </w:r>
    </w:p>
    <w:p w14:paraId="3D998817"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 xml:space="preserve">PM 382-21 – Ovidio Jesús Poggioli Pérez, Venezuela </w:t>
      </w:r>
    </w:p>
    <w:p w14:paraId="4606AA61" w14:textId="77777777" w:rsidR="008668B8" w:rsidRPr="005B477D" w:rsidRDefault="008668B8" w:rsidP="008668B8">
      <w:pPr>
        <w:jc w:val="both"/>
        <w:rPr>
          <w:rFonts w:ascii="Cambria" w:eastAsia="Times New Roman" w:hAnsi="Cambria" w:cs="Cambria"/>
          <w:sz w:val="20"/>
          <w:szCs w:val="20"/>
        </w:rPr>
      </w:pPr>
    </w:p>
    <w:p w14:paraId="08C324C8"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The Inter-American Commission on Human Rights (IACHR) decides to lift these precautionary measures in favor of Ovidio Jesús Poggioli Pérez, in Venezuela. At the time of making the decision, the Commission considered that the beneficiary had been released and observed that his situation substantially changed. The IACHR decided to lift these measures and considered the lack of response from the State as serious in regard to the specific implementation of measures adopted while these measures were in place.</w:t>
      </w:r>
    </w:p>
    <w:p w14:paraId="4166C274" w14:textId="77777777" w:rsidR="008668B8" w:rsidRPr="005B477D" w:rsidRDefault="008668B8" w:rsidP="008668B8">
      <w:pPr>
        <w:jc w:val="both"/>
        <w:rPr>
          <w:rFonts w:ascii="Cambria" w:eastAsia="Times New Roman" w:hAnsi="Cambria" w:cs="Cambria"/>
          <w:sz w:val="20"/>
          <w:szCs w:val="20"/>
        </w:rPr>
      </w:pPr>
    </w:p>
    <w:p w14:paraId="1E3EC604" w14:textId="77777777" w:rsidR="008668B8" w:rsidRPr="005B477D" w:rsidRDefault="008668B8" w:rsidP="008668B8">
      <w:pPr>
        <w:jc w:val="both"/>
        <w:rPr>
          <w:rFonts w:ascii="Cambria" w:eastAsia="Times New Roman" w:hAnsi="Cambria" w:cs="Arial"/>
          <w:sz w:val="20"/>
          <w:szCs w:val="20"/>
        </w:rPr>
      </w:pPr>
      <w:r w:rsidRPr="005B477D">
        <w:rPr>
          <w:rFonts w:ascii="Cambria" w:eastAsia="Times New Roman" w:hAnsi="Cambria" w:cs="Cambria"/>
          <w:sz w:val="20"/>
          <w:szCs w:val="20"/>
        </w:rPr>
        <w:t>Resolution No. 52/22 (GRANT)</w:t>
      </w:r>
    </w:p>
    <w:p w14:paraId="693F542D" w14:textId="77777777" w:rsidR="008668B8" w:rsidRPr="005B477D" w:rsidRDefault="008668B8" w:rsidP="008668B8">
      <w:pPr>
        <w:jc w:val="both"/>
        <w:rPr>
          <w:rFonts w:ascii="Cambria" w:eastAsia="Times New Roman" w:hAnsi="Cambria" w:cs="Cambria"/>
          <w:sz w:val="20"/>
          <w:szCs w:val="20"/>
        </w:rPr>
      </w:pPr>
      <w:r w:rsidRPr="005B477D">
        <w:rPr>
          <w:rFonts w:ascii="Cambria" w:eastAsia="Times New Roman" w:hAnsi="Cambria" w:cs="Cambria"/>
          <w:sz w:val="20"/>
          <w:szCs w:val="20"/>
        </w:rPr>
        <w:t>PM 637-22 - C.A.Z.S., Venezuela</w:t>
      </w:r>
    </w:p>
    <w:p w14:paraId="3D8D428D" w14:textId="77777777" w:rsidR="008668B8" w:rsidRPr="005B477D" w:rsidRDefault="008668B8" w:rsidP="008668B8">
      <w:pPr>
        <w:rPr>
          <w:rFonts w:eastAsia="Times New Roman" w:cs="Arial"/>
        </w:rPr>
      </w:pPr>
    </w:p>
    <w:p w14:paraId="6F3EECE4" w14:textId="77777777" w:rsidR="008668B8" w:rsidRPr="005B477D" w:rsidRDefault="008668B8" w:rsidP="008668B8">
      <w:pPr>
        <w:spacing w:after="120"/>
        <w:jc w:val="both"/>
        <w:rPr>
          <w:rFonts w:ascii="Cambria" w:eastAsia="Times New Roman" w:hAnsi="Cambria" w:cs="Cambria"/>
          <w:sz w:val="20"/>
          <w:szCs w:val="20"/>
        </w:rPr>
      </w:pPr>
      <w:r w:rsidRPr="005B477D">
        <w:rPr>
          <w:rFonts w:ascii="Cambria" w:eastAsia="Times New Roman" w:hAnsi="Cambria" w:cs="Cambria"/>
          <w:sz w:val="20"/>
          <w:szCs w:val="20"/>
        </w:rPr>
        <w:t xml:space="preserve">On October 9, 2022, the IACHR granted precautionary measures in favor of C. A. Z. S. in Venezuela. The request for precautionary measures alleges that the proposed beneficiary has been deprived of liberty since March 2020 and, despite living with the Human Immunodeficiency Virus (HIV), he allegedly has not received the medications necessary for his treatment for the last two years. Upon analyzing the allegations of fact and law provided by the parties, the Commission considered that, on the basis of the applicable </w:t>
      </w:r>
      <w:r w:rsidRPr="005B477D">
        <w:rPr>
          <w:rFonts w:ascii="Cambria" w:eastAsia="Times New Roman" w:hAnsi="Cambria" w:cs="Cambria"/>
          <w:i/>
          <w:iCs/>
          <w:sz w:val="20"/>
          <w:szCs w:val="20"/>
        </w:rPr>
        <w:t>prima facie</w:t>
      </w:r>
      <w:r w:rsidRPr="005B477D">
        <w:rPr>
          <w:rFonts w:ascii="Cambria" w:eastAsia="Times New Roman" w:hAnsi="Cambria" w:cs="Cambria"/>
          <w:sz w:val="20"/>
          <w:szCs w:val="20"/>
        </w:rPr>
        <w:t xml:space="preserve"> standard, Mr. C. A. Z. S. is in a serious and urgent situation, in that his rights, personal integrity, and health are at risk of irreparable harm. Consequently, in accordance with Article of the Rules of Procedure, the Commission requests that Venezuela:</w:t>
      </w:r>
    </w:p>
    <w:p w14:paraId="5C12E694" w14:textId="77777777" w:rsidR="008668B8" w:rsidRPr="005B477D" w:rsidRDefault="008668B8" w:rsidP="00933F91">
      <w:pPr>
        <w:numPr>
          <w:ilvl w:val="0"/>
          <w:numId w:val="12"/>
        </w:numPr>
        <w:spacing w:after="120"/>
        <w:contextualSpacing/>
        <w:jc w:val="both"/>
        <w:rPr>
          <w:rFonts w:ascii="Cambria" w:eastAsia="Times New Roman" w:hAnsi="Cambria" w:cs="Cambria"/>
          <w:sz w:val="20"/>
          <w:szCs w:val="20"/>
        </w:rPr>
      </w:pPr>
      <w:r w:rsidRPr="005B477D">
        <w:rPr>
          <w:rFonts w:ascii="Cambria" w:eastAsia="Times New Roman" w:hAnsi="Cambria" w:cs="Cambria"/>
          <w:sz w:val="20"/>
          <w:szCs w:val="20"/>
        </w:rPr>
        <w:t>Adopt necessary measures to protect the rights to life, personal integrity, and health of Mr. C. A. Z. S. In particular, adopt immediate measures allowing him access to adequate medical treatment, including the medications necessary as prescribed by the respective health professionals, as well as diagnoses and examinations facilitating regular assessment of his health status, according to the applicable international standards;</w:t>
      </w:r>
    </w:p>
    <w:p w14:paraId="5C24B06D" w14:textId="77777777" w:rsidR="008668B8" w:rsidRPr="005B477D" w:rsidRDefault="008668B8" w:rsidP="00933F91">
      <w:pPr>
        <w:numPr>
          <w:ilvl w:val="0"/>
          <w:numId w:val="12"/>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adopted with the beneficiary and his representatives; and</w:t>
      </w:r>
    </w:p>
    <w:p w14:paraId="06913EB0" w14:textId="77777777" w:rsidR="008668B8" w:rsidRPr="005B477D" w:rsidRDefault="008668B8" w:rsidP="00933F91">
      <w:pPr>
        <w:numPr>
          <w:ilvl w:val="0"/>
          <w:numId w:val="12"/>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the actions taken to investigate the alleged events that led to adoption of this resolution and thus prevent their recurrence.</w:t>
      </w:r>
    </w:p>
    <w:p w14:paraId="0D1E876F" w14:textId="77777777" w:rsidR="008668B8" w:rsidRPr="005B477D" w:rsidRDefault="008668B8" w:rsidP="008668B8">
      <w:pPr>
        <w:ind w:left="720"/>
        <w:contextualSpacing/>
        <w:jc w:val="both"/>
        <w:rPr>
          <w:rFonts w:ascii="Cambria" w:eastAsia="Times New Roman" w:hAnsi="Cambria" w:cs="Cambria"/>
          <w:sz w:val="20"/>
          <w:szCs w:val="20"/>
        </w:rPr>
      </w:pPr>
    </w:p>
    <w:p w14:paraId="673E6837" w14:textId="77777777" w:rsidR="008668B8" w:rsidRPr="00303107" w:rsidRDefault="008668B8" w:rsidP="008668B8">
      <w:pPr>
        <w:rPr>
          <w:rFonts w:ascii="Cambria" w:eastAsia="Times New Roman" w:hAnsi="Cambria" w:cs="Cambria"/>
          <w:sz w:val="20"/>
          <w:szCs w:val="20"/>
        </w:rPr>
      </w:pPr>
      <w:r w:rsidRPr="00303107">
        <w:rPr>
          <w:rFonts w:ascii="Cambria" w:eastAsia="Times New Roman" w:hAnsi="Cambria" w:cs="Cambria"/>
          <w:sz w:val="20"/>
          <w:szCs w:val="20"/>
        </w:rPr>
        <w:t>Resolution No. 60/22 (FOLLOW-UP)</w:t>
      </w:r>
    </w:p>
    <w:p w14:paraId="6030FD57" w14:textId="77777777" w:rsidR="008668B8" w:rsidRPr="00303107" w:rsidRDefault="008668B8" w:rsidP="008668B8">
      <w:pPr>
        <w:rPr>
          <w:rFonts w:ascii="Cambria" w:eastAsia="Times New Roman" w:hAnsi="Cambria" w:cs="Cambria"/>
          <w:sz w:val="20"/>
          <w:szCs w:val="20"/>
        </w:rPr>
      </w:pPr>
      <w:r w:rsidRPr="00303107">
        <w:rPr>
          <w:rFonts w:ascii="Cambria" w:eastAsia="Times New Roman" w:hAnsi="Cambria" w:cs="Cambria"/>
          <w:sz w:val="20"/>
          <w:szCs w:val="20"/>
        </w:rPr>
        <w:t>PM 258-20 – José Javier Tarazona Sánchez, Venezuela</w:t>
      </w:r>
    </w:p>
    <w:p w14:paraId="5273DA01" w14:textId="77777777" w:rsidR="008668B8" w:rsidRPr="00303107" w:rsidRDefault="008668B8" w:rsidP="008668B8">
      <w:pPr>
        <w:rPr>
          <w:rFonts w:ascii="Cambria" w:eastAsia="Times New Roman" w:hAnsi="Cambria" w:cs="Cambria"/>
          <w:sz w:val="20"/>
          <w:szCs w:val="20"/>
        </w:rPr>
      </w:pPr>
    </w:p>
    <w:p w14:paraId="417F4BAE" w14:textId="77777777" w:rsidR="008668B8" w:rsidRPr="005B477D" w:rsidRDefault="008668B8" w:rsidP="008668B8">
      <w:pPr>
        <w:rPr>
          <w:rFonts w:ascii="Cambria" w:eastAsia="Times New Roman" w:hAnsi="Cambria" w:cs="Arial"/>
          <w:sz w:val="20"/>
          <w:szCs w:val="20"/>
        </w:rPr>
      </w:pPr>
      <w:r w:rsidRPr="005B477D">
        <w:rPr>
          <w:rFonts w:ascii="Cambria" w:eastAsia="Times New Roman" w:hAnsi="Cambria" w:cs="Arial"/>
          <w:sz w:val="20"/>
          <w:szCs w:val="20"/>
        </w:rPr>
        <w:t xml:space="preserve">Pursuant to the terms of Article 25 of its Rules of Procedure, the Inter-American Commission on Human Rights (IACHR) decides to issue this Modification and Follow-up Resolution regarding precautionary measures. The Commission regrets the lack of response from the State regarding the measures adopted to implement these precautionary measures. In view of the information available, which has been evaluated as a whole, the Commission decided to modify the precautionary measures, given the change in the circumstances </w:t>
      </w:r>
      <w:r w:rsidRPr="005B477D">
        <w:rPr>
          <w:rFonts w:ascii="Cambria" w:eastAsia="Times New Roman" w:hAnsi="Cambria" w:cs="Arial"/>
          <w:sz w:val="20"/>
          <w:szCs w:val="20"/>
        </w:rPr>
        <w:lastRenderedPageBreak/>
        <w:t>of the beneficiary’s situation, as he is now in detention. In addition, taking into account his current situation of deprivation of liberty, the Commission urgently calls on the Bolivarian Republic of Venezuela to adopt prompt actions for the implementation of precautionary measures, considering that the risk factors remain in force under the terms of Article 25 of the Rules of Procedure.</w:t>
      </w:r>
    </w:p>
    <w:p w14:paraId="4B871A97" w14:textId="77777777" w:rsidR="008668B8" w:rsidRPr="005B477D" w:rsidRDefault="008668B8" w:rsidP="008668B8">
      <w:pPr>
        <w:rPr>
          <w:rFonts w:ascii="Cambria" w:eastAsia="Times New Roman" w:hAnsi="Cambria" w:cs="Arial"/>
          <w:sz w:val="20"/>
          <w:szCs w:val="20"/>
        </w:rPr>
      </w:pPr>
    </w:p>
    <w:p w14:paraId="1913FE88" w14:textId="77777777" w:rsidR="008668B8" w:rsidRPr="00303107" w:rsidRDefault="008668B8" w:rsidP="008668B8">
      <w:pPr>
        <w:rPr>
          <w:rFonts w:ascii="Cambria" w:eastAsia="Times New Roman" w:hAnsi="Cambria" w:cs="Cambria"/>
          <w:sz w:val="20"/>
          <w:szCs w:val="20"/>
        </w:rPr>
      </w:pPr>
      <w:r w:rsidRPr="00303107">
        <w:rPr>
          <w:rFonts w:ascii="Cambria" w:eastAsia="Times New Roman" w:hAnsi="Cambria" w:cs="Cambria"/>
          <w:sz w:val="20"/>
          <w:szCs w:val="20"/>
        </w:rPr>
        <w:t>Resolution No. 61/22 (GRANT)</w:t>
      </w:r>
      <w:r w:rsidRPr="00303107">
        <w:rPr>
          <w:rFonts w:ascii="Cambria" w:eastAsiaTheme="majorEastAsia" w:hAnsi="Cambria" w:cs="Times New Roman"/>
          <w:sz w:val="20"/>
          <w:szCs w:val="20"/>
        </w:rPr>
        <w:br/>
      </w:r>
      <w:r w:rsidRPr="00303107">
        <w:rPr>
          <w:rFonts w:ascii="Cambria" w:eastAsia="Times New Roman" w:hAnsi="Cambria" w:cs="Cambria"/>
          <w:sz w:val="20"/>
          <w:szCs w:val="20"/>
        </w:rPr>
        <w:t>PM 54-22 - Deibis Esteban Mota Marrero, Venezuela</w:t>
      </w:r>
    </w:p>
    <w:p w14:paraId="2F185B8F" w14:textId="77777777" w:rsidR="008668B8" w:rsidRPr="00303107" w:rsidRDefault="008668B8" w:rsidP="008668B8">
      <w:pPr>
        <w:jc w:val="both"/>
        <w:rPr>
          <w:rFonts w:ascii="Cambria" w:eastAsia="Times New Roman" w:hAnsi="Cambria" w:cs="Cambria"/>
          <w:sz w:val="20"/>
          <w:szCs w:val="20"/>
        </w:rPr>
      </w:pPr>
    </w:p>
    <w:p w14:paraId="547D409C" w14:textId="77777777" w:rsidR="008668B8" w:rsidRPr="005B477D" w:rsidRDefault="008668B8" w:rsidP="008668B8">
      <w:pPr>
        <w:spacing w:after="120"/>
        <w:jc w:val="both"/>
        <w:rPr>
          <w:rFonts w:ascii="Cambria" w:eastAsia="Times New Roman" w:hAnsi="Cambria" w:cs="Cambria"/>
          <w:sz w:val="20"/>
          <w:szCs w:val="20"/>
        </w:rPr>
      </w:pPr>
      <w:r w:rsidRPr="005B477D">
        <w:rPr>
          <w:rFonts w:ascii="Cambria" w:eastAsia="Times New Roman" w:hAnsi="Cambria" w:cs="Cambria"/>
          <w:sz w:val="20"/>
          <w:szCs w:val="20"/>
        </w:rPr>
        <w:t>On October 31, 2022, the IACHR granted precautionary measures in favor of Deibis Esteban Mota Marrero with respect to Venezuela, considering that he is in a serious and urgent situation entailing risk of irreparable harm to his rights in Venezuela. The request for precautionary measures alleges that the proposed beneficiary, who is identified as a lieutenant colonel in the Venezuelan army, is allegedly deprived of liberty in the Central Center for Military Prosecutions (CENAPROMIL), also known as "Ramo Verde") without receiving the medical care needed for his health and under inadequate conditions of detention. In addition, his situation reportedly worsened due to the threats and mistreatment to which he was allegedly subjected by penitentiary agents. Upon analyzing the available information, the Commission considered that there was sufficiently justified compliance with the requirements contained in Article 25 of its Rules of Procedure and the Inter-American Convention to Prevent and Punish Torture. Therefore, it requested that Venezuela:</w:t>
      </w:r>
    </w:p>
    <w:p w14:paraId="64247B55" w14:textId="77777777" w:rsidR="008668B8" w:rsidRPr="005B477D" w:rsidRDefault="008668B8" w:rsidP="00933F91">
      <w:pPr>
        <w:numPr>
          <w:ilvl w:val="0"/>
          <w:numId w:val="11"/>
        </w:numPr>
        <w:spacing w:after="120"/>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necessary measures to protect the rights to life, personal integrity, and health of Deibis Esteban Mota Marrero, ensuring, in particular, that he has access to medical treatment, as indicated by the respective independent physicians, and requiring the authorities to prepare a medical report corroborating the beneficiary’s current health status;</w:t>
      </w:r>
    </w:p>
    <w:p w14:paraId="669C63D6" w14:textId="77777777" w:rsidR="008668B8" w:rsidRPr="005B477D" w:rsidRDefault="008668B8" w:rsidP="00933F91">
      <w:pPr>
        <w:numPr>
          <w:ilvl w:val="0"/>
          <w:numId w:val="11"/>
        </w:numPr>
        <w:contextualSpacing/>
        <w:jc w:val="both"/>
        <w:rPr>
          <w:rFonts w:ascii="Cambria" w:eastAsia="Times New Roman" w:hAnsi="Cambria" w:cs="Cambria"/>
          <w:sz w:val="20"/>
          <w:szCs w:val="20"/>
        </w:rPr>
      </w:pPr>
      <w:r w:rsidRPr="005B477D">
        <w:rPr>
          <w:rFonts w:ascii="Cambria" w:eastAsia="Times New Roman" w:hAnsi="Cambria" w:cs="Cambria"/>
          <w:sz w:val="20"/>
          <w:szCs w:val="20"/>
        </w:rPr>
        <w:t>Adopt the measures necessary to ensure that his conditions of detention are consistent with the applicable international standards;</w:t>
      </w:r>
    </w:p>
    <w:p w14:paraId="18AF0188" w14:textId="77777777" w:rsidR="008668B8" w:rsidRPr="005B477D" w:rsidRDefault="008668B8" w:rsidP="00933F91">
      <w:pPr>
        <w:numPr>
          <w:ilvl w:val="0"/>
          <w:numId w:val="11"/>
        </w:numPr>
        <w:contextualSpacing/>
        <w:jc w:val="both"/>
        <w:rPr>
          <w:rFonts w:ascii="Cambria" w:eastAsia="Times New Roman" w:hAnsi="Cambria" w:cs="Cambria"/>
          <w:sz w:val="20"/>
          <w:szCs w:val="20"/>
        </w:rPr>
      </w:pPr>
      <w:r w:rsidRPr="005B477D">
        <w:rPr>
          <w:rFonts w:ascii="Cambria" w:eastAsia="Times New Roman" w:hAnsi="Cambria" w:cs="Cambria"/>
          <w:sz w:val="20"/>
          <w:szCs w:val="20"/>
        </w:rPr>
        <w:t>Consult and agree upon the measures to be adopted with the proposed beneficiary and his representatives; and</w:t>
      </w:r>
    </w:p>
    <w:p w14:paraId="0CDA6A65" w14:textId="77777777" w:rsidR="008668B8" w:rsidRPr="005B477D" w:rsidRDefault="008668B8" w:rsidP="00933F91">
      <w:pPr>
        <w:numPr>
          <w:ilvl w:val="0"/>
          <w:numId w:val="11"/>
        </w:numPr>
        <w:contextualSpacing/>
        <w:jc w:val="both"/>
        <w:rPr>
          <w:rFonts w:ascii="Cambria" w:eastAsia="Times New Roman" w:hAnsi="Cambria" w:cs="Cambria"/>
          <w:sz w:val="20"/>
          <w:szCs w:val="20"/>
        </w:rPr>
      </w:pPr>
      <w:r w:rsidRPr="005B477D">
        <w:rPr>
          <w:rFonts w:ascii="Cambria" w:eastAsia="Times New Roman" w:hAnsi="Cambria" w:cs="Cambria"/>
          <w:sz w:val="20"/>
          <w:szCs w:val="20"/>
        </w:rPr>
        <w:t>Report on the actions adopted to investigate the alleged events that led to adoption of this precautionary measure and thus prevent their recurrence.</w:t>
      </w:r>
    </w:p>
    <w:p w14:paraId="323049B5" w14:textId="77777777" w:rsidR="008668B8" w:rsidRPr="005B477D" w:rsidRDefault="008668B8" w:rsidP="008668B8">
      <w:pPr>
        <w:ind w:left="720" w:hanging="360"/>
        <w:jc w:val="both"/>
        <w:rPr>
          <w:rFonts w:ascii="Cambria" w:eastAsia="Times New Roman" w:hAnsi="Cambria" w:cs="Cambria"/>
          <w:sz w:val="20"/>
          <w:szCs w:val="20"/>
          <w:u w:color="000000"/>
        </w:rPr>
      </w:pPr>
    </w:p>
    <w:p w14:paraId="01887442" w14:textId="77777777" w:rsidR="008668B8" w:rsidRPr="005B477D" w:rsidRDefault="008668B8" w:rsidP="008668B8">
      <w:pPr>
        <w:jc w:val="both"/>
        <w:rPr>
          <w:rFonts w:ascii="Cambria" w:eastAsia="Times New Roman" w:hAnsi="Cambria" w:cs="Cambria"/>
          <w:sz w:val="20"/>
          <w:szCs w:val="20"/>
          <w:u w:color="000000"/>
        </w:rPr>
      </w:pPr>
      <w:r w:rsidRPr="005B477D">
        <w:rPr>
          <w:rFonts w:ascii="Cambria" w:eastAsia="Times New Roman" w:hAnsi="Cambria" w:cs="Cambria"/>
          <w:sz w:val="20"/>
          <w:szCs w:val="20"/>
          <w:u w:color="000000"/>
        </w:rPr>
        <w:t>Resolution No. 77/22 (GRANT)</w:t>
      </w:r>
    </w:p>
    <w:p w14:paraId="6AE0B0BC" w14:textId="77777777" w:rsidR="008668B8" w:rsidRPr="005B477D" w:rsidRDefault="008668B8" w:rsidP="008668B8">
      <w:pPr>
        <w:jc w:val="both"/>
        <w:rPr>
          <w:rFonts w:ascii="Cambria" w:eastAsia="Times New Roman" w:hAnsi="Cambria" w:cs="Cambria"/>
          <w:sz w:val="20"/>
          <w:szCs w:val="20"/>
          <w:u w:color="000000"/>
        </w:rPr>
      </w:pPr>
      <w:r w:rsidRPr="005B477D">
        <w:rPr>
          <w:rFonts w:ascii="Cambria" w:eastAsia="Times New Roman" w:hAnsi="Cambria" w:cs="Cambria"/>
          <w:sz w:val="20"/>
          <w:szCs w:val="20"/>
          <w:u w:color="000000"/>
        </w:rPr>
        <w:t>PM 333-21 – José Ernesto Lasorsa, Venezuela</w:t>
      </w:r>
    </w:p>
    <w:p w14:paraId="48E9154F" w14:textId="77777777" w:rsidR="008668B8" w:rsidRPr="005B477D" w:rsidRDefault="008668B8" w:rsidP="008668B8">
      <w:pPr>
        <w:spacing w:before="192" w:after="192"/>
        <w:ind w:right="144"/>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On December 26, 2022, the IACHR decided to grant precautionary measures in favor of José Ernesto Lasorsa regarding Venezuela. The request indicates that the proposed beneficiary is a cancer patient in critical condition that has been deprived of liberty since September 15, 2020. It was indicated that he “urgently” requires chemotherapy treatment in order to prevent his health condition from worsening. However, he is not being provided the necessary medical attention. Under the terms of Article 25 of its Rules of Procedure, the IACHR decided to grant the precautionary measure and requested that the State of Venezuela:</w:t>
      </w:r>
    </w:p>
    <w:p w14:paraId="30E34434" w14:textId="77777777" w:rsidR="008668B8" w:rsidRPr="005B477D" w:rsidRDefault="008668B8" w:rsidP="00933F91">
      <w:pPr>
        <w:numPr>
          <w:ilvl w:val="1"/>
          <w:numId w:val="41"/>
        </w:numPr>
        <w:tabs>
          <w:tab w:val="left" w:pos="1134"/>
        </w:tabs>
        <w:ind w:left="720" w:right="144"/>
        <w:contextualSpacing/>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Adopt the necessary measures to protect the rights to life, personal integrity, and health of José Ernesto Lasorsa. In particular, adopt immediate measures that allow access to adequate medical treatment, including the necessary medicines in accordance with corresponding health professionals’ prescriptions, as well as the diagnoses and examinations for a regular evaluation of his health status, according to the applicable international standards;</w:t>
      </w:r>
    </w:p>
    <w:p w14:paraId="19BC43D4" w14:textId="77777777" w:rsidR="008668B8" w:rsidRPr="005B477D" w:rsidRDefault="008668B8" w:rsidP="00933F91">
      <w:pPr>
        <w:numPr>
          <w:ilvl w:val="1"/>
          <w:numId w:val="41"/>
        </w:numPr>
        <w:tabs>
          <w:tab w:val="left" w:pos="1134"/>
        </w:tabs>
        <w:ind w:left="720" w:right="144"/>
        <w:contextualSpacing/>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Consult and agree upon the measures to be adopted with the beneficiary and his representatives; and</w:t>
      </w:r>
    </w:p>
    <w:p w14:paraId="43FFDF34" w14:textId="3612376B" w:rsidR="008668B8" w:rsidRDefault="008668B8" w:rsidP="00933F91">
      <w:pPr>
        <w:numPr>
          <w:ilvl w:val="1"/>
          <w:numId w:val="41"/>
        </w:numPr>
        <w:tabs>
          <w:tab w:val="left" w:pos="1134"/>
        </w:tabs>
        <w:ind w:left="720" w:right="144"/>
        <w:contextualSpacing/>
        <w:jc w:val="both"/>
        <w:rPr>
          <w:rFonts w:ascii="Cambria" w:eastAsia="Times New Roman" w:hAnsi="Cambria" w:cs="Tahoma"/>
          <w:sz w:val="20"/>
          <w:szCs w:val="20"/>
          <w:lang w:eastAsia="es-AR"/>
        </w:rPr>
      </w:pPr>
      <w:r w:rsidRPr="005B477D">
        <w:rPr>
          <w:rFonts w:ascii="Cambria" w:eastAsia="Times New Roman" w:hAnsi="Cambria" w:cs="Tahoma"/>
          <w:sz w:val="20"/>
          <w:szCs w:val="20"/>
          <w:lang w:eastAsia="es-AR"/>
        </w:rPr>
        <w:t>Report on the actions undertaken in order to investigate the alleged facts that led to the adoption of this resolution so as to prevent such events from reoccurring.</w:t>
      </w:r>
    </w:p>
    <w:p w14:paraId="3FD3174B" w14:textId="77777777" w:rsidR="0018579D" w:rsidRDefault="0018579D" w:rsidP="0018579D">
      <w:pPr>
        <w:tabs>
          <w:tab w:val="left" w:pos="1134"/>
        </w:tabs>
        <w:ind w:left="720" w:right="144"/>
        <w:contextualSpacing/>
        <w:jc w:val="both"/>
        <w:rPr>
          <w:rFonts w:ascii="Cambria" w:eastAsia="Times New Roman" w:hAnsi="Cambria" w:cs="Tahoma"/>
          <w:sz w:val="20"/>
          <w:szCs w:val="20"/>
          <w:lang w:eastAsia="es-AR"/>
        </w:rPr>
      </w:pPr>
    </w:p>
    <w:p w14:paraId="253D18CB" w14:textId="77777777" w:rsidR="0018579D" w:rsidRPr="00ED3F76" w:rsidRDefault="0018579D" w:rsidP="0018579D">
      <w:pPr>
        <w:tabs>
          <w:tab w:val="left" w:pos="1134"/>
        </w:tabs>
        <w:ind w:left="720" w:right="144"/>
        <w:contextualSpacing/>
        <w:jc w:val="both"/>
        <w:rPr>
          <w:rFonts w:ascii="Cambria" w:eastAsia="Times New Roman" w:hAnsi="Cambria" w:cs="Tahoma"/>
          <w:sz w:val="20"/>
          <w:szCs w:val="20"/>
          <w:lang w:eastAsia="es-AR"/>
        </w:rPr>
      </w:pPr>
    </w:p>
    <w:p w14:paraId="4A22A6AE" w14:textId="77777777" w:rsidR="008668B8" w:rsidRPr="00416A6B" w:rsidRDefault="008668B8" w:rsidP="00933F91">
      <w:pPr>
        <w:pStyle w:val="Heading1"/>
        <w:numPr>
          <w:ilvl w:val="0"/>
          <w:numId w:val="41"/>
        </w:numPr>
        <w:ind w:left="1440" w:hanging="720"/>
        <w:rPr>
          <w:rFonts w:ascii="Cambria" w:eastAsia="Cambria" w:hAnsi="Cambria" w:cs="Cambria"/>
          <w:b/>
          <w:color w:val="000000"/>
          <w:sz w:val="22"/>
          <w:szCs w:val="22"/>
          <w:u w:color="000000"/>
          <w:bdr w:val="nil"/>
          <w14:textOutline w14:w="0" w14:cap="flat" w14:cmpd="sng" w14:algn="ctr">
            <w14:noFill/>
            <w14:prstDash w14:val="solid"/>
            <w14:bevel/>
          </w14:textOutline>
        </w:rPr>
      </w:pPr>
      <w:bookmarkStart w:id="57" w:name="_Toc119668006"/>
      <w:r w:rsidRPr="00416A6B">
        <w:rPr>
          <w:rFonts w:ascii="Cambria" w:hAnsi="Cambria"/>
          <w:b/>
          <w:bCs/>
          <w:color w:val="auto"/>
          <w:sz w:val="22"/>
          <w:szCs w:val="22"/>
          <w:u w:color="000000"/>
          <w:bdr w:val="nil"/>
        </w:rPr>
        <w:lastRenderedPageBreak/>
        <w:t>Provisional Measures</w:t>
      </w:r>
      <w:bookmarkEnd w:id="57"/>
    </w:p>
    <w:p w14:paraId="2E61446B" w14:textId="77777777" w:rsidR="008668B8" w:rsidRPr="00066040" w:rsidRDefault="008668B8" w:rsidP="008668B8">
      <w:pPr>
        <w:pBdr>
          <w:top w:val="nil"/>
          <w:left w:val="nil"/>
          <w:bottom w:val="nil"/>
          <w:right w:val="nil"/>
          <w:between w:val="nil"/>
          <w:bar w:val="nil"/>
        </w:pBdr>
        <w:jc w:val="both"/>
        <w:rPr>
          <w:rFonts w:ascii="Cambria" w:eastAsia="Cambria" w:hAnsi="Cambria" w:cs="Cambria"/>
          <w:color w:val="000000"/>
          <w:sz w:val="20"/>
          <w:szCs w:val="20"/>
          <w:u w:color="000000"/>
          <w:bdr w:val="nil"/>
          <w14:textOutline w14:w="0" w14:cap="flat" w14:cmpd="sng" w14:algn="ctr">
            <w14:noFill/>
            <w14:prstDash w14:val="solid"/>
            <w14:bevel/>
          </w14:textOutline>
        </w:rPr>
      </w:pPr>
    </w:p>
    <w:p w14:paraId="648A833A" w14:textId="77777777" w:rsidR="008668B8" w:rsidRPr="00066040" w:rsidRDefault="008668B8" w:rsidP="00933F91">
      <w:pPr>
        <w:pStyle w:val="BodyText"/>
        <w:widowControl/>
        <w:numPr>
          <w:ilvl w:val="0"/>
          <w:numId w:val="58"/>
        </w:numPr>
        <w:ind w:left="0" w:firstLine="720"/>
        <w:jc w:val="both"/>
        <w:rPr>
          <w:rFonts w:cs="Cambria"/>
          <w:color w:val="000000"/>
          <w:u w:color="000000"/>
          <w14:textOutline w14:w="0" w14:cap="flat" w14:cmpd="sng" w14:algn="ctr">
            <w14:noFill/>
            <w14:prstDash w14:val="solid"/>
            <w14:bevel/>
          </w14:textOutline>
        </w:rPr>
      </w:pPr>
      <w:r>
        <w:rPr>
          <w:rFonts w:cs="Cambria"/>
          <w:color w:val="000000"/>
          <w14:textOutline w14:w="0" w14:cap="flat" w14:cmpd="sng" w14:algn="ctr">
            <w14:noFill/>
            <w14:prstDash w14:val="solid"/>
            <w14:bevel/>
          </w14:textOutline>
        </w:rPr>
        <w:t xml:space="preserve">Provisional measures are provided for in Article </w:t>
      </w:r>
      <w:r w:rsidRPr="00066040">
        <w:rPr>
          <w:rFonts w:cs="Cambria"/>
          <w:color w:val="000000"/>
          <w14:textOutline w14:w="0" w14:cap="flat" w14:cmpd="sng" w14:algn="ctr">
            <w14:noFill/>
            <w14:prstDash w14:val="solid"/>
            <w14:bevel/>
          </w14:textOutline>
        </w:rPr>
        <w:t xml:space="preserve">63(2) </w:t>
      </w:r>
      <w:r>
        <w:rPr>
          <w:rFonts w:cs="Cambria"/>
          <w:color w:val="000000"/>
          <w14:textOutline w14:w="0" w14:cap="flat" w14:cmpd="sng" w14:algn="ctr">
            <w14:noFill/>
            <w14:prstDash w14:val="solid"/>
            <w14:bevel/>
          </w14:textOutline>
        </w:rPr>
        <w:t>of the American Convention on Human Rights, determining that in cases of</w:t>
      </w:r>
      <w:r w:rsidRPr="00066040">
        <w:rPr>
          <w:rFonts w:cs="Cambria"/>
          <w:color w:val="000000"/>
          <w14:textOutline w14:w="0" w14:cap="flat" w14:cmpd="sng" w14:algn="ctr">
            <w14:noFill/>
            <w14:prstDash w14:val="solid"/>
            <w14:bevel/>
          </w14:textOutline>
        </w:rPr>
        <w:t xml:space="preserve"> </w:t>
      </w:r>
      <w:r w:rsidRPr="00066040">
        <w:rPr>
          <w:rFonts w:cs="Cambria"/>
          <w:color w:val="000000"/>
          <w:u w:val="single" w:color="000000"/>
          <w14:textOutline w14:w="0" w14:cap="flat" w14:cmpd="sng" w14:algn="ctr">
            <w14:noFill/>
            <w14:prstDash w14:val="solid"/>
            <w14:bevel/>
          </w14:textOutline>
        </w:rPr>
        <w:t>extrem</w:t>
      </w:r>
      <w:r>
        <w:rPr>
          <w:rFonts w:cs="Cambria"/>
          <w:color w:val="000000"/>
          <w:u w:val="single" w:color="000000"/>
          <w14:textOutline w14:w="0" w14:cap="flat" w14:cmpd="sng" w14:algn="ctr">
            <w14:noFill/>
            <w14:prstDash w14:val="solid"/>
            <w14:bevel/>
          </w14:textOutline>
        </w:rPr>
        <w:t>e gravity and urgency</w:t>
      </w:r>
      <w:r w:rsidRPr="00066040">
        <w:rPr>
          <w:rFonts w:cs="Cambria"/>
          <w:color w:val="000000"/>
          <w14:textOutline w14:w="0" w14:cap="flat" w14:cmpd="sng" w14:algn="ctr">
            <w14:noFill/>
            <w14:prstDash w14:val="solid"/>
            <w14:bevel/>
          </w14:textOutline>
        </w:rPr>
        <w:t xml:space="preserve">, </w:t>
      </w:r>
      <w:r>
        <w:rPr>
          <w:rFonts w:cs="Cambria"/>
          <w:color w:val="000000"/>
          <w14:textOutline w14:w="0" w14:cap="flat" w14:cmpd="sng" w14:algn="ctr">
            <w14:noFill/>
            <w14:prstDash w14:val="solid"/>
            <w14:bevel/>
          </w14:textOutline>
        </w:rPr>
        <w:t>when it may be necessary to prevent</w:t>
      </w:r>
      <w:r w:rsidRPr="00066040">
        <w:rPr>
          <w:rFonts w:cs="Cambria"/>
          <w:color w:val="000000"/>
          <w14:textOutline w14:w="0" w14:cap="flat" w14:cmpd="sng" w14:algn="ctr">
            <w14:noFill/>
            <w14:prstDash w14:val="solid"/>
            <w14:bevel/>
          </w14:textOutline>
        </w:rPr>
        <w:t xml:space="preserve"> </w:t>
      </w:r>
      <w:r>
        <w:rPr>
          <w:rFonts w:cs="Cambria"/>
          <w:color w:val="000000"/>
          <w:u w:val="single" w:color="000000"/>
          <w14:textOutline w14:w="0" w14:cap="flat" w14:cmpd="sng" w14:algn="ctr">
            <w14:noFill/>
            <w14:prstDash w14:val="solid"/>
            <w14:bevel/>
          </w14:textOutline>
        </w:rPr>
        <w:t>irreparable harm</w:t>
      </w:r>
      <w:r w:rsidRPr="00066040">
        <w:rPr>
          <w:rFonts w:cs="Cambria"/>
          <w:color w:val="000000"/>
          <w14:textOutline w14:w="0" w14:cap="flat" w14:cmpd="sng" w14:algn="ctr">
            <w14:noFill/>
            <w14:prstDash w14:val="solid"/>
            <w14:bevel/>
          </w14:textOutline>
        </w:rPr>
        <w:t xml:space="preserve"> </w:t>
      </w:r>
      <w:r>
        <w:rPr>
          <w:rFonts w:cs="Cambria"/>
          <w:color w:val="000000"/>
          <w14:textOutline w14:w="0" w14:cap="flat" w14:cmpd="sng" w14:algn="ctr">
            <w14:noFill/>
            <w14:prstDash w14:val="solid"/>
            <w14:bevel/>
          </w14:textOutline>
        </w:rPr>
        <w:t>to persons, the Inter-American Court of Human Rights may grant provisional measures. When a decision is made by the Inter-American Court to grant a provisional measure</w:t>
      </w:r>
      <w:r w:rsidRPr="00066040">
        <w:rPr>
          <w:rFonts w:cs="Cambria"/>
          <w:color w:val="000000"/>
          <w14:textOutline w14:w="0" w14:cap="flat" w14:cmpd="sng" w14:algn="ctr">
            <w14:noFill/>
            <w14:prstDash w14:val="solid"/>
            <w14:bevel/>
          </w14:textOutline>
        </w:rPr>
        <w:t xml:space="preserve">, </w:t>
      </w:r>
      <w:r>
        <w:rPr>
          <w:rFonts w:cs="Cambria"/>
          <w:color w:val="000000"/>
          <w14:textOutline w14:w="0" w14:cap="flat" w14:cmpd="sng" w14:algn="ctr">
            <w14:noFill/>
            <w14:prstDash w14:val="solid"/>
            <w14:bevel/>
          </w14:textOutline>
        </w:rPr>
        <w:t xml:space="preserve">monitoring of its implementation passes to the </w:t>
      </w:r>
      <w:r w:rsidRPr="000868A0">
        <w:rPr>
          <w:rFonts w:cs="Cambria"/>
          <w:color w:val="000000"/>
          <w14:textOutline w14:w="0" w14:cap="flat" w14:cmpd="sng" w14:algn="ctr">
            <w14:noFill/>
            <w14:prstDash w14:val="solid"/>
            <w14:bevel/>
          </w14:textOutline>
        </w:rPr>
        <w:t>Court</w:t>
      </w:r>
      <w:r>
        <w:rPr>
          <w:rFonts w:cs="Cambria"/>
          <w:color w:val="000000"/>
          <w14:textOutline w14:w="0" w14:cap="flat" w14:cmpd="sng" w14:algn="ctr">
            <w14:noFill/>
            <w14:prstDash w14:val="solid"/>
            <w14:bevel/>
          </w14:textOutline>
        </w:rPr>
        <w:t>.  In addition, the Commission, at the request of the Court, continues to provide periodic observations and relevant information regarding the implementation of the provisional measures</w:t>
      </w:r>
      <w:r w:rsidRPr="00066040">
        <w:rPr>
          <w:rFonts w:cs="Cambria"/>
          <w:color w:val="000000"/>
          <w14:textOutline w14:w="0" w14:cap="flat" w14:cmpd="sng" w14:algn="ctr">
            <w14:noFill/>
            <w14:prstDash w14:val="solid"/>
            <w14:bevel/>
          </w14:textOutline>
        </w:rPr>
        <w:t>.</w:t>
      </w:r>
    </w:p>
    <w:p w14:paraId="30D9376A" w14:textId="77777777" w:rsidR="008668B8" w:rsidRPr="00066040" w:rsidRDefault="008668B8" w:rsidP="008668B8">
      <w:pPr>
        <w:pBdr>
          <w:top w:val="nil"/>
          <w:left w:val="nil"/>
          <w:bottom w:val="nil"/>
          <w:right w:val="nil"/>
          <w:between w:val="nil"/>
          <w:bar w:val="nil"/>
        </w:pBdr>
        <w:ind w:left="720"/>
        <w:jc w:val="both"/>
        <w:rPr>
          <w:rFonts w:ascii="Cambria" w:eastAsia="Cambria" w:hAnsi="Cambria" w:cs="Cambria"/>
          <w:color w:val="000000"/>
          <w:sz w:val="20"/>
          <w:szCs w:val="20"/>
          <w:u w:color="000000"/>
          <w14:textOutline w14:w="0" w14:cap="flat" w14:cmpd="sng" w14:algn="ctr">
            <w14:noFill/>
            <w14:prstDash w14:val="solid"/>
            <w14:bevel/>
          </w14:textOutline>
        </w:rPr>
      </w:pPr>
    </w:p>
    <w:p w14:paraId="182FB434" w14:textId="77777777" w:rsidR="008668B8" w:rsidRPr="007054E4" w:rsidRDefault="008668B8" w:rsidP="00933F91">
      <w:pPr>
        <w:pStyle w:val="BodyText"/>
        <w:widowControl/>
        <w:numPr>
          <w:ilvl w:val="0"/>
          <w:numId w:val="58"/>
        </w:numPr>
        <w:ind w:left="0" w:firstLine="720"/>
        <w:jc w:val="both"/>
        <w:rPr>
          <w:rFonts w:cs="Cambria"/>
          <w:color w:val="000000"/>
          <w14:textOutline w14:w="0" w14:cap="flat" w14:cmpd="sng" w14:algn="ctr">
            <w14:noFill/>
            <w14:prstDash w14:val="solid"/>
            <w14:bevel/>
          </w14:textOutline>
        </w:rPr>
      </w:pPr>
      <w:r>
        <w:rPr>
          <w:rFonts w:cs="Cambria"/>
          <w:color w:val="000000"/>
          <w14:textOutline w14:w="0" w14:cap="flat" w14:cmpd="sng" w14:algn="ctr">
            <w14:noFill/>
            <w14:prstDash w14:val="solid"/>
            <w14:bevel/>
          </w14:textOutline>
        </w:rPr>
        <w:t>In</w:t>
      </w:r>
      <w:r w:rsidRPr="00066040">
        <w:rPr>
          <w:rFonts w:cs="Cambria"/>
          <w:color w:val="000000"/>
          <w14:textOutline w14:w="0" w14:cap="flat" w14:cmpd="sng" w14:algn="ctr">
            <w14:noFill/>
            <w14:prstDash w14:val="solid"/>
            <w14:bevel/>
          </w14:textOutline>
        </w:rPr>
        <w:t xml:space="preserve"> 2022, </w:t>
      </w:r>
      <w:r>
        <w:rPr>
          <w:rFonts w:cs="Cambria"/>
          <w:color w:val="000000"/>
          <w14:textOutline w14:w="0" w14:cap="flat" w14:cmpd="sng" w14:algn="ctr">
            <w14:noFill/>
            <w14:prstDash w14:val="solid"/>
            <w14:bevel/>
          </w14:textOutline>
        </w:rPr>
        <w:t>the IACHR</w:t>
      </w:r>
      <w:r w:rsidRPr="00066040">
        <w:rPr>
          <w:rFonts w:cs="Cambria"/>
          <w:color w:val="000000"/>
          <w14:textOutline w14:w="0" w14:cap="flat" w14:cmpd="sng" w14:algn="ctr">
            <w14:noFill/>
            <w14:prstDash w14:val="solid"/>
            <w14:bevel/>
          </w14:textOutline>
        </w:rPr>
        <w:t xml:space="preserve"> </w:t>
      </w:r>
      <w:r>
        <w:rPr>
          <w:rFonts w:cs="Cambria"/>
          <w:color w:val="000000"/>
          <w14:textOutline w14:w="0" w14:cap="flat" w14:cmpd="sng" w14:algn="ctr">
            <w14:noFill/>
            <w14:prstDash w14:val="solid"/>
            <w14:bevel/>
          </w14:textOutline>
        </w:rPr>
        <w:t xml:space="preserve">submitted three new requests for provisional </w:t>
      </w:r>
      <w:r w:rsidRPr="007054E4">
        <w:rPr>
          <w:rFonts w:cs="Cambria"/>
          <w:color w:val="000000"/>
          <w14:textOutline w14:w="0" w14:cap="flat" w14:cmpd="sng" w14:algn="ctr">
            <w14:noFill/>
            <w14:prstDash w14:val="solid"/>
            <w14:bevel/>
          </w14:textOutline>
        </w:rPr>
        <w:t xml:space="preserve">measures and one request for extension, </w:t>
      </w:r>
      <w:r>
        <w:rPr>
          <w:rFonts w:cs="Cambria"/>
          <w:color w:val="000000"/>
          <w14:textOutline w14:w="0" w14:cap="flat" w14:cmpd="sng" w14:algn="ctr">
            <w14:noFill/>
            <w14:prstDash w14:val="solid"/>
            <w14:bevel/>
          </w14:textOutline>
        </w:rPr>
        <w:t xml:space="preserve">from </w:t>
      </w:r>
      <w:r w:rsidRPr="007054E4">
        <w:rPr>
          <w:rFonts w:cs="Cambria"/>
          <w:color w:val="000000"/>
          <w14:textOutline w14:w="0" w14:cap="flat" w14:cmpd="sng" w14:algn="ctr">
            <w14:noFill/>
            <w14:prstDash w14:val="solid"/>
            <w14:bevel/>
          </w14:textOutline>
        </w:rPr>
        <w:t xml:space="preserve">which </w:t>
      </w:r>
      <w:r>
        <w:rPr>
          <w:rFonts w:cs="Cambria"/>
          <w:color w:val="000000"/>
          <w14:textOutline w14:w="0" w14:cap="flat" w14:cmpd="sng" w14:algn="ctr">
            <w14:noFill/>
            <w14:prstDash w14:val="solid"/>
            <w14:bevel/>
          </w14:textOutline>
        </w:rPr>
        <w:t xml:space="preserve">three </w:t>
      </w:r>
      <w:r w:rsidRPr="007054E4">
        <w:rPr>
          <w:rFonts w:cs="Cambria"/>
          <w:color w:val="000000"/>
          <w14:textOutline w14:w="0" w14:cap="flat" w14:cmpd="sng" w14:algn="ctr">
            <w14:noFill/>
            <w14:prstDash w14:val="solid"/>
            <w14:bevel/>
          </w14:textOutline>
        </w:rPr>
        <w:t xml:space="preserve">were granted by the I/A Court H.R., </w:t>
      </w:r>
      <w:r>
        <w:rPr>
          <w:rFonts w:cs="Cambria"/>
          <w:color w:val="000000"/>
          <w14:textOutline w14:w="0" w14:cap="flat" w14:cmpd="sng" w14:algn="ctr">
            <w14:noFill/>
            <w14:prstDash w14:val="solid"/>
            <w14:bevel/>
          </w14:textOutline>
        </w:rPr>
        <w:t xml:space="preserve">and one remains to be decided, </w:t>
      </w:r>
      <w:r w:rsidRPr="007054E4">
        <w:rPr>
          <w:rFonts w:cs="Cambria"/>
          <w:color w:val="000000"/>
          <w14:textOutline w14:w="0" w14:cap="flat" w14:cmpd="sng" w14:algn="ctr">
            <w14:noFill/>
            <w14:prstDash w14:val="solid"/>
            <w14:bevel/>
          </w14:textOutline>
        </w:rPr>
        <w:t>as detailed below:</w:t>
      </w:r>
    </w:p>
    <w:p w14:paraId="7920E86F" w14:textId="77777777" w:rsidR="008668B8" w:rsidRPr="00066040" w:rsidRDefault="008668B8" w:rsidP="008668B8">
      <w:pPr>
        <w:ind w:left="360"/>
        <w:jc w:val="both"/>
        <w:rPr>
          <w:rFonts w:ascii="Cambria" w:eastAsia="Cambria" w:hAnsi="Cambria" w:cs="Cambria"/>
          <w:color w:val="000000" w:themeColor="text1"/>
          <w:sz w:val="20"/>
          <w:szCs w:val="20"/>
        </w:rPr>
      </w:pPr>
    </w:p>
    <w:p w14:paraId="7E81D757" w14:textId="77777777" w:rsidR="008668B8" w:rsidRPr="00066040" w:rsidRDefault="008668B8" w:rsidP="00933F91">
      <w:pPr>
        <w:numPr>
          <w:ilvl w:val="0"/>
          <w:numId w:val="40"/>
        </w:numPr>
        <w:pBdr>
          <w:top w:val="nil"/>
          <w:left w:val="nil"/>
          <w:bottom w:val="nil"/>
          <w:right w:val="nil"/>
          <w:between w:val="nil"/>
          <w:bar w:val="nil"/>
        </w:pBdr>
        <w:spacing w:after="120"/>
        <w:jc w:val="both"/>
        <w:rPr>
          <w:rFonts w:ascii="Cambria" w:eastAsia="Cambria" w:hAnsi="Cambria" w:cs="Cambria"/>
          <w:b/>
          <w:bCs/>
          <w:color w:val="000000"/>
          <w:sz w:val="20"/>
          <w:szCs w:val="20"/>
          <w14:textOutline w14:w="0" w14:cap="flat" w14:cmpd="sng" w14:algn="ctr">
            <w14:noFill/>
            <w14:prstDash w14:val="solid"/>
            <w14:bevel/>
          </w14:textOutline>
        </w:rPr>
      </w:pPr>
      <w:r>
        <w:rPr>
          <w:rFonts w:ascii="Cambria" w:eastAsia="Cambria" w:hAnsi="Cambria" w:cs="Cambria"/>
          <w:b/>
          <w:bCs/>
          <w:color w:val="000000"/>
          <w:sz w:val="20"/>
          <w:szCs w:val="20"/>
          <w14:textOutline w14:w="0" w14:cap="flat" w14:cmpd="sng" w14:algn="ctr">
            <w14:noFill/>
            <w14:prstDash w14:val="solid"/>
            <w14:bevel/>
          </w14:textOutline>
        </w:rPr>
        <w:t>Request for extension in the</w:t>
      </w:r>
      <w:r w:rsidRPr="00066040">
        <w:rPr>
          <w:rFonts w:ascii="Cambria" w:eastAsia="Cambria" w:hAnsi="Cambria" w:cs="Cambria"/>
          <w:b/>
          <w:bCs/>
          <w:color w:val="000000"/>
          <w:sz w:val="20"/>
          <w:szCs w:val="20"/>
          <w14:textOutline w14:w="0" w14:cap="flat" w14:cmpd="sng" w14:algn="ctr">
            <w14:noFill/>
            <w14:prstDash w14:val="solid"/>
            <w14:bevel/>
          </w14:textOutline>
        </w:rPr>
        <w:t xml:space="preserve"> </w:t>
      </w:r>
      <w:hyperlink r:id="rId239" w:history="1">
        <w:r>
          <w:rPr>
            <w:rStyle w:val="Hyperlink"/>
            <w:rFonts w:ascii="Cambria" w:eastAsia="Cambria" w:hAnsi="Cambria" w:cs="Cambria"/>
            <w:b/>
            <w:bCs/>
            <w:sz w:val="20"/>
            <w:szCs w:val="20"/>
            <w14:textOutline w14:w="0" w14:cap="flat" w14:cmpd="sng" w14:algn="ctr">
              <w14:noFill/>
              <w14:prstDash w14:val="solid"/>
              <w14:bevel/>
            </w14:textOutline>
          </w:rPr>
          <w:t>matter of</w:t>
        </w:r>
        <w:r w:rsidRPr="00066040">
          <w:rPr>
            <w:rStyle w:val="Hyperlink"/>
            <w:rFonts w:ascii="Cambria" w:eastAsia="Cambria" w:hAnsi="Cambria" w:cs="Cambria"/>
            <w:b/>
            <w:bCs/>
            <w:sz w:val="20"/>
            <w:szCs w:val="20"/>
            <w14:textOutline w14:w="0" w14:cap="flat" w14:cmpd="sng" w14:algn="ctr">
              <w14:noFill/>
              <w14:prstDash w14:val="solid"/>
              <w14:bevel/>
            </w14:textOutline>
          </w:rPr>
          <w:t xml:space="preserve"> Juan Sebastián Chamorro</w:t>
        </w:r>
        <w:r>
          <w:rPr>
            <w:rStyle w:val="Hyperlink"/>
            <w:rFonts w:ascii="Cambria" w:eastAsia="Cambria" w:hAnsi="Cambria" w:cs="Cambria"/>
            <w:b/>
            <w:bCs/>
            <w:sz w:val="20"/>
            <w:szCs w:val="20"/>
            <w14:textOutline w14:w="0" w14:cap="flat" w14:cmpd="sng" w14:algn="ctr">
              <w14:noFill/>
              <w14:prstDash w14:val="solid"/>
              <w14:bevel/>
            </w14:textOutline>
          </w:rPr>
          <w:t xml:space="preserve"> et al.</w:t>
        </w:r>
      </w:hyperlink>
      <w:r w:rsidRPr="00066040">
        <w:rPr>
          <w:rFonts w:ascii="Cambria" w:eastAsia="Cambria" w:hAnsi="Cambria" w:cs="Cambria"/>
          <w:b/>
          <w:bCs/>
          <w:color w:val="000000"/>
          <w:sz w:val="20"/>
          <w:szCs w:val="20"/>
          <w14:textOutline w14:w="0" w14:cap="flat" w14:cmpd="sng" w14:algn="ctr">
            <w14:noFill/>
            <w14:prstDash w14:val="solid"/>
            <w14:bevel/>
          </w14:textOutline>
        </w:rPr>
        <w:t xml:space="preserve"> </w:t>
      </w:r>
    </w:p>
    <w:p w14:paraId="562F2FE5" w14:textId="77777777" w:rsidR="008668B8" w:rsidRPr="00066040" w:rsidRDefault="008668B8" w:rsidP="008668B8">
      <w:pPr>
        <w:pBdr>
          <w:top w:val="nil"/>
          <w:left w:val="nil"/>
          <w:bottom w:val="nil"/>
          <w:right w:val="nil"/>
          <w:between w:val="nil"/>
          <w:bar w:val="nil"/>
        </w:pBdr>
        <w:spacing w:after="120"/>
        <w:ind w:left="1440"/>
        <w:jc w:val="both"/>
        <w:rPr>
          <w:rFonts w:ascii="Cambria" w:eastAsia="Cambria" w:hAnsi="Cambria" w:cs="Cambria"/>
          <w:color w:val="000000"/>
          <w:sz w:val="20"/>
          <w:szCs w:val="20"/>
          <w14:textOutline w14:w="0" w14:cap="flat" w14:cmpd="sng" w14:algn="ctr">
            <w14:noFill/>
            <w14:prstDash w14:val="solid"/>
            <w14:bevel/>
          </w14:textOutline>
        </w:rPr>
      </w:pPr>
      <w:r>
        <w:rPr>
          <w:rFonts w:ascii="Cambria" w:eastAsia="Cambria" w:hAnsi="Cambria" w:cs="Cambria"/>
          <w:color w:val="000000"/>
          <w:sz w:val="20"/>
          <w:szCs w:val="20"/>
          <w14:textOutline w14:w="0" w14:cap="flat" w14:cmpd="sng" w14:algn="ctr">
            <w14:noFill/>
            <w14:prstDash w14:val="solid"/>
            <w14:bevel/>
          </w14:textOutline>
        </w:rPr>
        <w:t xml:space="preserve">The Commission asked for an extension of the provisional measures in the matter of </w:t>
      </w:r>
      <w:r w:rsidRPr="00066040">
        <w:rPr>
          <w:rFonts w:ascii="Cambria" w:eastAsia="Cambria" w:hAnsi="Cambria" w:cs="Cambria"/>
          <w:color w:val="000000"/>
          <w:sz w:val="20"/>
          <w:szCs w:val="20"/>
          <w14:textOutline w14:w="0" w14:cap="flat" w14:cmpd="sng" w14:algn="ctr">
            <w14:noFill/>
            <w14:prstDash w14:val="solid"/>
            <w14:bevel/>
          </w14:textOutline>
        </w:rPr>
        <w:t>Juan Sebastián Chamorro</w:t>
      </w:r>
      <w:r>
        <w:rPr>
          <w:rFonts w:ascii="Cambria" w:eastAsia="Cambria" w:hAnsi="Cambria" w:cs="Cambria"/>
          <w:color w:val="000000"/>
          <w:sz w:val="20"/>
          <w:szCs w:val="20"/>
          <w14:textOutline w14:w="0" w14:cap="flat" w14:cmpd="sng" w14:algn="ctr">
            <w14:noFill/>
            <w14:prstDash w14:val="solid"/>
            <w14:bevel/>
          </w14:textOutline>
        </w:rPr>
        <w:t xml:space="preserve"> et al. in May</w:t>
      </w:r>
      <w:r w:rsidRPr="00066040">
        <w:rPr>
          <w:rFonts w:ascii="Cambria" w:eastAsia="Cambria" w:hAnsi="Cambria" w:cs="Cambria"/>
          <w:color w:val="000000"/>
          <w:sz w:val="20"/>
          <w:szCs w:val="20"/>
          <w14:textOutline w14:w="0" w14:cap="flat" w14:cmpd="sng" w14:algn="ctr">
            <w14:noFill/>
            <w14:prstDash w14:val="solid"/>
            <w14:bevel/>
          </w14:textOutline>
        </w:rPr>
        <w:t xml:space="preserve"> 2022</w:t>
      </w:r>
      <w:r>
        <w:rPr>
          <w:rFonts w:ascii="Cambria" w:eastAsia="Cambria" w:hAnsi="Cambria" w:cs="Cambria"/>
          <w:color w:val="000000"/>
          <w:sz w:val="20"/>
          <w:szCs w:val="20"/>
          <w14:textOutline w14:w="0" w14:cap="flat" w14:cmpd="sng" w14:algn="ctr">
            <w14:noFill/>
            <w14:prstDash w14:val="solid"/>
            <w14:bevel/>
          </w14:textOutline>
        </w:rPr>
        <w:t>,</w:t>
      </w:r>
      <w:r w:rsidRPr="00066040">
        <w:rPr>
          <w:rStyle w:val="FootnoteReference"/>
          <w:rFonts w:ascii="Cambria" w:eastAsia="Cambria" w:hAnsi="Cambria" w:cs="Cambria"/>
          <w:color w:val="000000"/>
          <w:sz w:val="20"/>
          <w:szCs w:val="20"/>
          <w14:textOutline w14:w="0" w14:cap="flat" w14:cmpd="sng" w14:algn="ctr">
            <w14:noFill/>
            <w14:prstDash w14:val="solid"/>
            <w14:bevel/>
          </w14:textOutline>
        </w:rPr>
        <w:footnoteReference w:id="170"/>
      </w:r>
      <w:r>
        <w:rPr>
          <w:rFonts w:ascii="Cambria" w:eastAsia="Cambria" w:hAnsi="Cambria" w:cs="Cambria"/>
          <w:color w:val="000000"/>
          <w:sz w:val="20"/>
          <w:szCs w:val="20"/>
          <w14:textOutline w14:w="0" w14:cap="flat" w14:cmpd="sng" w14:algn="ctr">
            <w14:noFill/>
            <w14:prstDash w14:val="solid"/>
            <w14:bevel/>
          </w14:textOutline>
        </w:rPr>
        <w:t xml:space="preserve"> in favor of nine persons deprived of liberty and their respective family groups protected by seven precautionary measures</w:t>
      </w:r>
      <w:r w:rsidRPr="00066040">
        <w:rPr>
          <w:rFonts w:ascii="Cambria" w:eastAsia="Cambria" w:hAnsi="Cambria" w:cs="Cambria"/>
          <w:color w:val="000000"/>
          <w:sz w:val="20"/>
          <w:szCs w:val="20"/>
          <w14:textOutline w14:w="0" w14:cap="flat" w14:cmpd="sng" w14:algn="ctr">
            <w14:noFill/>
            <w14:prstDash w14:val="solid"/>
            <w14:bevel/>
          </w14:textOutline>
        </w:rPr>
        <w:t>.</w:t>
      </w:r>
    </w:p>
    <w:p w14:paraId="6B4D57CE" w14:textId="77777777" w:rsidR="008668B8" w:rsidRPr="00066040" w:rsidRDefault="008668B8" w:rsidP="008668B8">
      <w:pPr>
        <w:pBdr>
          <w:top w:val="nil"/>
          <w:left w:val="nil"/>
          <w:bottom w:val="nil"/>
          <w:right w:val="nil"/>
          <w:between w:val="nil"/>
          <w:bar w:val="nil"/>
        </w:pBdr>
        <w:spacing w:after="120"/>
        <w:ind w:left="1440"/>
        <w:jc w:val="both"/>
        <w:rPr>
          <w:rFonts w:ascii="Cambria" w:eastAsia="Cambria" w:hAnsi="Cambria" w:cs="Cambria"/>
          <w:color w:val="000000"/>
          <w:sz w:val="20"/>
          <w:szCs w:val="20"/>
          <w14:textOutline w14:w="0" w14:cap="flat" w14:cmpd="sng" w14:algn="ctr">
            <w14:noFill/>
            <w14:prstDash w14:val="solid"/>
            <w14:bevel/>
          </w14:textOutline>
        </w:rPr>
      </w:pPr>
      <w:r>
        <w:rPr>
          <w:rFonts w:ascii="Cambria" w:eastAsia="Cambria" w:hAnsi="Cambria" w:cs="Cambria"/>
          <w:color w:val="000000"/>
          <w:sz w:val="20"/>
          <w:szCs w:val="20"/>
          <w14:textOutline w14:w="0" w14:cap="flat" w14:cmpd="sng" w14:algn="ctr">
            <w14:noFill/>
            <w14:prstDash w14:val="solid"/>
            <w14:bevel/>
          </w14:textOutline>
        </w:rPr>
        <w:t>The nine persons identified are public figures and are perceived as being in opposition to the current Nicaraguan government. The request for an extension in this matter considered that the persons identified sought to ensure that the 2021 general elections were democratic and one of the proposed beneficiaries of the provisional measures was detained after having demonstrated interest in participating as a potential presidential candidate, a situation linked to the reasons why the provisional measures were originally granted in</w:t>
      </w:r>
      <w:r w:rsidRPr="00066040">
        <w:rPr>
          <w:rFonts w:ascii="Cambria" w:eastAsia="Cambria" w:hAnsi="Cambria" w:cs="Cambria"/>
          <w:color w:val="000000"/>
          <w:sz w:val="20"/>
          <w:szCs w:val="20"/>
          <w14:textOutline w14:w="0" w14:cap="flat" w14:cmpd="sng" w14:algn="ctr">
            <w14:noFill/>
            <w14:prstDash w14:val="solid"/>
            <w14:bevel/>
          </w14:textOutline>
        </w:rPr>
        <w:t xml:space="preserve"> 2021.</w:t>
      </w:r>
    </w:p>
    <w:p w14:paraId="112E5E18" w14:textId="77777777" w:rsidR="008668B8" w:rsidRPr="00066040" w:rsidRDefault="008668B8" w:rsidP="008668B8">
      <w:pPr>
        <w:pBdr>
          <w:top w:val="nil"/>
          <w:left w:val="nil"/>
          <w:bottom w:val="nil"/>
          <w:right w:val="nil"/>
          <w:between w:val="nil"/>
          <w:bar w:val="nil"/>
        </w:pBdr>
        <w:spacing w:after="120"/>
        <w:ind w:left="1440"/>
        <w:jc w:val="both"/>
        <w:rPr>
          <w:rFonts w:ascii="Cambria" w:eastAsia="Cambria" w:hAnsi="Cambria" w:cs="Cambria"/>
          <w:color w:val="000000"/>
          <w:sz w:val="20"/>
          <w:szCs w:val="20"/>
          <w14:textOutline w14:w="0" w14:cap="flat" w14:cmpd="sng" w14:algn="ctr">
            <w14:noFill/>
            <w14:prstDash w14:val="solid"/>
            <w14:bevel/>
          </w14:textOutline>
        </w:rPr>
      </w:pPr>
      <w:r>
        <w:rPr>
          <w:rFonts w:ascii="Cambria" w:eastAsia="Cambria" w:hAnsi="Cambria" w:cs="Cambria"/>
          <w:color w:val="000000"/>
          <w:sz w:val="20"/>
          <w:szCs w:val="20"/>
          <w14:textOutline w14:w="0" w14:cap="flat" w14:cmpd="sng" w14:algn="ctr">
            <w14:noFill/>
            <w14:prstDash w14:val="solid"/>
            <w14:bevel/>
          </w14:textOutline>
        </w:rPr>
        <w:t>The Commission considered that the rights of these nine persons were in a situation of extreme risk and exposed to being subject to imminent acts of violence and their nuclear families were exposed to suffering reprisals</w:t>
      </w:r>
      <w:r w:rsidRPr="00066040">
        <w:rPr>
          <w:rFonts w:ascii="Cambria" w:eastAsia="Cambria" w:hAnsi="Cambria" w:cs="Cambria"/>
          <w:color w:val="000000"/>
          <w:sz w:val="20"/>
          <w:szCs w:val="20"/>
          <w14:textOutline w14:w="0" w14:cap="flat" w14:cmpd="sng" w14:algn="ctr">
            <w14:noFill/>
            <w14:prstDash w14:val="solid"/>
            <w14:bevel/>
          </w14:textOutline>
        </w:rPr>
        <w:t xml:space="preserve"> </w:t>
      </w:r>
      <w:r>
        <w:rPr>
          <w:rFonts w:ascii="Cambria" w:eastAsia="Cambria" w:hAnsi="Cambria" w:cs="Cambria"/>
          <w:color w:val="000000"/>
          <w:sz w:val="20"/>
          <w:szCs w:val="20"/>
          <w14:textOutline w14:w="0" w14:cap="flat" w14:cmpd="sng" w14:algn="ctr">
            <w14:noFill/>
            <w14:prstDash w14:val="solid"/>
            <w14:bevel/>
          </w14:textOutline>
        </w:rPr>
        <w:t>for the actions they were taking to demand justice.</w:t>
      </w:r>
      <w:r w:rsidRPr="00066040">
        <w:rPr>
          <w:rFonts w:ascii="Cambria" w:eastAsia="Cambria" w:hAnsi="Cambria" w:cs="Cambria"/>
          <w:color w:val="000000"/>
          <w:sz w:val="20"/>
          <w:szCs w:val="20"/>
          <w14:textOutline w14:w="0" w14:cap="flat" w14:cmpd="sng" w14:algn="ctr">
            <w14:noFill/>
            <w14:prstDash w14:val="solid"/>
            <w14:bevel/>
          </w14:textOutline>
        </w:rPr>
        <w:t xml:space="preserve"> </w:t>
      </w:r>
      <w:r>
        <w:rPr>
          <w:rFonts w:ascii="Cambria" w:eastAsia="Cambria" w:hAnsi="Cambria" w:cs="Cambria"/>
          <w:color w:val="000000"/>
          <w:sz w:val="20"/>
          <w:szCs w:val="20"/>
          <w14:textOutline w14:w="0" w14:cap="flat" w14:cmpd="sng" w14:algn="ctr">
            <w14:noFill/>
            <w14:prstDash w14:val="solid"/>
            <w14:bevel/>
          </w14:textOutline>
        </w:rPr>
        <w:t>The IACHR</w:t>
      </w:r>
      <w:r w:rsidRPr="00066040">
        <w:rPr>
          <w:rFonts w:ascii="Cambria" w:eastAsia="Cambria" w:hAnsi="Cambria" w:cs="Cambria"/>
          <w:color w:val="000000"/>
          <w:sz w:val="20"/>
          <w:szCs w:val="20"/>
          <w14:textOutline w14:w="0" w14:cap="flat" w14:cmpd="sng" w14:algn="ctr">
            <w14:noFill/>
            <w14:prstDash w14:val="solid"/>
            <w14:bevel/>
          </w14:textOutline>
        </w:rPr>
        <w:t xml:space="preserve"> </w:t>
      </w:r>
      <w:r>
        <w:rPr>
          <w:rFonts w:ascii="Cambria" w:eastAsia="Cambria" w:hAnsi="Cambria" w:cs="Cambria"/>
          <w:color w:val="000000"/>
          <w:sz w:val="20"/>
          <w:szCs w:val="20"/>
          <w14:textOutline w14:w="0" w14:cap="flat" w14:cmpd="sng" w14:algn="ctr">
            <w14:noFill/>
            <w14:prstDash w14:val="solid"/>
            <w14:bevel/>
          </w14:textOutline>
        </w:rPr>
        <w:t>did not receive information from the State regarding the implementation of suitable protective measures</w:t>
      </w:r>
      <w:r w:rsidRPr="00066040">
        <w:rPr>
          <w:rFonts w:ascii="Cambria" w:eastAsia="Cambria" w:hAnsi="Cambria" w:cs="Cambria"/>
          <w:color w:val="000000"/>
          <w:sz w:val="20"/>
          <w:szCs w:val="20"/>
          <w14:textOutline w14:w="0" w14:cap="flat" w14:cmpd="sng" w14:algn="ctr">
            <w14:noFill/>
            <w14:prstDash w14:val="solid"/>
            <w14:bevel/>
          </w14:textOutline>
        </w:rPr>
        <w:t>.</w:t>
      </w:r>
    </w:p>
    <w:p w14:paraId="3ADC73B2" w14:textId="77777777" w:rsidR="008668B8" w:rsidRPr="00066040" w:rsidRDefault="008668B8" w:rsidP="008668B8">
      <w:pPr>
        <w:pBdr>
          <w:top w:val="nil"/>
          <w:left w:val="nil"/>
          <w:bottom w:val="nil"/>
          <w:right w:val="nil"/>
          <w:between w:val="nil"/>
          <w:bar w:val="nil"/>
        </w:pBdr>
        <w:spacing w:after="120"/>
        <w:ind w:left="1440"/>
        <w:jc w:val="both"/>
        <w:rPr>
          <w:rFonts w:ascii="Cambria" w:eastAsia="Cambria" w:hAnsi="Cambria" w:cs="Cambria"/>
          <w:color w:val="000000"/>
          <w:sz w:val="20"/>
          <w:szCs w:val="20"/>
          <w14:textOutline w14:w="0" w14:cap="flat" w14:cmpd="sng" w14:algn="ctr">
            <w14:noFill/>
            <w14:prstDash w14:val="solid"/>
            <w14:bevel/>
          </w14:textOutline>
        </w:rPr>
      </w:pPr>
      <w:r>
        <w:rPr>
          <w:rFonts w:ascii="Cambria" w:eastAsia="Cambria" w:hAnsi="Cambria" w:cs="Cambria"/>
          <w:color w:val="000000"/>
          <w:sz w:val="20"/>
          <w:szCs w:val="20"/>
          <w14:textOutline w14:w="0" w14:cap="flat" w14:cmpd="sng" w14:algn="ctr">
            <w14:noFill/>
            <w14:prstDash w14:val="solid"/>
            <w14:bevel/>
          </w14:textOutline>
        </w:rPr>
        <w:t xml:space="preserve">The Court granted the provisional measures on May 25, </w:t>
      </w:r>
      <w:r w:rsidRPr="00066040">
        <w:rPr>
          <w:rFonts w:ascii="Cambria" w:eastAsia="Cambria" w:hAnsi="Cambria" w:cs="Cambria"/>
          <w:color w:val="000000"/>
          <w:sz w:val="20"/>
          <w:szCs w:val="20"/>
          <w14:textOutline w14:w="0" w14:cap="flat" w14:cmpd="sng" w14:algn="ctr">
            <w14:noFill/>
            <w14:prstDash w14:val="solid"/>
            <w14:bevel/>
          </w14:textOutline>
        </w:rPr>
        <w:t>2022.</w:t>
      </w:r>
    </w:p>
    <w:p w14:paraId="364F3740" w14:textId="77777777" w:rsidR="008668B8" w:rsidRPr="00066040" w:rsidRDefault="008668B8" w:rsidP="00933F91">
      <w:pPr>
        <w:numPr>
          <w:ilvl w:val="0"/>
          <w:numId w:val="40"/>
        </w:numPr>
        <w:pBdr>
          <w:top w:val="nil"/>
          <w:left w:val="nil"/>
          <w:bottom w:val="nil"/>
          <w:right w:val="nil"/>
          <w:between w:val="nil"/>
          <w:bar w:val="nil"/>
        </w:pBdr>
        <w:spacing w:after="120"/>
        <w:jc w:val="both"/>
        <w:rPr>
          <w:rFonts w:ascii="Cambria" w:eastAsia="Cambria" w:hAnsi="Cambria" w:cs="Cambria"/>
          <w:b/>
          <w:bCs/>
          <w:color w:val="000000"/>
          <w:sz w:val="20"/>
          <w:szCs w:val="20"/>
          <w14:textOutline w14:w="0" w14:cap="flat" w14:cmpd="sng" w14:algn="ctr">
            <w14:noFill/>
            <w14:prstDash w14:val="solid"/>
            <w14:bevel/>
          </w14:textOutline>
        </w:rPr>
      </w:pPr>
      <w:r>
        <w:rPr>
          <w:rFonts w:ascii="Cambria" w:eastAsia="Cambria" w:hAnsi="Cambria" w:cs="Cambria"/>
          <w:b/>
          <w:bCs/>
          <w:color w:val="000000"/>
          <w:sz w:val="20"/>
          <w:szCs w:val="20"/>
          <w14:textOutline w14:w="0" w14:cap="flat" w14:cmpd="sng" w14:algn="ctr">
            <w14:noFill/>
            <w14:prstDash w14:val="solid"/>
            <w14:bevel/>
          </w14:textOutline>
        </w:rPr>
        <w:t>Request for provisional measures in the matter of</w:t>
      </w:r>
      <w:hyperlink r:id="rId240" w:history="1">
        <w:r w:rsidRPr="00066040">
          <w:rPr>
            <w:rFonts w:ascii="Cambria" w:eastAsia="Cambria" w:hAnsi="Cambria" w:cs="Cambria"/>
            <w:b/>
            <w:bCs/>
            <w:sz w:val="20"/>
            <w:szCs w:val="20"/>
            <w14:textOutline w14:w="0" w14:cap="flat" w14:cmpd="sng" w14:algn="ctr">
              <w14:noFill/>
              <w14:prstDash w14:val="solid"/>
              <w14:bevel/>
            </w14:textOutline>
          </w:rPr>
          <w:t xml:space="preserve"> </w:t>
        </w:r>
        <w:r w:rsidRPr="001629FD">
          <w:rPr>
            <w:rStyle w:val="Hyperlink"/>
            <w:rFonts w:ascii="Cambria" w:hAnsi="Cambria"/>
            <w:b/>
            <w:bCs/>
            <w:sz w:val="20"/>
            <w:szCs w:val="20"/>
          </w:rPr>
          <w:t>Members of the Yanomami, Ye’kwana, and Munduruku Indigenous Peoples with respect to Brazil.</w:t>
        </w:r>
      </w:hyperlink>
    </w:p>
    <w:p w14:paraId="180765F3" w14:textId="77777777" w:rsidR="008668B8" w:rsidRPr="00066040" w:rsidRDefault="008668B8" w:rsidP="008668B8">
      <w:pPr>
        <w:pBdr>
          <w:top w:val="nil"/>
          <w:left w:val="nil"/>
          <w:bottom w:val="nil"/>
          <w:right w:val="nil"/>
          <w:between w:val="nil"/>
          <w:bar w:val="nil"/>
        </w:pBdr>
        <w:spacing w:after="120"/>
        <w:ind w:left="1440"/>
        <w:jc w:val="both"/>
        <w:rPr>
          <w:rFonts w:ascii="Cambria" w:eastAsia="Cambria" w:hAnsi="Cambria" w:cs="Cambria"/>
          <w:color w:val="000000"/>
          <w:sz w:val="20"/>
          <w:szCs w:val="20"/>
          <w14:textOutline w14:w="0" w14:cap="flat" w14:cmpd="sng" w14:algn="ctr">
            <w14:noFill/>
            <w14:prstDash w14:val="solid"/>
            <w14:bevel/>
          </w14:textOutline>
        </w:rPr>
      </w:pPr>
      <w:r>
        <w:rPr>
          <w:rFonts w:ascii="Cambria" w:eastAsia="Cambria" w:hAnsi="Cambria" w:cs="Cambria"/>
          <w:color w:val="000000"/>
          <w:sz w:val="20"/>
          <w:szCs w:val="20"/>
          <w14:textOutline w14:w="0" w14:cap="flat" w14:cmpd="sng" w14:algn="ctr">
            <w14:noFill/>
            <w14:prstDash w14:val="solid"/>
            <w14:bevel/>
          </w14:textOutline>
        </w:rPr>
        <w:t>The IACHR</w:t>
      </w:r>
      <w:r w:rsidRPr="00066040">
        <w:rPr>
          <w:rFonts w:ascii="Cambria" w:eastAsia="Cambria" w:hAnsi="Cambria" w:cs="Cambria"/>
          <w:color w:val="000000"/>
          <w:sz w:val="20"/>
          <w:szCs w:val="20"/>
          <w14:textOutline w14:w="0" w14:cap="flat" w14:cmpd="sng" w14:algn="ctr">
            <w14:noFill/>
            <w14:prstDash w14:val="solid"/>
            <w14:bevel/>
          </w14:textOutline>
        </w:rPr>
        <w:t xml:space="preserve"> </w:t>
      </w:r>
      <w:r>
        <w:rPr>
          <w:rFonts w:ascii="Cambria" w:eastAsia="Cambria" w:hAnsi="Cambria" w:cs="Cambria"/>
          <w:color w:val="000000"/>
          <w:sz w:val="20"/>
          <w:szCs w:val="20"/>
          <w14:textOutline w14:w="0" w14:cap="flat" w14:cmpd="sng" w14:algn="ctr">
            <w14:noFill/>
            <w14:prstDash w14:val="solid"/>
            <w14:bevel/>
          </w14:textOutline>
        </w:rPr>
        <w:t>requested provisional measures in favor of the</w:t>
      </w:r>
      <w:r w:rsidRPr="00066040">
        <w:rPr>
          <w:rFonts w:ascii="Cambria" w:eastAsia="Cambria" w:hAnsi="Cambria" w:cs="Cambria"/>
          <w:color w:val="000000"/>
          <w:sz w:val="20"/>
          <w:szCs w:val="20"/>
          <w14:textOutline w14:w="0" w14:cap="flat" w14:cmpd="sng" w14:algn="ctr">
            <w14:noFill/>
            <w14:prstDash w14:val="solid"/>
            <w14:bevel/>
          </w14:textOutline>
        </w:rPr>
        <w:t xml:space="preserve"> Yanomami, </w:t>
      </w:r>
      <w:r w:rsidRPr="00066040">
        <w:rPr>
          <w:rFonts w:ascii="Cambria" w:eastAsia="Cambria" w:hAnsi="Cambria" w:cs="Cambria"/>
          <w:color w:val="000000" w:themeColor="text1"/>
          <w:sz w:val="20"/>
          <w:szCs w:val="20"/>
        </w:rPr>
        <w:t>Ye`kwana</w:t>
      </w:r>
      <w:r>
        <w:rPr>
          <w:rFonts w:ascii="Cambria" w:eastAsia="Cambria" w:hAnsi="Cambria" w:cs="Cambria"/>
          <w:color w:val="000000" w:themeColor="text1"/>
          <w:sz w:val="20"/>
          <w:szCs w:val="20"/>
        </w:rPr>
        <w:t>,</w:t>
      </w:r>
      <w:r>
        <w:rPr>
          <w:rFonts w:ascii="Cambria" w:eastAsia="Cambria" w:hAnsi="Cambria" w:cs="Cambria"/>
          <w:color w:val="000000"/>
          <w:sz w:val="20"/>
          <w:szCs w:val="20"/>
          <w14:textOutline w14:w="0" w14:cap="flat" w14:cmpd="sng" w14:algn="ctr">
            <w14:noFill/>
            <w14:prstDash w14:val="solid"/>
            <w14:bevel/>
          </w14:textOutline>
        </w:rPr>
        <w:t xml:space="preserve"> and </w:t>
      </w:r>
      <w:r w:rsidRPr="00066040">
        <w:rPr>
          <w:rFonts w:ascii="Cambria" w:eastAsia="Cambria" w:hAnsi="Cambria" w:cs="Cambria"/>
          <w:color w:val="000000"/>
          <w:sz w:val="20"/>
          <w:szCs w:val="20"/>
          <w14:textOutline w14:w="0" w14:cap="flat" w14:cmpd="sng" w14:algn="ctr">
            <w14:noFill/>
            <w14:prstDash w14:val="solid"/>
            <w14:bevel/>
          </w14:textOutline>
        </w:rPr>
        <w:t xml:space="preserve">Munduruku </w:t>
      </w:r>
      <w:r>
        <w:rPr>
          <w:rFonts w:ascii="Cambria" w:eastAsia="Cambria" w:hAnsi="Cambria" w:cs="Cambria"/>
          <w:color w:val="000000"/>
          <w:sz w:val="20"/>
          <w:szCs w:val="20"/>
          <w14:textOutline w14:w="0" w14:cap="flat" w14:cmpd="sng" w14:algn="ctr">
            <w14:noFill/>
            <w14:prstDash w14:val="solid"/>
            <w14:bevel/>
          </w14:textOutline>
        </w:rPr>
        <w:t>Indigenous Peoples in Brazil</w:t>
      </w:r>
      <w:r w:rsidRPr="00066040">
        <w:rPr>
          <w:rFonts w:ascii="Cambria" w:eastAsia="Cambria" w:hAnsi="Cambria" w:cs="Cambria"/>
          <w:color w:val="000000"/>
          <w:sz w:val="20"/>
          <w:szCs w:val="20"/>
          <w14:textOutline w14:w="0" w14:cap="flat" w14:cmpd="sng" w14:algn="ctr">
            <w14:noFill/>
            <w14:prstDash w14:val="solid"/>
            <w14:bevel/>
          </w14:textOutline>
        </w:rPr>
        <w:t xml:space="preserve"> </w:t>
      </w:r>
      <w:r>
        <w:rPr>
          <w:rFonts w:ascii="Cambria" w:eastAsia="Cambria" w:hAnsi="Cambria" w:cs="Cambria"/>
          <w:color w:val="000000"/>
          <w:sz w:val="20"/>
          <w:szCs w:val="20"/>
          <w14:textOutline w14:w="0" w14:cap="flat" w14:cmpd="sng" w14:algn="ctr">
            <w14:noFill/>
            <w14:prstDash w14:val="solid"/>
            <w14:bevel/>
          </w14:textOutline>
        </w:rPr>
        <w:t>in May</w:t>
      </w:r>
      <w:r w:rsidRPr="00066040">
        <w:rPr>
          <w:rFonts w:ascii="Cambria" w:eastAsia="Cambria" w:hAnsi="Cambria" w:cs="Cambria"/>
          <w:color w:val="000000"/>
          <w:sz w:val="20"/>
          <w:szCs w:val="20"/>
          <w14:textOutline w14:w="0" w14:cap="flat" w14:cmpd="sng" w14:algn="ctr">
            <w14:noFill/>
            <w14:prstDash w14:val="solid"/>
            <w14:bevel/>
          </w14:textOutline>
        </w:rPr>
        <w:t xml:space="preserve"> 2022</w:t>
      </w:r>
      <w:r>
        <w:rPr>
          <w:rFonts w:ascii="Cambria" w:eastAsia="Cambria" w:hAnsi="Cambria" w:cs="Cambria"/>
          <w:color w:val="000000"/>
          <w:sz w:val="20"/>
          <w:szCs w:val="20"/>
          <w14:textOutline w14:w="0" w14:cap="flat" w14:cmpd="sng" w14:algn="ctr">
            <w14:noFill/>
            <w14:prstDash w14:val="solid"/>
            <w14:bevel/>
          </w14:textOutline>
        </w:rPr>
        <w:t>.</w:t>
      </w:r>
      <w:r w:rsidRPr="00066040">
        <w:rPr>
          <w:rStyle w:val="FootnoteReference"/>
          <w:rFonts w:ascii="Cambria" w:eastAsia="Cambria" w:hAnsi="Cambria" w:cs="Cambria"/>
          <w:color w:val="000000"/>
          <w:sz w:val="20"/>
          <w:szCs w:val="20"/>
          <w14:textOutline w14:w="0" w14:cap="flat" w14:cmpd="sng" w14:algn="ctr">
            <w14:noFill/>
            <w14:prstDash w14:val="solid"/>
            <w14:bevel/>
          </w14:textOutline>
        </w:rPr>
        <w:footnoteReference w:id="171"/>
      </w:r>
      <w:r>
        <w:rPr>
          <w:rFonts w:ascii="Cambria" w:eastAsia="Cambria" w:hAnsi="Cambria" w:cs="Cambria"/>
          <w:color w:val="000000"/>
          <w:sz w:val="20"/>
          <w:szCs w:val="20"/>
          <w14:textOutline w14:w="0" w14:cap="flat" w14:cmpd="sng" w14:algn="ctr">
            <w14:noFill/>
            <w14:prstDash w14:val="solid"/>
            <w14:bevel/>
          </w14:textOutline>
        </w:rPr>
        <w:t xml:space="preserve"> While the measures were in force, the IACHR</w:t>
      </w:r>
      <w:r w:rsidRPr="00066040">
        <w:rPr>
          <w:rFonts w:ascii="Cambria" w:eastAsia="Cambria" w:hAnsi="Cambria" w:cs="Cambria"/>
          <w:color w:val="000000"/>
          <w:sz w:val="20"/>
          <w:szCs w:val="20"/>
          <w14:textOutline w14:w="0" w14:cap="flat" w14:cmpd="sng" w14:algn="ctr">
            <w14:noFill/>
            <w14:prstDash w14:val="solid"/>
            <w14:bevel/>
          </w14:textOutline>
        </w:rPr>
        <w:t xml:space="preserve"> rec</w:t>
      </w:r>
      <w:r>
        <w:rPr>
          <w:rFonts w:ascii="Cambria" w:eastAsia="Cambria" w:hAnsi="Cambria" w:cs="Cambria"/>
          <w:color w:val="000000"/>
          <w:sz w:val="20"/>
          <w:szCs w:val="20"/>
          <w14:textOutline w14:w="0" w14:cap="flat" w14:cmpd="sng" w14:algn="ctr">
            <w14:noFill/>
            <w14:prstDash w14:val="solid"/>
            <w14:bevel/>
          </w14:textOutline>
        </w:rPr>
        <w:t>eived information on an exponential increase in the presence of unauthorized third parties on their lands, who were primarily engaged in mining and logging activities</w:t>
      </w:r>
      <w:r w:rsidRPr="00066040">
        <w:rPr>
          <w:rFonts w:ascii="Cambria" w:eastAsia="Cambria" w:hAnsi="Cambria" w:cs="Cambria"/>
          <w:color w:val="000000"/>
          <w:sz w:val="20"/>
          <w:szCs w:val="20"/>
          <w14:textOutline w14:w="0" w14:cap="flat" w14:cmpd="sng" w14:algn="ctr">
            <w14:noFill/>
            <w14:prstDash w14:val="solid"/>
            <w14:bevel/>
          </w14:textOutline>
        </w:rPr>
        <w:t xml:space="preserve">. </w:t>
      </w:r>
      <w:r>
        <w:rPr>
          <w:rFonts w:ascii="Cambria" w:eastAsia="Cambria" w:hAnsi="Cambria" w:cs="Cambria"/>
          <w:color w:val="000000"/>
          <w:sz w:val="20"/>
          <w:szCs w:val="20"/>
          <w14:textOutline w14:w="0" w14:cap="flat" w14:cmpd="sng" w14:algn="ctr">
            <w14:noFill/>
            <w14:prstDash w14:val="solid"/>
            <w14:bevel/>
          </w14:textOutline>
        </w:rPr>
        <w:t>In this context, it was observed that the</w:t>
      </w:r>
      <w:r w:rsidRPr="00066040">
        <w:rPr>
          <w:rFonts w:ascii="Cambria" w:eastAsia="Cambria" w:hAnsi="Cambria" w:cs="Cambria"/>
          <w:color w:val="000000"/>
          <w:sz w:val="20"/>
          <w:szCs w:val="20"/>
          <w14:textOutline w14:w="0" w14:cap="flat" w14:cmpd="sng" w14:algn="ctr">
            <w14:noFill/>
            <w14:prstDash w14:val="solid"/>
            <w14:bevel/>
          </w14:textOutline>
        </w:rPr>
        <w:t xml:space="preserve"> Yanomami, Ye`kwana</w:t>
      </w:r>
      <w:r>
        <w:rPr>
          <w:rFonts w:ascii="Cambria" w:eastAsia="Cambria" w:hAnsi="Cambria" w:cs="Cambria"/>
          <w:color w:val="000000"/>
          <w:sz w:val="20"/>
          <w:szCs w:val="20"/>
          <w14:textOutline w14:w="0" w14:cap="flat" w14:cmpd="sng" w14:algn="ctr">
            <w14:noFill/>
            <w14:prstDash w14:val="solid"/>
            <w14:bevel/>
          </w14:textOutline>
        </w:rPr>
        <w:t xml:space="preserve">, and </w:t>
      </w:r>
      <w:r w:rsidRPr="00066040">
        <w:rPr>
          <w:rFonts w:ascii="Cambria" w:eastAsia="Cambria" w:hAnsi="Cambria" w:cs="Cambria"/>
          <w:color w:val="000000"/>
          <w:sz w:val="20"/>
          <w:szCs w:val="20"/>
          <w14:textOutline w14:w="0" w14:cap="flat" w14:cmpd="sng" w14:algn="ctr">
            <w14:noFill/>
            <w14:prstDash w14:val="solid"/>
            <w14:bevel/>
          </w14:textOutline>
        </w:rPr>
        <w:t>Munduruku</w:t>
      </w:r>
      <w:r>
        <w:rPr>
          <w:rFonts w:ascii="Cambria" w:eastAsia="Cambria" w:hAnsi="Cambria" w:cs="Cambria"/>
          <w:color w:val="000000"/>
          <w:sz w:val="20"/>
          <w:szCs w:val="20"/>
          <w14:textOutline w14:w="0" w14:cap="flat" w14:cmpd="sng" w14:algn="ctr">
            <w14:noFill/>
            <w14:prstDash w14:val="solid"/>
            <w14:bevel/>
          </w14:textOutline>
        </w:rPr>
        <w:t xml:space="preserve"> indigenous peoples are exposed</w:t>
      </w:r>
      <w:r w:rsidRPr="00066040">
        <w:rPr>
          <w:rFonts w:ascii="Cambria" w:eastAsia="Cambria" w:hAnsi="Cambria" w:cs="Cambria"/>
          <w:color w:val="000000"/>
          <w:sz w:val="20"/>
          <w:szCs w:val="20"/>
          <w14:textOutline w14:w="0" w14:cap="flat" w14:cmpd="sng" w14:algn="ctr">
            <w14:noFill/>
            <w14:prstDash w14:val="solid"/>
            <w14:bevel/>
          </w14:textOutline>
        </w:rPr>
        <w:t xml:space="preserve"> </w:t>
      </w:r>
      <w:r>
        <w:rPr>
          <w:rFonts w:ascii="Cambria" w:eastAsia="Cambria" w:hAnsi="Cambria" w:cs="Cambria"/>
          <w:color w:val="000000"/>
          <w:sz w:val="20"/>
          <w:szCs w:val="20"/>
          <w14:textOutline w14:w="0" w14:cap="flat" w14:cmpd="sng" w14:algn="ctr">
            <w14:noFill/>
            <w14:prstDash w14:val="solid"/>
            <w14:bevel/>
          </w14:textOutline>
        </w:rPr>
        <w:t xml:space="preserve">to murder, threats, violent attacks, sexual violence, and health impacts due to the spread of diseases such as </w:t>
      </w:r>
      <w:r w:rsidRPr="00066040">
        <w:rPr>
          <w:rFonts w:ascii="Cambria" w:eastAsia="Cambria" w:hAnsi="Cambria" w:cs="Cambria"/>
          <w:color w:val="000000"/>
          <w:sz w:val="20"/>
          <w:szCs w:val="20"/>
          <w14:textOutline w14:w="0" w14:cap="flat" w14:cmpd="sng" w14:algn="ctr">
            <w14:noFill/>
            <w14:prstDash w14:val="solid"/>
            <w14:bevel/>
          </w14:textOutline>
        </w:rPr>
        <w:t>malaria</w:t>
      </w:r>
      <w:r>
        <w:rPr>
          <w:rFonts w:ascii="Cambria" w:eastAsia="Cambria" w:hAnsi="Cambria" w:cs="Cambria"/>
          <w:color w:val="000000"/>
          <w:sz w:val="20"/>
          <w:szCs w:val="20"/>
          <w14:textOutline w14:w="0" w14:cap="flat" w14:cmpd="sng" w14:algn="ctr">
            <w14:noFill/>
            <w14:prstDash w14:val="solid"/>
            <w14:bevel/>
          </w14:textOutline>
        </w:rPr>
        <w:t xml:space="preserve"> and </w:t>
      </w:r>
      <w:r w:rsidRPr="00066040">
        <w:rPr>
          <w:rFonts w:ascii="Cambria" w:eastAsia="Cambria" w:hAnsi="Cambria" w:cs="Cambria"/>
          <w:color w:val="000000"/>
          <w:sz w:val="20"/>
          <w:szCs w:val="20"/>
          <w14:textOutline w14:w="0" w14:cap="flat" w14:cmpd="sng" w14:algn="ctr">
            <w14:noFill/>
            <w14:prstDash w14:val="solid"/>
            <w14:bevel/>
          </w14:textOutline>
        </w:rPr>
        <w:t xml:space="preserve">COVID-19, </w:t>
      </w:r>
      <w:r>
        <w:rPr>
          <w:rFonts w:ascii="Cambria" w:eastAsia="Cambria" w:hAnsi="Cambria" w:cs="Cambria"/>
          <w:color w:val="000000"/>
          <w:sz w:val="20"/>
          <w:szCs w:val="20"/>
          <w14:textOutline w14:w="0" w14:cap="flat" w14:cmpd="sng" w14:algn="ctr">
            <w14:noFill/>
            <w14:prstDash w14:val="solid"/>
            <w14:bevel/>
          </w14:textOutline>
        </w:rPr>
        <w:t>in a context of scarce medical care and alleged contamination by mercury from mining</w:t>
      </w:r>
      <w:r w:rsidRPr="00066040">
        <w:rPr>
          <w:rFonts w:ascii="Cambria" w:eastAsia="Cambria" w:hAnsi="Cambria" w:cs="Cambria"/>
          <w:color w:val="000000"/>
          <w:sz w:val="20"/>
          <w:szCs w:val="20"/>
          <w14:textOutline w14:w="0" w14:cap="flat" w14:cmpd="sng" w14:algn="ctr">
            <w14:noFill/>
            <w14:prstDash w14:val="solid"/>
            <w14:bevel/>
          </w14:textOutline>
        </w:rPr>
        <w:t>.</w:t>
      </w:r>
    </w:p>
    <w:p w14:paraId="6EDECAA1" w14:textId="77777777" w:rsidR="008668B8" w:rsidRPr="00066040" w:rsidRDefault="008668B8" w:rsidP="008668B8">
      <w:pPr>
        <w:pBdr>
          <w:top w:val="nil"/>
          <w:left w:val="nil"/>
          <w:bottom w:val="nil"/>
          <w:right w:val="nil"/>
          <w:between w:val="nil"/>
          <w:bar w:val="nil"/>
        </w:pBdr>
        <w:spacing w:after="120"/>
        <w:ind w:left="1440"/>
        <w:jc w:val="both"/>
        <w:rPr>
          <w:rFonts w:ascii="Cambria" w:eastAsia="Cambria" w:hAnsi="Cambria" w:cs="Cambria"/>
          <w:color w:val="000000"/>
          <w:sz w:val="20"/>
          <w:szCs w:val="20"/>
          <w14:textOutline w14:w="0" w14:cap="flat" w14:cmpd="sng" w14:algn="ctr">
            <w14:noFill/>
            <w14:prstDash w14:val="solid"/>
            <w14:bevel/>
          </w14:textOutline>
        </w:rPr>
      </w:pPr>
      <w:r>
        <w:rPr>
          <w:rFonts w:ascii="Cambria" w:eastAsia="Cambria" w:hAnsi="Cambria" w:cs="Cambria"/>
          <w:color w:val="000000"/>
          <w:sz w:val="20"/>
          <w:szCs w:val="20"/>
          <w14:textOutline w14:w="0" w14:cap="flat" w14:cmpd="sng" w14:algn="ctr">
            <w14:noFill/>
            <w14:prstDash w14:val="solid"/>
            <w14:bevel/>
          </w14:textOutline>
        </w:rPr>
        <w:t>In this scenario</w:t>
      </w:r>
      <w:r w:rsidRPr="00066040">
        <w:rPr>
          <w:rFonts w:ascii="Cambria" w:eastAsia="Cambria" w:hAnsi="Cambria" w:cs="Cambria"/>
          <w:color w:val="000000"/>
          <w:sz w:val="20"/>
          <w:szCs w:val="20"/>
          <w14:textOutline w14:w="0" w14:cap="flat" w14:cmpd="sng" w14:algn="ctr">
            <w14:noFill/>
            <w14:prstDash w14:val="solid"/>
            <w14:bevel/>
          </w14:textOutline>
        </w:rPr>
        <w:t xml:space="preserve">, </w:t>
      </w:r>
      <w:r>
        <w:rPr>
          <w:rFonts w:ascii="Cambria" w:eastAsia="Cambria" w:hAnsi="Cambria" w:cs="Cambria"/>
          <w:color w:val="000000"/>
          <w:sz w:val="20"/>
          <w:szCs w:val="20"/>
          <w14:textOutline w14:w="0" w14:cap="flat" w14:cmpd="sng" w14:algn="ctr">
            <w14:noFill/>
            <w14:prstDash w14:val="solid"/>
            <w14:bevel/>
          </w14:textOutline>
        </w:rPr>
        <w:t>the IACHR</w:t>
      </w:r>
      <w:r w:rsidRPr="00066040">
        <w:rPr>
          <w:rFonts w:ascii="Cambria" w:eastAsia="Cambria" w:hAnsi="Cambria" w:cs="Cambria"/>
          <w:color w:val="000000"/>
          <w:sz w:val="20"/>
          <w:szCs w:val="20"/>
          <w14:textOutline w14:w="0" w14:cap="flat" w14:cmpd="sng" w14:algn="ctr">
            <w14:noFill/>
            <w14:prstDash w14:val="solid"/>
            <w14:bevel/>
          </w14:textOutline>
        </w:rPr>
        <w:t xml:space="preserve"> </w:t>
      </w:r>
      <w:r>
        <w:rPr>
          <w:rFonts w:ascii="Cambria" w:eastAsia="Cambria" w:hAnsi="Cambria" w:cs="Cambria"/>
          <w:color w:val="000000"/>
          <w:sz w:val="20"/>
          <w:szCs w:val="20"/>
          <w14:textOutline w14:w="0" w14:cap="flat" w14:cmpd="sng" w14:algn="ctr">
            <w14:noFill/>
            <w14:prstDash w14:val="solid"/>
            <w14:bevel/>
          </w14:textOutline>
        </w:rPr>
        <w:t>observed the existence of</w:t>
      </w:r>
      <w:r w:rsidRPr="00066040">
        <w:rPr>
          <w:rFonts w:ascii="Cambria" w:eastAsia="Cambria" w:hAnsi="Cambria" w:cs="Cambria"/>
          <w:color w:val="000000"/>
          <w:sz w:val="20"/>
          <w:szCs w:val="20"/>
          <w14:textOutline w14:w="0" w14:cap="flat" w14:cmpd="sng" w14:algn="ctr">
            <w14:noFill/>
            <w14:prstDash w14:val="solid"/>
            <w14:bevel/>
          </w14:textOutline>
        </w:rPr>
        <w:t xml:space="preserve"> 1. </w:t>
      </w:r>
      <w:r>
        <w:rPr>
          <w:rFonts w:ascii="Cambria" w:eastAsia="Cambria" w:hAnsi="Cambria" w:cs="Cambria"/>
          <w:color w:val="000000"/>
          <w:sz w:val="20"/>
          <w:szCs w:val="20"/>
          <w14:textOutline w14:w="0" w14:cap="flat" w14:cmpd="sng" w14:algn="ctr">
            <w14:noFill/>
            <w14:prstDash w14:val="solid"/>
            <w14:bevel/>
          </w14:textOutline>
        </w:rPr>
        <w:t>a high level of reported violence</w:t>
      </w:r>
      <w:r w:rsidRPr="00066040">
        <w:rPr>
          <w:rFonts w:ascii="Cambria" w:eastAsia="Cambria" w:hAnsi="Cambria" w:cs="Cambria"/>
          <w:color w:val="000000"/>
          <w:sz w:val="20"/>
          <w:szCs w:val="20"/>
          <w14:textOutline w14:w="0" w14:cap="flat" w14:cmpd="sng" w14:algn="ctr">
            <w14:noFill/>
            <w14:prstDash w14:val="solid"/>
            <w14:bevel/>
          </w14:textOutline>
        </w:rPr>
        <w:t xml:space="preserve">; 2. </w:t>
      </w:r>
      <w:r>
        <w:rPr>
          <w:rFonts w:ascii="Cambria" w:eastAsia="Cambria" w:hAnsi="Cambria" w:cs="Cambria"/>
          <w:color w:val="000000"/>
          <w:sz w:val="20"/>
          <w:szCs w:val="20"/>
          <w14:textOutline w14:w="0" w14:cap="flat" w14:cmpd="sng" w14:algn="ctr">
            <w14:noFill/>
            <w14:prstDash w14:val="solid"/>
            <w14:bevel/>
          </w14:textOutline>
        </w:rPr>
        <w:t>frequent use of firearms and armed attacks</w:t>
      </w:r>
      <w:r w:rsidRPr="00066040">
        <w:rPr>
          <w:rFonts w:ascii="Cambria" w:eastAsia="Cambria" w:hAnsi="Cambria" w:cs="Cambria"/>
          <w:color w:val="000000"/>
          <w:sz w:val="20"/>
          <w:szCs w:val="20"/>
          <w14:textOutline w14:w="0" w14:cap="flat" w14:cmpd="sng" w14:algn="ctr">
            <w14:noFill/>
            <w14:prstDash w14:val="solid"/>
            <w14:bevel/>
          </w14:textOutline>
        </w:rPr>
        <w:t xml:space="preserve">; 3. </w:t>
      </w:r>
      <w:r>
        <w:rPr>
          <w:rFonts w:ascii="Cambria" w:eastAsia="Cambria" w:hAnsi="Cambria" w:cs="Cambria"/>
          <w:color w:val="000000"/>
          <w:sz w:val="20"/>
          <w:szCs w:val="20"/>
          <w14:textOutline w14:w="0" w14:cap="flat" w14:cmpd="sng" w14:algn="ctr">
            <w14:noFill/>
            <w14:prstDash w14:val="solid"/>
            <w14:bevel/>
          </w14:textOutline>
        </w:rPr>
        <w:t>possible reprisals</w:t>
      </w:r>
      <w:r w:rsidRPr="00066040">
        <w:rPr>
          <w:rFonts w:ascii="Cambria" w:eastAsia="Cambria" w:hAnsi="Cambria" w:cs="Cambria"/>
          <w:color w:val="000000"/>
          <w:sz w:val="20"/>
          <w:szCs w:val="20"/>
          <w14:textOutline w14:w="0" w14:cap="flat" w14:cmpd="sng" w14:algn="ctr">
            <w14:noFill/>
            <w14:prstDash w14:val="solid"/>
            <w14:bevel/>
          </w14:textOutline>
        </w:rPr>
        <w:t xml:space="preserve">; 4. </w:t>
      </w:r>
      <w:r>
        <w:rPr>
          <w:rFonts w:ascii="Cambria" w:eastAsia="Cambria" w:hAnsi="Cambria" w:cs="Cambria"/>
          <w:color w:val="000000"/>
          <w:sz w:val="20"/>
          <w:szCs w:val="20"/>
          <w14:textOutline w14:w="0" w14:cap="flat" w14:cmpd="sng" w14:algn="ctr">
            <w14:noFill/>
            <w14:prstDash w14:val="solid"/>
            <w14:bevel/>
          </w14:textOutline>
        </w:rPr>
        <w:t>death threats to indigenous people</w:t>
      </w:r>
      <w:r w:rsidRPr="00066040">
        <w:rPr>
          <w:rFonts w:ascii="Cambria" w:eastAsia="Cambria" w:hAnsi="Cambria" w:cs="Cambria"/>
          <w:color w:val="000000"/>
          <w:sz w:val="20"/>
          <w:szCs w:val="20"/>
          <w14:textOutline w14:w="0" w14:cap="flat" w14:cmpd="sng" w14:algn="ctr">
            <w14:noFill/>
            <w14:prstDash w14:val="solid"/>
            <w14:bevel/>
          </w14:textOutline>
        </w:rPr>
        <w:t xml:space="preserve">; 5. </w:t>
      </w:r>
      <w:r>
        <w:rPr>
          <w:rFonts w:ascii="Cambria" w:eastAsia="Cambria" w:hAnsi="Cambria" w:cs="Cambria"/>
          <w:color w:val="000000"/>
          <w:sz w:val="20"/>
          <w:szCs w:val="20"/>
          <w14:textOutline w14:w="0" w14:cap="flat" w14:cmpd="sng" w14:algn="ctr">
            <w14:noFill/>
            <w14:prstDash w14:val="solid"/>
            <w14:bevel/>
          </w14:textOutline>
        </w:rPr>
        <w:t xml:space="preserve">substantive irreparable harm, with injuries and deaths of indigenous </w:t>
      </w:r>
      <w:r>
        <w:rPr>
          <w:rFonts w:ascii="Cambria" w:eastAsia="Cambria" w:hAnsi="Cambria" w:cs="Cambria"/>
          <w:color w:val="000000"/>
          <w:sz w:val="20"/>
          <w:szCs w:val="20"/>
          <w14:textOutline w14:w="0" w14:cap="flat" w14:cmpd="sng" w14:algn="ctr">
            <w14:noFill/>
            <w14:prstDash w14:val="solid"/>
            <w14:bevel/>
          </w14:textOutline>
        </w:rPr>
        <w:lastRenderedPageBreak/>
        <w:t>people</w:t>
      </w:r>
      <w:r w:rsidRPr="00066040">
        <w:rPr>
          <w:rFonts w:ascii="Cambria" w:eastAsia="Cambria" w:hAnsi="Cambria" w:cs="Cambria"/>
          <w:color w:val="000000"/>
          <w:sz w:val="20"/>
          <w:szCs w:val="20"/>
          <w14:textOutline w14:w="0" w14:cap="flat" w14:cmpd="sng" w14:algn="ctr">
            <w14:noFill/>
            <w14:prstDash w14:val="solid"/>
            <w14:bevel/>
          </w14:textOutline>
        </w:rPr>
        <w:t>;</w:t>
      </w:r>
      <w:r>
        <w:rPr>
          <w:rFonts w:ascii="Cambria" w:eastAsia="Cambria" w:hAnsi="Cambria" w:cs="Cambria"/>
          <w:color w:val="000000"/>
          <w:sz w:val="20"/>
          <w:szCs w:val="20"/>
          <w14:textOutline w14:w="0" w14:cap="flat" w14:cmpd="sng" w14:algn="ctr">
            <w14:noFill/>
            <w14:prstDash w14:val="solid"/>
            <w14:bevel/>
          </w14:textOutline>
        </w:rPr>
        <w:t xml:space="preserve"> and </w:t>
      </w:r>
      <w:r w:rsidRPr="00066040">
        <w:rPr>
          <w:rFonts w:ascii="Cambria" w:eastAsia="Cambria" w:hAnsi="Cambria" w:cs="Cambria"/>
          <w:color w:val="000000"/>
          <w:sz w:val="20"/>
          <w:szCs w:val="20"/>
          <w14:textOutline w14:w="0" w14:cap="flat" w14:cmpd="sng" w14:algn="ctr">
            <w14:noFill/>
            <w14:prstDash w14:val="solid"/>
            <w14:bevel/>
          </w14:textOutline>
        </w:rPr>
        <w:t>6. i</w:t>
      </w:r>
      <w:r>
        <w:rPr>
          <w:rFonts w:ascii="Cambria" w:eastAsia="Cambria" w:hAnsi="Cambria" w:cs="Cambria"/>
          <w:color w:val="000000"/>
          <w:sz w:val="20"/>
          <w:szCs w:val="20"/>
          <w14:textOutline w14:w="0" w14:cap="flat" w14:cmpd="sng" w14:algn="ctr">
            <w14:noFill/>
            <w14:prstDash w14:val="solid"/>
            <w14:bevel/>
          </w14:textOutline>
        </w:rPr>
        <w:t>mpacts on the life and integrity of indigenous boys and girls, as well as women and girls who have been the victims of sexual violence</w:t>
      </w:r>
      <w:r w:rsidRPr="00066040">
        <w:rPr>
          <w:rFonts w:ascii="Cambria" w:eastAsia="Cambria" w:hAnsi="Cambria" w:cs="Cambria"/>
          <w:color w:val="000000"/>
          <w:sz w:val="20"/>
          <w:szCs w:val="20"/>
          <w14:textOutline w14:w="0" w14:cap="flat" w14:cmpd="sng" w14:algn="ctr">
            <w14:noFill/>
            <w14:prstDash w14:val="solid"/>
            <w14:bevel/>
          </w14:textOutline>
        </w:rPr>
        <w:t>.</w:t>
      </w:r>
    </w:p>
    <w:p w14:paraId="74107AE5" w14:textId="77777777" w:rsidR="008668B8" w:rsidRPr="00066040" w:rsidRDefault="008668B8" w:rsidP="008668B8">
      <w:pPr>
        <w:pBdr>
          <w:top w:val="nil"/>
          <w:left w:val="nil"/>
          <w:bottom w:val="nil"/>
          <w:right w:val="nil"/>
          <w:between w:val="nil"/>
          <w:bar w:val="nil"/>
        </w:pBdr>
        <w:spacing w:after="120"/>
        <w:ind w:left="1440"/>
        <w:jc w:val="both"/>
        <w:rPr>
          <w:rFonts w:ascii="Cambria" w:eastAsia="Cambria" w:hAnsi="Cambria" w:cs="Cambria"/>
          <w:color w:val="000000"/>
          <w:sz w:val="20"/>
          <w:szCs w:val="20"/>
          <w14:textOutline w14:w="0" w14:cap="flat" w14:cmpd="sng" w14:algn="ctr">
            <w14:noFill/>
            <w14:prstDash w14:val="solid"/>
            <w14:bevel/>
          </w14:textOutline>
        </w:rPr>
      </w:pPr>
      <w:r>
        <w:rPr>
          <w:rFonts w:ascii="Cambria" w:eastAsia="Cambria" w:hAnsi="Cambria" w:cs="Cambria"/>
          <w:color w:val="000000"/>
          <w:sz w:val="20"/>
          <w:szCs w:val="20"/>
          <w14:textOutline w14:w="0" w14:cap="flat" w14:cmpd="sng" w14:algn="ctr">
            <w14:noFill/>
            <w14:prstDash w14:val="solid"/>
            <w14:bevel/>
          </w14:textOutline>
        </w:rPr>
        <w:t>The Commission considers that, although the State implemented some measures such as developing projects and action plans</w:t>
      </w:r>
      <w:r w:rsidRPr="00066040">
        <w:rPr>
          <w:rFonts w:ascii="Cambria" w:eastAsia="Cambria" w:hAnsi="Cambria" w:cs="Cambria"/>
          <w:color w:val="000000"/>
          <w:sz w:val="20"/>
          <w:szCs w:val="20"/>
          <w14:textOutline w14:w="0" w14:cap="flat" w14:cmpd="sng" w14:algn="ctr">
            <w14:noFill/>
            <w14:prstDash w14:val="solid"/>
            <w14:bevel/>
          </w14:textOutline>
        </w:rPr>
        <w:t xml:space="preserve">; </w:t>
      </w:r>
      <w:r>
        <w:rPr>
          <w:rFonts w:ascii="Cambria" w:eastAsia="Cambria" w:hAnsi="Cambria" w:cs="Cambria"/>
          <w:color w:val="000000"/>
          <w:sz w:val="20"/>
          <w:szCs w:val="20"/>
          <w14:textOutline w14:w="0" w14:cap="flat" w14:cmpd="sng" w14:algn="ctr">
            <w14:noFill/>
            <w14:prstDash w14:val="solid"/>
            <w14:bevel/>
          </w14:textOutline>
        </w:rPr>
        <w:t>sending medical supplies</w:t>
      </w:r>
      <w:r w:rsidRPr="00066040">
        <w:rPr>
          <w:rFonts w:ascii="Cambria" w:eastAsia="Cambria" w:hAnsi="Cambria" w:cs="Cambria"/>
          <w:color w:val="000000"/>
          <w:sz w:val="20"/>
          <w:szCs w:val="20"/>
          <w14:textOutline w14:w="0" w14:cap="flat" w14:cmpd="sng" w14:algn="ctr">
            <w14:noFill/>
            <w14:prstDash w14:val="solid"/>
            <w14:bevel/>
          </w14:textOutline>
        </w:rPr>
        <w:t xml:space="preserve">; </w:t>
      </w:r>
      <w:r>
        <w:rPr>
          <w:rFonts w:ascii="Cambria" w:eastAsia="Cambria" w:hAnsi="Cambria" w:cs="Cambria"/>
          <w:color w:val="000000"/>
          <w:sz w:val="20"/>
          <w:szCs w:val="20"/>
          <w14:textOutline w14:w="0" w14:cap="flat" w14:cmpd="sng" w14:algn="ctr">
            <w14:noFill/>
            <w14:prstDash w14:val="solid"/>
            <w14:bevel/>
          </w14:textOutline>
        </w:rPr>
        <w:t>conducting operations to remove unauthorized third parties from indigenous lands; and other measures, the members of the indigenous peoples identified allegedly remain in a situation of extremely serious and urgent risk of irreparable harm</w:t>
      </w:r>
      <w:r w:rsidRPr="00066040">
        <w:rPr>
          <w:rFonts w:ascii="Cambria" w:eastAsia="Cambria" w:hAnsi="Cambria" w:cs="Cambria"/>
          <w:color w:val="000000"/>
          <w:sz w:val="20"/>
          <w:szCs w:val="20"/>
          <w14:textOutline w14:w="0" w14:cap="flat" w14:cmpd="sng" w14:algn="ctr">
            <w14:noFill/>
            <w14:prstDash w14:val="solid"/>
            <w14:bevel/>
          </w14:textOutline>
        </w:rPr>
        <w:t>.</w:t>
      </w:r>
    </w:p>
    <w:p w14:paraId="37479F80" w14:textId="77777777" w:rsidR="008668B8" w:rsidRPr="00066040" w:rsidRDefault="008668B8" w:rsidP="008668B8">
      <w:pPr>
        <w:pBdr>
          <w:top w:val="nil"/>
          <w:left w:val="nil"/>
          <w:bottom w:val="nil"/>
          <w:right w:val="nil"/>
          <w:between w:val="nil"/>
          <w:bar w:val="nil"/>
        </w:pBdr>
        <w:spacing w:after="120"/>
        <w:ind w:left="1440"/>
        <w:jc w:val="both"/>
        <w:rPr>
          <w:rFonts w:ascii="Cambria" w:eastAsia="Cambria" w:hAnsi="Cambria" w:cs="Cambria"/>
          <w:color w:val="000000" w:themeColor="text1"/>
          <w:sz w:val="20"/>
          <w:szCs w:val="20"/>
        </w:rPr>
      </w:pPr>
      <w:r>
        <w:rPr>
          <w:rFonts w:ascii="Cambria" w:eastAsia="Cambria" w:hAnsi="Cambria" w:cs="Cambria"/>
          <w:color w:val="000000"/>
          <w:sz w:val="20"/>
          <w:szCs w:val="20"/>
          <w14:textOutline w14:w="0" w14:cap="flat" w14:cmpd="sng" w14:algn="ctr">
            <w14:noFill/>
            <w14:prstDash w14:val="solid"/>
            <w14:bevel/>
          </w14:textOutline>
        </w:rPr>
        <w:t xml:space="preserve">The Court granted the provisional measures on July 1, </w:t>
      </w:r>
      <w:r w:rsidRPr="00066040">
        <w:rPr>
          <w:rFonts w:ascii="Cambria" w:eastAsia="Cambria" w:hAnsi="Cambria" w:cs="Cambria"/>
          <w:color w:val="000000"/>
          <w:sz w:val="20"/>
          <w:szCs w:val="20"/>
          <w14:textOutline w14:w="0" w14:cap="flat" w14:cmpd="sng" w14:algn="ctr">
            <w14:noFill/>
            <w14:prstDash w14:val="solid"/>
            <w14:bevel/>
          </w14:textOutline>
        </w:rPr>
        <w:t>2022.</w:t>
      </w:r>
    </w:p>
    <w:p w14:paraId="51BEB22A" w14:textId="329860C8" w:rsidR="008668B8" w:rsidRPr="00066040" w:rsidRDefault="008668B8" w:rsidP="00933F91">
      <w:pPr>
        <w:numPr>
          <w:ilvl w:val="0"/>
          <w:numId w:val="40"/>
        </w:numPr>
        <w:pBdr>
          <w:top w:val="nil"/>
          <w:left w:val="nil"/>
          <w:bottom w:val="nil"/>
          <w:right w:val="nil"/>
          <w:between w:val="nil"/>
          <w:bar w:val="nil"/>
        </w:pBdr>
        <w:spacing w:after="120"/>
        <w:jc w:val="both"/>
        <w:rPr>
          <w:rFonts w:ascii="Cambria" w:eastAsia="Cambria" w:hAnsi="Cambria" w:cs="Cambria"/>
          <w:b/>
          <w:bCs/>
          <w:color w:val="000000"/>
          <w:sz w:val="20"/>
          <w:szCs w:val="20"/>
          <w14:textOutline w14:w="0" w14:cap="flat" w14:cmpd="sng" w14:algn="ctr">
            <w14:noFill/>
            <w14:prstDash w14:val="solid"/>
            <w14:bevel/>
          </w14:textOutline>
        </w:rPr>
      </w:pPr>
      <w:r>
        <w:rPr>
          <w:rFonts w:ascii="Cambria" w:eastAsia="Cambria" w:hAnsi="Cambria" w:cs="Cambria"/>
          <w:b/>
          <w:bCs/>
          <w:color w:val="000000"/>
          <w:sz w:val="20"/>
          <w:szCs w:val="20"/>
          <w14:textOutline w14:w="0" w14:cap="flat" w14:cmpd="sng" w14:algn="ctr">
            <w14:noFill/>
            <w14:prstDash w14:val="solid"/>
            <w14:bevel/>
          </w14:textOutline>
        </w:rPr>
        <w:t>Request for provisional measures in the</w:t>
      </w:r>
      <w:r w:rsidRPr="00066040">
        <w:rPr>
          <w:rFonts w:ascii="Cambria" w:eastAsia="Cambria" w:hAnsi="Cambria" w:cs="Cambria"/>
          <w:b/>
          <w:bCs/>
          <w:color w:val="000000"/>
          <w:sz w:val="20"/>
          <w:szCs w:val="20"/>
          <w14:textOutline w14:w="0" w14:cap="flat" w14:cmpd="sng" w14:algn="ctr">
            <w14:noFill/>
            <w14:prstDash w14:val="solid"/>
            <w14:bevel/>
          </w14:textOutline>
        </w:rPr>
        <w:t xml:space="preserve"> </w:t>
      </w:r>
      <w:hyperlink r:id="rId241" w:history="1">
        <w:r w:rsidRPr="00651C38">
          <w:rPr>
            <w:rStyle w:val="Hyperlink"/>
            <w:rFonts w:ascii="Cambria" w:eastAsia="Cambria" w:hAnsi="Cambria" w:cs="Cambria"/>
            <w:b/>
            <w:bCs/>
            <w:sz w:val="20"/>
            <w:szCs w:val="20"/>
            <w14:textOutline w14:w="0" w14:cap="flat" w14:cmpd="sng" w14:algn="ctr">
              <w14:noFill/>
              <w14:prstDash w14:val="solid"/>
              <w14:bevel/>
            </w14:textOutline>
          </w:rPr>
          <w:t>matter of 45 persons deprived of liberty in eight detention centers in Nicaragua.</w:t>
        </w:r>
      </w:hyperlink>
    </w:p>
    <w:p w14:paraId="1BC5C5BC" w14:textId="77777777" w:rsidR="008668B8" w:rsidRPr="00066040" w:rsidRDefault="008668B8" w:rsidP="008668B8">
      <w:pPr>
        <w:pBdr>
          <w:top w:val="nil"/>
          <w:left w:val="nil"/>
          <w:bottom w:val="nil"/>
          <w:right w:val="nil"/>
          <w:between w:val="nil"/>
          <w:bar w:val="nil"/>
        </w:pBdr>
        <w:spacing w:after="120"/>
        <w:ind w:left="1440"/>
        <w:jc w:val="both"/>
        <w:rPr>
          <w:rFonts w:ascii="Cambria" w:eastAsia="Cambria" w:hAnsi="Cambria" w:cs="Cambria"/>
          <w:color w:val="000000"/>
          <w:sz w:val="20"/>
          <w:szCs w:val="20"/>
          <w14:textOutline w14:w="0" w14:cap="flat" w14:cmpd="sng" w14:algn="ctr">
            <w14:noFill/>
            <w14:prstDash w14:val="solid"/>
            <w14:bevel/>
          </w14:textOutline>
        </w:rPr>
      </w:pPr>
      <w:r>
        <w:rPr>
          <w:rFonts w:ascii="Cambria" w:eastAsia="Cambria" w:hAnsi="Cambria" w:cs="Cambria"/>
          <w:color w:val="000000"/>
          <w:sz w:val="20"/>
          <w:szCs w:val="20"/>
          <w14:textOutline w14:w="0" w14:cap="flat" w14:cmpd="sng" w14:algn="ctr">
            <w14:noFill/>
            <w14:prstDash w14:val="solid"/>
            <w14:bevel/>
          </w14:textOutline>
        </w:rPr>
        <w:t>In September</w:t>
      </w:r>
      <w:r w:rsidRPr="00066040">
        <w:rPr>
          <w:rFonts w:ascii="Cambria" w:eastAsia="Cambria" w:hAnsi="Cambria" w:cs="Cambria"/>
          <w:color w:val="000000"/>
          <w:sz w:val="20"/>
          <w:szCs w:val="20"/>
          <w14:textOutline w14:w="0" w14:cap="flat" w14:cmpd="sng" w14:algn="ctr">
            <w14:noFill/>
            <w14:prstDash w14:val="solid"/>
            <w14:bevel/>
          </w14:textOutline>
        </w:rPr>
        <w:t xml:space="preserve"> 2022</w:t>
      </w:r>
      <w:r>
        <w:rPr>
          <w:rFonts w:ascii="Cambria" w:eastAsia="Cambria" w:hAnsi="Cambria" w:cs="Cambria"/>
          <w:color w:val="000000"/>
          <w:sz w:val="20"/>
          <w:szCs w:val="20"/>
          <w14:textOutline w14:w="0" w14:cap="flat" w14:cmpd="sng" w14:algn="ctr">
            <w14:noFill/>
            <w14:prstDash w14:val="solid"/>
            <w14:bevel/>
          </w14:textOutline>
        </w:rPr>
        <w:t>,</w:t>
      </w:r>
      <w:r w:rsidRPr="00066040">
        <w:rPr>
          <w:rStyle w:val="FootnoteReference"/>
          <w:rFonts w:ascii="Cambria" w:eastAsia="Cambria" w:hAnsi="Cambria" w:cs="Cambria"/>
          <w:color w:val="000000"/>
          <w:sz w:val="20"/>
          <w:szCs w:val="20"/>
          <w14:textOutline w14:w="0" w14:cap="flat" w14:cmpd="sng" w14:algn="ctr">
            <w14:noFill/>
            <w14:prstDash w14:val="solid"/>
            <w14:bevel/>
          </w14:textOutline>
        </w:rPr>
        <w:footnoteReference w:id="172"/>
      </w:r>
      <w:r>
        <w:rPr>
          <w:rFonts w:ascii="Cambria" w:eastAsia="Cambria" w:hAnsi="Cambria" w:cs="Cambria"/>
          <w:color w:val="000000"/>
          <w:sz w:val="20"/>
          <w:szCs w:val="20"/>
          <w14:textOutline w14:w="0" w14:cap="flat" w14:cmpd="sng" w14:algn="ctr">
            <w14:noFill/>
            <w14:prstDash w14:val="solid"/>
            <w14:bevel/>
          </w14:textOutline>
        </w:rPr>
        <w:t xml:space="preserve"> the Commission requested provisional measures in favor of </w:t>
      </w:r>
      <w:r w:rsidRPr="00066040">
        <w:rPr>
          <w:rFonts w:ascii="Cambria" w:eastAsia="Cambria" w:hAnsi="Cambria" w:cs="Cambria"/>
          <w:color w:val="000000"/>
          <w:sz w:val="20"/>
          <w:szCs w:val="20"/>
          <w14:textOutline w14:w="0" w14:cap="flat" w14:cmpd="sng" w14:algn="ctr">
            <w14:noFill/>
            <w14:prstDash w14:val="solid"/>
            <w14:bevel/>
          </w14:textOutline>
        </w:rPr>
        <w:t xml:space="preserve">45 </w:t>
      </w:r>
      <w:r>
        <w:rPr>
          <w:rFonts w:ascii="Cambria" w:eastAsia="Cambria" w:hAnsi="Cambria" w:cs="Cambria"/>
          <w:color w:val="000000"/>
          <w:sz w:val="20"/>
          <w:szCs w:val="20"/>
          <w14:textOutline w14:w="0" w14:cap="flat" w14:cmpd="sng" w14:algn="ctr">
            <w14:noFill/>
            <w14:prstDash w14:val="solid"/>
            <w14:bevel/>
          </w14:textOutline>
        </w:rPr>
        <w:t xml:space="preserve">persons deprived of liberty in eight detention centers in </w:t>
      </w:r>
      <w:r w:rsidRPr="00066040">
        <w:rPr>
          <w:rFonts w:ascii="Cambria" w:eastAsia="Cambria" w:hAnsi="Cambria" w:cs="Cambria"/>
          <w:color w:val="000000"/>
          <w:sz w:val="20"/>
          <w:szCs w:val="20"/>
          <w14:textOutline w14:w="0" w14:cap="flat" w14:cmpd="sng" w14:algn="ctr">
            <w14:noFill/>
            <w14:prstDash w14:val="solid"/>
            <w14:bevel/>
          </w14:textOutline>
        </w:rPr>
        <w:t>Nicaragua</w:t>
      </w:r>
      <w:r>
        <w:rPr>
          <w:rFonts w:ascii="Cambria" w:eastAsia="Cambria" w:hAnsi="Cambria" w:cs="Cambria"/>
          <w:color w:val="000000"/>
          <w:sz w:val="20"/>
          <w:szCs w:val="20"/>
          <w14:textOutline w14:w="0" w14:cap="flat" w14:cmpd="sng" w14:algn="ctr">
            <w14:noFill/>
            <w14:prstDash w14:val="solid"/>
            <w14:bevel/>
          </w14:textOutline>
        </w:rPr>
        <w:t xml:space="preserve"> and their respective family groups. The persons identified participated in the demonstrations in</w:t>
      </w:r>
      <w:r w:rsidRPr="00066040">
        <w:rPr>
          <w:rFonts w:ascii="Cambria" w:eastAsia="Cambria" w:hAnsi="Cambria" w:cs="Cambria"/>
          <w:color w:val="000000"/>
          <w:sz w:val="20"/>
          <w:szCs w:val="20"/>
          <w14:textOutline w14:w="0" w14:cap="flat" w14:cmpd="sng" w14:algn="ctr">
            <w14:noFill/>
            <w14:prstDash w14:val="solid"/>
            <w14:bevel/>
          </w14:textOutline>
        </w:rPr>
        <w:t xml:space="preserve"> 2018</w:t>
      </w:r>
      <w:r>
        <w:rPr>
          <w:rFonts w:ascii="Cambria" w:eastAsia="Cambria" w:hAnsi="Cambria" w:cs="Cambria"/>
          <w:color w:val="000000"/>
          <w:sz w:val="20"/>
          <w:szCs w:val="20"/>
          <w14:textOutline w14:w="0" w14:cap="flat" w14:cmpd="sng" w14:algn="ctr">
            <w14:noFill/>
            <w14:prstDash w14:val="solid"/>
            <w14:bevel/>
          </w14:textOutline>
        </w:rPr>
        <w:t xml:space="preserve"> and are considered opponents of the current Nicaraguan government. The requests for provisional measures involved 16 matters of precautionary measures. The eight detention centers in Nicaragua are</w:t>
      </w:r>
      <w:r w:rsidRPr="00066040">
        <w:rPr>
          <w:rFonts w:ascii="Cambria" w:eastAsia="Cambria" w:hAnsi="Cambria" w:cs="Cambria"/>
          <w:color w:val="000000"/>
          <w:sz w:val="20"/>
          <w:szCs w:val="20"/>
          <w14:textOutline w14:w="0" w14:cap="flat" w14:cmpd="sng" w14:algn="ctr">
            <w14:noFill/>
            <w14:prstDash w14:val="solid"/>
            <w14:bevel/>
          </w14:textOutline>
        </w:rPr>
        <w:t xml:space="preserve">: (1) </w:t>
      </w:r>
      <w:r>
        <w:rPr>
          <w:rFonts w:ascii="Cambria" w:eastAsia="Cambria" w:hAnsi="Cambria" w:cs="Cambria"/>
          <w:color w:val="000000"/>
          <w:sz w:val="20"/>
          <w:szCs w:val="20"/>
          <w14:textOutline w14:w="0" w14:cap="flat" w14:cmpd="sng" w14:algn="ctr">
            <w14:noFill/>
            <w14:prstDash w14:val="solid"/>
            <w14:bevel/>
          </w14:textOutline>
        </w:rPr>
        <w:t xml:space="preserve">the </w:t>
      </w:r>
      <w:r w:rsidRPr="00066040">
        <w:rPr>
          <w:rFonts w:ascii="Cambria" w:eastAsia="Cambria" w:hAnsi="Cambria" w:cs="Cambria"/>
          <w:color w:val="000000"/>
          <w:sz w:val="20"/>
          <w:szCs w:val="20"/>
          <w14:textOutline w14:w="0" w14:cap="flat" w14:cmpd="sng" w14:algn="ctr">
            <w14:noFill/>
            <w14:prstDash w14:val="solid"/>
            <w14:bevel/>
          </w14:textOutline>
        </w:rPr>
        <w:t xml:space="preserve">Jorge Navarro </w:t>
      </w:r>
      <w:r>
        <w:rPr>
          <w:rFonts w:ascii="Cambria" w:eastAsia="Cambria" w:hAnsi="Cambria" w:cs="Cambria"/>
          <w:color w:val="000000"/>
          <w:sz w:val="20"/>
          <w:szCs w:val="20"/>
          <w14:textOutline w14:w="0" w14:cap="flat" w14:cmpd="sng" w14:algn="ctr">
            <w14:noFill/>
            <w14:prstDash w14:val="solid"/>
            <w14:bevel/>
          </w14:textOutline>
        </w:rPr>
        <w:t>Prison Complex or</w:t>
      </w:r>
      <w:r w:rsidRPr="00066040">
        <w:rPr>
          <w:rFonts w:ascii="Cambria" w:eastAsia="Cambria" w:hAnsi="Cambria" w:cs="Cambria"/>
          <w:color w:val="000000"/>
          <w:sz w:val="20"/>
          <w:szCs w:val="20"/>
          <w14:textOutline w14:w="0" w14:cap="flat" w14:cmpd="sng" w14:algn="ctr">
            <w14:noFill/>
            <w14:prstDash w14:val="solid"/>
            <w14:bevel/>
          </w14:textOutline>
        </w:rPr>
        <w:t xml:space="preserve"> “La Modelo</w:t>
      </w:r>
      <w:r>
        <w:rPr>
          <w:rFonts w:ascii="Cambria" w:eastAsia="Cambria" w:hAnsi="Cambria" w:cs="Cambria"/>
          <w:color w:val="000000"/>
          <w:sz w:val="20"/>
          <w:szCs w:val="20"/>
          <w14:textOutline w14:w="0" w14:cap="flat" w14:cmpd="sng" w14:algn="ctr">
            <w14:noFill/>
            <w14:prstDash w14:val="solid"/>
            <w14:bevel/>
          </w14:textOutline>
        </w:rPr>
        <w:t>;</w:t>
      </w:r>
      <w:r w:rsidRPr="00066040">
        <w:rPr>
          <w:rFonts w:ascii="Cambria" w:eastAsia="Cambria" w:hAnsi="Cambria" w:cs="Cambria"/>
          <w:color w:val="000000"/>
          <w:sz w:val="20"/>
          <w:szCs w:val="20"/>
          <w14:textOutline w14:w="0" w14:cap="flat" w14:cmpd="sng" w14:algn="ctr">
            <w14:noFill/>
            <w14:prstDash w14:val="solid"/>
            <w14:bevel/>
          </w14:textOutline>
        </w:rPr>
        <w:t xml:space="preserve">” (2) </w:t>
      </w:r>
      <w:r>
        <w:rPr>
          <w:rFonts w:ascii="Cambria" w:eastAsia="Cambria" w:hAnsi="Cambria" w:cs="Cambria"/>
          <w:color w:val="000000"/>
          <w:sz w:val="20"/>
          <w:szCs w:val="20"/>
          <w14:textOutline w14:w="0" w14:cap="flat" w14:cmpd="sng" w14:algn="ctr">
            <w14:noFill/>
            <w14:prstDash w14:val="solid"/>
            <w14:bevel/>
          </w14:textOutline>
        </w:rPr>
        <w:t xml:space="preserve">the </w:t>
      </w:r>
      <w:r w:rsidRPr="00066040">
        <w:rPr>
          <w:rFonts w:ascii="Cambria" w:eastAsia="Cambria" w:hAnsi="Cambria" w:cs="Cambria"/>
          <w:color w:val="000000"/>
          <w:sz w:val="20"/>
          <w:szCs w:val="20"/>
          <w14:textOutline w14:w="0" w14:cap="flat" w14:cmpd="sng" w14:algn="ctr">
            <w14:noFill/>
            <w14:prstDash w14:val="solid"/>
            <w14:bevel/>
          </w14:textOutline>
        </w:rPr>
        <w:t>Evaristo Vásquez</w:t>
      </w:r>
      <w:r>
        <w:rPr>
          <w:rFonts w:ascii="Cambria" w:eastAsia="Cambria" w:hAnsi="Cambria" w:cs="Cambria"/>
          <w:color w:val="000000"/>
          <w:sz w:val="20"/>
          <w:szCs w:val="20"/>
          <w14:textOutline w14:w="0" w14:cap="flat" w14:cmpd="sng" w14:algn="ctr">
            <w14:noFill/>
            <w14:prstDash w14:val="solid"/>
            <w14:bevel/>
          </w14:textOutline>
        </w:rPr>
        <w:t xml:space="preserve"> Judicial Support Complex or </w:t>
      </w:r>
      <w:r w:rsidRPr="00066040">
        <w:rPr>
          <w:rFonts w:ascii="Cambria" w:eastAsia="Cambria" w:hAnsi="Cambria" w:cs="Cambria"/>
          <w:color w:val="000000"/>
          <w:sz w:val="20"/>
          <w:szCs w:val="20"/>
          <w14:textOutline w14:w="0" w14:cap="flat" w14:cmpd="sng" w14:algn="ctr">
            <w14:noFill/>
            <w14:prstDash w14:val="solid"/>
            <w14:bevel/>
          </w14:textOutline>
        </w:rPr>
        <w:t>Nuevo Chipote o</w:t>
      </w:r>
      <w:r>
        <w:rPr>
          <w:rFonts w:ascii="Cambria" w:eastAsia="Cambria" w:hAnsi="Cambria" w:cs="Cambria"/>
          <w:color w:val="000000"/>
          <w:sz w:val="20"/>
          <w:szCs w:val="20"/>
          <w14:textOutline w14:w="0" w14:cap="flat" w14:cmpd="sng" w14:algn="ctr">
            <w14:noFill/>
            <w14:prstDash w14:val="solid"/>
            <w14:bevel/>
          </w14:textOutline>
        </w:rPr>
        <w:t>r</w:t>
      </w:r>
      <w:r w:rsidRPr="00066040">
        <w:rPr>
          <w:rFonts w:ascii="Cambria" w:eastAsia="Cambria" w:hAnsi="Cambria" w:cs="Cambria"/>
          <w:color w:val="000000"/>
          <w:sz w:val="20"/>
          <w:szCs w:val="20"/>
          <w14:textOutline w14:w="0" w14:cap="flat" w14:cmpd="sng" w14:algn="ctr">
            <w14:noFill/>
            <w14:prstDash w14:val="solid"/>
            <w14:bevel/>
          </w14:textOutline>
        </w:rPr>
        <w:t xml:space="preserve"> “El Chipote</w:t>
      </w:r>
      <w:r>
        <w:rPr>
          <w:rFonts w:ascii="Cambria" w:eastAsia="Cambria" w:hAnsi="Cambria" w:cs="Cambria"/>
          <w:color w:val="000000"/>
          <w:sz w:val="20"/>
          <w:szCs w:val="20"/>
          <w14:textOutline w14:w="0" w14:cap="flat" w14:cmpd="sng" w14:algn="ctr">
            <w14:noFill/>
            <w14:prstDash w14:val="solid"/>
            <w14:bevel/>
          </w14:textOutline>
        </w:rPr>
        <w:t>;</w:t>
      </w:r>
      <w:r w:rsidRPr="00066040">
        <w:rPr>
          <w:rFonts w:ascii="Cambria" w:eastAsia="Cambria" w:hAnsi="Cambria" w:cs="Cambria"/>
          <w:color w:val="000000"/>
          <w:sz w:val="20"/>
          <w:szCs w:val="20"/>
          <w14:textOutline w14:w="0" w14:cap="flat" w14:cmpd="sng" w14:algn="ctr">
            <w14:noFill/>
            <w14:prstDash w14:val="solid"/>
            <w14:bevel/>
          </w14:textOutline>
        </w:rPr>
        <w:t xml:space="preserve">” (3) </w:t>
      </w:r>
      <w:r>
        <w:rPr>
          <w:rFonts w:ascii="Cambria" w:eastAsia="Cambria" w:hAnsi="Cambria" w:cs="Cambria"/>
          <w:color w:val="000000"/>
          <w:sz w:val="20"/>
          <w:szCs w:val="20"/>
          <w14:textOutline w14:w="0" w14:cap="flat" w14:cmpd="sng" w14:algn="ctr">
            <w14:noFill/>
            <w14:prstDash w14:val="solid"/>
            <w14:bevel/>
          </w14:textOutline>
        </w:rPr>
        <w:t>La Esperanza Comprehensive Women’s Penitentiary Facility</w:t>
      </w:r>
      <w:r w:rsidRPr="00066040">
        <w:rPr>
          <w:rFonts w:ascii="Cambria" w:eastAsia="Cambria" w:hAnsi="Cambria" w:cs="Cambria"/>
          <w:color w:val="000000"/>
          <w:sz w:val="20"/>
          <w:szCs w:val="20"/>
          <w14:textOutline w14:w="0" w14:cap="flat" w14:cmpd="sng" w14:algn="ctr">
            <w14:noFill/>
            <w14:prstDash w14:val="solid"/>
            <w14:bevel/>
          </w14:textOutline>
        </w:rPr>
        <w:t xml:space="preserve"> (EPIM); (4) </w:t>
      </w:r>
      <w:r>
        <w:rPr>
          <w:rFonts w:ascii="Cambria" w:eastAsia="Cambria" w:hAnsi="Cambria" w:cs="Cambria"/>
          <w:color w:val="000000"/>
          <w:sz w:val="20"/>
          <w:szCs w:val="20"/>
          <w14:textOutline w14:w="0" w14:cap="flat" w14:cmpd="sng" w14:algn="ctr">
            <w14:noFill/>
            <w14:prstDash w14:val="solid"/>
            <w14:bevel/>
          </w14:textOutline>
        </w:rPr>
        <w:t xml:space="preserve">National Prison Service </w:t>
      </w:r>
      <w:r w:rsidRPr="00066040">
        <w:rPr>
          <w:rFonts w:ascii="Cambria" w:eastAsia="Cambria" w:hAnsi="Cambria" w:cs="Cambria"/>
          <w:color w:val="000000"/>
          <w:sz w:val="20"/>
          <w:szCs w:val="20"/>
          <w14:textOutline w14:w="0" w14:cap="flat" w14:cmpd="sng" w14:algn="ctr">
            <w14:noFill/>
            <w14:prstDash w14:val="solid"/>
            <w14:bevel/>
          </w14:textOutline>
        </w:rPr>
        <w:t>(SPN)</w:t>
      </w:r>
      <w:r>
        <w:rPr>
          <w:rFonts w:ascii="Cambria" w:eastAsia="Cambria" w:hAnsi="Cambria" w:cs="Cambria"/>
          <w:color w:val="000000"/>
          <w:sz w:val="20"/>
          <w:szCs w:val="20"/>
          <w14:textOutline w14:w="0" w14:cap="flat" w14:cmpd="sng" w14:algn="ctr">
            <w14:noFill/>
            <w14:prstDash w14:val="solid"/>
            <w14:bevel/>
          </w14:textOutline>
        </w:rPr>
        <w:t xml:space="preserve"> Facility in</w:t>
      </w:r>
      <w:r w:rsidRPr="00066040">
        <w:rPr>
          <w:rFonts w:ascii="Cambria" w:eastAsia="Cambria" w:hAnsi="Cambria" w:cs="Cambria"/>
          <w:color w:val="000000"/>
          <w:sz w:val="20"/>
          <w:szCs w:val="20"/>
          <w14:textOutline w14:w="0" w14:cap="flat" w14:cmpd="sng" w14:algn="ctr">
            <w14:noFill/>
            <w14:prstDash w14:val="solid"/>
            <w14:bevel/>
          </w14:textOutline>
        </w:rPr>
        <w:t xml:space="preserve"> Granada; (5) </w:t>
      </w:r>
      <w:r>
        <w:rPr>
          <w:rFonts w:ascii="Cambria" w:eastAsia="Cambria" w:hAnsi="Cambria" w:cs="Cambria"/>
          <w:color w:val="000000"/>
          <w:sz w:val="20"/>
          <w:szCs w:val="20"/>
          <w14:textOutline w14:w="0" w14:cap="flat" w14:cmpd="sng" w14:algn="ctr">
            <w14:noFill/>
            <w14:prstDash w14:val="solid"/>
            <w14:bevel/>
          </w14:textOutline>
        </w:rPr>
        <w:t xml:space="preserve">National Prison Service </w:t>
      </w:r>
      <w:r w:rsidRPr="00066040">
        <w:rPr>
          <w:rFonts w:ascii="Cambria" w:eastAsia="Cambria" w:hAnsi="Cambria" w:cs="Cambria"/>
          <w:color w:val="000000"/>
          <w:sz w:val="20"/>
          <w:szCs w:val="20"/>
          <w14:textOutline w14:w="0" w14:cap="flat" w14:cmpd="sng" w14:algn="ctr">
            <w14:noFill/>
            <w14:prstDash w14:val="solid"/>
            <w14:bevel/>
          </w14:textOutline>
        </w:rPr>
        <w:t xml:space="preserve">(SPN) </w:t>
      </w:r>
      <w:r>
        <w:rPr>
          <w:rFonts w:ascii="Cambria" w:eastAsia="Cambria" w:hAnsi="Cambria" w:cs="Cambria"/>
          <w:color w:val="000000"/>
          <w:sz w:val="20"/>
          <w:szCs w:val="20"/>
          <w14:textOutline w14:w="0" w14:cap="flat" w14:cmpd="sng" w14:algn="ctr">
            <w14:noFill/>
            <w14:prstDash w14:val="solid"/>
            <w14:bevel/>
          </w14:textOutline>
        </w:rPr>
        <w:t xml:space="preserve">Facility in </w:t>
      </w:r>
      <w:r w:rsidRPr="00066040">
        <w:rPr>
          <w:rFonts w:ascii="Cambria" w:eastAsia="Cambria" w:hAnsi="Cambria" w:cs="Cambria"/>
          <w:color w:val="000000"/>
          <w:sz w:val="20"/>
          <w:szCs w:val="20"/>
          <w14:textOutline w14:w="0" w14:cap="flat" w14:cmpd="sng" w14:algn="ctr">
            <w14:noFill/>
            <w14:prstDash w14:val="solid"/>
            <w14:bevel/>
          </w14:textOutline>
        </w:rPr>
        <w:t>Matagalpa o</w:t>
      </w:r>
      <w:r>
        <w:rPr>
          <w:rFonts w:ascii="Cambria" w:eastAsia="Cambria" w:hAnsi="Cambria" w:cs="Cambria"/>
          <w:color w:val="000000"/>
          <w:sz w:val="20"/>
          <w:szCs w:val="20"/>
          <w14:textOutline w14:w="0" w14:cap="flat" w14:cmpd="sng" w14:algn="ctr">
            <w14:noFill/>
            <w14:prstDash w14:val="solid"/>
            <w14:bevel/>
          </w14:textOutline>
        </w:rPr>
        <w:t xml:space="preserve">f </w:t>
      </w:r>
      <w:r w:rsidRPr="00066040">
        <w:rPr>
          <w:rFonts w:ascii="Cambria" w:eastAsia="Cambria" w:hAnsi="Cambria" w:cs="Cambria"/>
          <w:color w:val="000000"/>
          <w:sz w:val="20"/>
          <w:szCs w:val="20"/>
          <w14:textOutline w14:w="0" w14:cap="flat" w14:cmpd="sng" w14:algn="ctr">
            <w14:noFill/>
            <w14:prstDash w14:val="solid"/>
            <w14:bevel/>
          </w14:textOutline>
        </w:rPr>
        <w:t xml:space="preserve"> Waswalí</w:t>
      </w:r>
      <w:r>
        <w:rPr>
          <w:rFonts w:ascii="Cambria" w:eastAsia="Cambria" w:hAnsi="Cambria" w:cs="Cambria"/>
          <w:color w:val="000000"/>
          <w:sz w:val="20"/>
          <w:szCs w:val="20"/>
          <w14:textOutline w14:w="0" w14:cap="flat" w14:cmpd="sng" w14:algn="ctr">
            <w14:noFill/>
            <w14:prstDash w14:val="solid"/>
            <w14:bevel/>
          </w14:textOutline>
        </w:rPr>
        <w:t xml:space="preserve"> (SPN</w:t>
      </w:r>
      <w:r w:rsidRPr="00066040">
        <w:rPr>
          <w:rFonts w:ascii="Cambria" w:eastAsia="Cambria" w:hAnsi="Cambria" w:cs="Cambria"/>
          <w:color w:val="000000"/>
          <w:sz w:val="20"/>
          <w:szCs w:val="20"/>
          <w14:textOutline w14:w="0" w14:cap="flat" w14:cmpd="sng" w14:algn="ctr">
            <w14:noFill/>
            <w14:prstDash w14:val="solid"/>
            <w14:bevel/>
          </w14:textOutline>
        </w:rPr>
        <w:t xml:space="preserve">; (6) </w:t>
      </w:r>
      <w:r>
        <w:rPr>
          <w:rFonts w:ascii="Cambria" w:eastAsia="Cambria" w:hAnsi="Cambria" w:cs="Cambria"/>
          <w:color w:val="000000"/>
          <w:sz w:val="20"/>
          <w:szCs w:val="20"/>
          <w14:textOutline w14:w="0" w14:cap="flat" w14:cmpd="sng" w14:algn="ctr">
            <w14:noFill/>
            <w14:prstDash w14:val="solid"/>
            <w14:bevel/>
          </w14:textOutline>
        </w:rPr>
        <w:t>National Prison Service</w:t>
      </w:r>
      <w:r w:rsidRPr="00066040">
        <w:rPr>
          <w:rFonts w:ascii="Cambria" w:eastAsia="Cambria" w:hAnsi="Cambria" w:cs="Cambria"/>
          <w:color w:val="000000"/>
          <w:sz w:val="20"/>
          <w:szCs w:val="20"/>
          <w14:textOutline w14:w="0" w14:cap="flat" w14:cmpd="sng" w14:algn="ctr">
            <w14:noFill/>
            <w14:prstDash w14:val="solid"/>
            <w14:bevel/>
          </w14:textOutline>
        </w:rPr>
        <w:t xml:space="preserve"> (SPN)</w:t>
      </w:r>
      <w:r>
        <w:rPr>
          <w:rFonts w:ascii="Cambria" w:eastAsia="Cambria" w:hAnsi="Cambria" w:cs="Cambria"/>
          <w:color w:val="000000"/>
          <w:sz w:val="20"/>
          <w:szCs w:val="20"/>
          <w14:textOutline w14:w="0" w14:cap="flat" w14:cmpd="sng" w14:algn="ctr">
            <w14:noFill/>
            <w14:prstDash w14:val="solid"/>
            <w14:bevel/>
          </w14:textOutline>
        </w:rPr>
        <w:t xml:space="preserve"> Facility</w:t>
      </w:r>
      <w:r w:rsidRPr="00066040">
        <w:rPr>
          <w:rFonts w:ascii="Cambria" w:eastAsia="Cambria" w:hAnsi="Cambria" w:cs="Cambria"/>
          <w:color w:val="000000"/>
          <w:sz w:val="20"/>
          <w:szCs w:val="20"/>
          <w14:textOutline w14:w="0" w14:cap="flat" w14:cmpd="sng" w14:algn="ctr">
            <w14:noFill/>
            <w14:prstDash w14:val="solid"/>
            <w14:bevel/>
          </w14:textOutline>
        </w:rPr>
        <w:t xml:space="preserve"> </w:t>
      </w:r>
      <w:r>
        <w:rPr>
          <w:rFonts w:ascii="Cambria" w:eastAsia="Cambria" w:hAnsi="Cambria" w:cs="Cambria"/>
          <w:color w:val="000000"/>
          <w:sz w:val="20"/>
          <w:szCs w:val="20"/>
          <w14:textOutline w14:w="0" w14:cap="flat" w14:cmpd="sng" w14:algn="ctr">
            <w14:noFill/>
            <w14:prstDash w14:val="solid"/>
            <w14:bevel/>
          </w14:textOutline>
        </w:rPr>
        <w:t xml:space="preserve">in </w:t>
      </w:r>
      <w:r w:rsidRPr="00066040">
        <w:rPr>
          <w:rFonts w:ascii="Cambria" w:eastAsia="Cambria" w:hAnsi="Cambria" w:cs="Cambria"/>
          <w:color w:val="000000"/>
          <w:sz w:val="20"/>
          <w:szCs w:val="20"/>
          <w14:textOutline w14:w="0" w14:cap="flat" w14:cmpd="sng" w14:algn="ctr">
            <w14:noFill/>
            <w14:prstDash w14:val="solid"/>
            <w14:bevel/>
          </w14:textOutline>
        </w:rPr>
        <w:t xml:space="preserve">Chinandega; (7) </w:t>
      </w:r>
      <w:r>
        <w:rPr>
          <w:rFonts w:ascii="Cambria" w:eastAsia="Cambria" w:hAnsi="Cambria" w:cs="Cambria"/>
          <w:color w:val="000000"/>
          <w:sz w:val="20"/>
          <w:szCs w:val="20"/>
          <w14:textOutline w14:w="0" w14:cap="flat" w14:cmpd="sng" w14:algn="ctr">
            <w14:noFill/>
            <w14:prstDash w14:val="solid"/>
            <w14:bevel/>
          </w14:textOutline>
        </w:rPr>
        <w:t xml:space="preserve">National Prison Service </w:t>
      </w:r>
      <w:r w:rsidRPr="00066040">
        <w:rPr>
          <w:rFonts w:ascii="Cambria" w:eastAsia="Cambria" w:hAnsi="Cambria" w:cs="Cambria"/>
          <w:color w:val="000000"/>
          <w:sz w:val="20"/>
          <w:szCs w:val="20"/>
          <w14:textOutline w14:w="0" w14:cap="flat" w14:cmpd="sng" w14:algn="ctr">
            <w14:noFill/>
            <w14:prstDash w14:val="solid"/>
            <w14:bevel/>
          </w14:textOutline>
        </w:rPr>
        <w:t xml:space="preserve">(SPN) </w:t>
      </w:r>
      <w:r>
        <w:rPr>
          <w:rFonts w:ascii="Cambria" w:eastAsia="Cambria" w:hAnsi="Cambria" w:cs="Cambria"/>
          <w:color w:val="000000"/>
          <w:sz w:val="20"/>
          <w:szCs w:val="20"/>
          <w14:textOutline w14:w="0" w14:cap="flat" w14:cmpd="sng" w14:algn="ctr">
            <w14:noFill/>
            <w14:prstDash w14:val="solid"/>
            <w14:bevel/>
          </w14:textOutline>
        </w:rPr>
        <w:t xml:space="preserve">Facility in </w:t>
      </w:r>
      <w:r w:rsidRPr="00066040">
        <w:rPr>
          <w:rFonts w:ascii="Cambria" w:eastAsia="Cambria" w:hAnsi="Cambria" w:cs="Cambria"/>
          <w:color w:val="000000"/>
          <w:sz w:val="20"/>
          <w:szCs w:val="20"/>
          <w14:textOutline w14:w="0" w14:cap="flat" w14:cmpd="sng" w14:algn="ctr">
            <w14:noFill/>
            <w14:prstDash w14:val="solid"/>
            <w14:bevel/>
          </w14:textOutline>
        </w:rPr>
        <w:t>Jinotepe;</w:t>
      </w:r>
      <w:r>
        <w:rPr>
          <w:rFonts w:ascii="Cambria" w:eastAsia="Cambria" w:hAnsi="Cambria" w:cs="Cambria"/>
          <w:color w:val="000000"/>
          <w:sz w:val="20"/>
          <w:szCs w:val="20"/>
          <w14:textOutline w14:w="0" w14:cap="flat" w14:cmpd="sng" w14:algn="ctr">
            <w14:noFill/>
            <w14:prstDash w14:val="solid"/>
            <w14:bevel/>
          </w14:textOutline>
        </w:rPr>
        <w:t xml:space="preserve"> and </w:t>
      </w:r>
      <w:r w:rsidRPr="00066040">
        <w:rPr>
          <w:rFonts w:ascii="Cambria" w:eastAsia="Cambria" w:hAnsi="Cambria" w:cs="Cambria"/>
          <w:color w:val="000000"/>
          <w:sz w:val="20"/>
          <w:szCs w:val="20"/>
          <w14:textOutline w14:w="0" w14:cap="flat" w14:cmpd="sng" w14:algn="ctr">
            <w14:noFill/>
            <w14:prstDash w14:val="solid"/>
            <w14:bevel/>
          </w14:textOutline>
        </w:rPr>
        <w:t>(8) Cuisalá</w:t>
      </w:r>
      <w:r>
        <w:rPr>
          <w:rFonts w:ascii="Cambria" w:eastAsia="Cambria" w:hAnsi="Cambria" w:cs="Cambria"/>
          <w:color w:val="000000"/>
          <w:sz w:val="20"/>
          <w:szCs w:val="20"/>
          <w14:textOutline w14:w="0" w14:cap="flat" w14:cmpd="sng" w14:algn="ctr">
            <w14:noFill/>
            <w14:prstDash w14:val="solid"/>
            <w14:bevel/>
          </w14:textOutline>
        </w:rPr>
        <w:t xml:space="preserve"> Penitentiary Facility</w:t>
      </w:r>
      <w:r w:rsidRPr="00066040">
        <w:rPr>
          <w:rFonts w:ascii="Cambria" w:eastAsia="Cambria" w:hAnsi="Cambria" w:cs="Cambria"/>
          <w:color w:val="000000"/>
          <w:sz w:val="20"/>
          <w:szCs w:val="20"/>
          <w14:textOutline w14:w="0" w14:cap="flat" w14:cmpd="sng" w14:algn="ctr">
            <w14:noFill/>
            <w14:prstDash w14:val="solid"/>
            <w14:bevel/>
          </w14:textOutline>
        </w:rPr>
        <w:t>.</w:t>
      </w:r>
    </w:p>
    <w:p w14:paraId="0D3F73EC" w14:textId="77777777" w:rsidR="008668B8" w:rsidRPr="00066040" w:rsidRDefault="008668B8" w:rsidP="008668B8">
      <w:pPr>
        <w:pBdr>
          <w:top w:val="nil"/>
          <w:left w:val="nil"/>
          <w:bottom w:val="nil"/>
          <w:right w:val="nil"/>
          <w:between w:val="nil"/>
          <w:bar w:val="nil"/>
        </w:pBdr>
        <w:spacing w:after="120"/>
        <w:ind w:left="1440"/>
        <w:jc w:val="both"/>
        <w:rPr>
          <w:rFonts w:ascii="Cambria" w:eastAsia="Cambria" w:hAnsi="Cambria" w:cs="Cambria"/>
          <w:color w:val="000000"/>
          <w:sz w:val="20"/>
          <w:szCs w:val="20"/>
          <w14:textOutline w14:w="0" w14:cap="flat" w14:cmpd="sng" w14:algn="ctr">
            <w14:noFill/>
            <w14:prstDash w14:val="solid"/>
            <w14:bevel/>
          </w14:textOutline>
        </w:rPr>
      </w:pPr>
      <w:r>
        <w:rPr>
          <w:rFonts w:ascii="Cambria" w:eastAsia="Cambria" w:hAnsi="Cambria" w:cs="Cambria"/>
          <w:color w:val="000000"/>
          <w:sz w:val="20"/>
          <w:szCs w:val="20"/>
          <w14:textOutline w14:w="0" w14:cap="flat" w14:cmpd="sng" w14:algn="ctr">
            <w14:noFill/>
            <w14:prstDash w14:val="solid"/>
            <w14:bevel/>
          </w14:textOutline>
        </w:rPr>
        <w:t xml:space="preserve">The Commission considered that the rights of these </w:t>
      </w:r>
      <w:r w:rsidRPr="00066040">
        <w:rPr>
          <w:rFonts w:ascii="Cambria" w:eastAsia="Cambria" w:hAnsi="Cambria" w:cs="Cambria"/>
          <w:color w:val="000000"/>
          <w:sz w:val="20"/>
          <w:szCs w:val="20"/>
          <w14:textOutline w14:w="0" w14:cap="flat" w14:cmpd="sng" w14:algn="ctr">
            <w14:noFill/>
            <w14:prstDash w14:val="solid"/>
            <w14:bevel/>
          </w14:textOutline>
        </w:rPr>
        <w:t xml:space="preserve">45 </w:t>
      </w:r>
      <w:r>
        <w:rPr>
          <w:rFonts w:ascii="Cambria" w:eastAsia="Cambria" w:hAnsi="Cambria" w:cs="Cambria"/>
          <w:color w:val="000000"/>
          <w:sz w:val="20"/>
          <w:szCs w:val="20"/>
          <w14:textOutline w14:w="0" w14:cap="flat" w14:cmpd="sng" w14:algn="ctr">
            <w14:noFill/>
            <w14:prstDash w14:val="solid"/>
            <w14:bevel/>
          </w14:textOutline>
        </w:rPr>
        <w:t>individuals were in a situation of extreme risk and that they were exposed to being subject to imminent acts of violence, and their nuclear families were exposed to suffering reprisals due to the actions they are taking to demand justice.</w:t>
      </w:r>
      <w:r w:rsidRPr="00066040">
        <w:rPr>
          <w:rFonts w:ascii="Cambria" w:eastAsia="Cambria" w:hAnsi="Cambria" w:cs="Cambria"/>
          <w:color w:val="000000"/>
          <w:sz w:val="20"/>
          <w:szCs w:val="20"/>
          <w14:textOutline w14:w="0" w14:cap="flat" w14:cmpd="sng" w14:algn="ctr">
            <w14:noFill/>
            <w14:prstDash w14:val="solid"/>
            <w14:bevel/>
          </w14:textOutline>
        </w:rPr>
        <w:t xml:space="preserve"> </w:t>
      </w:r>
      <w:r>
        <w:rPr>
          <w:rFonts w:ascii="Cambria" w:eastAsia="Cambria" w:hAnsi="Cambria" w:cs="Cambria"/>
          <w:color w:val="000000"/>
          <w:sz w:val="20"/>
          <w:szCs w:val="20"/>
          <w14:textOutline w14:w="0" w14:cap="flat" w14:cmpd="sng" w14:algn="ctr">
            <w14:noFill/>
            <w14:prstDash w14:val="solid"/>
            <w14:bevel/>
          </w14:textOutline>
        </w:rPr>
        <w:t>The IACHR</w:t>
      </w:r>
      <w:r w:rsidRPr="00066040">
        <w:rPr>
          <w:rFonts w:ascii="Cambria" w:eastAsia="Cambria" w:hAnsi="Cambria" w:cs="Cambria"/>
          <w:color w:val="000000"/>
          <w:sz w:val="20"/>
          <w:szCs w:val="20"/>
          <w14:textOutline w14:w="0" w14:cap="flat" w14:cmpd="sng" w14:algn="ctr">
            <w14:noFill/>
            <w14:prstDash w14:val="solid"/>
            <w14:bevel/>
          </w14:textOutline>
        </w:rPr>
        <w:t xml:space="preserve"> </w:t>
      </w:r>
      <w:r>
        <w:rPr>
          <w:rFonts w:ascii="Cambria" w:eastAsia="Cambria" w:hAnsi="Cambria" w:cs="Cambria"/>
          <w:color w:val="000000"/>
          <w:sz w:val="20"/>
          <w:szCs w:val="20"/>
          <w14:textOutline w14:w="0" w14:cap="flat" w14:cmpd="sng" w14:algn="ctr">
            <w14:noFill/>
            <w14:prstDash w14:val="solid"/>
            <w14:bevel/>
          </w14:textOutline>
        </w:rPr>
        <w:t>did not receive information from the State regarding the implementation of suitable protective measures.</w:t>
      </w:r>
    </w:p>
    <w:p w14:paraId="564EE82B" w14:textId="77777777" w:rsidR="008668B8" w:rsidRDefault="008668B8" w:rsidP="008668B8">
      <w:pPr>
        <w:pBdr>
          <w:top w:val="nil"/>
          <w:left w:val="nil"/>
          <w:bottom w:val="nil"/>
          <w:right w:val="nil"/>
          <w:between w:val="nil"/>
          <w:bar w:val="nil"/>
        </w:pBdr>
        <w:spacing w:after="120"/>
        <w:ind w:left="1440"/>
        <w:jc w:val="both"/>
        <w:rPr>
          <w:rFonts w:ascii="Cambria" w:eastAsia="Cambria" w:hAnsi="Cambria" w:cs="Cambria"/>
          <w:color w:val="000000"/>
          <w:sz w:val="20"/>
          <w:szCs w:val="20"/>
          <w14:textOutline w14:w="0" w14:cap="flat" w14:cmpd="sng" w14:algn="ctr">
            <w14:noFill/>
            <w14:prstDash w14:val="solid"/>
            <w14:bevel/>
          </w14:textOutline>
        </w:rPr>
      </w:pPr>
      <w:r>
        <w:rPr>
          <w:rFonts w:ascii="Cambria" w:eastAsia="Cambria" w:hAnsi="Cambria" w:cs="Cambria"/>
          <w:color w:val="000000"/>
          <w:sz w:val="20"/>
          <w:szCs w:val="20"/>
          <w14:textOutline w14:w="0" w14:cap="flat" w14:cmpd="sng" w14:algn="ctr">
            <w14:noFill/>
            <w14:prstDash w14:val="solid"/>
            <w14:bevel/>
          </w14:textOutline>
        </w:rPr>
        <w:t xml:space="preserve">The Court granted the provisional measures on October 4, </w:t>
      </w:r>
      <w:r w:rsidRPr="00066040">
        <w:rPr>
          <w:rFonts w:ascii="Cambria" w:eastAsia="Cambria" w:hAnsi="Cambria" w:cs="Cambria"/>
          <w:color w:val="000000"/>
          <w:sz w:val="20"/>
          <w:szCs w:val="20"/>
          <w14:textOutline w14:w="0" w14:cap="flat" w14:cmpd="sng" w14:algn="ctr">
            <w14:noFill/>
            <w14:prstDash w14:val="solid"/>
            <w14:bevel/>
          </w14:textOutline>
        </w:rPr>
        <w:t>2022.</w:t>
      </w:r>
    </w:p>
    <w:p w14:paraId="2C2DA5BF" w14:textId="77777777" w:rsidR="008668B8" w:rsidRPr="0004019B" w:rsidRDefault="008668B8" w:rsidP="00933F91">
      <w:pPr>
        <w:numPr>
          <w:ilvl w:val="0"/>
          <w:numId w:val="40"/>
        </w:numPr>
        <w:pBdr>
          <w:top w:val="nil"/>
          <w:left w:val="nil"/>
          <w:bottom w:val="nil"/>
          <w:right w:val="nil"/>
          <w:between w:val="nil"/>
          <w:bar w:val="nil"/>
        </w:pBdr>
        <w:spacing w:after="120"/>
        <w:jc w:val="both"/>
        <w:rPr>
          <w:rFonts w:ascii="Cambria" w:eastAsia="Cambria" w:hAnsi="Cambria" w:cs="Cambria"/>
          <w:b/>
          <w:bCs/>
          <w:color w:val="000000"/>
          <w:sz w:val="20"/>
          <w:szCs w:val="20"/>
          <w14:textOutline w14:w="0" w14:cap="flat" w14:cmpd="sng" w14:algn="ctr">
            <w14:noFill/>
            <w14:prstDash w14:val="solid"/>
            <w14:bevel/>
          </w14:textOutline>
        </w:rPr>
      </w:pPr>
      <w:r w:rsidRPr="0004019B">
        <w:rPr>
          <w:rFonts w:ascii="Cambria" w:eastAsia="Cambria" w:hAnsi="Cambria" w:cs="Cambria"/>
          <w:b/>
          <w:bCs/>
          <w:color w:val="000000"/>
          <w:sz w:val="20"/>
          <w:szCs w:val="20"/>
          <w14:textOutline w14:w="0" w14:cap="flat" w14:cmpd="sng" w14:algn="ctr">
            <w14:noFill/>
            <w14:prstDash w14:val="solid"/>
            <w14:bevel/>
          </w14:textOutline>
        </w:rPr>
        <w:t>Request for provisional measures in favor of persons deprived of liberty at the Evaristo de Moraes Penitentiary (PEM)</w:t>
      </w:r>
    </w:p>
    <w:p w14:paraId="6E3C47FB" w14:textId="77777777" w:rsidR="008668B8" w:rsidRPr="0004019B" w:rsidRDefault="008668B8" w:rsidP="008668B8">
      <w:pPr>
        <w:pBdr>
          <w:top w:val="nil"/>
          <w:left w:val="nil"/>
          <w:bottom w:val="nil"/>
          <w:right w:val="nil"/>
          <w:between w:val="nil"/>
          <w:bar w:val="nil"/>
        </w:pBdr>
        <w:spacing w:after="120"/>
        <w:ind w:left="1440"/>
        <w:jc w:val="both"/>
        <w:rPr>
          <w:rFonts w:ascii="Cambria" w:eastAsia="Cambria" w:hAnsi="Cambria" w:cs="Cambria"/>
          <w:color w:val="000000"/>
          <w:sz w:val="20"/>
          <w:szCs w:val="20"/>
          <w14:textOutline w14:w="0" w14:cap="flat" w14:cmpd="sng" w14:algn="ctr">
            <w14:noFill/>
            <w14:prstDash w14:val="solid"/>
            <w14:bevel/>
          </w14:textOutline>
        </w:rPr>
      </w:pPr>
      <w:r w:rsidRPr="0004019B">
        <w:rPr>
          <w:rFonts w:ascii="Cambria" w:eastAsia="Cambria" w:hAnsi="Cambria" w:cs="Cambria"/>
          <w:color w:val="000000"/>
          <w:sz w:val="20"/>
          <w:szCs w:val="20"/>
          <w14:textOutline w14:w="0" w14:cap="flat" w14:cmpd="sng" w14:algn="ctr">
            <w14:noFill/>
            <w14:prstDash w14:val="solid"/>
            <w14:bevel/>
          </w14:textOutline>
        </w:rPr>
        <w:t>On December 28, 2022,</w:t>
      </w:r>
      <w:r>
        <w:rPr>
          <w:rStyle w:val="FootnoteReference"/>
          <w:rFonts w:ascii="Cambria" w:eastAsia="Cambria" w:hAnsi="Cambria" w:cs="Cambria"/>
          <w:color w:val="000000"/>
          <w:sz w:val="20"/>
          <w:szCs w:val="20"/>
          <w14:textOutline w14:w="0" w14:cap="flat" w14:cmpd="sng" w14:algn="ctr">
            <w14:noFill/>
            <w14:prstDash w14:val="solid"/>
            <w14:bevel/>
          </w14:textOutline>
        </w:rPr>
        <w:footnoteReference w:id="173"/>
      </w:r>
      <w:r w:rsidRPr="0004019B">
        <w:rPr>
          <w:rFonts w:ascii="Cambria" w:eastAsia="Cambria" w:hAnsi="Cambria" w:cs="Cambria"/>
          <w:color w:val="000000"/>
          <w:sz w:val="20"/>
          <w:szCs w:val="20"/>
          <w14:textOutline w14:w="0" w14:cap="flat" w14:cmpd="sng" w14:algn="ctr">
            <w14:noFill/>
            <w14:prstDash w14:val="solid"/>
            <w14:bevel/>
          </w14:textOutline>
        </w:rPr>
        <w:t xml:space="preserve"> the IACHR requested provisional measures in favor of persons deprived of liberty at the Evaristo de Moraes Penitentiary (PEM) in the state of Rio de Janeiro. The Evaristo de Moraes Penitentiary</w:t>
      </w:r>
      <w:r>
        <w:rPr>
          <w:rFonts w:ascii="Cambria" w:eastAsia="Cambria" w:hAnsi="Cambria" w:cs="Cambria"/>
          <w:color w:val="000000"/>
          <w:sz w:val="20"/>
          <w:szCs w:val="20"/>
          <w14:textOutline w14:w="0" w14:cap="flat" w14:cmpd="sng" w14:algn="ctr">
            <w14:noFill/>
            <w14:prstDash w14:val="solid"/>
            <w14:bevel/>
          </w14:textOutline>
        </w:rPr>
        <w:t xml:space="preserve"> </w:t>
      </w:r>
      <w:r w:rsidRPr="0004019B">
        <w:rPr>
          <w:rFonts w:ascii="Cambria" w:eastAsia="Cambria" w:hAnsi="Cambria" w:cs="Cambria"/>
          <w:color w:val="000000"/>
          <w:sz w:val="20"/>
          <w:szCs w:val="20"/>
          <w14:textOutline w14:w="0" w14:cap="flat" w14:cmpd="sng" w14:algn="ctr">
            <w14:noFill/>
            <w14:prstDash w14:val="solid"/>
            <w14:bevel/>
          </w14:textOutline>
        </w:rPr>
        <w:t>was originally an army tank depot. Subsequently, it came to house the custody of persons deprived of liberty. In 2019, the IACHR granted precautionary measures to persons deprived of liberty at PEM, in accordance with Article 25 of the IACHR Rules of Procedure, due to high levels of overcrowding, lack of adequate medical care and unsanitary conditions of detention, in addition to the high number of deaths, mostly occurring in unexplained circumstances.</w:t>
      </w:r>
    </w:p>
    <w:p w14:paraId="19A25FD9" w14:textId="77777777" w:rsidR="008668B8" w:rsidRPr="0004019B" w:rsidRDefault="008668B8" w:rsidP="008668B8">
      <w:pPr>
        <w:pBdr>
          <w:top w:val="nil"/>
          <w:left w:val="nil"/>
          <w:bottom w:val="nil"/>
          <w:right w:val="nil"/>
          <w:between w:val="nil"/>
          <w:bar w:val="nil"/>
        </w:pBdr>
        <w:spacing w:after="120"/>
        <w:ind w:left="1440"/>
        <w:jc w:val="both"/>
        <w:rPr>
          <w:rFonts w:ascii="Cambria" w:eastAsia="Cambria" w:hAnsi="Cambria" w:cs="Cambria"/>
          <w:color w:val="000000"/>
          <w:sz w:val="20"/>
          <w:szCs w:val="20"/>
          <w14:textOutline w14:w="0" w14:cap="flat" w14:cmpd="sng" w14:algn="ctr">
            <w14:noFill/>
            <w14:prstDash w14:val="solid"/>
            <w14:bevel/>
          </w14:textOutline>
        </w:rPr>
      </w:pPr>
      <w:r w:rsidRPr="0004019B">
        <w:rPr>
          <w:rFonts w:ascii="Cambria" w:eastAsia="Cambria" w:hAnsi="Cambria" w:cs="Cambria"/>
          <w:color w:val="000000"/>
          <w:sz w:val="20"/>
          <w:szCs w:val="20"/>
          <w14:textOutline w14:w="0" w14:cap="flat" w14:cmpd="sng" w14:algn="ctr">
            <w14:noFill/>
            <w14:prstDash w14:val="solid"/>
            <w14:bevel/>
          </w14:textOutline>
        </w:rPr>
        <w:t>The IACHR assessed that they are in a situation of extreme gravity and urgency of irreparable harm due to the overcrowding of the facility, the conditions of detention in which they are held and the difficulties of adequate and timely medical care.</w:t>
      </w:r>
    </w:p>
    <w:p w14:paraId="0543BE75" w14:textId="77777777" w:rsidR="008668B8" w:rsidRPr="0004019B" w:rsidRDefault="008668B8" w:rsidP="008668B8">
      <w:pPr>
        <w:pBdr>
          <w:top w:val="nil"/>
          <w:left w:val="nil"/>
          <w:bottom w:val="nil"/>
          <w:right w:val="nil"/>
          <w:between w:val="nil"/>
          <w:bar w:val="nil"/>
        </w:pBdr>
        <w:spacing w:after="120"/>
        <w:ind w:left="1440"/>
        <w:jc w:val="both"/>
        <w:rPr>
          <w:rFonts w:ascii="Cambria" w:eastAsia="Cambria" w:hAnsi="Cambria" w:cs="Cambria"/>
          <w:color w:val="000000"/>
          <w:sz w:val="20"/>
          <w:szCs w:val="20"/>
          <w14:textOutline w14:w="0" w14:cap="flat" w14:cmpd="sng" w14:algn="ctr">
            <w14:noFill/>
            <w14:prstDash w14:val="solid"/>
            <w14:bevel/>
          </w14:textOutline>
        </w:rPr>
      </w:pPr>
      <w:r w:rsidRPr="0004019B">
        <w:rPr>
          <w:rFonts w:ascii="Cambria" w:eastAsia="Cambria" w:hAnsi="Cambria" w:cs="Cambria"/>
          <w:color w:val="000000"/>
          <w:sz w:val="20"/>
          <w:szCs w:val="20"/>
          <w14:textOutline w14:w="0" w14:cap="flat" w14:cmpd="sng" w14:algn="ctr">
            <w14:noFill/>
            <w14:prstDash w14:val="solid"/>
            <w14:bevel/>
          </w14:textOutline>
        </w:rPr>
        <w:t>At the end of 2022, the request remains pending decision by the Inter-American Court.</w:t>
      </w:r>
    </w:p>
    <w:p w14:paraId="12EE51F1" w14:textId="77777777" w:rsidR="008668B8" w:rsidRPr="00066040" w:rsidRDefault="008668B8" w:rsidP="008668B8">
      <w:pPr>
        <w:jc w:val="both"/>
        <w:rPr>
          <w:rFonts w:ascii="Cambria" w:eastAsia="Cambria" w:hAnsi="Cambria" w:cs="Cambria"/>
          <w:sz w:val="20"/>
          <w:szCs w:val="20"/>
        </w:rPr>
      </w:pPr>
    </w:p>
    <w:p w14:paraId="5BCA504F" w14:textId="77777777" w:rsidR="008668B8" w:rsidRPr="00066040" w:rsidRDefault="008668B8" w:rsidP="00933F91">
      <w:pPr>
        <w:pStyle w:val="BodyText"/>
        <w:widowControl/>
        <w:numPr>
          <w:ilvl w:val="0"/>
          <w:numId w:val="58"/>
        </w:numPr>
        <w:ind w:left="0" w:firstLine="720"/>
        <w:jc w:val="both"/>
        <w:rPr>
          <w:rFonts w:cs="Cambria"/>
          <w:color w:val="000000"/>
          <w14:textOutline w14:w="0" w14:cap="flat" w14:cmpd="sng" w14:algn="ctr">
            <w14:noFill/>
            <w14:prstDash w14:val="solid"/>
            <w14:bevel/>
          </w14:textOutline>
        </w:rPr>
      </w:pPr>
      <w:r w:rsidRPr="00066040">
        <w:rPr>
          <w:rFonts w:cs="Cambria"/>
          <w:color w:val="000000"/>
          <w14:textOutline w14:w="0" w14:cap="flat" w14:cmpd="sng" w14:algn="ctr">
            <w14:noFill/>
            <w14:prstDash w14:val="solid"/>
            <w14:bevel/>
          </w14:textOutline>
        </w:rPr>
        <w:lastRenderedPageBreak/>
        <w:t xml:space="preserve">Durante 2022, </w:t>
      </w:r>
      <w:r>
        <w:rPr>
          <w:rFonts w:cs="Cambria"/>
          <w:color w:val="000000"/>
          <w14:textOutline w14:w="0" w14:cap="flat" w14:cmpd="sng" w14:algn="ctr">
            <w14:noFill/>
            <w14:prstDash w14:val="solid"/>
            <w14:bevel/>
          </w14:textOutline>
        </w:rPr>
        <w:t>the Commission also filed</w:t>
      </w:r>
      <w:r w:rsidRPr="00066040">
        <w:rPr>
          <w:rFonts w:cs="Cambria"/>
          <w:color w:val="000000"/>
          <w14:textOutline w14:w="0" w14:cap="flat" w14:cmpd="sng" w14:algn="ctr">
            <w14:noFill/>
            <w14:prstDash w14:val="solid"/>
            <w14:bevel/>
          </w14:textOutline>
        </w:rPr>
        <w:t xml:space="preserve"> </w:t>
      </w:r>
      <w:r w:rsidRPr="0055578D">
        <w:rPr>
          <w:rFonts w:cs="Cambria"/>
          <w:color w:val="000000"/>
          <w14:textOutline w14:w="0" w14:cap="flat" w14:cmpd="sng" w14:algn="ctr">
            <w14:noFill/>
            <w14:prstDash w14:val="solid"/>
            <w14:bevel/>
          </w14:textOutline>
        </w:rPr>
        <w:t>92 legal</w:t>
      </w:r>
      <w:r>
        <w:rPr>
          <w:rFonts w:cs="Cambria"/>
          <w:color w:val="000000"/>
          <w14:textOutline w14:w="0" w14:cap="flat" w14:cmpd="sng" w14:algn="ctr">
            <w14:noFill/>
            <w14:prstDash w14:val="solid"/>
            <w14:bevel/>
          </w14:textOutline>
        </w:rPr>
        <w:t xml:space="preserve"> briefs on provisional measures with the Inter-American Court. It should be emphasized that, in this work,</w:t>
      </w:r>
      <w:r w:rsidRPr="00066040">
        <w:rPr>
          <w:rFonts w:cs="Cambria"/>
          <w:color w:val="000000"/>
          <w14:textOutline w14:w="0" w14:cap="flat" w14:cmpd="sng" w14:algn="ctr">
            <w14:noFill/>
            <w14:prstDash w14:val="solid"/>
            <w14:bevel/>
          </w14:textOutline>
        </w:rPr>
        <w:t xml:space="preserve"> </w:t>
      </w:r>
      <w:r>
        <w:rPr>
          <w:rFonts w:cs="Cambria"/>
          <w:color w:val="000000"/>
          <w14:textOutline w14:w="0" w14:cap="flat" w14:cmpd="sng" w14:algn="ctr">
            <w14:noFill/>
            <w14:prstDash w14:val="solid"/>
            <w14:bevel/>
          </w14:textOutline>
        </w:rPr>
        <w:t>the IACHR</w:t>
      </w:r>
      <w:r w:rsidRPr="00066040">
        <w:rPr>
          <w:rFonts w:cs="Cambria"/>
          <w:color w:val="000000"/>
          <w14:textOutline w14:w="0" w14:cap="flat" w14:cmpd="sng" w14:algn="ctr">
            <w14:noFill/>
            <w14:prstDash w14:val="solid"/>
            <w14:bevel/>
          </w14:textOutline>
        </w:rPr>
        <w:t xml:space="preserve"> </w:t>
      </w:r>
      <w:r>
        <w:rPr>
          <w:rFonts w:cs="Cambria"/>
          <w:color w:val="000000"/>
          <w14:textOutline w14:w="0" w14:cap="flat" w14:cmpd="sng" w14:algn="ctr">
            <w14:noFill/>
            <w14:prstDash w14:val="solid"/>
            <w14:bevel/>
          </w14:textOutline>
        </w:rPr>
        <w:t>provided observations and information supporting requests for provisional measures filed directly with the Court by accredited representatives in cases being heard by the Court, in accordance with the</w:t>
      </w:r>
      <w:r w:rsidRPr="00066040">
        <w:rPr>
          <w:rFonts w:cs="Cambria"/>
          <w:color w:val="000000"/>
          <w14:textOutline w14:w="0" w14:cap="flat" w14:cmpd="sng" w14:algn="ctr">
            <w14:noFill/>
            <w14:prstDash w14:val="solid"/>
            <w14:bevel/>
          </w14:textOutline>
        </w:rPr>
        <w:t xml:space="preserve"> </w:t>
      </w:r>
      <w:r>
        <w:rPr>
          <w:rFonts w:cs="Cambria"/>
          <w:color w:val="000000"/>
          <w14:textOutline w14:w="0" w14:cap="flat" w14:cmpd="sng" w14:algn="ctr">
            <w14:noFill/>
            <w14:prstDash w14:val="solid"/>
            <w14:bevel/>
          </w14:textOutline>
        </w:rPr>
        <w:t>Rules of Procedure</w:t>
      </w:r>
      <w:r w:rsidRPr="00066040">
        <w:rPr>
          <w:rFonts w:cs="Cambria"/>
          <w:color w:val="000000"/>
          <w14:textOutline w14:w="0" w14:cap="flat" w14:cmpd="sng" w14:algn="ctr">
            <w14:noFill/>
            <w14:prstDash w14:val="solid"/>
            <w14:bevel/>
          </w14:textOutline>
        </w:rPr>
        <w:t xml:space="preserve"> </w:t>
      </w:r>
      <w:r>
        <w:rPr>
          <w:rFonts w:cs="Cambria"/>
          <w:color w:val="000000"/>
          <w14:textOutline w14:w="0" w14:cap="flat" w14:cmpd="sng" w14:algn="ctr">
            <w14:noFill/>
            <w14:prstDash w14:val="solid"/>
            <w14:bevel/>
          </w14:textOutline>
        </w:rPr>
        <w:t>of the I/A Court H.R. Notable in this regard are the urgent provisional measures processed with respect to</w:t>
      </w:r>
      <w:r w:rsidRPr="00066040">
        <w:rPr>
          <w:rFonts w:cs="Cambria"/>
          <w:color w:val="000000"/>
          <w14:textOutline w14:w="0" w14:cap="flat" w14:cmpd="sng" w14:algn="ctr">
            <w14:noFill/>
            <w14:prstDash w14:val="solid"/>
            <w14:bevel/>
          </w14:textOutline>
        </w:rPr>
        <w:t xml:space="preserve"> Guatemala </w:t>
      </w:r>
      <w:r>
        <w:rPr>
          <w:rFonts w:cs="Cambria"/>
          <w:color w:val="000000"/>
          <w14:textOutline w14:w="0" w14:cap="flat" w14:cmpd="sng" w14:algn="ctr">
            <w14:noFill/>
            <w14:prstDash w14:val="solid"/>
            <w14:bevel/>
          </w14:textOutline>
        </w:rPr>
        <w:t>in the</w:t>
      </w:r>
      <w:r w:rsidRPr="00066040">
        <w:rPr>
          <w:rFonts w:cs="Cambria"/>
          <w:color w:val="000000"/>
          <w14:textOutline w14:w="0" w14:cap="flat" w14:cmpd="sng" w14:algn="ctr">
            <w14:noFill/>
            <w14:prstDash w14:val="solid"/>
            <w14:bevel/>
          </w14:textOutline>
        </w:rPr>
        <w:t xml:space="preserve"> </w:t>
      </w:r>
      <w:r>
        <w:rPr>
          <w:rFonts w:cs="Cambria"/>
          <w:color w:val="000000"/>
          <w14:textOutline w14:w="0" w14:cap="flat" w14:cmpd="sng" w14:algn="ctr">
            <w14:noFill/>
            <w14:prstDash w14:val="solid"/>
            <w14:bevel/>
          </w14:textOutline>
        </w:rPr>
        <w:t xml:space="preserve">cases of </w:t>
      </w:r>
      <w:r w:rsidRPr="00066040">
        <w:rPr>
          <w:rFonts w:cs="Cambria"/>
          <w:color w:val="000000"/>
          <w14:textOutline w14:w="0" w14:cap="flat" w14:cmpd="sng" w14:algn="ctr">
            <w14:noFill/>
            <w14:prstDash w14:val="solid"/>
            <w14:bevel/>
          </w14:textOutline>
        </w:rPr>
        <w:t>Bámaca Velásquez, Maritza Urrutia, Plan de Sánchez</w:t>
      </w:r>
      <w:r>
        <w:rPr>
          <w:rFonts w:cs="Cambria"/>
          <w:color w:val="000000"/>
          <w14:textOutline w14:w="0" w14:cap="flat" w14:cmpd="sng" w14:algn="ctr">
            <w14:noFill/>
            <w14:prstDash w14:val="solid"/>
            <w14:bevel/>
          </w14:textOutline>
        </w:rPr>
        <w:t xml:space="preserve"> Massacre</w:t>
      </w:r>
      <w:r w:rsidRPr="00066040">
        <w:rPr>
          <w:rFonts w:cs="Cambria"/>
          <w:color w:val="000000"/>
          <w14:textOutline w14:w="0" w14:cap="flat" w14:cmpd="sng" w14:algn="ctr">
            <w14:noFill/>
            <w14:prstDash w14:val="solid"/>
            <w14:bevel/>
          </w14:textOutline>
        </w:rPr>
        <w:t>, Chitay Nech</w:t>
      </w:r>
      <w:r>
        <w:rPr>
          <w:rFonts w:cs="Cambria"/>
          <w:color w:val="000000"/>
          <w14:textOutline w14:w="0" w14:cap="flat" w14:cmpd="sng" w14:algn="ctr">
            <w14:noFill/>
            <w14:prstDash w14:val="solid"/>
            <w14:bevel/>
          </w14:textOutline>
        </w:rPr>
        <w:t xml:space="preserve"> et al.</w:t>
      </w:r>
      <w:r w:rsidRPr="00066040">
        <w:rPr>
          <w:rFonts w:cs="Cambria"/>
          <w:color w:val="000000"/>
          <w14:textOutline w14:w="0" w14:cap="flat" w14:cmpd="sng" w14:algn="ctr">
            <w14:noFill/>
            <w14:prstDash w14:val="solid"/>
            <w14:bevel/>
          </w14:textOutline>
        </w:rPr>
        <w:t>, Río Negro</w:t>
      </w:r>
      <w:r>
        <w:rPr>
          <w:rFonts w:cs="Cambria"/>
          <w:color w:val="000000"/>
          <w14:textOutline w14:w="0" w14:cap="flat" w14:cmpd="sng" w14:algn="ctr">
            <w14:noFill/>
            <w14:prstDash w14:val="solid"/>
            <w14:bevel/>
          </w14:textOutline>
        </w:rPr>
        <w:t xml:space="preserve"> Massacres</w:t>
      </w:r>
      <w:r w:rsidRPr="00066040">
        <w:rPr>
          <w:rFonts w:cs="Cambria"/>
          <w:color w:val="000000"/>
          <w14:textOutline w14:w="0" w14:cap="flat" w14:cmpd="sng" w14:algn="ctr">
            <w14:noFill/>
            <w14:prstDash w14:val="solid"/>
            <w14:bevel/>
          </w14:textOutline>
        </w:rPr>
        <w:t>,</w:t>
      </w:r>
      <w:r>
        <w:rPr>
          <w:rFonts w:cs="Cambria"/>
          <w:color w:val="000000"/>
          <w14:textOutline w14:w="0" w14:cap="flat" w14:cmpd="sng" w14:algn="ctr">
            <w14:noFill/>
            <w14:prstDash w14:val="solid"/>
            <w14:bevel/>
          </w14:textOutline>
        </w:rPr>
        <w:t xml:space="preserve"> and </w:t>
      </w:r>
      <w:r w:rsidRPr="00066040">
        <w:rPr>
          <w:rFonts w:cs="Cambria"/>
          <w:color w:val="000000"/>
          <w14:textOutline w14:w="0" w14:cap="flat" w14:cmpd="sng" w14:algn="ctr">
            <w14:noFill/>
            <w14:prstDash w14:val="solid"/>
            <w14:bevel/>
          </w14:textOutline>
        </w:rPr>
        <w:t>Gudiel Álvarez</w:t>
      </w:r>
      <w:r>
        <w:rPr>
          <w:rFonts w:cs="Cambria"/>
          <w:color w:val="000000"/>
          <w14:textOutline w14:w="0" w14:cap="flat" w14:cmpd="sng" w14:algn="ctr">
            <w14:noFill/>
            <w14:prstDash w14:val="solid"/>
            <w14:bevel/>
          </w14:textOutline>
        </w:rPr>
        <w:t xml:space="preserve"> et al.</w:t>
      </w:r>
      <w:r w:rsidRPr="00066040">
        <w:rPr>
          <w:rFonts w:cs="Cambria"/>
          <w:color w:val="000000"/>
          <w14:textOutline w14:w="0" w14:cap="flat" w14:cmpd="sng" w14:algn="ctr">
            <w14:noFill/>
            <w14:prstDash w14:val="solid"/>
            <w14:bevel/>
          </w14:textOutline>
        </w:rPr>
        <w:t xml:space="preserve"> (“Diario Militar”) </w:t>
      </w:r>
      <w:r>
        <w:rPr>
          <w:rFonts w:cs="Cambria"/>
          <w:color w:val="000000"/>
          <w14:textOutline w14:w="0" w14:cap="flat" w14:cmpd="sng" w14:algn="ctr">
            <w14:noFill/>
            <w14:prstDash w14:val="solid"/>
            <w14:bevel/>
          </w14:textOutline>
        </w:rPr>
        <w:t>v.</w:t>
      </w:r>
      <w:r w:rsidRPr="00066040">
        <w:rPr>
          <w:rFonts w:cs="Cambria"/>
          <w:color w:val="000000"/>
          <w14:textOutline w14:w="0" w14:cap="flat" w14:cmpd="sng" w14:algn="ctr">
            <w14:noFill/>
            <w14:prstDash w14:val="solid"/>
            <w14:bevel/>
          </w14:textOutline>
        </w:rPr>
        <w:t xml:space="preserve"> Guatemala;</w:t>
      </w:r>
      <w:r>
        <w:rPr>
          <w:rFonts w:cs="Cambria"/>
          <w:color w:val="000000"/>
          <w14:textOutline w14:w="0" w14:cap="flat" w14:cmpd="sng" w14:algn="ctr">
            <w14:noFill/>
            <w14:prstDash w14:val="solid"/>
            <w14:bevel/>
          </w14:textOutline>
        </w:rPr>
        <w:t xml:space="preserve"> and the case of</w:t>
      </w:r>
      <w:r w:rsidRPr="00066040">
        <w:rPr>
          <w:rFonts w:cs="Cambria"/>
          <w:color w:val="000000"/>
          <w14:textOutline w14:w="0" w14:cap="flat" w14:cmpd="sng" w14:algn="ctr">
            <w14:noFill/>
            <w14:prstDash w14:val="solid"/>
            <w14:bevel/>
          </w14:textOutline>
        </w:rPr>
        <w:t xml:space="preserve"> Gudiel Álvarez</w:t>
      </w:r>
      <w:r>
        <w:rPr>
          <w:rFonts w:cs="Cambria"/>
          <w:color w:val="000000"/>
          <w14:textOutline w14:w="0" w14:cap="flat" w14:cmpd="sng" w14:algn="ctr">
            <w14:noFill/>
            <w14:prstDash w14:val="solid"/>
            <w14:bevel/>
          </w14:textOutline>
        </w:rPr>
        <w:t xml:space="preserve"> et al.</w:t>
      </w:r>
      <w:r w:rsidRPr="00066040">
        <w:rPr>
          <w:rFonts w:cs="Cambria"/>
          <w:color w:val="000000"/>
          <w14:textOutline w14:w="0" w14:cap="flat" w14:cmpd="sng" w14:algn="ctr">
            <w14:noFill/>
            <w14:prstDash w14:val="solid"/>
            <w14:bevel/>
          </w14:textOutline>
        </w:rPr>
        <w:t xml:space="preserve"> (“Diario Militar”) </w:t>
      </w:r>
      <w:r>
        <w:rPr>
          <w:rFonts w:cs="Cambria"/>
          <w:color w:val="000000"/>
          <w14:textOutline w14:w="0" w14:cap="flat" w14:cmpd="sng" w14:algn="ctr">
            <w14:noFill/>
            <w14:prstDash w14:val="solid"/>
            <w14:bevel/>
          </w14:textOutline>
        </w:rPr>
        <w:t>v</w:t>
      </w:r>
      <w:r w:rsidRPr="00066040">
        <w:rPr>
          <w:rFonts w:cs="Cambria"/>
          <w:color w:val="000000"/>
          <w14:textOutline w14:w="0" w14:cap="flat" w14:cmpd="sng" w14:algn="ctr">
            <w14:noFill/>
            <w14:prstDash w14:val="solid"/>
            <w14:bevel/>
          </w14:textOutline>
        </w:rPr>
        <w:t>. Guatemala</w:t>
      </w:r>
      <w:r>
        <w:rPr>
          <w:rFonts w:cs="Cambria"/>
          <w:color w:val="000000"/>
          <w14:textOutline w14:w="0" w14:cap="flat" w14:cmpd="sng" w14:algn="ctr">
            <w14:noFill/>
            <w14:prstDash w14:val="solid"/>
            <w14:bevel/>
          </w14:textOutline>
        </w:rPr>
        <w:t>, which were granted by the Inter-American Court on July 8 and 11 and September 9, 2022, respectively</w:t>
      </w:r>
      <w:r w:rsidRPr="00066040">
        <w:rPr>
          <w:rFonts w:cs="Cambria"/>
          <w:color w:val="000000"/>
          <w14:textOutline w14:w="0" w14:cap="flat" w14:cmpd="sng" w14:algn="ctr">
            <w14:noFill/>
            <w14:prstDash w14:val="solid"/>
            <w14:bevel/>
          </w14:textOutline>
        </w:rPr>
        <w:t>.</w:t>
      </w:r>
    </w:p>
    <w:p w14:paraId="7B77C4A8" w14:textId="77777777" w:rsidR="008668B8" w:rsidRPr="00066040" w:rsidRDefault="008668B8" w:rsidP="008668B8">
      <w:pPr>
        <w:pBdr>
          <w:top w:val="nil"/>
          <w:left w:val="nil"/>
          <w:bottom w:val="nil"/>
          <w:right w:val="nil"/>
          <w:between w:val="nil"/>
          <w:bar w:val="nil"/>
        </w:pBdr>
        <w:ind w:left="720"/>
        <w:jc w:val="both"/>
        <w:rPr>
          <w:rFonts w:ascii="Cambria" w:eastAsia="Cambria" w:hAnsi="Cambria" w:cs="Cambria"/>
          <w:color w:val="000000"/>
          <w:sz w:val="20"/>
          <w:szCs w:val="20"/>
          <w:u w:color="000000"/>
          <w14:textOutline w14:w="0" w14:cap="flat" w14:cmpd="sng" w14:algn="ctr">
            <w14:noFill/>
            <w14:prstDash w14:val="solid"/>
            <w14:bevel/>
          </w14:textOutline>
        </w:rPr>
      </w:pPr>
    </w:p>
    <w:p w14:paraId="3CC058B1" w14:textId="77777777" w:rsidR="008668B8" w:rsidRPr="00066040" w:rsidRDefault="008668B8" w:rsidP="00933F91">
      <w:pPr>
        <w:pStyle w:val="BodyText"/>
        <w:widowControl/>
        <w:numPr>
          <w:ilvl w:val="0"/>
          <w:numId w:val="58"/>
        </w:numPr>
        <w:ind w:left="0" w:firstLine="720"/>
        <w:jc w:val="both"/>
        <w:rPr>
          <w:rFonts w:cs="Cambria"/>
          <w:color w:val="000000"/>
          <w:u w:color="000000"/>
          <w14:textOutline w14:w="0" w14:cap="flat" w14:cmpd="sng" w14:algn="ctr">
            <w14:noFill/>
            <w14:prstDash w14:val="solid"/>
            <w14:bevel/>
          </w14:textOutline>
        </w:rPr>
      </w:pPr>
      <w:r>
        <w:rPr>
          <w:rFonts w:cs="Cambria"/>
          <w:color w:val="000000"/>
          <w14:textOutline w14:w="0" w14:cap="flat" w14:cmpd="sng" w14:algn="ctr">
            <w14:noFill/>
            <w14:prstDash w14:val="solid"/>
            <w14:bevel/>
          </w14:textOutline>
        </w:rPr>
        <w:t>In addition,</w:t>
      </w:r>
      <w:r w:rsidRPr="00066040">
        <w:rPr>
          <w:rFonts w:cs="Cambria"/>
          <w:color w:val="000000"/>
          <w14:textOutline w14:w="0" w14:cap="flat" w14:cmpd="sng" w14:algn="ctr">
            <w14:noFill/>
            <w14:prstDash w14:val="solid"/>
            <w14:bevel/>
          </w14:textOutline>
        </w:rPr>
        <w:t xml:space="preserve"> </w:t>
      </w:r>
      <w:r>
        <w:rPr>
          <w:rFonts w:cs="Cambria"/>
          <w:color w:val="000000"/>
          <w14:textOutline w14:w="0" w14:cap="flat" w14:cmpd="sng" w14:algn="ctr">
            <w14:noFill/>
            <w14:prstDash w14:val="solid"/>
            <w14:bevel/>
          </w14:textOutline>
        </w:rPr>
        <w:t>the IACHR</w:t>
      </w:r>
      <w:r w:rsidRPr="00066040">
        <w:rPr>
          <w:rFonts w:cs="Cambria"/>
          <w:color w:val="000000"/>
          <w14:textOutline w14:w="0" w14:cap="flat" w14:cmpd="sng" w14:algn="ctr">
            <w14:noFill/>
            <w14:prstDash w14:val="solid"/>
            <w14:bevel/>
          </w14:textOutline>
        </w:rPr>
        <w:t xml:space="preserve"> present</w:t>
      </w:r>
      <w:r>
        <w:rPr>
          <w:rFonts w:cs="Cambria"/>
          <w:color w:val="000000"/>
          <w14:textOutline w14:w="0" w14:cap="flat" w14:cmpd="sng" w14:algn="ctr">
            <w14:noFill/>
            <w14:prstDash w14:val="solid"/>
            <w14:bevel/>
          </w14:textOutline>
        </w:rPr>
        <w:t>ed its oral observations in five</w:t>
      </w:r>
      <w:r w:rsidRPr="00066040">
        <w:rPr>
          <w:rFonts w:cs="Cambria"/>
          <w:color w:val="000000"/>
          <w14:textOutline w14:w="0" w14:cap="flat" w14:cmpd="sng" w14:algn="ctr">
            <w14:noFill/>
            <w14:prstDash w14:val="solid"/>
            <w14:bevel/>
          </w14:textOutline>
        </w:rPr>
        <w:t xml:space="preserve"> </w:t>
      </w:r>
      <w:r>
        <w:rPr>
          <w:rFonts w:cs="Cambria"/>
          <w:color w:val="000000"/>
          <w14:textOutline w14:w="0" w14:cap="flat" w14:cmpd="sng" w14:algn="ctr">
            <w14:noFill/>
            <w14:prstDash w14:val="solid"/>
            <w14:bevel/>
          </w14:textOutline>
        </w:rPr>
        <w:t>hearings convened by the Court on the implementation of provisional measures in force or requests for provisional measures</w:t>
      </w:r>
      <w:r w:rsidRPr="00066040">
        <w:rPr>
          <w:rFonts w:cs="Cambria"/>
          <w:color w:val="000000"/>
          <w14:textOutline w14:w="0" w14:cap="flat" w14:cmpd="sng" w14:algn="ctr">
            <w14:noFill/>
            <w14:prstDash w14:val="solid"/>
            <w14:bevel/>
          </w14:textOutline>
        </w:rPr>
        <w:t xml:space="preserve">: </w:t>
      </w:r>
    </w:p>
    <w:p w14:paraId="3A175B4A" w14:textId="77777777" w:rsidR="008668B8" w:rsidRPr="00066040" w:rsidRDefault="008668B8" w:rsidP="008668B8">
      <w:pPr>
        <w:ind w:left="1440"/>
        <w:jc w:val="both"/>
        <w:rPr>
          <w:rFonts w:ascii="Cambria" w:eastAsia="Cambria" w:hAnsi="Cambria" w:cs="Cambria"/>
          <w:sz w:val="20"/>
          <w:szCs w:val="20"/>
        </w:rPr>
      </w:pPr>
    </w:p>
    <w:p w14:paraId="2D15E952" w14:textId="77777777" w:rsidR="008668B8" w:rsidRPr="00066040" w:rsidRDefault="008668B8" w:rsidP="00933F91">
      <w:pPr>
        <w:pStyle w:val="ListParagraph"/>
        <w:numPr>
          <w:ilvl w:val="2"/>
          <w:numId w:val="4"/>
        </w:numPr>
        <w:pBdr>
          <w:top w:val="nil"/>
          <w:left w:val="nil"/>
          <w:bottom w:val="nil"/>
          <w:right w:val="nil"/>
          <w:between w:val="nil"/>
          <w:bar w:val="nil"/>
        </w:pBdr>
        <w:ind w:left="1800"/>
        <w:jc w:val="both"/>
        <w:rPr>
          <w:rFonts w:ascii="Cambria" w:eastAsia="Cambria" w:hAnsi="Cambria" w:cs="Cambria"/>
          <w:sz w:val="20"/>
          <w:szCs w:val="20"/>
        </w:rPr>
      </w:pPr>
      <w:r>
        <w:rPr>
          <w:rFonts w:ascii="Cambria" w:eastAsia="Cambria" w:hAnsi="Cambria" w:cs="Cambria"/>
          <w:sz w:val="20"/>
          <w:szCs w:val="20"/>
        </w:rPr>
        <w:t>March 18,</w:t>
      </w:r>
      <w:r w:rsidRPr="00066040">
        <w:rPr>
          <w:rFonts w:ascii="Cambria" w:eastAsia="Cambria" w:hAnsi="Cambria" w:cs="Cambria"/>
          <w:sz w:val="20"/>
          <w:szCs w:val="20"/>
        </w:rPr>
        <w:t xml:space="preserve"> 2022, Cas</w:t>
      </w:r>
      <w:r>
        <w:rPr>
          <w:rFonts w:ascii="Cambria" w:eastAsia="Cambria" w:hAnsi="Cambria" w:cs="Cambria"/>
          <w:sz w:val="20"/>
          <w:szCs w:val="20"/>
        </w:rPr>
        <w:t>e of</w:t>
      </w:r>
      <w:r w:rsidRPr="00066040">
        <w:rPr>
          <w:rFonts w:ascii="Cambria" w:eastAsia="Cambria" w:hAnsi="Cambria" w:cs="Cambria"/>
          <w:sz w:val="20"/>
          <w:szCs w:val="20"/>
        </w:rPr>
        <w:t xml:space="preserve"> Vélez Loor </w:t>
      </w:r>
      <w:r>
        <w:rPr>
          <w:rFonts w:ascii="Cambria" w:eastAsia="Cambria" w:hAnsi="Cambria" w:cs="Cambria"/>
          <w:sz w:val="20"/>
          <w:szCs w:val="20"/>
        </w:rPr>
        <w:t>v</w:t>
      </w:r>
      <w:r w:rsidRPr="00066040">
        <w:rPr>
          <w:rFonts w:ascii="Cambria" w:eastAsia="Cambria" w:hAnsi="Cambria" w:cs="Cambria"/>
          <w:sz w:val="20"/>
          <w:szCs w:val="20"/>
        </w:rPr>
        <w:t>. Panam</w:t>
      </w:r>
      <w:r>
        <w:rPr>
          <w:rFonts w:ascii="Cambria" w:eastAsia="Cambria" w:hAnsi="Cambria" w:cs="Cambria"/>
          <w:sz w:val="20"/>
          <w:szCs w:val="20"/>
        </w:rPr>
        <w:t>a</w:t>
      </w:r>
      <w:r w:rsidRPr="00066040">
        <w:rPr>
          <w:rFonts w:ascii="Cambria" w:eastAsia="Cambria" w:hAnsi="Cambria" w:cs="Cambria"/>
          <w:sz w:val="20"/>
          <w:szCs w:val="20"/>
        </w:rPr>
        <w:t xml:space="preserve">. </w:t>
      </w:r>
      <w:r>
        <w:rPr>
          <w:rFonts w:ascii="Cambria" w:eastAsia="Cambria" w:hAnsi="Cambria" w:cs="Cambria"/>
          <w:sz w:val="20"/>
          <w:szCs w:val="20"/>
        </w:rPr>
        <w:t>Provisional Measures</w:t>
      </w:r>
      <w:r w:rsidRPr="00066040">
        <w:rPr>
          <w:rFonts w:ascii="Cambria" w:eastAsia="Cambria" w:hAnsi="Cambria" w:cs="Cambria"/>
          <w:sz w:val="20"/>
          <w:szCs w:val="20"/>
        </w:rPr>
        <w:t>;</w:t>
      </w:r>
    </w:p>
    <w:p w14:paraId="3CA4B48C" w14:textId="77777777" w:rsidR="008668B8" w:rsidRPr="00066040" w:rsidRDefault="008668B8" w:rsidP="00933F91">
      <w:pPr>
        <w:pStyle w:val="ListParagraph"/>
        <w:numPr>
          <w:ilvl w:val="2"/>
          <w:numId w:val="4"/>
        </w:numPr>
        <w:pBdr>
          <w:top w:val="nil"/>
          <w:left w:val="nil"/>
          <w:bottom w:val="nil"/>
          <w:right w:val="nil"/>
          <w:between w:val="nil"/>
          <w:bar w:val="nil"/>
        </w:pBdr>
        <w:ind w:left="1800"/>
        <w:jc w:val="both"/>
        <w:rPr>
          <w:rFonts w:ascii="Cambria" w:eastAsia="Cambria" w:hAnsi="Cambria" w:cs="Cambria"/>
          <w:sz w:val="20"/>
          <w:szCs w:val="20"/>
        </w:rPr>
      </w:pPr>
      <w:r>
        <w:rPr>
          <w:rFonts w:ascii="Cambria" w:eastAsia="Cambria" w:hAnsi="Cambria" w:cs="Cambria"/>
          <w:sz w:val="20"/>
          <w:szCs w:val="20"/>
        </w:rPr>
        <w:t xml:space="preserve">April 1, </w:t>
      </w:r>
      <w:r w:rsidRPr="00066040">
        <w:rPr>
          <w:rFonts w:ascii="Cambria" w:eastAsia="Cambria" w:hAnsi="Cambria" w:cs="Cambria"/>
          <w:sz w:val="20"/>
          <w:szCs w:val="20"/>
        </w:rPr>
        <w:t>2022, Cas</w:t>
      </w:r>
      <w:r>
        <w:rPr>
          <w:rFonts w:ascii="Cambria" w:eastAsia="Cambria" w:hAnsi="Cambria" w:cs="Cambria"/>
          <w:sz w:val="20"/>
          <w:szCs w:val="20"/>
        </w:rPr>
        <w:t>e of</w:t>
      </w:r>
      <w:r w:rsidRPr="00066040">
        <w:rPr>
          <w:rFonts w:ascii="Cambria" w:eastAsia="Cambria" w:hAnsi="Cambria" w:cs="Cambria"/>
          <w:sz w:val="20"/>
          <w:szCs w:val="20"/>
        </w:rPr>
        <w:t xml:space="preserve"> Barrios Altos</w:t>
      </w:r>
      <w:r>
        <w:rPr>
          <w:rFonts w:ascii="Cambria" w:eastAsia="Cambria" w:hAnsi="Cambria" w:cs="Cambria"/>
          <w:sz w:val="20"/>
          <w:szCs w:val="20"/>
        </w:rPr>
        <w:t xml:space="preserve"> and </w:t>
      </w:r>
      <w:r w:rsidRPr="00066040">
        <w:rPr>
          <w:rFonts w:ascii="Cambria" w:eastAsia="Cambria" w:hAnsi="Cambria" w:cs="Cambria"/>
          <w:sz w:val="20"/>
          <w:szCs w:val="20"/>
        </w:rPr>
        <w:t>Cas</w:t>
      </w:r>
      <w:r>
        <w:rPr>
          <w:rFonts w:ascii="Cambria" w:eastAsia="Cambria" w:hAnsi="Cambria" w:cs="Cambria"/>
          <w:sz w:val="20"/>
          <w:szCs w:val="20"/>
        </w:rPr>
        <w:t xml:space="preserve">e of </w:t>
      </w:r>
      <w:r w:rsidRPr="00066040">
        <w:rPr>
          <w:rFonts w:ascii="Cambria" w:eastAsia="Cambria" w:hAnsi="Cambria" w:cs="Cambria"/>
          <w:sz w:val="20"/>
          <w:szCs w:val="20"/>
        </w:rPr>
        <w:t xml:space="preserve">La Cantuta </w:t>
      </w:r>
      <w:r>
        <w:rPr>
          <w:rFonts w:ascii="Cambria" w:eastAsia="Cambria" w:hAnsi="Cambria" w:cs="Cambria"/>
          <w:sz w:val="20"/>
          <w:szCs w:val="20"/>
        </w:rPr>
        <w:t>v</w:t>
      </w:r>
      <w:r w:rsidRPr="00066040">
        <w:rPr>
          <w:rFonts w:ascii="Cambria" w:eastAsia="Cambria" w:hAnsi="Cambria" w:cs="Cambria"/>
          <w:sz w:val="20"/>
          <w:szCs w:val="20"/>
        </w:rPr>
        <w:t xml:space="preserve">. </w:t>
      </w:r>
      <w:r>
        <w:rPr>
          <w:rFonts w:ascii="Cambria" w:eastAsia="Cambria" w:hAnsi="Cambria" w:cs="Cambria"/>
          <w:sz w:val="20"/>
          <w:szCs w:val="20"/>
        </w:rPr>
        <w:t>Peru</w:t>
      </w:r>
      <w:r w:rsidRPr="00066040">
        <w:rPr>
          <w:rFonts w:ascii="Cambria" w:eastAsia="Cambria" w:hAnsi="Cambria" w:cs="Cambria"/>
          <w:sz w:val="20"/>
          <w:szCs w:val="20"/>
        </w:rPr>
        <w:t xml:space="preserve">. </w:t>
      </w:r>
      <w:r>
        <w:rPr>
          <w:rFonts w:ascii="Cambria" w:eastAsia="Cambria" w:hAnsi="Cambria" w:cs="Cambria"/>
          <w:sz w:val="20"/>
          <w:szCs w:val="20"/>
        </w:rPr>
        <w:t>Request for Provisional Measures</w:t>
      </w:r>
      <w:r w:rsidRPr="00066040">
        <w:rPr>
          <w:rFonts w:ascii="Cambria" w:eastAsia="Cambria" w:hAnsi="Cambria" w:cs="Cambria"/>
          <w:sz w:val="20"/>
          <w:szCs w:val="20"/>
        </w:rPr>
        <w:t>;</w:t>
      </w:r>
    </w:p>
    <w:p w14:paraId="15AF3CD3" w14:textId="77777777" w:rsidR="008668B8" w:rsidRPr="00066040" w:rsidRDefault="008668B8" w:rsidP="00933F91">
      <w:pPr>
        <w:pStyle w:val="ListParagraph"/>
        <w:numPr>
          <w:ilvl w:val="2"/>
          <w:numId w:val="4"/>
        </w:numPr>
        <w:pBdr>
          <w:top w:val="nil"/>
          <w:left w:val="nil"/>
          <w:bottom w:val="nil"/>
          <w:right w:val="nil"/>
          <w:between w:val="nil"/>
          <w:bar w:val="nil"/>
        </w:pBdr>
        <w:ind w:left="1800"/>
        <w:jc w:val="both"/>
        <w:rPr>
          <w:rFonts w:ascii="Cambria" w:eastAsia="Cambria" w:hAnsi="Cambria" w:cs="Cambria"/>
          <w:sz w:val="20"/>
          <w:szCs w:val="20"/>
        </w:rPr>
      </w:pPr>
      <w:r w:rsidRPr="31502C94">
        <w:rPr>
          <w:rFonts w:ascii="Cambria" w:eastAsia="Cambria" w:hAnsi="Cambria" w:cs="Cambria"/>
          <w:sz w:val="20"/>
          <w:szCs w:val="20"/>
        </w:rPr>
        <w:t>May 24, 2022, Case of Valenzuela Ávila and Case of Ruiz Fuentes et al. v. Guatemala. Provisional Measures and Supervision of Enforcement of Judgment;</w:t>
      </w:r>
    </w:p>
    <w:p w14:paraId="7EBD1595" w14:textId="77777777" w:rsidR="008668B8" w:rsidRPr="00066040" w:rsidRDefault="008668B8" w:rsidP="00933F91">
      <w:pPr>
        <w:pStyle w:val="ListParagraph"/>
        <w:numPr>
          <w:ilvl w:val="2"/>
          <w:numId w:val="4"/>
        </w:numPr>
        <w:pBdr>
          <w:top w:val="nil"/>
          <w:left w:val="nil"/>
          <w:bottom w:val="nil"/>
          <w:right w:val="nil"/>
          <w:between w:val="nil"/>
          <w:bar w:val="nil"/>
        </w:pBdr>
        <w:ind w:left="1800"/>
        <w:jc w:val="both"/>
        <w:rPr>
          <w:rFonts w:ascii="Cambria" w:eastAsia="Cambria" w:hAnsi="Cambria" w:cs="Cambria"/>
          <w:sz w:val="20"/>
          <w:szCs w:val="20"/>
        </w:rPr>
      </w:pPr>
      <w:r w:rsidRPr="31502C94">
        <w:rPr>
          <w:rFonts w:ascii="Cambria" w:eastAsia="Cambria" w:hAnsi="Cambria" w:cs="Cambria"/>
          <w:sz w:val="20"/>
          <w:szCs w:val="20"/>
        </w:rPr>
        <w:t>September 6, 2022, Cases of Bámaca Velásquez, Maritza Urrutia, Plan de Sánchez Massacre, Chitay Nech et al., Río Negro Massacres, and Gudiel Álvarez et al. (“Diario Militar”) v. Guatemala. Request for Provisional Measures;</w:t>
      </w:r>
    </w:p>
    <w:p w14:paraId="36F1F867" w14:textId="77777777" w:rsidR="008668B8" w:rsidRPr="00066040" w:rsidRDefault="008668B8" w:rsidP="00933F91">
      <w:pPr>
        <w:pStyle w:val="ListParagraph"/>
        <w:numPr>
          <w:ilvl w:val="2"/>
          <w:numId w:val="4"/>
        </w:numPr>
        <w:pBdr>
          <w:top w:val="nil"/>
          <w:left w:val="nil"/>
          <w:bottom w:val="nil"/>
          <w:right w:val="nil"/>
          <w:between w:val="nil"/>
          <w:bar w:val="nil"/>
        </w:pBdr>
        <w:ind w:left="1800"/>
        <w:jc w:val="both"/>
        <w:rPr>
          <w:rFonts w:ascii="Cambria" w:eastAsia="Cambria" w:hAnsi="Cambria" w:cs="Cambria"/>
          <w:sz w:val="20"/>
          <w:szCs w:val="20"/>
        </w:rPr>
      </w:pPr>
      <w:r>
        <w:rPr>
          <w:rFonts w:ascii="Cambria" w:eastAsia="Cambria" w:hAnsi="Cambria" w:cs="Cambria"/>
          <w:sz w:val="20"/>
          <w:szCs w:val="20"/>
        </w:rPr>
        <w:t xml:space="preserve">November 9, </w:t>
      </w:r>
      <w:r w:rsidRPr="00066040">
        <w:rPr>
          <w:rFonts w:ascii="Cambria" w:eastAsia="Cambria" w:hAnsi="Cambria" w:cs="Cambria"/>
          <w:sz w:val="20"/>
          <w:szCs w:val="20"/>
        </w:rPr>
        <w:t xml:space="preserve">2022. </w:t>
      </w:r>
      <w:r>
        <w:rPr>
          <w:rFonts w:ascii="Cambria" w:eastAsia="Cambria" w:hAnsi="Cambria" w:cs="Cambria"/>
          <w:sz w:val="20"/>
          <w:szCs w:val="20"/>
        </w:rPr>
        <w:t>Together, matter of</w:t>
      </w:r>
      <w:r w:rsidRPr="00066040">
        <w:rPr>
          <w:rFonts w:ascii="Cambria" w:eastAsia="Cambria" w:hAnsi="Cambria" w:cs="Cambria"/>
          <w:sz w:val="20"/>
          <w:szCs w:val="20"/>
        </w:rPr>
        <w:t xml:space="preserve"> Juan Sebastián Chamorro</w:t>
      </w:r>
      <w:r>
        <w:rPr>
          <w:rFonts w:ascii="Cambria" w:eastAsia="Cambria" w:hAnsi="Cambria" w:cs="Cambria"/>
          <w:sz w:val="20"/>
          <w:szCs w:val="20"/>
        </w:rPr>
        <w:t xml:space="preserve"> et al with respect to </w:t>
      </w:r>
      <w:r w:rsidRPr="00066040">
        <w:rPr>
          <w:rFonts w:ascii="Cambria" w:eastAsia="Cambria" w:hAnsi="Cambria" w:cs="Cambria"/>
          <w:sz w:val="20"/>
          <w:szCs w:val="20"/>
        </w:rPr>
        <w:t>Nicaragua;</w:t>
      </w:r>
      <w:r>
        <w:rPr>
          <w:rFonts w:ascii="Cambria" w:eastAsia="Cambria" w:hAnsi="Cambria" w:cs="Cambria"/>
          <w:sz w:val="20"/>
          <w:szCs w:val="20"/>
        </w:rPr>
        <w:t xml:space="preserve"> and matter of</w:t>
      </w:r>
      <w:r w:rsidRPr="00066040">
        <w:rPr>
          <w:rFonts w:ascii="Cambria" w:eastAsia="Cambria" w:hAnsi="Cambria" w:cs="Cambria"/>
          <w:sz w:val="20"/>
          <w:szCs w:val="20"/>
        </w:rPr>
        <w:t xml:space="preserve"> 45 person</w:t>
      </w:r>
      <w:r>
        <w:rPr>
          <w:rFonts w:ascii="Cambria" w:eastAsia="Cambria" w:hAnsi="Cambria" w:cs="Cambria"/>
          <w:sz w:val="20"/>
          <w:szCs w:val="20"/>
        </w:rPr>
        <w:t xml:space="preserve">s deprived of liberty in eight detention centers with respect to </w:t>
      </w:r>
      <w:r w:rsidRPr="00066040">
        <w:rPr>
          <w:rFonts w:ascii="Cambria" w:eastAsia="Cambria" w:hAnsi="Cambria" w:cs="Cambria"/>
          <w:sz w:val="20"/>
          <w:szCs w:val="20"/>
        </w:rPr>
        <w:t xml:space="preserve">Nicaragua. </w:t>
      </w:r>
      <w:r>
        <w:rPr>
          <w:rFonts w:ascii="Cambria" w:eastAsia="Cambria" w:hAnsi="Cambria" w:cs="Cambria"/>
          <w:sz w:val="20"/>
          <w:szCs w:val="20"/>
        </w:rPr>
        <w:t>Provisional Measures</w:t>
      </w:r>
      <w:r w:rsidRPr="00066040">
        <w:rPr>
          <w:rFonts w:ascii="Cambria" w:eastAsia="Cambria" w:hAnsi="Cambria" w:cs="Cambria"/>
          <w:sz w:val="20"/>
          <w:szCs w:val="20"/>
        </w:rPr>
        <w:t>.</w:t>
      </w:r>
    </w:p>
    <w:p w14:paraId="7BD36A3F" w14:textId="77777777" w:rsidR="008668B8" w:rsidRPr="00066040" w:rsidRDefault="008668B8" w:rsidP="008668B8">
      <w:pPr>
        <w:pBdr>
          <w:top w:val="nil"/>
          <w:left w:val="nil"/>
          <w:bottom w:val="nil"/>
          <w:right w:val="nil"/>
          <w:between w:val="nil"/>
          <w:bar w:val="nil"/>
        </w:pBdr>
        <w:ind w:left="1440"/>
        <w:jc w:val="both"/>
        <w:rPr>
          <w:rFonts w:ascii="Cambria" w:eastAsia="Cambria" w:hAnsi="Cambria" w:cs="Cambria"/>
          <w:sz w:val="20"/>
          <w:szCs w:val="20"/>
        </w:rPr>
      </w:pPr>
    </w:p>
    <w:p w14:paraId="789FE320" w14:textId="77777777" w:rsidR="008668B8" w:rsidRPr="00066040" w:rsidRDefault="008668B8" w:rsidP="00933F91">
      <w:pPr>
        <w:pStyle w:val="BodyText"/>
        <w:widowControl/>
        <w:numPr>
          <w:ilvl w:val="0"/>
          <w:numId w:val="58"/>
        </w:numPr>
        <w:ind w:left="0" w:firstLine="720"/>
        <w:jc w:val="both"/>
        <w:rPr>
          <w:rFonts w:cs="Cambria"/>
          <w:color w:val="000000"/>
          <w:bdr w:val="nil"/>
          <w14:textOutline w14:w="0" w14:cap="flat" w14:cmpd="sng" w14:algn="ctr">
            <w14:noFill/>
            <w14:prstDash w14:val="solid"/>
            <w14:bevel/>
          </w14:textOutline>
        </w:rPr>
      </w:pPr>
      <w:r>
        <w:rPr>
          <w:rFonts w:cs="Cambria"/>
          <w:color w:val="000000"/>
          <w:bdr w:val="nil"/>
          <w14:textOutline w14:w="0" w14:cap="flat" w14:cmpd="sng" w14:algn="ctr">
            <w14:noFill/>
            <w14:prstDash w14:val="solid"/>
            <w14:bevel/>
          </w14:textOutline>
        </w:rPr>
        <w:t>In addition, on March 17 and 18</w:t>
      </w:r>
      <w:r w:rsidRPr="00066040">
        <w:rPr>
          <w:rFonts w:cs="Cambria"/>
          <w:color w:val="000000"/>
          <w:bdr w:val="nil"/>
          <w14:textOutline w14:w="0" w14:cap="flat" w14:cmpd="sng" w14:algn="ctr">
            <w14:noFill/>
            <w14:prstDash w14:val="solid"/>
            <w14:bevel/>
          </w14:textOutline>
        </w:rPr>
        <w:t xml:space="preserve">, 2022 </w:t>
      </w:r>
      <w:r>
        <w:rPr>
          <w:rFonts w:cs="Cambria"/>
          <w:color w:val="000000"/>
          <w:bdr w:val="nil"/>
          <w14:textOutline w14:w="0" w14:cap="flat" w14:cmpd="sng" w14:algn="ctr">
            <w14:noFill/>
            <w14:prstDash w14:val="solid"/>
            <w14:bevel/>
          </w14:textOutline>
        </w:rPr>
        <w:t xml:space="preserve">the Inter-American Commission joined the working visit conducted that the Inter-American Court made to the province of </w:t>
      </w:r>
      <w:r w:rsidRPr="00066040">
        <w:rPr>
          <w:rFonts w:cs="Cambria"/>
          <w:color w:val="000000"/>
          <w:bdr w:val="nil"/>
          <w14:textOutline w14:w="0" w14:cap="flat" w14:cmpd="sng" w14:algn="ctr">
            <w14:noFill/>
            <w14:prstDash w14:val="solid"/>
            <w14:bevel/>
          </w14:textOutline>
        </w:rPr>
        <w:t>Darién</w:t>
      </w:r>
      <w:r>
        <w:rPr>
          <w:rFonts w:cs="Cambria"/>
          <w:color w:val="000000"/>
          <w:bdr w:val="nil"/>
          <w14:textOutline w14:w="0" w14:cap="flat" w14:cmpd="sng" w14:algn="ctr">
            <w14:noFill/>
            <w14:prstDash w14:val="solid"/>
            <w14:bevel/>
          </w14:textOutline>
        </w:rPr>
        <w:t xml:space="preserve"> in Panama, in the context of the provisional measures ordered by the Court in the Case of </w:t>
      </w:r>
      <w:r w:rsidRPr="00066040">
        <w:rPr>
          <w:rFonts w:cs="Cambria"/>
          <w:color w:val="000000"/>
          <w:bdr w:val="nil"/>
          <w14:textOutline w14:w="0" w14:cap="flat" w14:cmpd="sng" w14:algn="ctr">
            <w14:noFill/>
            <w14:prstDash w14:val="solid"/>
            <w14:bevel/>
          </w14:textOutline>
        </w:rPr>
        <w:t xml:space="preserve">Vélez Loor. </w:t>
      </w:r>
      <w:r>
        <w:rPr>
          <w:rFonts w:cs="Cambria"/>
          <w:color w:val="000000"/>
          <w:bdr w:val="nil"/>
          <w14:textOutline w14:w="0" w14:cap="flat" w14:cmpd="sng" w14:algn="ctr">
            <w14:noFill/>
            <w14:prstDash w14:val="solid"/>
            <w14:bevel/>
          </w14:textOutline>
        </w:rPr>
        <w:t xml:space="preserve">On March 17, a visit was conducted to the host community of </w:t>
      </w:r>
      <w:r w:rsidRPr="00066040">
        <w:rPr>
          <w:rFonts w:cs="Cambria"/>
          <w:color w:val="000000"/>
          <w:bdr w:val="nil"/>
          <w14:textOutline w14:w="0" w14:cap="flat" w14:cmpd="sng" w14:algn="ctr">
            <w14:noFill/>
            <w14:prstDash w14:val="solid"/>
            <w14:bevel/>
          </w14:textOutline>
        </w:rPr>
        <w:t xml:space="preserve">Bajo Chiquito, </w:t>
      </w:r>
      <w:r>
        <w:rPr>
          <w:rFonts w:cs="Cambria"/>
          <w:color w:val="000000"/>
          <w:bdr w:val="nil"/>
          <w14:textOutline w14:w="0" w14:cap="flat" w14:cmpd="sng" w14:algn="ctr">
            <w14:noFill/>
            <w14:prstDash w14:val="solid"/>
            <w14:bevel/>
          </w14:textOutline>
        </w:rPr>
        <w:t>as the first community to receive migrants</w:t>
      </w:r>
      <w:r w:rsidRPr="00066040">
        <w:rPr>
          <w:rFonts w:cs="Cambria"/>
          <w:color w:val="000000"/>
          <w:bdr w:val="nil"/>
          <w14:textOutline w14:w="0" w14:cap="flat" w14:cmpd="sng" w14:algn="ctr">
            <w14:noFill/>
            <w14:prstDash w14:val="solid"/>
            <w14:bevel/>
          </w14:textOutline>
        </w:rPr>
        <w:t xml:space="preserve">.  </w:t>
      </w:r>
      <w:r>
        <w:rPr>
          <w:rFonts w:cs="Cambria"/>
          <w:color w:val="000000"/>
          <w:bdr w:val="nil"/>
          <w14:textOutline w14:w="0" w14:cap="flat" w14:cmpd="sng" w14:algn="ctr">
            <w14:noFill/>
            <w14:prstDash w14:val="solid"/>
            <w14:bevel/>
          </w14:textOutline>
        </w:rPr>
        <w:t xml:space="preserve">Later, a visit was made to the Lajas Blancas Migrant Reception Station, a special station providing </w:t>
      </w:r>
      <w:r w:rsidRPr="00066040">
        <w:rPr>
          <w:rFonts w:cs="Cambria"/>
          <w:color w:val="000000"/>
          <w:bdr w:val="nil"/>
          <w14:textOutline w14:w="0" w14:cap="flat" w14:cmpd="sng" w14:algn="ctr">
            <w14:noFill/>
            <w14:prstDash w14:val="solid"/>
            <w14:bevel/>
          </w14:textOutline>
        </w:rPr>
        <w:t xml:space="preserve">COVID-19 </w:t>
      </w:r>
      <w:r>
        <w:rPr>
          <w:rFonts w:cs="Cambria"/>
          <w:color w:val="000000"/>
          <w:bdr w:val="nil"/>
          <w14:textOutline w14:w="0" w14:cap="flat" w14:cmpd="sng" w14:algn="ctr">
            <w14:noFill/>
            <w14:prstDash w14:val="solid"/>
            <w14:bevel/>
          </w14:textOutline>
        </w:rPr>
        <w:t>care to migrants in transit that the State set up in the context of the pandemic</w:t>
      </w:r>
      <w:r w:rsidRPr="00066040">
        <w:rPr>
          <w:rFonts w:cs="Cambria"/>
          <w:color w:val="000000"/>
          <w:bdr w:val="nil"/>
          <w14:textOutline w14:w="0" w14:cap="flat" w14:cmpd="sng" w14:algn="ctr">
            <w14:noFill/>
            <w14:prstDash w14:val="solid"/>
            <w14:bevel/>
          </w14:textOutline>
        </w:rPr>
        <w:t xml:space="preserve">. </w:t>
      </w:r>
      <w:r>
        <w:rPr>
          <w:rFonts w:cs="Cambria"/>
          <w:color w:val="000000"/>
          <w:bdr w:val="nil"/>
          <w14:textOutline w14:w="0" w14:cap="flat" w14:cmpd="sng" w14:algn="ctr">
            <w14:noFill/>
            <w14:prstDash w14:val="solid"/>
            <w14:bevel/>
          </w14:textOutline>
        </w:rPr>
        <w:t>In addition, the San Vicente Migrant Reception Station, the final transit point in the Darien Forest, was visited.</w:t>
      </w:r>
      <w:r w:rsidRPr="00066040">
        <w:rPr>
          <w:rFonts w:cs="Cambria"/>
          <w:color w:val="000000"/>
          <w:bdr w:val="nil"/>
          <w14:textOutline w14:w="0" w14:cap="flat" w14:cmpd="sng" w14:algn="ctr">
            <w14:noFill/>
            <w14:prstDash w14:val="solid"/>
            <w14:bevel/>
          </w14:textOutline>
        </w:rPr>
        <w:t xml:space="preserve"> </w:t>
      </w:r>
      <w:r>
        <w:rPr>
          <w:rFonts w:cs="Cambria"/>
          <w:color w:val="000000"/>
          <w:bdr w:val="nil"/>
          <w14:textOutline w14:w="0" w14:cap="flat" w14:cmpd="sng" w14:algn="ctr">
            <w14:noFill/>
            <w14:prstDash w14:val="solid"/>
            <w14:bevel/>
          </w14:textOutline>
        </w:rPr>
        <w:t>Those procedures and parallel meetings provided the opportunity to discuss with enforcement officials the State of Panama’s migration policies and to learn about the implementation of measures ordered by the Court, specifically those relating to the National Border Service</w:t>
      </w:r>
      <w:r w:rsidRPr="00066040">
        <w:rPr>
          <w:rFonts w:cs="Cambria"/>
          <w:color w:val="000000"/>
          <w:bdr w:val="nil"/>
          <w14:textOutline w14:w="0" w14:cap="flat" w14:cmpd="sng" w14:algn="ctr">
            <w14:noFill/>
            <w14:prstDash w14:val="solid"/>
            <w14:bevel/>
          </w14:textOutline>
        </w:rPr>
        <w:t xml:space="preserve">. </w:t>
      </w:r>
      <w:r>
        <w:rPr>
          <w:rFonts w:cs="Cambria"/>
          <w:color w:val="000000"/>
          <w:bdr w:val="nil"/>
          <w14:textOutline w14:w="0" w14:cap="flat" w14:cmpd="sng" w14:algn="ctr">
            <w14:noFill/>
            <w14:prstDash w14:val="solid"/>
            <w14:bevel/>
          </w14:textOutline>
        </w:rPr>
        <w:t>The following day, the Commission participated in the private hearing on supervision of provisional measures in Panama City, Panama</w:t>
      </w:r>
      <w:r w:rsidRPr="00066040">
        <w:rPr>
          <w:rFonts w:cs="Cambria"/>
          <w:color w:val="000000"/>
          <w:bdr w:val="nil"/>
          <w14:textOutline w14:w="0" w14:cap="flat" w14:cmpd="sng" w14:algn="ctr">
            <w14:noFill/>
            <w14:prstDash w14:val="solid"/>
            <w14:bevel/>
          </w14:textOutline>
        </w:rPr>
        <w:t xml:space="preserve">. </w:t>
      </w:r>
    </w:p>
    <w:p w14:paraId="28D946BA" w14:textId="77777777" w:rsidR="008668B8" w:rsidRPr="00CD1A50" w:rsidRDefault="008668B8" w:rsidP="00933F91">
      <w:pPr>
        <w:pStyle w:val="Heading1"/>
        <w:numPr>
          <w:ilvl w:val="0"/>
          <w:numId w:val="41"/>
        </w:numPr>
        <w:ind w:left="1440" w:hanging="720"/>
        <w:rPr>
          <w:rFonts w:ascii="Cambria" w:eastAsia="Cambria" w:hAnsi="Cambria" w:cs="Cambria"/>
          <w:b/>
          <w:color w:val="000000"/>
          <w:sz w:val="22"/>
          <w:szCs w:val="22"/>
          <w:u w:color="000000"/>
          <w:bdr w:val="nil"/>
          <w14:textOutline w14:w="0" w14:cap="flat" w14:cmpd="sng" w14:algn="ctr">
            <w14:noFill/>
            <w14:prstDash w14:val="solid"/>
            <w14:bevel/>
          </w14:textOutline>
        </w:rPr>
      </w:pPr>
      <w:bookmarkStart w:id="58" w:name="_Toc119668007"/>
      <w:r w:rsidRPr="00CD1A50">
        <w:rPr>
          <w:rFonts w:ascii="Cambria" w:hAnsi="Cambria"/>
          <w:b/>
          <w:bCs/>
          <w:color w:val="auto"/>
          <w:sz w:val="22"/>
          <w:szCs w:val="22"/>
          <w:u w:color="000000"/>
          <w:bdr w:val="nil"/>
        </w:rPr>
        <w:t>Dissemination and transparency</w:t>
      </w:r>
      <w:bookmarkEnd w:id="58"/>
    </w:p>
    <w:p w14:paraId="327B0A0A" w14:textId="77777777" w:rsidR="008668B8" w:rsidRPr="00066040" w:rsidRDefault="008668B8" w:rsidP="008668B8">
      <w:pPr>
        <w:rPr>
          <w:sz w:val="20"/>
          <w:szCs w:val="20"/>
        </w:rPr>
      </w:pPr>
    </w:p>
    <w:p w14:paraId="353CEB83" w14:textId="77777777" w:rsidR="008668B8" w:rsidRPr="00066040" w:rsidRDefault="008668B8" w:rsidP="00933F91">
      <w:pPr>
        <w:pStyle w:val="BodyText"/>
        <w:widowControl/>
        <w:numPr>
          <w:ilvl w:val="0"/>
          <w:numId w:val="58"/>
        </w:numPr>
        <w:ind w:left="0" w:firstLine="720"/>
        <w:jc w:val="both"/>
        <w:rPr>
          <w:rFonts w:eastAsia="Calibri" w:cs="Calibri"/>
          <w:color w:val="000000"/>
          <w:bdr w:val="nil"/>
          <w14:textOutline w14:w="0" w14:cap="flat" w14:cmpd="sng" w14:algn="ctr">
            <w14:noFill/>
            <w14:prstDash w14:val="solid"/>
            <w14:bevel/>
          </w14:textOutline>
        </w:rPr>
      </w:pPr>
      <w:r>
        <w:rPr>
          <w:rFonts w:eastAsia="Calibri" w:cs="Calibri"/>
          <w:color w:val="000000"/>
          <w:bdr w:val="nil"/>
          <w14:textOutline w14:w="0" w14:cap="flat" w14:cmpd="sng" w14:algn="ctr">
            <w14:noFill/>
            <w14:prstDash w14:val="solid"/>
            <w14:bevel/>
          </w14:textOutline>
        </w:rPr>
        <w:t>I</w:t>
      </w:r>
      <w:r w:rsidRPr="00066040">
        <w:rPr>
          <w:rFonts w:eastAsia="Calibri" w:cs="Calibri"/>
          <w:color w:val="000000"/>
          <w:bdr w:val="nil"/>
          <w14:textOutline w14:w="0" w14:cap="flat" w14:cmpd="sng" w14:algn="ctr">
            <w14:noFill/>
            <w14:prstDash w14:val="solid"/>
            <w14:bevel/>
          </w14:textOutline>
        </w:rPr>
        <w:t xml:space="preserve">n 2022, </w:t>
      </w:r>
      <w:r>
        <w:rPr>
          <w:rFonts w:eastAsia="Calibri" w:cs="Calibri"/>
          <w:color w:val="000000"/>
          <w:bdr w:val="nil"/>
          <w14:textOutline w14:w="0" w14:cap="flat" w14:cmpd="sng" w14:algn="ctr">
            <w14:noFill/>
            <w14:prstDash w14:val="solid"/>
            <w14:bevel/>
          </w14:textOutline>
        </w:rPr>
        <w:t>the IACHR</w:t>
      </w:r>
      <w:r w:rsidRPr="00066040">
        <w:rPr>
          <w:rFonts w:eastAsia="Calibri" w:cs="Calibri"/>
          <w:color w:val="000000"/>
          <w:bdr w:val="nil"/>
          <w14:textOutline w14:w="0" w14:cap="flat" w14:cmpd="sng" w14:algn="ctr">
            <w14:noFill/>
            <w14:prstDash w14:val="solid"/>
            <w14:bevel/>
          </w14:textOutline>
        </w:rPr>
        <w:t xml:space="preserve"> h</w:t>
      </w:r>
      <w:r>
        <w:rPr>
          <w:rFonts w:eastAsia="Calibri" w:cs="Calibri"/>
          <w:color w:val="000000"/>
          <w:bdr w:val="nil"/>
          <w14:textOutline w14:w="0" w14:cap="flat" w14:cmpd="sng" w14:algn="ctr">
            <w14:noFill/>
            <w14:prstDash w14:val="solid"/>
            <w14:bevel/>
          </w14:textOutline>
        </w:rPr>
        <w:t xml:space="preserve">as continued its efforts to disseminate information regarding the precautionary measures mechanism and transparency regarding its operations with </w:t>
      </w:r>
      <w:r w:rsidRPr="00066040">
        <w:rPr>
          <w:rFonts w:eastAsia="Calibri" w:cs="Calibri"/>
          <w:color w:val="000000"/>
          <w:bdr w:val="nil"/>
          <w14:textOutline w14:w="0" w14:cap="flat" w14:cmpd="sng" w14:algn="ctr">
            <w14:noFill/>
            <w14:prstDash w14:val="solid"/>
            <w14:bevel/>
          </w14:textOutline>
        </w:rPr>
        <w:t>a</w:t>
      </w:r>
      <w:r>
        <w:rPr>
          <w:rFonts w:eastAsia="Calibri" w:cs="Calibri"/>
          <w:color w:val="000000"/>
          <w:bdr w:val="nil"/>
          <w14:textOutline w14:w="0" w14:cap="flat" w14:cmpd="sng" w14:algn="ctr">
            <w14:noFill/>
            <w14:prstDash w14:val="solid"/>
            <w14:bevel/>
          </w14:textOutline>
        </w:rPr>
        <w:t xml:space="preserve"> view to expanding the knowledge of those who use the inter-American system and providing greater legal certainty. Thus, the Commission conducted a campaign to disseminate the</w:t>
      </w:r>
      <w:r w:rsidRPr="00066040">
        <w:rPr>
          <w:rFonts w:eastAsia="Calibri" w:cs="Calibri"/>
          <w:color w:val="000000"/>
          <w:bdr w:val="nil"/>
          <w14:textOutline w14:w="0" w14:cap="flat" w14:cmpd="sng" w14:algn="ctr">
            <w14:noFill/>
            <w14:prstDash w14:val="solid"/>
            <w14:bevel/>
          </w14:textOutline>
        </w:rPr>
        <w:t xml:space="preserve"> </w:t>
      </w:r>
      <w:hyperlink r:id="rId242">
        <w:r w:rsidRPr="31502C94">
          <w:rPr>
            <w:rStyle w:val="Hyperlink"/>
            <w:rFonts w:eastAsia="Calibri" w:cs="Calibri"/>
          </w:rPr>
          <w:t>Informational Booklet on Precautionary Measures</w:t>
        </w:r>
      </w:hyperlink>
      <w:r w:rsidRPr="31502C94">
        <w:rPr>
          <w:rFonts w:eastAsia="Calibri" w:cs="Calibri"/>
          <w:color w:val="000000" w:themeColor="text1"/>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on its social media platforms. It also kept updated the section of</w:t>
      </w:r>
      <w:r w:rsidRPr="00066040">
        <w:rPr>
          <w:rFonts w:eastAsia="Calibri" w:cs="Calibri"/>
          <w:color w:val="000000"/>
          <w:bdr w:val="nil"/>
          <w14:textOutline w14:w="0" w14:cap="flat" w14:cmpd="sng" w14:algn="ctr">
            <w14:noFill/>
            <w14:prstDash w14:val="solid"/>
            <w14:bevel/>
          </w14:textOutline>
        </w:rPr>
        <w:t xml:space="preserve"> </w:t>
      </w:r>
      <w:hyperlink r:id="rId243">
        <w:r w:rsidRPr="31502C94">
          <w:rPr>
            <w:rStyle w:val="Hyperlink"/>
            <w:rFonts w:eastAsia="Calibri" w:cs="Calibri"/>
            <w:color w:val="0563C1"/>
          </w:rPr>
          <w:t>its website for precautionary measures</w:t>
        </w:r>
      </w:hyperlink>
      <w:r w:rsidRPr="00066040">
        <w:rPr>
          <w:rFonts w:eastAsia="Calibri" w:cs="Calibri"/>
          <w:color w:val="000000"/>
          <w:bdr w:val="nil"/>
          <w14:textOutline w14:w="0" w14:cap="flat" w14:cmpd="sng" w14:algn="ctr">
            <w14:noFill/>
            <w14:prstDash w14:val="solid"/>
            <w14:bevel/>
          </w14:textOutline>
        </w:rPr>
        <w:t>, publi</w:t>
      </w:r>
      <w:r>
        <w:rPr>
          <w:rFonts w:eastAsia="Calibri" w:cs="Calibri"/>
          <w:color w:val="000000"/>
          <w:bdr w:val="nil"/>
          <w14:textOutline w14:w="0" w14:cap="flat" w14:cmpd="sng" w14:algn="ctr">
            <w14:noFill/>
            <w14:prstDash w14:val="solid"/>
            <w14:bevel/>
          </w14:textOutline>
        </w:rPr>
        <w:t>shing the resolutions adopted and the translations available, in addition to updating its</w:t>
      </w:r>
      <w:r w:rsidRPr="00066040">
        <w:rPr>
          <w:rFonts w:eastAsia="Calibri" w:cs="Calibri"/>
          <w:color w:val="000000"/>
          <w:bdr w:val="nil"/>
          <w14:textOutline w14:w="0" w14:cap="flat" w14:cmpd="sng" w14:algn="ctr">
            <w14:noFill/>
            <w14:prstDash w14:val="solid"/>
            <w14:bevel/>
          </w14:textOutline>
        </w:rPr>
        <w:t xml:space="preserve"> </w:t>
      </w:r>
      <w:hyperlink r:id="rId244" w:history="1">
        <w:r w:rsidRPr="00066040">
          <w:rPr>
            <w:rFonts w:eastAsia="Calibri" w:cs="Calibri"/>
            <w:color w:val="0563C1"/>
            <w:u w:val="single" w:color="0563C1"/>
            <w:bdr w:val="nil"/>
            <w14:textOutline w14:w="0" w14:cap="flat" w14:cmpd="sng" w14:algn="ctr">
              <w14:noFill/>
              <w14:prstDash w14:val="solid"/>
              <w14:bevel/>
            </w14:textOutline>
          </w:rPr>
          <w:t>interactiv</w:t>
        </w:r>
        <w:r>
          <w:rPr>
            <w:rFonts w:eastAsia="Calibri" w:cs="Calibri"/>
            <w:color w:val="0563C1"/>
            <w:u w:val="single" w:color="0563C1"/>
            <w:bdr w:val="nil"/>
            <w14:textOutline w14:w="0" w14:cap="flat" w14:cmpd="sng" w14:algn="ctr">
              <w14:noFill/>
              <w14:prstDash w14:val="solid"/>
              <w14:bevel/>
            </w14:textOutline>
          </w:rPr>
          <w:t>e map of precautionary measures granted</w:t>
        </w:r>
      </w:hyperlink>
      <w:r w:rsidRPr="00066040">
        <w:rPr>
          <w:rFonts w:eastAsia="Calibri" w:cs="Calibri"/>
          <w:color w:val="000000"/>
          <w:bdr w:val="nil"/>
          <w14:textOutline w14:w="0" w14:cap="flat" w14:cmpd="sng" w14:algn="ctr">
            <w14:noFill/>
            <w14:prstDash w14:val="solid"/>
            <w14:bevel/>
          </w14:textOutline>
        </w:rPr>
        <w:t xml:space="preserve"> [in Spanish]. </w:t>
      </w:r>
      <w:r>
        <w:rPr>
          <w:rFonts w:eastAsia="Calibri" w:cs="Calibri"/>
          <w:color w:val="000000"/>
          <w:bdr w:val="nil"/>
          <w14:textOutline w14:w="0" w14:cap="flat" w14:cmpd="sng" w14:algn="ctr">
            <w14:noFill/>
            <w14:prstDash w14:val="solid"/>
            <w14:bevel/>
          </w14:textOutline>
        </w:rPr>
        <w:t>The IACHR also published a</w:t>
      </w:r>
      <w:r w:rsidRPr="00066040">
        <w:rPr>
          <w:rFonts w:eastAsia="Calibri" w:cs="Calibri"/>
          <w:color w:val="000000"/>
          <w:bdr w:val="nil"/>
          <w14:textOutline w14:w="0" w14:cap="flat" w14:cmpd="sng" w14:algn="ctr">
            <w14:noFill/>
            <w14:prstDash w14:val="solid"/>
            <w14:bevel/>
          </w14:textOutline>
        </w:rPr>
        <w:t xml:space="preserve"> </w:t>
      </w:r>
      <w:hyperlink r:id="rId245">
        <w:r w:rsidRPr="31502C94">
          <w:rPr>
            <w:rStyle w:val="Hyperlink"/>
            <w:rFonts w:eastAsia="Calibri" w:cs="Calibri"/>
          </w:rPr>
          <w:t>video</w:t>
        </w:r>
      </w:hyperlink>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regarding its on-site visit on behalf of the Tzotzil</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 xml:space="preserve">families in twenty-two communities identified in the municipalities of </w:t>
      </w:r>
      <w:r w:rsidRPr="00066040">
        <w:rPr>
          <w:rFonts w:eastAsia="Calibri" w:cs="Calibri"/>
          <w:color w:val="000000"/>
          <w:bdr w:val="nil"/>
          <w14:textOutline w14:w="0" w14:cap="flat" w14:cmpd="sng" w14:algn="ctr">
            <w14:noFill/>
            <w14:prstDash w14:val="solid"/>
            <w14:bevel/>
          </w14:textOutline>
        </w:rPr>
        <w:t>Chalchihuitán, Chenalhó</w:t>
      </w:r>
      <w:r>
        <w:rPr>
          <w:rFonts w:eastAsia="Calibri" w:cs="Calibri"/>
          <w:color w:val="000000"/>
          <w:bdr w:val="nil"/>
          <w14:textOutline w14:w="0" w14:cap="flat" w14:cmpd="sng" w14:algn="ctr">
            <w14:noFill/>
            <w14:prstDash w14:val="solid"/>
            <w14:bevel/>
          </w14:textOutline>
        </w:rPr>
        <w:t xml:space="preserve">, and </w:t>
      </w:r>
      <w:r w:rsidRPr="00066040">
        <w:rPr>
          <w:rFonts w:eastAsia="Calibri" w:cs="Calibri"/>
          <w:color w:val="000000"/>
          <w:bdr w:val="nil"/>
          <w14:textOutline w14:w="0" w14:cap="flat" w14:cmpd="sng" w14:algn="ctr">
            <w14:noFill/>
            <w14:prstDash w14:val="solid"/>
            <w14:bevel/>
          </w14:textOutline>
        </w:rPr>
        <w:t xml:space="preserve">Aldama </w:t>
      </w:r>
      <w:r>
        <w:rPr>
          <w:rFonts w:eastAsia="Calibri" w:cs="Calibri"/>
          <w:color w:val="000000"/>
          <w:bdr w:val="nil"/>
          <w14:textOutline w14:w="0" w14:cap="flat" w14:cmpd="sng" w14:algn="ctr">
            <w14:noFill/>
            <w14:prstDash w14:val="solid"/>
            <w14:bevel/>
          </w14:textOutline>
        </w:rPr>
        <w:t xml:space="preserve">in the state of </w:t>
      </w:r>
      <w:r w:rsidRPr="00066040">
        <w:rPr>
          <w:rFonts w:eastAsia="Calibri" w:cs="Calibri"/>
          <w:color w:val="000000"/>
          <w:bdr w:val="nil"/>
          <w14:textOutline w14:w="0" w14:cap="flat" w14:cmpd="sng" w14:algn="ctr">
            <w14:noFill/>
            <w14:prstDash w14:val="solid"/>
            <w14:bevel/>
          </w14:textOutline>
        </w:rPr>
        <w:t>Chiapas</w:t>
      </w:r>
      <w:r>
        <w:rPr>
          <w:rFonts w:eastAsia="Calibri" w:cs="Calibri"/>
          <w:color w:val="000000"/>
          <w:bdr w:val="nil"/>
          <w14:textOutline w14:w="0" w14:cap="flat" w14:cmpd="sng" w14:algn="ctr">
            <w14:noFill/>
            <w14:prstDash w14:val="solid"/>
            <w14:bevel/>
          </w14:textOutline>
        </w:rPr>
        <w:t>, Mexico</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PM</w:t>
      </w:r>
      <w:r w:rsidRPr="00066040">
        <w:rPr>
          <w:rFonts w:eastAsia="Calibri" w:cs="Calibri"/>
          <w:color w:val="000000"/>
          <w:bdr w:val="nil"/>
          <w14:textOutline w14:w="0" w14:cap="flat" w14:cmpd="sng" w14:algn="ctr">
            <w14:noFill/>
            <w14:prstDash w14:val="solid"/>
            <w14:bevel/>
          </w14:textOutline>
        </w:rPr>
        <w:t xml:space="preserve"> 882-17</w:t>
      </w:r>
      <w:r>
        <w:rPr>
          <w:rFonts w:eastAsia="Calibri" w:cs="Calibri"/>
          <w:color w:val="000000"/>
          <w:bdr w:val="nil"/>
          <w14:textOutline w14:w="0" w14:cap="flat" w14:cmpd="sng" w14:algn="ctr">
            <w14:noFill/>
            <w14:prstDash w14:val="solid"/>
            <w14:bevel/>
          </w14:textOutline>
        </w:rPr>
        <w:t xml:space="preserve"> and PM</w:t>
      </w:r>
      <w:r w:rsidRPr="00066040">
        <w:rPr>
          <w:rFonts w:eastAsia="Calibri" w:cs="Calibri"/>
          <w:color w:val="000000"/>
          <w:bdr w:val="nil"/>
          <w14:textOutline w14:w="0" w14:cap="flat" w14:cmpd="sng" w14:algn="ctr">
            <w14:noFill/>
            <w14:prstDash w14:val="solid"/>
            <w14:bevel/>
          </w14:textOutline>
        </w:rPr>
        <w:t xml:space="preserve"> 284-18).</w:t>
      </w:r>
    </w:p>
    <w:p w14:paraId="7D23DE2C" w14:textId="77777777" w:rsidR="008668B8" w:rsidRPr="00066040" w:rsidRDefault="008668B8" w:rsidP="008668B8">
      <w:pPr>
        <w:pBdr>
          <w:top w:val="nil"/>
          <w:left w:val="nil"/>
          <w:bottom w:val="nil"/>
          <w:right w:val="nil"/>
          <w:between w:val="nil"/>
          <w:bar w:val="nil"/>
        </w:pBdr>
        <w:ind w:left="720"/>
        <w:jc w:val="both"/>
        <w:rPr>
          <w:rFonts w:ascii="Cambria" w:eastAsia="Calibri" w:hAnsi="Cambria" w:cs="Calibri"/>
          <w:color w:val="000000"/>
          <w:sz w:val="20"/>
          <w:szCs w:val="20"/>
          <w:u w:color="000000"/>
          <w:bdr w:val="nil"/>
          <w14:textOutline w14:w="0" w14:cap="flat" w14:cmpd="sng" w14:algn="ctr">
            <w14:noFill/>
            <w14:prstDash w14:val="solid"/>
            <w14:bevel/>
          </w14:textOutline>
        </w:rPr>
      </w:pPr>
    </w:p>
    <w:p w14:paraId="640F392A" w14:textId="77777777" w:rsidR="008668B8" w:rsidRPr="00066040" w:rsidRDefault="008668B8" w:rsidP="00933F91">
      <w:pPr>
        <w:pStyle w:val="BodyText"/>
        <w:widowControl/>
        <w:numPr>
          <w:ilvl w:val="0"/>
          <w:numId w:val="58"/>
        </w:numPr>
        <w:ind w:left="0" w:firstLine="720"/>
        <w:jc w:val="both"/>
        <w:rPr>
          <w:rFonts w:eastAsia="Calibri" w:cs="Calibri"/>
          <w:color w:val="000000"/>
          <w:u w:color="000000"/>
          <w:bdr w:val="nil"/>
          <w14:textOutline w14:w="0" w14:cap="flat" w14:cmpd="sng" w14:algn="ctr">
            <w14:noFill/>
            <w14:prstDash w14:val="solid"/>
            <w14:bevel/>
          </w14:textOutline>
        </w:rPr>
      </w:pPr>
      <w:r>
        <w:rPr>
          <w:rFonts w:eastAsia="Calibri" w:cs="Calibri"/>
          <w:color w:val="000000"/>
          <w:bdr w:val="nil"/>
          <w14:textOutline w14:w="0" w14:cap="flat" w14:cmpd="sng" w14:algn="ctr">
            <w14:noFill/>
            <w14:prstDash w14:val="solid"/>
            <w14:bevel/>
          </w14:textOutline>
        </w:rPr>
        <w:t>The Commission also disseminated information on precautionary measures by publishing 55</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press releases to publicize decisions to grant, extend, and follow up measures in force</w:t>
      </w:r>
      <w:r w:rsidRPr="00066040">
        <w:rPr>
          <w:rFonts w:eastAsia="Calibri" w:cs="Calibri"/>
          <w:color w:val="000000"/>
          <w:bdr w:val="nil"/>
          <w14:textOutline w14:w="0" w14:cap="flat" w14:cmpd="sng" w14:algn="ctr">
            <w14:noFill/>
            <w14:prstDash w14:val="solid"/>
            <w14:bevel/>
          </w14:textOutline>
        </w:rPr>
        <w:t>.</w:t>
      </w:r>
    </w:p>
    <w:p w14:paraId="3710F1C6" w14:textId="77777777" w:rsidR="008668B8" w:rsidRPr="00066040" w:rsidRDefault="008668B8" w:rsidP="008668B8">
      <w:pPr>
        <w:pBdr>
          <w:top w:val="nil"/>
          <w:left w:val="nil"/>
          <w:bottom w:val="nil"/>
          <w:right w:val="nil"/>
          <w:between w:val="nil"/>
          <w:bar w:val="nil"/>
        </w:pBdr>
        <w:ind w:left="720"/>
        <w:jc w:val="both"/>
        <w:rPr>
          <w:rFonts w:ascii="Cambria" w:eastAsia="Calibri" w:hAnsi="Cambria" w:cs="Calibri"/>
          <w:color w:val="000000"/>
          <w:sz w:val="20"/>
          <w:szCs w:val="20"/>
          <w:u w:color="000000"/>
          <w:bdr w:val="nil"/>
          <w14:textOutline w14:w="0" w14:cap="flat" w14:cmpd="sng" w14:algn="ctr">
            <w14:noFill/>
            <w14:prstDash w14:val="solid"/>
            <w14:bevel/>
          </w14:textOutline>
        </w:rPr>
      </w:pPr>
    </w:p>
    <w:p w14:paraId="201819E4" w14:textId="77777777" w:rsidR="008668B8" w:rsidRPr="00740CD6" w:rsidRDefault="008668B8" w:rsidP="00933F91">
      <w:pPr>
        <w:pStyle w:val="BodyText"/>
        <w:widowControl/>
        <w:numPr>
          <w:ilvl w:val="0"/>
          <w:numId w:val="58"/>
        </w:numPr>
        <w:ind w:left="0" w:firstLine="720"/>
        <w:jc w:val="both"/>
        <w:rPr>
          <w:rFonts w:eastAsia="Calibri" w:cs="Calibri"/>
          <w:color w:val="000000"/>
          <w:bdr w:val="nil"/>
          <w:lang w:val="en-GB"/>
          <w14:textOutline w14:w="0" w14:cap="flat" w14:cmpd="sng" w14:algn="ctr">
            <w14:noFill/>
            <w14:prstDash w14:val="solid"/>
            <w14:bevel/>
          </w14:textOutline>
        </w:rPr>
      </w:pPr>
      <w:r>
        <w:rPr>
          <w:rFonts w:eastAsia="Calibri" w:cs="Calibri"/>
          <w:color w:val="000000"/>
          <w:bdr w:val="nil"/>
          <w14:textOutline w14:w="0" w14:cap="flat" w14:cmpd="sng" w14:algn="ctr">
            <w14:noFill/>
            <w14:prstDash w14:val="solid"/>
            <w14:bevel/>
          </w14:textOutline>
        </w:rPr>
        <w:lastRenderedPageBreak/>
        <w:t>With regard to training on precautionary measures, in</w:t>
      </w:r>
      <w:r w:rsidRPr="00066040">
        <w:rPr>
          <w:rFonts w:eastAsia="Calibri" w:cs="Calibri"/>
          <w:color w:val="000000"/>
          <w:bdr w:val="nil"/>
          <w14:textOutline w14:w="0" w14:cap="flat" w14:cmpd="sng" w14:algn="ctr">
            <w14:noFill/>
            <w14:prstDash w14:val="solid"/>
            <w14:bevel/>
          </w14:textOutline>
        </w:rPr>
        <w:t xml:space="preserve"> 2022 </w:t>
      </w:r>
      <w:r>
        <w:rPr>
          <w:rFonts w:eastAsia="Calibri" w:cs="Calibri"/>
          <w:color w:val="000000"/>
          <w:bdr w:val="nil"/>
          <w14:textOutline w14:w="0" w14:cap="flat" w14:cmpd="sng" w14:algn="ctr">
            <w14:noFill/>
            <w14:prstDash w14:val="solid"/>
            <w14:bevel/>
          </w14:textOutline>
        </w:rPr>
        <w:t>there</w:t>
      </w:r>
      <w:r w:rsidRPr="00066040">
        <w:rPr>
          <w:rFonts w:eastAsia="Calibri" w:cs="Calibri"/>
          <w:color w:val="000000"/>
          <w:bdr w:val="nil"/>
          <w14:textOutline w14:w="0" w14:cap="flat" w14:cmpd="sng" w14:algn="ctr">
            <w14:noFill/>
            <w14:prstDash w14:val="solid"/>
            <w14:bevel/>
          </w14:textOutline>
        </w:rPr>
        <w:t xml:space="preserve"> </w:t>
      </w:r>
      <w:r w:rsidRPr="004B1E93">
        <w:rPr>
          <w:rFonts w:eastAsia="Calibri" w:cs="Calibri"/>
          <w:color w:val="000000"/>
          <w:bdr w:val="nil"/>
          <w14:textOutline w14:w="0" w14:cap="flat" w14:cmpd="sng" w14:algn="ctr">
            <w14:noFill/>
            <w14:prstDash w14:val="solid"/>
            <w14:bevel/>
          </w14:textOutline>
        </w:rPr>
        <w:t>11 training</w:t>
      </w:r>
      <w:r>
        <w:rPr>
          <w:rFonts w:eastAsia="Calibri" w:cs="Calibri"/>
          <w:color w:val="000000"/>
          <w:bdr w:val="nil"/>
          <w14:textOutline w14:w="0" w14:cap="flat" w14:cmpd="sng" w14:algn="ctr">
            <w14:noFill/>
            <w14:prstDash w14:val="solid"/>
            <w14:bevel/>
          </w14:textOutline>
        </w:rPr>
        <w:t xml:space="preserve"> sessions conducted for students, international organization staff, and civil society organizations; these sessions focused on topics such as</w:t>
      </w:r>
      <w:r w:rsidRPr="00066040">
        <w:rPr>
          <w:rFonts w:eastAsia="Calibri" w:cs="Calibri"/>
          <w:color w:val="000000"/>
          <w:bdr w:val="nil"/>
          <w14:textOutline w14:w="0" w14:cap="flat" w14:cmpd="sng" w14:algn="ctr">
            <w14:noFill/>
            <w14:prstDash w14:val="solid"/>
            <w14:bevel/>
          </w14:textOutline>
        </w:rPr>
        <w:t xml:space="preserve"> LGBTI+,</w:t>
      </w:r>
      <w:r>
        <w:rPr>
          <w:rFonts w:eastAsia="Calibri" w:cs="Calibri"/>
          <w:color w:val="000000"/>
          <w:bdr w:val="nil"/>
          <w14:textOutline w14:w="0" w14:cap="flat" w14:cmpd="sng" w14:algn="ctr">
            <w14:noFill/>
            <w14:prstDash w14:val="solid"/>
            <w14:bevel/>
          </w14:textOutline>
        </w:rPr>
        <w:t xml:space="preserve"> persons with disabilities, and countries such as </w:t>
      </w:r>
      <w:r w:rsidRPr="00066040">
        <w:rPr>
          <w:rFonts w:eastAsia="Calibri" w:cs="Calibri"/>
          <w:color w:val="000000"/>
          <w:bdr w:val="nil"/>
          <w14:textOutline w14:w="0" w14:cap="flat" w14:cmpd="sng" w14:algn="ctr">
            <w14:noFill/>
            <w14:prstDash w14:val="solid"/>
            <w14:bevel/>
          </w14:textOutline>
        </w:rPr>
        <w:t xml:space="preserve">Cuba, Colombia, Nicaragua, Saint Lucia, Costa Rica, </w:t>
      </w:r>
      <w:r>
        <w:rPr>
          <w:rFonts w:eastAsia="Calibri" w:cs="Calibri"/>
          <w:color w:val="000000"/>
          <w:bdr w:val="nil"/>
          <w14:textOutline w14:w="0" w14:cap="flat" w14:cmpd="sng" w14:algn="ctr">
            <w14:noFill/>
            <w14:prstDash w14:val="solid"/>
            <w14:bevel/>
          </w14:textOutline>
        </w:rPr>
        <w:t>and others</w:t>
      </w:r>
      <w:r w:rsidRPr="00066040">
        <w:rPr>
          <w:rFonts w:eastAsia="Calibri" w:cs="Calibri"/>
          <w:color w:val="000000"/>
          <w:bdr w:val="nil"/>
          <w14:textOutline w14:w="0" w14:cap="flat" w14:cmpd="sng" w14:algn="ctr">
            <w14:noFill/>
            <w14:prstDash w14:val="solid"/>
            <w14:bevel/>
          </w14:textOutline>
        </w:rPr>
        <w:t xml:space="preserve">. </w:t>
      </w:r>
      <w:r>
        <w:rPr>
          <w:rFonts w:eastAsia="Calibri" w:cs="Calibri"/>
          <w:color w:val="000000"/>
          <w:bdr w:val="nil"/>
          <w14:textOutline w14:w="0" w14:cap="flat" w14:cmpd="sng" w14:algn="ctr">
            <w14:noFill/>
            <w14:prstDash w14:val="solid"/>
            <w14:bevel/>
          </w14:textOutline>
        </w:rPr>
        <w:t>Such training sessions may focus on the process of requesting precautionary measures, on following up measures in force, or both</w:t>
      </w:r>
      <w:r w:rsidRPr="00740CD6">
        <w:rPr>
          <w:rFonts w:eastAsia="Calibri" w:cs="Calibri"/>
          <w:color w:val="000000"/>
          <w:bdr w:val="nil"/>
          <w:lang w:val="en-GB"/>
          <w14:textOutline w14:w="0" w14:cap="flat" w14:cmpd="sng" w14:algn="ctr">
            <w14:noFill/>
            <w14:prstDash w14:val="solid"/>
            <w14:bevel/>
          </w14:textOutline>
        </w:rPr>
        <w:t>.</w:t>
      </w:r>
    </w:p>
    <w:p w14:paraId="25A36C98" w14:textId="77777777" w:rsidR="00E30C54" w:rsidRPr="005E12DB" w:rsidRDefault="00E30C54" w:rsidP="00E30C54">
      <w:pPr>
        <w:pBdr>
          <w:top w:val="nil"/>
          <w:left w:val="nil"/>
          <w:bottom w:val="nil"/>
          <w:right w:val="nil"/>
          <w:between w:val="nil"/>
          <w:bar w:val="nil"/>
        </w:pBdr>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p>
    <w:p w14:paraId="0989D0EC" w14:textId="77777777" w:rsidR="00E30C54" w:rsidRPr="00CD1A50" w:rsidRDefault="00E30C54" w:rsidP="00933F91">
      <w:pPr>
        <w:pStyle w:val="ListParagraph"/>
        <w:numPr>
          <w:ilvl w:val="0"/>
          <w:numId w:val="52"/>
        </w:numPr>
        <w:pBdr>
          <w:top w:val="nil"/>
          <w:left w:val="nil"/>
          <w:bottom w:val="nil"/>
          <w:right w:val="nil"/>
          <w:between w:val="nil"/>
          <w:bar w:val="nil"/>
        </w:pBdr>
        <w:ind w:hanging="720"/>
        <w:jc w:val="both"/>
        <w:rPr>
          <w:rFonts w:ascii="Cambria" w:eastAsia="Calibri" w:hAnsi="Cambria" w:cs="Calibri"/>
          <w:b/>
          <w:color w:val="000000"/>
          <w:sz w:val="22"/>
          <w:szCs w:val="22"/>
          <w:u w:color="000000"/>
          <w:bdr w:val="nil"/>
          <w14:textOutline w14:w="0" w14:cap="flat" w14:cmpd="sng" w14:algn="ctr">
            <w14:noFill/>
            <w14:prstDash w14:val="solid"/>
            <w14:bevel/>
          </w14:textOutline>
        </w:rPr>
      </w:pPr>
      <w:r w:rsidRPr="00CD1A50">
        <w:rPr>
          <w:rFonts w:ascii="Cambria" w:hAnsi="Cambria"/>
          <w:b/>
          <w:bCs/>
          <w:sz w:val="22"/>
          <w:szCs w:val="22"/>
        </w:rPr>
        <w:t>Annual statistics most representative of the Commission’s work</w:t>
      </w:r>
    </w:p>
    <w:p w14:paraId="65BD2E3B" w14:textId="77777777" w:rsidR="00E30C54" w:rsidRDefault="00E30C54" w:rsidP="00E30C54">
      <w:pPr>
        <w:pStyle w:val="parrafos"/>
        <w:numPr>
          <w:ilvl w:val="0"/>
          <w:numId w:val="0"/>
        </w:numPr>
        <w:rPr>
          <w:b/>
          <w:bCs/>
          <w:sz w:val="22"/>
          <w:szCs w:val="22"/>
        </w:rPr>
      </w:pPr>
    </w:p>
    <w:p w14:paraId="6EB9E444" w14:textId="77777777" w:rsidR="00CD1A50" w:rsidRDefault="00CD1A50" w:rsidP="00E30C54">
      <w:pPr>
        <w:pStyle w:val="parrafos"/>
        <w:numPr>
          <w:ilvl w:val="0"/>
          <w:numId w:val="0"/>
        </w:numPr>
        <w:rPr>
          <w:b/>
          <w:bCs/>
          <w:sz w:val="22"/>
          <w:szCs w:val="22"/>
        </w:rPr>
      </w:pPr>
    </w:p>
    <w:p w14:paraId="71331434" w14:textId="77777777" w:rsidR="00CD1A50" w:rsidRPr="00E14BC7" w:rsidRDefault="00CD1A50" w:rsidP="00CD1A50">
      <w:pPr>
        <w:spacing w:line="720" w:lineRule="auto"/>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4C6E8163" wp14:editId="4666950C">
            <wp:extent cx="6400800" cy="7772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056A1502" w14:textId="77777777" w:rsidR="008D2B8C" w:rsidRDefault="00CD1A50" w:rsidP="00A64379">
      <w:pPr>
        <w:jc w:val="both"/>
        <w:rPr>
          <w:rFonts w:ascii="Helvetica LT Std Cond" w:hAnsi="Helvetica LT Std Cond"/>
          <w:color w:val="7F7F7F" w:themeColor="text1" w:themeTint="80"/>
        </w:rPr>
      </w:pPr>
      <w:r>
        <w:rPr>
          <w:rFonts w:ascii="Helvetica LT Std Cond" w:hAnsi="Helvetica LT Std Cond"/>
          <w:color w:val="7F7F7F" w:themeColor="text1" w:themeTint="80"/>
        </w:rPr>
        <w:br w:type="page"/>
      </w:r>
      <w:r w:rsidRPr="00E14BC7">
        <w:rPr>
          <w:rFonts w:ascii="Helvetica LT Std Cond" w:hAnsi="Helvetica LT Std Cond"/>
          <w:i/>
          <w:iCs/>
          <w:noProof/>
          <w:color w:val="7F7F7F" w:themeColor="text1" w:themeTint="80"/>
        </w:rPr>
        <w:lastRenderedPageBreak/>
        <w:drawing>
          <wp:inline distT="0" distB="0" distL="0" distR="0" wp14:anchorId="6870BE48" wp14:editId="4840B097">
            <wp:extent cx="6400800" cy="7772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74C361ED" wp14:editId="20EBC5C3">
            <wp:extent cx="6400800" cy="7315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r w:rsidR="00A0542D" w:rsidRPr="00A64379">
        <w:rPr>
          <w:rFonts w:ascii="Helvetica LT Std Cond" w:hAnsi="Helvetica LT Std Cond"/>
          <w:color w:val="7F7F7F" w:themeColor="text1" w:themeTint="80"/>
          <w:sz w:val="20"/>
          <w:szCs w:val="20"/>
        </w:rPr>
        <w:t xml:space="preserve">* </w:t>
      </w:r>
      <w:r w:rsidR="008D2B8C" w:rsidRPr="00A64379">
        <w:rPr>
          <w:rFonts w:ascii="Helvetica LT Std Cond" w:hAnsi="Helvetica LT Std Cond"/>
          <w:color w:val="7F7F7F" w:themeColor="text1" w:themeTint="80"/>
          <w:sz w:val="20"/>
          <w:szCs w:val="20"/>
        </w:rPr>
        <w:t>At the time of publication of this report, these figures have been significantly reduced.</w:t>
      </w:r>
    </w:p>
    <w:p w14:paraId="4F9AF8FD" w14:textId="57731B15" w:rsidR="00CD1A50" w:rsidRDefault="00CD1A50" w:rsidP="00CD1A50">
      <w:pPr>
        <w:rPr>
          <w:rFonts w:ascii="Helvetica LT Std Cond" w:hAnsi="Helvetica LT Std Cond"/>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77A8577F" wp14:editId="1031993A">
            <wp:extent cx="6400800" cy="77724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3D78C82E" wp14:editId="75E2CBEB">
            <wp:extent cx="6400800" cy="7772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r>
        <w:rPr>
          <w:rFonts w:ascii="Helvetica LT Std Cond" w:hAnsi="Helvetica LT Std Cond"/>
          <w:color w:val="7F7F7F" w:themeColor="text1" w:themeTint="80"/>
        </w:rPr>
        <w:br w:type="page"/>
      </w:r>
      <w:r w:rsidRPr="00E14BC7">
        <w:rPr>
          <w:rFonts w:ascii="Helvetica LT Std Cond" w:hAnsi="Helvetica LT Std Cond"/>
          <w:i/>
          <w:iCs/>
          <w:noProof/>
          <w:color w:val="7F7F7F" w:themeColor="text1" w:themeTint="80"/>
        </w:rPr>
        <w:lastRenderedPageBreak/>
        <w:drawing>
          <wp:inline distT="0" distB="0" distL="0" distR="0" wp14:anchorId="04A63BED" wp14:editId="7855B76E">
            <wp:extent cx="5943600" cy="59436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14:paraId="0275F729" w14:textId="77777777" w:rsidR="00AA578F" w:rsidRDefault="00AA578F" w:rsidP="00CD1A50">
      <w:pPr>
        <w:rPr>
          <w:rFonts w:ascii="Helvetica LT Std Cond" w:hAnsi="Helvetica LT Std Cond"/>
          <w:color w:val="7F7F7F" w:themeColor="text1" w:themeTint="80"/>
        </w:rPr>
      </w:pPr>
    </w:p>
    <w:p w14:paraId="09AB4401" w14:textId="77777777" w:rsidR="00AA578F" w:rsidRDefault="00AA578F" w:rsidP="00CD1A50">
      <w:pPr>
        <w:rPr>
          <w:rFonts w:ascii="Helvetica LT Std Cond" w:hAnsi="Helvetica LT Std Cond"/>
          <w:color w:val="7F7F7F" w:themeColor="text1" w:themeTint="80"/>
        </w:rPr>
      </w:pPr>
    </w:p>
    <w:p w14:paraId="1BF3C031" w14:textId="77777777" w:rsidR="00AA578F" w:rsidRDefault="00AA578F" w:rsidP="00CD1A50">
      <w:pPr>
        <w:rPr>
          <w:rFonts w:ascii="Helvetica LT Std Cond" w:hAnsi="Helvetica LT Std Cond"/>
          <w:color w:val="7F7F7F" w:themeColor="text1" w:themeTint="80"/>
        </w:rPr>
      </w:pPr>
    </w:p>
    <w:p w14:paraId="16F73CDC" w14:textId="77777777" w:rsidR="00AA578F" w:rsidRDefault="00AA578F" w:rsidP="00CD1A50">
      <w:pPr>
        <w:rPr>
          <w:rFonts w:ascii="Helvetica LT Std Cond" w:hAnsi="Helvetica LT Std Cond"/>
          <w:color w:val="7F7F7F" w:themeColor="text1" w:themeTint="80"/>
        </w:rPr>
      </w:pPr>
    </w:p>
    <w:p w14:paraId="1454632E" w14:textId="77777777" w:rsidR="00AA578F" w:rsidRDefault="00AA578F" w:rsidP="00CD1A50">
      <w:pPr>
        <w:rPr>
          <w:rFonts w:ascii="Helvetica LT Std Cond" w:hAnsi="Helvetica LT Std Cond"/>
          <w:color w:val="7F7F7F" w:themeColor="text1" w:themeTint="80"/>
        </w:rPr>
      </w:pPr>
    </w:p>
    <w:p w14:paraId="7B06AB80" w14:textId="77777777" w:rsidR="00AA578F" w:rsidRDefault="00AA578F" w:rsidP="00CD1A50">
      <w:pPr>
        <w:rPr>
          <w:rFonts w:ascii="Helvetica LT Std Cond" w:hAnsi="Helvetica LT Std Cond"/>
          <w:color w:val="7F7F7F" w:themeColor="text1" w:themeTint="80"/>
        </w:rPr>
      </w:pPr>
    </w:p>
    <w:p w14:paraId="5730383D" w14:textId="77777777" w:rsidR="00AA578F" w:rsidRDefault="00AA578F" w:rsidP="00CD1A50">
      <w:pPr>
        <w:rPr>
          <w:rFonts w:ascii="Helvetica LT Std Cond" w:hAnsi="Helvetica LT Std Cond"/>
          <w:color w:val="7F7F7F" w:themeColor="text1" w:themeTint="80"/>
        </w:rPr>
      </w:pPr>
    </w:p>
    <w:p w14:paraId="0D989CAA" w14:textId="77777777" w:rsidR="00AA578F" w:rsidRDefault="00AA578F" w:rsidP="00CD1A50">
      <w:pPr>
        <w:rPr>
          <w:rFonts w:ascii="Helvetica LT Std Cond" w:hAnsi="Helvetica LT Std Cond"/>
          <w:color w:val="7F7F7F" w:themeColor="text1" w:themeTint="80"/>
        </w:rPr>
      </w:pPr>
    </w:p>
    <w:p w14:paraId="5FC5D747" w14:textId="77777777" w:rsidR="00AA578F" w:rsidRDefault="00AA578F" w:rsidP="00CD1A50">
      <w:pPr>
        <w:rPr>
          <w:rFonts w:ascii="Helvetica LT Std Cond" w:hAnsi="Helvetica LT Std Cond"/>
          <w:color w:val="7F7F7F" w:themeColor="text1" w:themeTint="80"/>
        </w:rPr>
      </w:pPr>
    </w:p>
    <w:p w14:paraId="1A7A4E75" w14:textId="77777777" w:rsidR="00AA578F" w:rsidRDefault="00AA578F" w:rsidP="00CD1A50">
      <w:pPr>
        <w:rPr>
          <w:rFonts w:ascii="Helvetica LT Std Cond" w:hAnsi="Helvetica LT Std Cond"/>
          <w:color w:val="7F7F7F" w:themeColor="text1" w:themeTint="80"/>
        </w:rPr>
      </w:pPr>
    </w:p>
    <w:p w14:paraId="3B19CA02" w14:textId="77777777" w:rsidR="00AA578F" w:rsidRDefault="00AA578F" w:rsidP="00CD1A50">
      <w:pPr>
        <w:rPr>
          <w:rFonts w:ascii="Helvetica LT Std Cond" w:hAnsi="Helvetica LT Std Cond"/>
          <w:color w:val="7F7F7F" w:themeColor="text1" w:themeTint="80"/>
        </w:rPr>
      </w:pPr>
    </w:p>
    <w:p w14:paraId="0AE0697D" w14:textId="58B9D859" w:rsidR="00AA578F" w:rsidRDefault="00BC356D" w:rsidP="00CD1A50">
      <w:pPr>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6CADC5EA" wp14:editId="052E4A48">
            <wp:extent cx="5943600" cy="7217229"/>
            <wp:effectExtent l="0" t="0" r="0" b="317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14:paraId="3FF05748" w14:textId="77777777" w:rsidR="00BC356D" w:rsidRDefault="00BC356D" w:rsidP="00CD1A50">
      <w:pPr>
        <w:rPr>
          <w:rFonts w:ascii="Helvetica LT Std Cond" w:hAnsi="Helvetica LT Std Cond"/>
          <w:i/>
          <w:iCs/>
          <w:color w:val="7F7F7F" w:themeColor="text1" w:themeTint="80"/>
        </w:rPr>
      </w:pPr>
    </w:p>
    <w:p w14:paraId="166B541D" w14:textId="77777777" w:rsidR="00BC356D" w:rsidRDefault="00BC356D" w:rsidP="00CD1A50">
      <w:pPr>
        <w:rPr>
          <w:rFonts w:ascii="Helvetica LT Std Cond" w:hAnsi="Helvetica LT Std Cond"/>
          <w:i/>
          <w:iCs/>
          <w:color w:val="7F7F7F" w:themeColor="text1" w:themeTint="80"/>
        </w:rPr>
      </w:pPr>
    </w:p>
    <w:p w14:paraId="7A21D957" w14:textId="7F9BE001" w:rsidR="00BC356D" w:rsidRDefault="00BC356D" w:rsidP="00CD1A50">
      <w:pPr>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19ED7AE1" wp14:editId="3E33DDAE">
            <wp:extent cx="5943600" cy="7217229"/>
            <wp:effectExtent l="0" t="0" r="0" b="317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14:paraId="074EE38C" w14:textId="77777777" w:rsidR="00CD1A50" w:rsidRPr="00141882" w:rsidRDefault="00CD1A50" w:rsidP="00CD1A50">
      <w:pPr>
        <w:jc w:val="both"/>
        <w:rPr>
          <w:rFonts w:ascii="Helvetica LT Std Cond" w:hAnsi="Helvetica LT Std Cond"/>
          <w:i/>
          <w:iCs/>
          <w:noProof/>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0B6AE9FB" wp14:editId="1F9EEEC5">
            <wp:extent cx="6400800" cy="7772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2F3AB1F7" wp14:editId="79CA259F">
            <wp:extent cx="6400800" cy="7315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r w:rsidRPr="00CD1A50">
        <w:rPr>
          <w:rFonts w:ascii="Helvetica LT Std Cond" w:hAnsi="Helvetica LT Std Cond"/>
          <w:noProof/>
          <w:color w:val="7F7F7F" w:themeColor="text1" w:themeTint="80"/>
          <w:sz w:val="20"/>
          <w:szCs w:val="20"/>
        </w:rPr>
        <w:t>Petitions in the admissibility stage are those being processed. This is, those transmitted to the State in accordance to Article 30 of the IACHR’s Rules of Procedure. This graph is different from the one published last year, which included the ones with a preliminary decision on opening for processing.</w:t>
      </w:r>
    </w:p>
    <w:p w14:paraId="787C18F8" w14:textId="77777777" w:rsidR="00CD1A50" w:rsidRPr="00141882" w:rsidRDefault="00CD1A50" w:rsidP="00CD1A50">
      <w:pPr>
        <w:jc w:val="both"/>
        <w:rPr>
          <w:rFonts w:ascii="Helvetica LT Std Cond" w:hAnsi="Helvetica LT Std Cond"/>
          <w:i/>
          <w:iCs/>
          <w:noProof/>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5B123D3F" wp14:editId="65C476B9">
            <wp:extent cx="6400800" cy="7772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3D0B7312" wp14:editId="3C9281CF">
            <wp:extent cx="6400800" cy="7217923"/>
            <wp:effectExtent l="0" t="0" r="0" b="25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r w:rsidRPr="00CD1A50">
        <w:rPr>
          <w:rFonts w:ascii="Helvetica LT Std Cond" w:hAnsi="Helvetica LT Std Cond"/>
          <w:noProof/>
          <w:color w:val="7F7F7F" w:themeColor="text1" w:themeTint="80"/>
          <w:sz w:val="20"/>
          <w:szCs w:val="20"/>
        </w:rPr>
        <w:t xml:space="preserve">Admissibility is the stage in which the </w:t>
      </w:r>
      <w:r w:rsidRPr="00CD1A50">
        <w:rPr>
          <w:rFonts w:ascii="Helvetica LT Std Cond" w:hAnsi="Helvetica LT Std Cond"/>
          <w:b/>
          <w:bCs/>
          <w:noProof/>
          <w:color w:val="7F7F7F" w:themeColor="text1" w:themeTint="80"/>
          <w:sz w:val="20"/>
          <w:szCs w:val="20"/>
        </w:rPr>
        <w:t>IACHR</w:t>
      </w:r>
      <w:r w:rsidRPr="00CD1A50">
        <w:rPr>
          <w:rFonts w:ascii="Helvetica LT Std Cond" w:hAnsi="Helvetica LT Std Cond"/>
          <w:noProof/>
          <w:color w:val="7F7F7F" w:themeColor="text1" w:themeTint="80"/>
          <w:sz w:val="20"/>
          <w:szCs w:val="20"/>
        </w:rPr>
        <w:t xml:space="preserve"> determines  if a petition meets the requirements set forth in Articles 46 and 47 of the American Convention . Merits is the stage in which the </w:t>
      </w:r>
      <w:r w:rsidRPr="00CD1A50">
        <w:rPr>
          <w:rFonts w:ascii="Helvetica LT Std Cond" w:hAnsi="Helvetica LT Std Cond"/>
          <w:b/>
          <w:bCs/>
          <w:noProof/>
          <w:color w:val="7F7F7F" w:themeColor="text1" w:themeTint="80"/>
          <w:sz w:val="20"/>
          <w:szCs w:val="20"/>
        </w:rPr>
        <w:t>IACHR</w:t>
      </w:r>
      <w:r w:rsidRPr="00CD1A50">
        <w:rPr>
          <w:rFonts w:ascii="Helvetica LT Std Cond" w:hAnsi="Helvetica LT Std Cond"/>
          <w:noProof/>
          <w:color w:val="7F7F7F" w:themeColor="text1" w:themeTint="80"/>
          <w:sz w:val="20"/>
          <w:szCs w:val="20"/>
        </w:rPr>
        <w:t xml:space="preserve"> decides on the  merits of the case pursuant to the procedure established in Articles 48 and 50 of the American Convention on Human Rights.</w:t>
      </w:r>
    </w:p>
    <w:p w14:paraId="4BD6DB41" w14:textId="77777777" w:rsidR="00CD1A50" w:rsidRPr="00B6480C" w:rsidRDefault="00CD1A50" w:rsidP="00CD1A50">
      <w:pPr>
        <w:jc w:val="both"/>
        <w:rPr>
          <w:rFonts w:ascii="Helvetica LT Std Cond" w:hAnsi="Helvetica LT Std Cond"/>
          <w:i/>
          <w:iCs/>
          <w:noProof/>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6BA75657" wp14:editId="0DA84650">
            <wp:extent cx="6400800" cy="7772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0B9E2489" wp14:editId="4CEC5B75">
            <wp:extent cx="6400800" cy="7772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227D807B" wp14:editId="43B6B484">
            <wp:extent cx="6400800" cy="7772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533810E1" wp14:editId="768AF08A">
            <wp:extent cx="6400800" cy="77724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13423015" wp14:editId="21689F7F">
            <wp:extent cx="6400800" cy="7772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1742390B" wp14:editId="6293142A">
            <wp:extent cx="6400800" cy="7315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r w:rsidRPr="00CD1A50">
        <w:rPr>
          <w:rFonts w:ascii="Helvetica LT Std Cond" w:hAnsi="Helvetica LT Std Cond"/>
          <w:noProof/>
          <w:color w:val="7F7F7F" w:themeColor="text1" w:themeTint="80"/>
          <w:sz w:val="20"/>
          <w:szCs w:val="20"/>
        </w:rPr>
        <w:t xml:space="preserve">Admissibility is the stage in which the </w:t>
      </w:r>
      <w:r w:rsidRPr="00CD1A50">
        <w:rPr>
          <w:rFonts w:ascii="Helvetica LT Std Cond" w:hAnsi="Helvetica LT Std Cond"/>
          <w:b/>
          <w:bCs/>
          <w:noProof/>
          <w:color w:val="7F7F7F" w:themeColor="text1" w:themeTint="80"/>
          <w:sz w:val="20"/>
          <w:szCs w:val="20"/>
        </w:rPr>
        <w:t>IACHR</w:t>
      </w:r>
      <w:r w:rsidRPr="00CD1A50">
        <w:rPr>
          <w:rFonts w:ascii="Helvetica LT Std Cond" w:hAnsi="Helvetica LT Std Cond"/>
          <w:noProof/>
          <w:color w:val="7F7F7F" w:themeColor="text1" w:themeTint="80"/>
          <w:sz w:val="20"/>
          <w:szCs w:val="20"/>
        </w:rPr>
        <w:t xml:space="preserve"> determines if a petition meets the admissibility requirements set forth in Articles 46 and 47 of the American Convention on Human Rights, in accordance with the procedure established in Articles 30 and 36 of the Rules of Procedure of the Commission.</w:t>
      </w:r>
    </w:p>
    <w:p w14:paraId="0CA61B84" w14:textId="77777777" w:rsidR="00CD1A50" w:rsidRPr="00B6480C" w:rsidRDefault="00CD1A50" w:rsidP="00CD1A50">
      <w:pPr>
        <w:jc w:val="both"/>
        <w:rPr>
          <w:rFonts w:ascii="Helvetica LT Std Cond" w:hAnsi="Helvetica LT Std Cond"/>
          <w:i/>
          <w:iCs/>
          <w:noProof/>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3F797FCD" wp14:editId="0B0ABD3C">
            <wp:extent cx="6400800" cy="7217923"/>
            <wp:effectExtent l="0" t="0" r="0" b="25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r w:rsidRPr="00CD1A50">
        <w:rPr>
          <w:rFonts w:ascii="Helvetica LT Std Cond" w:hAnsi="Helvetica LT Std Cond"/>
          <w:noProof/>
          <w:color w:val="7F7F7F" w:themeColor="text1" w:themeTint="80"/>
          <w:sz w:val="20"/>
          <w:szCs w:val="20"/>
        </w:rPr>
        <w:t xml:space="preserve">Admissibility is the stage in which the </w:t>
      </w:r>
      <w:r w:rsidRPr="00CD1A50">
        <w:rPr>
          <w:rFonts w:ascii="Helvetica LT Std Cond" w:hAnsi="Helvetica LT Std Cond"/>
          <w:b/>
          <w:bCs/>
          <w:noProof/>
          <w:color w:val="7F7F7F" w:themeColor="text1" w:themeTint="80"/>
          <w:sz w:val="20"/>
          <w:szCs w:val="20"/>
        </w:rPr>
        <w:t>IACHR</w:t>
      </w:r>
      <w:r w:rsidRPr="00CD1A50">
        <w:rPr>
          <w:rFonts w:ascii="Helvetica LT Std Cond" w:hAnsi="Helvetica LT Std Cond"/>
          <w:noProof/>
          <w:color w:val="7F7F7F" w:themeColor="text1" w:themeTint="80"/>
          <w:sz w:val="20"/>
          <w:szCs w:val="20"/>
        </w:rPr>
        <w:t xml:space="preserve"> determines  if a petition meets the requirements set forth in Articles 46 and 47 of the American Convention . Merits is the stage in which the </w:t>
      </w:r>
      <w:r w:rsidRPr="00CD1A50">
        <w:rPr>
          <w:rFonts w:ascii="Helvetica LT Std Cond" w:hAnsi="Helvetica LT Std Cond"/>
          <w:b/>
          <w:bCs/>
          <w:noProof/>
          <w:color w:val="7F7F7F" w:themeColor="text1" w:themeTint="80"/>
          <w:sz w:val="20"/>
          <w:szCs w:val="20"/>
        </w:rPr>
        <w:t>IACHR</w:t>
      </w:r>
      <w:r w:rsidRPr="00CD1A50">
        <w:rPr>
          <w:rFonts w:ascii="Helvetica LT Std Cond" w:hAnsi="Helvetica LT Std Cond"/>
          <w:noProof/>
          <w:color w:val="7F7F7F" w:themeColor="text1" w:themeTint="80"/>
          <w:sz w:val="20"/>
          <w:szCs w:val="20"/>
        </w:rPr>
        <w:t xml:space="preserve"> decides on the  merits of the case pursuant to the procedure established in Articles 48 and 50 of the American Convention on Human Rights.</w:t>
      </w:r>
    </w:p>
    <w:p w14:paraId="5B7A54B1" w14:textId="77777777" w:rsidR="00CD1A50" w:rsidRPr="00147EB6" w:rsidRDefault="00CD1A50" w:rsidP="00147EB6">
      <w:pPr>
        <w:jc w:val="both"/>
        <w:rPr>
          <w:rFonts w:ascii="Helvetica LT Std Cond" w:hAnsi="Helvetica LT Std Cond"/>
          <w:i/>
          <w:iCs/>
          <w:noProof/>
          <w:color w:val="7F7F7F" w:themeColor="text1" w:themeTint="80"/>
          <w:sz w:val="20"/>
          <w:szCs w:val="20"/>
        </w:rPr>
      </w:pPr>
      <w:r w:rsidRPr="00E14BC7">
        <w:rPr>
          <w:rFonts w:ascii="Helvetica LT Std Cond" w:hAnsi="Helvetica LT Std Cond"/>
          <w:i/>
          <w:iCs/>
          <w:noProof/>
          <w:color w:val="7F7F7F" w:themeColor="text1" w:themeTint="80"/>
        </w:rPr>
        <w:lastRenderedPageBreak/>
        <w:drawing>
          <wp:inline distT="0" distB="0" distL="0" distR="0" wp14:anchorId="3ABDDB60" wp14:editId="2095BE87">
            <wp:extent cx="6400800" cy="7772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2BBB13EA" wp14:editId="42F7CDCD">
            <wp:extent cx="6400800" cy="7772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379F0A7D" wp14:editId="6B622F28">
            <wp:extent cx="6400800" cy="7772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30B7F1E4" wp14:editId="1BC78216">
            <wp:extent cx="6400800" cy="7315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r w:rsidRPr="00147EB6">
        <w:rPr>
          <w:rFonts w:ascii="Helvetica LT Std Cond" w:hAnsi="Helvetica LT Std Cond"/>
          <w:noProof/>
          <w:color w:val="7F7F7F" w:themeColor="text1" w:themeTint="80"/>
          <w:sz w:val="20"/>
          <w:szCs w:val="20"/>
        </w:rPr>
        <w:t>A peticion or case can, at any time in the admissibility or merits stage, enter into a friendly settlement process between the parties.</w:t>
      </w:r>
    </w:p>
    <w:p w14:paraId="7F0FFDE9" w14:textId="77777777" w:rsidR="00CD1A50" w:rsidRDefault="00CD1A50" w:rsidP="00CD1A50">
      <w:pPr>
        <w:rPr>
          <w:rFonts w:ascii="Helvetica LT Std Cond" w:hAnsi="Helvetica LT Std Cond"/>
          <w:i/>
          <w:iCs/>
          <w:noProof/>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4FD639B1" wp14:editId="687021E0">
            <wp:extent cx="6400800" cy="7772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14:paraId="238CDE44" w14:textId="77777777" w:rsidR="00CD1A50" w:rsidRPr="00A429F0" w:rsidRDefault="00CD1A50" w:rsidP="00147EB6">
      <w:pPr>
        <w:jc w:val="both"/>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30D081C4" wp14:editId="4A0F0B8D">
            <wp:extent cx="6400800" cy="7772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3E3B07C6" wp14:editId="79A611D1">
            <wp:extent cx="6400800" cy="7315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r w:rsidRPr="00147EB6">
        <w:rPr>
          <w:rFonts w:ascii="Helvetica LT Std Cond" w:hAnsi="Helvetica LT Std Cond"/>
          <w:color w:val="7F7F7F" w:themeColor="text1" w:themeTint="80"/>
          <w:sz w:val="20"/>
          <w:szCs w:val="20"/>
        </w:rPr>
        <w:t xml:space="preserve">Merits is the stage in which the </w:t>
      </w:r>
      <w:r w:rsidRPr="00147EB6">
        <w:rPr>
          <w:rFonts w:ascii="Helvetica LT Std Cond" w:hAnsi="Helvetica LT Std Cond"/>
          <w:b/>
          <w:bCs/>
          <w:color w:val="7F7F7F" w:themeColor="text1" w:themeTint="80"/>
          <w:sz w:val="20"/>
          <w:szCs w:val="20"/>
        </w:rPr>
        <w:t>IACHR</w:t>
      </w:r>
      <w:r w:rsidRPr="00147EB6">
        <w:rPr>
          <w:rFonts w:ascii="Helvetica LT Std Cond" w:hAnsi="Helvetica LT Std Cond"/>
          <w:color w:val="7F7F7F" w:themeColor="text1" w:themeTint="80"/>
          <w:sz w:val="20"/>
          <w:szCs w:val="20"/>
        </w:rPr>
        <w:t xml:space="preserve"> decides on the merits of the case pursuant to the procedure established in Articles 48 and 50 of the American Convention on Human Rights and Articles 37, 38, 39, 43 and 44 of the Rules of Procedure of the Commission</w:t>
      </w:r>
      <w:r w:rsidRPr="00A429F0">
        <w:rPr>
          <w:rFonts w:ascii="Helvetica LT Std Cond" w:hAnsi="Helvetica LT Std Cond"/>
          <w:color w:val="7F7F7F" w:themeColor="text1" w:themeTint="80"/>
        </w:rPr>
        <w:t>.</w:t>
      </w:r>
    </w:p>
    <w:p w14:paraId="63F655CB" w14:textId="685E6C0D" w:rsidR="00CD1A50" w:rsidRPr="00A429F0" w:rsidRDefault="00CD1A50" w:rsidP="001A6BBE">
      <w:pPr>
        <w:jc w:val="both"/>
        <w:rPr>
          <w:rFonts w:ascii="Helvetica LT Std Cond" w:hAnsi="Helvetica LT Std Cond"/>
          <w:i/>
          <w:iCs/>
          <w:color w:val="7F7F7F" w:themeColor="text1" w:themeTint="80"/>
        </w:rPr>
      </w:pPr>
      <w:r w:rsidRPr="00A429F0">
        <w:rPr>
          <w:rFonts w:ascii="Helvetica LT Std Cond" w:hAnsi="Helvetica LT Std Cond"/>
          <w:color w:val="7F7F7F" w:themeColor="text1" w:themeTint="80"/>
        </w:rPr>
        <w:br w:type="page"/>
      </w:r>
      <w:r w:rsidRPr="00E14BC7">
        <w:rPr>
          <w:rFonts w:ascii="Helvetica LT Std Cond" w:hAnsi="Helvetica LT Std Cond"/>
          <w:i/>
          <w:iCs/>
          <w:noProof/>
          <w:color w:val="7F7F7F" w:themeColor="text1" w:themeTint="80"/>
        </w:rPr>
        <w:lastRenderedPageBreak/>
        <w:drawing>
          <wp:inline distT="0" distB="0" distL="0" distR="0" wp14:anchorId="7306656D" wp14:editId="576DF305">
            <wp:extent cx="6400800" cy="7315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r w:rsidRPr="001A6BBE">
        <w:rPr>
          <w:rFonts w:ascii="Helvetica LT Std Cond" w:hAnsi="Helvetica LT Std Cond"/>
          <w:color w:val="7F7F7F" w:themeColor="text1" w:themeTint="80"/>
          <w:sz w:val="20"/>
          <w:szCs w:val="20"/>
        </w:rPr>
        <w:t xml:space="preserve">Merits is the stage in which the </w:t>
      </w:r>
      <w:r w:rsidRPr="001A6BBE">
        <w:rPr>
          <w:rFonts w:ascii="Helvetica LT Std Cond" w:hAnsi="Helvetica LT Std Cond"/>
          <w:b/>
          <w:bCs/>
          <w:color w:val="7F7F7F" w:themeColor="text1" w:themeTint="80"/>
          <w:sz w:val="20"/>
          <w:szCs w:val="20"/>
        </w:rPr>
        <w:t>IACHR</w:t>
      </w:r>
      <w:r w:rsidRPr="001A6BBE">
        <w:rPr>
          <w:rFonts w:ascii="Helvetica LT Std Cond" w:hAnsi="Helvetica LT Std Cond"/>
          <w:color w:val="7F7F7F" w:themeColor="text1" w:themeTint="80"/>
          <w:sz w:val="20"/>
          <w:szCs w:val="20"/>
        </w:rPr>
        <w:t xml:space="preserve"> decides on the merits of the case pursuant to the procedure established in Articles 48 and 50 of the American Convention on Human Rights and Articles 37, 38, 39, 43 and 44 of the Rules of Procedure of the Commission.</w:t>
      </w:r>
      <w:r w:rsidRPr="00A429F0">
        <w:rPr>
          <w:rFonts w:ascii="Helvetica LT Std Cond" w:hAnsi="Helvetica LT Std Cond"/>
          <w:color w:val="7F7F7F" w:themeColor="text1" w:themeTint="80"/>
        </w:rPr>
        <w:br w:type="page"/>
      </w:r>
    </w:p>
    <w:p w14:paraId="2F1CE24C" w14:textId="0D3A24F8" w:rsidR="00CD1A50" w:rsidRDefault="00CD1A50" w:rsidP="001A6BBE">
      <w:pPr>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3010DA5D" wp14:editId="1195E992">
            <wp:extent cx="6400800" cy="7772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r>
        <w:rPr>
          <w:rFonts w:ascii="Helvetica LT Std Cond" w:hAnsi="Helvetica LT Std Cond"/>
          <w:color w:val="7F7F7F" w:themeColor="text1" w:themeTint="80"/>
        </w:rPr>
        <w:br w:type="page"/>
      </w:r>
    </w:p>
    <w:p w14:paraId="02224791" w14:textId="77777777" w:rsidR="00CD1A50" w:rsidRDefault="00CD1A50" w:rsidP="00CD1A50">
      <w:pPr>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3F2E39F7" wp14:editId="6B728DD9">
            <wp:extent cx="6400800" cy="7772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14:paraId="782043DD" w14:textId="5EC3DA98" w:rsidR="00CD1A50" w:rsidRDefault="00CD1A50" w:rsidP="00CD1A50">
      <w:pPr>
        <w:rPr>
          <w:rFonts w:ascii="Helvetica LT Std Cond" w:hAnsi="Helvetica LT Std Cond"/>
          <w:i/>
          <w:iCs/>
          <w:color w:val="7F7F7F" w:themeColor="text1" w:themeTint="80"/>
        </w:rPr>
      </w:pPr>
    </w:p>
    <w:p w14:paraId="08D86C5A" w14:textId="77777777" w:rsidR="00CD1A50" w:rsidRPr="00D457BF" w:rsidRDefault="00CD1A50" w:rsidP="00CD1A50">
      <w:pPr>
        <w:jc w:val="center"/>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24B8A4DC" wp14:editId="5A995C78">
            <wp:extent cx="5952744" cy="45720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r w:rsidRPr="00D457BF">
        <w:t xml:space="preserve"> </w:t>
      </w:r>
      <w:r w:rsidRPr="00E14582">
        <w:rPr>
          <w:rFonts w:ascii="Helvetica LT Std Cond" w:hAnsi="Helvetica LT Std Cond"/>
          <w:b/>
          <w:bCs/>
          <w:color w:val="7F7F7F" w:themeColor="text1" w:themeTint="80"/>
          <w:sz w:val="20"/>
          <w:szCs w:val="20"/>
        </w:rPr>
        <w:t>Note:</w:t>
      </w:r>
      <w:r w:rsidRPr="00E14582">
        <w:rPr>
          <w:rFonts w:ascii="Helvetica LT Std Cond" w:hAnsi="Helvetica LT Std Cond"/>
          <w:color w:val="7F7F7F" w:themeColor="text1" w:themeTint="80"/>
          <w:sz w:val="20"/>
          <w:szCs w:val="20"/>
        </w:rPr>
        <w:t xml:space="preserve"> The chart reflects the number of hearings of cases pending or supervised before the I/A Court H.R.</w:t>
      </w:r>
    </w:p>
    <w:p w14:paraId="71C174DC" w14:textId="77777777" w:rsidR="00CD1A50" w:rsidRDefault="00CD1A50" w:rsidP="00CD1A50">
      <w:r w:rsidRPr="00E14BC7">
        <w:rPr>
          <w:rFonts w:ascii="Helvetica LT Std Cond" w:hAnsi="Helvetica LT Std Cond"/>
          <w:i/>
          <w:iCs/>
          <w:noProof/>
          <w:color w:val="7F7F7F" w:themeColor="text1" w:themeTint="80"/>
        </w:rPr>
        <w:lastRenderedPageBreak/>
        <w:drawing>
          <wp:inline distT="0" distB="0" distL="0" distR="0" wp14:anchorId="487D4B8C" wp14:editId="09C81F8A">
            <wp:extent cx="6400800" cy="7315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14:paraId="25AD16A8" w14:textId="77777777" w:rsidR="00CD1A50" w:rsidRPr="00E14582" w:rsidRDefault="00CD1A50" w:rsidP="00E14582">
      <w:pPr>
        <w:jc w:val="both"/>
        <w:rPr>
          <w:rFonts w:ascii="Helvetica LT Std Cond" w:hAnsi="Helvetica LT Std Cond"/>
          <w:i/>
          <w:iCs/>
          <w:color w:val="7F7F7F" w:themeColor="text1" w:themeTint="80"/>
          <w:sz w:val="20"/>
          <w:szCs w:val="20"/>
        </w:rPr>
      </w:pPr>
      <w:r w:rsidRPr="00734265">
        <w:t xml:space="preserve"> </w:t>
      </w:r>
      <w:r w:rsidRPr="00E14582">
        <w:rPr>
          <w:rFonts w:ascii="Helvetica LT Std Cond" w:hAnsi="Helvetica LT Std Cond"/>
          <w:color w:val="7F7F7F" w:themeColor="text1" w:themeTint="80"/>
          <w:sz w:val="20"/>
          <w:szCs w:val="20"/>
        </w:rPr>
        <w:t>* The number refers to hearings related to contentious cases in process or under the supervision of judgment.</w:t>
      </w:r>
    </w:p>
    <w:p w14:paraId="7C4AF2E2" w14:textId="77777777" w:rsidR="00CD1A50" w:rsidRDefault="00CD1A50" w:rsidP="00CD1A50">
      <w:pPr>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5D6EB744" wp14:editId="7B798623">
            <wp:extent cx="6400800" cy="77724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001BF623" wp14:editId="4BBE5549">
            <wp:extent cx="6400800" cy="7772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5FDAB0AE" wp14:editId="3FC98D79">
            <wp:extent cx="6400800" cy="7636212"/>
            <wp:effectExtent l="0" t="0" r="0" b="317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14:paraId="6254CFB8" w14:textId="77777777" w:rsidR="00CD1A50" w:rsidRPr="00192808" w:rsidRDefault="00CD1A50" w:rsidP="00192808">
      <w:pPr>
        <w:jc w:val="both"/>
        <w:rPr>
          <w:rFonts w:ascii="Helvetica LT Std Cond" w:hAnsi="Helvetica LT Std Cond"/>
          <w:i/>
          <w:iCs/>
          <w:color w:val="7F7F7F" w:themeColor="text1" w:themeTint="80"/>
          <w:sz w:val="20"/>
          <w:szCs w:val="20"/>
        </w:rPr>
      </w:pPr>
      <w:r w:rsidRPr="00192808">
        <w:rPr>
          <w:rFonts w:ascii="Helvetica LT Std Cond" w:hAnsi="Helvetica LT Std Cond"/>
          <w:color w:val="7F7F7F" w:themeColor="text1" w:themeTint="80"/>
          <w:sz w:val="20"/>
          <w:szCs w:val="20"/>
        </w:rPr>
        <w:t>* Precautionary measures granted may include requests presented in previous years</w:t>
      </w:r>
    </w:p>
    <w:p w14:paraId="6AB1BD5A" w14:textId="77777777" w:rsidR="00CD1A50" w:rsidRPr="00192808" w:rsidRDefault="00CD1A50" w:rsidP="00CD1A50">
      <w:pPr>
        <w:rPr>
          <w:rFonts w:ascii="Helvetica LT Std Cond" w:hAnsi="Helvetica LT Std Cond"/>
          <w:i/>
          <w:iCs/>
          <w:color w:val="7F7F7F" w:themeColor="text1" w:themeTint="80"/>
          <w:sz w:val="20"/>
          <w:szCs w:val="20"/>
        </w:rPr>
      </w:pPr>
      <w:r w:rsidRPr="00E14BC7">
        <w:rPr>
          <w:rFonts w:ascii="Helvetica LT Std Cond" w:hAnsi="Helvetica LT Std Cond"/>
          <w:i/>
          <w:iCs/>
          <w:noProof/>
          <w:color w:val="7F7F7F" w:themeColor="text1" w:themeTint="80"/>
        </w:rPr>
        <w:lastRenderedPageBreak/>
        <w:drawing>
          <wp:inline distT="0" distB="0" distL="0" distR="0" wp14:anchorId="465B4984" wp14:editId="282D004B">
            <wp:extent cx="6400800" cy="764594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r w:rsidRPr="00192808">
        <w:rPr>
          <w:rFonts w:ascii="Helvetica LT Std Cond" w:hAnsi="Helvetica LT Std Cond"/>
          <w:color w:val="7F7F7F" w:themeColor="text1" w:themeTint="80"/>
          <w:sz w:val="20"/>
          <w:szCs w:val="20"/>
        </w:rPr>
        <w:t>* The total may also include decisions of requests received in previous years</w:t>
      </w:r>
    </w:p>
    <w:p w14:paraId="3FBA1B09" w14:textId="77777777" w:rsidR="00CD1A50" w:rsidRPr="00DB1582" w:rsidRDefault="00CD1A50" w:rsidP="00CD1A50">
      <w:pPr>
        <w:rPr>
          <w:rFonts w:ascii="Helvetica LT Std Cond" w:hAnsi="Helvetica LT Std Cond"/>
          <w:i/>
          <w:iCs/>
          <w:color w:val="7F7F7F" w:themeColor="text1" w:themeTint="80"/>
        </w:rPr>
      </w:pPr>
    </w:p>
    <w:p w14:paraId="61ABECFA" w14:textId="77777777" w:rsidR="00CD1A50" w:rsidRPr="00E14BC7" w:rsidRDefault="00CD1A50" w:rsidP="00CD1A50">
      <w:pPr>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66241AEF" wp14:editId="122A3E62">
            <wp:extent cx="6400800" cy="64008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14:paraId="1BAF2251" w14:textId="77777777" w:rsidR="00CD1A50" w:rsidRPr="00E14BC7" w:rsidRDefault="00CD1A50" w:rsidP="00CD1A50">
      <w:pPr>
        <w:rPr>
          <w:rFonts w:ascii="Helvetica LT Std Cond" w:eastAsia="Times New Roman" w:hAnsi="Helvetica LT Std Cond" w:cs="Times New Roman"/>
          <w:i/>
          <w:iCs/>
          <w:color w:val="7F7F7F" w:themeColor="text1" w:themeTint="80"/>
        </w:rPr>
      </w:pPr>
    </w:p>
    <w:p w14:paraId="28C43BB1" w14:textId="77777777" w:rsidR="00CD1A50" w:rsidRPr="00E14BC7" w:rsidRDefault="00CD1A50" w:rsidP="00CD1A50">
      <w:pPr>
        <w:rPr>
          <w:rFonts w:ascii="Helvetica LT Std Cond" w:hAnsi="Helvetica LT Std Cond"/>
          <w:i/>
          <w:iCs/>
          <w:color w:val="7F7F7F" w:themeColor="text1" w:themeTint="80"/>
        </w:rPr>
      </w:pPr>
    </w:p>
    <w:p w14:paraId="0B32CCF8" w14:textId="77777777" w:rsidR="00CD1A50" w:rsidRPr="00E14BC7" w:rsidRDefault="00CD1A50" w:rsidP="00CD1A50">
      <w:pPr>
        <w:rPr>
          <w:rFonts w:ascii="Helvetica LT Std Cond" w:hAnsi="Helvetica LT Std Cond"/>
          <w:i/>
          <w:iCs/>
          <w:color w:val="7F7F7F" w:themeColor="text1" w:themeTint="80"/>
        </w:rPr>
      </w:pPr>
    </w:p>
    <w:p w14:paraId="36EE0D80" w14:textId="77777777" w:rsidR="00CD1A50" w:rsidRPr="00192808" w:rsidRDefault="00CD1A50" w:rsidP="00192808">
      <w:pPr>
        <w:jc w:val="both"/>
        <w:rPr>
          <w:rFonts w:ascii="Helvetica LT Std Cond" w:hAnsi="Helvetica LT Std Cond"/>
          <w:i/>
          <w:iCs/>
          <w:color w:val="7F7F7F" w:themeColor="text1" w:themeTint="80"/>
          <w:sz w:val="20"/>
          <w:szCs w:val="20"/>
        </w:rPr>
      </w:pPr>
      <w:r w:rsidRPr="00E14BC7">
        <w:rPr>
          <w:rFonts w:ascii="Helvetica LT Std Cond" w:hAnsi="Helvetica LT Std Cond"/>
          <w:i/>
          <w:iCs/>
          <w:noProof/>
          <w:color w:val="7F7F7F" w:themeColor="text1" w:themeTint="80"/>
        </w:rPr>
        <w:lastRenderedPageBreak/>
        <w:drawing>
          <wp:inline distT="0" distB="0" distL="0" distR="0" wp14:anchorId="79A7FD3B" wp14:editId="3CAAB326">
            <wp:extent cx="6400800" cy="7772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7BA7963D" wp14:editId="722A55C0">
            <wp:extent cx="6400800" cy="70866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r w:rsidRPr="00D457BF">
        <w:t xml:space="preserve"> </w:t>
      </w:r>
      <w:r w:rsidRPr="00192808">
        <w:rPr>
          <w:rFonts w:ascii="Helvetica LT Std Cond" w:hAnsi="Helvetica LT Std Cond"/>
          <w:color w:val="7F7F7F" w:themeColor="text1" w:themeTint="80"/>
          <w:sz w:val="20"/>
          <w:szCs w:val="20"/>
        </w:rPr>
        <w:t xml:space="preserve">In 2019 the </w:t>
      </w:r>
      <w:r w:rsidRPr="00192808">
        <w:rPr>
          <w:rFonts w:ascii="Helvetica LT Std Cond" w:hAnsi="Helvetica LT Std Cond"/>
          <w:b/>
          <w:bCs/>
          <w:color w:val="7F7F7F" w:themeColor="text1" w:themeTint="80"/>
          <w:sz w:val="20"/>
          <w:szCs w:val="20"/>
        </w:rPr>
        <w:t>IACHR</w:t>
      </w:r>
      <w:r w:rsidRPr="00192808">
        <w:rPr>
          <w:rFonts w:ascii="Helvetica LT Std Cond" w:hAnsi="Helvetica LT Std Cond"/>
          <w:color w:val="7F7F7F" w:themeColor="text1" w:themeTint="80"/>
          <w:sz w:val="20"/>
          <w:szCs w:val="20"/>
        </w:rPr>
        <w:t xml:space="preserve"> approved 5 thematic reports and 1 country report.</w:t>
      </w:r>
    </w:p>
    <w:p w14:paraId="6588C54F" w14:textId="77777777" w:rsidR="00CD1A50" w:rsidRPr="00192808" w:rsidRDefault="00CD1A50" w:rsidP="00192808">
      <w:pPr>
        <w:jc w:val="both"/>
        <w:rPr>
          <w:rFonts w:ascii="Helvetica LT Std Cond" w:hAnsi="Helvetica LT Std Cond"/>
          <w:i/>
          <w:iCs/>
          <w:color w:val="7F7F7F" w:themeColor="text1" w:themeTint="80"/>
          <w:sz w:val="20"/>
          <w:szCs w:val="20"/>
        </w:rPr>
      </w:pPr>
      <w:r w:rsidRPr="00192808">
        <w:rPr>
          <w:rFonts w:ascii="Helvetica LT Std Cond" w:hAnsi="Helvetica LT Std Cond"/>
          <w:color w:val="7F7F7F" w:themeColor="text1" w:themeTint="80"/>
          <w:sz w:val="20"/>
          <w:szCs w:val="20"/>
        </w:rPr>
        <w:t xml:space="preserve">In 2020 the </w:t>
      </w:r>
      <w:r w:rsidRPr="00192808">
        <w:rPr>
          <w:rFonts w:ascii="Helvetica LT Std Cond" w:hAnsi="Helvetica LT Std Cond"/>
          <w:b/>
          <w:bCs/>
          <w:color w:val="7F7F7F" w:themeColor="text1" w:themeTint="80"/>
          <w:sz w:val="20"/>
          <w:szCs w:val="20"/>
        </w:rPr>
        <w:t>IACHR</w:t>
      </w:r>
      <w:r w:rsidRPr="00192808">
        <w:rPr>
          <w:rFonts w:ascii="Helvetica LT Std Cond" w:hAnsi="Helvetica LT Std Cond"/>
          <w:color w:val="7F7F7F" w:themeColor="text1" w:themeTint="80"/>
          <w:sz w:val="20"/>
          <w:szCs w:val="20"/>
        </w:rPr>
        <w:t xml:space="preserve"> approved 6 thematic reports and 1 country report. The thematic reports of the </w:t>
      </w:r>
      <w:r w:rsidRPr="00192808">
        <w:rPr>
          <w:rFonts w:ascii="Helvetica LT Std Cond" w:hAnsi="Helvetica LT Std Cond"/>
          <w:b/>
          <w:bCs/>
          <w:color w:val="7F7F7F" w:themeColor="text1" w:themeTint="80"/>
          <w:sz w:val="20"/>
          <w:szCs w:val="20"/>
        </w:rPr>
        <w:t>IACHR</w:t>
      </w:r>
      <w:r w:rsidRPr="00192808">
        <w:rPr>
          <w:rFonts w:ascii="Helvetica LT Std Cond" w:hAnsi="Helvetica LT Std Cond"/>
          <w:color w:val="7F7F7F" w:themeColor="text1" w:themeTint="80"/>
          <w:sz w:val="20"/>
          <w:szCs w:val="20"/>
        </w:rPr>
        <w:t xml:space="preserve"> include other documents and studies.</w:t>
      </w:r>
    </w:p>
    <w:p w14:paraId="2D1DF454" w14:textId="30F38434" w:rsidR="00CD1A50" w:rsidRPr="00192808" w:rsidRDefault="00CD1A50" w:rsidP="00192808">
      <w:pPr>
        <w:jc w:val="both"/>
        <w:rPr>
          <w:rFonts w:ascii="Helvetica LT Std Cond" w:hAnsi="Helvetica LT Std Cond"/>
          <w:i/>
          <w:iCs/>
          <w:color w:val="7F7F7F" w:themeColor="text1" w:themeTint="80"/>
          <w:sz w:val="20"/>
          <w:szCs w:val="20"/>
        </w:rPr>
      </w:pPr>
      <w:r w:rsidRPr="00192808">
        <w:rPr>
          <w:rFonts w:ascii="Helvetica LT Std Cond" w:hAnsi="Helvetica LT Std Cond"/>
          <w:color w:val="7F7F7F" w:themeColor="text1" w:themeTint="80"/>
          <w:sz w:val="20"/>
          <w:szCs w:val="20"/>
        </w:rPr>
        <w:t xml:space="preserve">In 2021 the </w:t>
      </w:r>
      <w:r w:rsidRPr="00192808">
        <w:rPr>
          <w:rFonts w:ascii="Helvetica LT Std Cond" w:hAnsi="Helvetica LT Std Cond"/>
          <w:b/>
          <w:bCs/>
          <w:color w:val="7F7F7F" w:themeColor="text1" w:themeTint="80"/>
          <w:sz w:val="20"/>
          <w:szCs w:val="20"/>
        </w:rPr>
        <w:t>IACHR</w:t>
      </w:r>
      <w:r w:rsidRPr="00192808">
        <w:rPr>
          <w:rFonts w:ascii="Helvetica LT Std Cond" w:hAnsi="Helvetica LT Std Cond"/>
          <w:color w:val="7F7F7F" w:themeColor="text1" w:themeTint="80"/>
          <w:sz w:val="20"/>
          <w:szCs w:val="20"/>
        </w:rPr>
        <w:t xml:space="preserve"> approved 8 thematic reports and 2 country reports.</w:t>
      </w:r>
    </w:p>
    <w:sectPr w:rsidR="00CD1A50" w:rsidRPr="00192808" w:rsidSect="0089201C">
      <w:headerReference w:type="default" r:id="rId284"/>
      <w:footerReference w:type="default" r:id="rId285"/>
      <w:pgSz w:w="12240" w:h="15840"/>
      <w:pgMar w:top="1440" w:right="1440" w:bottom="1440" w:left="1440" w:header="708" w:footer="708" w:gutter="0"/>
      <w:pgNumType w:start="7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EB863" w14:textId="77777777" w:rsidR="00457446" w:rsidRDefault="00457446" w:rsidP="00672733">
      <w:r>
        <w:separator/>
      </w:r>
    </w:p>
  </w:endnote>
  <w:endnote w:type="continuationSeparator" w:id="0">
    <w:p w14:paraId="32762EC4" w14:textId="77777777" w:rsidR="00457446" w:rsidRDefault="00457446" w:rsidP="00672733">
      <w:r>
        <w:continuationSeparator/>
      </w:r>
    </w:p>
  </w:endnote>
  <w:endnote w:type="continuationNotice" w:id="1">
    <w:p w14:paraId="6AEF54F5" w14:textId="77777777" w:rsidR="00457446" w:rsidRDefault="004574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Lohit Devanagari">
    <w:altName w:val="Times New Roman"/>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Helvetica LT Std Cond">
    <w:panose1 w:val="020B050602020203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E7DE" w14:textId="4D8815E6" w:rsidR="00E516AB" w:rsidRPr="00846163" w:rsidRDefault="00E516AB">
    <w:pPr>
      <w:pStyle w:val="Footer"/>
      <w:tabs>
        <w:tab w:val="clear" w:pos="4680"/>
        <w:tab w:val="clear" w:pos="9360"/>
      </w:tabs>
      <w:jc w:val="center"/>
      <w:rPr>
        <w:rFonts w:ascii="Cambria" w:hAnsi="Cambria"/>
        <w:caps/>
        <w:noProof/>
        <w:color w:val="000000" w:themeColor="text1"/>
        <w:sz w:val="16"/>
        <w:szCs w:val="16"/>
      </w:rPr>
    </w:pPr>
    <w:r w:rsidRPr="0089201C">
      <w:rPr>
        <w:rFonts w:ascii="Cambria" w:hAnsi="Cambria"/>
        <w:caps/>
        <w:color w:val="000000" w:themeColor="text1"/>
        <w:sz w:val="16"/>
        <w:szCs w:val="16"/>
      </w:rPr>
      <w:fldChar w:fldCharType="begin"/>
    </w:r>
    <w:r w:rsidRPr="0089201C">
      <w:rPr>
        <w:rFonts w:ascii="Cambria" w:hAnsi="Cambria"/>
        <w:caps/>
        <w:color w:val="000000" w:themeColor="text1"/>
        <w:sz w:val="16"/>
        <w:szCs w:val="16"/>
      </w:rPr>
      <w:instrText xml:space="preserve"> PAGE   \* MERGEFORMAT </w:instrText>
    </w:r>
    <w:r w:rsidRPr="0089201C">
      <w:rPr>
        <w:rFonts w:ascii="Cambria" w:hAnsi="Cambria"/>
        <w:caps/>
        <w:color w:val="000000" w:themeColor="text1"/>
        <w:sz w:val="16"/>
        <w:szCs w:val="16"/>
      </w:rPr>
      <w:fldChar w:fldCharType="separate"/>
    </w:r>
    <w:r w:rsidR="00EA0262" w:rsidRPr="0089201C">
      <w:rPr>
        <w:rFonts w:ascii="Cambria" w:hAnsi="Cambria"/>
        <w:caps/>
        <w:noProof/>
        <w:color w:val="000000" w:themeColor="text1"/>
        <w:sz w:val="16"/>
        <w:szCs w:val="16"/>
      </w:rPr>
      <w:t>2</w:t>
    </w:r>
    <w:r w:rsidRPr="0089201C">
      <w:rPr>
        <w:rFonts w:ascii="Cambria" w:hAnsi="Cambria"/>
        <w:caps/>
        <w:noProof/>
        <w:color w:val="000000" w:themeColor="text1"/>
        <w:sz w:val="16"/>
        <w:szCs w:val="16"/>
      </w:rPr>
      <w:fldChar w:fldCharType="end"/>
    </w:r>
  </w:p>
  <w:p w14:paraId="51A13522" w14:textId="77777777" w:rsidR="00E516AB" w:rsidRDefault="00E516AB">
    <w:pPr>
      <w:pStyle w:val="Footer"/>
    </w:pPr>
  </w:p>
  <w:p w14:paraId="17F939C4" w14:textId="77777777" w:rsidR="001D0BD9" w:rsidRDefault="001D0BD9"/>
  <w:p w14:paraId="08980CC2" w14:textId="77777777" w:rsidR="001D0BD9" w:rsidRDefault="001D0B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318D4" w14:textId="77777777" w:rsidR="00457446" w:rsidRDefault="00457446" w:rsidP="00672733">
      <w:r>
        <w:separator/>
      </w:r>
    </w:p>
  </w:footnote>
  <w:footnote w:type="continuationSeparator" w:id="0">
    <w:p w14:paraId="75151331" w14:textId="77777777" w:rsidR="00457446" w:rsidRDefault="00457446" w:rsidP="00672733">
      <w:r>
        <w:continuationSeparator/>
      </w:r>
    </w:p>
  </w:footnote>
  <w:footnote w:type="continuationNotice" w:id="1">
    <w:p w14:paraId="1BFAAA64" w14:textId="77777777" w:rsidR="00457446" w:rsidRDefault="00457446"/>
  </w:footnote>
  <w:footnote w:id="2">
    <w:p w14:paraId="436AFB69" w14:textId="02402962" w:rsidR="003C66AA" w:rsidRPr="003C66AA" w:rsidRDefault="003C66AA" w:rsidP="003C66AA">
      <w:pPr>
        <w:pStyle w:val="FootnoteText"/>
        <w:ind w:firstLine="720"/>
        <w:jc w:val="both"/>
        <w:rPr>
          <w:rFonts w:ascii="Cambria" w:hAnsi="Cambria"/>
          <w:sz w:val="16"/>
          <w:szCs w:val="16"/>
        </w:rPr>
      </w:pPr>
      <w:r w:rsidRPr="003C66AA">
        <w:rPr>
          <w:rStyle w:val="FootnoteReference"/>
          <w:rFonts w:ascii="Cambria" w:hAnsi="Cambria"/>
          <w:sz w:val="16"/>
          <w:szCs w:val="16"/>
        </w:rPr>
        <w:footnoteRef/>
      </w:r>
      <w:r w:rsidRPr="003C66AA">
        <w:rPr>
          <w:rFonts w:ascii="Cambria" w:hAnsi="Cambria"/>
          <w:sz w:val="16"/>
          <w:szCs w:val="16"/>
        </w:rPr>
        <w:t xml:space="preserve"> It should be noted that in accordance with the provisions of Article 17.2.a of the Commission's Regulations, Commissioner Margarette May Macaulay, a national of Jamaica, did not participate in the debate or the conclusions of the reports or precautionary measures referring to said country; neither did the Commissioners Esmeralda Arosemena de Troitiño in the affairs of Panama; Roberta Clark on Barbados affairs; Julissa Mantilla in the affairs of Peru; Joel Hernández García in the affairs of Mexico; Edgar Stuardo Ralón Orellana in the affairs of Guatemala; and Carlos Bernal Pulido on Colombian affairs.</w:t>
      </w:r>
    </w:p>
  </w:footnote>
  <w:footnote w:id="3">
    <w:p w14:paraId="0BDFDD23" w14:textId="33C07E09" w:rsidR="00F25813" w:rsidRPr="00805AA2" w:rsidRDefault="00F25813" w:rsidP="00805AA2">
      <w:pPr>
        <w:pStyle w:val="FootnoteText"/>
        <w:ind w:firstLine="720"/>
        <w:jc w:val="both"/>
        <w:rPr>
          <w:rFonts w:ascii="Cambria" w:hAnsi="Cambria"/>
          <w:sz w:val="16"/>
          <w:szCs w:val="16"/>
        </w:rPr>
      </w:pPr>
      <w:r w:rsidRPr="00805AA2">
        <w:rPr>
          <w:rStyle w:val="FootnoteReference"/>
          <w:rFonts w:ascii="Cambria" w:hAnsi="Cambria"/>
          <w:sz w:val="16"/>
          <w:szCs w:val="16"/>
        </w:rPr>
        <w:footnoteRef/>
      </w:r>
      <w:r w:rsidRPr="00805AA2">
        <w:rPr>
          <w:rFonts w:ascii="Cambria" w:hAnsi="Cambria"/>
          <w:sz w:val="16"/>
          <w:szCs w:val="16"/>
        </w:rPr>
        <w:t xml:space="preserve"> </w:t>
      </w:r>
      <w:r w:rsidR="00805AA2" w:rsidRPr="00805AA2">
        <w:rPr>
          <w:rFonts w:ascii="Cambria" w:hAnsi="Cambria"/>
          <w:sz w:val="16"/>
          <w:szCs w:val="16"/>
        </w:rPr>
        <w:t>At the time of publication of this annual report, this report was still in the process of notification to the parties.</w:t>
      </w:r>
    </w:p>
  </w:footnote>
  <w:footnote w:id="4">
    <w:p w14:paraId="19CC4183" w14:textId="77777777" w:rsidR="0057201B" w:rsidRPr="005615BA" w:rsidRDefault="0057201B" w:rsidP="00D26402">
      <w:pPr>
        <w:pStyle w:val="FootnoteText"/>
        <w:ind w:firstLine="720"/>
        <w:jc w:val="both"/>
        <w:rPr>
          <w:rFonts w:ascii="Cambria" w:hAnsi="Cambria"/>
          <w:sz w:val="16"/>
          <w:szCs w:val="16"/>
        </w:rPr>
      </w:pPr>
      <w:r w:rsidRPr="005615BA">
        <w:rPr>
          <w:rStyle w:val="FootnoteReference"/>
          <w:rFonts w:ascii="Cambria" w:hAnsi="Cambria"/>
          <w:sz w:val="16"/>
          <w:szCs w:val="16"/>
        </w:rPr>
        <w:footnoteRef/>
      </w:r>
      <w:r w:rsidRPr="005615BA">
        <w:rPr>
          <w:rFonts w:ascii="Cambria" w:hAnsi="Cambria"/>
          <w:sz w:val="16"/>
          <w:szCs w:val="16"/>
        </w:rPr>
        <w:t xml:space="preserve"> Available at: </w:t>
      </w:r>
      <w:hyperlink r:id="rId1" w:history="1">
        <w:r w:rsidRPr="005615BA">
          <w:rPr>
            <w:rStyle w:val="Hyperlink"/>
            <w:rFonts w:ascii="Cambria" w:hAnsi="Cambria"/>
            <w:sz w:val="16"/>
            <w:szCs w:val="16"/>
          </w:rPr>
          <w:t>https://www.oas.org/en/iachr/decisions/pdf/2022/res-1-22-EN.pdf</w:t>
        </w:r>
      </w:hyperlink>
      <w:r w:rsidRPr="005615BA">
        <w:rPr>
          <w:rFonts w:ascii="Cambria" w:hAnsi="Cambria"/>
          <w:sz w:val="16"/>
          <w:szCs w:val="16"/>
        </w:rPr>
        <w:t>.</w:t>
      </w:r>
    </w:p>
  </w:footnote>
  <w:footnote w:id="5">
    <w:p w14:paraId="4BF9ECBF" w14:textId="77777777" w:rsidR="0057201B" w:rsidRPr="00451B1A" w:rsidRDefault="0057201B" w:rsidP="00D26402">
      <w:pPr>
        <w:pStyle w:val="FootnoteText"/>
        <w:ind w:firstLine="720"/>
        <w:jc w:val="both"/>
        <w:rPr>
          <w:rFonts w:ascii="Cambria" w:hAnsi="Cambria"/>
        </w:rPr>
      </w:pPr>
      <w:r w:rsidRPr="005615BA">
        <w:rPr>
          <w:rStyle w:val="FootnoteReference"/>
          <w:rFonts w:ascii="Cambria" w:hAnsi="Cambria"/>
          <w:sz w:val="16"/>
          <w:szCs w:val="16"/>
        </w:rPr>
        <w:footnoteRef/>
      </w:r>
      <w:r w:rsidRPr="005615BA">
        <w:rPr>
          <w:rFonts w:ascii="Cambria" w:hAnsi="Cambria"/>
          <w:sz w:val="16"/>
          <w:szCs w:val="16"/>
        </w:rPr>
        <w:t xml:space="preserve"> Under the criteria laid out in Article 42(1)(b) of the Rules of Procedure, the IACHR understands that procedural inactivity of more than two years on the part of the petitioners is unwarranted for petitions under initial review in which a decision has been made to open a case.</w:t>
      </w:r>
      <w:r w:rsidRPr="00451B1A">
        <w:rPr>
          <w:rFonts w:ascii="Cambria" w:hAnsi="Cambria"/>
        </w:rPr>
        <w:t xml:space="preserve"> </w:t>
      </w:r>
    </w:p>
  </w:footnote>
  <w:footnote w:id="6">
    <w:p w14:paraId="4DFC3107" w14:textId="77777777" w:rsidR="00235BBE" w:rsidRPr="00FD4462" w:rsidRDefault="00235BBE" w:rsidP="007C26D9">
      <w:pPr>
        <w:ind w:firstLine="720"/>
        <w:jc w:val="both"/>
        <w:rPr>
          <w:rFonts w:ascii="Cambria" w:eastAsia="Times New Roman" w:hAnsi="Cambria" w:cs="Calibri"/>
          <w:b/>
          <w:bCs/>
          <w:color w:val="000000"/>
        </w:rPr>
      </w:pPr>
      <w:r w:rsidRPr="00210201">
        <w:rPr>
          <w:rFonts w:ascii="Cambria" w:hAnsi="Cambria"/>
          <w:sz w:val="16"/>
          <w:szCs w:val="16"/>
          <w:lang w:val="es-US"/>
        </w:rPr>
        <w:footnoteRef/>
      </w:r>
      <w:r w:rsidRPr="00FD4462">
        <w:rPr>
          <w:rFonts w:ascii="Cambria" w:hAnsi="Cambria"/>
          <w:sz w:val="16"/>
          <w:szCs w:val="16"/>
        </w:rPr>
        <w:t xml:space="preserve"> Commissioner Bernal Pulido </w:t>
      </w:r>
      <w:r>
        <w:rPr>
          <w:rFonts w:ascii="Cambria" w:hAnsi="Cambria"/>
          <w:sz w:val="16"/>
          <w:szCs w:val="16"/>
        </w:rPr>
        <w:t>declined to participate</w:t>
      </w:r>
      <w:r w:rsidRPr="00D07BC8">
        <w:rPr>
          <w:rFonts w:ascii="Cambria" w:hAnsi="Cambria"/>
          <w:sz w:val="16"/>
          <w:szCs w:val="16"/>
        </w:rPr>
        <w:t xml:space="preserve"> in the decisions o</w:t>
      </w:r>
      <w:r>
        <w:rPr>
          <w:rFonts w:ascii="Cambria" w:hAnsi="Cambria"/>
          <w:sz w:val="16"/>
          <w:szCs w:val="16"/>
        </w:rPr>
        <w:t>n</w:t>
      </w:r>
      <w:r w:rsidRPr="00D07BC8">
        <w:rPr>
          <w:rFonts w:ascii="Cambria" w:hAnsi="Cambria"/>
          <w:sz w:val="16"/>
          <w:szCs w:val="16"/>
        </w:rPr>
        <w:t xml:space="preserve"> matters related to the Un</w:t>
      </w:r>
      <w:r>
        <w:rPr>
          <w:rFonts w:ascii="Cambria" w:hAnsi="Cambria"/>
          <w:sz w:val="16"/>
          <w:szCs w:val="16"/>
        </w:rPr>
        <w:t>ited States</w:t>
      </w:r>
      <w:r w:rsidRPr="00D07BC8">
        <w:rPr>
          <w:rFonts w:ascii="Cambria" w:hAnsi="Cambria"/>
          <w:sz w:val="16"/>
          <w:szCs w:val="16"/>
        </w:rPr>
        <w:t>.</w:t>
      </w:r>
    </w:p>
  </w:footnote>
  <w:footnote w:id="7">
    <w:p w14:paraId="5EF1CAFC" w14:textId="77777777" w:rsidR="0057201B" w:rsidRPr="009B24BD" w:rsidRDefault="0057201B" w:rsidP="003A787D">
      <w:pPr>
        <w:ind w:firstLine="720"/>
        <w:jc w:val="both"/>
        <w:rPr>
          <w:rFonts w:ascii="Cambria" w:eastAsia="Times New Roman" w:hAnsi="Cambria" w:cs="Calibri"/>
          <w:b/>
          <w:bCs/>
          <w:color w:val="000000"/>
          <w:sz w:val="16"/>
          <w:szCs w:val="16"/>
        </w:rPr>
      </w:pPr>
      <w:r w:rsidRPr="009B24BD">
        <w:rPr>
          <w:rStyle w:val="FootnoteReference"/>
          <w:rFonts w:ascii="Cambria" w:hAnsi="Cambria"/>
          <w:sz w:val="16"/>
          <w:szCs w:val="16"/>
        </w:rPr>
        <w:footnoteRef/>
      </w:r>
      <w:r w:rsidRPr="009B24BD">
        <w:rPr>
          <w:rFonts w:ascii="Cambria" w:hAnsi="Cambria"/>
          <w:sz w:val="16"/>
          <w:szCs w:val="16"/>
        </w:rPr>
        <w:t xml:space="preserve"> Commissioner Bernal Pulido declined to participate in the decisions on matters related to the United States.</w:t>
      </w:r>
    </w:p>
    <w:p w14:paraId="7D04FF88" w14:textId="77777777" w:rsidR="0057201B" w:rsidRPr="00D07BC8" w:rsidRDefault="0057201B" w:rsidP="0057201B">
      <w:pPr>
        <w:pStyle w:val="FootnoteText"/>
        <w:rPr>
          <w:rFonts w:ascii="Cambria" w:hAnsi="Cambria"/>
        </w:rPr>
      </w:pPr>
    </w:p>
  </w:footnote>
  <w:footnote w:id="8">
    <w:p w14:paraId="43CC0A61" w14:textId="77777777" w:rsidR="0057201B" w:rsidRPr="00242756" w:rsidRDefault="0057201B" w:rsidP="00242756">
      <w:pPr>
        <w:pStyle w:val="FootnoteText"/>
        <w:ind w:firstLine="720"/>
        <w:jc w:val="both"/>
        <w:rPr>
          <w:rFonts w:ascii="Cambria" w:hAnsi="Cambria"/>
          <w:sz w:val="16"/>
          <w:szCs w:val="16"/>
        </w:rPr>
      </w:pPr>
      <w:r w:rsidRPr="00242756">
        <w:rPr>
          <w:rStyle w:val="FootnoteReference"/>
          <w:rFonts w:ascii="Cambria" w:hAnsi="Cambria"/>
          <w:sz w:val="16"/>
          <w:szCs w:val="16"/>
        </w:rPr>
        <w:footnoteRef/>
      </w:r>
      <w:r w:rsidRPr="00242756">
        <w:rPr>
          <w:rFonts w:ascii="Cambria" w:hAnsi="Cambria"/>
          <w:sz w:val="16"/>
          <w:szCs w:val="16"/>
        </w:rPr>
        <w:t xml:space="preserve"> All of these reports are available at: </w:t>
      </w:r>
      <w:hyperlink r:id="rId2" w:history="1">
        <w:r w:rsidRPr="00242756">
          <w:rPr>
            <w:rStyle w:val="Hyperlink"/>
            <w:rFonts w:ascii="Cambria" w:hAnsi="Cambria"/>
            <w:sz w:val="16"/>
            <w:szCs w:val="16"/>
          </w:rPr>
          <w:t>https://www.oas.org/en/iachr/decisions/pc/admissibilities.asp</w:t>
        </w:r>
      </w:hyperlink>
      <w:r w:rsidRPr="00242756">
        <w:rPr>
          <w:rFonts w:ascii="Cambria" w:hAnsi="Cambria"/>
          <w:sz w:val="16"/>
          <w:szCs w:val="16"/>
        </w:rPr>
        <w:t>.</w:t>
      </w:r>
    </w:p>
  </w:footnote>
  <w:footnote w:id="9">
    <w:p w14:paraId="05B6FC64" w14:textId="77777777" w:rsidR="0057201B" w:rsidRPr="00242756" w:rsidRDefault="0057201B" w:rsidP="00242756">
      <w:pPr>
        <w:pStyle w:val="FootnoteText"/>
        <w:ind w:firstLine="720"/>
        <w:jc w:val="both"/>
        <w:rPr>
          <w:rFonts w:ascii="Cambria" w:hAnsi="Cambria"/>
          <w:sz w:val="16"/>
          <w:szCs w:val="16"/>
        </w:rPr>
      </w:pPr>
      <w:r w:rsidRPr="00242756">
        <w:rPr>
          <w:rStyle w:val="FootnoteReference"/>
          <w:rFonts w:ascii="Cambria" w:hAnsi="Cambria"/>
          <w:sz w:val="16"/>
          <w:szCs w:val="16"/>
        </w:rPr>
        <w:footnoteRef/>
      </w:r>
      <w:r w:rsidRPr="00242756">
        <w:rPr>
          <w:rFonts w:ascii="Cambria" w:hAnsi="Cambria"/>
          <w:sz w:val="16"/>
          <w:szCs w:val="16"/>
        </w:rPr>
        <w:t xml:space="preserve"> International Court of Justice, Armed Activities on the Territory of the Congo (Democratic Republic of the Congo v. Rwanda), Judgment of February 3, 2006, par. 64; Application of the Convention on the Prevention and Punishment of the Crime of Genocide (Bosnia and Herzegovina v. Serbia and Montenegro), Judgment of February 26, 2007, paras. 161-162; and Application of the Convention on the Prevention and Punishment of the Crime of Genocide (Croatia v. Serbia), Judgment of February 3, 2015, par. 87. See also International Law Commission, Report on its 71st session, presented to the United Nations General Assembly, A/74/10, December 10, 2019, pps. 150 and ff.</w:t>
      </w:r>
    </w:p>
  </w:footnote>
  <w:footnote w:id="10">
    <w:p w14:paraId="57FD30F0" w14:textId="77777777" w:rsidR="0057201B" w:rsidRPr="00325957" w:rsidRDefault="0057201B" w:rsidP="00242756">
      <w:pPr>
        <w:pStyle w:val="FootnoteText"/>
        <w:ind w:firstLine="720"/>
        <w:jc w:val="both"/>
        <w:rPr>
          <w:rFonts w:ascii="Cambria" w:hAnsi="Cambria"/>
          <w:sz w:val="16"/>
          <w:szCs w:val="16"/>
        </w:rPr>
      </w:pPr>
      <w:r w:rsidRPr="00242756">
        <w:rPr>
          <w:rStyle w:val="FootnoteReference"/>
          <w:rFonts w:ascii="Cambria" w:hAnsi="Cambria"/>
          <w:sz w:val="16"/>
          <w:szCs w:val="16"/>
        </w:rPr>
        <w:footnoteRef/>
      </w:r>
      <w:r w:rsidRPr="00242756">
        <w:rPr>
          <w:rFonts w:ascii="Cambria" w:hAnsi="Cambria"/>
          <w:sz w:val="16"/>
          <w:szCs w:val="16"/>
        </w:rPr>
        <w:t xml:space="preserve"> Article XI, American Declaration on the Rights of Indigenous Peoples, AG/RES. 2888 (XLVI-O/16), adopted on June 14, 2016, by the General Assembly of the Organization of American States.</w:t>
      </w:r>
    </w:p>
  </w:footnote>
  <w:footnote w:id="11">
    <w:p w14:paraId="6E22F8F4"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The percentage of compliance was calculated taking into consideration the total number of measures established in each agreement as a 100%, and the number of clauses that have been totally complied with. </w:t>
      </w:r>
    </w:p>
  </w:footnote>
  <w:footnote w:id="12">
    <w:p w14:paraId="4EB5A6AB" w14:textId="77777777" w:rsidR="00183F07" w:rsidRPr="00C57C0F" w:rsidRDefault="00183F07" w:rsidP="00183F07">
      <w:pPr>
        <w:pStyle w:val="FootnoteText"/>
        <w:ind w:firstLine="720"/>
        <w:jc w:val="both"/>
        <w:rPr>
          <w:rFonts w:ascii="Cambria" w:hAnsi="Cambria"/>
          <w:sz w:val="16"/>
          <w:szCs w:val="16"/>
          <w:u w:val="single"/>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2008, Chapter III, Section D: Status of Compliance with IACHR Recommendations, paras. 38-40.</w:t>
      </w:r>
    </w:p>
  </w:footnote>
  <w:footnote w:id="13">
    <w:p w14:paraId="29C7DC0B"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2019, Chapter II, Section G. Status of compliance with the IACHR recommendations issued in merits reports and the friendly settlement agreements approved by the IACHR. At the petitioner's request, the Commission decided, in accordance with Article 42 and 48 of its Regulations, to cease monitoring compliance with the friendly settlement agreement and close the matter. The IACHR considers that the State failed to comply with the justice measures and legislative reforms enshrined in the friendly settlement agreement.</w:t>
      </w:r>
    </w:p>
  </w:footnote>
  <w:footnote w:id="14">
    <w:p w14:paraId="73515760" w14:textId="77777777" w:rsidR="00183F07" w:rsidRPr="00C57C0F" w:rsidRDefault="00183F07" w:rsidP="00183F07">
      <w:pPr>
        <w:pStyle w:val="FootnoteText"/>
        <w:ind w:firstLine="720"/>
        <w:jc w:val="both"/>
        <w:rPr>
          <w:rFonts w:ascii="Cambria" w:hAnsi="Cambria"/>
          <w:sz w:val="16"/>
          <w:szCs w:val="16"/>
          <w:u w:val="single"/>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2015, Chapter III, Section D: Status of Compliance with IACHR Recommendations, para. 114.</w:t>
      </w:r>
    </w:p>
  </w:footnote>
  <w:footnote w:id="15">
    <w:p w14:paraId="129205B9"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2011, Chapter III, Section D: Status of Compliance with IACHR Recommendations, paras. 159-164.</w:t>
      </w:r>
    </w:p>
  </w:footnote>
  <w:footnote w:id="16">
    <w:p w14:paraId="06F249D3" w14:textId="77777777" w:rsidR="00183F07" w:rsidRPr="00C57C0F" w:rsidRDefault="00183F07" w:rsidP="00183F07">
      <w:pPr>
        <w:pStyle w:val="FootnoteText"/>
        <w:ind w:firstLine="720"/>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2021, Chapter II, Section F. Negotiation, and implementation of friendly settlement agreements. Available in: http://www.oas.org/en/iachr/docs/annual/2021/Chapters/IA2021cap2-en.pdf</w:t>
      </w:r>
    </w:p>
  </w:footnote>
  <w:footnote w:id="17">
    <w:p w14:paraId="1806DF4C"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2013, Chapter III, Section D: Status of Compliance with IACHR Recommendations, paras. 165 – 175.</w:t>
      </w:r>
    </w:p>
  </w:footnote>
  <w:footnote w:id="18">
    <w:p w14:paraId="5AB13090"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Annual Report 2016, Chapter II, Section D: Status of Compliance with Recommendations and Friendly Settlements in individual cases, paras. 194-205.</w:t>
      </w:r>
    </w:p>
  </w:footnote>
  <w:footnote w:id="19">
    <w:p w14:paraId="5AA0E8DD"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2014, Chapter II, Section D: States of Compliance with the Recommendations of the IACHR, paras. 173-181.</w:t>
      </w:r>
    </w:p>
  </w:footnote>
  <w:footnote w:id="20">
    <w:p w14:paraId="6A125D58"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2012, Chapter III, Section D: Status of Compliance with IACHR Recommendations, paras. 180-183.</w:t>
      </w:r>
    </w:p>
  </w:footnote>
  <w:footnote w:id="21">
    <w:p w14:paraId="5D93EADC"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2013, Chapter II, Section D: Status of Compliance with IACHR Recommendations, paras. 225-252.</w:t>
      </w:r>
    </w:p>
  </w:footnote>
  <w:footnote w:id="22">
    <w:p w14:paraId="0EA5D75C" w14:textId="77777777" w:rsidR="00183F07" w:rsidRPr="00C57C0F" w:rsidRDefault="00183F07" w:rsidP="00183F07">
      <w:pPr>
        <w:pStyle w:val="FootnoteText"/>
        <w:tabs>
          <w:tab w:val="left" w:pos="990"/>
        </w:tabs>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Annual Report 2018, Chapter II, Section G. “Status of Compliance with the Recommendations Issued by the IACHR in Merits Reports and Friendly Settlement Agreements Approved by the IACHR.”</w:t>
      </w:r>
    </w:p>
  </w:footnote>
  <w:footnote w:id="23">
    <w:p w14:paraId="0B43AB4F" w14:textId="77777777" w:rsidR="00183F07" w:rsidRPr="00C57C0F" w:rsidRDefault="00183F07" w:rsidP="00183F07">
      <w:pPr>
        <w:pStyle w:val="FootnoteText"/>
        <w:ind w:firstLine="720"/>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2021, Chapter II, Section F. Negotiation, and implementation of friendly settlement agreements. Available in: </w:t>
      </w:r>
      <w:hyperlink r:id="rId3" w:history="1">
        <w:r w:rsidRPr="00C57C0F">
          <w:rPr>
            <w:rStyle w:val="Hyperlink"/>
            <w:rFonts w:ascii="Cambria" w:hAnsi="Cambria"/>
            <w:sz w:val="16"/>
            <w:szCs w:val="16"/>
          </w:rPr>
          <w:t>http://www.oas.org/en/iachr/docs/annual/2021/Chapters/IA2021cap2-en.pdf</w:t>
        </w:r>
      </w:hyperlink>
      <w:r w:rsidRPr="00C57C0F">
        <w:rPr>
          <w:rFonts w:ascii="Cambria" w:hAnsi="Cambria"/>
          <w:sz w:val="16"/>
          <w:szCs w:val="16"/>
        </w:rPr>
        <w:t xml:space="preserve"> </w:t>
      </w:r>
    </w:p>
  </w:footnote>
  <w:footnote w:id="24">
    <w:p w14:paraId="3E0FA2BB"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Report No. 39/21, Petition 245-03. Friendly Settlement. Walter Mauro Yañez. Argentina. March 19, 2021.</w:t>
      </w:r>
    </w:p>
  </w:footnote>
  <w:footnote w:id="25">
    <w:p w14:paraId="78E2C023"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Annual Report 2018, Chapter II, Section G. “Status of Compliance with the Recommendations Issued by the IACHR in Merits Reports and Friendly Settlement Agreements Approved by the IACHR.”</w:t>
      </w:r>
    </w:p>
  </w:footnote>
  <w:footnote w:id="26">
    <w:p w14:paraId="2DF2079C"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2009, Chapter III, Section D: Status of Compliance with IACHR Recommendations, paras. 109-114.</w:t>
      </w:r>
    </w:p>
  </w:footnote>
  <w:footnote w:id="27">
    <w:p w14:paraId="391AC01E"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2009, Chapter III, Section D: Status of Compliance with IACHR Recommendations, paras. 115-119.</w:t>
      </w:r>
    </w:p>
  </w:footnote>
  <w:footnote w:id="28">
    <w:p w14:paraId="52490D93"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2009, Chapter III, Section D: Status of Compliance with IACHR Recommendations, paras. 120-124.</w:t>
      </w:r>
    </w:p>
  </w:footnote>
  <w:footnote w:id="29">
    <w:p w14:paraId="579A8F9A" w14:textId="77777777" w:rsidR="00183F07" w:rsidRPr="00C57C0F" w:rsidRDefault="00183F07" w:rsidP="00183F07">
      <w:pPr>
        <w:pStyle w:val="FootnoteText"/>
        <w:ind w:firstLine="720"/>
        <w:jc w:val="both"/>
        <w:rPr>
          <w:rFonts w:ascii="Cambria" w:hAnsi="Cambria"/>
          <w:sz w:val="16"/>
          <w:szCs w:val="16"/>
        </w:rPr>
      </w:pPr>
      <w:r w:rsidRPr="00C57C0F">
        <w:rPr>
          <w:rFonts w:ascii="Cambria" w:hAnsi="Cambria"/>
          <w:sz w:val="16"/>
          <w:szCs w:val="16"/>
          <w:vertAlign w:val="superscript"/>
        </w:rPr>
        <w:footnoteRef/>
      </w:r>
      <w:r w:rsidRPr="00C57C0F">
        <w:rPr>
          <w:rFonts w:ascii="Cambria" w:hAnsi="Cambria"/>
          <w:sz w:val="16"/>
          <w:szCs w:val="16"/>
        </w:rPr>
        <w:t xml:space="preserve"> See IACHR, Friendly Settlement Report No. 103-14, Case 12.350, (M.Z. Bolivia), dated November 7, 2014. See IACHR, Annual Report 2015, Chapter II, Section D: Status of Compliance with IACHR Recommendations, paras. 290.</w:t>
      </w:r>
    </w:p>
  </w:footnote>
  <w:footnote w:id="30">
    <w:p w14:paraId="5F83E08F"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2008, Chapter III, Section D: Status of Compliance with IACHR Recommendations, paras. 162-175.</w:t>
      </w:r>
    </w:p>
  </w:footnote>
  <w:footnote w:id="31">
    <w:p w14:paraId="614AB114"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2007, Chapter III, Section D: Status of Compliance with IACHR Recommendations, paras. 187-190.</w:t>
      </w:r>
    </w:p>
  </w:footnote>
  <w:footnote w:id="32">
    <w:p w14:paraId="09783206"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See IACHR, Annual Report 2007, Chapter III, Section D: Status of Compliance with IACHR Recommendations, paras. 191-194.</w:t>
      </w:r>
    </w:p>
  </w:footnote>
  <w:footnote w:id="33">
    <w:p w14:paraId="6323B6EA"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2010, Chapter III, Section D: Status of Compliance with IACHR Recommendations, paras. 298-302.</w:t>
      </w:r>
    </w:p>
  </w:footnote>
  <w:footnote w:id="34">
    <w:p w14:paraId="6C2D2BB0"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2010, Chapter II, Section D: Status of Compliance with IACHR Recommendations, paras. 303-306.</w:t>
      </w:r>
    </w:p>
  </w:footnote>
  <w:footnote w:id="35">
    <w:p w14:paraId="1BF1E25F"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2011, Chapter II, Section D: Status of Compliance with IACHR Recommendations, paras. 337-345. </w:t>
      </w:r>
    </w:p>
  </w:footnote>
  <w:footnote w:id="36">
    <w:p w14:paraId="29860B7D"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2011, Chapter II, Section D: Status of Compliance with IACHR Recommendations, paras. 346-354.</w:t>
      </w:r>
    </w:p>
  </w:footnote>
  <w:footnote w:id="37">
    <w:p w14:paraId="16737E00"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2012, Chap II, Section D: Status of Compliance with IACHR Recommendations, paras. 408-412.</w:t>
      </w:r>
    </w:p>
  </w:footnote>
  <w:footnote w:id="38">
    <w:p w14:paraId="67B57354"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IACHR, Report No. 37/19, Case 12.190. Friendly Settlement. José Luis Tapia and Other Members of the Carabineros. Chile. April 16, 2019.</w:t>
      </w:r>
    </w:p>
  </w:footnote>
  <w:footnote w:id="39">
    <w:p w14:paraId="37165999" w14:textId="77777777" w:rsidR="00183F07" w:rsidRPr="00C57C0F" w:rsidRDefault="00183F07" w:rsidP="00183F07">
      <w:pPr>
        <w:pStyle w:val="FootnoteText"/>
        <w:ind w:firstLine="720"/>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2019, Chapter II, Section G. Status of compliance with the IACHR recommendations issued in merits reports and the friendly settlement agreements approved by the IACHR.</w:t>
      </w:r>
    </w:p>
  </w:footnote>
  <w:footnote w:id="40">
    <w:p w14:paraId="6F7814A0"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 xml:space="preserve">See IACHR. Annual Report 2020. Chapter II. Section F. Negotiation and Implementation of Friendly Settlement Agreements. Available on: </w:t>
      </w:r>
      <w:hyperlink r:id="rId4" w:history="1">
        <w:r w:rsidRPr="00C57C0F">
          <w:rPr>
            <w:rFonts w:ascii="Cambria" w:hAnsi="Cambria"/>
            <w:color w:val="000000"/>
            <w:sz w:val="16"/>
            <w:szCs w:val="16"/>
          </w:rPr>
          <w:t>https://www.oas.org/en/iachr/docs/annual/2020/Chapters/IA2020cap2-en.pdf</w:t>
        </w:r>
      </w:hyperlink>
    </w:p>
  </w:footnote>
  <w:footnote w:id="41">
    <w:p w14:paraId="6CBC3A5B"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 xml:space="preserve">See IACHR. Annual Report 2020. Chapter II. Section F. Negotiation and Implementation of Friendly Settlement Agreements. Available on: </w:t>
      </w:r>
      <w:hyperlink r:id="rId5" w:history="1">
        <w:r w:rsidRPr="00C57C0F">
          <w:rPr>
            <w:rFonts w:ascii="Cambria" w:hAnsi="Cambria"/>
            <w:color w:val="000000"/>
            <w:sz w:val="16"/>
            <w:szCs w:val="16"/>
          </w:rPr>
          <w:t>https://www.oas.org/en/iachr/docs/annual/2020/Chapters/IA2020cap2-en.pdf</w:t>
        </w:r>
      </w:hyperlink>
      <w:r w:rsidRPr="00C57C0F">
        <w:rPr>
          <w:rFonts w:ascii="Cambria" w:hAnsi="Cambria"/>
          <w:sz w:val="16"/>
          <w:szCs w:val="16"/>
        </w:rPr>
        <w:t xml:space="preserve">  </w:t>
      </w:r>
    </w:p>
  </w:footnote>
  <w:footnote w:id="42">
    <w:p w14:paraId="0C179532"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 xml:space="preserve"> See IACHR, Annual Report 2010, Chapter III, Section D: Status of Compliance with IACHR Recommendations, paras. 329-333.</w:t>
      </w:r>
    </w:p>
  </w:footnote>
  <w:footnote w:id="43">
    <w:p w14:paraId="7FC3546F"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 xml:space="preserve"> See IACHR, Annual Report 2010, Chapter III, Section D: Status of Compliance with IACHR Recommendations, paras. 339-344.</w:t>
      </w:r>
    </w:p>
  </w:footnote>
  <w:footnote w:id="44">
    <w:p w14:paraId="038B2C26"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IACHR, Report No. 71/19, Case 12.942 Friendly Settlement. Emilia Morales Campos. Costa Rica May 15, 2019.</w:t>
      </w:r>
    </w:p>
  </w:footnote>
  <w:footnote w:id="45">
    <w:p w14:paraId="0D29712B"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46">
    <w:p w14:paraId="09E73D6A"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47">
    <w:p w14:paraId="072BC73B"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2008, Chapter III, Section D: Status of Compliance with IACHR Recommendations, paras. 283-286.</w:t>
      </w:r>
    </w:p>
  </w:footnote>
  <w:footnote w:id="48">
    <w:p w14:paraId="3586CCFE"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49">
    <w:p w14:paraId="0F730CB6"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0">
    <w:p w14:paraId="4BBB4CD3"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2019 Annual Report, Chapter II, Section F. Status of Compliance with the Recommendations Issued by the IACHR in Merits Reports and Friendly Settlement Agreements Approved by the IACHR.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1">
    <w:p w14:paraId="6B7F2905"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 xml:space="preserve">See IACHR. Annual Report 2020. Chapter II. Section F. Negotiation and Implementation of Friendly Settlement Agreements. Available on: </w:t>
      </w:r>
      <w:hyperlink r:id="rId6" w:history="1">
        <w:r w:rsidRPr="00C57C0F">
          <w:rPr>
            <w:rFonts w:ascii="Cambria" w:hAnsi="Cambria"/>
            <w:color w:val="000000"/>
            <w:sz w:val="16"/>
            <w:szCs w:val="16"/>
          </w:rPr>
          <w:t>https://www.oas.org/en/iachr/docs/annual/2020/Chapters/IA2020cap2-en.pdf</w:t>
        </w:r>
      </w:hyperlink>
      <w:r w:rsidRPr="00C57C0F">
        <w:rPr>
          <w:rFonts w:ascii="Cambria" w:hAnsi="Cambria"/>
          <w:color w:val="000000"/>
          <w:sz w:val="16"/>
          <w:szCs w:val="16"/>
        </w:rPr>
        <w:t xml:space="preserve"> </w:t>
      </w:r>
      <w:r w:rsidRPr="00C57C0F">
        <w:rPr>
          <w:rFonts w:ascii="Cambria" w:hAnsi="Cambria"/>
          <w:sz w:val="16"/>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2">
    <w:p w14:paraId="08559404"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3">
    <w:p w14:paraId="561BFFD8"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54">
    <w:p w14:paraId="0B32E99F"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5">
    <w:p w14:paraId="3B393EAC"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56">
    <w:p w14:paraId="1E261205"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2019 Annual Report, Chapter II, Section G. Status of Compliance with the Recommendations Issued by the IACHR in Merits Reports and Friendly Settlement Agreements Approved by the IACHR.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7">
    <w:p w14:paraId="358E12DF"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8">
    <w:p w14:paraId="2676D2AD"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9">
    <w:p w14:paraId="377CEC46"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0">
    <w:p w14:paraId="4E810076"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1">
    <w:p w14:paraId="45FB9033"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2">
    <w:p w14:paraId="5ED7CC7E"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2021, Chapter II, Section F. Negotiation, and implementation of friendly settlement agreements.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 Available in: </w:t>
      </w:r>
      <w:hyperlink r:id="rId7" w:history="1">
        <w:r w:rsidRPr="00C57C0F">
          <w:rPr>
            <w:rStyle w:val="Hyperlink"/>
            <w:rFonts w:ascii="Cambria" w:hAnsi="Cambria"/>
            <w:sz w:val="16"/>
            <w:szCs w:val="16"/>
          </w:rPr>
          <w:t>http://www.oas.org/en/iachr/docs/annual/2021/Chapters/IA2021cap2-en.pdf</w:t>
        </w:r>
      </w:hyperlink>
    </w:p>
  </w:footnote>
  <w:footnote w:id="63">
    <w:p w14:paraId="17CCE10E"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64">
    <w:p w14:paraId="29E2A36A"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65">
    <w:p w14:paraId="76A3DE5D"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 xml:space="preserve">See IACHR. Annual Report 2020. Chapter II. Section F. Negotiation and Implementation of Friendly Settlement Agreements. Available on: </w:t>
      </w:r>
      <w:hyperlink r:id="rId8" w:history="1">
        <w:r w:rsidRPr="00C57C0F">
          <w:rPr>
            <w:rFonts w:ascii="Cambria" w:hAnsi="Cambria"/>
            <w:color w:val="000000"/>
            <w:sz w:val="16"/>
            <w:szCs w:val="16"/>
          </w:rPr>
          <w:t>https://www.oas.org/en/iachr/docs/annual/2020/Chapters/IA2020cap2-en.pdf</w:t>
        </w:r>
      </w:hyperlink>
      <w:r w:rsidRPr="00C57C0F">
        <w:rPr>
          <w:rFonts w:ascii="Cambria" w:hAnsi="Cambria"/>
          <w:color w:val="000000"/>
          <w:sz w:val="16"/>
          <w:szCs w:val="16"/>
        </w:rPr>
        <w:t xml:space="preserve"> </w:t>
      </w:r>
      <w:r w:rsidRPr="00C57C0F">
        <w:rPr>
          <w:rFonts w:ascii="Cambria" w:hAnsi="Cambria"/>
          <w:sz w:val="16"/>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6">
    <w:p w14:paraId="07969338"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67">
    <w:p w14:paraId="369A8185"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 xml:space="preserve">See IACHR. Annual Report 2020. Chapter II. Section F. Negotiation and Implementation of Friendly Settlement Agreements. Available on: </w:t>
      </w:r>
      <w:hyperlink r:id="rId9" w:history="1">
        <w:r w:rsidRPr="00C57C0F">
          <w:rPr>
            <w:rFonts w:ascii="Cambria" w:hAnsi="Cambria"/>
            <w:color w:val="000000"/>
            <w:sz w:val="16"/>
            <w:szCs w:val="16"/>
          </w:rPr>
          <w:t>https://www.oas.org/en/iachr/docs/annual/2020/Chapters/IA2020cap2-en.pdf</w:t>
        </w:r>
      </w:hyperlink>
      <w:r w:rsidRPr="00C57C0F">
        <w:rPr>
          <w:rFonts w:ascii="Cambria" w:hAnsi="Cambria"/>
          <w:color w:val="000000"/>
          <w:sz w:val="16"/>
          <w:szCs w:val="16"/>
        </w:rPr>
        <w:t xml:space="preserve"> </w:t>
      </w:r>
      <w:r w:rsidRPr="00C57C0F">
        <w:rPr>
          <w:rFonts w:ascii="Cambria" w:hAnsi="Cambria"/>
          <w:sz w:val="16"/>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8">
    <w:p w14:paraId="60678B4E"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9">
    <w:p w14:paraId="7F580DD1"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0">
    <w:p w14:paraId="70170D00" w14:textId="77777777" w:rsidR="00183F07" w:rsidRPr="00C57C0F" w:rsidRDefault="00183F07" w:rsidP="00183F07">
      <w:pPr>
        <w:pStyle w:val="FootnoteText"/>
        <w:ind w:firstLine="720"/>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2021, Chapter II, Section F. Negotiation, and implementation of friendly settlement agreements. Available in: </w:t>
      </w:r>
      <w:hyperlink r:id="rId10" w:history="1">
        <w:r w:rsidRPr="00C57C0F">
          <w:rPr>
            <w:rStyle w:val="Hyperlink"/>
            <w:rFonts w:ascii="Cambria" w:hAnsi="Cambria"/>
            <w:sz w:val="16"/>
            <w:szCs w:val="16"/>
          </w:rPr>
          <w:t>http://www.oas.org/en/iachr/docs/annual/2021/Chapters/IA2021cap2-en.pdf</w:t>
        </w:r>
      </w:hyperlink>
      <w:r w:rsidRPr="00C57C0F">
        <w:rPr>
          <w:rFonts w:ascii="Cambria" w:hAnsi="Cambria"/>
          <w:sz w:val="16"/>
          <w:szCs w:val="16"/>
        </w:rPr>
        <w:t xml:space="preserve"> </w:t>
      </w:r>
    </w:p>
  </w:footnote>
  <w:footnote w:id="71">
    <w:p w14:paraId="3F5A9F6D"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2">
    <w:p w14:paraId="12A2FE21"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3">
    <w:p w14:paraId="11FBF030"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4">
    <w:p w14:paraId="093A1DC2"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2021, Chapter II, Section F. Negotiation, and implementation of friendly settlement agreements. Pursuant to Articles 42 and 48 of its Rules of Procedure, the Commission decided to end monitoring of compliance with the friendly settlement agreement and close the matter. Available in: </w:t>
      </w:r>
      <w:hyperlink r:id="rId11" w:history="1">
        <w:r w:rsidRPr="00C57C0F">
          <w:rPr>
            <w:rStyle w:val="Hyperlink"/>
            <w:rFonts w:ascii="Cambria" w:hAnsi="Cambria"/>
            <w:sz w:val="16"/>
            <w:szCs w:val="16"/>
          </w:rPr>
          <w:t>http://www.oas.org/en/iachr/docs/annual/2021/Chapters/IA2021cap2-en.pdf</w:t>
        </w:r>
      </w:hyperlink>
    </w:p>
  </w:footnote>
  <w:footnote w:id="75">
    <w:p w14:paraId="1594576C" w14:textId="77777777" w:rsidR="00183F07" w:rsidRPr="00C57C0F" w:rsidRDefault="00183F07" w:rsidP="00183F07">
      <w:pPr>
        <w:pStyle w:val="FootnoteText"/>
        <w:ind w:firstLine="720"/>
        <w:jc w:val="both"/>
        <w:rPr>
          <w:rFonts w:ascii="Cambria" w:hAnsi="Cambria"/>
          <w:color w:val="000000"/>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 xml:space="preserve">See IACHR. Annual Report 2020. Chapter II. Section F. Negotiation and Implementation of Friendly Settlement Agreements. Available on: </w:t>
      </w:r>
      <w:hyperlink r:id="rId12" w:history="1">
        <w:r w:rsidRPr="00C57C0F">
          <w:rPr>
            <w:rFonts w:ascii="Cambria" w:hAnsi="Cambria"/>
            <w:color w:val="000000"/>
            <w:sz w:val="16"/>
            <w:szCs w:val="16"/>
          </w:rPr>
          <w:t>https://www.oas.org/en/iachr/docs/annual/2020/Chapters/IA2020cap2-en.pdf</w:t>
        </w:r>
      </w:hyperlink>
    </w:p>
  </w:footnote>
  <w:footnote w:id="76">
    <w:p w14:paraId="76EA89B2"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2013, Chapter II, Section D: Status of Compliance with IACHR Recommendations, paras. 879-885.</w:t>
      </w:r>
    </w:p>
  </w:footnote>
  <w:footnote w:id="77">
    <w:p w14:paraId="1EB16C19"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 xml:space="preserve">See IACHR. Annual Report 2020. Chapter II. Section F. Negotiation and Implementation of Friendly Settlement Agreements. Available on: </w:t>
      </w:r>
      <w:hyperlink r:id="rId13" w:history="1">
        <w:r w:rsidRPr="00C57C0F">
          <w:rPr>
            <w:rFonts w:ascii="Cambria" w:hAnsi="Cambria"/>
            <w:color w:val="000000"/>
            <w:sz w:val="16"/>
            <w:szCs w:val="16"/>
          </w:rPr>
          <w:t>https://www.oas.org/en/iachr/docs/annual/2020/Chapters/IA2020cap2-en.pdf</w:t>
        </w:r>
      </w:hyperlink>
    </w:p>
  </w:footnote>
  <w:footnote w:id="78">
    <w:p w14:paraId="178CCD6E" w14:textId="77777777" w:rsidR="00183F07" w:rsidRPr="00C57C0F" w:rsidRDefault="00183F07"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Friendly Settlement Report No. 124/12, Case 11.805 (Carlos Enrique Jaco), dated November 12, 2012.</w:t>
      </w:r>
    </w:p>
  </w:footnote>
  <w:footnote w:id="79">
    <w:p w14:paraId="7B9E0291" w14:textId="77777777" w:rsidR="00AC4F96" w:rsidRPr="00C57C0F" w:rsidRDefault="00AC4F96" w:rsidP="00AC4F96">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2014, Chapter II, Section D: Status of Compliance with IACHR Recommendations, paras. 956-960.</w:t>
      </w:r>
    </w:p>
  </w:footnote>
  <w:footnote w:id="80">
    <w:p w14:paraId="74EA2617" w14:textId="77777777" w:rsidR="001C6944" w:rsidRPr="00C57C0F" w:rsidRDefault="001C6944" w:rsidP="001C6944">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Report No.101/19, Case 12.961 C. Friendly Settlement. Marcial Coello Medina and Others., Honduras. July 13, 2019.</w:t>
      </w:r>
    </w:p>
  </w:footnote>
  <w:footnote w:id="81">
    <w:p w14:paraId="20AAB977" w14:textId="77777777" w:rsidR="001C6944" w:rsidRPr="00C57C0F" w:rsidRDefault="001C6944" w:rsidP="001C6944">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Report No.104/19, Case 12.961 D. Friendly Settlement. Jorge Enrique Valladares Argueñal and Others, Honduras. July 13, 2019.</w:t>
      </w:r>
    </w:p>
  </w:footnote>
  <w:footnote w:id="82">
    <w:p w14:paraId="41E231E3" w14:textId="77777777" w:rsidR="001C6944" w:rsidRPr="00C57C0F" w:rsidRDefault="001C6944" w:rsidP="001C6944">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Report No. 105/19, Case 12.961 A. Friendly Settlement. Bolívar Salgado Welban and Others. Honduras. July 28, 2019.</w:t>
      </w:r>
    </w:p>
  </w:footnote>
  <w:footnote w:id="83">
    <w:p w14:paraId="4CE98E82" w14:textId="77777777" w:rsidR="001C6944" w:rsidRPr="00C57C0F" w:rsidRDefault="001C6944" w:rsidP="001C6944">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 xml:space="preserve">See IACHR. Annual Report 2020. Chapter II. Section F. Negotiation and Implementation of Friendly Settlement Agreements. Available on: </w:t>
      </w:r>
      <w:hyperlink r:id="rId14" w:history="1">
        <w:r w:rsidRPr="00C57C0F">
          <w:rPr>
            <w:rFonts w:ascii="Cambria" w:hAnsi="Cambria"/>
            <w:color w:val="000000"/>
            <w:sz w:val="16"/>
            <w:szCs w:val="16"/>
          </w:rPr>
          <w:t>https://www.oas.org/en/iachr/docs/annual/2020/Chapters/IA2020cap2-en.pdf</w:t>
        </w:r>
      </w:hyperlink>
    </w:p>
  </w:footnote>
  <w:footnote w:id="84">
    <w:p w14:paraId="001483DA" w14:textId="77777777" w:rsidR="001C6944" w:rsidRPr="00C57C0F" w:rsidRDefault="001C6944" w:rsidP="00183F07">
      <w:pPr>
        <w:pStyle w:val="FootnoteText"/>
        <w:ind w:firstLine="720"/>
        <w:jc w:val="both"/>
        <w:rPr>
          <w:rFonts w:ascii="Cambria" w:hAnsi="Cambria"/>
          <w:color w:val="000000"/>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 xml:space="preserve">See IACHR. Annual Report 2020. Chapter II. Section F. Negotiation and Implementation of Friendly Settlement Agreements. Available on: </w:t>
      </w:r>
      <w:hyperlink r:id="rId15" w:history="1">
        <w:r w:rsidRPr="00C57C0F">
          <w:rPr>
            <w:rFonts w:ascii="Cambria" w:hAnsi="Cambria"/>
            <w:color w:val="000000"/>
            <w:sz w:val="16"/>
            <w:szCs w:val="16"/>
          </w:rPr>
          <w:t>https://www.oas.org/en/iachr/docs/annual/2020/Chapters/IA2020cap2-en.pdf</w:t>
        </w:r>
      </w:hyperlink>
    </w:p>
  </w:footnote>
  <w:footnote w:id="85">
    <w:p w14:paraId="2E12EC88"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Report No. 42/21, Case 12.961 E. Friendly Settlement. Ecar Fernando Zavala Valladares, Honduras. March 20, 2021</w:t>
      </w:r>
    </w:p>
  </w:footnote>
  <w:footnote w:id="86">
    <w:p w14:paraId="2708E8F0"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Report No. 205/21, Case 12.961 J. Friendly Settlement. Faustino Garcia Cárdenas and other. Honduras. Honduras. September 4, 2021.</w:t>
      </w:r>
    </w:p>
  </w:footnote>
  <w:footnote w:id="87">
    <w:p w14:paraId="1BDD03E6"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See</w:t>
      </w:r>
      <w:r w:rsidRPr="00C57C0F">
        <w:rPr>
          <w:rFonts w:ascii="Cambria" w:hAnsi="Cambria"/>
          <w:sz w:val="16"/>
          <w:szCs w:val="16"/>
        </w:rPr>
        <w:t xml:space="preserve"> IACHR, Report No. 269/21, Case 12.960. Friendly Settlement. Ronald Jared Martínez et al. Honduras. October 5, 2021.</w:t>
      </w:r>
    </w:p>
  </w:footnote>
  <w:footnote w:id="88">
    <w:p w14:paraId="08EB57B0"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See</w:t>
      </w:r>
      <w:r w:rsidRPr="00C57C0F">
        <w:rPr>
          <w:rFonts w:ascii="Cambria" w:hAnsi="Cambria"/>
          <w:sz w:val="16"/>
          <w:szCs w:val="16"/>
        </w:rPr>
        <w:t xml:space="preserve"> IACHR, Report No. 287/22, Case 12.961 H. Friendly Settlement. Juan Gonzalez and Others. Honduras, November 8, 2022.</w:t>
      </w:r>
    </w:p>
  </w:footnote>
  <w:footnote w:id="89">
    <w:p w14:paraId="478FB934"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See</w:t>
      </w:r>
      <w:r w:rsidRPr="00C57C0F">
        <w:rPr>
          <w:rFonts w:ascii="Cambria" w:hAnsi="Cambria"/>
          <w:sz w:val="16"/>
          <w:szCs w:val="16"/>
        </w:rPr>
        <w:t xml:space="preserve"> IACHR, Report No. 288/22, Case 12.961 I. Friendly Settlement. Transito Edgardo Arriaga López and Others. Honduras, November 8, 2022.</w:t>
      </w:r>
    </w:p>
  </w:footnote>
  <w:footnote w:id="90">
    <w:p w14:paraId="6FC0D78E"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2007, Chapter III, Section D: Status of Compliance with IACHR Recommendations, paras. 552-560.</w:t>
      </w:r>
    </w:p>
  </w:footnote>
  <w:footnote w:id="91">
    <w:p w14:paraId="541A505B"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2007, Chapter III, Section D: Status of Compliance with IACHR Recommendations, paras. 561-562.</w:t>
      </w:r>
    </w:p>
  </w:footnote>
  <w:footnote w:id="92">
    <w:p w14:paraId="108990F2"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2012, Chapter III, Section D: Status of Compliance with IACHR Recommendations, paras. 833-844.</w:t>
      </w:r>
    </w:p>
  </w:footnote>
  <w:footnote w:id="93">
    <w:p w14:paraId="088A5E3F" w14:textId="77777777" w:rsidR="001C6944" w:rsidRPr="00C57C0F" w:rsidRDefault="001C6944" w:rsidP="00183F07">
      <w:pPr>
        <w:pStyle w:val="FootnoteText"/>
        <w:ind w:firstLine="720"/>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2019, Chapter II, Section G. Status of compliance with the IACHR recommendations issued in merits reports and the friendly settlement agreements approved by the IACHR.</w:t>
      </w:r>
    </w:p>
  </w:footnote>
  <w:footnote w:id="94">
    <w:p w14:paraId="3F4E518E"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2012, Chapter III, Section D: Status of Compliance with IACHR Recommendations, paras. 876-881.</w:t>
      </w:r>
    </w:p>
  </w:footnote>
  <w:footnote w:id="95">
    <w:p w14:paraId="3A9B970B"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2011, Chapter III, Section D: Status of Compliance with IACHR Recommendations, paras. 982-987.</w:t>
      </w:r>
    </w:p>
  </w:footnote>
  <w:footnote w:id="96">
    <w:p w14:paraId="7DFE4E65"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Friendly Settlement Report No. 68/12, Petition 318-05, (Geronimo Gómez López vs. Mexico), dated July 17, 2012.</w:t>
      </w:r>
    </w:p>
  </w:footnote>
  <w:footnote w:id="97">
    <w:p w14:paraId="20126AE2"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Annual Report 2018, Chapter II, Section G. “Status of Compliance with the Recommendations Issued by the IACHR in Merits Reports and Friendly Settlement Agreements Approved by the IACHR.”</w:t>
      </w:r>
    </w:p>
  </w:footnote>
  <w:footnote w:id="98">
    <w:p w14:paraId="7D9B330B" w14:textId="77777777" w:rsidR="001C6944" w:rsidRPr="00C57C0F" w:rsidRDefault="001C6944" w:rsidP="00183F07">
      <w:pPr>
        <w:pStyle w:val="FootnoteText"/>
        <w:ind w:firstLine="720"/>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2019, Chapter II, Section G. Status of compliance with the IACHR recommendations issued in merits reports and the friendly settlement agreements approved by the IACHR.</w:t>
      </w:r>
    </w:p>
  </w:footnote>
  <w:footnote w:id="99">
    <w:p w14:paraId="4602301F" w14:textId="77777777" w:rsidR="001C6944" w:rsidRPr="00C57C0F" w:rsidRDefault="001C6944" w:rsidP="00183F07">
      <w:pPr>
        <w:pStyle w:val="FootnoteText"/>
        <w:ind w:firstLine="720"/>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2021, Chapter II, Section F. Negotiation, and implementation of friendly settlement agreements. Available in: </w:t>
      </w:r>
      <w:hyperlink r:id="rId16" w:history="1">
        <w:r w:rsidRPr="00C57C0F">
          <w:rPr>
            <w:rStyle w:val="Hyperlink"/>
            <w:rFonts w:ascii="Cambria" w:hAnsi="Cambria"/>
            <w:sz w:val="16"/>
            <w:szCs w:val="16"/>
          </w:rPr>
          <w:t>http://www.oas.org/en/iachr/docs/annual/2021/Chapters/IA2021cap2-en.pdf</w:t>
        </w:r>
      </w:hyperlink>
      <w:r w:rsidRPr="00C57C0F">
        <w:rPr>
          <w:rFonts w:ascii="Cambria" w:hAnsi="Cambria"/>
          <w:sz w:val="16"/>
          <w:szCs w:val="16"/>
        </w:rPr>
        <w:t xml:space="preserve"> </w:t>
      </w:r>
    </w:p>
  </w:footnote>
  <w:footnote w:id="100">
    <w:p w14:paraId="5CFCEA4E" w14:textId="77777777" w:rsidR="001C6944" w:rsidRPr="00C57C0F" w:rsidRDefault="001C6944" w:rsidP="00183F07">
      <w:pPr>
        <w:pStyle w:val="FootnoteText"/>
        <w:ind w:firstLine="720"/>
        <w:rPr>
          <w:rFonts w:ascii="Cambria" w:hAnsi="Cambria"/>
          <w:sz w:val="16"/>
          <w:szCs w:val="16"/>
        </w:rPr>
      </w:pPr>
      <w:r w:rsidRPr="00C57C0F">
        <w:rPr>
          <w:rStyle w:val="FootnoteReference"/>
        </w:rPr>
        <w:footnoteRef/>
      </w:r>
      <w:r w:rsidRPr="00C57C0F">
        <w:t xml:space="preserve"> </w:t>
      </w:r>
      <w:r w:rsidRPr="00C57C0F">
        <w:rPr>
          <w:rFonts w:ascii="Cambria" w:hAnsi="Cambria"/>
          <w:sz w:val="16"/>
          <w:szCs w:val="16"/>
        </w:rPr>
        <w:t xml:space="preserve">See IACHR, Annual Report 2021, Chapter II, Section F. Negotiation, and implementation of friendly settlement agreements. Available in: </w:t>
      </w:r>
      <w:hyperlink r:id="rId17" w:history="1">
        <w:r w:rsidRPr="00C57C0F">
          <w:rPr>
            <w:rStyle w:val="Hyperlink"/>
            <w:rFonts w:ascii="Cambria" w:hAnsi="Cambria"/>
            <w:sz w:val="16"/>
            <w:szCs w:val="16"/>
          </w:rPr>
          <w:t>http://www.oas.org/en/iachr/docs/annual/2021/Chapters/IA2021cap2-en.pdf</w:t>
        </w:r>
      </w:hyperlink>
    </w:p>
  </w:footnote>
  <w:footnote w:id="101">
    <w:p w14:paraId="6DB59264"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Report No. 106/19, Case 12.986. </w:t>
      </w:r>
      <w:r w:rsidRPr="00352AC9">
        <w:rPr>
          <w:rFonts w:ascii="Cambria" w:hAnsi="Cambria"/>
          <w:sz w:val="16"/>
          <w:szCs w:val="16"/>
          <w:lang w:val="es-AR"/>
        </w:rPr>
        <w:t xml:space="preserve">Friendly Settlement. José Antonio Bolaños Juárez. Mexico. </w:t>
      </w:r>
      <w:r w:rsidRPr="00C57C0F">
        <w:rPr>
          <w:rFonts w:ascii="Cambria" w:hAnsi="Cambria"/>
          <w:sz w:val="16"/>
          <w:szCs w:val="16"/>
        </w:rPr>
        <w:t>July 28, 2019.</w:t>
      </w:r>
    </w:p>
  </w:footnote>
  <w:footnote w:id="102">
    <w:p w14:paraId="69BE0149"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 xml:space="preserve">See IACHR. Annual Report 2020. Chapter II. Section F. Negotiation and Implementation of Friendly Settlement Agreements. Available on: </w:t>
      </w:r>
      <w:hyperlink r:id="rId18" w:history="1">
        <w:r w:rsidRPr="00C57C0F">
          <w:rPr>
            <w:rFonts w:ascii="Cambria" w:hAnsi="Cambria"/>
            <w:color w:val="000000"/>
            <w:sz w:val="16"/>
            <w:szCs w:val="16"/>
          </w:rPr>
          <w:t>https://www.oas.org/en/iachr/docs/annual/2020/Chapters/IA2020cap2-en.pdf</w:t>
        </w:r>
      </w:hyperlink>
    </w:p>
  </w:footnote>
  <w:footnote w:id="103">
    <w:p w14:paraId="39442A35" w14:textId="77777777" w:rsidR="001C6944" w:rsidRPr="00C57C0F" w:rsidRDefault="001C6944" w:rsidP="00183F07">
      <w:pPr>
        <w:pStyle w:val="FootnoteText"/>
        <w:ind w:firstLine="720"/>
        <w:rPr>
          <w:rFonts w:ascii="Cambria" w:hAnsi="Cambria"/>
          <w:sz w:val="16"/>
          <w:szCs w:val="16"/>
        </w:rPr>
      </w:pPr>
      <w:r w:rsidRPr="00C57C0F">
        <w:rPr>
          <w:rStyle w:val="FootnoteReference"/>
        </w:rPr>
        <w:footnoteRef/>
      </w:r>
      <w:r w:rsidRPr="00C57C0F">
        <w:t xml:space="preserve"> </w:t>
      </w:r>
      <w:r w:rsidRPr="00C57C0F">
        <w:rPr>
          <w:rFonts w:ascii="Cambria" w:hAnsi="Cambria"/>
          <w:sz w:val="16"/>
          <w:szCs w:val="16"/>
        </w:rPr>
        <w:t xml:space="preserve">See IACHR, Annual Report 2021, Chapter II, Section F. Negotiation, and implementation of friendly settlement agreements. Available in: </w:t>
      </w:r>
      <w:hyperlink r:id="rId19" w:history="1">
        <w:r w:rsidRPr="00C57C0F">
          <w:rPr>
            <w:rStyle w:val="Hyperlink"/>
            <w:rFonts w:ascii="Cambria" w:hAnsi="Cambria"/>
            <w:sz w:val="16"/>
            <w:szCs w:val="16"/>
          </w:rPr>
          <w:t>http://www.oas.org/en/iachr/docs/annual/2021/Chapters/IA2021cap2-en.pdf</w:t>
        </w:r>
      </w:hyperlink>
    </w:p>
  </w:footnote>
  <w:footnote w:id="104">
    <w:p w14:paraId="0714012F"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 xml:space="preserve">See IACHR. Annual Report 2020. Chapter II. Section F. Negotiation and Implementation of Friendly Settlement Agreements. Available on: </w:t>
      </w:r>
      <w:hyperlink r:id="rId20" w:history="1">
        <w:r w:rsidRPr="00C57C0F">
          <w:rPr>
            <w:rFonts w:ascii="Cambria" w:hAnsi="Cambria"/>
            <w:color w:val="000000"/>
            <w:sz w:val="16"/>
            <w:szCs w:val="16"/>
          </w:rPr>
          <w:t>https://www.oas.org/en/iachr/docs/annual/2020/Chapters/IA2020cap2-en.pdf</w:t>
        </w:r>
      </w:hyperlink>
    </w:p>
  </w:footnote>
  <w:footnote w:id="105">
    <w:p w14:paraId="257E17F5"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Report No. 42/16, Case 12,848. Friendly Settlement. Mrs. N. Panama. September 25, 2016.</w:t>
      </w:r>
    </w:p>
  </w:footnote>
  <w:footnote w:id="106">
    <w:p w14:paraId="7169C819"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2014, Chapter II, Section D: Status of Compliance with IACHR Recommendations, paras. 1101-1105.</w:t>
      </w:r>
    </w:p>
  </w:footnote>
  <w:footnote w:id="107">
    <w:p w14:paraId="022E6CD5" w14:textId="77777777" w:rsidR="001C6944" w:rsidRPr="00C57C0F" w:rsidRDefault="001C6944" w:rsidP="00183F07">
      <w:pPr>
        <w:pStyle w:val="FootnoteText"/>
        <w:ind w:firstLine="720"/>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2021, Chapter II, Section F. Negotiation, and implementation of friendly settlement agreements. Available in: </w:t>
      </w:r>
      <w:hyperlink r:id="rId21" w:history="1">
        <w:r w:rsidRPr="00C57C0F">
          <w:rPr>
            <w:rStyle w:val="Hyperlink"/>
            <w:rFonts w:ascii="Cambria" w:hAnsi="Cambria"/>
            <w:sz w:val="16"/>
            <w:szCs w:val="16"/>
          </w:rPr>
          <w:t>http://www.oas.org/en/iachr/docs/annual/2021/Chapters/IA2021cap2-en.pdf</w:t>
        </w:r>
      </w:hyperlink>
    </w:p>
  </w:footnote>
  <w:footnote w:id="108">
    <w:p w14:paraId="4A11E3B2"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2005, Chapter III, Section D: Status of Compliance with IACHR Recommendations, paras. 332-335.</w:t>
      </w:r>
    </w:p>
  </w:footnote>
  <w:footnote w:id="109">
    <w:p w14:paraId="2B5905F9"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2005, Chapter III, Section D: Status of Compliance with IACHR Recommendations, paras. 336 and 337.</w:t>
      </w:r>
    </w:p>
  </w:footnote>
  <w:footnote w:id="110">
    <w:p w14:paraId="1146F7ED"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2019, Chapter II, Section G. Status of compliance with the IACHR recommendations issued in merits reports and the friendly settlement agreements approved by the IACHR.</w:t>
      </w:r>
    </w:p>
  </w:footnote>
  <w:footnote w:id="111">
    <w:p w14:paraId="6AA20A19"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2013, Chapter III, Section D: Status of Compliance with IACHR Recommendations, paras. 1094 and 1107.</w:t>
      </w:r>
    </w:p>
  </w:footnote>
  <w:footnote w:id="112">
    <w:p w14:paraId="656A5A77"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2007, Chapter III, Section D:  Status of Compliance with IACHR Recommendations, paras. 613-616.</w:t>
      </w:r>
    </w:p>
  </w:footnote>
  <w:footnote w:id="113">
    <w:p w14:paraId="3C1D6AF6"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Friendly Settlement Report No. 69/14, Case 12.041 (M.M. vs. Peru), dated July 25, 2014.</w:t>
      </w:r>
    </w:p>
  </w:footnote>
  <w:footnote w:id="114">
    <w:p w14:paraId="4F9D3024"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Annual Report 2018, Chapter II, Section G. “Status of Compliance with the Recommendations Issued by the IACHR in Merits Reports and Friendly Settlement Agreements Approved by the IACHR.”</w:t>
      </w:r>
    </w:p>
  </w:footnote>
  <w:footnote w:id="115">
    <w:p w14:paraId="5C4CA793"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Annual Report 2018, Chapter II, Section G. “Status of Compliance with the Recommendations Issued by the IACHR in Merits Reports and Friendly Settlement Agreements Approved by the IACHR.”</w:t>
      </w:r>
    </w:p>
  </w:footnote>
  <w:footnote w:id="116">
    <w:p w14:paraId="03C58BB9"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See IACHR, Annual Report 2018, Chapter II, Section G. “Status of Compliance with the Recommendations Issued by the IACHR in Merits Reports and Friendly Settlement Agreements Approved by the IACHR.”</w:t>
      </w:r>
    </w:p>
  </w:footnote>
  <w:footnote w:id="117">
    <w:p w14:paraId="4C8DD91A"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w:t>
      </w:r>
      <w:r w:rsidRPr="00C57C0F">
        <w:rPr>
          <w:rFonts w:ascii="Cambria" w:hAnsi="Cambria"/>
          <w:color w:val="000000"/>
          <w:sz w:val="16"/>
          <w:szCs w:val="16"/>
        </w:rPr>
        <w:t xml:space="preserve">See IACHR. Annual Report 2020. Chapter II. Section F. Negotiation and Implementation of Friendly Settlement Agreements. Available on: </w:t>
      </w:r>
      <w:hyperlink r:id="rId22" w:history="1">
        <w:r w:rsidRPr="00C57C0F">
          <w:rPr>
            <w:rFonts w:ascii="Cambria" w:hAnsi="Cambria"/>
            <w:color w:val="000000"/>
            <w:sz w:val="16"/>
            <w:szCs w:val="16"/>
          </w:rPr>
          <w:t>https://www.oas.org/en/iachr/docs/annual/2020/Chapters/IA2020cap2-en.pdf</w:t>
        </w:r>
      </w:hyperlink>
      <w:r w:rsidRPr="00C57C0F">
        <w:rPr>
          <w:rFonts w:ascii="Cambria" w:hAnsi="Cambria"/>
          <w:sz w:val="16"/>
          <w:szCs w:val="16"/>
        </w:rPr>
        <w:t xml:space="preserve"> </w:t>
      </w:r>
    </w:p>
  </w:footnote>
  <w:footnote w:id="118">
    <w:p w14:paraId="78CE8A51" w14:textId="77777777" w:rsidR="001C6944" w:rsidRPr="00C57C0F" w:rsidRDefault="001C6944" w:rsidP="00183F07">
      <w:pPr>
        <w:pStyle w:val="BodyTextIndent"/>
        <w:tabs>
          <w:tab w:val="left" w:pos="360"/>
        </w:tabs>
        <w:ind w:left="0" w:firstLine="720"/>
        <w:jc w:val="both"/>
        <w:rPr>
          <w:rFonts w:ascii="Cambria" w:hAnsi="Cambria"/>
          <w:sz w:val="16"/>
          <w:szCs w:val="16"/>
        </w:rPr>
      </w:pPr>
      <w:r w:rsidRPr="00C57C0F">
        <w:rPr>
          <w:rStyle w:val="FootnoteReference"/>
          <w:rFonts w:ascii="Cambria" w:eastAsiaTheme="majorEastAsia" w:hAnsi="Cambria"/>
          <w:sz w:val="16"/>
          <w:szCs w:val="16"/>
        </w:rPr>
        <w:footnoteRef/>
      </w:r>
      <w:r w:rsidRPr="00C57C0F">
        <w:rPr>
          <w:rFonts w:ascii="Cambria" w:hAnsi="Cambria"/>
          <w:sz w:val="16"/>
          <w:szCs w:val="16"/>
        </w:rPr>
        <w:t xml:space="preserve"> See IACHR, Friendly Settlement Report No. 31/12, Case 12,174 (Israel Gerardo Paredes Acosta vs. Dominican Republic), dated March 20, 2012.</w:t>
      </w:r>
    </w:p>
  </w:footnote>
  <w:footnote w:id="119">
    <w:p w14:paraId="269D3765" w14:textId="77777777" w:rsidR="001C6944" w:rsidRPr="00C57C0F" w:rsidRDefault="001C6944" w:rsidP="00183F07">
      <w:pPr>
        <w:pStyle w:val="FootnoteText"/>
        <w:tabs>
          <w:tab w:val="left" w:pos="6750"/>
        </w:tabs>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Annual Report 2012, Chapter III, Section D:  Status of Compliance with IACHR Recommendations, paras. 1033-1039.</w:t>
      </w:r>
    </w:p>
  </w:footnote>
  <w:footnote w:id="120">
    <w:p w14:paraId="7862DBCE"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Fonts w:ascii="Cambria" w:hAnsi="Cambria"/>
          <w:sz w:val="16"/>
          <w:szCs w:val="16"/>
        </w:rPr>
        <w:t xml:space="preserve"> See IACHR, Report No. 103/19, Petition 1224-07. Friendly Settlement. David Rabinovich. Uruguay. July 16, 2019.</w:t>
      </w:r>
    </w:p>
  </w:footnote>
  <w:footnote w:id="121">
    <w:p w14:paraId="03975DEF" w14:textId="77777777" w:rsidR="001C6944" w:rsidRPr="00C57C0F" w:rsidRDefault="001C6944" w:rsidP="00183F07">
      <w:pPr>
        <w:pStyle w:val="FootnoteText"/>
        <w:ind w:firstLine="720"/>
        <w:jc w:val="both"/>
        <w:rPr>
          <w:rFonts w:ascii="Cambria" w:hAnsi="Cambria"/>
          <w:sz w:val="16"/>
          <w:szCs w:val="16"/>
        </w:rPr>
      </w:pPr>
      <w:r w:rsidRPr="00C57C0F">
        <w:rPr>
          <w:rStyle w:val="FootnoteReference"/>
          <w:rFonts w:ascii="Cambria" w:hAnsi="Cambria"/>
          <w:sz w:val="16"/>
          <w:szCs w:val="16"/>
        </w:rPr>
        <w:footnoteRef/>
      </w:r>
      <w:r w:rsidRPr="00C57C0F">
        <w:rPr>
          <w:rStyle w:val="FootnoteReference"/>
          <w:rFonts w:ascii="Cambria" w:hAnsi="Cambria"/>
          <w:sz w:val="16"/>
          <w:szCs w:val="16"/>
        </w:rPr>
        <w:t xml:space="preserve"> </w:t>
      </w:r>
      <w:r w:rsidRPr="00C57C0F">
        <w:rPr>
          <w:rFonts w:ascii="Cambria" w:hAnsi="Cambria"/>
          <w:sz w:val="16"/>
          <w:szCs w:val="16"/>
        </w:rPr>
        <w:t xml:space="preserve">See IACHR, Annual Report 2018, Chapter II, Section G. “Status of Compliance with the Recommendations Issued by the IACHR in Merits Reports and Friendly Settlement Agreements Approved by the IACHR.”  The Commission notes the lack of progress in compliance with the friendly settlement agreement since its approval.  Therefore, on January 8, 2019, the IACHR decided, in accordance with Articles 42 and 48 of its Rules of Procedure, to conclude its monitoring of compliance with the friendly settlement agreement and to close the matter. The IACHR considers that the State did not comply with any of the measures set forth in the friendly settlement agreement and therefore compliance with it is pending.  </w:t>
      </w:r>
    </w:p>
  </w:footnote>
  <w:footnote w:id="122">
    <w:p w14:paraId="705463AA" w14:textId="2996C547" w:rsidR="00774C1A" w:rsidRPr="005B030A" w:rsidRDefault="00774C1A" w:rsidP="005B030A">
      <w:pPr>
        <w:pStyle w:val="NormalWeb"/>
        <w:shd w:val="clear" w:color="auto" w:fill="FFFFFF"/>
        <w:spacing w:before="0" w:beforeAutospacing="0" w:after="0" w:afterAutospacing="0"/>
        <w:ind w:right="144" w:firstLine="720"/>
        <w:jc w:val="both"/>
        <w:rPr>
          <w:rFonts w:ascii="Cambria" w:hAnsi="Cambria" w:cs="Tahoma"/>
          <w:color w:val="333333"/>
          <w:sz w:val="16"/>
          <w:szCs w:val="16"/>
          <w:lang w:val="en-US"/>
        </w:rPr>
      </w:pPr>
      <w:r w:rsidRPr="005B030A">
        <w:rPr>
          <w:rStyle w:val="FootnoteReference"/>
          <w:rFonts w:ascii="Cambria" w:eastAsiaTheme="majorEastAsia" w:hAnsi="Cambria"/>
          <w:sz w:val="16"/>
          <w:szCs w:val="16"/>
          <w:lang w:val="en"/>
        </w:rPr>
        <w:footnoteRef/>
      </w:r>
      <w:r w:rsidRPr="005B030A">
        <w:rPr>
          <w:rFonts w:ascii="Cambria" w:hAnsi="Cambria"/>
          <w:sz w:val="16"/>
          <w:szCs w:val="16"/>
          <w:lang w:val="en"/>
        </w:rPr>
        <w:t xml:space="preserve"> Such complementary criteria are</w:t>
      </w:r>
      <w:r w:rsidR="0046074F">
        <w:rPr>
          <w:rFonts w:ascii="Cambria" w:hAnsi="Cambria"/>
          <w:sz w:val="16"/>
          <w:szCs w:val="16"/>
          <w:lang w:val="en"/>
        </w:rPr>
        <w:t>:</w:t>
      </w:r>
      <w:r w:rsidRPr="005B030A">
        <w:rPr>
          <w:rFonts w:ascii="Cambria" w:hAnsi="Cambria"/>
          <w:sz w:val="16"/>
          <w:szCs w:val="16"/>
          <w:lang w:val="en"/>
        </w:rPr>
        <w:t xml:space="preserve"> </w:t>
      </w:r>
      <w:r w:rsidRPr="005B030A">
        <w:rPr>
          <w:rFonts w:ascii="Cambria" w:hAnsi="Cambria"/>
          <w:color w:val="333333"/>
          <w:sz w:val="16"/>
          <w:szCs w:val="16"/>
          <w:lang w:val="en"/>
        </w:rPr>
        <w:t>a. the position of the petitioner; b. the nature and gravity of the violation; c. the need to</w:t>
      </w:r>
      <w:r w:rsidR="005B030A">
        <w:rPr>
          <w:rFonts w:ascii="Cambria" w:hAnsi="Cambria"/>
          <w:color w:val="333333"/>
          <w:sz w:val="16"/>
          <w:szCs w:val="16"/>
          <w:lang w:val="en"/>
        </w:rPr>
        <w:t xml:space="preserve"> </w:t>
      </w:r>
      <w:r w:rsidRPr="005B030A">
        <w:rPr>
          <w:rFonts w:ascii="Cambria" w:hAnsi="Cambria"/>
          <w:color w:val="333333"/>
          <w:sz w:val="16"/>
          <w:szCs w:val="16"/>
          <w:lang w:val="en"/>
        </w:rPr>
        <w:t>develop or clarify the jurisprudence of the system; and d. the possible effect of the decision on the legal systems of the Member States.</w:t>
      </w:r>
    </w:p>
  </w:footnote>
  <w:footnote w:id="123">
    <w:p w14:paraId="7080517D" w14:textId="77777777" w:rsidR="00774C1A" w:rsidRPr="00612136" w:rsidRDefault="00774C1A" w:rsidP="005B030A">
      <w:pPr>
        <w:pStyle w:val="FootnoteText"/>
        <w:ind w:firstLine="720"/>
        <w:jc w:val="both"/>
        <w:rPr>
          <w:rFonts w:ascii="Cambria" w:hAnsi="Cambria"/>
          <w:sz w:val="16"/>
          <w:szCs w:val="16"/>
        </w:rPr>
      </w:pPr>
      <w:r w:rsidRPr="005B030A">
        <w:rPr>
          <w:rStyle w:val="FootnoteReference"/>
          <w:rFonts w:ascii="Cambria" w:hAnsi="Cambria"/>
          <w:sz w:val="16"/>
          <w:szCs w:val="16"/>
          <w:lang w:val="en"/>
        </w:rPr>
        <w:footnoteRef/>
      </w:r>
      <w:r w:rsidRPr="005B030A">
        <w:rPr>
          <w:rFonts w:ascii="Cambria" w:hAnsi="Cambria"/>
          <w:sz w:val="16"/>
          <w:szCs w:val="16"/>
          <w:lang w:val="en"/>
        </w:rPr>
        <w:t xml:space="preserve"> Once the merits reports adopted during 2022 are notified, the Commission will have more than 130 cases at this stage.</w:t>
      </w:r>
    </w:p>
  </w:footnote>
  <w:footnote w:id="124">
    <w:p w14:paraId="05C3156F" w14:textId="6CE787FF" w:rsidR="00774C1A" w:rsidRPr="000A4227" w:rsidRDefault="00774C1A" w:rsidP="000A4227">
      <w:pPr>
        <w:pStyle w:val="FootnoteText"/>
        <w:ind w:firstLine="720"/>
        <w:jc w:val="both"/>
        <w:rPr>
          <w:rFonts w:ascii="Cambria" w:hAnsi="Cambria"/>
          <w:sz w:val="16"/>
          <w:szCs w:val="16"/>
        </w:rPr>
      </w:pPr>
      <w:r w:rsidRPr="000A4227">
        <w:rPr>
          <w:rStyle w:val="FootnoteReference"/>
          <w:rFonts w:ascii="Cambria" w:hAnsi="Cambria"/>
          <w:sz w:val="16"/>
          <w:szCs w:val="16"/>
          <w:lang w:val="en"/>
        </w:rPr>
        <w:footnoteRef/>
      </w:r>
      <w:r w:rsidRPr="000A4227">
        <w:rPr>
          <w:rFonts w:ascii="Cambria" w:hAnsi="Cambria"/>
          <w:sz w:val="16"/>
          <w:szCs w:val="16"/>
          <w:lang w:val="en"/>
        </w:rPr>
        <w:t xml:space="preserve"> The Commission expressed its deep concern about the effect of this complaint on the protection of human rights, </w:t>
      </w:r>
      <w:r w:rsidR="000A4227" w:rsidRPr="000A4227">
        <w:rPr>
          <w:rFonts w:ascii="Cambria" w:hAnsi="Cambria"/>
          <w:sz w:val="16"/>
          <w:szCs w:val="16"/>
          <w:lang w:val="en"/>
        </w:rPr>
        <w:t>that</w:t>
      </w:r>
      <w:r w:rsidRPr="000A4227">
        <w:rPr>
          <w:rFonts w:ascii="Cambria" w:hAnsi="Cambria"/>
          <w:sz w:val="16"/>
          <w:szCs w:val="16"/>
          <w:lang w:val="en"/>
        </w:rPr>
        <w:t xml:space="preserve"> the inhabitants of that State lost the possibility that human rights violations could be known to the Inter-American Court, calling on the State to reconsider that decision. IACHR, IACHR Expresses Deep Concern over Venezuela's Denunciation of the American Convention, September 10, 2013. </w:t>
      </w:r>
    </w:p>
  </w:footnote>
  <w:footnote w:id="125">
    <w:p w14:paraId="281A01E4" w14:textId="77777777" w:rsidR="00774C1A" w:rsidRPr="000A4227" w:rsidRDefault="00774C1A" w:rsidP="000A4227">
      <w:pPr>
        <w:pStyle w:val="FootnoteText"/>
        <w:ind w:firstLine="720"/>
        <w:jc w:val="both"/>
        <w:rPr>
          <w:rFonts w:ascii="Cambria" w:hAnsi="Cambria"/>
          <w:sz w:val="16"/>
          <w:szCs w:val="16"/>
        </w:rPr>
      </w:pPr>
      <w:r w:rsidRPr="000A4227">
        <w:rPr>
          <w:rStyle w:val="FootnoteReference"/>
          <w:rFonts w:ascii="Cambria" w:hAnsi="Cambria"/>
          <w:sz w:val="16"/>
          <w:szCs w:val="16"/>
          <w:lang w:val="en"/>
        </w:rPr>
        <w:footnoteRef/>
      </w:r>
      <w:r w:rsidRPr="000A4227">
        <w:rPr>
          <w:rFonts w:ascii="Cambria" w:hAnsi="Cambria"/>
          <w:sz w:val="16"/>
          <w:szCs w:val="16"/>
          <w:lang w:val="en"/>
        </w:rPr>
        <w:t xml:space="preserve"> CorteIDH, Case of Guerrero, Molina et al. v. Venezuela. Merits, Reparations and Costs. Judgment of June 3, 2021. Series C No. 424., para. 13.</w:t>
      </w:r>
    </w:p>
  </w:footnote>
  <w:footnote w:id="126">
    <w:p w14:paraId="08C75502" w14:textId="77777777" w:rsidR="00774C1A" w:rsidRPr="00612136" w:rsidRDefault="00774C1A" w:rsidP="000A4227">
      <w:pPr>
        <w:pStyle w:val="FootnoteText"/>
        <w:ind w:firstLine="720"/>
        <w:jc w:val="both"/>
        <w:rPr>
          <w:rFonts w:ascii="Cambria" w:hAnsi="Cambria"/>
          <w:sz w:val="16"/>
          <w:szCs w:val="16"/>
        </w:rPr>
      </w:pPr>
      <w:r w:rsidRPr="000A4227">
        <w:rPr>
          <w:rStyle w:val="FootnoteReference"/>
          <w:rFonts w:ascii="Cambria" w:hAnsi="Cambria"/>
          <w:sz w:val="16"/>
          <w:szCs w:val="16"/>
          <w:lang w:val="en"/>
        </w:rPr>
        <w:footnoteRef/>
      </w:r>
      <w:r w:rsidRPr="000A4227">
        <w:rPr>
          <w:rFonts w:ascii="Cambria" w:hAnsi="Cambria"/>
          <w:sz w:val="16"/>
          <w:szCs w:val="16"/>
          <w:lang w:val="en"/>
        </w:rPr>
        <w:t xml:space="preserve"> Department of International Law of the OAS General Secretariat, Multilateral Treaties, Status of Signatures and Ratifications. American Convention on Human Rights signed at the Inter-American Specialized Conference on Human Rights. Available in: https://www.oas.org/dil/esp/tratados_B-32_Convencion_Americana_sobre_Derechos_Humanos_firmas.htm</w:t>
      </w:r>
    </w:p>
  </w:footnote>
  <w:footnote w:id="127">
    <w:p w14:paraId="6214E4A6" w14:textId="77777777" w:rsidR="00774C1A" w:rsidRPr="000A4227" w:rsidRDefault="00774C1A" w:rsidP="000A4227">
      <w:pPr>
        <w:pStyle w:val="FootnoteText"/>
        <w:ind w:firstLine="720"/>
        <w:jc w:val="both"/>
        <w:rPr>
          <w:rFonts w:ascii="Cambria" w:hAnsi="Cambria"/>
          <w:sz w:val="16"/>
          <w:szCs w:val="16"/>
        </w:rPr>
      </w:pPr>
      <w:r w:rsidRPr="000A4227">
        <w:rPr>
          <w:rStyle w:val="FootnoteReference"/>
          <w:rFonts w:ascii="Cambria" w:hAnsi="Cambria"/>
          <w:sz w:val="16"/>
          <w:szCs w:val="16"/>
          <w:lang w:val="en"/>
        </w:rPr>
        <w:footnoteRef/>
      </w:r>
      <w:r w:rsidRPr="000A4227">
        <w:rPr>
          <w:rFonts w:ascii="Cambria" w:hAnsi="Cambria"/>
          <w:sz w:val="16"/>
          <w:szCs w:val="16"/>
          <w:lang w:val="en"/>
        </w:rPr>
        <w:t xml:space="preserve"> Communication of 1 June 2019 </w:t>
      </w:r>
    </w:p>
  </w:footnote>
  <w:footnote w:id="128">
    <w:p w14:paraId="5694939D" w14:textId="77777777" w:rsidR="00774C1A" w:rsidRPr="000A4227" w:rsidRDefault="00774C1A" w:rsidP="000A4227">
      <w:pPr>
        <w:pStyle w:val="FootnoteText"/>
        <w:ind w:firstLine="720"/>
        <w:jc w:val="both"/>
        <w:rPr>
          <w:rFonts w:ascii="Cambria" w:hAnsi="Cambria"/>
          <w:sz w:val="16"/>
          <w:szCs w:val="16"/>
        </w:rPr>
      </w:pPr>
      <w:r w:rsidRPr="000A4227">
        <w:rPr>
          <w:rStyle w:val="FootnoteReference"/>
          <w:rFonts w:ascii="Cambria" w:hAnsi="Cambria"/>
          <w:sz w:val="16"/>
          <w:szCs w:val="16"/>
          <w:lang w:val="en"/>
        </w:rPr>
        <w:footnoteRef/>
      </w:r>
      <w:r w:rsidRPr="000A4227">
        <w:rPr>
          <w:rFonts w:ascii="Cambria" w:hAnsi="Cambria"/>
          <w:sz w:val="16"/>
          <w:szCs w:val="16"/>
          <w:lang w:val="en"/>
        </w:rPr>
        <w:t xml:space="preserve"> OAS Charter; Article 112 (f)</w:t>
      </w:r>
    </w:p>
  </w:footnote>
  <w:footnote w:id="129">
    <w:p w14:paraId="1CEFC9AD" w14:textId="77777777" w:rsidR="00774C1A" w:rsidRPr="000A4227" w:rsidRDefault="00774C1A" w:rsidP="000A4227">
      <w:pPr>
        <w:pStyle w:val="FootnoteText"/>
        <w:ind w:firstLine="720"/>
        <w:jc w:val="both"/>
        <w:rPr>
          <w:rFonts w:ascii="Cambria" w:hAnsi="Cambria"/>
          <w:sz w:val="16"/>
          <w:szCs w:val="16"/>
        </w:rPr>
      </w:pPr>
      <w:r w:rsidRPr="000A4227">
        <w:rPr>
          <w:rStyle w:val="FootnoteReference"/>
          <w:rFonts w:ascii="Cambria" w:hAnsi="Cambria"/>
          <w:sz w:val="16"/>
          <w:szCs w:val="16"/>
          <w:lang w:val="en"/>
        </w:rPr>
        <w:footnoteRef/>
      </w:r>
      <w:r w:rsidRPr="000A4227">
        <w:rPr>
          <w:rFonts w:ascii="Cambria" w:hAnsi="Cambria"/>
          <w:sz w:val="16"/>
          <w:szCs w:val="16"/>
          <w:lang w:val="en"/>
        </w:rPr>
        <w:t xml:space="preserve"> Articles 771(d) and 77.2 of the Vienna Convention on the Law of Treaties, Vienna, 23 May 1969.</w:t>
      </w:r>
    </w:p>
  </w:footnote>
  <w:footnote w:id="130">
    <w:p w14:paraId="3618AAF2" w14:textId="77777777" w:rsidR="00774C1A" w:rsidRPr="000A4227" w:rsidRDefault="00774C1A" w:rsidP="000A4227">
      <w:pPr>
        <w:pStyle w:val="FootnoteText"/>
        <w:ind w:firstLine="720"/>
        <w:jc w:val="both"/>
        <w:rPr>
          <w:rFonts w:ascii="Cambria" w:hAnsi="Cambria"/>
          <w:sz w:val="16"/>
          <w:szCs w:val="16"/>
        </w:rPr>
      </w:pPr>
      <w:r w:rsidRPr="000A4227">
        <w:rPr>
          <w:rStyle w:val="FootnoteReference"/>
          <w:rFonts w:ascii="Cambria" w:hAnsi="Cambria"/>
          <w:sz w:val="16"/>
          <w:szCs w:val="16"/>
          <w:lang w:val="en"/>
        </w:rPr>
        <w:footnoteRef/>
      </w:r>
      <w:r w:rsidRPr="000A4227">
        <w:rPr>
          <w:rFonts w:ascii="Cambria" w:hAnsi="Cambria"/>
          <w:sz w:val="16"/>
          <w:szCs w:val="16"/>
          <w:lang w:val="en"/>
        </w:rPr>
        <w:t>United Nations, Draft Articles on the Law of Treaties with commentaries 1966, 2006, Page. 269.</w:t>
      </w:r>
    </w:p>
  </w:footnote>
  <w:footnote w:id="131">
    <w:p w14:paraId="6B62C91F" w14:textId="77777777" w:rsidR="00774C1A" w:rsidRPr="000A4227" w:rsidRDefault="00774C1A" w:rsidP="000A4227">
      <w:pPr>
        <w:pStyle w:val="FootnoteText"/>
        <w:ind w:firstLine="720"/>
        <w:jc w:val="both"/>
        <w:rPr>
          <w:rFonts w:ascii="Cambria" w:hAnsi="Cambria"/>
          <w:sz w:val="16"/>
          <w:szCs w:val="16"/>
        </w:rPr>
      </w:pPr>
      <w:r w:rsidRPr="000A4227">
        <w:rPr>
          <w:rStyle w:val="FootnoteReference"/>
          <w:rFonts w:ascii="Cambria" w:hAnsi="Cambria"/>
          <w:sz w:val="16"/>
          <w:szCs w:val="16"/>
          <w:lang w:val="en"/>
        </w:rPr>
        <w:footnoteRef/>
      </w:r>
      <w:r w:rsidRPr="000A4227">
        <w:rPr>
          <w:rFonts w:ascii="Cambria" w:hAnsi="Cambria"/>
          <w:sz w:val="16"/>
          <w:szCs w:val="16"/>
          <w:lang w:val="en"/>
        </w:rPr>
        <w:t xml:space="preserve"> The Secretariat for Legal Affairs of the OAS (SAJ) "fulfills the function of depositary of the </w:t>
      </w:r>
      <w:hyperlink r:id="rId23" w:history="1">
        <w:r w:rsidRPr="000A4227">
          <w:rPr>
            <w:rFonts w:ascii="Cambria" w:hAnsi="Cambria"/>
            <w:sz w:val="16"/>
            <w:szCs w:val="16"/>
            <w:lang w:val="en"/>
          </w:rPr>
          <w:t>Inter-American multilateral treaties</w:t>
        </w:r>
      </w:hyperlink>
      <w:r w:rsidRPr="000A4227">
        <w:rPr>
          <w:rFonts w:ascii="Cambria" w:hAnsi="Cambria"/>
          <w:sz w:val="16"/>
          <w:szCs w:val="16"/>
          <w:lang w:val="en"/>
        </w:rPr>
        <w:t xml:space="preserve"> and its instruments of ratification conferred on the General Secretariat by the Charter of the Organization." According to the official information of the Secretariat, in its capacity as depositary, "it fulfils, in general, the following functions: a. To safeguard the original text of the treaties and the full powers that have been sent to it; b. To receive signatures of treaties and to receive and safeguard instruments, notifications and communications relating thereto; c. To inform the parties to the treaties and the States entitled to become parties of acts, notifications and communications relating thereto. See website of the Secretariat for Legal Affairs of the OAS. Available in: </w:t>
      </w:r>
      <w:hyperlink r:id="rId24" w:history="1">
        <w:r w:rsidRPr="000A4227">
          <w:rPr>
            <w:rStyle w:val="Hyperlink"/>
            <w:rFonts w:ascii="Cambria" w:hAnsi="Cambria"/>
            <w:sz w:val="16"/>
            <w:szCs w:val="16"/>
            <w:lang w:val="en"/>
          </w:rPr>
          <w:t>http://www.oas.org/es/sla/ddi/tratados_acuerdos.asp</w:t>
        </w:r>
      </w:hyperlink>
      <w:r w:rsidRPr="000A4227">
        <w:rPr>
          <w:rFonts w:ascii="Cambria" w:hAnsi="Cambria"/>
          <w:sz w:val="16"/>
          <w:szCs w:val="16"/>
          <w:lang w:val="en"/>
        </w:rPr>
        <w:t>. /</w:t>
      </w:r>
    </w:p>
  </w:footnote>
  <w:footnote w:id="132">
    <w:p w14:paraId="47CAA7D7" w14:textId="77777777" w:rsidR="00774C1A" w:rsidRPr="00612136" w:rsidRDefault="00774C1A" w:rsidP="000A4227">
      <w:pPr>
        <w:pStyle w:val="FootnoteText"/>
        <w:ind w:firstLine="720"/>
        <w:jc w:val="both"/>
        <w:rPr>
          <w:rFonts w:ascii="Cambria" w:hAnsi="Cambria"/>
          <w:sz w:val="16"/>
          <w:szCs w:val="16"/>
        </w:rPr>
      </w:pPr>
      <w:r w:rsidRPr="000A4227">
        <w:rPr>
          <w:rStyle w:val="FootnoteReference"/>
          <w:rFonts w:ascii="Cambria" w:hAnsi="Cambria"/>
          <w:sz w:val="16"/>
          <w:szCs w:val="16"/>
          <w:lang w:val="en"/>
        </w:rPr>
        <w:footnoteRef/>
      </w:r>
      <w:r w:rsidRPr="000A4227">
        <w:rPr>
          <w:rFonts w:ascii="Cambria" w:hAnsi="Cambria"/>
          <w:sz w:val="16"/>
          <w:szCs w:val="16"/>
          <w:lang w:val="en"/>
        </w:rPr>
        <w:t xml:space="preserve"> Department of International Law, OAS General Secretariat, Treaties Multilateral, Status of Signatures and Ratifications. American Convention on Human Rights signed at the Inter-American Specialized Conference on Human Rights. Available in: https://www.oas.org/dil/esp/tratados_B-32_Convencion_Americana_sobre_Derechos_Humanos_firmas.htm</w:t>
      </w:r>
    </w:p>
  </w:footnote>
  <w:footnote w:id="133">
    <w:p w14:paraId="4495CD6E" w14:textId="67C312A6" w:rsidR="00774C1A" w:rsidRPr="00B845DF" w:rsidRDefault="00774C1A" w:rsidP="00B845DF">
      <w:pPr>
        <w:pStyle w:val="FootnoteText"/>
        <w:ind w:firstLine="720"/>
        <w:jc w:val="both"/>
        <w:rPr>
          <w:rFonts w:ascii="Cambria" w:hAnsi="Cambria"/>
          <w:sz w:val="16"/>
          <w:szCs w:val="16"/>
        </w:rPr>
      </w:pPr>
      <w:r w:rsidRPr="00B845DF">
        <w:rPr>
          <w:rStyle w:val="FootnoteReference"/>
          <w:rFonts w:ascii="Cambria" w:hAnsi="Cambria"/>
          <w:sz w:val="16"/>
          <w:szCs w:val="16"/>
          <w:lang w:val="en"/>
        </w:rPr>
        <w:footnoteRef/>
      </w:r>
      <w:r w:rsidRPr="00B845DF">
        <w:rPr>
          <w:rFonts w:ascii="Cambria" w:hAnsi="Cambria"/>
          <w:sz w:val="16"/>
          <w:szCs w:val="16"/>
          <w:lang w:val="en"/>
        </w:rPr>
        <w:t xml:space="preserve"> Legal Committee Inter-American, Declaration on the Situation in the Bolivarian Republic of Venezuela, CJI/DEC. 01 (XCIV-O/19), February 22, </w:t>
      </w:r>
      <w:r w:rsidR="006953BA" w:rsidRPr="00B845DF">
        <w:rPr>
          <w:rFonts w:ascii="Cambria" w:hAnsi="Cambria"/>
          <w:sz w:val="16"/>
          <w:szCs w:val="16"/>
          <w:lang w:val="en"/>
        </w:rPr>
        <w:t>2019; YES</w:t>
      </w:r>
      <w:r w:rsidRPr="00B845DF">
        <w:rPr>
          <w:rFonts w:ascii="Cambria" w:hAnsi="Cambria"/>
          <w:sz w:val="16"/>
          <w:szCs w:val="16"/>
          <w:lang w:val="en"/>
        </w:rPr>
        <w:t xml:space="preserve">, Situation of Human Rights in Venezuela, 31 December 2017, para. 472. IACHR, Press Release No. 041/17, IACHR Condemns Decisions of the Supreme Court of Justice and the Alteration of the Constitutional and Democratic Order in Venezuela, March 31, 2017.  </w:t>
      </w:r>
    </w:p>
  </w:footnote>
  <w:footnote w:id="134">
    <w:p w14:paraId="41F6C522" w14:textId="77777777" w:rsidR="00774C1A" w:rsidRPr="005B030A" w:rsidRDefault="00774C1A" w:rsidP="00B845DF">
      <w:pPr>
        <w:pStyle w:val="FootnoteText"/>
        <w:ind w:firstLine="720"/>
        <w:jc w:val="both"/>
        <w:rPr>
          <w:rFonts w:ascii="Cambria" w:hAnsi="Cambria"/>
          <w:sz w:val="16"/>
          <w:szCs w:val="16"/>
        </w:rPr>
      </w:pPr>
      <w:r w:rsidRPr="00B845DF">
        <w:rPr>
          <w:rStyle w:val="FootnoteReference"/>
          <w:rFonts w:ascii="Cambria" w:hAnsi="Cambria"/>
          <w:sz w:val="16"/>
          <w:szCs w:val="16"/>
          <w:lang w:val="en"/>
        </w:rPr>
        <w:footnoteRef/>
      </w:r>
      <w:r w:rsidRPr="00B845DF">
        <w:rPr>
          <w:rFonts w:ascii="Cambria" w:hAnsi="Cambria"/>
          <w:sz w:val="16"/>
          <w:szCs w:val="16"/>
          <w:lang w:val="en"/>
        </w:rPr>
        <w:t xml:space="preserve"> In this regard, the IACHR emphasizes that as indicated by the Inter-American Court in its Advisory Opinion 26, "the denunciation of a human rights treaty, such as the American Convention, represents a regression in the level of inter-American protection of human rights." Inter-American Court. The denunciation of the American Convention on Human Rights and the Charter of the Organization of American States and their effects on State human rights obligations (Interpretation and scope of the articles</w:t>
      </w:r>
      <w:r w:rsidRPr="00B845DF">
        <w:rPr>
          <w:rFonts w:ascii="Cambria" w:hAnsi="Cambria"/>
          <w:sz w:val="16"/>
          <w:szCs w:val="16"/>
          <w:shd w:val="clear" w:color="auto" w:fill="FFFFFF"/>
          <w:lang w:val="en"/>
        </w:rPr>
        <w:t xml:space="preserve"> 1, 2, 27, 29, 30, 31, 32, 33 to 65 and 78 of the American Convention on Human Rights and 3(l), 17, 45, 53, 106 and 143 of the Charter of the Organization of American States). Advisory Opinion OC-26/20 of November 9, 2020. Series A No. 26, para. 58.</w:t>
      </w:r>
    </w:p>
  </w:footnote>
  <w:footnote w:id="135">
    <w:p w14:paraId="75D97DE6" w14:textId="4E438CD1" w:rsidR="0096378F" w:rsidRPr="008E3CE9" w:rsidRDefault="0096378F" w:rsidP="0096378F">
      <w:pPr>
        <w:pStyle w:val="FootnoteText"/>
        <w:spacing w:after="120"/>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lang w:val="es-CO"/>
        </w:rPr>
        <w:footnoteRef/>
      </w:r>
      <w:r w:rsidRPr="008E3CE9">
        <w:rPr>
          <w:rFonts w:ascii="Cambria" w:hAnsi="Cambria"/>
          <w:color w:val="000000" w:themeColor="text1"/>
          <w:sz w:val="16"/>
          <w:szCs w:val="16"/>
        </w:rPr>
        <w:t xml:space="preserve">  Vienna Convention on the Law of Treaties, U.N. Doc. </w:t>
      </w:r>
      <w:r w:rsidRPr="008E630F">
        <w:rPr>
          <w:rFonts w:ascii="Cambria" w:hAnsi="Cambria"/>
          <w:color w:val="000000" w:themeColor="text1"/>
          <w:sz w:val="16"/>
          <w:szCs w:val="16"/>
        </w:rPr>
        <w:t xml:space="preserve">A/CONF.39/27 (1969), Article 26: "Pacta sunt servanda". </w:t>
      </w:r>
      <w:r w:rsidRPr="008E3CE9">
        <w:rPr>
          <w:rFonts w:ascii="Cambria" w:hAnsi="Cambria"/>
          <w:color w:val="000000" w:themeColor="text1"/>
          <w:sz w:val="16"/>
          <w:szCs w:val="16"/>
        </w:rPr>
        <w:t>Every treaty in force is binding upon the parties and must be performed by them in good faith.</w:t>
      </w:r>
    </w:p>
  </w:footnote>
  <w:footnote w:id="136">
    <w:p w14:paraId="33BFCFAD" w14:textId="1DFAD2FD" w:rsidR="0096378F" w:rsidRPr="00FB48E4" w:rsidRDefault="0096378F" w:rsidP="001B1480">
      <w:pPr>
        <w:pStyle w:val="FootnoteText"/>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sidRPr="00FB48E4">
        <w:rPr>
          <w:rFonts w:ascii="Cambria" w:hAnsi="Cambria"/>
          <w:color w:val="000000" w:themeColor="text1"/>
          <w:sz w:val="16"/>
          <w:szCs w:val="16"/>
        </w:rPr>
        <w:t xml:space="preserve"> Joint Press Release P-1193-CA was issued on February 22, </w:t>
      </w:r>
      <w:r w:rsidR="00B14D67" w:rsidRPr="00FB48E4">
        <w:rPr>
          <w:rFonts w:ascii="Cambria" w:hAnsi="Cambria"/>
          <w:color w:val="000000" w:themeColor="text1"/>
          <w:sz w:val="16"/>
          <w:szCs w:val="16"/>
        </w:rPr>
        <w:t>2001,</w:t>
      </w:r>
      <w:r w:rsidRPr="00FB48E4">
        <w:rPr>
          <w:rFonts w:ascii="Cambria" w:hAnsi="Cambria"/>
          <w:color w:val="000000" w:themeColor="text1"/>
          <w:sz w:val="16"/>
          <w:szCs w:val="16"/>
        </w:rPr>
        <w:t xml:space="preserve"> during the 110th </w:t>
      </w:r>
      <w:r>
        <w:rPr>
          <w:rFonts w:ascii="Cambria" w:hAnsi="Cambria"/>
          <w:color w:val="000000" w:themeColor="text1"/>
          <w:sz w:val="16"/>
          <w:szCs w:val="16"/>
        </w:rPr>
        <w:t>Ordinary</w:t>
      </w:r>
      <w:r w:rsidRPr="00FB48E4">
        <w:rPr>
          <w:rFonts w:ascii="Cambria" w:hAnsi="Cambria"/>
          <w:color w:val="000000" w:themeColor="text1"/>
          <w:sz w:val="16"/>
          <w:szCs w:val="16"/>
        </w:rPr>
        <w:t xml:space="preserve"> Session of the Inter-American Commission on Human Rights (IACHR)</w:t>
      </w:r>
      <w:r w:rsidRPr="00FB48E4">
        <w:rPr>
          <w:rFonts w:ascii="Cambria" w:hAnsi="Cambria"/>
          <w:bCs/>
          <w:color w:val="000000" w:themeColor="text1"/>
          <w:sz w:val="16"/>
          <w:szCs w:val="16"/>
        </w:rPr>
        <w:t>.</w:t>
      </w:r>
    </w:p>
  </w:footnote>
  <w:footnote w:id="137">
    <w:p w14:paraId="608EE1B5" w14:textId="77777777" w:rsidR="0096378F" w:rsidRPr="008E3CE9" w:rsidRDefault="0096378F" w:rsidP="001B1480">
      <w:pPr>
        <w:pStyle w:val="FootnoteText"/>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sidRPr="00D677DB">
        <w:rPr>
          <w:rFonts w:ascii="Cambria" w:hAnsi="Cambria"/>
          <w:color w:val="000000" w:themeColor="text1"/>
          <w:sz w:val="16"/>
          <w:szCs w:val="16"/>
          <w:lang w:val="es-MX"/>
        </w:rPr>
        <w:t xml:space="preserve"> Case 11.031, Report No. 111/00, Pedro Pablo López González, et al. </w:t>
      </w:r>
      <w:r>
        <w:rPr>
          <w:rFonts w:ascii="Cambria" w:hAnsi="Cambria"/>
          <w:color w:val="000000" w:themeColor="text1"/>
          <w:sz w:val="16"/>
          <w:szCs w:val="16"/>
        </w:rPr>
        <w:t>(</w:t>
      </w:r>
      <w:r w:rsidRPr="008E3CE9">
        <w:rPr>
          <w:rFonts w:ascii="Cambria" w:hAnsi="Cambria"/>
          <w:color w:val="000000" w:themeColor="text1"/>
          <w:sz w:val="16"/>
          <w:szCs w:val="16"/>
        </w:rPr>
        <w:t xml:space="preserve">Peru); Cases 10.247 and others, Report No. 101/01, Luis Miguel Pasache Vidal </w:t>
      </w:r>
      <w:r>
        <w:rPr>
          <w:rFonts w:ascii="Cambria" w:hAnsi="Cambria"/>
          <w:color w:val="000000" w:themeColor="text1"/>
          <w:sz w:val="16"/>
          <w:szCs w:val="16"/>
        </w:rPr>
        <w:t>et al. (</w:t>
      </w:r>
      <w:r w:rsidRPr="008E3CE9">
        <w:rPr>
          <w:rFonts w:ascii="Cambria" w:hAnsi="Cambria"/>
          <w:color w:val="000000" w:themeColor="text1"/>
          <w:sz w:val="16"/>
          <w:szCs w:val="16"/>
        </w:rPr>
        <w:t>Peru); Case 11.099, Report No. 112/00, Yone Cruz Ocalio (Peru).</w:t>
      </w:r>
    </w:p>
  </w:footnote>
  <w:footnote w:id="138">
    <w:p w14:paraId="6475CFFE" w14:textId="77777777" w:rsidR="0096378F" w:rsidRPr="008E630F" w:rsidRDefault="0096378F" w:rsidP="00741C3B">
      <w:pPr>
        <w:pStyle w:val="FootnoteText"/>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sidRPr="00A66F64">
        <w:rPr>
          <w:rFonts w:ascii="Cambria" w:hAnsi="Cambria"/>
          <w:color w:val="000000" w:themeColor="text1"/>
          <w:sz w:val="16"/>
          <w:szCs w:val="16"/>
        </w:rPr>
        <w:t xml:space="preserve"> In its 2018 Annual Report, the IACHR informed the OAS General Assembly that the IACHR communicated to the parties its decision based on Article 48 of its Rules of Procedure to proceed with the cessation of follow-up on compliance with the merits report and, therefore, the closure of the case. IACHR, Annual Report 2018, Chapter IV, Follow-up Record of Report N 83/09. </w:t>
      </w:r>
      <w:r w:rsidRPr="008E630F">
        <w:rPr>
          <w:rFonts w:ascii="Cambria" w:hAnsi="Cambria"/>
          <w:color w:val="000000" w:themeColor="text1"/>
          <w:sz w:val="16"/>
          <w:szCs w:val="16"/>
        </w:rPr>
        <w:t>Case Horacio Aníbal Schillizzi, para. 7.</w:t>
      </w:r>
    </w:p>
  </w:footnote>
  <w:footnote w:id="139">
    <w:p w14:paraId="16B92B0D" w14:textId="77777777" w:rsidR="0096378F" w:rsidRPr="00FB48E4" w:rsidRDefault="0096378F" w:rsidP="00741C3B">
      <w:pPr>
        <w:pStyle w:val="FootnoteText"/>
        <w:ind w:firstLine="720"/>
        <w:jc w:val="both"/>
        <w:rPr>
          <w:rFonts w:ascii="Cambria" w:hAnsi="Cambria"/>
          <w:color w:val="000000" w:themeColor="text1"/>
          <w:sz w:val="16"/>
          <w:szCs w:val="16"/>
        </w:rPr>
      </w:pPr>
      <w:r w:rsidRPr="00554EB7">
        <w:rPr>
          <w:rStyle w:val="FootnoteReference"/>
          <w:rFonts w:ascii="Cambria" w:hAnsi="Cambria"/>
          <w:color w:val="000000" w:themeColor="text1"/>
          <w:sz w:val="16"/>
          <w:szCs w:val="16"/>
        </w:rPr>
        <w:footnoteRef/>
      </w:r>
      <w:r w:rsidRPr="00554EB7">
        <w:rPr>
          <w:rFonts w:ascii="Cambria" w:hAnsi="Cambria"/>
          <w:color w:val="000000" w:themeColor="text1"/>
          <w:sz w:val="16"/>
          <w:szCs w:val="16"/>
        </w:rPr>
        <w:t xml:space="preserve"> This case entered the follow-up phase for the first time in 2022, during which the IACHR also determined that all recommendations were fully complied with by the State of Argentina, decreeing its closure.</w:t>
      </w:r>
    </w:p>
  </w:footnote>
  <w:footnote w:id="140">
    <w:p w14:paraId="58B55B27" w14:textId="77777777" w:rsidR="0096378F" w:rsidRPr="00A66F64" w:rsidRDefault="0096378F" w:rsidP="00741C3B">
      <w:pPr>
        <w:pStyle w:val="FootnoteText"/>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Pr>
          <w:rFonts w:ascii="Cambria" w:hAnsi="Cambria"/>
          <w:color w:val="000000" w:themeColor="text1"/>
          <w:sz w:val="16"/>
          <w:szCs w:val="16"/>
        </w:rPr>
        <w:t xml:space="preserve"> </w:t>
      </w:r>
      <w:r w:rsidRPr="00A66F64">
        <w:rPr>
          <w:rFonts w:ascii="Cambria" w:hAnsi="Cambria"/>
          <w:color w:val="000000" w:themeColor="text1"/>
          <w:sz w:val="16"/>
          <w:szCs w:val="16"/>
        </w:rPr>
        <w:t>IACHR, Annual Report 2008, Chapter III, Section D: Status of Compliance with IACHR Recommendations, paras. 216-224.</w:t>
      </w:r>
    </w:p>
  </w:footnote>
  <w:footnote w:id="141">
    <w:p w14:paraId="4076C14F" w14:textId="77777777" w:rsidR="0096378F" w:rsidRPr="0087384E" w:rsidRDefault="0096378F" w:rsidP="00741C3B">
      <w:pPr>
        <w:pStyle w:val="FootnoteText"/>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sidRPr="00A66F64">
        <w:rPr>
          <w:rFonts w:ascii="Cambria" w:hAnsi="Cambria"/>
          <w:color w:val="000000" w:themeColor="text1"/>
          <w:sz w:val="16"/>
          <w:szCs w:val="16"/>
        </w:rPr>
        <w:t xml:space="preserve"> IACHR, Annual Report 2016, Chapter II, Section D: Status of Compliance with Recommendations and Friendly Settlements in Individual Cases, paras. </w:t>
      </w:r>
      <w:r w:rsidRPr="0087384E">
        <w:rPr>
          <w:rFonts w:ascii="Cambria" w:hAnsi="Cambria"/>
          <w:color w:val="000000" w:themeColor="text1"/>
          <w:sz w:val="16"/>
          <w:szCs w:val="16"/>
        </w:rPr>
        <w:t xml:space="preserve">602-614. </w:t>
      </w:r>
    </w:p>
  </w:footnote>
  <w:footnote w:id="142">
    <w:p w14:paraId="26E2BAE2" w14:textId="77777777" w:rsidR="0096378F" w:rsidRPr="0087384E" w:rsidRDefault="0096378F" w:rsidP="00741C3B">
      <w:pPr>
        <w:pStyle w:val="FootnoteText"/>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sidRPr="0087384E">
        <w:rPr>
          <w:rFonts w:ascii="Cambria" w:hAnsi="Cambria"/>
          <w:color w:val="000000" w:themeColor="text1"/>
          <w:sz w:val="16"/>
          <w:szCs w:val="16"/>
        </w:rPr>
        <w:t xml:space="preserve"> IACHR, Annual Report 2009, Chapter III, Section D: Status of Compliance with IACHR Recommendations, paras. 274-280. </w:t>
      </w:r>
    </w:p>
  </w:footnote>
  <w:footnote w:id="143">
    <w:p w14:paraId="63283901" w14:textId="77777777" w:rsidR="0096378F" w:rsidRPr="0087384E" w:rsidRDefault="0096378F" w:rsidP="00741C3B">
      <w:pPr>
        <w:pStyle w:val="FootnoteText"/>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sidRPr="0087384E">
        <w:rPr>
          <w:rFonts w:ascii="Cambria" w:hAnsi="Cambria"/>
          <w:color w:val="000000" w:themeColor="text1"/>
          <w:sz w:val="16"/>
          <w:szCs w:val="16"/>
        </w:rPr>
        <w:t xml:space="preserve"> IACHR, Case 12.393, Report No. 44/17, James Judge (Ecuador), paras. 115-116. </w:t>
      </w:r>
    </w:p>
  </w:footnote>
  <w:footnote w:id="144">
    <w:p w14:paraId="191FD174" w14:textId="77777777" w:rsidR="0096378F" w:rsidRPr="00FB48E4" w:rsidRDefault="0096378F" w:rsidP="00741C3B">
      <w:pPr>
        <w:pStyle w:val="FootnoteText"/>
        <w:ind w:firstLine="720"/>
        <w:jc w:val="both"/>
        <w:rPr>
          <w:rFonts w:ascii="Cambria" w:hAnsi="Cambria"/>
          <w:color w:val="000000" w:themeColor="text1"/>
          <w:sz w:val="16"/>
          <w:szCs w:val="16"/>
        </w:rPr>
      </w:pPr>
      <w:r w:rsidRPr="00554EB7">
        <w:rPr>
          <w:rStyle w:val="FootnoteReference"/>
          <w:rFonts w:ascii="Cambria" w:hAnsi="Cambria"/>
          <w:color w:val="000000" w:themeColor="text1"/>
          <w:sz w:val="16"/>
          <w:szCs w:val="16"/>
        </w:rPr>
        <w:footnoteRef/>
      </w:r>
      <w:r w:rsidRPr="00554EB7">
        <w:rPr>
          <w:rFonts w:ascii="Cambria" w:hAnsi="Cambria"/>
          <w:color w:val="000000" w:themeColor="text1"/>
          <w:sz w:val="16"/>
          <w:szCs w:val="16"/>
        </w:rPr>
        <w:t xml:space="preserve"> This case entered the follow-up phase for the first time in 2022, during which the IACHR also determined that all recommendations were fully complied with by the State of </w:t>
      </w:r>
      <w:r>
        <w:rPr>
          <w:rFonts w:ascii="Cambria" w:hAnsi="Cambria"/>
          <w:color w:val="000000" w:themeColor="text1"/>
          <w:sz w:val="16"/>
          <w:szCs w:val="16"/>
        </w:rPr>
        <w:t>Ecuador</w:t>
      </w:r>
      <w:r w:rsidRPr="00554EB7">
        <w:rPr>
          <w:rFonts w:ascii="Cambria" w:hAnsi="Cambria"/>
          <w:color w:val="000000" w:themeColor="text1"/>
          <w:sz w:val="16"/>
          <w:szCs w:val="16"/>
        </w:rPr>
        <w:t>, decreeing its closure.</w:t>
      </w:r>
    </w:p>
  </w:footnote>
  <w:footnote w:id="145">
    <w:p w14:paraId="74B30CCE" w14:textId="77777777" w:rsidR="0096378F" w:rsidRPr="0087384E" w:rsidRDefault="0096378F" w:rsidP="0096378F">
      <w:pPr>
        <w:pStyle w:val="FootnoteText"/>
        <w:tabs>
          <w:tab w:val="left" w:pos="0"/>
        </w:tabs>
        <w:spacing w:after="120"/>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sidRPr="0087384E">
        <w:rPr>
          <w:rFonts w:ascii="Cambria" w:hAnsi="Cambria"/>
          <w:color w:val="000000" w:themeColor="text1"/>
          <w:sz w:val="16"/>
          <w:szCs w:val="16"/>
        </w:rPr>
        <w:t xml:space="preserve"> IACHR, Annual Report 2005, Chapter III, Section D: Status of Compliance with IACHR Recommendations, paras. 185-186.</w:t>
      </w:r>
    </w:p>
  </w:footnote>
  <w:footnote w:id="146">
    <w:p w14:paraId="13FF277C" w14:textId="77777777" w:rsidR="0096378F" w:rsidRPr="0087384E" w:rsidRDefault="0096378F" w:rsidP="00741C3B">
      <w:pPr>
        <w:pStyle w:val="FootnoteText"/>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sidRPr="0087384E">
        <w:rPr>
          <w:rFonts w:ascii="Cambria" w:hAnsi="Cambria"/>
          <w:color w:val="000000" w:themeColor="text1"/>
          <w:sz w:val="16"/>
          <w:szCs w:val="16"/>
        </w:rPr>
        <w:t xml:space="preserve"> IACHR, Annual Report 2016, Chapter II, Section D: Status of Compliance with Recommendations and Friendly Settlements in Individual Cases, paras. 1685-1708. </w:t>
      </w:r>
    </w:p>
  </w:footnote>
  <w:footnote w:id="147">
    <w:p w14:paraId="3E9A8235" w14:textId="77777777" w:rsidR="0096378F" w:rsidRPr="0087384E" w:rsidRDefault="0096378F" w:rsidP="00741C3B">
      <w:pPr>
        <w:pStyle w:val="FootnoteText"/>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sidRPr="0087384E">
        <w:rPr>
          <w:rFonts w:ascii="Cambria" w:hAnsi="Cambria"/>
          <w:color w:val="000000" w:themeColor="text1"/>
          <w:sz w:val="16"/>
          <w:szCs w:val="16"/>
        </w:rPr>
        <w:t xml:space="preserve"> </w:t>
      </w:r>
      <w:r w:rsidRPr="000F5A91">
        <w:rPr>
          <w:rFonts w:ascii="Cambria" w:hAnsi="Cambria"/>
          <w:color w:val="000000" w:themeColor="text1"/>
          <w:sz w:val="16"/>
          <w:szCs w:val="16"/>
        </w:rPr>
        <w:t xml:space="preserve">The </w:t>
      </w:r>
      <w:r>
        <w:rPr>
          <w:rFonts w:ascii="Cambria" w:hAnsi="Cambria"/>
          <w:color w:val="000000" w:themeColor="text1"/>
          <w:sz w:val="16"/>
          <w:szCs w:val="16"/>
        </w:rPr>
        <w:t>merits report</w:t>
      </w:r>
      <w:r w:rsidRPr="000F5A91">
        <w:rPr>
          <w:rFonts w:ascii="Cambria" w:hAnsi="Cambria"/>
          <w:color w:val="000000" w:themeColor="text1"/>
          <w:sz w:val="16"/>
          <w:szCs w:val="16"/>
        </w:rPr>
        <w:t xml:space="preserve"> of this case was published before 2001, which is why its follow-up through a follow-up form was activated at the request of a party</w:t>
      </w:r>
      <w:r w:rsidRPr="0087384E">
        <w:rPr>
          <w:rFonts w:ascii="Cambria" w:hAnsi="Cambria"/>
          <w:color w:val="000000" w:themeColor="text1"/>
          <w:sz w:val="16"/>
          <w:szCs w:val="16"/>
        </w:rPr>
        <w:t xml:space="preserve">. </w:t>
      </w:r>
    </w:p>
  </w:footnote>
  <w:footnote w:id="148">
    <w:p w14:paraId="48821401" w14:textId="77777777" w:rsidR="0096378F" w:rsidRPr="0087384E" w:rsidRDefault="0096378F" w:rsidP="00741C3B">
      <w:pPr>
        <w:pStyle w:val="FootnoteText"/>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sidRPr="0087384E">
        <w:rPr>
          <w:rFonts w:ascii="Cambria" w:hAnsi="Cambria"/>
          <w:color w:val="000000" w:themeColor="text1"/>
          <w:sz w:val="16"/>
          <w:szCs w:val="16"/>
        </w:rPr>
        <w:t xml:space="preserve"> </w:t>
      </w:r>
      <w:r w:rsidRPr="000F5A91">
        <w:rPr>
          <w:rFonts w:ascii="Cambria" w:hAnsi="Cambria"/>
          <w:color w:val="000000" w:themeColor="text1"/>
          <w:sz w:val="16"/>
          <w:szCs w:val="16"/>
        </w:rPr>
        <w:t xml:space="preserve">The </w:t>
      </w:r>
      <w:r>
        <w:rPr>
          <w:rFonts w:ascii="Cambria" w:hAnsi="Cambria"/>
          <w:color w:val="000000" w:themeColor="text1"/>
          <w:sz w:val="16"/>
          <w:szCs w:val="16"/>
        </w:rPr>
        <w:t>merits report</w:t>
      </w:r>
      <w:r w:rsidRPr="000F5A91">
        <w:rPr>
          <w:rFonts w:ascii="Cambria" w:hAnsi="Cambria"/>
          <w:color w:val="000000" w:themeColor="text1"/>
          <w:sz w:val="16"/>
          <w:szCs w:val="16"/>
        </w:rPr>
        <w:t xml:space="preserve"> of this case was published before 2001, which is why its follow-up through a follow-up form was activated at the request of a party</w:t>
      </w:r>
      <w:r>
        <w:rPr>
          <w:rFonts w:ascii="Cambria" w:hAnsi="Cambria"/>
          <w:color w:val="000000" w:themeColor="text1"/>
          <w:sz w:val="16"/>
          <w:szCs w:val="16"/>
        </w:rPr>
        <w:t>.</w:t>
      </w:r>
    </w:p>
  </w:footnote>
  <w:footnote w:id="149">
    <w:p w14:paraId="414641A8" w14:textId="77777777" w:rsidR="0096378F" w:rsidRPr="0087384E" w:rsidRDefault="0096378F" w:rsidP="00F724AC">
      <w:pPr>
        <w:pStyle w:val="FootnoteText"/>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sidRPr="0087384E">
        <w:rPr>
          <w:rFonts w:ascii="Cambria" w:hAnsi="Cambria"/>
          <w:color w:val="000000" w:themeColor="text1"/>
          <w:sz w:val="16"/>
          <w:szCs w:val="16"/>
        </w:rPr>
        <w:t xml:space="preserve"> IACHR, Annual Report 2012, Chapter III, Section D: Status of Compliance with IACHR Recommendations, paras. 904-908. </w:t>
      </w:r>
    </w:p>
  </w:footnote>
  <w:footnote w:id="150">
    <w:p w14:paraId="3F5194F6" w14:textId="77777777" w:rsidR="0096378F" w:rsidRPr="0087384E" w:rsidRDefault="0096378F" w:rsidP="00F724AC">
      <w:pPr>
        <w:pStyle w:val="FootnoteText"/>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sidRPr="0087384E">
        <w:rPr>
          <w:rFonts w:ascii="Cambria" w:hAnsi="Cambria"/>
          <w:color w:val="000000" w:themeColor="text1"/>
          <w:sz w:val="16"/>
          <w:szCs w:val="16"/>
        </w:rPr>
        <w:t xml:space="preserve"> IACHR, Annual Report 2010, Chapter III, Section D: Status of Compliance with IACHR Recommendations, paras. 928-935.</w:t>
      </w:r>
    </w:p>
  </w:footnote>
  <w:footnote w:id="151">
    <w:p w14:paraId="37CC6D6C" w14:textId="77777777" w:rsidR="0096378F" w:rsidRPr="0087384E" w:rsidRDefault="0096378F" w:rsidP="00F724AC">
      <w:pPr>
        <w:pStyle w:val="FootnoteText"/>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sidRPr="0087384E">
        <w:rPr>
          <w:rFonts w:ascii="Cambria" w:hAnsi="Cambria"/>
          <w:color w:val="000000" w:themeColor="text1"/>
          <w:sz w:val="16"/>
          <w:szCs w:val="16"/>
        </w:rPr>
        <w:t xml:space="preserve"> This is the only set of cases that, for methodological purposes, appears with the classification in the process of determining the level of compliance. This is since the 2021</w:t>
      </w:r>
      <w:r>
        <w:rPr>
          <w:rFonts w:ascii="Cambria" w:hAnsi="Cambria"/>
          <w:color w:val="000000" w:themeColor="text1"/>
          <w:sz w:val="16"/>
          <w:szCs w:val="16"/>
        </w:rPr>
        <w:t xml:space="preserve"> and 2022</w:t>
      </w:r>
      <w:r w:rsidRPr="0087384E">
        <w:rPr>
          <w:rFonts w:ascii="Cambria" w:hAnsi="Cambria"/>
          <w:color w:val="000000" w:themeColor="text1"/>
          <w:sz w:val="16"/>
          <w:szCs w:val="16"/>
        </w:rPr>
        <w:t xml:space="preserve"> follow-up f</w:t>
      </w:r>
      <w:r>
        <w:rPr>
          <w:rFonts w:ascii="Cambria" w:hAnsi="Cambria"/>
          <w:color w:val="000000" w:themeColor="text1"/>
          <w:sz w:val="16"/>
          <w:szCs w:val="16"/>
        </w:rPr>
        <w:t>actsheet</w:t>
      </w:r>
      <w:r w:rsidRPr="0087384E">
        <w:rPr>
          <w:rFonts w:ascii="Cambria" w:hAnsi="Cambria"/>
          <w:color w:val="000000" w:themeColor="text1"/>
          <w:sz w:val="16"/>
          <w:szCs w:val="16"/>
        </w:rPr>
        <w:t xml:space="preserve"> for the Joint Press Release does not yet establish levels of compliance, but is an effort aimed at systematizing the follow-up information as a step prior to determining levels of compliance.</w:t>
      </w:r>
    </w:p>
  </w:footnote>
  <w:footnote w:id="152">
    <w:p w14:paraId="388E89B9" w14:textId="77777777" w:rsidR="0096378F" w:rsidRPr="00CE2691" w:rsidRDefault="0096378F" w:rsidP="00F724AC">
      <w:pPr>
        <w:pStyle w:val="FootnoteText"/>
        <w:ind w:firstLine="720"/>
        <w:jc w:val="both"/>
        <w:rPr>
          <w:rFonts w:ascii="Cambria" w:hAnsi="Cambria"/>
          <w:color w:val="000000" w:themeColor="text1"/>
          <w:sz w:val="16"/>
          <w:szCs w:val="16"/>
          <w:lang w:val="es-AR"/>
        </w:rPr>
      </w:pPr>
      <w:r w:rsidRPr="00102B8B">
        <w:rPr>
          <w:rStyle w:val="FootnoteReference"/>
          <w:rFonts w:ascii="Cambria" w:hAnsi="Cambria"/>
          <w:color w:val="000000" w:themeColor="text1"/>
          <w:sz w:val="16"/>
          <w:szCs w:val="16"/>
        </w:rPr>
        <w:footnoteRef/>
      </w:r>
      <w:r w:rsidRPr="0087384E">
        <w:rPr>
          <w:rFonts w:ascii="Cambria" w:hAnsi="Cambria"/>
          <w:color w:val="000000" w:themeColor="text1"/>
          <w:sz w:val="16"/>
          <w:szCs w:val="16"/>
        </w:rPr>
        <w:t xml:space="preserve"> IACHR, Annual Report 2010, Chapter III, Section D: Status of Compliance with IACHR Recommendations, paras. </w:t>
      </w:r>
      <w:r w:rsidRPr="00CE2691">
        <w:rPr>
          <w:rFonts w:ascii="Cambria" w:hAnsi="Cambria"/>
          <w:color w:val="000000" w:themeColor="text1"/>
          <w:sz w:val="16"/>
          <w:szCs w:val="16"/>
          <w:lang w:val="es-AR"/>
        </w:rPr>
        <w:t xml:space="preserve">1020-1027. </w:t>
      </w:r>
    </w:p>
  </w:footnote>
  <w:footnote w:id="153">
    <w:p w14:paraId="4F464E9B" w14:textId="77777777" w:rsidR="0096378F" w:rsidRPr="00102B8B" w:rsidRDefault="0096378F" w:rsidP="00E27E42">
      <w:pPr>
        <w:pStyle w:val="FootnoteText"/>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w:t>
      </w:r>
      <w:r w:rsidRPr="00166D16">
        <w:rPr>
          <w:rFonts w:ascii="Cambria" w:hAnsi="Cambria" w:cs="Calibri"/>
          <w:color w:val="000000" w:themeColor="text1"/>
          <w:sz w:val="16"/>
          <w:szCs w:val="16"/>
          <w:lang w:val="es-US"/>
        </w:rPr>
        <w:t>Cas</w:t>
      </w:r>
      <w:r>
        <w:rPr>
          <w:rFonts w:ascii="Cambria" w:hAnsi="Cambria" w:cs="Calibri"/>
          <w:color w:val="000000" w:themeColor="text1"/>
          <w:sz w:val="16"/>
          <w:szCs w:val="16"/>
          <w:lang w:val="es-US"/>
        </w:rPr>
        <w:t>e</w:t>
      </w:r>
      <w:r w:rsidRPr="00166D16">
        <w:rPr>
          <w:rFonts w:ascii="Cambria" w:hAnsi="Cambria" w:cs="Calibri"/>
          <w:color w:val="000000" w:themeColor="text1"/>
          <w:sz w:val="16"/>
          <w:szCs w:val="16"/>
          <w:lang w:val="es-US"/>
        </w:rPr>
        <w:t xml:space="preserve"> 11.430, </w:t>
      </w:r>
      <w:r>
        <w:rPr>
          <w:rFonts w:ascii="Cambria" w:hAnsi="Cambria" w:cs="Calibri"/>
          <w:color w:val="000000" w:themeColor="text1"/>
          <w:sz w:val="16"/>
          <w:szCs w:val="16"/>
          <w:lang w:val="es-US"/>
        </w:rPr>
        <w:t>Report</w:t>
      </w:r>
      <w:r w:rsidRPr="00166D16">
        <w:rPr>
          <w:rFonts w:ascii="Cambria" w:hAnsi="Cambria" w:cs="Calibri"/>
          <w:color w:val="000000" w:themeColor="text1"/>
          <w:sz w:val="16"/>
          <w:szCs w:val="16"/>
          <w:lang w:val="es-US"/>
        </w:rPr>
        <w:t xml:space="preserve"> 43/96, José Francisco Gallardo Rodríguez (M</w:t>
      </w:r>
      <w:r>
        <w:rPr>
          <w:rFonts w:ascii="Cambria" w:hAnsi="Cambria" w:cs="Calibri"/>
          <w:color w:val="000000" w:themeColor="text1"/>
          <w:sz w:val="16"/>
          <w:szCs w:val="16"/>
          <w:lang w:val="es-US"/>
        </w:rPr>
        <w:t>e</w:t>
      </w:r>
      <w:r w:rsidRPr="00166D16">
        <w:rPr>
          <w:rFonts w:ascii="Cambria" w:hAnsi="Cambria" w:cs="Calibri"/>
          <w:color w:val="000000" w:themeColor="text1"/>
          <w:sz w:val="16"/>
          <w:szCs w:val="16"/>
          <w:lang w:val="es-US"/>
        </w:rPr>
        <w:t>xico)</w:t>
      </w:r>
      <w:r>
        <w:rPr>
          <w:rFonts w:ascii="Cambria" w:hAnsi="Cambria" w:cs="Calibri"/>
          <w:color w:val="000000" w:themeColor="text1"/>
          <w:sz w:val="16"/>
          <w:szCs w:val="16"/>
          <w:lang w:val="es-US"/>
        </w:rPr>
        <w:t xml:space="preserve"> and </w:t>
      </w:r>
      <w:r w:rsidRPr="00E76EBF">
        <w:rPr>
          <w:rFonts w:ascii="Cambria" w:hAnsi="Cambria" w:cs="Calibri"/>
          <w:color w:val="000000" w:themeColor="text1"/>
          <w:sz w:val="16"/>
          <w:szCs w:val="16"/>
          <w:lang w:val="es-US"/>
        </w:rPr>
        <w:t>Cas</w:t>
      </w:r>
      <w:r>
        <w:rPr>
          <w:rFonts w:ascii="Cambria" w:hAnsi="Cambria" w:cs="Calibri"/>
          <w:color w:val="000000" w:themeColor="text1"/>
          <w:sz w:val="16"/>
          <w:szCs w:val="16"/>
          <w:lang w:val="es-US"/>
        </w:rPr>
        <w:t>e</w:t>
      </w:r>
      <w:r w:rsidRPr="00E76EBF">
        <w:rPr>
          <w:rFonts w:ascii="Cambria" w:hAnsi="Cambria" w:cs="Calibri"/>
          <w:color w:val="000000" w:themeColor="text1"/>
          <w:sz w:val="16"/>
          <w:szCs w:val="16"/>
          <w:lang w:val="es-US"/>
        </w:rPr>
        <w:t xml:space="preserve"> 11.740, </w:t>
      </w:r>
      <w:r>
        <w:rPr>
          <w:rFonts w:ascii="Cambria" w:hAnsi="Cambria" w:cs="Calibri"/>
          <w:color w:val="000000" w:themeColor="text1"/>
          <w:sz w:val="16"/>
          <w:szCs w:val="16"/>
          <w:lang w:val="es-US"/>
        </w:rPr>
        <w:t>Report</w:t>
      </w:r>
      <w:r w:rsidRPr="00E76EBF">
        <w:rPr>
          <w:rFonts w:ascii="Cambria" w:hAnsi="Cambria" w:cs="Calibri"/>
          <w:color w:val="000000" w:themeColor="text1"/>
          <w:sz w:val="16"/>
          <w:szCs w:val="16"/>
          <w:lang w:val="es-US"/>
        </w:rPr>
        <w:t xml:space="preserve"> 130/90, Víctor Manuel Oropeza (M</w:t>
      </w:r>
      <w:r>
        <w:rPr>
          <w:rFonts w:ascii="Cambria" w:hAnsi="Cambria" w:cs="Calibri"/>
          <w:color w:val="000000" w:themeColor="text1"/>
          <w:sz w:val="16"/>
          <w:szCs w:val="16"/>
          <w:lang w:val="es-US"/>
        </w:rPr>
        <w:t>e</w:t>
      </w:r>
      <w:r w:rsidRPr="00E76EBF">
        <w:rPr>
          <w:rFonts w:ascii="Cambria" w:hAnsi="Cambria" w:cs="Calibri"/>
          <w:color w:val="000000" w:themeColor="text1"/>
          <w:sz w:val="16"/>
          <w:szCs w:val="16"/>
          <w:lang w:val="es-US"/>
        </w:rPr>
        <w:t>xico)</w:t>
      </w:r>
      <w:r w:rsidRPr="00102B8B">
        <w:rPr>
          <w:rFonts w:ascii="Cambria" w:hAnsi="Cambria"/>
          <w:color w:val="000000" w:themeColor="text1"/>
          <w:sz w:val="16"/>
          <w:szCs w:val="16"/>
          <w:lang w:val="es-ES"/>
        </w:rPr>
        <w:t xml:space="preserve">. </w:t>
      </w:r>
    </w:p>
  </w:footnote>
  <w:footnote w:id="154">
    <w:p w14:paraId="57426653" w14:textId="77777777" w:rsidR="0096378F" w:rsidRPr="008E3CE9" w:rsidRDefault="0096378F" w:rsidP="00E27E42">
      <w:pPr>
        <w:autoSpaceDE w:val="0"/>
        <w:autoSpaceDN w:val="0"/>
        <w:adjustRightInd w:val="0"/>
        <w:ind w:firstLine="720"/>
        <w:jc w:val="both"/>
        <w:rPr>
          <w:rFonts w:ascii="Cambria" w:hAnsi="Cambria" w:cs="Calibri"/>
          <w:color w:val="000000" w:themeColor="text1"/>
          <w:sz w:val="16"/>
          <w:szCs w:val="16"/>
        </w:rPr>
      </w:pPr>
      <w:r w:rsidRPr="00102B8B">
        <w:rPr>
          <w:rStyle w:val="FootnoteReference"/>
          <w:rFonts w:ascii="Cambria" w:hAnsi="Cambria"/>
          <w:color w:val="000000" w:themeColor="text1"/>
          <w:sz w:val="16"/>
          <w:szCs w:val="16"/>
        </w:rPr>
        <w:footnoteRef/>
      </w:r>
      <w:r w:rsidRPr="008E3CE9">
        <w:rPr>
          <w:rFonts w:ascii="Cambria" w:hAnsi="Cambria"/>
          <w:color w:val="000000" w:themeColor="text1"/>
          <w:sz w:val="16"/>
          <w:szCs w:val="16"/>
        </w:rPr>
        <w:t xml:space="preserve"> It should be noted that the table included above with respect to the follow-up files of the published merits reports includes a total of 1</w:t>
      </w:r>
      <w:r>
        <w:rPr>
          <w:rFonts w:ascii="Cambria" w:hAnsi="Cambria"/>
          <w:color w:val="000000" w:themeColor="text1"/>
          <w:sz w:val="16"/>
          <w:szCs w:val="16"/>
        </w:rPr>
        <w:t>40</w:t>
      </w:r>
      <w:r w:rsidRPr="008E3CE9">
        <w:rPr>
          <w:rFonts w:ascii="Cambria" w:hAnsi="Cambria"/>
          <w:color w:val="000000" w:themeColor="text1"/>
          <w:sz w:val="16"/>
          <w:szCs w:val="16"/>
        </w:rPr>
        <w:t xml:space="preserve"> cases. This table indicates that there are a total of 1</w:t>
      </w:r>
      <w:r>
        <w:rPr>
          <w:rFonts w:ascii="Cambria" w:hAnsi="Cambria"/>
          <w:color w:val="000000" w:themeColor="text1"/>
          <w:sz w:val="16"/>
          <w:szCs w:val="16"/>
        </w:rPr>
        <w:t>39</w:t>
      </w:r>
      <w:r w:rsidRPr="008E3CE9">
        <w:rPr>
          <w:rFonts w:ascii="Cambria" w:hAnsi="Cambria"/>
          <w:color w:val="000000" w:themeColor="text1"/>
          <w:sz w:val="16"/>
          <w:szCs w:val="16"/>
        </w:rPr>
        <w:t xml:space="preserve"> cases, and not 1</w:t>
      </w:r>
      <w:r>
        <w:rPr>
          <w:rFonts w:ascii="Cambria" w:hAnsi="Cambria"/>
          <w:color w:val="000000" w:themeColor="text1"/>
          <w:sz w:val="16"/>
          <w:szCs w:val="16"/>
        </w:rPr>
        <w:t>40</w:t>
      </w:r>
      <w:r w:rsidRPr="008E3CE9">
        <w:rPr>
          <w:rFonts w:ascii="Cambria" w:hAnsi="Cambria"/>
          <w:color w:val="000000" w:themeColor="text1"/>
          <w:sz w:val="16"/>
          <w:szCs w:val="16"/>
        </w:rPr>
        <w:t xml:space="preserve">, because it excludes those of Joint Press Release P-1193-CA (Peru). In this regard, it should be reiterated that this communiqué was not considered in this table since the IACHR has not yet determined levels of compliance with the reports contained in this communiqué. </w:t>
      </w:r>
    </w:p>
  </w:footnote>
  <w:footnote w:id="155">
    <w:p w14:paraId="295C6C13" w14:textId="77777777" w:rsidR="0096378F" w:rsidRPr="006C19FB" w:rsidRDefault="0096378F" w:rsidP="00183E8D">
      <w:pPr>
        <w:ind w:firstLine="720"/>
        <w:jc w:val="both"/>
        <w:rPr>
          <w:rFonts w:ascii="Cambria" w:hAnsi="Cambria" w:cs="Calibri"/>
          <w:bCs/>
          <w:color w:val="000000" w:themeColor="text1"/>
          <w:sz w:val="16"/>
          <w:szCs w:val="16"/>
        </w:rPr>
      </w:pPr>
      <w:r w:rsidRPr="005B5543">
        <w:rPr>
          <w:rStyle w:val="FootnoteReference"/>
          <w:rFonts w:ascii="Cambria" w:hAnsi="Cambria"/>
          <w:color w:val="000000" w:themeColor="text1"/>
          <w:sz w:val="16"/>
          <w:szCs w:val="16"/>
        </w:rPr>
        <w:footnoteRef/>
      </w:r>
      <w:r w:rsidRPr="005B5543">
        <w:rPr>
          <w:rFonts w:ascii="Cambria" w:eastAsia="MS Mincho" w:hAnsi="Cambria" w:cs="Calibri"/>
          <w:color w:val="000000" w:themeColor="text1"/>
          <w:sz w:val="16"/>
          <w:szCs w:val="16"/>
        </w:rPr>
        <w:t xml:space="preserve"> </w:t>
      </w:r>
      <w:r w:rsidRPr="002B5171">
        <w:rPr>
          <w:rFonts w:ascii="Cambria" w:eastAsia="MS Mincho" w:hAnsi="Cambria" w:cs="Calibri"/>
          <w:color w:val="000000" w:themeColor="text1"/>
          <w:sz w:val="16"/>
          <w:szCs w:val="16"/>
        </w:rPr>
        <w:t xml:space="preserve">Case 12,721, Report No. 460/21, Ángel Pedro Falanga (Argentina), clause A3; Case 12,681, Report No. 268/21, Marcos Alejandro Martín (Argentina), recommendations 1 and 2, and clauses A2, A3, A4 and B; Case 12.332, Report No. 31/20, Margarita Maria Alves (Brazil), </w:t>
      </w:r>
      <w:r w:rsidRPr="00455BB6">
        <w:rPr>
          <w:rFonts w:ascii="Cambria" w:eastAsia="MS Mincho" w:hAnsi="Cambria" w:cs="Calibri"/>
          <w:color w:val="000000" w:themeColor="text1"/>
          <w:sz w:val="16"/>
          <w:szCs w:val="16"/>
        </w:rPr>
        <w:t xml:space="preserve">recommendation 1; </w:t>
      </w:r>
      <w:r w:rsidRPr="00455BB6">
        <w:rPr>
          <w:rFonts w:ascii="Cambria" w:hAnsi="Cambria" w:cs="Calibri"/>
          <w:bCs/>
          <w:color w:val="000000" w:themeColor="text1"/>
          <w:sz w:val="16"/>
          <w:szCs w:val="16"/>
        </w:rPr>
        <w:t xml:space="preserve">Case 11,444, Report </w:t>
      </w:r>
      <w:r w:rsidRPr="00455BB6">
        <w:rPr>
          <w:rFonts w:ascii="Cambria" w:eastAsia="MS Mincho" w:hAnsi="Cambria" w:cs="Calibri"/>
          <w:color w:val="000000" w:themeColor="text1"/>
          <w:sz w:val="16"/>
          <w:szCs w:val="16"/>
        </w:rPr>
        <w:t xml:space="preserve">No. </w:t>
      </w:r>
      <w:r w:rsidRPr="00455BB6">
        <w:rPr>
          <w:rFonts w:ascii="Cambria" w:hAnsi="Cambria" w:cs="Calibri"/>
          <w:bCs/>
          <w:color w:val="000000" w:themeColor="text1"/>
          <w:sz w:val="16"/>
          <w:szCs w:val="16"/>
        </w:rPr>
        <w:t xml:space="preserve">457/21, Amparo </w:t>
      </w:r>
      <w:r w:rsidRPr="006C19FB">
        <w:rPr>
          <w:rFonts w:ascii="Cambria" w:hAnsi="Cambria" w:cs="Calibri"/>
          <w:bCs/>
          <w:color w:val="000000" w:themeColor="text1"/>
          <w:sz w:val="16"/>
          <w:szCs w:val="16"/>
        </w:rPr>
        <w:t xml:space="preserve">Constante Merizalde (Ecuador), </w:t>
      </w:r>
      <w:r w:rsidRPr="006C19FB">
        <w:rPr>
          <w:rFonts w:ascii="Cambria" w:eastAsia="MS Mincho" w:hAnsi="Cambria" w:cs="Calibri"/>
          <w:color w:val="000000" w:themeColor="text1"/>
          <w:sz w:val="16"/>
          <w:szCs w:val="16"/>
          <w:lang w:eastAsia="es-ES_tradnl"/>
        </w:rPr>
        <w:t>recommendation 1</w:t>
      </w:r>
      <w:r>
        <w:rPr>
          <w:rFonts w:ascii="Cambria" w:eastAsia="MS Mincho" w:hAnsi="Cambria" w:cs="Calibri"/>
          <w:color w:val="000000" w:themeColor="text1"/>
          <w:sz w:val="16"/>
          <w:szCs w:val="16"/>
          <w:lang w:eastAsia="es-ES_tradnl"/>
        </w:rPr>
        <w:t xml:space="preserve"> and clause 8</w:t>
      </w:r>
      <w:r w:rsidRPr="006C19FB">
        <w:rPr>
          <w:rFonts w:ascii="Cambria" w:eastAsia="MS Mincho" w:hAnsi="Cambria" w:cs="Calibri"/>
          <w:color w:val="000000" w:themeColor="text1"/>
          <w:sz w:val="16"/>
          <w:szCs w:val="16"/>
          <w:lang w:eastAsia="es-ES_tradnl"/>
        </w:rPr>
        <w:t xml:space="preserve">; </w:t>
      </w:r>
      <w:r w:rsidRPr="006C19FB">
        <w:rPr>
          <w:rFonts w:ascii="Cambria" w:hAnsi="Cambria" w:cs="Calibri"/>
          <w:bCs/>
          <w:color w:val="000000" w:themeColor="text1"/>
          <w:sz w:val="16"/>
          <w:szCs w:val="16"/>
        </w:rPr>
        <w:t xml:space="preserve">Case 12,931, Report </w:t>
      </w:r>
      <w:r w:rsidRPr="006C19FB">
        <w:rPr>
          <w:rFonts w:ascii="Cambria" w:eastAsia="MS Mincho" w:hAnsi="Cambria" w:cs="Calibri"/>
          <w:color w:val="000000" w:themeColor="text1"/>
          <w:sz w:val="16"/>
          <w:szCs w:val="16"/>
        </w:rPr>
        <w:t xml:space="preserve">No. 328/21, Daría Olinda Puertocarrero Hurtado (Ecuador) </w:t>
      </w:r>
      <w:r w:rsidRPr="006C19FB">
        <w:rPr>
          <w:rFonts w:ascii="Cambria" w:eastAsia="MS Mincho" w:hAnsi="Cambria" w:cs="Calibri"/>
          <w:color w:val="000000" w:themeColor="text1"/>
          <w:sz w:val="16"/>
          <w:szCs w:val="16"/>
          <w:lang w:eastAsia="es-ES_tradnl"/>
        </w:rPr>
        <w:t>recommendation 1</w:t>
      </w:r>
      <w:r>
        <w:rPr>
          <w:rFonts w:ascii="Cambria" w:eastAsia="MS Mincho" w:hAnsi="Cambria" w:cs="Calibri"/>
          <w:color w:val="000000" w:themeColor="text1"/>
          <w:sz w:val="16"/>
          <w:szCs w:val="16"/>
          <w:lang w:eastAsia="es-ES_tradnl"/>
        </w:rPr>
        <w:t>, y clause 7 (satisfaction measures) and clause 7 (rehabilitation measures)</w:t>
      </w:r>
      <w:r w:rsidRPr="006C19FB">
        <w:rPr>
          <w:rFonts w:ascii="Cambria" w:eastAsia="MS Mincho" w:hAnsi="Cambria" w:cs="Calibri"/>
          <w:color w:val="000000" w:themeColor="text1"/>
          <w:sz w:val="16"/>
          <w:szCs w:val="16"/>
          <w:lang w:eastAsia="es-ES_tradnl"/>
        </w:rPr>
        <w:t xml:space="preserve">; Case </w:t>
      </w:r>
      <w:r w:rsidRPr="006C19FB">
        <w:rPr>
          <w:rFonts w:ascii="Cambria" w:hAnsi="Cambria" w:cs="Calibri"/>
          <w:bCs/>
          <w:color w:val="000000" w:themeColor="text1"/>
          <w:sz w:val="16"/>
          <w:szCs w:val="16"/>
        </w:rPr>
        <w:t>12,551, Report No. 51/13, Paloma Angélica Escobar</w:t>
      </w:r>
      <w:r>
        <w:rPr>
          <w:rFonts w:ascii="Cambria" w:hAnsi="Cambria" w:cs="Calibri"/>
          <w:bCs/>
          <w:color w:val="000000" w:themeColor="text1"/>
          <w:sz w:val="16"/>
          <w:szCs w:val="16"/>
        </w:rPr>
        <w:t>,</w:t>
      </w:r>
      <w:r w:rsidRPr="006C19FB">
        <w:rPr>
          <w:rFonts w:ascii="Cambria" w:hAnsi="Cambria" w:cs="Calibri"/>
          <w:bCs/>
          <w:color w:val="000000" w:themeColor="text1"/>
          <w:sz w:val="16"/>
          <w:szCs w:val="16"/>
        </w:rPr>
        <w:t xml:space="preserve"> clause 9.b.</w:t>
      </w:r>
    </w:p>
  </w:footnote>
  <w:footnote w:id="156">
    <w:p w14:paraId="59AADA49" w14:textId="367BACE7" w:rsidR="0096378F" w:rsidRPr="007E626C" w:rsidRDefault="0096378F" w:rsidP="00183E8D">
      <w:pPr>
        <w:pStyle w:val="FootnoteText"/>
        <w:ind w:firstLine="720"/>
        <w:jc w:val="both"/>
      </w:pPr>
      <w:r w:rsidRPr="006C19FB">
        <w:rPr>
          <w:rFonts w:ascii="Cambria" w:eastAsia="MS Mincho" w:hAnsi="Cambria" w:cs="Calibri"/>
          <w:color w:val="000000" w:themeColor="text1"/>
          <w:sz w:val="16"/>
          <w:szCs w:val="16"/>
          <w:vertAlign w:val="superscript"/>
          <w:lang w:val="es-US"/>
        </w:rPr>
        <w:footnoteRef/>
      </w:r>
      <w:r w:rsidRPr="006C19FB">
        <w:rPr>
          <w:rFonts w:ascii="Cambria" w:eastAsia="MS Mincho" w:hAnsi="Cambria" w:cs="Calibri"/>
          <w:color w:val="000000" w:themeColor="text1"/>
          <w:sz w:val="16"/>
          <w:szCs w:val="16"/>
        </w:rPr>
        <w:t xml:space="preserve"> Case 11.382, Finca "La Exacta" (Guatemala), recommendation 4; Case 11.771, Samuel Alfonso Catalán Lincoleo, (Chile), recommendation 1.</w:t>
      </w:r>
      <w:r w:rsidR="0048637B">
        <w:rPr>
          <w:rFonts w:ascii="Cambria" w:eastAsia="MS Mincho" w:hAnsi="Cambria" w:cs="Calibri"/>
          <w:color w:val="000000" w:themeColor="text1"/>
          <w:sz w:val="16"/>
          <w:szCs w:val="16"/>
        </w:rPr>
        <w:t xml:space="preserve"> </w:t>
      </w:r>
    </w:p>
  </w:footnote>
  <w:footnote w:id="157">
    <w:p w14:paraId="0A850401" w14:textId="24638E64" w:rsidR="0096378F" w:rsidRPr="009F20F4" w:rsidRDefault="0096378F" w:rsidP="00183E8D">
      <w:pPr>
        <w:ind w:firstLine="720"/>
        <w:jc w:val="both"/>
        <w:rPr>
          <w:rFonts w:ascii="Cambria" w:hAnsi="Cambria" w:cs="Calibri"/>
          <w:color w:val="000000" w:themeColor="text1"/>
          <w:sz w:val="16"/>
          <w:szCs w:val="16"/>
          <w:highlight w:val="cyan"/>
        </w:rPr>
      </w:pPr>
      <w:r w:rsidRPr="00102B8B">
        <w:rPr>
          <w:rStyle w:val="FootnoteReference"/>
          <w:rFonts w:ascii="Cambria" w:hAnsi="Cambria"/>
          <w:color w:val="000000" w:themeColor="text1"/>
          <w:sz w:val="16"/>
          <w:szCs w:val="16"/>
        </w:rPr>
        <w:footnoteRef/>
      </w:r>
      <w:r w:rsidRPr="007E626C">
        <w:rPr>
          <w:rFonts w:ascii="Cambria" w:eastAsia="MS Mincho" w:hAnsi="Cambria" w:cs="Calibri"/>
          <w:color w:val="FF0000"/>
          <w:sz w:val="16"/>
          <w:szCs w:val="16"/>
        </w:rPr>
        <w:t xml:space="preserve"> </w:t>
      </w:r>
      <w:r w:rsidRPr="002B5171">
        <w:rPr>
          <w:rFonts w:ascii="Cambria" w:eastAsia="MS Mincho" w:hAnsi="Cambria" w:cs="Calibri"/>
          <w:color w:val="000000" w:themeColor="text1"/>
          <w:sz w:val="16"/>
          <w:szCs w:val="16"/>
        </w:rPr>
        <w:t xml:space="preserve">Case </w:t>
      </w:r>
      <w:r w:rsidRPr="006C19FB">
        <w:rPr>
          <w:rFonts w:ascii="Cambria" w:eastAsia="MS Mincho" w:hAnsi="Cambria" w:cs="Calibri"/>
          <w:color w:val="000000" w:themeColor="text1"/>
          <w:sz w:val="16"/>
          <w:szCs w:val="16"/>
        </w:rPr>
        <w:t xml:space="preserve">12,721, Report No. 460/21, Ángel Pedro Falanga (Argentina), clause B; Case 11,556, Corumbiara, (Brazil), recommendation 2; Case 12,001, Simone André Diniz, (Brazil), </w:t>
      </w:r>
      <w:r>
        <w:rPr>
          <w:rFonts w:ascii="Cambria" w:eastAsia="MS Mincho" w:hAnsi="Cambria" w:cs="Calibri"/>
          <w:color w:val="000000" w:themeColor="text1"/>
          <w:sz w:val="16"/>
          <w:szCs w:val="16"/>
        </w:rPr>
        <w:t>recommendation</w:t>
      </w:r>
      <w:r w:rsidRPr="006C19FB">
        <w:rPr>
          <w:rFonts w:ascii="Cambria" w:eastAsia="MS Mincho" w:hAnsi="Cambria" w:cs="Calibri"/>
          <w:color w:val="000000" w:themeColor="text1"/>
          <w:sz w:val="16"/>
          <w:szCs w:val="16"/>
        </w:rPr>
        <w:t xml:space="preserve"> 9; Case 12,469, Margarita Barbería Miranda, (Chile), recommendation 3; Case 10,626 Remigio Domingo Morales and Rafael Sánchez et al. (Guatemala), recommendation 5; Case 9.111, Ileana del Rosario Solares Castillo and others, (Guatemala), recommendation 1</w:t>
      </w:r>
      <w:r>
        <w:rPr>
          <w:rFonts w:ascii="Cambria" w:eastAsia="MS Mincho" w:hAnsi="Cambria" w:cs="Calibri"/>
          <w:color w:val="000000" w:themeColor="text1"/>
          <w:sz w:val="16"/>
          <w:szCs w:val="16"/>
        </w:rPr>
        <w:t xml:space="preserve"> and clause 1</w:t>
      </w:r>
      <w:r w:rsidRPr="006C19FB">
        <w:rPr>
          <w:rFonts w:ascii="Cambria" w:eastAsia="MS Mincho" w:hAnsi="Cambria" w:cs="Calibri"/>
          <w:color w:val="000000" w:themeColor="text1"/>
          <w:sz w:val="16"/>
          <w:szCs w:val="16"/>
        </w:rPr>
        <w:t>; Case 11.658, Martín Pelicó Coxic (Guatemala), recommendations 3 y 4</w:t>
      </w:r>
      <w:r w:rsidR="002015C4">
        <w:rPr>
          <w:rFonts w:ascii="Cambria" w:eastAsia="MS Mincho" w:hAnsi="Cambria" w:cs="Calibri"/>
          <w:color w:val="000000" w:themeColor="text1"/>
          <w:sz w:val="16"/>
          <w:szCs w:val="16"/>
        </w:rPr>
        <w:t xml:space="preserve">; </w:t>
      </w:r>
      <w:r w:rsidR="009F20F4" w:rsidRPr="009F20F4">
        <w:rPr>
          <w:rFonts w:ascii="Cambria" w:eastAsia="MS Mincho" w:hAnsi="Cambria" w:cs="Calibri"/>
          <w:color w:val="000000" w:themeColor="text1"/>
          <w:sz w:val="16"/>
          <w:szCs w:val="16"/>
        </w:rPr>
        <w:t>Case 11.654 Masacre de Riofrío (Colombia), recommendation 1.</w:t>
      </w:r>
    </w:p>
  </w:footnote>
  <w:footnote w:id="158">
    <w:p w14:paraId="2BF759E7" w14:textId="77777777" w:rsidR="0096378F" w:rsidRPr="008E3CE9" w:rsidRDefault="0096378F" w:rsidP="00183E8D">
      <w:pPr>
        <w:pStyle w:val="FootnoteText"/>
        <w:ind w:firstLine="720"/>
        <w:jc w:val="both"/>
        <w:rPr>
          <w:rFonts w:ascii="Cambria" w:hAnsi="Cambria"/>
          <w:color w:val="000000" w:themeColor="text1"/>
          <w:sz w:val="16"/>
          <w:szCs w:val="16"/>
        </w:rPr>
      </w:pPr>
      <w:r w:rsidRPr="00102B8B">
        <w:rPr>
          <w:rStyle w:val="FootnoteReference"/>
          <w:rFonts w:ascii="Cambria" w:hAnsi="Cambria"/>
          <w:color w:val="000000" w:themeColor="text1"/>
          <w:sz w:val="16"/>
          <w:szCs w:val="16"/>
        </w:rPr>
        <w:footnoteRef/>
      </w:r>
      <w:r w:rsidRPr="008E3CE9">
        <w:rPr>
          <w:rFonts w:ascii="Cambria" w:hAnsi="Cambria"/>
          <w:color w:val="000000" w:themeColor="text1"/>
          <w:sz w:val="16"/>
          <w:szCs w:val="16"/>
        </w:rPr>
        <w:t xml:space="preserve"> It should be noted that the table listing the follow-up files included above in this chapter includes 1</w:t>
      </w:r>
      <w:r>
        <w:rPr>
          <w:rFonts w:ascii="Cambria" w:hAnsi="Cambria"/>
          <w:color w:val="000000" w:themeColor="text1"/>
          <w:sz w:val="16"/>
          <w:szCs w:val="16"/>
        </w:rPr>
        <w:t>40</w:t>
      </w:r>
      <w:r w:rsidRPr="008E3CE9">
        <w:rPr>
          <w:rFonts w:ascii="Cambria" w:hAnsi="Cambria"/>
          <w:color w:val="000000" w:themeColor="text1"/>
          <w:sz w:val="16"/>
          <w:szCs w:val="16"/>
        </w:rPr>
        <w:t xml:space="preserve"> cases. However, the count relating to the levels of compliance with the recommendations made in this section excludes the cases of Joint Press Release P-1193-CA (Peru) given that the file prepared by the IACHR in 2021</w:t>
      </w:r>
      <w:r>
        <w:rPr>
          <w:rFonts w:ascii="Cambria" w:hAnsi="Cambria"/>
          <w:color w:val="000000" w:themeColor="text1"/>
          <w:sz w:val="16"/>
          <w:szCs w:val="16"/>
        </w:rPr>
        <w:t xml:space="preserve"> and updated in 2022</w:t>
      </w:r>
      <w:r w:rsidRPr="008E3CE9">
        <w:rPr>
          <w:rFonts w:ascii="Cambria" w:hAnsi="Cambria"/>
          <w:color w:val="000000" w:themeColor="text1"/>
          <w:sz w:val="16"/>
          <w:szCs w:val="16"/>
        </w:rPr>
        <w:t xml:space="preserve"> is a tool aimed at facilitating the systematization of follow-up information and does not yet determine the levels of compliance. This exclusion explains why a total of 1</w:t>
      </w:r>
      <w:r>
        <w:rPr>
          <w:rFonts w:ascii="Cambria" w:hAnsi="Cambria"/>
          <w:color w:val="000000" w:themeColor="text1"/>
          <w:sz w:val="16"/>
          <w:szCs w:val="16"/>
        </w:rPr>
        <w:t>39</w:t>
      </w:r>
      <w:r w:rsidRPr="008E3CE9">
        <w:rPr>
          <w:rFonts w:ascii="Cambria" w:hAnsi="Cambria"/>
          <w:color w:val="000000" w:themeColor="text1"/>
          <w:sz w:val="16"/>
          <w:szCs w:val="16"/>
        </w:rPr>
        <w:t xml:space="preserve"> cases are listed here.</w:t>
      </w:r>
    </w:p>
  </w:footnote>
  <w:footnote w:id="159">
    <w:p w14:paraId="330044B6" w14:textId="702DCDCF" w:rsidR="008668B8" w:rsidRPr="00FA77C0" w:rsidRDefault="008668B8" w:rsidP="00846163">
      <w:pPr>
        <w:pStyle w:val="FootnoteText"/>
        <w:ind w:firstLine="720"/>
        <w:jc w:val="both"/>
        <w:rPr>
          <w:rFonts w:ascii="Times New Roman" w:hAnsi="Times New Roman" w:cs="Times New Roman"/>
          <w:sz w:val="16"/>
          <w:szCs w:val="16"/>
        </w:rPr>
      </w:pPr>
      <w:r w:rsidRPr="0018579D">
        <w:rPr>
          <w:rStyle w:val="None"/>
          <w:rFonts w:ascii="Times New Roman" w:eastAsia="Cambria" w:hAnsi="Times New Roman" w:cs="Times New Roman"/>
          <w:sz w:val="16"/>
          <w:szCs w:val="16"/>
          <w:vertAlign w:val="superscript"/>
        </w:rPr>
        <w:footnoteRef/>
      </w:r>
      <w:r w:rsidRPr="0018579D">
        <w:rPr>
          <w:rStyle w:val="None"/>
          <w:rFonts w:ascii="Times New Roman" w:hAnsi="Times New Roman" w:cs="Times New Roman"/>
          <w:sz w:val="16"/>
          <w:szCs w:val="16"/>
        </w:rPr>
        <w:t xml:space="preserve"> </w:t>
      </w:r>
      <w:r w:rsidRPr="00FA77C0">
        <w:rPr>
          <w:rStyle w:val="None"/>
          <w:rFonts w:ascii="Times New Roman" w:hAnsi="Times New Roman" w:cs="Times New Roman"/>
          <w:sz w:val="16"/>
          <w:szCs w:val="16"/>
        </w:rPr>
        <w:t xml:space="preserve">The </w:t>
      </w:r>
      <w:r w:rsidRPr="00FA77C0">
        <w:rPr>
          <w:rStyle w:val="None"/>
          <w:rFonts w:ascii="Times New Roman" w:hAnsi="Times New Roman" w:cs="Times New Roman"/>
          <w:sz w:val="16"/>
          <w:szCs w:val="16"/>
          <w:u w:val="single"/>
        </w:rPr>
        <w:t>initial diagnosis</w:t>
      </w:r>
      <w:r w:rsidRPr="00FA77C0">
        <w:rPr>
          <w:rStyle w:val="None"/>
          <w:rFonts w:ascii="Times New Roman" w:hAnsi="Times New Roman" w:cs="Times New Roman"/>
          <w:sz w:val="16"/>
          <w:szCs w:val="16"/>
        </w:rPr>
        <w:t xml:space="preserve"> evaluates what the matter relates to and assesses its degree of urgency, </w:t>
      </w:r>
      <w:r>
        <w:rPr>
          <w:rStyle w:val="None"/>
          <w:rFonts w:ascii="Times New Roman" w:hAnsi="Times New Roman" w:cs="Times New Roman"/>
          <w:sz w:val="16"/>
          <w:szCs w:val="16"/>
        </w:rPr>
        <w:t>allowing the Commission to prioritize situations of greater risk. This is distinct from the</w:t>
      </w:r>
      <w:r w:rsidRPr="00FA77C0">
        <w:rPr>
          <w:rStyle w:val="None"/>
          <w:rFonts w:ascii="Times New Roman" w:hAnsi="Times New Roman" w:cs="Times New Roman"/>
          <w:sz w:val="16"/>
          <w:szCs w:val="16"/>
        </w:rPr>
        <w:t xml:space="preserve"> </w:t>
      </w:r>
      <w:r>
        <w:rPr>
          <w:rStyle w:val="None"/>
          <w:rFonts w:ascii="Times New Roman" w:hAnsi="Times New Roman" w:cs="Times New Roman"/>
          <w:sz w:val="16"/>
          <w:szCs w:val="16"/>
          <w:u w:val="single"/>
        </w:rPr>
        <w:t>legal evaluation</w:t>
      </w:r>
      <w:r w:rsidRPr="00FA77C0">
        <w:rPr>
          <w:rStyle w:val="None"/>
          <w:rFonts w:ascii="Times New Roman" w:hAnsi="Times New Roman" w:cs="Times New Roman"/>
          <w:sz w:val="16"/>
          <w:szCs w:val="16"/>
        </w:rPr>
        <w:t xml:space="preserve"> </w:t>
      </w:r>
      <w:r>
        <w:rPr>
          <w:rStyle w:val="None"/>
          <w:rFonts w:ascii="Times New Roman" w:hAnsi="Times New Roman" w:cs="Times New Roman"/>
          <w:sz w:val="16"/>
          <w:szCs w:val="16"/>
        </w:rPr>
        <w:t>of the matter, which refers to technical analysis as to whether a request satisfies the procedural requirements for granting a precautionary measure</w:t>
      </w:r>
      <w:r w:rsidRPr="00FA77C0">
        <w:rPr>
          <w:rStyle w:val="None"/>
          <w:rFonts w:ascii="Times New Roman" w:hAnsi="Times New Roman" w:cs="Times New Roman"/>
          <w:sz w:val="16"/>
          <w:szCs w:val="16"/>
        </w:rPr>
        <w:t>.</w:t>
      </w:r>
    </w:p>
  </w:footnote>
  <w:footnote w:id="160">
    <w:p w14:paraId="2C58D096" w14:textId="283D6EBE" w:rsidR="008668B8" w:rsidRPr="00FA77C0" w:rsidRDefault="008668B8" w:rsidP="00846163">
      <w:pPr>
        <w:pStyle w:val="FootnoteText"/>
        <w:ind w:firstLine="720"/>
        <w:jc w:val="both"/>
        <w:rPr>
          <w:rFonts w:ascii="Cambria" w:hAnsi="Cambria"/>
          <w:sz w:val="16"/>
          <w:szCs w:val="16"/>
        </w:rPr>
      </w:pPr>
      <w:r w:rsidRPr="00FA77C0">
        <w:rPr>
          <w:rStyle w:val="None"/>
          <w:rFonts w:ascii="Cambria" w:eastAsia="Cambria" w:hAnsi="Cambria" w:cs="Times New Roman"/>
          <w:sz w:val="16"/>
          <w:szCs w:val="16"/>
          <w:vertAlign w:val="superscript"/>
        </w:rPr>
        <w:footnoteRef/>
      </w:r>
      <w:r w:rsidRPr="00FA77C0">
        <w:rPr>
          <w:rStyle w:val="None"/>
          <w:rFonts w:ascii="Cambria" w:hAnsi="Cambria" w:cs="Times New Roman"/>
          <w:sz w:val="16"/>
          <w:szCs w:val="16"/>
        </w:rPr>
        <w:t xml:space="preserve"> </w:t>
      </w:r>
      <w:r>
        <w:rPr>
          <w:rStyle w:val="None"/>
          <w:rFonts w:ascii="Cambria" w:hAnsi="Cambria" w:cs="Times New Roman"/>
          <w:sz w:val="16"/>
          <w:szCs w:val="16"/>
        </w:rPr>
        <w:t>The Commission recalls that it is possible to submit a new request for precautionary measures</w:t>
      </w:r>
      <w:r w:rsidRPr="00FA77C0">
        <w:rPr>
          <w:rStyle w:val="None"/>
          <w:rFonts w:ascii="Cambria" w:hAnsi="Cambria" w:cs="Times New Roman"/>
          <w:sz w:val="16"/>
          <w:szCs w:val="16"/>
        </w:rPr>
        <w:t>.</w:t>
      </w:r>
    </w:p>
  </w:footnote>
  <w:footnote w:id="161">
    <w:p w14:paraId="6646D57E" w14:textId="57CE4245" w:rsidR="008668B8" w:rsidRPr="00FA77C0" w:rsidRDefault="008668B8" w:rsidP="00B15B6B">
      <w:pPr>
        <w:pStyle w:val="FootnoteText"/>
        <w:ind w:firstLine="720"/>
        <w:jc w:val="both"/>
        <w:rPr>
          <w:rFonts w:ascii="Cambria" w:hAnsi="Cambria"/>
        </w:rPr>
      </w:pPr>
      <w:r w:rsidRPr="00FA77C0">
        <w:rPr>
          <w:rStyle w:val="FootnoteReference"/>
          <w:rFonts w:ascii="Cambria" w:hAnsi="Cambria"/>
          <w:sz w:val="16"/>
          <w:szCs w:val="16"/>
        </w:rPr>
        <w:footnoteRef/>
      </w:r>
      <w:r w:rsidRPr="00FA77C0">
        <w:rPr>
          <w:rFonts w:ascii="Cambria" w:hAnsi="Cambria"/>
          <w:sz w:val="16"/>
          <w:szCs w:val="16"/>
        </w:rPr>
        <w:t xml:space="preserve"> </w:t>
      </w:r>
      <w:r>
        <w:rPr>
          <w:rFonts w:ascii="Cambria" w:hAnsi="Cambria"/>
          <w:sz w:val="16"/>
          <w:szCs w:val="16"/>
        </w:rPr>
        <w:t>This figure includes evaluations on expanded precautionary measures; as these measures represent a form of granting, they are reported together with other measures granted. Details on expansions are addressed in “Monitoring precautionary measures in force.”</w:t>
      </w:r>
    </w:p>
  </w:footnote>
  <w:footnote w:id="162">
    <w:p w14:paraId="46793C28" w14:textId="1ED12357" w:rsidR="008668B8" w:rsidRPr="00FA77C0" w:rsidRDefault="008668B8" w:rsidP="00B15B6B">
      <w:pPr>
        <w:pStyle w:val="FootnoteText"/>
        <w:ind w:firstLine="720"/>
        <w:jc w:val="both"/>
        <w:rPr>
          <w:rFonts w:ascii="Cambria" w:hAnsi="Cambria"/>
          <w:sz w:val="16"/>
          <w:szCs w:val="16"/>
        </w:rPr>
      </w:pPr>
      <w:r w:rsidRPr="00FA77C0">
        <w:rPr>
          <w:rStyle w:val="None"/>
          <w:rFonts w:ascii="Cambria" w:eastAsia="Cambria" w:hAnsi="Cambria" w:cs="Cambria"/>
          <w:sz w:val="16"/>
          <w:szCs w:val="16"/>
          <w:vertAlign w:val="superscript"/>
        </w:rPr>
        <w:footnoteRef/>
      </w:r>
      <w:r w:rsidRPr="00FA77C0">
        <w:rPr>
          <w:rStyle w:val="None"/>
          <w:rFonts w:ascii="Cambria" w:hAnsi="Cambria"/>
          <w:sz w:val="16"/>
          <w:szCs w:val="16"/>
        </w:rPr>
        <w:t xml:space="preserve"> </w:t>
      </w:r>
      <w:r>
        <w:rPr>
          <w:rStyle w:val="None"/>
          <w:rFonts w:ascii="Cambria" w:hAnsi="Cambria"/>
          <w:sz w:val="16"/>
          <w:szCs w:val="16"/>
        </w:rPr>
        <w:t>The time period includes the time for the initial evaluation and follow-up of requests, information forwarded among the parties, preparation of the draft resolution, internal consultations, translation, and consultation with the Commissioners of the IACHR</w:t>
      </w:r>
      <w:r w:rsidRPr="00FA77C0">
        <w:rPr>
          <w:rStyle w:val="None"/>
          <w:rFonts w:ascii="Cambria" w:hAnsi="Cambria"/>
          <w:sz w:val="16"/>
          <w:szCs w:val="16"/>
        </w:rPr>
        <w:t xml:space="preserve">. </w:t>
      </w:r>
      <w:r>
        <w:rPr>
          <w:rStyle w:val="None"/>
          <w:rFonts w:ascii="Cambria" w:hAnsi="Cambria"/>
          <w:sz w:val="16"/>
          <w:szCs w:val="16"/>
        </w:rPr>
        <w:t>Some requests, when referring to situations with a high degree of emergency, are processed and decided upon in just a few days, and even in 24 hours.</w:t>
      </w:r>
    </w:p>
  </w:footnote>
  <w:footnote w:id="163">
    <w:p w14:paraId="3405AE43" w14:textId="58458504" w:rsidR="008668B8" w:rsidRPr="000035F7" w:rsidRDefault="008668B8" w:rsidP="000035F7">
      <w:pPr>
        <w:pStyle w:val="FootnoteText"/>
        <w:ind w:firstLine="720"/>
        <w:rPr>
          <w:rFonts w:ascii="Cambria" w:hAnsi="Cambria"/>
          <w:sz w:val="16"/>
          <w:szCs w:val="16"/>
        </w:rPr>
      </w:pPr>
      <w:r w:rsidRPr="000035F7">
        <w:rPr>
          <w:rStyle w:val="FootnoteReference"/>
          <w:rFonts w:ascii="Cambria" w:hAnsi="Cambria"/>
          <w:sz w:val="16"/>
          <w:szCs w:val="16"/>
        </w:rPr>
        <w:footnoteRef/>
      </w:r>
      <w:r w:rsidRPr="000035F7">
        <w:rPr>
          <w:rFonts w:ascii="Cambria" w:hAnsi="Cambria"/>
          <w:sz w:val="16"/>
          <w:szCs w:val="16"/>
        </w:rPr>
        <w:t xml:space="preserve"> IACHR, </w:t>
      </w:r>
      <w:hyperlink r:id="rId25" w:history="1">
        <w:r w:rsidRPr="000035F7">
          <w:rPr>
            <w:rStyle w:val="Hyperlink"/>
            <w:rFonts w:ascii="Cambria" w:hAnsi="Cambria"/>
            <w:sz w:val="16"/>
            <w:szCs w:val="16"/>
          </w:rPr>
          <w:t>Press Release 201/20</w:t>
        </w:r>
      </w:hyperlink>
      <w:r w:rsidRPr="000035F7">
        <w:rPr>
          <w:rFonts w:ascii="Cambria" w:hAnsi="Cambria"/>
          <w:sz w:val="16"/>
          <w:szCs w:val="16"/>
        </w:rPr>
        <w:t xml:space="preserve"> – IACHR Reports Implementation of Resolution 2/2020 on Strengthening of the Monitoring of Precautionary Measures in Force, dated August 17, 2020.</w:t>
      </w:r>
    </w:p>
  </w:footnote>
  <w:footnote w:id="164">
    <w:p w14:paraId="58FB111D" w14:textId="7E0CBE12" w:rsidR="008668B8" w:rsidRPr="000035F7" w:rsidRDefault="008668B8" w:rsidP="000035F7">
      <w:pPr>
        <w:pStyle w:val="FootnoteText"/>
        <w:ind w:firstLine="720"/>
        <w:jc w:val="both"/>
        <w:rPr>
          <w:rFonts w:ascii="Cambria" w:hAnsi="Cambria"/>
          <w:sz w:val="16"/>
          <w:szCs w:val="16"/>
        </w:rPr>
      </w:pPr>
      <w:r w:rsidRPr="000035F7">
        <w:rPr>
          <w:rStyle w:val="FootnoteReference"/>
          <w:rFonts w:ascii="Cambria" w:hAnsi="Cambria"/>
          <w:sz w:val="16"/>
          <w:szCs w:val="16"/>
        </w:rPr>
        <w:footnoteRef/>
      </w:r>
      <w:r w:rsidRPr="000035F7">
        <w:rPr>
          <w:rFonts w:ascii="Cambria" w:hAnsi="Cambria"/>
          <w:sz w:val="16"/>
          <w:szCs w:val="16"/>
        </w:rPr>
        <w:t xml:space="preserve"> The IACHR has been unable to hold proceedings on 9 precautionary measures in force in which the representation has not kept its communication data up to date. In addition, the IACHR has not taken additional actions on measures in force on which a resolution to lift the measure is being processed.</w:t>
      </w:r>
    </w:p>
  </w:footnote>
  <w:footnote w:id="165">
    <w:p w14:paraId="32CC5808" w14:textId="49E4ADA7" w:rsidR="008668B8" w:rsidRPr="000035F7" w:rsidRDefault="008668B8" w:rsidP="000035F7">
      <w:pPr>
        <w:pStyle w:val="FootnoteText"/>
        <w:ind w:firstLine="720"/>
        <w:jc w:val="both"/>
        <w:rPr>
          <w:rFonts w:ascii="Cambria" w:hAnsi="Cambria"/>
          <w:sz w:val="16"/>
          <w:szCs w:val="16"/>
        </w:rPr>
      </w:pPr>
      <w:r w:rsidRPr="000035F7">
        <w:rPr>
          <w:rStyle w:val="FootnoteReference"/>
          <w:rFonts w:ascii="Cambria" w:hAnsi="Cambria"/>
          <w:sz w:val="16"/>
          <w:szCs w:val="16"/>
        </w:rPr>
        <w:footnoteRef/>
      </w:r>
      <w:r w:rsidRPr="000035F7">
        <w:rPr>
          <w:rFonts w:ascii="Cambria" w:hAnsi="Cambria"/>
          <w:sz w:val="16"/>
          <w:szCs w:val="16"/>
        </w:rPr>
        <w:t xml:space="preserve"> IACHR. </w:t>
      </w:r>
      <w:hyperlink r:id="rId26" w:history="1">
        <w:r w:rsidRPr="000035F7">
          <w:rPr>
            <w:rStyle w:val="Hyperlink"/>
            <w:rFonts w:ascii="Cambria" w:hAnsi="Cambria"/>
            <w:sz w:val="16"/>
            <w:szCs w:val="16"/>
          </w:rPr>
          <w:t>Press Release 165/22</w:t>
        </w:r>
      </w:hyperlink>
      <w:r w:rsidRPr="000035F7">
        <w:rPr>
          <w:rFonts w:ascii="Cambria" w:hAnsi="Cambria"/>
          <w:sz w:val="16"/>
          <w:szCs w:val="16"/>
        </w:rPr>
        <w:t xml:space="preserve"> – IACHR Concludes Visit to Follow Up on Precautionary Measures to Indigenous Communities in Chiapas, Mexico. July 25, 2022.</w:t>
      </w:r>
    </w:p>
  </w:footnote>
  <w:footnote w:id="166">
    <w:p w14:paraId="645A0438" w14:textId="64E6B5E9" w:rsidR="008668B8" w:rsidRPr="00FA77C0" w:rsidRDefault="008668B8" w:rsidP="000035F7">
      <w:pPr>
        <w:pStyle w:val="FootnoteText"/>
        <w:ind w:firstLine="720"/>
        <w:rPr>
          <w:rFonts w:ascii="Cambria" w:hAnsi="Cambria" w:cs="Times New Roman"/>
        </w:rPr>
      </w:pPr>
      <w:r w:rsidRPr="000035F7">
        <w:rPr>
          <w:rStyle w:val="FootnoteReference"/>
          <w:rFonts w:ascii="Cambria" w:hAnsi="Cambria" w:cs="Times New Roman"/>
          <w:sz w:val="16"/>
          <w:szCs w:val="16"/>
        </w:rPr>
        <w:footnoteRef/>
      </w:r>
      <w:r w:rsidRPr="000035F7">
        <w:rPr>
          <w:rFonts w:ascii="Cambria" w:hAnsi="Cambria" w:cs="Times New Roman"/>
          <w:sz w:val="16"/>
          <w:szCs w:val="16"/>
        </w:rPr>
        <w:t xml:space="preserve"> IACHR. </w:t>
      </w:r>
      <w:hyperlink r:id="rId27" w:history="1">
        <w:r w:rsidRPr="000035F7">
          <w:rPr>
            <w:rStyle w:val="Hyperlink"/>
            <w:rFonts w:ascii="Cambria" w:hAnsi="Cambria" w:cs="Times New Roman"/>
            <w:sz w:val="16"/>
            <w:szCs w:val="16"/>
          </w:rPr>
          <w:t>Press Release 202/22</w:t>
        </w:r>
      </w:hyperlink>
      <w:r w:rsidRPr="000035F7">
        <w:rPr>
          <w:rFonts w:ascii="Cambria" w:hAnsi="Cambria" w:cs="Times New Roman"/>
          <w:sz w:val="16"/>
          <w:szCs w:val="16"/>
        </w:rPr>
        <w:t>. IACHR Completes Protocol and Promotion Visit to Honduras. September 13, 2022.</w:t>
      </w:r>
    </w:p>
  </w:footnote>
  <w:footnote w:id="167">
    <w:p w14:paraId="6C60C5F6" w14:textId="01DD881C" w:rsidR="008668B8" w:rsidRPr="00BE6A38" w:rsidRDefault="008668B8" w:rsidP="00BE6A38">
      <w:pPr>
        <w:pStyle w:val="FootnoteText"/>
        <w:ind w:firstLine="720"/>
        <w:rPr>
          <w:rFonts w:ascii="Cambria" w:hAnsi="Cambria"/>
          <w:sz w:val="16"/>
          <w:szCs w:val="16"/>
        </w:rPr>
      </w:pPr>
      <w:r w:rsidRPr="00BE6A38">
        <w:rPr>
          <w:rStyle w:val="FootnoteReference"/>
          <w:rFonts w:ascii="Cambria" w:hAnsi="Cambria"/>
          <w:sz w:val="16"/>
          <w:szCs w:val="16"/>
        </w:rPr>
        <w:footnoteRef/>
      </w:r>
      <w:r w:rsidRPr="00BE6A38">
        <w:rPr>
          <w:rFonts w:ascii="Cambria" w:hAnsi="Cambria"/>
          <w:sz w:val="16"/>
          <w:szCs w:val="16"/>
        </w:rPr>
        <w:t xml:space="preserve"> IACHR. </w:t>
      </w:r>
      <w:hyperlink r:id="rId28" w:history="1">
        <w:r w:rsidRPr="00BE6A38">
          <w:rPr>
            <w:rStyle w:val="Hyperlink"/>
            <w:rFonts w:ascii="Cambria" w:hAnsi="Cambria"/>
            <w:sz w:val="16"/>
            <w:szCs w:val="16"/>
          </w:rPr>
          <w:t>Hearings on Precautionary Measures.</w:t>
        </w:r>
      </w:hyperlink>
    </w:p>
  </w:footnote>
  <w:footnote w:id="168">
    <w:p w14:paraId="5797649A" w14:textId="2ABB5332" w:rsidR="008668B8" w:rsidRPr="00571811" w:rsidRDefault="008668B8" w:rsidP="00373E69">
      <w:pPr>
        <w:pStyle w:val="FootnoteText"/>
        <w:ind w:firstLine="720"/>
        <w:jc w:val="both"/>
        <w:rPr>
          <w:rFonts w:ascii="Cambria" w:hAnsi="Cambria"/>
          <w:sz w:val="16"/>
          <w:szCs w:val="16"/>
        </w:rPr>
      </w:pPr>
      <w:r w:rsidRPr="00571811">
        <w:rPr>
          <w:rStyle w:val="FootnoteReference"/>
          <w:rFonts w:ascii="Cambria" w:hAnsi="Cambria"/>
          <w:sz w:val="16"/>
          <w:szCs w:val="16"/>
        </w:rPr>
        <w:footnoteRef/>
      </w:r>
      <w:r w:rsidRPr="00571811">
        <w:rPr>
          <w:rFonts w:ascii="Cambria" w:hAnsi="Cambria"/>
          <w:sz w:val="16"/>
          <w:szCs w:val="16"/>
        </w:rPr>
        <w:t xml:space="preserve"> IACHR. </w:t>
      </w:r>
      <w:hyperlink r:id="rId29" w:history="1">
        <w:r w:rsidRPr="00571811">
          <w:rPr>
            <w:rStyle w:val="Hyperlink"/>
            <w:rFonts w:ascii="Cambria" w:hAnsi="Cambria"/>
            <w:sz w:val="16"/>
            <w:szCs w:val="16"/>
          </w:rPr>
          <w:t>Press Release 77/22</w:t>
        </w:r>
      </w:hyperlink>
      <w:r w:rsidRPr="00571811">
        <w:rPr>
          <w:rFonts w:ascii="Cambria" w:hAnsi="Cambria"/>
          <w:sz w:val="16"/>
          <w:szCs w:val="16"/>
        </w:rPr>
        <w:t>. CIDH Holds Virtual Roundtable with State of Guatemala to Follow Up on Recommendations. April 9, 2022.</w:t>
      </w:r>
    </w:p>
  </w:footnote>
  <w:footnote w:id="169">
    <w:p w14:paraId="65FB5A0F" w14:textId="6F736168" w:rsidR="008668B8" w:rsidRPr="00FA77C0" w:rsidRDefault="008668B8" w:rsidP="00287CFE">
      <w:pPr>
        <w:pStyle w:val="FootnoteText"/>
        <w:ind w:firstLine="720"/>
        <w:jc w:val="both"/>
        <w:rPr>
          <w:rFonts w:ascii="Cambria" w:hAnsi="Cambria"/>
        </w:rPr>
      </w:pPr>
      <w:r w:rsidRPr="00FA77C0">
        <w:rPr>
          <w:rStyle w:val="FootnoteReference"/>
          <w:rFonts w:ascii="Cambria" w:hAnsi="Cambria"/>
          <w:sz w:val="16"/>
          <w:szCs w:val="16"/>
        </w:rPr>
        <w:footnoteRef/>
      </w:r>
      <w:r w:rsidRPr="00FA77C0">
        <w:rPr>
          <w:rFonts w:ascii="Cambria" w:hAnsi="Cambria"/>
          <w:sz w:val="16"/>
          <w:szCs w:val="16"/>
        </w:rPr>
        <w:t xml:space="preserve"> </w:t>
      </w:r>
      <w:r>
        <w:rPr>
          <w:rFonts w:ascii="Cambria" w:hAnsi="Cambria"/>
          <w:sz w:val="16"/>
          <w:szCs w:val="16"/>
        </w:rPr>
        <w:t>The criteria identified were</w:t>
      </w:r>
      <w:r w:rsidRPr="00FA77C0">
        <w:rPr>
          <w:rFonts w:ascii="Cambria" w:hAnsi="Cambria"/>
          <w:sz w:val="16"/>
          <w:szCs w:val="16"/>
        </w:rPr>
        <w:t xml:space="preserve">: </w:t>
      </w:r>
      <w:r w:rsidRPr="00FA77C0">
        <w:rPr>
          <w:rFonts w:ascii="Cambria" w:hAnsi="Cambria"/>
          <w:i/>
          <w:iCs/>
          <w:sz w:val="16"/>
          <w:szCs w:val="16"/>
        </w:rPr>
        <w:t xml:space="preserve">i. </w:t>
      </w:r>
      <w:r>
        <w:rPr>
          <w:rFonts w:ascii="Cambria" w:hAnsi="Cambria"/>
          <w:sz w:val="16"/>
          <w:szCs w:val="16"/>
        </w:rPr>
        <w:t>Participating in peaceful demonstrations to protect and expose the human rights situation being faced by political dissidents</w:t>
      </w:r>
      <w:r w:rsidRPr="00FA77C0">
        <w:rPr>
          <w:rFonts w:ascii="Cambria" w:hAnsi="Cambria"/>
          <w:sz w:val="16"/>
          <w:szCs w:val="16"/>
        </w:rPr>
        <w:t xml:space="preserve">; </w:t>
      </w:r>
      <w:r w:rsidRPr="00FA77C0">
        <w:rPr>
          <w:rFonts w:ascii="Cambria" w:hAnsi="Cambria"/>
          <w:i/>
          <w:iCs/>
          <w:sz w:val="16"/>
          <w:szCs w:val="16"/>
        </w:rPr>
        <w:t xml:space="preserve">ii. </w:t>
      </w:r>
      <w:r w:rsidRPr="00FA77C0">
        <w:rPr>
          <w:rFonts w:ascii="Cambria" w:hAnsi="Cambria"/>
          <w:sz w:val="16"/>
          <w:szCs w:val="16"/>
        </w:rPr>
        <w:t>A</w:t>
      </w:r>
      <w:r>
        <w:rPr>
          <w:rFonts w:ascii="Cambria" w:hAnsi="Cambria"/>
          <w:sz w:val="16"/>
          <w:szCs w:val="16"/>
        </w:rPr>
        <w:t>ttending Sunday mass in different Catholic churches</w:t>
      </w:r>
      <w:r w:rsidRPr="00FA77C0">
        <w:rPr>
          <w:rFonts w:ascii="Cambria" w:hAnsi="Cambria"/>
          <w:sz w:val="16"/>
          <w:szCs w:val="16"/>
        </w:rPr>
        <w:t xml:space="preserve">; </w:t>
      </w:r>
      <w:r w:rsidRPr="00FA77C0">
        <w:rPr>
          <w:rFonts w:ascii="Cambria" w:hAnsi="Cambria"/>
          <w:i/>
          <w:iCs/>
          <w:sz w:val="16"/>
          <w:szCs w:val="16"/>
        </w:rPr>
        <w:t xml:space="preserve">iii. </w:t>
      </w:r>
      <w:r>
        <w:rPr>
          <w:rFonts w:ascii="Cambria" w:hAnsi="Cambria"/>
          <w:sz w:val="16"/>
          <w:szCs w:val="16"/>
        </w:rPr>
        <w:t>Dressing in white</w:t>
      </w:r>
      <w:r w:rsidRPr="00FA77C0">
        <w:rPr>
          <w:rFonts w:ascii="Cambria" w:hAnsi="Cambria"/>
          <w:sz w:val="16"/>
          <w:szCs w:val="16"/>
        </w:rPr>
        <w:t xml:space="preserve">; </w:t>
      </w:r>
      <w:r w:rsidRPr="00FA77C0">
        <w:rPr>
          <w:rFonts w:ascii="Cambria" w:hAnsi="Cambria"/>
          <w:i/>
          <w:iCs/>
          <w:sz w:val="16"/>
          <w:szCs w:val="16"/>
        </w:rPr>
        <w:t xml:space="preserve">iv. </w:t>
      </w:r>
      <w:r>
        <w:rPr>
          <w:rFonts w:ascii="Cambria" w:hAnsi="Cambria"/>
          <w:sz w:val="16"/>
          <w:szCs w:val="16"/>
        </w:rPr>
        <w:t>Usually carrying pictures of their families and flowers</w:t>
      </w:r>
      <w:r w:rsidRPr="00FA77C0">
        <w:rPr>
          <w:rFonts w:ascii="Cambria" w:hAnsi="Cambria"/>
          <w:sz w:val="16"/>
          <w:szCs w:val="16"/>
        </w:rPr>
        <w:t xml:space="preserve">; </w:t>
      </w:r>
      <w:r w:rsidRPr="00FA77C0">
        <w:rPr>
          <w:rFonts w:ascii="Cambria" w:hAnsi="Cambria"/>
          <w:i/>
          <w:iCs/>
          <w:sz w:val="16"/>
          <w:szCs w:val="16"/>
        </w:rPr>
        <w:t xml:space="preserve">v. </w:t>
      </w:r>
      <w:r>
        <w:rPr>
          <w:rFonts w:ascii="Cambria" w:hAnsi="Cambria"/>
          <w:sz w:val="16"/>
          <w:szCs w:val="16"/>
        </w:rPr>
        <w:t>Marching in silence along various streets in several localities in Cuba following religious services</w:t>
      </w:r>
      <w:r w:rsidRPr="00FA77C0">
        <w:rPr>
          <w:rFonts w:ascii="Cambria" w:hAnsi="Cambria"/>
          <w:sz w:val="16"/>
          <w:szCs w:val="16"/>
        </w:rPr>
        <w:t>.</w:t>
      </w:r>
    </w:p>
  </w:footnote>
  <w:footnote w:id="170">
    <w:p w14:paraId="7AC19D43" w14:textId="259A0C18" w:rsidR="008668B8" w:rsidRPr="00640295" w:rsidRDefault="008668B8" w:rsidP="00640295">
      <w:pPr>
        <w:pStyle w:val="FootnoteText"/>
        <w:ind w:firstLine="720"/>
        <w:jc w:val="both"/>
        <w:rPr>
          <w:rFonts w:ascii="Cambria" w:hAnsi="Cambria"/>
          <w:sz w:val="16"/>
          <w:szCs w:val="16"/>
        </w:rPr>
      </w:pPr>
      <w:r w:rsidRPr="00640295">
        <w:rPr>
          <w:rStyle w:val="FootnoteReference"/>
          <w:rFonts w:ascii="Cambria" w:hAnsi="Cambria"/>
          <w:sz w:val="16"/>
          <w:szCs w:val="16"/>
        </w:rPr>
        <w:footnoteRef/>
      </w:r>
      <w:r w:rsidRPr="00640295">
        <w:rPr>
          <w:rFonts w:ascii="Cambria" w:hAnsi="Cambria"/>
          <w:sz w:val="16"/>
          <w:szCs w:val="16"/>
        </w:rPr>
        <w:t xml:space="preserve"> IACHR. </w:t>
      </w:r>
      <w:hyperlink r:id="rId30" w:history="1">
        <w:r w:rsidRPr="00640295">
          <w:rPr>
            <w:rStyle w:val="Hyperlink"/>
            <w:rFonts w:ascii="Cambria" w:hAnsi="Cambria"/>
            <w:sz w:val="16"/>
            <w:szCs w:val="16"/>
          </w:rPr>
          <w:t>Press Release 108/22</w:t>
        </w:r>
      </w:hyperlink>
      <w:r w:rsidRPr="00640295">
        <w:rPr>
          <w:rFonts w:ascii="Cambria" w:hAnsi="Cambria"/>
          <w:sz w:val="16"/>
          <w:szCs w:val="16"/>
        </w:rPr>
        <w:t>. IACHR requests that the I/A Court H.R. extend provisional measures for nine persons deprived of liberty in the electoral context in Nicaragua. May 18, 2022.</w:t>
      </w:r>
    </w:p>
  </w:footnote>
  <w:footnote w:id="171">
    <w:p w14:paraId="70BB0E4B" w14:textId="21CEC99D" w:rsidR="008668B8" w:rsidRPr="00640295" w:rsidRDefault="008668B8" w:rsidP="00640295">
      <w:pPr>
        <w:pStyle w:val="FootnoteText"/>
        <w:ind w:firstLine="720"/>
        <w:jc w:val="both"/>
        <w:rPr>
          <w:rFonts w:ascii="Cambria" w:hAnsi="Cambria"/>
          <w:sz w:val="16"/>
          <w:szCs w:val="16"/>
        </w:rPr>
      </w:pPr>
      <w:r w:rsidRPr="00640295">
        <w:rPr>
          <w:rStyle w:val="FootnoteReference"/>
          <w:rFonts w:ascii="Cambria" w:hAnsi="Cambria"/>
          <w:sz w:val="16"/>
          <w:szCs w:val="16"/>
        </w:rPr>
        <w:footnoteRef/>
      </w:r>
      <w:r w:rsidRPr="00640295">
        <w:rPr>
          <w:rFonts w:ascii="Cambria" w:hAnsi="Cambria"/>
          <w:sz w:val="16"/>
          <w:szCs w:val="16"/>
        </w:rPr>
        <w:t xml:space="preserve"> IACHR. </w:t>
      </w:r>
      <w:hyperlink r:id="rId31" w:history="1">
        <w:r w:rsidRPr="00640295">
          <w:rPr>
            <w:rStyle w:val="Hyperlink"/>
            <w:rFonts w:ascii="Cambria" w:hAnsi="Cambria"/>
            <w:sz w:val="16"/>
            <w:szCs w:val="16"/>
          </w:rPr>
          <w:t>Press Releasae 107/22</w:t>
        </w:r>
      </w:hyperlink>
      <w:r w:rsidRPr="00640295">
        <w:rPr>
          <w:rFonts w:ascii="Cambria" w:hAnsi="Cambria"/>
          <w:sz w:val="16"/>
          <w:szCs w:val="16"/>
        </w:rPr>
        <w:t>. IACHR requests the I/A Court H.R. for provisional measures for the Yanomami, Ye`kwana, and Munduruku Indigenous Peoples in Brazil, given the extreme and serious risk they face. May 18, 2022.</w:t>
      </w:r>
    </w:p>
  </w:footnote>
  <w:footnote w:id="172">
    <w:p w14:paraId="5320564B" w14:textId="4E36397B" w:rsidR="008668B8" w:rsidRPr="005B477D" w:rsidRDefault="008668B8" w:rsidP="00640295">
      <w:pPr>
        <w:pStyle w:val="FootnoteText"/>
        <w:ind w:firstLine="720"/>
        <w:jc w:val="both"/>
        <w:rPr>
          <w:rFonts w:ascii="Cambria" w:hAnsi="Cambria"/>
          <w:sz w:val="16"/>
          <w:szCs w:val="16"/>
        </w:rPr>
      </w:pPr>
      <w:r w:rsidRPr="00640295">
        <w:rPr>
          <w:rStyle w:val="FootnoteReference"/>
          <w:rFonts w:ascii="Cambria" w:hAnsi="Cambria"/>
          <w:sz w:val="16"/>
          <w:szCs w:val="16"/>
        </w:rPr>
        <w:footnoteRef/>
      </w:r>
      <w:r w:rsidRPr="00640295">
        <w:rPr>
          <w:rFonts w:ascii="Cambria" w:hAnsi="Cambria"/>
          <w:sz w:val="16"/>
          <w:szCs w:val="16"/>
        </w:rPr>
        <w:t xml:space="preserve"> IACHR.</w:t>
      </w:r>
      <w:hyperlink r:id="rId32" w:history="1">
        <w:r w:rsidRPr="00640295">
          <w:rPr>
            <w:rStyle w:val="Hyperlink"/>
            <w:rFonts w:ascii="Cambria" w:hAnsi="Cambria"/>
            <w:sz w:val="16"/>
            <w:szCs w:val="16"/>
          </w:rPr>
          <w:t xml:space="preserve"> Press Release 200/22</w:t>
        </w:r>
      </w:hyperlink>
      <w:r w:rsidRPr="00640295">
        <w:rPr>
          <w:rFonts w:ascii="Cambria" w:hAnsi="Cambria"/>
          <w:sz w:val="16"/>
          <w:szCs w:val="16"/>
        </w:rPr>
        <w:t>. IACHR asks the Inter-American Court for Temporary Measures for 45 Individuals Held at Eight Detention Facilities in Nicaragua.</w:t>
      </w:r>
      <w:r w:rsidRPr="00640295">
        <w:rPr>
          <w:rFonts w:ascii="Cambria" w:hAnsi="Cambria"/>
          <w:sz w:val="16"/>
          <w:szCs w:val="16"/>
          <w:lang w:val="en-GB"/>
        </w:rPr>
        <w:t xml:space="preserve"> </w:t>
      </w:r>
      <w:r w:rsidRPr="00640295">
        <w:rPr>
          <w:rFonts w:ascii="Cambria" w:hAnsi="Cambria"/>
          <w:sz w:val="16"/>
          <w:szCs w:val="16"/>
        </w:rPr>
        <w:t>September 8, 2022.</w:t>
      </w:r>
    </w:p>
  </w:footnote>
  <w:footnote w:id="173">
    <w:p w14:paraId="1A9B6F9D" w14:textId="11480BE9" w:rsidR="008668B8" w:rsidRPr="005B477D" w:rsidRDefault="008668B8" w:rsidP="004E7513">
      <w:pPr>
        <w:pStyle w:val="FootnoteText"/>
        <w:ind w:firstLine="720"/>
        <w:jc w:val="both"/>
        <w:rPr>
          <w:rFonts w:ascii="Cambria" w:hAnsi="Cambria"/>
          <w:sz w:val="16"/>
          <w:szCs w:val="16"/>
        </w:rPr>
      </w:pPr>
      <w:r w:rsidRPr="00D82273">
        <w:rPr>
          <w:rStyle w:val="FootnoteReference"/>
          <w:rFonts w:ascii="Cambria" w:hAnsi="Cambria"/>
          <w:sz w:val="16"/>
          <w:szCs w:val="16"/>
        </w:rPr>
        <w:footnoteRef/>
      </w:r>
      <w:r w:rsidRPr="00D82273">
        <w:rPr>
          <w:rFonts w:ascii="Cambria" w:hAnsi="Cambria"/>
          <w:sz w:val="16"/>
          <w:szCs w:val="16"/>
        </w:rPr>
        <w:t xml:space="preserve"> </w:t>
      </w:r>
      <w:r w:rsidRPr="004E7513">
        <w:rPr>
          <w:rFonts w:ascii="Cambria" w:hAnsi="Cambria"/>
          <w:sz w:val="16"/>
          <w:szCs w:val="16"/>
        </w:rPr>
        <w:t xml:space="preserve">IACHR. </w:t>
      </w:r>
      <w:hyperlink r:id="rId33" w:history="1">
        <w:r w:rsidRPr="004E7513">
          <w:rPr>
            <w:rStyle w:val="Hyperlink"/>
            <w:rFonts w:ascii="Cambria" w:hAnsi="Cambria"/>
            <w:sz w:val="16"/>
            <w:szCs w:val="16"/>
            <w:lang w:val="en-GB"/>
          </w:rPr>
          <w:t>Press Release 285/22.</w:t>
        </w:r>
      </w:hyperlink>
      <w:r w:rsidRPr="004E7513">
        <w:rPr>
          <w:rFonts w:ascii="Cambria" w:hAnsi="Cambria"/>
          <w:sz w:val="16"/>
          <w:szCs w:val="16"/>
          <w:lang w:val="en-GB"/>
        </w:rPr>
        <w:t xml:space="preserve"> IACHR asks the Inter-American Court of Human Rights for provisional measures in favor of persons deprived of liberty in Brazil. </w:t>
      </w:r>
      <w:r w:rsidRPr="004E7513">
        <w:rPr>
          <w:rFonts w:ascii="Cambria" w:hAnsi="Cambria"/>
          <w:sz w:val="16"/>
          <w:szCs w:val="16"/>
        </w:rPr>
        <w:t>December 28th,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C92C" w14:textId="5EA06E76" w:rsidR="00566CD0" w:rsidRPr="00ED1EBA" w:rsidRDefault="006B40FB" w:rsidP="00ED1EBA">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58244" behindDoc="0" locked="0" layoutInCell="1" allowOverlap="1" wp14:anchorId="2C861007" wp14:editId="1A71551F">
          <wp:simplePos x="0" y="0"/>
          <wp:positionH relativeFrom="column">
            <wp:posOffset>4787900</wp:posOffset>
          </wp:positionH>
          <wp:positionV relativeFrom="paragraph">
            <wp:posOffset>-3175</wp:posOffset>
          </wp:positionV>
          <wp:extent cx="1360170" cy="313055"/>
          <wp:effectExtent l="0" t="0" r="0" b="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60170" cy="31305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3A4764" wp14:editId="5063D0E3">
          <wp:extent cx="1398639" cy="32632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3"/>
                  <pic:cNvPicPr/>
                </pic:nvPicPr>
                <pic:blipFill>
                  <a:blip r:embed="rId2">
                    <a:extLst>
                      <a:ext uri="{28A0092B-C50C-407E-A947-70E740481C1C}">
                        <a14:useLocalDpi xmlns:a14="http://schemas.microsoft.com/office/drawing/2010/main" val="0"/>
                      </a:ext>
                    </a:extLst>
                  </a:blip>
                  <a:srcRect l="687" r="687"/>
                  <a:stretch>
                    <a:fillRect/>
                  </a:stretch>
                </pic:blipFill>
                <pic:spPr bwMode="auto">
                  <a:xfrm>
                    <a:off x="0" y="0"/>
                    <a:ext cx="1398639" cy="326329"/>
                  </a:xfrm>
                  <a:prstGeom prst="rect">
                    <a:avLst/>
                  </a:prstGeom>
                  <a:ln>
                    <a:noFill/>
                  </a:ln>
                  <a:extLst>
                    <a:ext uri="{53640926-AAD7-44D8-BBD7-CCE9431645EC}">
                      <a14:shadowObscured xmlns:a14="http://schemas.microsoft.com/office/drawing/2010/main"/>
                    </a:ext>
                  </a:extLst>
                </pic:spPr>
              </pic:pic>
            </a:graphicData>
          </a:graphic>
        </wp:inline>
      </w:drawing>
    </w:r>
    <w:r w:rsidR="008861D6">
      <w:rPr>
        <w:rFonts w:ascii="Arial" w:hAnsi="Arial" w:cs="Arial"/>
        <w:color w:val="3B3838" w:themeColor="background2" w:themeShade="40"/>
        <w:sz w:val="22"/>
        <w:szCs w:val="28"/>
      </w:rPr>
      <w:softHyphen/>
    </w:r>
    <w:r w:rsidR="008861D6">
      <w:rPr>
        <w:rFonts w:ascii="Arial" w:hAnsi="Arial" w:cs="Arial"/>
        <w:color w:val="3B3838" w:themeColor="background2" w:themeShade="40"/>
        <w:sz w:val="22"/>
        <w:szCs w:val="28"/>
      </w:rPr>
      <w:softHyphen/>
    </w:r>
    <w:r w:rsidR="00ED1EBA">
      <w:rPr>
        <w:rFonts w:ascii="Arial" w:hAnsi="Arial" w:cs="Arial"/>
        <w:color w:val="3B3838" w:themeColor="background2" w:themeShade="40"/>
        <w:sz w:val="22"/>
        <w:szCs w:val="28"/>
      </w:rPr>
      <w:t xml:space="preserve">                       </w:t>
    </w:r>
  </w:p>
  <w:p w14:paraId="04E8F05B" w14:textId="342CAA2C" w:rsidR="001D0BD9" w:rsidRPr="00BB3050" w:rsidRDefault="00D56DC4" w:rsidP="00BB3050">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58240" behindDoc="0" locked="0" layoutInCell="1" allowOverlap="1" wp14:anchorId="3A98BB66" wp14:editId="40D51816">
              <wp:simplePos x="0" y="0"/>
              <wp:positionH relativeFrom="column">
                <wp:posOffset>-5080</wp:posOffset>
              </wp:positionH>
              <wp:positionV relativeFrom="paragraph">
                <wp:posOffset>174133</wp:posOffset>
              </wp:positionV>
              <wp:extent cx="6148358"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5D961C94"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3.7pt" to="483.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" strokecolor="#272727 [2749]" strokeweight="1.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4FD3"/>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 w15:restartNumberingAfterBreak="0">
    <w:nsid w:val="03627774"/>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 w15:restartNumberingAfterBreak="0">
    <w:nsid w:val="0425396D"/>
    <w:multiLevelType w:val="hybridMultilevel"/>
    <w:tmpl w:val="A2C6F784"/>
    <w:lvl w:ilvl="0" w:tplc="358A7866">
      <w:start w:val="1"/>
      <w:numFmt w:val="lowerLetter"/>
      <w:lvlText w:val="%1."/>
      <w:lvlJc w:val="left"/>
      <w:pPr>
        <w:ind w:left="1440" w:hanging="360"/>
      </w:pPr>
      <w:rPr>
        <w:b/>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52766CF"/>
    <w:multiLevelType w:val="hybridMultilevel"/>
    <w:tmpl w:val="BF6E5442"/>
    <w:lvl w:ilvl="0" w:tplc="F3801D50">
      <w:start w:val="4"/>
      <w:numFmt w:val="decimal"/>
      <w:lvlText w:val="%1."/>
      <w:lvlJc w:val="left"/>
      <w:pPr>
        <w:ind w:left="852" w:hanging="721"/>
      </w:pPr>
      <w:rPr>
        <w:rFonts w:ascii="Cambria" w:eastAsia="Cambria" w:hAnsi="Cambria" w:hint="default"/>
        <w:spacing w:val="-2"/>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6DA0E"/>
    <w:multiLevelType w:val="hybridMultilevel"/>
    <w:tmpl w:val="EBEA09AA"/>
    <w:lvl w:ilvl="0" w:tplc="209C71E4">
      <w:start w:val="1"/>
      <w:numFmt w:val="lowerLetter"/>
      <w:lvlText w:val="%1."/>
      <w:lvlJc w:val="left"/>
      <w:pPr>
        <w:ind w:left="720" w:hanging="360"/>
      </w:pPr>
    </w:lvl>
    <w:lvl w:ilvl="1" w:tplc="A454CC98">
      <w:start w:val="1"/>
      <w:numFmt w:val="lowerLetter"/>
      <w:lvlText w:val="%2."/>
      <w:lvlJc w:val="left"/>
      <w:pPr>
        <w:ind w:left="1440" w:hanging="360"/>
      </w:pPr>
    </w:lvl>
    <w:lvl w:ilvl="2" w:tplc="58E0EBBA">
      <w:start w:val="1"/>
      <w:numFmt w:val="lowerRoman"/>
      <w:lvlText w:val="%3."/>
      <w:lvlJc w:val="right"/>
      <w:pPr>
        <w:ind w:left="2160" w:hanging="180"/>
      </w:pPr>
    </w:lvl>
    <w:lvl w:ilvl="3" w:tplc="CC8A8478">
      <w:start w:val="1"/>
      <w:numFmt w:val="decimal"/>
      <w:lvlText w:val="%4."/>
      <w:lvlJc w:val="left"/>
      <w:pPr>
        <w:ind w:left="2880" w:hanging="360"/>
      </w:pPr>
    </w:lvl>
    <w:lvl w:ilvl="4" w:tplc="55309CC0">
      <w:start w:val="1"/>
      <w:numFmt w:val="lowerLetter"/>
      <w:lvlText w:val="%5."/>
      <w:lvlJc w:val="left"/>
      <w:pPr>
        <w:ind w:left="3600" w:hanging="360"/>
      </w:pPr>
    </w:lvl>
    <w:lvl w:ilvl="5" w:tplc="E2C2C516">
      <w:start w:val="1"/>
      <w:numFmt w:val="lowerRoman"/>
      <w:lvlText w:val="%6."/>
      <w:lvlJc w:val="right"/>
      <w:pPr>
        <w:ind w:left="4320" w:hanging="180"/>
      </w:pPr>
    </w:lvl>
    <w:lvl w:ilvl="6" w:tplc="877AE32E">
      <w:start w:val="1"/>
      <w:numFmt w:val="decimal"/>
      <w:lvlText w:val="%7."/>
      <w:lvlJc w:val="left"/>
      <w:pPr>
        <w:ind w:left="5040" w:hanging="360"/>
      </w:pPr>
    </w:lvl>
    <w:lvl w:ilvl="7" w:tplc="ED36B140">
      <w:start w:val="1"/>
      <w:numFmt w:val="lowerLetter"/>
      <w:lvlText w:val="%8."/>
      <w:lvlJc w:val="left"/>
      <w:pPr>
        <w:ind w:left="5760" w:hanging="360"/>
      </w:pPr>
    </w:lvl>
    <w:lvl w:ilvl="8" w:tplc="68643C94">
      <w:start w:val="1"/>
      <w:numFmt w:val="lowerRoman"/>
      <w:lvlText w:val="%9."/>
      <w:lvlJc w:val="right"/>
      <w:pPr>
        <w:ind w:left="6480" w:hanging="180"/>
      </w:pPr>
    </w:lvl>
  </w:abstractNum>
  <w:abstractNum w:abstractNumId="5" w15:restartNumberingAfterBreak="0">
    <w:nsid w:val="068A7A01"/>
    <w:multiLevelType w:val="hybridMultilevel"/>
    <w:tmpl w:val="D81EAA6C"/>
    <w:lvl w:ilvl="0" w:tplc="8FECFA62">
      <w:start w:val="1"/>
      <w:numFmt w:val="decimal"/>
      <w:lvlText w:val="%1."/>
      <w:lvlJc w:val="left"/>
      <w:pPr>
        <w:ind w:left="1440" w:hanging="72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F20B84"/>
    <w:multiLevelType w:val="hybridMultilevel"/>
    <w:tmpl w:val="737E18EA"/>
    <w:lvl w:ilvl="0" w:tplc="2E9EBFD8">
      <w:start w:val="1"/>
      <w:numFmt w:val="lowerLetter"/>
      <w:lvlText w:val="%1."/>
      <w:lvlJc w:val="left"/>
      <w:pPr>
        <w:ind w:left="720" w:hanging="360"/>
      </w:pPr>
      <w:rPr>
        <w:rFonts w:ascii="Cambria" w:hAnsi="Cambria" w:hint="default"/>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1C1123"/>
    <w:multiLevelType w:val="hybridMultilevel"/>
    <w:tmpl w:val="D2408D22"/>
    <w:lvl w:ilvl="0" w:tplc="EF703500">
      <w:start w:val="1"/>
      <w:numFmt w:val="lowerLetter"/>
      <w:lvlText w:val="%1."/>
      <w:lvlJc w:val="left"/>
      <w:pPr>
        <w:ind w:left="720" w:hanging="360"/>
      </w:pPr>
    </w:lvl>
    <w:lvl w:ilvl="1" w:tplc="A7B08C3E">
      <w:start w:val="1"/>
      <w:numFmt w:val="lowerLetter"/>
      <w:lvlText w:val="%2."/>
      <w:lvlJc w:val="left"/>
      <w:pPr>
        <w:ind w:left="1440" w:hanging="360"/>
      </w:pPr>
    </w:lvl>
    <w:lvl w:ilvl="2" w:tplc="A5FAF6AA">
      <w:start w:val="1"/>
      <w:numFmt w:val="lowerRoman"/>
      <w:lvlText w:val="%3."/>
      <w:lvlJc w:val="right"/>
      <w:pPr>
        <w:ind w:left="2160" w:hanging="180"/>
      </w:pPr>
    </w:lvl>
    <w:lvl w:ilvl="3" w:tplc="5A4ECD2A">
      <w:start w:val="1"/>
      <w:numFmt w:val="decimal"/>
      <w:lvlText w:val="%4."/>
      <w:lvlJc w:val="left"/>
      <w:pPr>
        <w:ind w:left="2880" w:hanging="360"/>
      </w:pPr>
    </w:lvl>
    <w:lvl w:ilvl="4" w:tplc="4BE4EF6E">
      <w:start w:val="1"/>
      <w:numFmt w:val="lowerLetter"/>
      <w:lvlText w:val="%5."/>
      <w:lvlJc w:val="left"/>
      <w:pPr>
        <w:ind w:left="3600" w:hanging="360"/>
      </w:pPr>
    </w:lvl>
    <w:lvl w:ilvl="5" w:tplc="CEE234EA">
      <w:start w:val="1"/>
      <w:numFmt w:val="lowerRoman"/>
      <w:lvlText w:val="%6."/>
      <w:lvlJc w:val="right"/>
      <w:pPr>
        <w:ind w:left="4320" w:hanging="180"/>
      </w:pPr>
    </w:lvl>
    <w:lvl w:ilvl="6" w:tplc="4810FED8">
      <w:start w:val="1"/>
      <w:numFmt w:val="decimal"/>
      <w:lvlText w:val="%7."/>
      <w:lvlJc w:val="left"/>
      <w:pPr>
        <w:ind w:left="5040" w:hanging="360"/>
      </w:pPr>
    </w:lvl>
    <w:lvl w:ilvl="7" w:tplc="6A4C3E00">
      <w:start w:val="1"/>
      <w:numFmt w:val="lowerLetter"/>
      <w:lvlText w:val="%8."/>
      <w:lvlJc w:val="left"/>
      <w:pPr>
        <w:ind w:left="5760" w:hanging="360"/>
      </w:pPr>
    </w:lvl>
    <w:lvl w:ilvl="8" w:tplc="E8A46F12">
      <w:start w:val="1"/>
      <w:numFmt w:val="lowerRoman"/>
      <w:lvlText w:val="%9."/>
      <w:lvlJc w:val="right"/>
      <w:pPr>
        <w:ind w:left="6480" w:hanging="180"/>
      </w:pPr>
    </w:lvl>
  </w:abstractNum>
  <w:abstractNum w:abstractNumId="9" w15:restartNumberingAfterBreak="0">
    <w:nsid w:val="0B1B7C44"/>
    <w:multiLevelType w:val="hybridMultilevel"/>
    <w:tmpl w:val="6250FB3E"/>
    <w:lvl w:ilvl="0" w:tplc="020E3FE6">
      <w:start w:val="1"/>
      <w:numFmt w:val="lowerLetter"/>
      <w:lvlText w:val="%1."/>
      <w:lvlJc w:val="left"/>
      <w:pPr>
        <w:ind w:left="720" w:hanging="360"/>
      </w:pPr>
    </w:lvl>
    <w:lvl w:ilvl="1" w:tplc="AFC822FE">
      <w:start w:val="1"/>
      <w:numFmt w:val="lowerLetter"/>
      <w:lvlText w:val="%2."/>
      <w:lvlJc w:val="left"/>
      <w:pPr>
        <w:ind w:left="1440" w:hanging="360"/>
      </w:pPr>
    </w:lvl>
    <w:lvl w:ilvl="2" w:tplc="B2061620">
      <w:start w:val="1"/>
      <w:numFmt w:val="lowerRoman"/>
      <w:lvlText w:val="%3."/>
      <w:lvlJc w:val="right"/>
      <w:pPr>
        <w:ind w:left="2160" w:hanging="180"/>
      </w:pPr>
    </w:lvl>
    <w:lvl w:ilvl="3" w:tplc="0CA43134">
      <w:start w:val="1"/>
      <w:numFmt w:val="decimal"/>
      <w:lvlText w:val="%4."/>
      <w:lvlJc w:val="left"/>
      <w:pPr>
        <w:ind w:left="2880" w:hanging="360"/>
      </w:pPr>
    </w:lvl>
    <w:lvl w:ilvl="4" w:tplc="ED50B10E">
      <w:start w:val="1"/>
      <w:numFmt w:val="lowerLetter"/>
      <w:lvlText w:val="%5."/>
      <w:lvlJc w:val="left"/>
      <w:pPr>
        <w:ind w:left="3600" w:hanging="360"/>
      </w:pPr>
    </w:lvl>
    <w:lvl w:ilvl="5" w:tplc="D21E43C4">
      <w:start w:val="1"/>
      <w:numFmt w:val="lowerRoman"/>
      <w:lvlText w:val="%6."/>
      <w:lvlJc w:val="right"/>
      <w:pPr>
        <w:ind w:left="4320" w:hanging="180"/>
      </w:pPr>
    </w:lvl>
    <w:lvl w:ilvl="6" w:tplc="3A9263F0">
      <w:start w:val="1"/>
      <w:numFmt w:val="decimal"/>
      <w:lvlText w:val="%7."/>
      <w:lvlJc w:val="left"/>
      <w:pPr>
        <w:ind w:left="5040" w:hanging="360"/>
      </w:pPr>
    </w:lvl>
    <w:lvl w:ilvl="7" w:tplc="4C1C3DE8">
      <w:start w:val="1"/>
      <w:numFmt w:val="lowerLetter"/>
      <w:lvlText w:val="%8."/>
      <w:lvlJc w:val="left"/>
      <w:pPr>
        <w:ind w:left="5760" w:hanging="360"/>
      </w:pPr>
    </w:lvl>
    <w:lvl w:ilvl="8" w:tplc="69D21F04">
      <w:start w:val="1"/>
      <w:numFmt w:val="lowerRoman"/>
      <w:lvlText w:val="%9."/>
      <w:lvlJc w:val="right"/>
      <w:pPr>
        <w:ind w:left="6480" w:hanging="180"/>
      </w:pPr>
    </w:lvl>
  </w:abstractNum>
  <w:abstractNum w:abstractNumId="10" w15:restartNumberingAfterBreak="0">
    <w:nsid w:val="0C3A39B4"/>
    <w:multiLevelType w:val="hybridMultilevel"/>
    <w:tmpl w:val="FFFFFFFF"/>
    <w:lvl w:ilvl="0" w:tplc="2C0A0019">
      <w:start w:val="1"/>
      <w:numFmt w:val="lowerLetter"/>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1" w15:restartNumberingAfterBreak="0">
    <w:nsid w:val="0C7F035E"/>
    <w:multiLevelType w:val="hybridMultilevel"/>
    <w:tmpl w:val="E0688FAE"/>
    <w:lvl w:ilvl="0" w:tplc="B5C24674">
      <w:start w:val="1"/>
      <w:numFmt w:val="decimal"/>
      <w:suff w:val="nothing"/>
      <w:lvlText w:val="%1"/>
      <w:lvlJc w:val="left"/>
      <w:pPr>
        <w:ind w:left="360" w:hanging="36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3240" w:hanging="180"/>
      </w:pPr>
    </w:lvl>
  </w:abstractNum>
  <w:abstractNum w:abstractNumId="12" w15:restartNumberingAfterBreak="0">
    <w:nsid w:val="0CE36906"/>
    <w:multiLevelType w:val="hybridMultilevel"/>
    <w:tmpl w:val="9A96D6B2"/>
    <w:lvl w:ilvl="0" w:tplc="20DAC9B0">
      <w:start w:val="1"/>
      <w:numFmt w:val="lowerLetter"/>
      <w:lvlText w:val="%1."/>
      <w:lvlJc w:val="left"/>
      <w:pPr>
        <w:ind w:left="720" w:hanging="360"/>
      </w:pPr>
    </w:lvl>
    <w:lvl w:ilvl="1" w:tplc="FE1AEC88">
      <w:start w:val="1"/>
      <w:numFmt w:val="lowerLetter"/>
      <w:lvlText w:val="%2."/>
      <w:lvlJc w:val="left"/>
      <w:pPr>
        <w:ind w:left="1440" w:hanging="360"/>
      </w:pPr>
    </w:lvl>
    <w:lvl w:ilvl="2" w:tplc="9F82A9C8">
      <w:start w:val="1"/>
      <w:numFmt w:val="lowerRoman"/>
      <w:lvlText w:val="%3."/>
      <w:lvlJc w:val="right"/>
      <w:pPr>
        <w:ind w:left="2160" w:hanging="180"/>
      </w:pPr>
    </w:lvl>
    <w:lvl w:ilvl="3" w:tplc="C7C8E7A6">
      <w:start w:val="1"/>
      <w:numFmt w:val="decimal"/>
      <w:lvlText w:val="%4."/>
      <w:lvlJc w:val="left"/>
      <w:pPr>
        <w:ind w:left="2880" w:hanging="360"/>
      </w:pPr>
    </w:lvl>
    <w:lvl w:ilvl="4" w:tplc="7D244F4C">
      <w:start w:val="1"/>
      <w:numFmt w:val="lowerLetter"/>
      <w:lvlText w:val="%5."/>
      <w:lvlJc w:val="left"/>
      <w:pPr>
        <w:ind w:left="3600" w:hanging="360"/>
      </w:pPr>
    </w:lvl>
    <w:lvl w:ilvl="5" w:tplc="AB6E46FA">
      <w:start w:val="1"/>
      <w:numFmt w:val="lowerRoman"/>
      <w:lvlText w:val="%6."/>
      <w:lvlJc w:val="right"/>
      <w:pPr>
        <w:ind w:left="4320" w:hanging="180"/>
      </w:pPr>
    </w:lvl>
    <w:lvl w:ilvl="6" w:tplc="70B2B80C">
      <w:start w:val="1"/>
      <w:numFmt w:val="decimal"/>
      <w:lvlText w:val="%7."/>
      <w:lvlJc w:val="left"/>
      <w:pPr>
        <w:ind w:left="5040" w:hanging="360"/>
      </w:pPr>
    </w:lvl>
    <w:lvl w:ilvl="7" w:tplc="23141500">
      <w:start w:val="1"/>
      <w:numFmt w:val="lowerLetter"/>
      <w:lvlText w:val="%8."/>
      <w:lvlJc w:val="left"/>
      <w:pPr>
        <w:ind w:left="5760" w:hanging="360"/>
      </w:pPr>
    </w:lvl>
    <w:lvl w:ilvl="8" w:tplc="E63C17E0">
      <w:start w:val="1"/>
      <w:numFmt w:val="lowerRoman"/>
      <w:lvlText w:val="%9."/>
      <w:lvlJc w:val="right"/>
      <w:pPr>
        <w:ind w:left="6480" w:hanging="180"/>
      </w:pPr>
    </w:lvl>
  </w:abstractNum>
  <w:abstractNum w:abstractNumId="13" w15:restartNumberingAfterBreak="0">
    <w:nsid w:val="0D470BCC"/>
    <w:multiLevelType w:val="hybridMultilevel"/>
    <w:tmpl w:val="3CDACF22"/>
    <w:lvl w:ilvl="0" w:tplc="AF48FCC6">
      <w:start w:val="1"/>
      <w:numFmt w:val="bullet"/>
      <w:lvlText w:val=""/>
      <w:lvlJc w:val="left"/>
      <w:pPr>
        <w:tabs>
          <w:tab w:val="num" w:pos="720"/>
        </w:tabs>
        <w:ind w:left="1800" w:hanging="360"/>
      </w:pPr>
      <w:rPr>
        <w:rFonts w:ascii="Wingdings" w:hAnsi="Wingdings" w:hint="default"/>
        <w:sz w:val="20"/>
      </w:rPr>
    </w:lvl>
    <w:lvl w:ilvl="1" w:tplc="E8BC0EE2">
      <w:start w:val="1"/>
      <w:numFmt w:val="bullet"/>
      <w:lvlText w:val="o"/>
      <w:lvlJc w:val="left"/>
      <w:pPr>
        <w:tabs>
          <w:tab w:val="num" w:pos="1440"/>
        </w:tabs>
        <w:ind w:left="2520" w:hanging="360"/>
      </w:pPr>
      <w:rPr>
        <w:rFonts w:ascii="Courier New" w:hAnsi="Courier New" w:hint="default"/>
        <w:sz w:val="20"/>
      </w:rPr>
    </w:lvl>
    <w:lvl w:ilvl="2" w:tplc="3CFE5A62">
      <w:start w:val="1"/>
      <w:numFmt w:val="bullet"/>
      <w:lvlText w:val=""/>
      <w:lvlJc w:val="left"/>
      <w:pPr>
        <w:tabs>
          <w:tab w:val="num" w:pos="2160"/>
        </w:tabs>
        <w:ind w:left="3240" w:hanging="360"/>
      </w:pPr>
      <w:rPr>
        <w:rFonts w:ascii="Wingdings" w:hAnsi="Wingdings" w:hint="default"/>
        <w:sz w:val="20"/>
      </w:rPr>
    </w:lvl>
    <w:lvl w:ilvl="3" w:tplc="E27069F0">
      <w:start w:val="1"/>
      <w:numFmt w:val="bullet"/>
      <w:lvlText w:val=""/>
      <w:lvlJc w:val="left"/>
      <w:pPr>
        <w:tabs>
          <w:tab w:val="num" w:pos="2880"/>
        </w:tabs>
        <w:ind w:left="3960" w:hanging="360"/>
      </w:pPr>
      <w:rPr>
        <w:rFonts w:ascii="Wingdings" w:hAnsi="Wingdings" w:hint="default"/>
        <w:sz w:val="20"/>
      </w:rPr>
    </w:lvl>
    <w:lvl w:ilvl="4" w:tplc="8564CA60">
      <w:start w:val="1"/>
      <w:numFmt w:val="bullet"/>
      <w:lvlText w:val=""/>
      <w:lvlJc w:val="left"/>
      <w:pPr>
        <w:tabs>
          <w:tab w:val="num" w:pos="3600"/>
        </w:tabs>
        <w:ind w:left="4680" w:hanging="360"/>
      </w:pPr>
      <w:rPr>
        <w:rFonts w:ascii="Wingdings" w:hAnsi="Wingdings" w:hint="default"/>
        <w:sz w:val="20"/>
      </w:rPr>
    </w:lvl>
    <w:lvl w:ilvl="5" w:tplc="83A4A5B8">
      <w:start w:val="1"/>
      <w:numFmt w:val="bullet"/>
      <w:lvlText w:val=""/>
      <w:lvlJc w:val="left"/>
      <w:pPr>
        <w:tabs>
          <w:tab w:val="num" w:pos="4320"/>
        </w:tabs>
        <w:ind w:left="5400" w:hanging="360"/>
      </w:pPr>
      <w:rPr>
        <w:rFonts w:ascii="Wingdings" w:hAnsi="Wingdings" w:hint="default"/>
        <w:sz w:val="20"/>
      </w:rPr>
    </w:lvl>
    <w:lvl w:ilvl="6" w:tplc="2B00EDF4">
      <w:start w:val="1"/>
      <w:numFmt w:val="bullet"/>
      <w:lvlText w:val=""/>
      <w:lvlJc w:val="left"/>
      <w:pPr>
        <w:tabs>
          <w:tab w:val="num" w:pos="5040"/>
        </w:tabs>
        <w:ind w:left="6120" w:hanging="360"/>
      </w:pPr>
      <w:rPr>
        <w:rFonts w:ascii="Wingdings" w:hAnsi="Wingdings" w:hint="default"/>
        <w:sz w:val="20"/>
      </w:rPr>
    </w:lvl>
    <w:lvl w:ilvl="7" w:tplc="39EC8798">
      <w:start w:val="1"/>
      <w:numFmt w:val="bullet"/>
      <w:lvlText w:val=""/>
      <w:lvlJc w:val="left"/>
      <w:pPr>
        <w:tabs>
          <w:tab w:val="num" w:pos="5760"/>
        </w:tabs>
        <w:ind w:left="6840" w:hanging="360"/>
      </w:pPr>
      <w:rPr>
        <w:rFonts w:ascii="Wingdings" w:hAnsi="Wingdings" w:hint="default"/>
        <w:sz w:val="20"/>
      </w:rPr>
    </w:lvl>
    <w:lvl w:ilvl="8" w:tplc="44BAF670">
      <w:start w:val="1"/>
      <w:numFmt w:val="bullet"/>
      <w:lvlText w:val=""/>
      <w:lvlJc w:val="left"/>
      <w:pPr>
        <w:tabs>
          <w:tab w:val="num" w:pos="6480"/>
        </w:tabs>
        <w:ind w:left="7560" w:hanging="360"/>
      </w:pPr>
      <w:rPr>
        <w:rFonts w:ascii="Wingdings" w:hAnsi="Wingdings" w:hint="default"/>
        <w:sz w:val="20"/>
      </w:rPr>
    </w:lvl>
  </w:abstractNum>
  <w:abstractNum w:abstractNumId="14" w15:restartNumberingAfterBreak="0">
    <w:nsid w:val="0DDAEB90"/>
    <w:multiLevelType w:val="hybridMultilevel"/>
    <w:tmpl w:val="9B22D8BA"/>
    <w:lvl w:ilvl="0" w:tplc="F96E8224">
      <w:start w:val="1"/>
      <w:numFmt w:val="lowerLetter"/>
      <w:lvlText w:val="%1."/>
      <w:lvlJc w:val="left"/>
      <w:pPr>
        <w:ind w:left="720" w:hanging="360"/>
      </w:pPr>
    </w:lvl>
    <w:lvl w:ilvl="1" w:tplc="2E3C2016">
      <w:start w:val="1"/>
      <w:numFmt w:val="lowerLetter"/>
      <w:lvlText w:val="%2."/>
      <w:lvlJc w:val="left"/>
      <w:pPr>
        <w:ind w:left="1440" w:hanging="360"/>
      </w:pPr>
    </w:lvl>
    <w:lvl w:ilvl="2" w:tplc="7096BE12">
      <w:start w:val="1"/>
      <w:numFmt w:val="lowerRoman"/>
      <w:lvlText w:val="%3."/>
      <w:lvlJc w:val="right"/>
      <w:pPr>
        <w:ind w:left="2160" w:hanging="180"/>
      </w:pPr>
    </w:lvl>
    <w:lvl w:ilvl="3" w:tplc="5CBADFD4">
      <w:start w:val="1"/>
      <w:numFmt w:val="decimal"/>
      <w:lvlText w:val="%4."/>
      <w:lvlJc w:val="left"/>
      <w:pPr>
        <w:ind w:left="2880" w:hanging="360"/>
      </w:pPr>
    </w:lvl>
    <w:lvl w:ilvl="4" w:tplc="5D9A6AD4">
      <w:start w:val="1"/>
      <w:numFmt w:val="lowerLetter"/>
      <w:lvlText w:val="%5."/>
      <w:lvlJc w:val="left"/>
      <w:pPr>
        <w:ind w:left="3600" w:hanging="360"/>
      </w:pPr>
    </w:lvl>
    <w:lvl w:ilvl="5" w:tplc="CBA40096">
      <w:start w:val="1"/>
      <w:numFmt w:val="lowerRoman"/>
      <w:lvlText w:val="%6."/>
      <w:lvlJc w:val="right"/>
      <w:pPr>
        <w:ind w:left="4320" w:hanging="180"/>
      </w:pPr>
    </w:lvl>
    <w:lvl w:ilvl="6" w:tplc="DBAACA4E">
      <w:start w:val="1"/>
      <w:numFmt w:val="decimal"/>
      <w:lvlText w:val="%7."/>
      <w:lvlJc w:val="left"/>
      <w:pPr>
        <w:ind w:left="5040" w:hanging="360"/>
      </w:pPr>
    </w:lvl>
    <w:lvl w:ilvl="7" w:tplc="B6CE9E0A">
      <w:start w:val="1"/>
      <w:numFmt w:val="lowerLetter"/>
      <w:lvlText w:val="%8."/>
      <w:lvlJc w:val="left"/>
      <w:pPr>
        <w:ind w:left="5760" w:hanging="360"/>
      </w:pPr>
    </w:lvl>
    <w:lvl w:ilvl="8" w:tplc="6DA49A56">
      <w:start w:val="1"/>
      <w:numFmt w:val="lowerRoman"/>
      <w:lvlText w:val="%9."/>
      <w:lvlJc w:val="right"/>
      <w:pPr>
        <w:ind w:left="6480" w:hanging="180"/>
      </w:pPr>
    </w:lvl>
  </w:abstractNum>
  <w:abstractNum w:abstractNumId="15" w15:restartNumberingAfterBreak="0">
    <w:nsid w:val="0E447CC8"/>
    <w:multiLevelType w:val="hybridMultilevel"/>
    <w:tmpl w:val="5FE8D5D0"/>
    <w:lvl w:ilvl="0" w:tplc="18C4879A">
      <w:start w:val="1"/>
      <w:numFmt w:val="lowerLetter"/>
      <w:lvlText w:val="%1."/>
      <w:lvlJc w:val="left"/>
      <w:pPr>
        <w:ind w:left="720" w:hanging="360"/>
      </w:pPr>
    </w:lvl>
    <w:lvl w:ilvl="1" w:tplc="96D02CDE">
      <w:start w:val="1"/>
      <w:numFmt w:val="lowerLetter"/>
      <w:lvlText w:val="%2."/>
      <w:lvlJc w:val="left"/>
      <w:pPr>
        <w:ind w:left="1440" w:hanging="360"/>
      </w:pPr>
    </w:lvl>
    <w:lvl w:ilvl="2" w:tplc="8F7E45FC">
      <w:start w:val="1"/>
      <w:numFmt w:val="lowerRoman"/>
      <w:lvlText w:val="%3."/>
      <w:lvlJc w:val="right"/>
      <w:pPr>
        <w:ind w:left="2160" w:hanging="180"/>
      </w:pPr>
    </w:lvl>
    <w:lvl w:ilvl="3" w:tplc="3EE4FE7A">
      <w:start w:val="1"/>
      <w:numFmt w:val="decimal"/>
      <w:lvlText w:val="%4."/>
      <w:lvlJc w:val="left"/>
      <w:pPr>
        <w:ind w:left="2880" w:hanging="360"/>
      </w:pPr>
    </w:lvl>
    <w:lvl w:ilvl="4" w:tplc="48F0A09E">
      <w:start w:val="1"/>
      <w:numFmt w:val="lowerLetter"/>
      <w:lvlText w:val="%5."/>
      <w:lvlJc w:val="left"/>
      <w:pPr>
        <w:ind w:left="3600" w:hanging="360"/>
      </w:pPr>
    </w:lvl>
    <w:lvl w:ilvl="5" w:tplc="3A12149A">
      <w:start w:val="1"/>
      <w:numFmt w:val="lowerRoman"/>
      <w:lvlText w:val="%6."/>
      <w:lvlJc w:val="right"/>
      <w:pPr>
        <w:ind w:left="4320" w:hanging="180"/>
      </w:pPr>
    </w:lvl>
    <w:lvl w:ilvl="6" w:tplc="BA468976">
      <w:start w:val="1"/>
      <w:numFmt w:val="decimal"/>
      <w:lvlText w:val="%7."/>
      <w:lvlJc w:val="left"/>
      <w:pPr>
        <w:ind w:left="5040" w:hanging="360"/>
      </w:pPr>
    </w:lvl>
    <w:lvl w:ilvl="7" w:tplc="D8027192">
      <w:start w:val="1"/>
      <w:numFmt w:val="lowerLetter"/>
      <w:lvlText w:val="%8."/>
      <w:lvlJc w:val="left"/>
      <w:pPr>
        <w:ind w:left="5760" w:hanging="360"/>
      </w:pPr>
    </w:lvl>
    <w:lvl w:ilvl="8" w:tplc="5FB06F04">
      <w:start w:val="1"/>
      <w:numFmt w:val="lowerRoman"/>
      <w:lvlText w:val="%9."/>
      <w:lvlJc w:val="right"/>
      <w:pPr>
        <w:ind w:left="6480" w:hanging="180"/>
      </w:pPr>
    </w:lvl>
  </w:abstractNum>
  <w:abstractNum w:abstractNumId="16" w15:restartNumberingAfterBreak="0">
    <w:nsid w:val="10850062"/>
    <w:multiLevelType w:val="multilevel"/>
    <w:tmpl w:val="AEA21194"/>
    <w:lvl w:ilvl="0">
      <w:start w:val="1"/>
      <w:numFmt w:val="decimal"/>
      <w:lvlText w:val="%1."/>
      <w:lvlJc w:val="left"/>
      <w:pPr>
        <w:ind w:left="720" w:hanging="360"/>
      </w:pPr>
      <w:rPr>
        <w:b/>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11C43773"/>
    <w:multiLevelType w:val="hybridMultilevel"/>
    <w:tmpl w:val="FFFFFFFF"/>
    <w:lvl w:ilvl="0" w:tplc="2C0A0019">
      <w:start w:val="1"/>
      <w:numFmt w:val="lowerLetter"/>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8" w15:restartNumberingAfterBreak="0">
    <w:nsid w:val="1252DAFF"/>
    <w:multiLevelType w:val="hybridMultilevel"/>
    <w:tmpl w:val="887EE96C"/>
    <w:lvl w:ilvl="0" w:tplc="98E2A8FA">
      <w:start w:val="1"/>
      <w:numFmt w:val="lowerLetter"/>
      <w:lvlText w:val="%1."/>
      <w:lvlJc w:val="left"/>
      <w:pPr>
        <w:ind w:left="720" w:hanging="360"/>
      </w:pPr>
    </w:lvl>
    <w:lvl w:ilvl="1" w:tplc="32CC4596">
      <w:start w:val="1"/>
      <w:numFmt w:val="lowerLetter"/>
      <w:lvlText w:val="%2."/>
      <w:lvlJc w:val="left"/>
      <w:pPr>
        <w:ind w:left="1440" w:hanging="360"/>
      </w:pPr>
    </w:lvl>
    <w:lvl w:ilvl="2" w:tplc="F198D40A">
      <w:start w:val="1"/>
      <w:numFmt w:val="lowerRoman"/>
      <w:lvlText w:val="%3."/>
      <w:lvlJc w:val="right"/>
      <w:pPr>
        <w:ind w:left="2160" w:hanging="180"/>
      </w:pPr>
    </w:lvl>
    <w:lvl w:ilvl="3" w:tplc="1E8EA526">
      <w:start w:val="1"/>
      <w:numFmt w:val="decimal"/>
      <w:lvlText w:val="%4."/>
      <w:lvlJc w:val="left"/>
      <w:pPr>
        <w:ind w:left="2880" w:hanging="360"/>
      </w:pPr>
    </w:lvl>
    <w:lvl w:ilvl="4" w:tplc="0C5C7F3E">
      <w:start w:val="1"/>
      <w:numFmt w:val="lowerLetter"/>
      <w:lvlText w:val="%5."/>
      <w:lvlJc w:val="left"/>
      <w:pPr>
        <w:ind w:left="3600" w:hanging="360"/>
      </w:pPr>
    </w:lvl>
    <w:lvl w:ilvl="5" w:tplc="D5CECAF6">
      <w:start w:val="1"/>
      <w:numFmt w:val="lowerRoman"/>
      <w:lvlText w:val="%6."/>
      <w:lvlJc w:val="right"/>
      <w:pPr>
        <w:ind w:left="4320" w:hanging="180"/>
      </w:pPr>
    </w:lvl>
    <w:lvl w:ilvl="6" w:tplc="F2AE9FD6">
      <w:start w:val="1"/>
      <w:numFmt w:val="decimal"/>
      <w:lvlText w:val="%7."/>
      <w:lvlJc w:val="left"/>
      <w:pPr>
        <w:ind w:left="5040" w:hanging="360"/>
      </w:pPr>
    </w:lvl>
    <w:lvl w:ilvl="7" w:tplc="62A6FA38">
      <w:start w:val="1"/>
      <w:numFmt w:val="lowerLetter"/>
      <w:lvlText w:val="%8."/>
      <w:lvlJc w:val="left"/>
      <w:pPr>
        <w:ind w:left="5760" w:hanging="360"/>
      </w:pPr>
    </w:lvl>
    <w:lvl w:ilvl="8" w:tplc="DED2C47A">
      <w:start w:val="1"/>
      <w:numFmt w:val="lowerRoman"/>
      <w:lvlText w:val="%9."/>
      <w:lvlJc w:val="right"/>
      <w:pPr>
        <w:ind w:left="6480" w:hanging="180"/>
      </w:pPr>
    </w:lvl>
  </w:abstractNum>
  <w:abstractNum w:abstractNumId="19" w15:restartNumberingAfterBreak="0">
    <w:nsid w:val="154E7318"/>
    <w:multiLevelType w:val="hybridMultilevel"/>
    <w:tmpl w:val="31722FDA"/>
    <w:lvl w:ilvl="0" w:tplc="18E8E1A8">
      <w:start w:val="1"/>
      <w:numFmt w:val="lowerLetter"/>
      <w:lvlText w:val="%1."/>
      <w:lvlJc w:val="left"/>
      <w:pPr>
        <w:ind w:left="720" w:hanging="360"/>
      </w:pPr>
    </w:lvl>
    <w:lvl w:ilvl="1" w:tplc="6F8E19D6">
      <w:start w:val="1"/>
      <w:numFmt w:val="lowerLetter"/>
      <w:lvlText w:val="%2."/>
      <w:lvlJc w:val="left"/>
      <w:pPr>
        <w:ind w:left="1440" w:hanging="360"/>
      </w:pPr>
    </w:lvl>
    <w:lvl w:ilvl="2" w:tplc="96502A0E">
      <w:start w:val="1"/>
      <w:numFmt w:val="lowerRoman"/>
      <w:lvlText w:val="%3."/>
      <w:lvlJc w:val="right"/>
      <w:pPr>
        <w:ind w:left="2160" w:hanging="180"/>
      </w:pPr>
    </w:lvl>
    <w:lvl w:ilvl="3" w:tplc="D2245FEE">
      <w:start w:val="1"/>
      <w:numFmt w:val="decimal"/>
      <w:lvlText w:val="%4."/>
      <w:lvlJc w:val="left"/>
      <w:pPr>
        <w:ind w:left="2880" w:hanging="360"/>
      </w:pPr>
    </w:lvl>
    <w:lvl w:ilvl="4" w:tplc="B4385B44">
      <w:start w:val="1"/>
      <w:numFmt w:val="lowerLetter"/>
      <w:lvlText w:val="%5."/>
      <w:lvlJc w:val="left"/>
      <w:pPr>
        <w:ind w:left="3600" w:hanging="360"/>
      </w:pPr>
    </w:lvl>
    <w:lvl w:ilvl="5" w:tplc="D3B66C18">
      <w:start w:val="1"/>
      <w:numFmt w:val="lowerRoman"/>
      <w:lvlText w:val="%6."/>
      <w:lvlJc w:val="right"/>
      <w:pPr>
        <w:ind w:left="4320" w:hanging="180"/>
      </w:pPr>
    </w:lvl>
    <w:lvl w:ilvl="6" w:tplc="61DE1D0A">
      <w:start w:val="1"/>
      <w:numFmt w:val="decimal"/>
      <w:lvlText w:val="%7."/>
      <w:lvlJc w:val="left"/>
      <w:pPr>
        <w:ind w:left="5040" w:hanging="360"/>
      </w:pPr>
    </w:lvl>
    <w:lvl w:ilvl="7" w:tplc="721659AA">
      <w:start w:val="1"/>
      <w:numFmt w:val="lowerLetter"/>
      <w:lvlText w:val="%8."/>
      <w:lvlJc w:val="left"/>
      <w:pPr>
        <w:ind w:left="5760" w:hanging="360"/>
      </w:pPr>
    </w:lvl>
    <w:lvl w:ilvl="8" w:tplc="6908B64A">
      <w:start w:val="1"/>
      <w:numFmt w:val="lowerRoman"/>
      <w:lvlText w:val="%9."/>
      <w:lvlJc w:val="right"/>
      <w:pPr>
        <w:ind w:left="6480" w:hanging="180"/>
      </w:pPr>
    </w:lvl>
  </w:abstractNum>
  <w:abstractNum w:abstractNumId="20" w15:restartNumberingAfterBreak="0">
    <w:nsid w:val="16156546"/>
    <w:multiLevelType w:val="hybridMultilevel"/>
    <w:tmpl w:val="1A44FE08"/>
    <w:lvl w:ilvl="0" w:tplc="31CEF33A">
      <w:start w:val="4"/>
      <w:numFmt w:val="decimal"/>
      <w:lvlText w:val="%1."/>
      <w:lvlJc w:val="left"/>
      <w:pPr>
        <w:ind w:left="852" w:hanging="721"/>
      </w:pPr>
      <w:rPr>
        <w:rFonts w:ascii="Cambria" w:eastAsia="Cambria" w:hAnsi="Cambria" w:hint="default"/>
        <w:spacing w:val="-2"/>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52D8CE"/>
    <w:multiLevelType w:val="hybridMultilevel"/>
    <w:tmpl w:val="DA020CE2"/>
    <w:lvl w:ilvl="0" w:tplc="9C3C4766">
      <w:start w:val="1"/>
      <w:numFmt w:val="lowerLetter"/>
      <w:lvlText w:val="%1."/>
      <w:lvlJc w:val="left"/>
      <w:pPr>
        <w:ind w:left="720" w:hanging="360"/>
      </w:pPr>
    </w:lvl>
    <w:lvl w:ilvl="1" w:tplc="89701684">
      <w:start w:val="1"/>
      <w:numFmt w:val="lowerLetter"/>
      <w:lvlText w:val="%2."/>
      <w:lvlJc w:val="left"/>
      <w:pPr>
        <w:ind w:left="1440" w:hanging="360"/>
      </w:pPr>
    </w:lvl>
    <w:lvl w:ilvl="2" w:tplc="0A9EA006">
      <w:start w:val="1"/>
      <w:numFmt w:val="lowerRoman"/>
      <w:lvlText w:val="%3."/>
      <w:lvlJc w:val="right"/>
      <w:pPr>
        <w:ind w:left="2160" w:hanging="180"/>
      </w:pPr>
    </w:lvl>
    <w:lvl w:ilvl="3" w:tplc="B02E8796">
      <w:start w:val="1"/>
      <w:numFmt w:val="decimal"/>
      <w:lvlText w:val="%4."/>
      <w:lvlJc w:val="left"/>
      <w:pPr>
        <w:ind w:left="2880" w:hanging="360"/>
      </w:pPr>
    </w:lvl>
    <w:lvl w:ilvl="4" w:tplc="150018B8">
      <w:start w:val="1"/>
      <w:numFmt w:val="lowerLetter"/>
      <w:lvlText w:val="%5."/>
      <w:lvlJc w:val="left"/>
      <w:pPr>
        <w:ind w:left="3600" w:hanging="360"/>
      </w:pPr>
    </w:lvl>
    <w:lvl w:ilvl="5" w:tplc="D50CAD32">
      <w:start w:val="1"/>
      <w:numFmt w:val="lowerRoman"/>
      <w:lvlText w:val="%6."/>
      <w:lvlJc w:val="right"/>
      <w:pPr>
        <w:ind w:left="4320" w:hanging="180"/>
      </w:pPr>
    </w:lvl>
    <w:lvl w:ilvl="6" w:tplc="09206DAE">
      <w:start w:val="1"/>
      <w:numFmt w:val="decimal"/>
      <w:lvlText w:val="%7."/>
      <w:lvlJc w:val="left"/>
      <w:pPr>
        <w:ind w:left="5040" w:hanging="360"/>
      </w:pPr>
    </w:lvl>
    <w:lvl w:ilvl="7" w:tplc="0D083270">
      <w:start w:val="1"/>
      <w:numFmt w:val="lowerLetter"/>
      <w:lvlText w:val="%8."/>
      <w:lvlJc w:val="left"/>
      <w:pPr>
        <w:ind w:left="5760" w:hanging="360"/>
      </w:pPr>
    </w:lvl>
    <w:lvl w:ilvl="8" w:tplc="7590AABC">
      <w:start w:val="1"/>
      <w:numFmt w:val="lowerRoman"/>
      <w:lvlText w:val="%9."/>
      <w:lvlJc w:val="right"/>
      <w:pPr>
        <w:ind w:left="6480" w:hanging="180"/>
      </w:pPr>
    </w:lvl>
  </w:abstractNum>
  <w:abstractNum w:abstractNumId="22" w15:restartNumberingAfterBreak="0">
    <w:nsid w:val="1F984F7C"/>
    <w:multiLevelType w:val="hybridMultilevel"/>
    <w:tmpl w:val="62B666C2"/>
    <w:lvl w:ilvl="0" w:tplc="FFFFFFFF">
      <w:start w:val="1"/>
      <w:numFmt w:val="decimal"/>
      <w:lvlText w:val="%1."/>
      <w:lvlJc w:val="left"/>
      <w:pPr>
        <w:ind w:left="852" w:hanging="721"/>
      </w:pPr>
      <w:rPr>
        <w:rFonts w:ascii="Cambria" w:eastAsia="Cambria" w:hAnsi="Cambria" w:hint="default"/>
        <w:spacing w:val="-2"/>
        <w:w w:val="99"/>
        <w:sz w:val="22"/>
        <w:szCs w:val="22"/>
      </w:rPr>
    </w:lvl>
    <w:lvl w:ilvl="1" w:tplc="FFFFFFFF">
      <w:start w:val="1"/>
      <w:numFmt w:val="bullet"/>
      <w:lvlText w:val="•"/>
      <w:lvlJc w:val="left"/>
      <w:pPr>
        <w:ind w:left="1503" w:hanging="721"/>
      </w:pPr>
      <w:rPr>
        <w:rFonts w:hint="default"/>
      </w:rPr>
    </w:lvl>
    <w:lvl w:ilvl="2" w:tplc="FFFFFFFF">
      <w:start w:val="1"/>
      <w:numFmt w:val="bullet"/>
      <w:lvlText w:val="•"/>
      <w:lvlJc w:val="left"/>
      <w:pPr>
        <w:ind w:left="2153" w:hanging="721"/>
      </w:pPr>
      <w:rPr>
        <w:rFonts w:hint="default"/>
      </w:rPr>
    </w:lvl>
    <w:lvl w:ilvl="3" w:tplc="FFFFFFFF">
      <w:start w:val="1"/>
      <w:numFmt w:val="bullet"/>
      <w:lvlText w:val="•"/>
      <w:lvlJc w:val="left"/>
      <w:pPr>
        <w:ind w:left="2803" w:hanging="721"/>
      </w:pPr>
      <w:rPr>
        <w:rFonts w:hint="default"/>
      </w:rPr>
    </w:lvl>
    <w:lvl w:ilvl="4" w:tplc="FFFFFFFF">
      <w:start w:val="1"/>
      <w:numFmt w:val="bullet"/>
      <w:lvlText w:val="•"/>
      <w:lvlJc w:val="left"/>
      <w:pPr>
        <w:ind w:left="3453" w:hanging="721"/>
      </w:pPr>
      <w:rPr>
        <w:rFonts w:hint="default"/>
      </w:rPr>
    </w:lvl>
    <w:lvl w:ilvl="5" w:tplc="FFFFFFFF">
      <w:start w:val="1"/>
      <w:numFmt w:val="bullet"/>
      <w:lvlText w:val="•"/>
      <w:lvlJc w:val="left"/>
      <w:pPr>
        <w:ind w:left="4103" w:hanging="721"/>
      </w:pPr>
      <w:rPr>
        <w:rFonts w:hint="default"/>
      </w:rPr>
    </w:lvl>
    <w:lvl w:ilvl="6" w:tplc="FFFFFFFF">
      <w:start w:val="1"/>
      <w:numFmt w:val="bullet"/>
      <w:lvlText w:val="•"/>
      <w:lvlJc w:val="left"/>
      <w:pPr>
        <w:ind w:left="4754" w:hanging="721"/>
      </w:pPr>
      <w:rPr>
        <w:rFonts w:hint="default"/>
      </w:rPr>
    </w:lvl>
    <w:lvl w:ilvl="7" w:tplc="FFFFFFFF">
      <w:start w:val="1"/>
      <w:numFmt w:val="bullet"/>
      <w:lvlText w:val="•"/>
      <w:lvlJc w:val="left"/>
      <w:pPr>
        <w:ind w:left="5404" w:hanging="721"/>
      </w:pPr>
      <w:rPr>
        <w:rFonts w:hint="default"/>
      </w:rPr>
    </w:lvl>
    <w:lvl w:ilvl="8" w:tplc="FFFFFFFF">
      <w:start w:val="1"/>
      <w:numFmt w:val="bullet"/>
      <w:lvlText w:val="•"/>
      <w:lvlJc w:val="left"/>
      <w:pPr>
        <w:ind w:left="6054" w:hanging="721"/>
      </w:pPr>
      <w:rPr>
        <w:rFonts w:hint="default"/>
      </w:rPr>
    </w:lvl>
  </w:abstractNum>
  <w:abstractNum w:abstractNumId="23" w15:restartNumberingAfterBreak="0">
    <w:nsid w:val="214179C5"/>
    <w:multiLevelType w:val="hybridMultilevel"/>
    <w:tmpl w:val="6232788A"/>
    <w:lvl w:ilvl="0" w:tplc="F8266698">
      <w:start w:val="3"/>
      <w:numFmt w:val="bullet"/>
      <w:lvlText w:val="-"/>
      <w:lvlJc w:val="left"/>
      <w:pPr>
        <w:ind w:left="720" w:hanging="360"/>
      </w:pPr>
      <w:rPr>
        <w:rFonts w:ascii="Cambria" w:eastAsiaTheme="minorHAnsi"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DC3C05"/>
    <w:multiLevelType w:val="hybridMultilevel"/>
    <w:tmpl w:val="8A8C7CE4"/>
    <w:lvl w:ilvl="0" w:tplc="BF1C2C3A">
      <w:start w:val="1"/>
      <w:numFmt w:val="bullet"/>
      <w:lvlText w:val=""/>
      <w:lvlJc w:val="left"/>
      <w:pPr>
        <w:ind w:left="1803" w:hanging="360"/>
      </w:pPr>
      <w:rPr>
        <w:rFonts w:ascii="Symbol" w:hAnsi="Symbol" w:hint="default"/>
      </w:rPr>
    </w:lvl>
    <w:lvl w:ilvl="1" w:tplc="FE6E7678">
      <w:start w:val="1"/>
      <w:numFmt w:val="bullet"/>
      <w:lvlText w:val="o"/>
      <w:lvlJc w:val="left"/>
      <w:pPr>
        <w:ind w:left="2523" w:hanging="360"/>
      </w:pPr>
      <w:rPr>
        <w:rFonts w:ascii="Courier New" w:hAnsi="Courier New" w:hint="default"/>
      </w:rPr>
    </w:lvl>
    <w:lvl w:ilvl="2" w:tplc="414C7B38">
      <w:start w:val="1"/>
      <w:numFmt w:val="bullet"/>
      <w:lvlText w:val=""/>
      <w:lvlJc w:val="left"/>
      <w:pPr>
        <w:ind w:left="3243" w:hanging="360"/>
      </w:pPr>
      <w:rPr>
        <w:rFonts w:ascii="Wingdings" w:hAnsi="Wingdings" w:hint="default"/>
      </w:rPr>
    </w:lvl>
    <w:lvl w:ilvl="3" w:tplc="A79A5DE6">
      <w:start w:val="1"/>
      <w:numFmt w:val="bullet"/>
      <w:lvlText w:val=""/>
      <w:lvlJc w:val="left"/>
      <w:pPr>
        <w:ind w:left="3963" w:hanging="360"/>
      </w:pPr>
      <w:rPr>
        <w:rFonts w:ascii="Symbol" w:hAnsi="Symbol" w:hint="default"/>
      </w:rPr>
    </w:lvl>
    <w:lvl w:ilvl="4" w:tplc="B4AE211C">
      <w:start w:val="1"/>
      <w:numFmt w:val="bullet"/>
      <w:lvlText w:val="o"/>
      <w:lvlJc w:val="left"/>
      <w:pPr>
        <w:ind w:left="4683" w:hanging="360"/>
      </w:pPr>
      <w:rPr>
        <w:rFonts w:ascii="Courier New" w:hAnsi="Courier New" w:hint="default"/>
      </w:rPr>
    </w:lvl>
    <w:lvl w:ilvl="5" w:tplc="7EAC0C88">
      <w:start w:val="1"/>
      <w:numFmt w:val="bullet"/>
      <w:lvlText w:val=""/>
      <w:lvlJc w:val="left"/>
      <w:pPr>
        <w:ind w:left="5403" w:hanging="360"/>
      </w:pPr>
      <w:rPr>
        <w:rFonts w:ascii="Wingdings" w:hAnsi="Wingdings" w:hint="default"/>
      </w:rPr>
    </w:lvl>
    <w:lvl w:ilvl="6" w:tplc="18FE2C52">
      <w:start w:val="1"/>
      <w:numFmt w:val="bullet"/>
      <w:lvlText w:val=""/>
      <w:lvlJc w:val="left"/>
      <w:pPr>
        <w:ind w:left="6123" w:hanging="360"/>
      </w:pPr>
      <w:rPr>
        <w:rFonts w:ascii="Symbol" w:hAnsi="Symbol" w:hint="default"/>
      </w:rPr>
    </w:lvl>
    <w:lvl w:ilvl="7" w:tplc="B5B67F16">
      <w:start w:val="1"/>
      <w:numFmt w:val="bullet"/>
      <w:lvlText w:val="o"/>
      <w:lvlJc w:val="left"/>
      <w:pPr>
        <w:ind w:left="6843" w:hanging="360"/>
      </w:pPr>
      <w:rPr>
        <w:rFonts w:ascii="Courier New" w:hAnsi="Courier New" w:hint="default"/>
      </w:rPr>
    </w:lvl>
    <w:lvl w:ilvl="8" w:tplc="080ABC12">
      <w:start w:val="1"/>
      <w:numFmt w:val="bullet"/>
      <w:lvlText w:val=""/>
      <w:lvlJc w:val="left"/>
      <w:pPr>
        <w:ind w:left="7563" w:hanging="360"/>
      </w:pPr>
      <w:rPr>
        <w:rFonts w:ascii="Wingdings" w:hAnsi="Wingdings" w:hint="default"/>
      </w:rPr>
    </w:lvl>
  </w:abstractNum>
  <w:abstractNum w:abstractNumId="25" w15:restartNumberingAfterBreak="0">
    <w:nsid w:val="22026A6A"/>
    <w:multiLevelType w:val="hybridMultilevel"/>
    <w:tmpl w:val="76621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24A605"/>
    <w:multiLevelType w:val="hybridMultilevel"/>
    <w:tmpl w:val="EA6AAAAE"/>
    <w:lvl w:ilvl="0" w:tplc="51E8898E">
      <w:start w:val="1"/>
      <w:numFmt w:val="lowerLetter"/>
      <w:lvlText w:val="%1."/>
      <w:lvlJc w:val="left"/>
      <w:pPr>
        <w:ind w:left="720" w:hanging="360"/>
      </w:pPr>
    </w:lvl>
    <w:lvl w:ilvl="1" w:tplc="7C4047C6">
      <w:start w:val="1"/>
      <w:numFmt w:val="lowerLetter"/>
      <w:lvlText w:val="%2."/>
      <w:lvlJc w:val="left"/>
      <w:pPr>
        <w:ind w:left="1440" w:hanging="360"/>
      </w:pPr>
    </w:lvl>
    <w:lvl w:ilvl="2" w:tplc="E63400D4">
      <w:start w:val="1"/>
      <w:numFmt w:val="lowerRoman"/>
      <w:lvlText w:val="%3."/>
      <w:lvlJc w:val="right"/>
      <w:pPr>
        <w:ind w:left="2160" w:hanging="180"/>
      </w:pPr>
    </w:lvl>
    <w:lvl w:ilvl="3" w:tplc="323812C8">
      <w:start w:val="1"/>
      <w:numFmt w:val="decimal"/>
      <w:lvlText w:val="%4."/>
      <w:lvlJc w:val="left"/>
      <w:pPr>
        <w:ind w:left="2880" w:hanging="360"/>
      </w:pPr>
    </w:lvl>
    <w:lvl w:ilvl="4" w:tplc="D7E03152">
      <w:start w:val="1"/>
      <w:numFmt w:val="lowerLetter"/>
      <w:lvlText w:val="%5."/>
      <w:lvlJc w:val="left"/>
      <w:pPr>
        <w:ind w:left="3600" w:hanging="360"/>
      </w:pPr>
    </w:lvl>
    <w:lvl w:ilvl="5" w:tplc="61044DFE">
      <w:start w:val="1"/>
      <w:numFmt w:val="lowerRoman"/>
      <w:lvlText w:val="%6."/>
      <w:lvlJc w:val="right"/>
      <w:pPr>
        <w:ind w:left="4320" w:hanging="180"/>
      </w:pPr>
    </w:lvl>
    <w:lvl w:ilvl="6" w:tplc="7722C692">
      <w:start w:val="1"/>
      <w:numFmt w:val="decimal"/>
      <w:lvlText w:val="%7."/>
      <w:lvlJc w:val="left"/>
      <w:pPr>
        <w:ind w:left="5040" w:hanging="360"/>
      </w:pPr>
    </w:lvl>
    <w:lvl w:ilvl="7" w:tplc="6996239A">
      <w:start w:val="1"/>
      <w:numFmt w:val="lowerLetter"/>
      <w:lvlText w:val="%8."/>
      <w:lvlJc w:val="left"/>
      <w:pPr>
        <w:ind w:left="5760" w:hanging="360"/>
      </w:pPr>
    </w:lvl>
    <w:lvl w:ilvl="8" w:tplc="4CB402EE">
      <w:start w:val="1"/>
      <w:numFmt w:val="lowerRoman"/>
      <w:lvlText w:val="%9."/>
      <w:lvlJc w:val="right"/>
      <w:pPr>
        <w:ind w:left="6480" w:hanging="180"/>
      </w:pPr>
    </w:lvl>
  </w:abstractNum>
  <w:abstractNum w:abstractNumId="27" w15:restartNumberingAfterBreak="0">
    <w:nsid w:val="2348C100"/>
    <w:multiLevelType w:val="hybridMultilevel"/>
    <w:tmpl w:val="6602B554"/>
    <w:lvl w:ilvl="0" w:tplc="EA6AA4B4">
      <w:start w:val="1"/>
      <w:numFmt w:val="lowerLetter"/>
      <w:lvlText w:val="%1."/>
      <w:lvlJc w:val="left"/>
      <w:pPr>
        <w:ind w:left="720" w:hanging="360"/>
      </w:pPr>
    </w:lvl>
    <w:lvl w:ilvl="1" w:tplc="2DAA2806">
      <w:start w:val="1"/>
      <w:numFmt w:val="lowerLetter"/>
      <w:lvlText w:val="%2."/>
      <w:lvlJc w:val="left"/>
      <w:pPr>
        <w:ind w:left="1440" w:hanging="360"/>
      </w:pPr>
    </w:lvl>
    <w:lvl w:ilvl="2" w:tplc="D506D532">
      <w:start w:val="1"/>
      <w:numFmt w:val="lowerRoman"/>
      <w:lvlText w:val="%3."/>
      <w:lvlJc w:val="right"/>
      <w:pPr>
        <w:ind w:left="2160" w:hanging="180"/>
      </w:pPr>
    </w:lvl>
    <w:lvl w:ilvl="3" w:tplc="5A560964">
      <w:start w:val="1"/>
      <w:numFmt w:val="decimal"/>
      <w:lvlText w:val="%4."/>
      <w:lvlJc w:val="left"/>
      <w:pPr>
        <w:ind w:left="2880" w:hanging="360"/>
      </w:pPr>
    </w:lvl>
    <w:lvl w:ilvl="4" w:tplc="86328C86">
      <w:start w:val="1"/>
      <w:numFmt w:val="lowerLetter"/>
      <w:lvlText w:val="%5."/>
      <w:lvlJc w:val="left"/>
      <w:pPr>
        <w:ind w:left="3600" w:hanging="360"/>
      </w:pPr>
    </w:lvl>
    <w:lvl w:ilvl="5" w:tplc="62B2DB38">
      <w:start w:val="1"/>
      <w:numFmt w:val="lowerRoman"/>
      <w:lvlText w:val="%6."/>
      <w:lvlJc w:val="right"/>
      <w:pPr>
        <w:ind w:left="4320" w:hanging="180"/>
      </w:pPr>
    </w:lvl>
    <w:lvl w:ilvl="6" w:tplc="B5D4F936">
      <w:start w:val="1"/>
      <w:numFmt w:val="decimal"/>
      <w:lvlText w:val="%7."/>
      <w:lvlJc w:val="left"/>
      <w:pPr>
        <w:ind w:left="5040" w:hanging="360"/>
      </w:pPr>
    </w:lvl>
    <w:lvl w:ilvl="7" w:tplc="3BD84522">
      <w:start w:val="1"/>
      <w:numFmt w:val="lowerLetter"/>
      <w:lvlText w:val="%8."/>
      <w:lvlJc w:val="left"/>
      <w:pPr>
        <w:ind w:left="5760" w:hanging="360"/>
      </w:pPr>
    </w:lvl>
    <w:lvl w:ilvl="8" w:tplc="BA18AF26">
      <w:start w:val="1"/>
      <w:numFmt w:val="lowerRoman"/>
      <w:lvlText w:val="%9."/>
      <w:lvlJc w:val="right"/>
      <w:pPr>
        <w:ind w:left="6480" w:hanging="180"/>
      </w:pPr>
    </w:lvl>
  </w:abstractNum>
  <w:abstractNum w:abstractNumId="28" w15:restartNumberingAfterBreak="0">
    <w:nsid w:val="2464390E"/>
    <w:multiLevelType w:val="hybridMultilevel"/>
    <w:tmpl w:val="7750D872"/>
    <w:lvl w:ilvl="0" w:tplc="4198E410">
      <w:start w:val="4"/>
      <w:numFmt w:val="bullet"/>
      <w:pStyle w:val="Style1"/>
      <w:lvlText w:val="-"/>
      <w:lvlJc w:val="left"/>
      <w:pPr>
        <w:ind w:left="1080" w:hanging="360"/>
      </w:pPr>
      <w:rPr>
        <w:rFonts w:ascii="Cambria" w:eastAsia="Calibr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77F7B17"/>
    <w:multiLevelType w:val="hybridMultilevel"/>
    <w:tmpl w:val="FFFFFFFF"/>
    <w:lvl w:ilvl="0" w:tplc="2C0A0019">
      <w:start w:val="1"/>
      <w:numFmt w:val="lowerLetter"/>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30" w15:restartNumberingAfterBreak="0">
    <w:nsid w:val="28033BBC"/>
    <w:multiLevelType w:val="hybridMultilevel"/>
    <w:tmpl w:val="97AE931C"/>
    <w:lvl w:ilvl="0" w:tplc="45F09C3A">
      <w:start w:val="1"/>
      <w:numFmt w:val="decimal"/>
      <w:lvlText w:val="%1."/>
      <w:lvlJc w:val="left"/>
      <w:pPr>
        <w:ind w:left="852" w:hanging="721"/>
      </w:pPr>
      <w:rPr>
        <w:rFonts w:ascii="Cambria" w:eastAsia="Cambria" w:hAnsi="Cambria" w:hint="default"/>
        <w:spacing w:val="-2"/>
        <w:w w:val="99"/>
        <w:sz w:val="22"/>
        <w:szCs w:val="22"/>
      </w:rPr>
    </w:lvl>
    <w:lvl w:ilvl="1" w:tplc="E190DC4E">
      <w:start w:val="1"/>
      <w:numFmt w:val="bullet"/>
      <w:lvlText w:val="•"/>
      <w:lvlJc w:val="left"/>
      <w:pPr>
        <w:ind w:left="1503" w:hanging="721"/>
      </w:pPr>
      <w:rPr>
        <w:rFonts w:hint="default"/>
      </w:rPr>
    </w:lvl>
    <w:lvl w:ilvl="2" w:tplc="5DC26CC2">
      <w:start w:val="1"/>
      <w:numFmt w:val="bullet"/>
      <w:lvlText w:val="•"/>
      <w:lvlJc w:val="left"/>
      <w:pPr>
        <w:ind w:left="2153" w:hanging="721"/>
      </w:pPr>
      <w:rPr>
        <w:rFonts w:hint="default"/>
      </w:rPr>
    </w:lvl>
    <w:lvl w:ilvl="3" w:tplc="EF04F904">
      <w:start w:val="1"/>
      <w:numFmt w:val="bullet"/>
      <w:lvlText w:val="•"/>
      <w:lvlJc w:val="left"/>
      <w:pPr>
        <w:ind w:left="2803" w:hanging="721"/>
      </w:pPr>
      <w:rPr>
        <w:rFonts w:hint="default"/>
      </w:rPr>
    </w:lvl>
    <w:lvl w:ilvl="4" w:tplc="AAC861C8">
      <w:start w:val="1"/>
      <w:numFmt w:val="bullet"/>
      <w:lvlText w:val="•"/>
      <w:lvlJc w:val="left"/>
      <w:pPr>
        <w:ind w:left="3453" w:hanging="721"/>
      </w:pPr>
      <w:rPr>
        <w:rFonts w:hint="default"/>
      </w:rPr>
    </w:lvl>
    <w:lvl w:ilvl="5" w:tplc="9F4CBB00">
      <w:start w:val="1"/>
      <w:numFmt w:val="bullet"/>
      <w:lvlText w:val="•"/>
      <w:lvlJc w:val="left"/>
      <w:pPr>
        <w:ind w:left="4103" w:hanging="721"/>
      </w:pPr>
      <w:rPr>
        <w:rFonts w:hint="default"/>
      </w:rPr>
    </w:lvl>
    <w:lvl w:ilvl="6" w:tplc="964C8D00">
      <w:start w:val="1"/>
      <w:numFmt w:val="bullet"/>
      <w:lvlText w:val="•"/>
      <w:lvlJc w:val="left"/>
      <w:pPr>
        <w:ind w:left="4754" w:hanging="721"/>
      </w:pPr>
      <w:rPr>
        <w:rFonts w:hint="default"/>
      </w:rPr>
    </w:lvl>
    <w:lvl w:ilvl="7" w:tplc="C79088E0">
      <w:start w:val="1"/>
      <w:numFmt w:val="bullet"/>
      <w:lvlText w:val="•"/>
      <w:lvlJc w:val="left"/>
      <w:pPr>
        <w:ind w:left="5404" w:hanging="721"/>
      </w:pPr>
      <w:rPr>
        <w:rFonts w:hint="default"/>
      </w:rPr>
    </w:lvl>
    <w:lvl w:ilvl="8" w:tplc="9E5EE2D8">
      <w:start w:val="1"/>
      <w:numFmt w:val="bullet"/>
      <w:lvlText w:val="•"/>
      <w:lvlJc w:val="left"/>
      <w:pPr>
        <w:ind w:left="6054" w:hanging="721"/>
      </w:pPr>
      <w:rPr>
        <w:rFonts w:hint="default"/>
      </w:rPr>
    </w:lvl>
  </w:abstractNum>
  <w:abstractNum w:abstractNumId="31" w15:restartNumberingAfterBreak="0">
    <w:nsid w:val="294FFFF6"/>
    <w:multiLevelType w:val="hybridMultilevel"/>
    <w:tmpl w:val="3B8E4304"/>
    <w:lvl w:ilvl="0" w:tplc="5A4817FA">
      <w:start w:val="1"/>
      <w:numFmt w:val="lowerLetter"/>
      <w:lvlText w:val="%1."/>
      <w:lvlJc w:val="left"/>
      <w:pPr>
        <w:ind w:left="720" w:hanging="360"/>
      </w:pPr>
    </w:lvl>
    <w:lvl w:ilvl="1" w:tplc="4232E556">
      <w:start w:val="1"/>
      <w:numFmt w:val="lowerLetter"/>
      <w:lvlText w:val="%2."/>
      <w:lvlJc w:val="left"/>
      <w:pPr>
        <w:ind w:left="1440" w:hanging="360"/>
      </w:pPr>
    </w:lvl>
    <w:lvl w:ilvl="2" w:tplc="A47A45C4">
      <w:start w:val="1"/>
      <w:numFmt w:val="lowerRoman"/>
      <w:lvlText w:val="%3."/>
      <w:lvlJc w:val="right"/>
      <w:pPr>
        <w:ind w:left="2160" w:hanging="180"/>
      </w:pPr>
    </w:lvl>
    <w:lvl w:ilvl="3" w:tplc="C5000E88">
      <w:start w:val="1"/>
      <w:numFmt w:val="decimal"/>
      <w:lvlText w:val="%4."/>
      <w:lvlJc w:val="left"/>
      <w:pPr>
        <w:ind w:left="2880" w:hanging="360"/>
      </w:pPr>
    </w:lvl>
    <w:lvl w:ilvl="4" w:tplc="CFAC819A">
      <w:start w:val="1"/>
      <w:numFmt w:val="lowerLetter"/>
      <w:lvlText w:val="%5."/>
      <w:lvlJc w:val="left"/>
      <w:pPr>
        <w:ind w:left="3600" w:hanging="360"/>
      </w:pPr>
    </w:lvl>
    <w:lvl w:ilvl="5" w:tplc="564048E2">
      <w:start w:val="1"/>
      <w:numFmt w:val="lowerRoman"/>
      <w:lvlText w:val="%6."/>
      <w:lvlJc w:val="right"/>
      <w:pPr>
        <w:ind w:left="4320" w:hanging="180"/>
      </w:pPr>
    </w:lvl>
    <w:lvl w:ilvl="6" w:tplc="93A6D9F6">
      <w:start w:val="1"/>
      <w:numFmt w:val="decimal"/>
      <w:lvlText w:val="%7."/>
      <w:lvlJc w:val="left"/>
      <w:pPr>
        <w:ind w:left="5040" w:hanging="360"/>
      </w:pPr>
    </w:lvl>
    <w:lvl w:ilvl="7" w:tplc="6274924E">
      <w:start w:val="1"/>
      <w:numFmt w:val="lowerLetter"/>
      <w:lvlText w:val="%8."/>
      <w:lvlJc w:val="left"/>
      <w:pPr>
        <w:ind w:left="5760" w:hanging="360"/>
      </w:pPr>
    </w:lvl>
    <w:lvl w:ilvl="8" w:tplc="213A181A">
      <w:start w:val="1"/>
      <w:numFmt w:val="lowerRoman"/>
      <w:lvlText w:val="%9."/>
      <w:lvlJc w:val="right"/>
      <w:pPr>
        <w:ind w:left="6480" w:hanging="180"/>
      </w:pPr>
    </w:lvl>
  </w:abstractNum>
  <w:abstractNum w:abstractNumId="32" w15:restartNumberingAfterBreak="0">
    <w:nsid w:val="29F9C4B0"/>
    <w:multiLevelType w:val="hybridMultilevel"/>
    <w:tmpl w:val="E51AAE82"/>
    <w:lvl w:ilvl="0" w:tplc="584CF6B4">
      <w:start w:val="1"/>
      <w:numFmt w:val="lowerLetter"/>
      <w:lvlText w:val="%1."/>
      <w:lvlJc w:val="left"/>
      <w:pPr>
        <w:ind w:left="720" w:hanging="360"/>
      </w:pPr>
    </w:lvl>
    <w:lvl w:ilvl="1" w:tplc="FC9EF950">
      <w:start w:val="1"/>
      <w:numFmt w:val="lowerLetter"/>
      <w:lvlText w:val="%2."/>
      <w:lvlJc w:val="left"/>
      <w:pPr>
        <w:ind w:left="1440" w:hanging="360"/>
      </w:pPr>
    </w:lvl>
    <w:lvl w:ilvl="2" w:tplc="2B023DA0">
      <w:start w:val="1"/>
      <w:numFmt w:val="lowerRoman"/>
      <w:lvlText w:val="%3."/>
      <w:lvlJc w:val="right"/>
      <w:pPr>
        <w:ind w:left="2160" w:hanging="180"/>
      </w:pPr>
    </w:lvl>
    <w:lvl w:ilvl="3" w:tplc="9428678C">
      <w:start w:val="1"/>
      <w:numFmt w:val="decimal"/>
      <w:lvlText w:val="%4."/>
      <w:lvlJc w:val="left"/>
      <w:pPr>
        <w:ind w:left="2880" w:hanging="360"/>
      </w:pPr>
    </w:lvl>
    <w:lvl w:ilvl="4" w:tplc="DA1AAE28">
      <w:start w:val="1"/>
      <w:numFmt w:val="lowerLetter"/>
      <w:lvlText w:val="%5."/>
      <w:lvlJc w:val="left"/>
      <w:pPr>
        <w:ind w:left="3600" w:hanging="360"/>
      </w:pPr>
    </w:lvl>
    <w:lvl w:ilvl="5" w:tplc="DD883674">
      <w:start w:val="1"/>
      <w:numFmt w:val="lowerRoman"/>
      <w:lvlText w:val="%6."/>
      <w:lvlJc w:val="right"/>
      <w:pPr>
        <w:ind w:left="4320" w:hanging="180"/>
      </w:pPr>
    </w:lvl>
    <w:lvl w:ilvl="6" w:tplc="6D32798A">
      <w:start w:val="1"/>
      <w:numFmt w:val="decimal"/>
      <w:lvlText w:val="%7."/>
      <w:lvlJc w:val="left"/>
      <w:pPr>
        <w:ind w:left="5040" w:hanging="360"/>
      </w:pPr>
    </w:lvl>
    <w:lvl w:ilvl="7" w:tplc="23549EE4">
      <w:start w:val="1"/>
      <w:numFmt w:val="lowerLetter"/>
      <w:lvlText w:val="%8."/>
      <w:lvlJc w:val="left"/>
      <w:pPr>
        <w:ind w:left="5760" w:hanging="360"/>
      </w:pPr>
    </w:lvl>
    <w:lvl w:ilvl="8" w:tplc="3312C472">
      <w:start w:val="1"/>
      <w:numFmt w:val="lowerRoman"/>
      <w:lvlText w:val="%9."/>
      <w:lvlJc w:val="right"/>
      <w:pPr>
        <w:ind w:left="6480" w:hanging="180"/>
      </w:pPr>
    </w:lvl>
  </w:abstractNum>
  <w:abstractNum w:abstractNumId="33" w15:restartNumberingAfterBreak="0">
    <w:nsid w:val="2C2C4227"/>
    <w:multiLevelType w:val="hybridMultilevel"/>
    <w:tmpl w:val="BEBA5A28"/>
    <w:lvl w:ilvl="0" w:tplc="31027A56">
      <w:start w:val="23"/>
      <w:numFmt w:val="decimal"/>
      <w:lvlText w:val="%1."/>
      <w:lvlJc w:val="left"/>
      <w:pPr>
        <w:ind w:left="1080" w:hanging="360"/>
      </w:pPr>
      <w:rPr>
        <w:rFonts w:hint="default"/>
        <w:b w:val="0"/>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630EC7"/>
    <w:multiLevelType w:val="hybridMultilevel"/>
    <w:tmpl w:val="BF6664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AD02A9"/>
    <w:multiLevelType w:val="hybridMultilevel"/>
    <w:tmpl w:val="EC4CA11E"/>
    <w:lvl w:ilvl="0" w:tplc="8DB6EE3A">
      <w:start w:val="1"/>
      <w:numFmt w:val="lowerLetter"/>
      <w:lvlText w:val="%1."/>
      <w:lvlJc w:val="left"/>
      <w:pPr>
        <w:ind w:left="720" w:hanging="360"/>
      </w:pPr>
    </w:lvl>
    <w:lvl w:ilvl="1" w:tplc="ECBA3EA8">
      <w:start w:val="1"/>
      <w:numFmt w:val="lowerLetter"/>
      <w:lvlText w:val="%2."/>
      <w:lvlJc w:val="left"/>
      <w:pPr>
        <w:ind w:left="1440" w:hanging="360"/>
      </w:pPr>
    </w:lvl>
    <w:lvl w:ilvl="2" w:tplc="227A206A">
      <w:start w:val="1"/>
      <w:numFmt w:val="lowerRoman"/>
      <w:lvlText w:val="%3."/>
      <w:lvlJc w:val="right"/>
      <w:pPr>
        <w:ind w:left="2160" w:hanging="180"/>
      </w:pPr>
    </w:lvl>
    <w:lvl w:ilvl="3" w:tplc="008C49B8">
      <w:start w:val="1"/>
      <w:numFmt w:val="decimal"/>
      <w:lvlText w:val="%4."/>
      <w:lvlJc w:val="left"/>
      <w:pPr>
        <w:ind w:left="2880" w:hanging="360"/>
      </w:pPr>
    </w:lvl>
    <w:lvl w:ilvl="4" w:tplc="7B48FEF2">
      <w:start w:val="1"/>
      <w:numFmt w:val="lowerLetter"/>
      <w:lvlText w:val="%5."/>
      <w:lvlJc w:val="left"/>
      <w:pPr>
        <w:ind w:left="3600" w:hanging="360"/>
      </w:pPr>
    </w:lvl>
    <w:lvl w:ilvl="5" w:tplc="1A348A86">
      <w:start w:val="1"/>
      <w:numFmt w:val="lowerRoman"/>
      <w:lvlText w:val="%6."/>
      <w:lvlJc w:val="right"/>
      <w:pPr>
        <w:ind w:left="4320" w:hanging="180"/>
      </w:pPr>
    </w:lvl>
    <w:lvl w:ilvl="6" w:tplc="C85C0F76">
      <w:start w:val="1"/>
      <w:numFmt w:val="decimal"/>
      <w:lvlText w:val="%7."/>
      <w:lvlJc w:val="left"/>
      <w:pPr>
        <w:ind w:left="5040" w:hanging="360"/>
      </w:pPr>
    </w:lvl>
    <w:lvl w:ilvl="7" w:tplc="6DA6E7AA">
      <w:start w:val="1"/>
      <w:numFmt w:val="lowerLetter"/>
      <w:lvlText w:val="%8."/>
      <w:lvlJc w:val="left"/>
      <w:pPr>
        <w:ind w:left="5760" w:hanging="360"/>
      </w:pPr>
    </w:lvl>
    <w:lvl w:ilvl="8" w:tplc="1478C13E">
      <w:start w:val="1"/>
      <w:numFmt w:val="lowerRoman"/>
      <w:lvlText w:val="%9."/>
      <w:lvlJc w:val="right"/>
      <w:pPr>
        <w:ind w:left="6480" w:hanging="180"/>
      </w:pPr>
    </w:lvl>
  </w:abstractNum>
  <w:abstractNum w:abstractNumId="36" w15:restartNumberingAfterBreak="0">
    <w:nsid w:val="2E070BD4"/>
    <w:multiLevelType w:val="hybridMultilevel"/>
    <w:tmpl w:val="CF16364C"/>
    <w:lvl w:ilvl="0" w:tplc="C8D29844">
      <w:start w:val="1"/>
      <w:numFmt w:val="bullet"/>
      <w:lvlText w:val="-"/>
      <w:lvlJc w:val="left"/>
      <w:pPr>
        <w:ind w:left="1080" w:hanging="360"/>
      </w:pPr>
      <w:rPr>
        <w:rFonts w:ascii="Cambria" w:eastAsia="Calibr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E86A8BE"/>
    <w:multiLevelType w:val="hybridMultilevel"/>
    <w:tmpl w:val="46DE1B3E"/>
    <w:lvl w:ilvl="0" w:tplc="7F16D03C">
      <w:start w:val="1"/>
      <w:numFmt w:val="lowerLetter"/>
      <w:lvlText w:val="%1."/>
      <w:lvlJc w:val="left"/>
      <w:pPr>
        <w:ind w:left="720" w:hanging="360"/>
      </w:pPr>
    </w:lvl>
    <w:lvl w:ilvl="1" w:tplc="34BA46A8">
      <w:start w:val="1"/>
      <w:numFmt w:val="lowerLetter"/>
      <w:lvlText w:val="%2."/>
      <w:lvlJc w:val="left"/>
      <w:pPr>
        <w:ind w:left="1440" w:hanging="360"/>
      </w:pPr>
    </w:lvl>
    <w:lvl w:ilvl="2" w:tplc="22323148">
      <w:start w:val="1"/>
      <w:numFmt w:val="lowerRoman"/>
      <w:lvlText w:val="%3."/>
      <w:lvlJc w:val="right"/>
      <w:pPr>
        <w:ind w:left="2160" w:hanging="180"/>
      </w:pPr>
    </w:lvl>
    <w:lvl w:ilvl="3" w:tplc="FEF00998">
      <w:start w:val="1"/>
      <w:numFmt w:val="decimal"/>
      <w:lvlText w:val="%4."/>
      <w:lvlJc w:val="left"/>
      <w:pPr>
        <w:ind w:left="2880" w:hanging="360"/>
      </w:pPr>
    </w:lvl>
    <w:lvl w:ilvl="4" w:tplc="4C18BECA">
      <w:start w:val="1"/>
      <w:numFmt w:val="lowerLetter"/>
      <w:lvlText w:val="%5."/>
      <w:lvlJc w:val="left"/>
      <w:pPr>
        <w:ind w:left="3600" w:hanging="360"/>
      </w:pPr>
    </w:lvl>
    <w:lvl w:ilvl="5" w:tplc="F4D66A0E">
      <w:start w:val="1"/>
      <w:numFmt w:val="lowerRoman"/>
      <w:lvlText w:val="%6."/>
      <w:lvlJc w:val="right"/>
      <w:pPr>
        <w:ind w:left="4320" w:hanging="180"/>
      </w:pPr>
    </w:lvl>
    <w:lvl w:ilvl="6" w:tplc="2D766116">
      <w:start w:val="1"/>
      <w:numFmt w:val="decimal"/>
      <w:lvlText w:val="%7."/>
      <w:lvlJc w:val="left"/>
      <w:pPr>
        <w:ind w:left="5040" w:hanging="360"/>
      </w:pPr>
    </w:lvl>
    <w:lvl w:ilvl="7" w:tplc="EC8422EE">
      <w:start w:val="1"/>
      <w:numFmt w:val="lowerLetter"/>
      <w:lvlText w:val="%8."/>
      <w:lvlJc w:val="left"/>
      <w:pPr>
        <w:ind w:left="5760" w:hanging="360"/>
      </w:pPr>
    </w:lvl>
    <w:lvl w:ilvl="8" w:tplc="660C49E2">
      <w:start w:val="1"/>
      <w:numFmt w:val="lowerRoman"/>
      <w:lvlText w:val="%9."/>
      <w:lvlJc w:val="right"/>
      <w:pPr>
        <w:ind w:left="6480" w:hanging="180"/>
      </w:pPr>
    </w:lvl>
  </w:abstractNum>
  <w:abstractNum w:abstractNumId="38" w15:restartNumberingAfterBreak="0">
    <w:nsid w:val="2EBF187F"/>
    <w:multiLevelType w:val="hybridMultilevel"/>
    <w:tmpl w:val="E0FCCDDA"/>
    <w:lvl w:ilvl="0" w:tplc="04090001">
      <w:start w:val="1"/>
      <w:numFmt w:val="bullet"/>
      <w:lvlText w:val=""/>
      <w:lvlJc w:val="left"/>
      <w:pPr>
        <w:ind w:left="1080" w:hanging="360"/>
      </w:pPr>
      <w:rPr>
        <w:rFonts w:ascii="Symbol" w:hAnsi="Symbol" w:hint="default"/>
        <w:b/>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328146F6"/>
    <w:multiLevelType w:val="hybridMultilevel"/>
    <w:tmpl w:val="FA96D4CE"/>
    <w:lvl w:ilvl="0" w:tplc="FFFFFFFF">
      <w:start w:val="1"/>
      <w:numFmt w:val="decimal"/>
      <w:pStyle w:val="Normal1"/>
      <w:lvlText w:val="%1."/>
      <w:lvlJc w:val="left"/>
      <w:pPr>
        <w:ind w:left="360" w:hanging="360"/>
      </w:pPr>
      <w:rPr>
        <w:b w:val="0"/>
        <w:color w:val="808080" w:themeColor="background1" w:themeShade="80"/>
        <w:sz w:val="18"/>
        <w:szCs w:val="18"/>
        <w:vertAlign w:val="baseline"/>
        <w:lang w:val="es-MX"/>
      </w:rPr>
    </w:lvl>
    <w:lvl w:ilvl="1" w:tplc="04090019">
      <w:start w:val="1"/>
      <w:numFmt w:val="lowerLetter"/>
      <w:lvlText w:val="%2."/>
      <w:lvlJc w:val="left"/>
      <w:pPr>
        <w:ind w:left="3240" w:hanging="360"/>
      </w:pPr>
    </w:lvl>
    <w:lvl w:ilvl="2" w:tplc="B7828288">
      <w:numFmt w:val="bullet"/>
      <w:lvlText w:val="•"/>
      <w:lvlJc w:val="left"/>
      <w:pPr>
        <w:ind w:left="4140" w:hanging="360"/>
      </w:pPr>
      <w:rPr>
        <w:rFonts w:ascii="Cambria" w:eastAsiaTheme="minorHAnsi" w:hAnsi="Cambria" w:cstheme="minorBidi" w:hint="default"/>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344218EA"/>
    <w:multiLevelType w:val="hybridMultilevel"/>
    <w:tmpl w:val="58BA4A36"/>
    <w:lvl w:ilvl="0" w:tplc="54941B56">
      <w:start w:val="1"/>
      <w:numFmt w:val="lowerLetter"/>
      <w:lvlText w:val="%1."/>
      <w:lvlJc w:val="left"/>
      <w:pPr>
        <w:ind w:left="720" w:hanging="360"/>
      </w:pPr>
    </w:lvl>
    <w:lvl w:ilvl="1" w:tplc="31EC8550">
      <w:start w:val="1"/>
      <w:numFmt w:val="lowerLetter"/>
      <w:lvlText w:val="%2."/>
      <w:lvlJc w:val="left"/>
      <w:pPr>
        <w:ind w:left="1440" w:hanging="360"/>
      </w:pPr>
    </w:lvl>
    <w:lvl w:ilvl="2" w:tplc="C6C64844">
      <w:start w:val="1"/>
      <w:numFmt w:val="lowerRoman"/>
      <w:lvlText w:val="%3."/>
      <w:lvlJc w:val="right"/>
      <w:pPr>
        <w:ind w:left="2160" w:hanging="180"/>
      </w:pPr>
    </w:lvl>
    <w:lvl w:ilvl="3" w:tplc="A7829E9E">
      <w:start w:val="1"/>
      <w:numFmt w:val="decimal"/>
      <w:lvlText w:val="%4."/>
      <w:lvlJc w:val="left"/>
      <w:pPr>
        <w:ind w:left="2880" w:hanging="360"/>
      </w:pPr>
    </w:lvl>
    <w:lvl w:ilvl="4" w:tplc="BE707AB2">
      <w:start w:val="1"/>
      <w:numFmt w:val="lowerLetter"/>
      <w:lvlText w:val="%5."/>
      <w:lvlJc w:val="left"/>
      <w:pPr>
        <w:ind w:left="3600" w:hanging="360"/>
      </w:pPr>
    </w:lvl>
    <w:lvl w:ilvl="5" w:tplc="8272AD54">
      <w:start w:val="1"/>
      <w:numFmt w:val="lowerRoman"/>
      <w:lvlText w:val="%6."/>
      <w:lvlJc w:val="right"/>
      <w:pPr>
        <w:ind w:left="4320" w:hanging="180"/>
      </w:pPr>
    </w:lvl>
    <w:lvl w:ilvl="6" w:tplc="23E08FC6">
      <w:start w:val="1"/>
      <w:numFmt w:val="decimal"/>
      <w:lvlText w:val="%7."/>
      <w:lvlJc w:val="left"/>
      <w:pPr>
        <w:ind w:left="5040" w:hanging="360"/>
      </w:pPr>
    </w:lvl>
    <w:lvl w:ilvl="7" w:tplc="07EC6ABC">
      <w:start w:val="1"/>
      <w:numFmt w:val="lowerLetter"/>
      <w:lvlText w:val="%8."/>
      <w:lvlJc w:val="left"/>
      <w:pPr>
        <w:ind w:left="5760" w:hanging="360"/>
      </w:pPr>
    </w:lvl>
    <w:lvl w:ilvl="8" w:tplc="1F9E6890">
      <w:start w:val="1"/>
      <w:numFmt w:val="lowerRoman"/>
      <w:lvlText w:val="%9."/>
      <w:lvlJc w:val="right"/>
      <w:pPr>
        <w:ind w:left="6480" w:hanging="180"/>
      </w:pPr>
    </w:lvl>
  </w:abstractNum>
  <w:abstractNum w:abstractNumId="41" w15:restartNumberingAfterBreak="0">
    <w:nsid w:val="38C70B41"/>
    <w:multiLevelType w:val="hybridMultilevel"/>
    <w:tmpl w:val="138C5CCE"/>
    <w:lvl w:ilvl="0" w:tplc="A4A4D792">
      <w:start w:val="1"/>
      <w:numFmt w:val="lowerLetter"/>
      <w:lvlText w:val="%1."/>
      <w:lvlJc w:val="left"/>
      <w:pPr>
        <w:ind w:left="720" w:hanging="360"/>
      </w:pPr>
    </w:lvl>
    <w:lvl w:ilvl="1" w:tplc="7ACEB398">
      <w:start w:val="1"/>
      <w:numFmt w:val="lowerLetter"/>
      <w:lvlText w:val="%2."/>
      <w:lvlJc w:val="left"/>
      <w:pPr>
        <w:ind w:left="1440" w:hanging="360"/>
      </w:pPr>
    </w:lvl>
    <w:lvl w:ilvl="2" w:tplc="537401BA">
      <w:start w:val="1"/>
      <w:numFmt w:val="lowerRoman"/>
      <w:lvlText w:val="%3."/>
      <w:lvlJc w:val="right"/>
      <w:pPr>
        <w:ind w:left="2160" w:hanging="180"/>
      </w:pPr>
    </w:lvl>
    <w:lvl w:ilvl="3" w:tplc="A36E5FA6">
      <w:start w:val="1"/>
      <w:numFmt w:val="decimal"/>
      <w:lvlText w:val="%4."/>
      <w:lvlJc w:val="left"/>
      <w:pPr>
        <w:ind w:left="2880" w:hanging="360"/>
      </w:pPr>
    </w:lvl>
    <w:lvl w:ilvl="4" w:tplc="DD2C7700">
      <w:start w:val="1"/>
      <w:numFmt w:val="lowerLetter"/>
      <w:lvlText w:val="%5."/>
      <w:lvlJc w:val="left"/>
      <w:pPr>
        <w:ind w:left="3600" w:hanging="360"/>
      </w:pPr>
    </w:lvl>
    <w:lvl w:ilvl="5" w:tplc="A4A286AE">
      <w:start w:val="1"/>
      <w:numFmt w:val="lowerRoman"/>
      <w:lvlText w:val="%6."/>
      <w:lvlJc w:val="right"/>
      <w:pPr>
        <w:ind w:left="4320" w:hanging="180"/>
      </w:pPr>
    </w:lvl>
    <w:lvl w:ilvl="6" w:tplc="5AFE42F2">
      <w:start w:val="1"/>
      <w:numFmt w:val="decimal"/>
      <w:lvlText w:val="%7."/>
      <w:lvlJc w:val="left"/>
      <w:pPr>
        <w:ind w:left="5040" w:hanging="360"/>
      </w:pPr>
    </w:lvl>
    <w:lvl w:ilvl="7" w:tplc="AA90E384">
      <w:start w:val="1"/>
      <w:numFmt w:val="lowerLetter"/>
      <w:lvlText w:val="%8."/>
      <w:lvlJc w:val="left"/>
      <w:pPr>
        <w:ind w:left="5760" w:hanging="360"/>
      </w:pPr>
    </w:lvl>
    <w:lvl w:ilvl="8" w:tplc="D542EA74">
      <w:start w:val="1"/>
      <w:numFmt w:val="lowerRoman"/>
      <w:lvlText w:val="%9."/>
      <w:lvlJc w:val="right"/>
      <w:pPr>
        <w:ind w:left="6480" w:hanging="180"/>
      </w:pPr>
    </w:lvl>
  </w:abstractNum>
  <w:abstractNum w:abstractNumId="42" w15:restartNumberingAfterBreak="0">
    <w:nsid w:val="39B56642"/>
    <w:multiLevelType w:val="hybridMultilevel"/>
    <w:tmpl w:val="CA8862B2"/>
    <w:lvl w:ilvl="0" w:tplc="A2529A7C">
      <w:start w:val="1"/>
      <w:numFmt w:val="lowerLetter"/>
      <w:lvlText w:val="%1."/>
      <w:lvlJc w:val="left"/>
      <w:pPr>
        <w:ind w:left="720" w:hanging="360"/>
      </w:pPr>
    </w:lvl>
    <w:lvl w:ilvl="1" w:tplc="20E6714C">
      <w:start w:val="1"/>
      <w:numFmt w:val="lowerLetter"/>
      <w:lvlText w:val="%2."/>
      <w:lvlJc w:val="left"/>
      <w:pPr>
        <w:ind w:left="1440" w:hanging="360"/>
      </w:pPr>
    </w:lvl>
    <w:lvl w:ilvl="2" w:tplc="F77A93F8">
      <w:start w:val="1"/>
      <w:numFmt w:val="lowerRoman"/>
      <w:lvlText w:val="%3."/>
      <w:lvlJc w:val="right"/>
      <w:pPr>
        <w:ind w:left="2160" w:hanging="180"/>
      </w:pPr>
    </w:lvl>
    <w:lvl w:ilvl="3" w:tplc="FFAE46FE">
      <w:start w:val="1"/>
      <w:numFmt w:val="decimal"/>
      <w:lvlText w:val="%4."/>
      <w:lvlJc w:val="left"/>
      <w:pPr>
        <w:ind w:left="2880" w:hanging="360"/>
      </w:pPr>
    </w:lvl>
    <w:lvl w:ilvl="4" w:tplc="E474E18C">
      <w:start w:val="1"/>
      <w:numFmt w:val="lowerLetter"/>
      <w:lvlText w:val="%5."/>
      <w:lvlJc w:val="left"/>
      <w:pPr>
        <w:ind w:left="3600" w:hanging="360"/>
      </w:pPr>
    </w:lvl>
    <w:lvl w:ilvl="5" w:tplc="7048FBFA">
      <w:start w:val="1"/>
      <w:numFmt w:val="lowerRoman"/>
      <w:lvlText w:val="%6."/>
      <w:lvlJc w:val="right"/>
      <w:pPr>
        <w:ind w:left="4320" w:hanging="180"/>
      </w:pPr>
    </w:lvl>
    <w:lvl w:ilvl="6" w:tplc="5546E408">
      <w:start w:val="1"/>
      <w:numFmt w:val="decimal"/>
      <w:lvlText w:val="%7."/>
      <w:lvlJc w:val="left"/>
      <w:pPr>
        <w:ind w:left="5040" w:hanging="360"/>
      </w:pPr>
    </w:lvl>
    <w:lvl w:ilvl="7" w:tplc="8EB07C5C">
      <w:start w:val="1"/>
      <w:numFmt w:val="lowerLetter"/>
      <w:lvlText w:val="%8."/>
      <w:lvlJc w:val="left"/>
      <w:pPr>
        <w:ind w:left="5760" w:hanging="360"/>
      </w:pPr>
    </w:lvl>
    <w:lvl w:ilvl="8" w:tplc="63C87F7A">
      <w:start w:val="1"/>
      <w:numFmt w:val="lowerRoman"/>
      <w:lvlText w:val="%9."/>
      <w:lvlJc w:val="right"/>
      <w:pPr>
        <w:ind w:left="6480" w:hanging="180"/>
      </w:pPr>
    </w:lvl>
  </w:abstractNum>
  <w:abstractNum w:abstractNumId="43" w15:restartNumberingAfterBreak="0">
    <w:nsid w:val="3A261375"/>
    <w:multiLevelType w:val="hybridMultilevel"/>
    <w:tmpl w:val="490E12D0"/>
    <w:lvl w:ilvl="0" w:tplc="6122A9B4">
      <w:start w:val="1"/>
      <w:numFmt w:val="bullet"/>
      <w:lvlText w:val=""/>
      <w:lvlJc w:val="left"/>
      <w:pPr>
        <w:ind w:left="720" w:hanging="360"/>
      </w:pPr>
      <w:rPr>
        <w:rFonts w:ascii="Symbol" w:hAnsi="Symbol"/>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6122A9B4">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85F66D"/>
    <w:multiLevelType w:val="hybridMultilevel"/>
    <w:tmpl w:val="BA46B31A"/>
    <w:lvl w:ilvl="0" w:tplc="5CD6E146">
      <w:start w:val="1"/>
      <w:numFmt w:val="lowerLetter"/>
      <w:lvlText w:val="%1."/>
      <w:lvlJc w:val="left"/>
      <w:pPr>
        <w:ind w:left="720" w:hanging="360"/>
      </w:pPr>
    </w:lvl>
    <w:lvl w:ilvl="1" w:tplc="DEFACCEE">
      <w:start w:val="1"/>
      <w:numFmt w:val="lowerLetter"/>
      <w:lvlText w:val="%2."/>
      <w:lvlJc w:val="left"/>
      <w:pPr>
        <w:ind w:left="1440" w:hanging="360"/>
      </w:pPr>
    </w:lvl>
    <w:lvl w:ilvl="2" w:tplc="80B870F0">
      <w:start w:val="1"/>
      <w:numFmt w:val="lowerRoman"/>
      <w:lvlText w:val="%3."/>
      <w:lvlJc w:val="right"/>
      <w:pPr>
        <w:ind w:left="2160" w:hanging="180"/>
      </w:pPr>
    </w:lvl>
    <w:lvl w:ilvl="3" w:tplc="2C087F96">
      <w:start w:val="1"/>
      <w:numFmt w:val="decimal"/>
      <w:lvlText w:val="%4."/>
      <w:lvlJc w:val="left"/>
      <w:pPr>
        <w:ind w:left="2880" w:hanging="360"/>
      </w:pPr>
    </w:lvl>
    <w:lvl w:ilvl="4" w:tplc="09ECE69C">
      <w:start w:val="1"/>
      <w:numFmt w:val="lowerLetter"/>
      <w:lvlText w:val="%5."/>
      <w:lvlJc w:val="left"/>
      <w:pPr>
        <w:ind w:left="3600" w:hanging="360"/>
      </w:pPr>
    </w:lvl>
    <w:lvl w:ilvl="5" w:tplc="966C5686">
      <w:start w:val="1"/>
      <w:numFmt w:val="lowerRoman"/>
      <w:lvlText w:val="%6."/>
      <w:lvlJc w:val="right"/>
      <w:pPr>
        <w:ind w:left="4320" w:hanging="180"/>
      </w:pPr>
    </w:lvl>
    <w:lvl w:ilvl="6" w:tplc="ACB04A0E">
      <w:start w:val="1"/>
      <w:numFmt w:val="decimal"/>
      <w:lvlText w:val="%7."/>
      <w:lvlJc w:val="left"/>
      <w:pPr>
        <w:ind w:left="5040" w:hanging="360"/>
      </w:pPr>
    </w:lvl>
    <w:lvl w:ilvl="7" w:tplc="4874E2FE">
      <w:start w:val="1"/>
      <w:numFmt w:val="lowerLetter"/>
      <w:lvlText w:val="%8."/>
      <w:lvlJc w:val="left"/>
      <w:pPr>
        <w:ind w:left="5760" w:hanging="360"/>
      </w:pPr>
    </w:lvl>
    <w:lvl w:ilvl="8" w:tplc="BBD2DCF2">
      <w:start w:val="1"/>
      <w:numFmt w:val="lowerRoman"/>
      <w:lvlText w:val="%9."/>
      <w:lvlJc w:val="right"/>
      <w:pPr>
        <w:ind w:left="6480" w:hanging="180"/>
      </w:pPr>
    </w:lvl>
  </w:abstractNum>
  <w:abstractNum w:abstractNumId="45" w15:restartNumberingAfterBreak="0">
    <w:nsid w:val="42DB20F4"/>
    <w:multiLevelType w:val="hybridMultilevel"/>
    <w:tmpl w:val="E3803678"/>
    <w:lvl w:ilvl="0" w:tplc="04090001">
      <w:start w:val="1"/>
      <w:numFmt w:val="bullet"/>
      <w:lvlText w:val=""/>
      <w:lvlJc w:val="left"/>
      <w:pPr>
        <w:ind w:left="7650" w:hanging="360"/>
      </w:pPr>
      <w:rPr>
        <w:rFonts w:ascii="Symbol" w:hAnsi="Symbol" w:hint="default"/>
        <w:b w:val="0"/>
        <w:color w:val="000000" w:themeColor="text1"/>
        <w:sz w:val="20"/>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432F5C0E"/>
    <w:multiLevelType w:val="hybridMultilevel"/>
    <w:tmpl w:val="FFFFFFFF"/>
    <w:lvl w:ilvl="0" w:tplc="95545836">
      <w:start w:val="1"/>
      <w:numFmt w:val="bullet"/>
      <w:lvlText w:val=""/>
      <w:lvlJc w:val="left"/>
      <w:pPr>
        <w:ind w:left="720" w:hanging="360"/>
      </w:pPr>
      <w:rPr>
        <w:rFonts w:ascii="Symbol" w:hAnsi="Symbol" w:hint="default"/>
      </w:rPr>
    </w:lvl>
    <w:lvl w:ilvl="1" w:tplc="86ACD482">
      <w:start w:val="1"/>
      <w:numFmt w:val="bullet"/>
      <w:lvlText w:val=""/>
      <w:lvlJc w:val="left"/>
      <w:pPr>
        <w:ind w:left="1440" w:hanging="360"/>
      </w:pPr>
      <w:rPr>
        <w:rFonts w:ascii="Wingdings" w:hAnsi="Wingdings" w:hint="default"/>
      </w:rPr>
    </w:lvl>
    <w:lvl w:ilvl="2" w:tplc="3B2C6636">
      <w:start w:val="1"/>
      <w:numFmt w:val="bullet"/>
      <w:lvlText w:val=""/>
      <w:lvlJc w:val="left"/>
      <w:pPr>
        <w:ind w:left="2160" w:hanging="360"/>
      </w:pPr>
      <w:rPr>
        <w:rFonts w:ascii="Wingdings" w:hAnsi="Wingdings" w:hint="default"/>
      </w:rPr>
    </w:lvl>
    <w:lvl w:ilvl="3" w:tplc="9056C2B2">
      <w:start w:val="1"/>
      <w:numFmt w:val="bullet"/>
      <w:lvlText w:val=""/>
      <w:lvlJc w:val="left"/>
      <w:pPr>
        <w:ind w:left="2880" w:hanging="360"/>
      </w:pPr>
      <w:rPr>
        <w:rFonts w:ascii="Symbol" w:hAnsi="Symbol" w:hint="default"/>
      </w:rPr>
    </w:lvl>
    <w:lvl w:ilvl="4" w:tplc="D1B46172">
      <w:start w:val="1"/>
      <w:numFmt w:val="bullet"/>
      <w:lvlText w:val="o"/>
      <w:lvlJc w:val="left"/>
      <w:pPr>
        <w:ind w:left="3600" w:hanging="360"/>
      </w:pPr>
      <w:rPr>
        <w:rFonts w:ascii="Courier New" w:hAnsi="Courier New" w:hint="default"/>
      </w:rPr>
    </w:lvl>
    <w:lvl w:ilvl="5" w:tplc="B79A01F4">
      <w:start w:val="1"/>
      <w:numFmt w:val="bullet"/>
      <w:lvlText w:val=""/>
      <w:lvlJc w:val="left"/>
      <w:pPr>
        <w:ind w:left="4320" w:hanging="360"/>
      </w:pPr>
      <w:rPr>
        <w:rFonts w:ascii="Wingdings" w:hAnsi="Wingdings" w:hint="default"/>
      </w:rPr>
    </w:lvl>
    <w:lvl w:ilvl="6" w:tplc="570E4816">
      <w:start w:val="1"/>
      <w:numFmt w:val="bullet"/>
      <w:lvlText w:val=""/>
      <w:lvlJc w:val="left"/>
      <w:pPr>
        <w:ind w:left="5040" w:hanging="360"/>
      </w:pPr>
      <w:rPr>
        <w:rFonts w:ascii="Symbol" w:hAnsi="Symbol" w:hint="default"/>
      </w:rPr>
    </w:lvl>
    <w:lvl w:ilvl="7" w:tplc="F0269BC8">
      <w:start w:val="1"/>
      <w:numFmt w:val="bullet"/>
      <w:lvlText w:val="o"/>
      <w:lvlJc w:val="left"/>
      <w:pPr>
        <w:ind w:left="5760" w:hanging="360"/>
      </w:pPr>
      <w:rPr>
        <w:rFonts w:ascii="Courier New" w:hAnsi="Courier New" w:hint="default"/>
      </w:rPr>
    </w:lvl>
    <w:lvl w:ilvl="8" w:tplc="EDA8EDD8">
      <w:start w:val="1"/>
      <w:numFmt w:val="bullet"/>
      <w:lvlText w:val=""/>
      <w:lvlJc w:val="left"/>
      <w:pPr>
        <w:ind w:left="6480" w:hanging="360"/>
      </w:pPr>
      <w:rPr>
        <w:rFonts w:ascii="Wingdings" w:hAnsi="Wingdings" w:hint="default"/>
      </w:rPr>
    </w:lvl>
  </w:abstractNum>
  <w:abstractNum w:abstractNumId="48" w15:restartNumberingAfterBreak="0">
    <w:nsid w:val="43EE5058"/>
    <w:multiLevelType w:val="hybridMultilevel"/>
    <w:tmpl w:val="1FFEB0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44000A5"/>
    <w:multiLevelType w:val="hybridMultilevel"/>
    <w:tmpl w:val="94ACFBE0"/>
    <w:lvl w:ilvl="0" w:tplc="5AD2AF2E">
      <w:start w:val="1"/>
      <w:numFmt w:val="decimal"/>
      <w:lvlText w:val="%1."/>
      <w:lvlJc w:val="left"/>
      <w:pPr>
        <w:ind w:left="9720" w:hanging="360"/>
      </w:pPr>
      <w:rPr>
        <w:b w:val="0"/>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FC691A"/>
    <w:multiLevelType w:val="hybridMultilevel"/>
    <w:tmpl w:val="C1FA4E20"/>
    <w:styleLink w:val="ImportedStyle2"/>
    <w:lvl w:ilvl="0" w:tplc="B618524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F9D2A3E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C28E46">
      <w:start w:val="1"/>
      <w:numFmt w:val="lowerRoman"/>
      <w:lvlText w:val="%3."/>
      <w:lvlJc w:val="left"/>
      <w:pPr>
        <w:ind w:left="216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3" w:tplc="892E2BE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35C9B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88A8AA4">
      <w:start w:val="1"/>
      <w:numFmt w:val="lowerRoman"/>
      <w:lvlText w:val="%6."/>
      <w:lvlJc w:val="left"/>
      <w:pPr>
        <w:ind w:left="432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6" w:tplc="59FEECF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A0CBA9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6DAB1B8">
      <w:start w:val="1"/>
      <w:numFmt w:val="lowerRoman"/>
      <w:lvlText w:val="%9."/>
      <w:lvlJc w:val="left"/>
      <w:pPr>
        <w:ind w:left="6480" w:hanging="29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81D6CF6"/>
    <w:multiLevelType w:val="hybridMultilevel"/>
    <w:tmpl w:val="AD5425D8"/>
    <w:lvl w:ilvl="0" w:tplc="163093CA">
      <w:start w:val="1"/>
      <w:numFmt w:val="lowerLetter"/>
      <w:lvlText w:val="%1."/>
      <w:lvlJc w:val="left"/>
      <w:pPr>
        <w:ind w:left="720" w:hanging="360"/>
      </w:pPr>
    </w:lvl>
    <w:lvl w:ilvl="1" w:tplc="12D84584">
      <w:start w:val="1"/>
      <w:numFmt w:val="lowerLetter"/>
      <w:lvlText w:val="%2."/>
      <w:lvlJc w:val="left"/>
      <w:pPr>
        <w:ind w:left="1440" w:hanging="360"/>
      </w:pPr>
    </w:lvl>
    <w:lvl w:ilvl="2" w:tplc="4E660CDE">
      <w:start w:val="1"/>
      <w:numFmt w:val="lowerRoman"/>
      <w:lvlText w:val="%3."/>
      <w:lvlJc w:val="right"/>
      <w:pPr>
        <w:ind w:left="2160" w:hanging="180"/>
      </w:pPr>
    </w:lvl>
    <w:lvl w:ilvl="3" w:tplc="0F7C6F2A">
      <w:start w:val="1"/>
      <w:numFmt w:val="decimal"/>
      <w:lvlText w:val="%4."/>
      <w:lvlJc w:val="left"/>
      <w:pPr>
        <w:ind w:left="2880" w:hanging="360"/>
      </w:pPr>
    </w:lvl>
    <w:lvl w:ilvl="4" w:tplc="14346436">
      <w:start w:val="1"/>
      <w:numFmt w:val="lowerLetter"/>
      <w:lvlText w:val="%5."/>
      <w:lvlJc w:val="left"/>
      <w:pPr>
        <w:ind w:left="3600" w:hanging="360"/>
      </w:pPr>
    </w:lvl>
    <w:lvl w:ilvl="5" w:tplc="07824598">
      <w:start w:val="1"/>
      <w:numFmt w:val="lowerRoman"/>
      <w:lvlText w:val="%6."/>
      <w:lvlJc w:val="right"/>
      <w:pPr>
        <w:ind w:left="4320" w:hanging="180"/>
      </w:pPr>
    </w:lvl>
    <w:lvl w:ilvl="6" w:tplc="2DE2935A">
      <w:start w:val="1"/>
      <w:numFmt w:val="decimal"/>
      <w:lvlText w:val="%7."/>
      <w:lvlJc w:val="left"/>
      <w:pPr>
        <w:ind w:left="5040" w:hanging="360"/>
      </w:pPr>
    </w:lvl>
    <w:lvl w:ilvl="7" w:tplc="8B9A33E0">
      <w:start w:val="1"/>
      <w:numFmt w:val="lowerLetter"/>
      <w:lvlText w:val="%8."/>
      <w:lvlJc w:val="left"/>
      <w:pPr>
        <w:ind w:left="5760" w:hanging="360"/>
      </w:pPr>
    </w:lvl>
    <w:lvl w:ilvl="8" w:tplc="A59CFC34">
      <w:start w:val="1"/>
      <w:numFmt w:val="lowerRoman"/>
      <w:lvlText w:val="%9."/>
      <w:lvlJc w:val="right"/>
      <w:pPr>
        <w:ind w:left="6480" w:hanging="180"/>
      </w:pPr>
    </w:lvl>
  </w:abstractNum>
  <w:abstractNum w:abstractNumId="52" w15:restartNumberingAfterBreak="0">
    <w:nsid w:val="483D5F46"/>
    <w:multiLevelType w:val="hybridMultilevel"/>
    <w:tmpl w:val="13DEA05C"/>
    <w:lvl w:ilvl="0" w:tplc="9B66209A">
      <w:start w:val="1"/>
      <w:numFmt w:val="lowerLetter"/>
      <w:lvlText w:val="%1."/>
      <w:lvlJc w:val="left"/>
      <w:pPr>
        <w:ind w:left="720" w:hanging="360"/>
      </w:pPr>
    </w:lvl>
    <w:lvl w:ilvl="1" w:tplc="2D489660">
      <w:start w:val="1"/>
      <w:numFmt w:val="lowerLetter"/>
      <w:lvlText w:val="%2."/>
      <w:lvlJc w:val="left"/>
      <w:pPr>
        <w:ind w:left="1440" w:hanging="360"/>
      </w:pPr>
    </w:lvl>
    <w:lvl w:ilvl="2" w:tplc="8F960858">
      <w:start w:val="1"/>
      <w:numFmt w:val="lowerRoman"/>
      <w:lvlText w:val="%3."/>
      <w:lvlJc w:val="right"/>
      <w:pPr>
        <w:ind w:left="2160" w:hanging="180"/>
      </w:pPr>
    </w:lvl>
    <w:lvl w:ilvl="3" w:tplc="6F1C0C84">
      <w:start w:val="1"/>
      <w:numFmt w:val="decimal"/>
      <w:lvlText w:val="%4."/>
      <w:lvlJc w:val="left"/>
      <w:pPr>
        <w:ind w:left="2880" w:hanging="360"/>
      </w:pPr>
    </w:lvl>
    <w:lvl w:ilvl="4" w:tplc="71263594">
      <w:start w:val="1"/>
      <w:numFmt w:val="lowerLetter"/>
      <w:lvlText w:val="%5."/>
      <w:lvlJc w:val="left"/>
      <w:pPr>
        <w:ind w:left="3600" w:hanging="360"/>
      </w:pPr>
    </w:lvl>
    <w:lvl w:ilvl="5" w:tplc="D41CB03A">
      <w:start w:val="1"/>
      <w:numFmt w:val="lowerRoman"/>
      <w:lvlText w:val="%6."/>
      <w:lvlJc w:val="right"/>
      <w:pPr>
        <w:ind w:left="4320" w:hanging="180"/>
      </w:pPr>
    </w:lvl>
    <w:lvl w:ilvl="6" w:tplc="3656E86C">
      <w:start w:val="1"/>
      <w:numFmt w:val="decimal"/>
      <w:lvlText w:val="%7."/>
      <w:lvlJc w:val="left"/>
      <w:pPr>
        <w:ind w:left="5040" w:hanging="360"/>
      </w:pPr>
    </w:lvl>
    <w:lvl w:ilvl="7" w:tplc="06508A1A">
      <w:start w:val="1"/>
      <w:numFmt w:val="lowerLetter"/>
      <w:lvlText w:val="%8."/>
      <w:lvlJc w:val="left"/>
      <w:pPr>
        <w:ind w:left="5760" w:hanging="360"/>
      </w:pPr>
    </w:lvl>
    <w:lvl w:ilvl="8" w:tplc="908489F6">
      <w:start w:val="1"/>
      <w:numFmt w:val="lowerRoman"/>
      <w:lvlText w:val="%9."/>
      <w:lvlJc w:val="right"/>
      <w:pPr>
        <w:ind w:left="6480" w:hanging="180"/>
      </w:pPr>
    </w:lvl>
  </w:abstractNum>
  <w:abstractNum w:abstractNumId="53" w15:restartNumberingAfterBreak="0">
    <w:nsid w:val="49CBA023"/>
    <w:multiLevelType w:val="hybridMultilevel"/>
    <w:tmpl w:val="C03A24EE"/>
    <w:lvl w:ilvl="0" w:tplc="0A909DFE">
      <w:start w:val="1"/>
      <w:numFmt w:val="lowerLetter"/>
      <w:lvlText w:val="%1."/>
      <w:lvlJc w:val="left"/>
      <w:pPr>
        <w:ind w:left="720" w:hanging="360"/>
      </w:pPr>
    </w:lvl>
    <w:lvl w:ilvl="1" w:tplc="A35A4482">
      <w:start w:val="1"/>
      <w:numFmt w:val="lowerLetter"/>
      <w:lvlText w:val="%2."/>
      <w:lvlJc w:val="left"/>
      <w:pPr>
        <w:ind w:left="1440" w:hanging="360"/>
      </w:pPr>
    </w:lvl>
    <w:lvl w:ilvl="2" w:tplc="933E54D0">
      <w:start w:val="1"/>
      <w:numFmt w:val="lowerRoman"/>
      <w:lvlText w:val="%3."/>
      <w:lvlJc w:val="right"/>
      <w:pPr>
        <w:ind w:left="2160" w:hanging="180"/>
      </w:pPr>
    </w:lvl>
    <w:lvl w:ilvl="3" w:tplc="310278AA">
      <w:start w:val="1"/>
      <w:numFmt w:val="decimal"/>
      <w:lvlText w:val="%4."/>
      <w:lvlJc w:val="left"/>
      <w:pPr>
        <w:ind w:left="2880" w:hanging="360"/>
      </w:pPr>
    </w:lvl>
    <w:lvl w:ilvl="4" w:tplc="B6BCDDB0">
      <w:start w:val="1"/>
      <w:numFmt w:val="lowerLetter"/>
      <w:lvlText w:val="%5."/>
      <w:lvlJc w:val="left"/>
      <w:pPr>
        <w:ind w:left="3600" w:hanging="360"/>
      </w:pPr>
    </w:lvl>
    <w:lvl w:ilvl="5" w:tplc="3A3A4BC0">
      <w:start w:val="1"/>
      <w:numFmt w:val="lowerRoman"/>
      <w:lvlText w:val="%6."/>
      <w:lvlJc w:val="right"/>
      <w:pPr>
        <w:ind w:left="4320" w:hanging="180"/>
      </w:pPr>
    </w:lvl>
    <w:lvl w:ilvl="6" w:tplc="6FA46216">
      <w:start w:val="1"/>
      <w:numFmt w:val="decimal"/>
      <w:lvlText w:val="%7."/>
      <w:lvlJc w:val="left"/>
      <w:pPr>
        <w:ind w:left="5040" w:hanging="360"/>
      </w:pPr>
    </w:lvl>
    <w:lvl w:ilvl="7" w:tplc="85A826E0">
      <w:start w:val="1"/>
      <w:numFmt w:val="lowerLetter"/>
      <w:lvlText w:val="%8."/>
      <w:lvlJc w:val="left"/>
      <w:pPr>
        <w:ind w:left="5760" w:hanging="360"/>
      </w:pPr>
    </w:lvl>
    <w:lvl w:ilvl="8" w:tplc="E2CC2994">
      <w:start w:val="1"/>
      <w:numFmt w:val="lowerRoman"/>
      <w:lvlText w:val="%9."/>
      <w:lvlJc w:val="right"/>
      <w:pPr>
        <w:ind w:left="6480" w:hanging="180"/>
      </w:pPr>
    </w:lvl>
  </w:abstractNum>
  <w:abstractNum w:abstractNumId="54" w15:restartNumberingAfterBreak="0">
    <w:nsid w:val="4CD95619"/>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55" w15:restartNumberingAfterBreak="0">
    <w:nsid w:val="4CE7A21F"/>
    <w:multiLevelType w:val="hybridMultilevel"/>
    <w:tmpl w:val="0996FAE0"/>
    <w:lvl w:ilvl="0" w:tplc="E4F07F4A">
      <w:start w:val="1"/>
      <w:numFmt w:val="lowerLetter"/>
      <w:lvlText w:val="%1."/>
      <w:lvlJc w:val="left"/>
      <w:pPr>
        <w:ind w:left="720" w:hanging="360"/>
      </w:pPr>
    </w:lvl>
    <w:lvl w:ilvl="1" w:tplc="9782CF2E">
      <w:start w:val="1"/>
      <w:numFmt w:val="lowerLetter"/>
      <w:lvlText w:val="%2."/>
      <w:lvlJc w:val="left"/>
      <w:pPr>
        <w:ind w:left="1440" w:hanging="360"/>
      </w:pPr>
    </w:lvl>
    <w:lvl w:ilvl="2" w:tplc="D7CAF998">
      <w:start w:val="1"/>
      <w:numFmt w:val="lowerRoman"/>
      <w:lvlText w:val="%3."/>
      <w:lvlJc w:val="right"/>
      <w:pPr>
        <w:ind w:left="2160" w:hanging="180"/>
      </w:pPr>
    </w:lvl>
    <w:lvl w:ilvl="3" w:tplc="FEB4DD4E">
      <w:start w:val="1"/>
      <w:numFmt w:val="decimal"/>
      <w:lvlText w:val="%4."/>
      <w:lvlJc w:val="left"/>
      <w:pPr>
        <w:ind w:left="2880" w:hanging="360"/>
      </w:pPr>
    </w:lvl>
    <w:lvl w:ilvl="4" w:tplc="7206B380">
      <w:start w:val="1"/>
      <w:numFmt w:val="lowerLetter"/>
      <w:lvlText w:val="%5."/>
      <w:lvlJc w:val="left"/>
      <w:pPr>
        <w:ind w:left="3600" w:hanging="360"/>
      </w:pPr>
    </w:lvl>
    <w:lvl w:ilvl="5" w:tplc="B38A5936">
      <w:start w:val="1"/>
      <w:numFmt w:val="lowerRoman"/>
      <w:lvlText w:val="%6."/>
      <w:lvlJc w:val="right"/>
      <w:pPr>
        <w:ind w:left="4320" w:hanging="180"/>
      </w:pPr>
    </w:lvl>
    <w:lvl w:ilvl="6" w:tplc="065EB67A">
      <w:start w:val="1"/>
      <w:numFmt w:val="decimal"/>
      <w:lvlText w:val="%7."/>
      <w:lvlJc w:val="left"/>
      <w:pPr>
        <w:ind w:left="5040" w:hanging="360"/>
      </w:pPr>
    </w:lvl>
    <w:lvl w:ilvl="7" w:tplc="EDF2E5F0">
      <w:start w:val="1"/>
      <w:numFmt w:val="lowerLetter"/>
      <w:lvlText w:val="%8."/>
      <w:lvlJc w:val="left"/>
      <w:pPr>
        <w:ind w:left="5760" w:hanging="360"/>
      </w:pPr>
    </w:lvl>
    <w:lvl w:ilvl="8" w:tplc="E0CA421E">
      <w:start w:val="1"/>
      <w:numFmt w:val="lowerRoman"/>
      <w:lvlText w:val="%9."/>
      <w:lvlJc w:val="right"/>
      <w:pPr>
        <w:ind w:left="6480" w:hanging="180"/>
      </w:pPr>
    </w:lvl>
  </w:abstractNum>
  <w:abstractNum w:abstractNumId="56" w15:restartNumberingAfterBreak="0">
    <w:nsid w:val="4D31101E"/>
    <w:multiLevelType w:val="hybridMultilevel"/>
    <w:tmpl w:val="7C9C0C04"/>
    <w:lvl w:ilvl="0" w:tplc="51F6A708">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229934"/>
    <w:multiLevelType w:val="hybridMultilevel"/>
    <w:tmpl w:val="67047D3E"/>
    <w:lvl w:ilvl="0" w:tplc="208856B4">
      <w:start w:val="1"/>
      <w:numFmt w:val="lowerLetter"/>
      <w:lvlText w:val="%1."/>
      <w:lvlJc w:val="left"/>
      <w:pPr>
        <w:ind w:left="720" w:hanging="360"/>
      </w:pPr>
    </w:lvl>
    <w:lvl w:ilvl="1" w:tplc="AFEC7AC6">
      <w:start w:val="1"/>
      <w:numFmt w:val="lowerLetter"/>
      <w:lvlText w:val="%2."/>
      <w:lvlJc w:val="left"/>
      <w:pPr>
        <w:ind w:left="1440" w:hanging="360"/>
      </w:pPr>
    </w:lvl>
    <w:lvl w:ilvl="2" w:tplc="61046368">
      <w:start w:val="1"/>
      <w:numFmt w:val="lowerRoman"/>
      <w:lvlText w:val="%3."/>
      <w:lvlJc w:val="right"/>
      <w:pPr>
        <w:ind w:left="2160" w:hanging="180"/>
      </w:pPr>
    </w:lvl>
    <w:lvl w:ilvl="3" w:tplc="196C85EE">
      <w:start w:val="1"/>
      <w:numFmt w:val="decimal"/>
      <w:lvlText w:val="%4."/>
      <w:lvlJc w:val="left"/>
      <w:pPr>
        <w:ind w:left="2880" w:hanging="360"/>
      </w:pPr>
    </w:lvl>
    <w:lvl w:ilvl="4" w:tplc="7E6C5BCE">
      <w:start w:val="1"/>
      <w:numFmt w:val="lowerLetter"/>
      <w:lvlText w:val="%5."/>
      <w:lvlJc w:val="left"/>
      <w:pPr>
        <w:ind w:left="3600" w:hanging="360"/>
      </w:pPr>
    </w:lvl>
    <w:lvl w:ilvl="5" w:tplc="44F84794">
      <w:start w:val="1"/>
      <w:numFmt w:val="lowerRoman"/>
      <w:lvlText w:val="%6."/>
      <w:lvlJc w:val="right"/>
      <w:pPr>
        <w:ind w:left="4320" w:hanging="180"/>
      </w:pPr>
    </w:lvl>
    <w:lvl w:ilvl="6" w:tplc="77A6895C">
      <w:start w:val="1"/>
      <w:numFmt w:val="decimal"/>
      <w:lvlText w:val="%7."/>
      <w:lvlJc w:val="left"/>
      <w:pPr>
        <w:ind w:left="5040" w:hanging="360"/>
      </w:pPr>
    </w:lvl>
    <w:lvl w:ilvl="7" w:tplc="FCA84718">
      <w:start w:val="1"/>
      <w:numFmt w:val="lowerLetter"/>
      <w:lvlText w:val="%8."/>
      <w:lvlJc w:val="left"/>
      <w:pPr>
        <w:ind w:left="5760" w:hanging="360"/>
      </w:pPr>
    </w:lvl>
    <w:lvl w:ilvl="8" w:tplc="DB9ED476">
      <w:start w:val="1"/>
      <w:numFmt w:val="lowerRoman"/>
      <w:lvlText w:val="%9."/>
      <w:lvlJc w:val="right"/>
      <w:pPr>
        <w:ind w:left="6480" w:hanging="180"/>
      </w:pPr>
    </w:lvl>
  </w:abstractNum>
  <w:abstractNum w:abstractNumId="58" w15:restartNumberingAfterBreak="0">
    <w:nsid w:val="4F442BB4"/>
    <w:multiLevelType w:val="hybridMultilevel"/>
    <w:tmpl w:val="A938799C"/>
    <w:styleLink w:val="ImportedStyle1"/>
    <w:lvl w:ilvl="0" w:tplc="B6FED794">
      <w:start w:val="1"/>
      <w:numFmt w:val="decimal"/>
      <w:lvlText w:val="%1."/>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088A478">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0A2039C">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60E139E">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DF96364C">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5B181A72">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CE1A4914">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0F30296C">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5A3AE650">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50B7FA2E"/>
    <w:multiLevelType w:val="hybridMultilevel"/>
    <w:tmpl w:val="1FB84A34"/>
    <w:lvl w:ilvl="0" w:tplc="3490DA3A">
      <w:start w:val="1"/>
      <w:numFmt w:val="lowerLetter"/>
      <w:lvlText w:val="%1."/>
      <w:lvlJc w:val="left"/>
      <w:pPr>
        <w:ind w:left="720" w:hanging="360"/>
      </w:pPr>
    </w:lvl>
    <w:lvl w:ilvl="1" w:tplc="836E898E">
      <w:start w:val="1"/>
      <w:numFmt w:val="lowerLetter"/>
      <w:lvlText w:val="%2."/>
      <w:lvlJc w:val="left"/>
      <w:pPr>
        <w:ind w:left="1440" w:hanging="360"/>
      </w:pPr>
    </w:lvl>
    <w:lvl w:ilvl="2" w:tplc="B7B2C858">
      <w:start w:val="1"/>
      <w:numFmt w:val="lowerRoman"/>
      <w:lvlText w:val="%3."/>
      <w:lvlJc w:val="right"/>
      <w:pPr>
        <w:ind w:left="2160" w:hanging="180"/>
      </w:pPr>
    </w:lvl>
    <w:lvl w:ilvl="3" w:tplc="631A5944">
      <w:start w:val="1"/>
      <w:numFmt w:val="decimal"/>
      <w:lvlText w:val="%4."/>
      <w:lvlJc w:val="left"/>
      <w:pPr>
        <w:ind w:left="2880" w:hanging="360"/>
      </w:pPr>
    </w:lvl>
    <w:lvl w:ilvl="4" w:tplc="1518B472">
      <w:start w:val="1"/>
      <w:numFmt w:val="lowerLetter"/>
      <w:lvlText w:val="%5."/>
      <w:lvlJc w:val="left"/>
      <w:pPr>
        <w:ind w:left="3600" w:hanging="360"/>
      </w:pPr>
    </w:lvl>
    <w:lvl w:ilvl="5" w:tplc="12C0D19C">
      <w:start w:val="1"/>
      <w:numFmt w:val="lowerRoman"/>
      <w:lvlText w:val="%6."/>
      <w:lvlJc w:val="right"/>
      <w:pPr>
        <w:ind w:left="4320" w:hanging="180"/>
      </w:pPr>
    </w:lvl>
    <w:lvl w:ilvl="6" w:tplc="05829308">
      <w:start w:val="1"/>
      <w:numFmt w:val="decimal"/>
      <w:lvlText w:val="%7."/>
      <w:lvlJc w:val="left"/>
      <w:pPr>
        <w:ind w:left="5040" w:hanging="360"/>
      </w:pPr>
    </w:lvl>
    <w:lvl w:ilvl="7" w:tplc="41D63B16">
      <w:start w:val="1"/>
      <w:numFmt w:val="lowerLetter"/>
      <w:lvlText w:val="%8."/>
      <w:lvlJc w:val="left"/>
      <w:pPr>
        <w:ind w:left="5760" w:hanging="360"/>
      </w:pPr>
    </w:lvl>
    <w:lvl w:ilvl="8" w:tplc="350EB274">
      <w:start w:val="1"/>
      <w:numFmt w:val="lowerRoman"/>
      <w:lvlText w:val="%9."/>
      <w:lvlJc w:val="right"/>
      <w:pPr>
        <w:ind w:left="6480" w:hanging="180"/>
      </w:pPr>
    </w:lvl>
  </w:abstractNum>
  <w:abstractNum w:abstractNumId="60" w15:restartNumberingAfterBreak="0">
    <w:nsid w:val="52055B92"/>
    <w:multiLevelType w:val="hybridMultilevel"/>
    <w:tmpl w:val="001C8D08"/>
    <w:lvl w:ilvl="0" w:tplc="0C0A000F">
      <w:start w:val="1"/>
      <w:numFmt w:val="decimal"/>
      <w:lvlText w:val="%1."/>
      <w:lvlJc w:val="left"/>
      <w:pPr>
        <w:ind w:left="63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54FFCC19"/>
    <w:multiLevelType w:val="hybridMultilevel"/>
    <w:tmpl w:val="8CECD114"/>
    <w:lvl w:ilvl="0" w:tplc="88B2BBB4">
      <w:start w:val="1"/>
      <w:numFmt w:val="lowerLetter"/>
      <w:lvlText w:val="%1."/>
      <w:lvlJc w:val="left"/>
      <w:pPr>
        <w:ind w:left="720" w:hanging="360"/>
      </w:pPr>
    </w:lvl>
    <w:lvl w:ilvl="1" w:tplc="56EC09D8">
      <w:start w:val="1"/>
      <w:numFmt w:val="lowerLetter"/>
      <w:lvlText w:val="%2."/>
      <w:lvlJc w:val="left"/>
      <w:pPr>
        <w:ind w:left="1440" w:hanging="360"/>
      </w:pPr>
    </w:lvl>
    <w:lvl w:ilvl="2" w:tplc="256CF2CC">
      <w:start w:val="1"/>
      <w:numFmt w:val="lowerRoman"/>
      <w:lvlText w:val="%3."/>
      <w:lvlJc w:val="right"/>
      <w:pPr>
        <w:ind w:left="2160" w:hanging="180"/>
      </w:pPr>
    </w:lvl>
    <w:lvl w:ilvl="3" w:tplc="27E4DBAE">
      <w:start w:val="1"/>
      <w:numFmt w:val="decimal"/>
      <w:lvlText w:val="%4."/>
      <w:lvlJc w:val="left"/>
      <w:pPr>
        <w:ind w:left="2880" w:hanging="360"/>
      </w:pPr>
    </w:lvl>
    <w:lvl w:ilvl="4" w:tplc="30A82C86">
      <w:start w:val="1"/>
      <w:numFmt w:val="lowerLetter"/>
      <w:lvlText w:val="%5."/>
      <w:lvlJc w:val="left"/>
      <w:pPr>
        <w:ind w:left="3600" w:hanging="360"/>
      </w:pPr>
    </w:lvl>
    <w:lvl w:ilvl="5" w:tplc="A0BA6F4A">
      <w:start w:val="1"/>
      <w:numFmt w:val="lowerRoman"/>
      <w:lvlText w:val="%6."/>
      <w:lvlJc w:val="right"/>
      <w:pPr>
        <w:ind w:left="4320" w:hanging="180"/>
      </w:pPr>
    </w:lvl>
    <w:lvl w:ilvl="6" w:tplc="CAC20580">
      <w:start w:val="1"/>
      <w:numFmt w:val="decimal"/>
      <w:lvlText w:val="%7."/>
      <w:lvlJc w:val="left"/>
      <w:pPr>
        <w:ind w:left="5040" w:hanging="360"/>
      </w:pPr>
    </w:lvl>
    <w:lvl w:ilvl="7" w:tplc="3EAA7158">
      <w:start w:val="1"/>
      <w:numFmt w:val="lowerLetter"/>
      <w:lvlText w:val="%8."/>
      <w:lvlJc w:val="left"/>
      <w:pPr>
        <w:ind w:left="5760" w:hanging="360"/>
      </w:pPr>
    </w:lvl>
    <w:lvl w:ilvl="8" w:tplc="D2964D1C">
      <w:start w:val="1"/>
      <w:numFmt w:val="lowerRoman"/>
      <w:lvlText w:val="%9."/>
      <w:lvlJc w:val="right"/>
      <w:pPr>
        <w:ind w:left="6480" w:hanging="180"/>
      </w:pPr>
    </w:lvl>
  </w:abstractNum>
  <w:abstractNum w:abstractNumId="62" w15:restartNumberingAfterBreak="0">
    <w:nsid w:val="567B7E2E"/>
    <w:multiLevelType w:val="hybridMultilevel"/>
    <w:tmpl w:val="DBA83E6E"/>
    <w:lvl w:ilvl="0" w:tplc="5D3C5976">
      <w:start w:val="1"/>
      <w:numFmt w:val="lowerLetter"/>
      <w:lvlText w:val="%1."/>
      <w:lvlJc w:val="left"/>
      <w:pPr>
        <w:ind w:left="720" w:hanging="360"/>
      </w:pPr>
    </w:lvl>
    <w:lvl w:ilvl="1" w:tplc="9976ECD2">
      <w:start w:val="1"/>
      <w:numFmt w:val="lowerLetter"/>
      <w:lvlText w:val="%2."/>
      <w:lvlJc w:val="left"/>
      <w:pPr>
        <w:ind w:left="1440" w:hanging="360"/>
      </w:pPr>
    </w:lvl>
    <w:lvl w:ilvl="2" w:tplc="B260B6EA">
      <w:start w:val="1"/>
      <w:numFmt w:val="lowerRoman"/>
      <w:lvlText w:val="%3."/>
      <w:lvlJc w:val="right"/>
      <w:pPr>
        <w:ind w:left="2160" w:hanging="180"/>
      </w:pPr>
    </w:lvl>
    <w:lvl w:ilvl="3" w:tplc="BFF46704">
      <w:start w:val="1"/>
      <w:numFmt w:val="decimal"/>
      <w:lvlText w:val="%4."/>
      <w:lvlJc w:val="left"/>
      <w:pPr>
        <w:ind w:left="2880" w:hanging="360"/>
      </w:pPr>
    </w:lvl>
    <w:lvl w:ilvl="4" w:tplc="863049B8">
      <w:start w:val="1"/>
      <w:numFmt w:val="lowerLetter"/>
      <w:lvlText w:val="%5."/>
      <w:lvlJc w:val="left"/>
      <w:pPr>
        <w:ind w:left="3600" w:hanging="360"/>
      </w:pPr>
    </w:lvl>
    <w:lvl w:ilvl="5" w:tplc="70B8E4F2">
      <w:start w:val="1"/>
      <w:numFmt w:val="lowerRoman"/>
      <w:lvlText w:val="%6."/>
      <w:lvlJc w:val="right"/>
      <w:pPr>
        <w:ind w:left="4320" w:hanging="180"/>
      </w:pPr>
    </w:lvl>
    <w:lvl w:ilvl="6" w:tplc="934C588E">
      <w:start w:val="1"/>
      <w:numFmt w:val="decimal"/>
      <w:lvlText w:val="%7."/>
      <w:lvlJc w:val="left"/>
      <w:pPr>
        <w:ind w:left="5040" w:hanging="360"/>
      </w:pPr>
    </w:lvl>
    <w:lvl w:ilvl="7" w:tplc="933E2958">
      <w:start w:val="1"/>
      <w:numFmt w:val="lowerLetter"/>
      <w:lvlText w:val="%8."/>
      <w:lvlJc w:val="left"/>
      <w:pPr>
        <w:ind w:left="5760" w:hanging="360"/>
      </w:pPr>
    </w:lvl>
    <w:lvl w:ilvl="8" w:tplc="638EAD68">
      <w:start w:val="1"/>
      <w:numFmt w:val="lowerRoman"/>
      <w:lvlText w:val="%9."/>
      <w:lvlJc w:val="right"/>
      <w:pPr>
        <w:ind w:left="6480" w:hanging="180"/>
      </w:pPr>
    </w:lvl>
  </w:abstractNum>
  <w:abstractNum w:abstractNumId="63" w15:restartNumberingAfterBreak="0">
    <w:nsid w:val="59F83639"/>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64" w15:restartNumberingAfterBreak="0">
    <w:nsid w:val="5B5351CA"/>
    <w:multiLevelType w:val="hybridMultilevel"/>
    <w:tmpl w:val="EAB85A58"/>
    <w:lvl w:ilvl="0" w:tplc="3522B140">
      <w:start w:val="1"/>
      <w:numFmt w:val="lowerLetter"/>
      <w:lvlText w:val="%1."/>
      <w:lvlJc w:val="left"/>
      <w:pPr>
        <w:ind w:left="720" w:hanging="360"/>
      </w:pPr>
    </w:lvl>
    <w:lvl w:ilvl="1" w:tplc="7292AEFA">
      <w:start w:val="1"/>
      <w:numFmt w:val="lowerLetter"/>
      <w:lvlText w:val="%2."/>
      <w:lvlJc w:val="left"/>
      <w:pPr>
        <w:ind w:left="1440" w:hanging="360"/>
      </w:pPr>
    </w:lvl>
    <w:lvl w:ilvl="2" w:tplc="4DC04E9E">
      <w:start w:val="1"/>
      <w:numFmt w:val="lowerRoman"/>
      <w:lvlText w:val="%3."/>
      <w:lvlJc w:val="right"/>
      <w:pPr>
        <w:ind w:left="2160" w:hanging="180"/>
      </w:pPr>
    </w:lvl>
    <w:lvl w:ilvl="3" w:tplc="79726F8E">
      <w:start w:val="1"/>
      <w:numFmt w:val="decimal"/>
      <w:lvlText w:val="%4."/>
      <w:lvlJc w:val="left"/>
      <w:pPr>
        <w:ind w:left="2880" w:hanging="360"/>
      </w:pPr>
    </w:lvl>
    <w:lvl w:ilvl="4" w:tplc="F992F3BA">
      <w:start w:val="1"/>
      <w:numFmt w:val="lowerLetter"/>
      <w:lvlText w:val="%5."/>
      <w:lvlJc w:val="left"/>
      <w:pPr>
        <w:ind w:left="3600" w:hanging="360"/>
      </w:pPr>
    </w:lvl>
    <w:lvl w:ilvl="5" w:tplc="B4D274DC">
      <w:start w:val="1"/>
      <w:numFmt w:val="lowerRoman"/>
      <w:lvlText w:val="%6."/>
      <w:lvlJc w:val="right"/>
      <w:pPr>
        <w:ind w:left="4320" w:hanging="180"/>
      </w:pPr>
    </w:lvl>
    <w:lvl w:ilvl="6" w:tplc="77D49B2E">
      <w:start w:val="1"/>
      <w:numFmt w:val="decimal"/>
      <w:lvlText w:val="%7."/>
      <w:lvlJc w:val="left"/>
      <w:pPr>
        <w:ind w:left="5040" w:hanging="360"/>
      </w:pPr>
    </w:lvl>
    <w:lvl w:ilvl="7" w:tplc="ACC814B2">
      <w:start w:val="1"/>
      <w:numFmt w:val="lowerLetter"/>
      <w:lvlText w:val="%8."/>
      <w:lvlJc w:val="left"/>
      <w:pPr>
        <w:ind w:left="5760" w:hanging="360"/>
      </w:pPr>
    </w:lvl>
    <w:lvl w:ilvl="8" w:tplc="435EEDE2">
      <w:start w:val="1"/>
      <w:numFmt w:val="lowerRoman"/>
      <w:lvlText w:val="%9."/>
      <w:lvlJc w:val="right"/>
      <w:pPr>
        <w:ind w:left="6480" w:hanging="180"/>
      </w:pPr>
    </w:lvl>
  </w:abstractNum>
  <w:abstractNum w:abstractNumId="65" w15:restartNumberingAfterBreak="0">
    <w:nsid w:val="5B550271"/>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66" w15:restartNumberingAfterBreak="0">
    <w:nsid w:val="5B98325C"/>
    <w:multiLevelType w:val="hybridMultilevel"/>
    <w:tmpl w:val="63C019FC"/>
    <w:styleLink w:val="ImportedStyle3"/>
    <w:lvl w:ilvl="0" w:tplc="2E40C7BA">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8AED8">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92CD3A">
      <w:start w:val="1"/>
      <w:numFmt w:val="lowerRoman"/>
      <w:lvlText w:val="%3."/>
      <w:lvlJc w:val="left"/>
      <w:pPr>
        <w:ind w:left="288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8C6B31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E12A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9646BC">
      <w:start w:val="1"/>
      <w:numFmt w:val="lowerRoman"/>
      <w:lvlText w:val="%6."/>
      <w:lvlJc w:val="left"/>
      <w:pPr>
        <w:ind w:left="504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EF96D110">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B81FA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2CB0E6">
      <w:start w:val="1"/>
      <w:numFmt w:val="lowerRoman"/>
      <w:lvlText w:val="%9."/>
      <w:lvlJc w:val="left"/>
      <w:pPr>
        <w:ind w:left="720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5C916A0D"/>
    <w:multiLevelType w:val="hybridMultilevel"/>
    <w:tmpl w:val="05447BAC"/>
    <w:lvl w:ilvl="0" w:tplc="FCC49962">
      <w:start w:val="1"/>
      <w:numFmt w:val="decimal"/>
      <w:pStyle w:val="parrafos"/>
      <w:lvlText w:val="%1."/>
      <w:lvlJc w:val="left"/>
      <w:pPr>
        <w:ind w:left="1080" w:hanging="360"/>
      </w:pPr>
      <w:rPr>
        <w:rFonts w:hint="default"/>
        <w:b w:val="0"/>
        <w:i w:val="0"/>
        <w:iCs/>
        <w:color w:val="FF000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5CC841AD"/>
    <w:multiLevelType w:val="hybridMultilevel"/>
    <w:tmpl w:val="AEC2B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C217EA"/>
    <w:multiLevelType w:val="hybridMultilevel"/>
    <w:tmpl w:val="35566F54"/>
    <w:lvl w:ilvl="0" w:tplc="C074C096">
      <w:start w:val="1"/>
      <w:numFmt w:val="upperLetter"/>
      <w:lvlText w:val="%1."/>
      <w:lvlJc w:val="left"/>
      <w:pPr>
        <w:ind w:left="1440" w:hanging="360"/>
      </w:pPr>
      <w:rPr>
        <w:rFonts w:ascii="Cambria" w:eastAsia="Cambria" w:hAnsi="Cambria" w:hint="default"/>
        <w:b/>
        <w:bCs/>
        <w:spacing w:val="1"/>
        <w:w w:val="99"/>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63591331"/>
    <w:multiLevelType w:val="hybridMultilevel"/>
    <w:tmpl w:val="E09430CC"/>
    <w:lvl w:ilvl="0" w:tplc="0409000F">
      <w:start w:val="1"/>
      <w:numFmt w:val="decimal"/>
      <w:lvlText w:val="%1."/>
      <w:lvlJc w:val="left"/>
      <w:pPr>
        <w:ind w:left="720" w:hanging="360"/>
      </w:pPr>
      <w:rPr>
        <w:rFonts w:hint="default"/>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46367A2"/>
    <w:multiLevelType w:val="hybridMultilevel"/>
    <w:tmpl w:val="C38A2E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66108AF0"/>
    <w:multiLevelType w:val="hybridMultilevel"/>
    <w:tmpl w:val="ADB44C02"/>
    <w:lvl w:ilvl="0" w:tplc="55FC2CC6">
      <w:start w:val="1"/>
      <w:numFmt w:val="lowerLetter"/>
      <w:lvlText w:val="%1."/>
      <w:lvlJc w:val="left"/>
      <w:pPr>
        <w:ind w:left="720" w:hanging="360"/>
      </w:pPr>
    </w:lvl>
    <w:lvl w:ilvl="1" w:tplc="0D18A5D8">
      <w:start w:val="1"/>
      <w:numFmt w:val="lowerLetter"/>
      <w:lvlText w:val="%2."/>
      <w:lvlJc w:val="left"/>
      <w:pPr>
        <w:ind w:left="1440" w:hanging="360"/>
      </w:pPr>
    </w:lvl>
    <w:lvl w:ilvl="2" w:tplc="B8B48ADE">
      <w:start w:val="1"/>
      <w:numFmt w:val="lowerRoman"/>
      <w:lvlText w:val="%3."/>
      <w:lvlJc w:val="right"/>
      <w:pPr>
        <w:ind w:left="2160" w:hanging="180"/>
      </w:pPr>
    </w:lvl>
    <w:lvl w:ilvl="3" w:tplc="E1425C22">
      <w:start w:val="1"/>
      <w:numFmt w:val="decimal"/>
      <w:lvlText w:val="%4."/>
      <w:lvlJc w:val="left"/>
      <w:pPr>
        <w:ind w:left="2880" w:hanging="360"/>
      </w:pPr>
    </w:lvl>
    <w:lvl w:ilvl="4" w:tplc="068A2384">
      <w:start w:val="1"/>
      <w:numFmt w:val="lowerLetter"/>
      <w:lvlText w:val="%5."/>
      <w:lvlJc w:val="left"/>
      <w:pPr>
        <w:ind w:left="3600" w:hanging="360"/>
      </w:pPr>
    </w:lvl>
    <w:lvl w:ilvl="5" w:tplc="0234FC40">
      <w:start w:val="1"/>
      <w:numFmt w:val="lowerRoman"/>
      <w:lvlText w:val="%6."/>
      <w:lvlJc w:val="right"/>
      <w:pPr>
        <w:ind w:left="4320" w:hanging="180"/>
      </w:pPr>
    </w:lvl>
    <w:lvl w:ilvl="6" w:tplc="A870479A">
      <w:start w:val="1"/>
      <w:numFmt w:val="decimal"/>
      <w:lvlText w:val="%7."/>
      <w:lvlJc w:val="left"/>
      <w:pPr>
        <w:ind w:left="5040" w:hanging="360"/>
      </w:pPr>
    </w:lvl>
    <w:lvl w:ilvl="7" w:tplc="5448D75A">
      <w:start w:val="1"/>
      <w:numFmt w:val="lowerLetter"/>
      <w:lvlText w:val="%8."/>
      <w:lvlJc w:val="left"/>
      <w:pPr>
        <w:ind w:left="5760" w:hanging="360"/>
      </w:pPr>
    </w:lvl>
    <w:lvl w:ilvl="8" w:tplc="13CCF090">
      <w:start w:val="1"/>
      <w:numFmt w:val="lowerRoman"/>
      <w:lvlText w:val="%9."/>
      <w:lvlJc w:val="right"/>
      <w:pPr>
        <w:ind w:left="6480" w:hanging="180"/>
      </w:pPr>
    </w:lvl>
  </w:abstractNum>
  <w:abstractNum w:abstractNumId="73" w15:restartNumberingAfterBreak="0">
    <w:nsid w:val="690248D3"/>
    <w:multiLevelType w:val="hybridMultilevel"/>
    <w:tmpl w:val="78E0BF90"/>
    <w:lvl w:ilvl="0" w:tplc="AFDC06FC">
      <w:start w:val="1"/>
      <w:numFmt w:val="decimal"/>
      <w:lvlText w:val="%1."/>
      <w:lvlJc w:val="left"/>
      <w:pPr>
        <w:tabs>
          <w:tab w:val="num" w:pos="720"/>
        </w:tabs>
        <w:ind w:left="0" w:firstLine="720"/>
      </w:pPr>
      <w:rPr>
        <w:rFonts w:cs="Times New Roman" w:hint="default"/>
        <w:b w:val="0"/>
        <w:i w:val="0"/>
        <w:sz w:val="18"/>
        <w:szCs w:val="18"/>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Cambria" w:eastAsia="Calibri" w:hAnsi="Cambria"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BD066F5"/>
    <w:multiLevelType w:val="hybridMultilevel"/>
    <w:tmpl w:val="1DBAD10A"/>
    <w:lvl w:ilvl="0" w:tplc="93A0E2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ED111DF"/>
    <w:multiLevelType w:val="hybridMultilevel"/>
    <w:tmpl w:val="AA82D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6" w15:restartNumberingAfterBreak="0">
    <w:nsid w:val="702A4FD7"/>
    <w:multiLevelType w:val="hybridMultilevel"/>
    <w:tmpl w:val="8494AA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1A04E52"/>
    <w:multiLevelType w:val="hybridMultilevel"/>
    <w:tmpl w:val="ECCE51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73281F06"/>
    <w:multiLevelType w:val="hybridMultilevel"/>
    <w:tmpl w:val="C38A2E3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9" w15:restartNumberingAfterBreak="0">
    <w:nsid w:val="7446D6A6"/>
    <w:multiLevelType w:val="hybridMultilevel"/>
    <w:tmpl w:val="61FEE98C"/>
    <w:lvl w:ilvl="0" w:tplc="57EC5E98">
      <w:start w:val="1"/>
      <w:numFmt w:val="lowerLetter"/>
      <w:lvlText w:val="%1."/>
      <w:lvlJc w:val="left"/>
      <w:pPr>
        <w:ind w:left="720" w:hanging="360"/>
      </w:pPr>
    </w:lvl>
    <w:lvl w:ilvl="1" w:tplc="5B78A784">
      <w:start w:val="1"/>
      <w:numFmt w:val="lowerLetter"/>
      <w:lvlText w:val="%2."/>
      <w:lvlJc w:val="left"/>
      <w:pPr>
        <w:ind w:left="1440" w:hanging="360"/>
      </w:pPr>
    </w:lvl>
    <w:lvl w:ilvl="2" w:tplc="04D82CE8">
      <w:start w:val="1"/>
      <w:numFmt w:val="lowerRoman"/>
      <w:lvlText w:val="%3."/>
      <w:lvlJc w:val="right"/>
      <w:pPr>
        <w:ind w:left="2160" w:hanging="180"/>
      </w:pPr>
    </w:lvl>
    <w:lvl w:ilvl="3" w:tplc="19041C86">
      <w:start w:val="1"/>
      <w:numFmt w:val="decimal"/>
      <w:lvlText w:val="%4."/>
      <w:lvlJc w:val="left"/>
      <w:pPr>
        <w:ind w:left="2880" w:hanging="360"/>
      </w:pPr>
    </w:lvl>
    <w:lvl w:ilvl="4" w:tplc="888850AE">
      <w:start w:val="1"/>
      <w:numFmt w:val="lowerLetter"/>
      <w:lvlText w:val="%5."/>
      <w:lvlJc w:val="left"/>
      <w:pPr>
        <w:ind w:left="3600" w:hanging="360"/>
      </w:pPr>
    </w:lvl>
    <w:lvl w:ilvl="5" w:tplc="7248971E">
      <w:start w:val="1"/>
      <w:numFmt w:val="lowerRoman"/>
      <w:lvlText w:val="%6."/>
      <w:lvlJc w:val="right"/>
      <w:pPr>
        <w:ind w:left="4320" w:hanging="180"/>
      </w:pPr>
    </w:lvl>
    <w:lvl w:ilvl="6" w:tplc="E2488B28">
      <w:start w:val="1"/>
      <w:numFmt w:val="decimal"/>
      <w:lvlText w:val="%7."/>
      <w:lvlJc w:val="left"/>
      <w:pPr>
        <w:ind w:left="5040" w:hanging="360"/>
      </w:pPr>
    </w:lvl>
    <w:lvl w:ilvl="7" w:tplc="1E4CCAF0">
      <w:start w:val="1"/>
      <w:numFmt w:val="lowerLetter"/>
      <w:lvlText w:val="%8."/>
      <w:lvlJc w:val="left"/>
      <w:pPr>
        <w:ind w:left="5760" w:hanging="360"/>
      </w:pPr>
    </w:lvl>
    <w:lvl w:ilvl="8" w:tplc="D4D450CA">
      <w:start w:val="1"/>
      <w:numFmt w:val="lowerRoman"/>
      <w:lvlText w:val="%9."/>
      <w:lvlJc w:val="right"/>
      <w:pPr>
        <w:ind w:left="6480" w:hanging="180"/>
      </w:pPr>
    </w:lvl>
  </w:abstractNum>
  <w:abstractNum w:abstractNumId="80" w15:restartNumberingAfterBreak="0">
    <w:nsid w:val="7614300F"/>
    <w:multiLevelType w:val="hybridMultilevel"/>
    <w:tmpl w:val="B6323024"/>
    <w:lvl w:ilvl="0" w:tplc="F022DA20">
      <w:start w:val="1"/>
      <w:numFmt w:val="decimal"/>
      <w:pStyle w:val="paragraphs"/>
      <w:lvlText w:val="%1."/>
      <w:lvlJc w:val="left"/>
      <w:pPr>
        <w:ind w:left="1260" w:hanging="360"/>
      </w:pPr>
      <w:rPr>
        <w:rFonts w:hint="default"/>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AAF5642"/>
    <w:multiLevelType w:val="hybridMultilevel"/>
    <w:tmpl w:val="D778977A"/>
    <w:lvl w:ilvl="0" w:tplc="04090001">
      <w:start w:val="1"/>
      <w:numFmt w:val="bullet"/>
      <w:lvlText w:val=""/>
      <w:lvlJc w:val="left"/>
      <w:pPr>
        <w:ind w:left="8010" w:hanging="360"/>
      </w:pPr>
      <w:rPr>
        <w:rFonts w:ascii="Symbol" w:hAnsi="Symbol" w:hint="default"/>
      </w:rPr>
    </w:lvl>
    <w:lvl w:ilvl="1" w:tplc="04090003" w:tentative="1">
      <w:start w:val="1"/>
      <w:numFmt w:val="bullet"/>
      <w:lvlText w:val="o"/>
      <w:lvlJc w:val="left"/>
      <w:pPr>
        <w:ind w:left="8730" w:hanging="360"/>
      </w:pPr>
      <w:rPr>
        <w:rFonts w:ascii="Courier New" w:hAnsi="Courier New" w:cs="Courier New" w:hint="default"/>
      </w:rPr>
    </w:lvl>
    <w:lvl w:ilvl="2" w:tplc="04090005" w:tentative="1">
      <w:start w:val="1"/>
      <w:numFmt w:val="bullet"/>
      <w:lvlText w:val=""/>
      <w:lvlJc w:val="left"/>
      <w:pPr>
        <w:ind w:left="9450" w:hanging="360"/>
      </w:pPr>
      <w:rPr>
        <w:rFonts w:ascii="Wingdings" w:hAnsi="Wingdings" w:hint="default"/>
      </w:rPr>
    </w:lvl>
    <w:lvl w:ilvl="3" w:tplc="04090001" w:tentative="1">
      <w:start w:val="1"/>
      <w:numFmt w:val="bullet"/>
      <w:lvlText w:val=""/>
      <w:lvlJc w:val="left"/>
      <w:pPr>
        <w:ind w:left="10170" w:hanging="360"/>
      </w:pPr>
      <w:rPr>
        <w:rFonts w:ascii="Symbol" w:hAnsi="Symbol" w:hint="default"/>
      </w:rPr>
    </w:lvl>
    <w:lvl w:ilvl="4" w:tplc="04090003" w:tentative="1">
      <w:start w:val="1"/>
      <w:numFmt w:val="bullet"/>
      <w:lvlText w:val="o"/>
      <w:lvlJc w:val="left"/>
      <w:pPr>
        <w:ind w:left="10890" w:hanging="360"/>
      </w:pPr>
      <w:rPr>
        <w:rFonts w:ascii="Courier New" w:hAnsi="Courier New" w:cs="Courier New" w:hint="default"/>
      </w:rPr>
    </w:lvl>
    <w:lvl w:ilvl="5" w:tplc="04090005" w:tentative="1">
      <w:start w:val="1"/>
      <w:numFmt w:val="bullet"/>
      <w:lvlText w:val=""/>
      <w:lvlJc w:val="left"/>
      <w:pPr>
        <w:ind w:left="11610" w:hanging="360"/>
      </w:pPr>
      <w:rPr>
        <w:rFonts w:ascii="Wingdings" w:hAnsi="Wingdings" w:hint="default"/>
      </w:rPr>
    </w:lvl>
    <w:lvl w:ilvl="6" w:tplc="04090001" w:tentative="1">
      <w:start w:val="1"/>
      <w:numFmt w:val="bullet"/>
      <w:lvlText w:val=""/>
      <w:lvlJc w:val="left"/>
      <w:pPr>
        <w:ind w:left="12330" w:hanging="360"/>
      </w:pPr>
      <w:rPr>
        <w:rFonts w:ascii="Symbol" w:hAnsi="Symbol" w:hint="default"/>
      </w:rPr>
    </w:lvl>
    <w:lvl w:ilvl="7" w:tplc="04090003" w:tentative="1">
      <w:start w:val="1"/>
      <w:numFmt w:val="bullet"/>
      <w:lvlText w:val="o"/>
      <w:lvlJc w:val="left"/>
      <w:pPr>
        <w:ind w:left="13050" w:hanging="360"/>
      </w:pPr>
      <w:rPr>
        <w:rFonts w:ascii="Courier New" w:hAnsi="Courier New" w:cs="Courier New" w:hint="default"/>
      </w:rPr>
    </w:lvl>
    <w:lvl w:ilvl="8" w:tplc="04090005" w:tentative="1">
      <w:start w:val="1"/>
      <w:numFmt w:val="bullet"/>
      <w:lvlText w:val=""/>
      <w:lvlJc w:val="left"/>
      <w:pPr>
        <w:ind w:left="13770" w:hanging="360"/>
      </w:pPr>
      <w:rPr>
        <w:rFonts w:ascii="Wingdings" w:hAnsi="Wingdings" w:hint="default"/>
      </w:rPr>
    </w:lvl>
  </w:abstractNum>
  <w:abstractNum w:abstractNumId="82" w15:restartNumberingAfterBreak="0">
    <w:nsid w:val="7B23433C"/>
    <w:multiLevelType w:val="hybridMultilevel"/>
    <w:tmpl w:val="FFFFFFFF"/>
    <w:lvl w:ilvl="0" w:tplc="D7CAE1D4">
      <w:start w:val="1"/>
      <w:numFmt w:val="lowerLetter"/>
      <w:lvlText w:val="%1."/>
      <w:lvlJc w:val="left"/>
      <w:pPr>
        <w:ind w:left="144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83" w15:restartNumberingAfterBreak="0">
    <w:nsid w:val="7E560E45"/>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84" w15:restartNumberingAfterBreak="0">
    <w:nsid w:val="7E891F8D"/>
    <w:multiLevelType w:val="multilevel"/>
    <w:tmpl w:val="BCEEAF12"/>
    <w:styleLink w:val="CurrentList1"/>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336417745">
    <w:abstractNumId w:val="39"/>
  </w:num>
  <w:num w:numId="2" w16cid:durableId="1602371947">
    <w:abstractNumId w:val="80"/>
  </w:num>
  <w:num w:numId="3" w16cid:durableId="104690398">
    <w:abstractNumId w:val="67"/>
  </w:num>
  <w:num w:numId="4" w16cid:durableId="1840193818">
    <w:abstractNumId w:val="47"/>
  </w:num>
  <w:num w:numId="5" w16cid:durableId="663318911">
    <w:abstractNumId w:val="58"/>
  </w:num>
  <w:num w:numId="6" w16cid:durableId="535045442">
    <w:abstractNumId w:val="50"/>
  </w:num>
  <w:num w:numId="7" w16cid:durableId="272515422">
    <w:abstractNumId w:val="66"/>
  </w:num>
  <w:num w:numId="8" w16cid:durableId="1906452482">
    <w:abstractNumId w:val="76"/>
  </w:num>
  <w:num w:numId="9" w16cid:durableId="2142381821">
    <w:abstractNumId w:val="24"/>
  </w:num>
  <w:num w:numId="10" w16cid:durableId="2016178105">
    <w:abstractNumId w:val="4"/>
  </w:num>
  <w:num w:numId="11" w16cid:durableId="1386367038">
    <w:abstractNumId w:val="9"/>
  </w:num>
  <w:num w:numId="12" w16cid:durableId="1119687388">
    <w:abstractNumId w:val="27"/>
  </w:num>
  <w:num w:numId="13" w16cid:durableId="808016962">
    <w:abstractNumId w:val="35"/>
  </w:num>
  <w:num w:numId="14" w16cid:durableId="230626412">
    <w:abstractNumId w:val="59"/>
  </w:num>
  <w:num w:numId="15" w16cid:durableId="630594075">
    <w:abstractNumId w:val="14"/>
  </w:num>
  <w:num w:numId="16" w16cid:durableId="1089930766">
    <w:abstractNumId w:val="37"/>
  </w:num>
  <w:num w:numId="17" w16cid:durableId="2082092109">
    <w:abstractNumId w:val="44"/>
  </w:num>
  <w:num w:numId="18" w16cid:durableId="477109520">
    <w:abstractNumId w:val="62"/>
  </w:num>
  <w:num w:numId="19" w16cid:durableId="691028755">
    <w:abstractNumId w:val="41"/>
  </w:num>
  <w:num w:numId="20" w16cid:durableId="1782066563">
    <w:abstractNumId w:val="55"/>
  </w:num>
  <w:num w:numId="21" w16cid:durableId="1174805531">
    <w:abstractNumId w:val="64"/>
  </w:num>
  <w:num w:numId="22" w16cid:durableId="1818643065">
    <w:abstractNumId w:val="18"/>
  </w:num>
  <w:num w:numId="23" w16cid:durableId="1259828986">
    <w:abstractNumId w:val="52"/>
  </w:num>
  <w:num w:numId="24" w16cid:durableId="592008911">
    <w:abstractNumId w:val="19"/>
  </w:num>
  <w:num w:numId="25" w16cid:durableId="336154073">
    <w:abstractNumId w:val="72"/>
  </w:num>
  <w:num w:numId="26" w16cid:durableId="925725360">
    <w:abstractNumId w:val="79"/>
  </w:num>
  <w:num w:numId="27" w16cid:durableId="371460355">
    <w:abstractNumId w:val="51"/>
  </w:num>
  <w:num w:numId="28" w16cid:durableId="1909074745">
    <w:abstractNumId w:val="26"/>
  </w:num>
  <w:num w:numId="29" w16cid:durableId="1989240492">
    <w:abstractNumId w:val="21"/>
  </w:num>
  <w:num w:numId="30" w16cid:durableId="627587614">
    <w:abstractNumId w:val="61"/>
  </w:num>
  <w:num w:numId="31" w16cid:durableId="1585994251">
    <w:abstractNumId w:val="53"/>
  </w:num>
  <w:num w:numId="32" w16cid:durableId="393160999">
    <w:abstractNumId w:val="40"/>
  </w:num>
  <w:num w:numId="33" w16cid:durableId="1937979342">
    <w:abstractNumId w:val="8"/>
  </w:num>
  <w:num w:numId="34" w16cid:durableId="448475993">
    <w:abstractNumId w:val="12"/>
  </w:num>
  <w:num w:numId="35" w16cid:durableId="331766141">
    <w:abstractNumId w:val="15"/>
  </w:num>
  <w:num w:numId="36" w16cid:durableId="1196499057">
    <w:abstractNumId w:val="57"/>
  </w:num>
  <w:num w:numId="37" w16cid:durableId="1354378273">
    <w:abstractNumId w:val="31"/>
  </w:num>
  <w:num w:numId="38" w16cid:durableId="610862295">
    <w:abstractNumId w:val="32"/>
  </w:num>
  <w:num w:numId="39" w16cid:durableId="1457528583">
    <w:abstractNumId w:val="42"/>
  </w:num>
  <w:num w:numId="40" w16cid:durableId="21251116">
    <w:abstractNumId w:val="13"/>
  </w:num>
  <w:num w:numId="41" w16cid:durableId="354966826">
    <w:abstractNumId w:val="48"/>
  </w:num>
  <w:num w:numId="42" w16cid:durableId="1775055322">
    <w:abstractNumId w:val="83"/>
  </w:num>
  <w:num w:numId="43" w16cid:durableId="1194655811">
    <w:abstractNumId w:val="1"/>
  </w:num>
  <w:num w:numId="44" w16cid:durableId="1081290048">
    <w:abstractNumId w:val="10"/>
  </w:num>
  <w:num w:numId="45" w16cid:durableId="517502371">
    <w:abstractNumId w:val="29"/>
  </w:num>
  <w:num w:numId="46" w16cid:durableId="855730922">
    <w:abstractNumId w:val="17"/>
  </w:num>
  <w:num w:numId="47" w16cid:durableId="1529293864">
    <w:abstractNumId w:val="82"/>
  </w:num>
  <w:num w:numId="48" w16cid:durableId="980959807">
    <w:abstractNumId w:val="63"/>
  </w:num>
  <w:num w:numId="49" w16cid:durableId="1072771544">
    <w:abstractNumId w:val="0"/>
  </w:num>
  <w:num w:numId="50" w16cid:durableId="1622417230">
    <w:abstractNumId w:val="54"/>
  </w:num>
  <w:num w:numId="51" w16cid:durableId="539170123">
    <w:abstractNumId w:val="65"/>
  </w:num>
  <w:num w:numId="52" w16cid:durableId="1190484002">
    <w:abstractNumId w:val="69"/>
  </w:num>
  <w:num w:numId="53" w16cid:durableId="596325231">
    <w:abstractNumId w:val="49"/>
  </w:num>
  <w:num w:numId="54" w16cid:durableId="2033142620">
    <w:abstractNumId w:val="34"/>
  </w:num>
  <w:num w:numId="55" w16cid:durableId="51582747">
    <w:abstractNumId w:val="74"/>
  </w:num>
  <w:num w:numId="56" w16cid:durableId="1847204739">
    <w:abstractNumId w:val="36"/>
  </w:num>
  <w:num w:numId="57" w16cid:durableId="343750458">
    <w:abstractNumId w:val="11"/>
  </w:num>
  <w:num w:numId="58" w16cid:durableId="1609777788">
    <w:abstractNumId w:val="33"/>
  </w:num>
  <w:num w:numId="59" w16cid:durableId="1636181581">
    <w:abstractNumId w:val="56"/>
  </w:num>
  <w:num w:numId="60" w16cid:durableId="104159296">
    <w:abstractNumId w:val="70"/>
  </w:num>
  <w:num w:numId="61" w16cid:durableId="673997859">
    <w:abstractNumId w:val="71"/>
  </w:num>
  <w:num w:numId="62" w16cid:durableId="1628242689">
    <w:abstractNumId w:val="77"/>
  </w:num>
  <w:num w:numId="63" w16cid:durableId="1269192442">
    <w:abstractNumId w:val="2"/>
  </w:num>
  <w:num w:numId="64" w16cid:durableId="18834037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11580090">
    <w:abstractNumId w:val="6"/>
  </w:num>
  <w:num w:numId="66" w16cid:durableId="1510371508">
    <w:abstractNumId w:val="28"/>
  </w:num>
  <w:num w:numId="67" w16cid:durableId="969826643">
    <w:abstractNumId w:val="84"/>
  </w:num>
  <w:num w:numId="68" w16cid:durableId="1459958598">
    <w:abstractNumId w:val="68"/>
  </w:num>
  <w:num w:numId="69" w16cid:durableId="1069690894">
    <w:abstractNumId w:val="60"/>
  </w:num>
  <w:num w:numId="70" w16cid:durableId="851071819">
    <w:abstractNumId w:val="73"/>
  </w:num>
  <w:num w:numId="71" w16cid:durableId="1839229740">
    <w:abstractNumId w:val="78"/>
  </w:num>
  <w:num w:numId="72" w16cid:durableId="1346588655">
    <w:abstractNumId w:val="16"/>
  </w:num>
  <w:num w:numId="73" w16cid:durableId="402918032">
    <w:abstractNumId w:val="75"/>
  </w:num>
  <w:num w:numId="74" w16cid:durableId="1583682407">
    <w:abstractNumId w:val="25"/>
  </w:num>
  <w:num w:numId="75" w16cid:durableId="350302145">
    <w:abstractNumId w:val="43"/>
  </w:num>
  <w:num w:numId="76" w16cid:durableId="909458210">
    <w:abstractNumId w:val="7"/>
  </w:num>
  <w:num w:numId="77" w16cid:durableId="703990275">
    <w:abstractNumId w:val="16"/>
    <w:lvlOverride w:ilvl="0">
      <w:startOverride w:val="1"/>
    </w:lvlOverride>
  </w:num>
  <w:num w:numId="78" w16cid:durableId="1153523841">
    <w:abstractNumId w:val="45"/>
  </w:num>
  <w:num w:numId="79" w16cid:durableId="238760069">
    <w:abstractNumId w:val="81"/>
  </w:num>
  <w:num w:numId="80" w16cid:durableId="1946158156">
    <w:abstractNumId w:val="38"/>
  </w:num>
  <w:num w:numId="81" w16cid:durableId="837039214">
    <w:abstractNumId w:val="5"/>
    <w:lvlOverride w:ilvl="0">
      <w:startOverride w:val="1"/>
    </w:lvlOverride>
  </w:num>
  <w:num w:numId="82" w16cid:durableId="1228763571">
    <w:abstractNumId w:val="23"/>
  </w:num>
  <w:num w:numId="83" w16cid:durableId="1042093955">
    <w:abstractNumId w:val="30"/>
  </w:num>
  <w:num w:numId="84" w16cid:durableId="1023943986">
    <w:abstractNumId w:val="22"/>
  </w:num>
  <w:num w:numId="85" w16cid:durableId="528763239">
    <w:abstractNumId w:val="20"/>
  </w:num>
  <w:num w:numId="86" w16cid:durableId="1010989847">
    <w:abstractNumId w:val="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733"/>
    <w:rsid w:val="000035F7"/>
    <w:rsid w:val="000153FF"/>
    <w:rsid w:val="00015CF4"/>
    <w:rsid w:val="00022F94"/>
    <w:rsid w:val="0002316B"/>
    <w:rsid w:val="00024FAD"/>
    <w:rsid w:val="00025DC9"/>
    <w:rsid w:val="0003326C"/>
    <w:rsid w:val="00042243"/>
    <w:rsid w:val="00045E5E"/>
    <w:rsid w:val="00050315"/>
    <w:rsid w:val="00073F74"/>
    <w:rsid w:val="00096012"/>
    <w:rsid w:val="000A16A6"/>
    <w:rsid w:val="000A1C5A"/>
    <w:rsid w:val="000A4227"/>
    <w:rsid w:val="000A7ED3"/>
    <w:rsid w:val="000B0404"/>
    <w:rsid w:val="000B5E15"/>
    <w:rsid w:val="000B5E1D"/>
    <w:rsid w:val="000B72ED"/>
    <w:rsid w:val="000C3539"/>
    <w:rsid w:val="000D208A"/>
    <w:rsid w:val="000D3E25"/>
    <w:rsid w:val="000D4EFB"/>
    <w:rsid w:val="000E1A79"/>
    <w:rsid w:val="000E1B11"/>
    <w:rsid w:val="000E4800"/>
    <w:rsid w:val="000E648B"/>
    <w:rsid w:val="000F6049"/>
    <w:rsid w:val="000F7C2C"/>
    <w:rsid w:val="00105B23"/>
    <w:rsid w:val="00124734"/>
    <w:rsid w:val="00136EEC"/>
    <w:rsid w:val="0014179C"/>
    <w:rsid w:val="00147EB6"/>
    <w:rsid w:val="001503AF"/>
    <w:rsid w:val="0015273C"/>
    <w:rsid w:val="001629FD"/>
    <w:rsid w:val="001721C4"/>
    <w:rsid w:val="00176011"/>
    <w:rsid w:val="00176EAF"/>
    <w:rsid w:val="00181DA0"/>
    <w:rsid w:val="00183E8D"/>
    <w:rsid w:val="00183F07"/>
    <w:rsid w:val="0018579D"/>
    <w:rsid w:val="00192808"/>
    <w:rsid w:val="001A2BB7"/>
    <w:rsid w:val="001A6BBE"/>
    <w:rsid w:val="001A7286"/>
    <w:rsid w:val="001B117D"/>
    <w:rsid w:val="001B1480"/>
    <w:rsid w:val="001C1347"/>
    <w:rsid w:val="001C3AC4"/>
    <w:rsid w:val="001C59DB"/>
    <w:rsid w:val="001C6944"/>
    <w:rsid w:val="001D0BD9"/>
    <w:rsid w:val="001D0E42"/>
    <w:rsid w:val="001D64F5"/>
    <w:rsid w:val="001D6EF2"/>
    <w:rsid w:val="001E724D"/>
    <w:rsid w:val="001F051B"/>
    <w:rsid w:val="001F6E00"/>
    <w:rsid w:val="002015C4"/>
    <w:rsid w:val="002017DA"/>
    <w:rsid w:val="00201CE7"/>
    <w:rsid w:val="00211E7E"/>
    <w:rsid w:val="0021275E"/>
    <w:rsid w:val="00215667"/>
    <w:rsid w:val="00230A58"/>
    <w:rsid w:val="00234E64"/>
    <w:rsid w:val="00234F0C"/>
    <w:rsid w:val="00235AE0"/>
    <w:rsid w:val="00235BBE"/>
    <w:rsid w:val="00236A26"/>
    <w:rsid w:val="00242756"/>
    <w:rsid w:val="0024593F"/>
    <w:rsid w:val="002703DB"/>
    <w:rsid w:val="002737C4"/>
    <w:rsid w:val="0028076B"/>
    <w:rsid w:val="00286922"/>
    <w:rsid w:val="00287CFE"/>
    <w:rsid w:val="002957D9"/>
    <w:rsid w:val="002A727F"/>
    <w:rsid w:val="002B008E"/>
    <w:rsid w:val="002B194A"/>
    <w:rsid w:val="002C1385"/>
    <w:rsid w:val="002C2474"/>
    <w:rsid w:val="002E0360"/>
    <w:rsid w:val="002E1123"/>
    <w:rsid w:val="002E260B"/>
    <w:rsid w:val="002F0D08"/>
    <w:rsid w:val="002F0E9F"/>
    <w:rsid w:val="002F0ED9"/>
    <w:rsid w:val="00303D6F"/>
    <w:rsid w:val="00305253"/>
    <w:rsid w:val="003059E7"/>
    <w:rsid w:val="00312E16"/>
    <w:rsid w:val="00314BF6"/>
    <w:rsid w:val="003162C8"/>
    <w:rsid w:val="00322720"/>
    <w:rsid w:val="00323A87"/>
    <w:rsid w:val="003272C3"/>
    <w:rsid w:val="003308CB"/>
    <w:rsid w:val="00334E2B"/>
    <w:rsid w:val="00336B8F"/>
    <w:rsid w:val="00346AD4"/>
    <w:rsid w:val="00346F80"/>
    <w:rsid w:val="003478E7"/>
    <w:rsid w:val="0035277C"/>
    <w:rsid w:val="00354240"/>
    <w:rsid w:val="00357D8B"/>
    <w:rsid w:val="00372ACF"/>
    <w:rsid w:val="00373E69"/>
    <w:rsid w:val="003906CB"/>
    <w:rsid w:val="00393784"/>
    <w:rsid w:val="00393C72"/>
    <w:rsid w:val="003A04D8"/>
    <w:rsid w:val="003A114E"/>
    <w:rsid w:val="003A1AA9"/>
    <w:rsid w:val="003A3C6D"/>
    <w:rsid w:val="003A787D"/>
    <w:rsid w:val="003B2FDF"/>
    <w:rsid w:val="003C0A42"/>
    <w:rsid w:val="003C66AA"/>
    <w:rsid w:val="003D0784"/>
    <w:rsid w:val="003D6304"/>
    <w:rsid w:val="003E6127"/>
    <w:rsid w:val="00401D3D"/>
    <w:rsid w:val="004122F3"/>
    <w:rsid w:val="00414EE9"/>
    <w:rsid w:val="00416A6B"/>
    <w:rsid w:val="00420457"/>
    <w:rsid w:val="00423B83"/>
    <w:rsid w:val="00432A42"/>
    <w:rsid w:val="00434749"/>
    <w:rsid w:val="00440C83"/>
    <w:rsid w:val="004427E0"/>
    <w:rsid w:val="0044591A"/>
    <w:rsid w:val="00453115"/>
    <w:rsid w:val="0045586D"/>
    <w:rsid w:val="00457446"/>
    <w:rsid w:val="00457892"/>
    <w:rsid w:val="00457BC1"/>
    <w:rsid w:val="0046074F"/>
    <w:rsid w:val="00465936"/>
    <w:rsid w:val="00472066"/>
    <w:rsid w:val="00475054"/>
    <w:rsid w:val="004758C9"/>
    <w:rsid w:val="00477A4B"/>
    <w:rsid w:val="0048637B"/>
    <w:rsid w:val="0048723C"/>
    <w:rsid w:val="004918DC"/>
    <w:rsid w:val="00497881"/>
    <w:rsid w:val="004B11BF"/>
    <w:rsid w:val="004B3A4F"/>
    <w:rsid w:val="004B4A7B"/>
    <w:rsid w:val="004B6CD5"/>
    <w:rsid w:val="004B7474"/>
    <w:rsid w:val="004C1833"/>
    <w:rsid w:val="004C6492"/>
    <w:rsid w:val="004D12E1"/>
    <w:rsid w:val="004D29C7"/>
    <w:rsid w:val="004D3B38"/>
    <w:rsid w:val="004D5F7B"/>
    <w:rsid w:val="004D796D"/>
    <w:rsid w:val="004E081C"/>
    <w:rsid w:val="004E3E76"/>
    <w:rsid w:val="004E7321"/>
    <w:rsid w:val="004E7513"/>
    <w:rsid w:val="004F0692"/>
    <w:rsid w:val="004F5F22"/>
    <w:rsid w:val="00503B16"/>
    <w:rsid w:val="00514453"/>
    <w:rsid w:val="00517972"/>
    <w:rsid w:val="005261B6"/>
    <w:rsid w:val="00535FE3"/>
    <w:rsid w:val="00543230"/>
    <w:rsid w:val="00556F31"/>
    <w:rsid w:val="00560CF2"/>
    <w:rsid w:val="005615BA"/>
    <w:rsid w:val="00563996"/>
    <w:rsid w:val="00563FB6"/>
    <w:rsid w:val="00566CD0"/>
    <w:rsid w:val="00571811"/>
    <w:rsid w:val="0057201B"/>
    <w:rsid w:val="005877D2"/>
    <w:rsid w:val="005A1F13"/>
    <w:rsid w:val="005A3ECD"/>
    <w:rsid w:val="005B030A"/>
    <w:rsid w:val="005B099D"/>
    <w:rsid w:val="005B3840"/>
    <w:rsid w:val="005B3AE9"/>
    <w:rsid w:val="005B44B0"/>
    <w:rsid w:val="005C1225"/>
    <w:rsid w:val="005C48B3"/>
    <w:rsid w:val="005D1AED"/>
    <w:rsid w:val="005D4CA5"/>
    <w:rsid w:val="005E1017"/>
    <w:rsid w:val="005E12DB"/>
    <w:rsid w:val="005E49F9"/>
    <w:rsid w:val="005E6A35"/>
    <w:rsid w:val="005F48C2"/>
    <w:rsid w:val="005F57DD"/>
    <w:rsid w:val="005F5904"/>
    <w:rsid w:val="005F75C1"/>
    <w:rsid w:val="00621CBD"/>
    <w:rsid w:val="00633C49"/>
    <w:rsid w:val="00637ED3"/>
    <w:rsid w:val="00640295"/>
    <w:rsid w:val="00641663"/>
    <w:rsid w:val="00642FA1"/>
    <w:rsid w:val="00651C38"/>
    <w:rsid w:val="006567F1"/>
    <w:rsid w:val="00661516"/>
    <w:rsid w:val="006638E5"/>
    <w:rsid w:val="0066535F"/>
    <w:rsid w:val="0067056E"/>
    <w:rsid w:val="00672733"/>
    <w:rsid w:val="00673966"/>
    <w:rsid w:val="00676858"/>
    <w:rsid w:val="00676909"/>
    <w:rsid w:val="006953BA"/>
    <w:rsid w:val="006A139C"/>
    <w:rsid w:val="006A5651"/>
    <w:rsid w:val="006B1F24"/>
    <w:rsid w:val="006B40FB"/>
    <w:rsid w:val="006D5945"/>
    <w:rsid w:val="006E00D5"/>
    <w:rsid w:val="006E06B3"/>
    <w:rsid w:val="006E269B"/>
    <w:rsid w:val="007048B9"/>
    <w:rsid w:val="007100C0"/>
    <w:rsid w:val="0071198A"/>
    <w:rsid w:val="00713DC0"/>
    <w:rsid w:val="00720165"/>
    <w:rsid w:val="0072381E"/>
    <w:rsid w:val="00724FEC"/>
    <w:rsid w:val="00726330"/>
    <w:rsid w:val="0073468A"/>
    <w:rsid w:val="00741C3B"/>
    <w:rsid w:val="00754DE3"/>
    <w:rsid w:val="00765ABF"/>
    <w:rsid w:val="007704F4"/>
    <w:rsid w:val="00771007"/>
    <w:rsid w:val="00773A76"/>
    <w:rsid w:val="00774C1A"/>
    <w:rsid w:val="007802F1"/>
    <w:rsid w:val="007826D3"/>
    <w:rsid w:val="007867EC"/>
    <w:rsid w:val="007869C4"/>
    <w:rsid w:val="0078746D"/>
    <w:rsid w:val="007928E9"/>
    <w:rsid w:val="007933EC"/>
    <w:rsid w:val="0079481C"/>
    <w:rsid w:val="007A458B"/>
    <w:rsid w:val="007B097C"/>
    <w:rsid w:val="007B1E99"/>
    <w:rsid w:val="007C26D9"/>
    <w:rsid w:val="007C4DCE"/>
    <w:rsid w:val="007C6E4D"/>
    <w:rsid w:val="007C774B"/>
    <w:rsid w:val="007C783B"/>
    <w:rsid w:val="007D0790"/>
    <w:rsid w:val="007D0EC7"/>
    <w:rsid w:val="007E57F2"/>
    <w:rsid w:val="007E60F0"/>
    <w:rsid w:val="007E6D69"/>
    <w:rsid w:val="007E76F0"/>
    <w:rsid w:val="007F0081"/>
    <w:rsid w:val="007F32DE"/>
    <w:rsid w:val="007F4874"/>
    <w:rsid w:val="007F4EF8"/>
    <w:rsid w:val="00805AA2"/>
    <w:rsid w:val="00812D6D"/>
    <w:rsid w:val="0081619B"/>
    <w:rsid w:val="0082208F"/>
    <w:rsid w:val="00824DF3"/>
    <w:rsid w:val="008268FA"/>
    <w:rsid w:val="00846163"/>
    <w:rsid w:val="008463D3"/>
    <w:rsid w:val="008466D5"/>
    <w:rsid w:val="00847A9C"/>
    <w:rsid w:val="0085609F"/>
    <w:rsid w:val="00862F2C"/>
    <w:rsid w:val="0086460E"/>
    <w:rsid w:val="008668B8"/>
    <w:rsid w:val="00875444"/>
    <w:rsid w:val="0087665E"/>
    <w:rsid w:val="008803B3"/>
    <w:rsid w:val="00880D01"/>
    <w:rsid w:val="008818B0"/>
    <w:rsid w:val="00884660"/>
    <w:rsid w:val="00885AD6"/>
    <w:rsid w:val="008861D6"/>
    <w:rsid w:val="008871A1"/>
    <w:rsid w:val="0089201C"/>
    <w:rsid w:val="008925AF"/>
    <w:rsid w:val="00894271"/>
    <w:rsid w:val="00896307"/>
    <w:rsid w:val="008A2D67"/>
    <w:rsid w:val="008A6E4B"/>
    <w:rsid w:val="008B05A0"/>
    <w:rsid w:val="008C777B"/>
    <w:rsid w:val="008D2B8C"/>
    <w:rsid w:val="008D4596"/>
    <w:rsid w:val="008E7B76"/>
    <w:rsid w:val="009044E0"/>
    <w:rsid w:val="00905FD0"/>
    <w:rsid w:val="009139FF"/>
    <w:rsid w:val="00927D17"/>
    <w:rsid w:val="00927EC6"/>
    <w:rsid w:val="00932DEC"/>
    <w:rsid w:val="00933F91"/>
    <w:rsid w:val="00946157"/>
    <w:rsid w:val="00950B9E"/>
    <w:rsid w:val="00951460"/>
    <w:rsid w:val="00953CE3"/>
    <w:rsid w:val="009547E3"/>
    <w:rsid w:val="0096378F"/>
    <w:rsid w:val="00964BD4"/>
    <w:rsid w:val="009777F1"/>
    <w:rsid w:val="00977DAB"/>
    <w:rsid w:val="009814CF"/>
    <w:rsid w:val="0098304B"/>
    <w:rsid w:val="00994F9D"/>
    <w:rsid w:val="009B24BD"/>
    <w:rsid w:val="009B6931"/>
    <w:rsid w:val="009E3C3B"/>
    <w:rsid w:val="009F079E"/>
    <w:rsid w:val="009F20F4"/>
    <w:rsid w:val="009F6DC5"/>
    <w:rsid w:val="00A01AB6"/>
    <w:rsid w:val="00A0542D"/>
    <w:rsid w:val="00A15CBE"/>
    <w:rsid w:val="00A17081"/>
    <w:rsid w:val="00A25A51"/>
    <w:rsid w:val="00A30EF8"/>
    <w:rsid w:val="00A37DB1"/>
    <w:rsid w:val="00A45A01"/>
    <w:rsid w:val="00A55AF5"/>
    <w:rsid w:val="00A56DCF"/>
    <w:rsid w:val="00A614F5"/>
    <w:rsid w:val="00A64379"/>
    <w:rsid w:val="00A6582B"/>
    <w:rsid w:val="00A70B5E"/>
    <w:rsid w:val="00A86085"/>
    <w:rsid w:val="00A9063D"/>
    <w:rsid w:val="00A93248"/>
    <w:rsid w:val="00A968F5"/>
    <w:rsid w:val="00AA0051"/>
    <w:rsid w:val="00AA2F94"/>
    <w:rsid w:val="00AA578F"/>
    <w:rsid w:val="00AA6AE4"/>
    <w:rsid w:val="00AB246E"/>
    <w:rsid w:val="00AB6E11"/>
    <w:rsid w:val="00AC4F96"/>
    <w:rsid w:val="00AC7438"/>
    <w:rsid w:val="00AD4C06"/>
    <w:rsid w:val="00AE1575"/>
    <w:rsid w:val="00AE34AB"/>
    <w:rsid w:val="00AF3C22"/>
    <w:rsid w:val="00AF419C"/>
    <w:rsid w:val="00B007E3"/>
    <w:rsid w:val="00B07AAB"/>
    <w:rsid w:val="00B14D67"/>
    <w:rsid w:val="00B15B6B"/>
    <w:rsid w:val="00B329D4"/>
    <w:rsid w:val="00B342BF"/>
    <w:rsid w:val="00B37230"/>
    <w:rsid w:val="00B4399C"/>
    <w:rsid w:val="00B52913"/>
    <w:rsid w:val="00B53730"/>
    <w:rsid w:val="00B74AC7"/>
    <w:rsid w:val="00B845DF"/>
    <w:rsid w:val="00B94C73"/>
    <w:rsid w:val="00BA500D"/>
    <w:rsid w:val="00BA6719"/>
    <w:rsid w:val="00BA74BA"/>
    <w:rsid w:val="00BB0401"/>
    <w:rsid w:val="00BB066C"/>
    <w:rsid w:val="00BB15C1"/>
    <w:rsid w:val="00BB3050"/>
    <w:rsid w:val="00BB30E8"/>
    <w:rsid w:val="00BB369C"/>
    <w:rsid w:val="00BC356D"/>
    <w:rsid w:val="00BD17B0"/>
    <w:rsid w:val="00BD2930"/>
    <w:rsid w:val="00BE03D4"/>
    <w:rsid w:val="00BE12F1"/>
    <w:rsid w:val="00BE1748"/>
    <w:rsid w:val="00BE6617"/>
    <w:rsid w:val="00BE6A38"/>
    <w:rsid w:val="00BF02E3"/>
    <w:rsid w:val="00BF7A78"/>
    <w:rsid w:val="00C02D85"/>
    <w:rsid w:val="00C04DC8"/>
    <w:rsid w:val="00C04EB4"/>
    <w:rsid w:val="00C07E08"/>
    <w:rsid w:val="00C26043"/>
    <w:rsid w:val="00C402E6"/>
    <w:rsid w:val="00C66AF6"/>
    <w:rsid w:val="00C74157"/>
    <w:rsid w:val="00C958BB"/>
    <w:rsid w:val="00CB3238"/>
    <w:rsid w:val="00CB3737"/>
    <w:rsid w:val="00CD0271"/>
    <w:rsid w:val="00CD1A50"/>
    <w:rsid w:val="00CD67C6"/>
    <w:rsid w:val="00CE2691"/>
    <w:rsid w:val="00CF1AC5"/>
    <w:rsid w:val="00CF4D22"/>
    <w:rsid w:val="00CF4DAC"/>
    <w:rsid w:val="00CF649A"/>
    <w:rsid w:val="00CF66E9"/>
    <w:rsid w:val="00D01BD4"/>
    <w:rsid w:val="00D05EE2"/>
    <w:rsid w:val="00D16D43"/>
    <w:rsid w:val="00D2161A"/>
    <w:rsid w:val="00D22D8F"/>
    <w:rsid w:val="00D23A02"/>
    <w:rsid w:val="00D26402"/>
    <w:rsid w:val="00D3259E"/>
    <w:rsid w:val="00D5036B"/>
    <w:rsid w:val="00D56DC4"/>
    <w:rsid w:val="00D60AF0"/>
    <w:rsid w:val="00D62358"/>
    <w:rsid w:val="00D63E25"/>
    <w:rsid w:val="00D67A9D"/>
    <w:rsid w:val="00D711CC"/>
    <w:rsid w:val="00D752F9"/>
    <w:rsid w:val="00D76C76"/>
    <w:rsid w:val="00D86AAC"/>
    <w:rsid w:val="00D90A3A"/>
    <w:rsid w:val="00D91437"/>
    <w:rsid w:val="00D926E9"/>
    <w:rsid w:val="00D97145"/>
    <w:rsid w:val="00DA685F"/>
    <w:rsid w:val="00DB5C61"/>
    <w:rsid w:val="00DC1BCC"/>
    <w:rsid w:val="00DC3251"/>
    <w:rsid w:val="00DC33FE"/>
    <w:rsid w:val="00DC54F1"/>
    <w:rsid w:val="00DC72D8"/>
    <w:rsid w:val="00DD21EA"/>
    <w:rsid w:val="00DE231F"/>
    <w:rsid w:val="00DE68CC"/>
    <w:rsid w:val="00DF4BF4"/>
    <w:rsid w:val="00E03798"/>
    <w:rsid w:val="00E042FE"/>
    <w:rsid w:val="00E14582"/>
    <w:rsid w:val="00E16C42"/>
    <w:rsid w:val="00E27E42"/>
    <w:rsid w:val="00E30C54"/>
    <w:rsid w:val="00E404D8"/>
    <w:rsid w:val="00E516AB"/>
    <w:rsid w:val="00E516DE"/>
    <w:rsid w:val="00E5255D"/>
    <w:rsid w:val="00E61941"/>
    <w:rsid w:val="00E70447"/>
    <w:rsid w:val="00E7703A"/>
    <w:rsid w:val="00E77AD3"/>
    <w:rsid w:val="00E84C87"/>
    <w:rsid w:val="00E90303"/>
    <w:rsid w:val="00E90CB3"/>
    <w:rsid w:val="00E93DD3"/>
    <w:rsid w:val="00EA0262"/>
    <w:rsid w:val="00EA0B45"/>
    <w:rsid w:val="00EC5AC3"/>
    <w:rsid w:val="00EC61E3"/>
    <w:rsid w:val="00EC6B71"/>
    <w:rsid w:val="00ED0AAA"/>
    <w:rsid w:val="00ED15F7"/>
    <w:rsid w:val="00ED1EBA"/>
    <w:rsid w:val="00ED3F76"/>
    <w:rsid w:val="00ED5260"/>
    <w:rsid w:val="00ED63A8"/>
    <w:rsid w:val="00ED6492"/>
    <w:rsid w:val="00EF1549"/>
    <w:rsid w:val="00EF1D39"/>
    <w:rsid w:val="00EF21D5"/>
    <w:rsid w:val="00EF5E6E"/>
    <w:rsid w:val="00F017DD"/>
    <w:rsid w:val="00F25813"/>
    <w:rsid w:val="00F330EA"/>
    <w:rsid w:val="00F33658"/>
    <w:rsid w:val="00F407A8"/>
    <w:rsid w:val="00F4219D"/>
    <w:rsid w:val="00F43002"/>
    <w:rsid w:val="00F435BE"/>
    <w:rsid w:val="00F657D0"/>
    <w:rsid w:val="00F70F87"/>
    <w:rsid w:val="00F724AC"/>
    <w:rsid w:val="00F779FC"/>
    <w:rsid w:val="00F80B63"/>
    <w:rsid w:val="00F86D48"/>
    <w:rsid w:val="00F90FC8"/>
    <w:rsid w:val="00FA0369"/>
    <w:rsid w:val="00FB2DEB"/>
    <w:rsid w:val="00FC2EF0"/>
    <w:rsid w:val="00FC300D"/>
    <w:rsid w:val="00FC3107"/>
    <w:rsid w:val="00FC3F79"/>
    <w:rsid w:val="00FD3E0D"/>
    <w:rsid w:val="00FD677C"/>
    <w:rsid w:val="00FD6810"/>
    <w:rsid w:val="00FE0A86"/>
    <w:rsid w:val="00FE13E3"/>
    <w:rsid w:val="00FE2C17"/>
    <w:rsid w:val="00FE4C0F"/>
    <w:rsid w:val="00FE7ECD"/>
    <w:rsid w:val="0205D439"/>
    <w:rsid w:val="0246750A"/>
    <w:rsid w:val="032DC283"/>
    <w:rsid w:val="0476DBE0"/>
    <w:rsid w:val="06257AAF"/>
    <w:rsid w:val="0671DA71"/>
    <w:rsid w:val="07B18D62"/>
    <w:rsid w:val="08588C21"/>
    <w:rsid w:val="08C8E9A3"/>
    <w:rsid w:val="09A0E370"/>
    <w:rsid w:val="0D172CC5"/>
    <w:rsid w:val="0D39A8EE"/>
    <w:rsid w:val="0EE2CE42"/>
    <w:rsid w:val="100DE3BA"/>
    <w:rsid w:val="1295D284"/>
    <w:rsid w:val="13F57F70"/>
    <w:rsid w:val="141F6157"/>
    <w:rsid w:val="14B79F4C"/>
    <w:rsid w:val="154FC90C"/>
    <w:rsid w:val="160F2244"/>
    <w:rsid w:val="18D624C3"/>
    <w:rsid w:val="18E6FAF3"/>
    <w:rsid w:val="1E1E3038"/>
    <w:rsid w:val="1E9D6E80"/>
    <w:rsid w:val="1EC6CA86"/>
    <w:rsid w:val="2034A04B"/>
    <w:rsid w:val="225BA522"/>
    <w:rsid w:val="22C51EAB"/>
    <w:rsid w:val="243C2C91"/>
    <w:rsid w:val="244FB435"/>
    <w:rsid w:val="26E13FC7"/>
    <w:rsid w:val="2E8D2016"/>
    <w:rsid w:val="2EE3EE10"/>
    <w:rsid w:val="2F2F9E96"/>
    <w:rsid w:val="30AEB02D"/>
    <w:rsid w:val="312E373D"/>
    <w:rsid w:val="31C9F426"/>
    <w:rsid w:val="32CC5F1B"/>
    <w:rsid w:val="33487FE7"/>
    <w:rsid w:val="33500405"/>
    <w:rsid w:val="337E9B99"/>
    <w:rsid w:val="33FA42D9"/>
    <w:rsid w:val="340FB675"/>
    <w:rsid w:val="371E775E"/>
    <w:rsid w:val="3824131B"/>
    <w:rsid w:val="3927C54F"/>
    <w:rsid w:val="3A5C6485"/>
    <w:rsid w:val="3ACBE841"/>
    <w:rsid w:val="3B18E182"/>
    <w:rsid w:val="3CA4F435"/>
    <w:rsid w:val="3CB4B1E3"/>
    <w:rsid w:val="3E2B1321"/>
    <w:rsid w:val="421EF59D"/>
    <w:rsid w:val="427E221B"/>
    <w:rsid w:val="43CA25B9"/>
    <w:rsid w:val="43E3D209"/>
    <w:rsid w:val="446A77F6"/>
    <w:rsid w:val="457FA26A"/>
    <w:rsid w:val="46F266C0"/>
    <w:rsid w:val="483A1A3F"/>
    <w:rsid w:val="490DC426"/>
    <w:rsid w:val="49EDE40D"/>
    <w:rsid w:val="4BC9A79C"/>
    <w:rsid w:val="4C4564E8"/>
    <w:rsid w:val="4D8A2EE5"/>
    <w:rsid w:val="4DAEDAF2"/>
    <w:rsid w:val="4FEFA801"/>
    <w:rsid w:val="502D1611"/>
    <w:rsid w:val="5070C89D"/>
    <w:rsid w:val="50E0E0BE"/>
    <w:rsid w:val="51301B9D"/>
    <w:rsid w:val="51CF4061"/>
    <w:rsid w:val="52DE954D"/>
    <w:rsid w:val="5328DC5A"/>
    <w:rsid w:val="53A38E1A"/>
    <w:rsid w:val="5472232D"/>
    <w:rsid w:val="54F4B0A8"/>
    <w:rsid w:val="5837B5E9"/>
    <w:rsid w:val="59FE8286"/>
    <w:rsid w:val="5A83F34B"/>
    <w:rsid w:val="5B600B0A"/>
    <w:rsid w:val="5B8E8736"/>
    <w:rsid w:val="5CAA4F7D"/>
    <w:rsid w:val="5CB69643"/>
    <w:rsid w:val="60E06661"/>
    <w:rsid w:val="60F334CF"/>
    <w:rsid w:val="63BEA29C"/>
    <w:rsid w:val="63F4A669"/>
    <w:rsid w:val="6411AD34"/>
    <w:rsid w:val="644EEFB1"/>
    <w:rsid w:val="65F13021"/>
    <w:rsid w:val="669FACF1"/>
    <w:rsid w:val="67787DFD"/>
    <w:rsid w:val="67FAEE8F"/>
    <w:rsid w:val="684A9F28"/>
    <w:rsid w:val="6861D06D"/>
    <w:rsid w:val="69E24BF9"/>
    <w:rsid w:val="6A8748A7"/>
    <w:rsid w:val="6AC4A144"/>
    <w:rsid w:val="6C776E3B"/>
    <w:rsid w:val="6CE5E26A"/>
    <w:rsid w:val="6D84598B"/>
    <w:rsid w:val="6DD8EC27"/>
    <w:rsid w:val="6E3148FC"/>
    <w:rsid w:val="754D0E8C"/>
    <w:rsid w:val="761C1042"/>
    <w:rsid w:val="76A7A6A4"/>
    <w:rsid w:val="76EB6EA3"/>
    <w:rsid w:val="77E713CC"/>
    <w:rsid w:val="782ADBCB"/>
    <w:rsid w:val="78406645"/>
    <w:rsid w:val="792C3BB2"/>
    <w:rsid w:val="7969944F"/>
    <w:rsid w:val="79BC646F"/>
    <w:rsid w:val="79F55F03"/>
    <w:rsid w:val="7A85D7AB"/>
    <w:rsid w:val="7B780707"/>
    <w:rsid w:val="7D513005"/>
    <w:rsid w:val="7EF68088"/>
    <w:rsid w:val="7FC7C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5B2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1F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30EA"/>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es-AR"/>
    </w:rPr>
  </w:style>
  <w:style w:type="paragraph" w:styleId="Heading3">
    <w:name w:val="heading 3"/>
    <w:basedOn w:val="Normal"/>
    <w:next w:val="Normal"/>
    <w:link w:val="Heading3Char"/>
    <w:uiPriority w:val="9"/>
    <w:unhideWhenUsed/>
    <w:qFormat/>
    <w:rsid w:val="00305253"/>
    <w:pPr>
      <w:suppressAutoHyphens/>
      <w:jc w:val="both"/>
      <w:outlineLvl w:val="2"/>
    </w:pPr>
    <w:rPr>
      <w:rFonts w:ascii="Cambria" w:eastAsia="Calibri" w:hAnsi="Cambria" w:cs="Cambria"/>
      <w:b/>
      <w:bCs/>
      <w:position w:val="-1"/>
      <w:sz w:val="22"/>
      <w:szCs w:val="22"/>
      <w:lang w:val="es-ES"/>
    </w:rPr>
  </w:style>
  <w:style w:type="paragraph" w:styleId="Heading4">
    <w:name w:val="heading 4"/>
    <w:basedOn w:val="Normal"/>
    <w:next w:val="Normal"/>
    <w:link w:val="Heading4Char"/>
    <w:uiPriority w:val="9"/>
    <w:unhideWhenUsed/>
    <w:qFormat/>
    <w:rsid w:val="00F330EA"/>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uiPriority w:val="9"/>
    <w:unhideWhenUsed/>
    <w:qFormat/>
    <w:rsid w:val="00F330EA"/>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uiPriority w:val="9"/>
    <w:semiHidden/>
    <w:unhideWhenUsed/>
    <w:qFormat/>
    <w:rsid w:val="00F330EA"/>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unhideWhenUsed/>
    <w:rsid w:val="00672733"/>
    <w:pPr>
      <w:tabs>
        <w:tab w:val="center" w:pos="4680"/>
        <w:tab w:val="right" w:pos="9360"/>
      </w:tabs>
    </w:pPr>
  </w:style>
  <w:style w:type="character" w:customStyle="1" w:styleId="HeaderChar">
    <w:name w:val="Header Char"/>
    <w:aliases w:val="encabezado Char"/>
    <w:basedOn w:val="DefaultParagraphFont"/>
    <w:link w:val="Header"/>
    <w:uiPriority w:val="99"/>
    <w:rsid w:val="00672733"/>
  </w:style>
  <w:style w:type="paragraph" w:styleId="Footer">
    <w:name w:val="footer"/>
    <w:basedOn w:val="Normal"/>
    <w:link w:val="FooterChar"/>
    <w:uiPriority w:val="99"/>
    <w:unhideWhenUsed/>
    <w:rsid w:val="00672733"/>
    <w:pPr>
      <w:tabs>
        <w:tab w:val="center" w:pos="4680"/>
        <w:tab w:val="right" w:pos="9360"/>
      </w:tabs>
    </w:pPr>
  </w:style>
  <w:style w:type="character" w:customStyle="1" w:styleId="FooterChar">
    <w:name w:val="Footer Char"/>
    <w:basedOn w:val="DefaultParagraphFont"/>
    <w:link w:val="Footer"/>
    <w:uiPriority w:val="99"/>
    <w:rsid w:val="00672733"/>
  </w:style>
  <w:style w:type="paragraph" w:styleId="Title">
    <w:name w:val="Title"/>
    <w:basedOn w:val="Normal"/>
    <w:next w:val="Normal"/>
    <w:link w:val="TitleChar"/>
    <w:uiPriority w:val="10"/>
    <w:qFormat/>
    <w:rsid w:val="006B1F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1F24"/>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B1F24"/>
    <w:rPr>
      <w:b/>
      <w:bCs/>
    </w:rPr>
  </w:style>
  <w:style w:type="character" w:customStyle="1" w:styleId="Heading1Char">
    <w:name w:val="Heading 1 Char"/>
    <w:basedOn w:val="DefaultParagraphFont"/>
    <w:link w:val="Heading1"/>
    <w:uiPriority w:val="9"/>
    <w:rsid w:val="006B1F24"/>
    <w:rPr>
      <w:rFonts w:asciiTheme="majorHAnsi" w:eastAsiaTheme="majorEastAsia" w:hAnsiTheme="majorHAnsi" w:cstheme="majorBidi"/>
      <w:color w:val="2F5496" w:themeColor="accent1" w:themeShade="BF"/>
      <w:sz w:val="32"/>
      <w:szCs w:val="32"/>
    </w:rPr>
  </w:style>
  <w:style w:type="paragraph" w:styleId="ListParagraph">
    <w:name w:val="List Paragraph"/>
    <w:aliases w:val="Bullet 1,Bullet Points,Colorful List - Accent 11,Dot pt,Evidence on Demand bullet points,F5 List Paragraph,Footnote,Indicator Text,List Paragraph Char Char Char,List Paragraph1,List Paragraph12,MAIN CONTENT,No Spacing1,Numbered Para 1,3"/>
    <w:basedOn w:val="Normal"/>
    <w:link w:val="ListParagraphChar"/>
    <w:uiPriority w:val="34"/>
    <w:qFormat/>
    <w:rsid w:val="00045E5E"/>
    <w:pPr>
      <w:ind w:left="720"/>
      <w:contextualSpacing/>
    </w:pPr>
  </w:style>
  <w:style w:type="paragraph" w:styleId="Subtitle">
    <w:name w:val="Subtitle"/>
    <w:basedOn w:val="Normal"/>
    <w:next w:val="Normal"/>
    <w:link w:val="SubtitleChar"/>
    <w:uiPriority w:val="11"/>
    <w:qFormat/>
    <w:rsid w:val="00045E5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45E5E"/>
    <w:rPr>
      <w:rFonts w:eastAsiaTheme="minorEastAsia"/>
      <w:color w:val="5A5A5A" w:themeColor="text1" w:themeTint="A5"/>
      <w:spacing w:val="15"/>
      <w:sz w:val="22"/>
      <w:szCs w:val="22"/>
    </w:rPr>
  </w:style>
  <w:style w:type="table" w:styleId="TableGrid">
    <w:name w:val="Table Grid"/>
    <w:basedOn w:val="TableNormal"/>
    <w:uiPriority w:val="59"/>
    <w:rsid w:val="00322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2272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2272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2272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E516AB"/>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E516AB"/>
    <w:rPr>
      <w:sz w:val="20"/>
      <w:szCs w:val="20"/>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4"/>
    <w:basedOn w:val="DefaultParagraphFont"/>
    <w:link w:val="Char2"/>
    <w:uiPriority w:val="99"/>
    <w:unhideWhenUsed/>
    <w:qFormat/>
    <w:rsid w:val="00E516AB"/>
    <w:rPr>
      <w:vertAlign w:val="superscript"/>
    </w:rPr>
  </w:style>
  <w:style w:type="paragraph" w:styleId="Caption">
    <w:name w:val="caption"/>
    <w:basedOn w:val="Normal"/>
    <w:next w:val="Normal"/>
    <w:uiPriority w:val="35"/>
    <w:unhideWhenUsed/>
    <w:qFormat/>
    <w:rsid w:val="00566CD0"/>
    <w:pPr>
      <w:spacing w:after="200"/>
    </w:pPr>
    <w:rPr>
      <w:i/>
      <w:iCs/>
      <w:color w:val="44546A" w:themeColor="text2"/>
      <w:sz w:val="18"/>
      <w:szCs w:val="18"/>
    </w:rPr>
  </w:style>
  <w:style w:type="character" w:customStyle="1" w:styleId="ListParagraphChar">
    <w:name w:val="List Paragraph Char"/>
    <w:aliases w:val="Bullet 1 Char,Bullet Points Char,Colorful List - Accent 11 Char,Dot pt Char,Evidence on Demand bullet points Char,F5 List Paragraph Char,Footnote Char,Indicator Text Char,List Paragraph Char Char Char Char,List Paragraph1 Char,3 Char"/>
    <w:link w:val="ListParagraph"/>
    <w:uiPriority w:val="34"/>
    <w:qFormat/>
    <w:locked/>
    <w:rsid w:val="003A114E"/>
  </w:style>
  <w:style w:type="character" w:styleId="Hyperlink">
    <w:name w:val="Hyperlink"/>
    <w:aliases w:val="http://www.fantaproject.org/sites/default/files/resources/Guatemala-municipal-brief-English-June30.pdf"/>
    <w:basedOn w:val="DefaultParagraphFont"/>
    <w:unhideWhenUsed/>
    <w:rsid w:val="003A114E"/>
    <w:rPr>
      <w:color w:val="0563C1" w:themeColor="hyperlink"/>
      <w:u w:val="single"/>
    </w:rPr>
  </w:style>
  <w:style w:type="character" w:styleId="CommentReference">
    <w:name w:val="annotation reference"/>
    <w:basedOn w:val="DefaultParagraphFont"/>
    <w:uiPriority w:val="99"/>
    <w:semiHidden/>
    <w:unhideWhenUsed/>
    <w:rsid w:val="003A114E"/>
    <w:rPr>
      <w:sz w:val="16"/>
      <w:szCs w:val="16"/>
    </w:rPr>
  </w:style>
  <w:style w:type="paragraph" w:styleId="CommentText">
    <w:name w:val="annotation text"/>
    <w:basedOn w:val="Normal"/>
    <w:link w:val="CommentTextChar"/>
    <w:uiPriority w:val="99"/>
    <w:unhideWhenUsed/>
    <w:rsid w:val="003A114E"/>
    <w:rPr>
      <w:sz w:val="20"/>
      <w:szCs w:val="20"/>
    </w:rPr>
  </w:style>
  <w:style w:type="character" w:customStyle="1" w:styleId="CommentTextChar">
    <w:name w:val="Comment Text Char"/>
    <w:basedOn w:val="DefaultParagraphFont"/>
    <w:link w:val="CommentText"/>
    <w:uiPriority w:val="99"/>
    <w:rsid w:val="003A114E"/>
    <w:rPr>
      <w:sz w:val="20"/>
      <w:szCs w:val="20"/>
    </w:rPr>
  </w:style>
  <w:style w:type="character" w:styleId="UnresolvedMention">
    <w:name w:val="Unresolved Mention"/>
    <w:basedOn w:val="DefaultParagraphFont"/>
    <w:uiPriority w:val="99"/>
    <w:semiHidden/>
    <w:unhideWhenUsed/>
    <w:rsid w:val="00303D6F"/>
    <w:rPr>
      <w:color w:val="605E5C"/>
      <w:shd w:val="clear" w:color="auto" w:fill="E1DFDD"/>
    </w:rPr>
  </w:style>
  <w:style w:type="character" w:customStyle="1" w:styleId="Heading3Char">
    <w:name w:val="Heading 3 Char"/>
    <w:basedOn w:val="DefaultParagraphFont"/>
    <w:link w:val="Heading3"/>
    <w:uiPriority w:val="9"/>
    <w:rsid w:val="00305253"/>
    <w:rPr>
      <w:rFonts w:ascii="Cambria" w:eastAsia="Calibri" w:hAnsi="Cambria" w:cs="Cambria"/>
      <w:b/>
      <w:bCs/>
      <w:position w:val="-1"/>
      <w:sz w:val="22"/>
      <w:szCs w:val="22"/>
      <w:lang w:val="es-ES"/>
    </w:rPr>
  </w:style>
  <w:style w:type="paragraph" w:customStyle="1" w:styleId="paragraph">
    <w:name w:val="paragraph"/>
    <w:basedOn w:val="Normal"/>
    <w:rsid w:val="003E612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3E6127"/>
  </w:style>
  <w:style w:type="character" w:customStyle="1" w:styleId="eop">
    <w:name w:val="eop"/>
    <w:basedOn w:val="DefaultParagraphFont"/>
    <w:rsid w:val="003E6127"/>
  </w:style>
  <w:style w:type="character" w:customStyle="1" w:styleId="superscript">
    <w:name w:val="superscript"/>
    <w:basedOn w:val="DefaultParagraphFont"/>
    <w:rsid w:val="003E6127"/>
  </w:style>
  <w:style w:type="character" w:customStyle="1" w:styleId="Heading2Char">
    <w:name w:val="Heading 2 Char"/>
    <w:basedOn w:val="DefaultParagraphFont"/>
    <w:link w:val="Heading2"/>
    <w:uiPriority w:val="9"/>
    <w:rsid w:val="00F330EA"/>
    <w:rPr>
      <w:rFonts w:asciiTheme="majorHAnsi" w:eastAsiaTheme="majorEastAsia" w:hAnsiTheme="majorHAnsi" w:cstheme="majorBidi"/>
      <w:color w:val="2F5496" w:themeColor="accent1" w:themeShade="BF"/>
      <w:sz w:val="26"/>
      <w:szCs w:val="26"/>
      <w:lang w:val="es-AR"/>
    </w:rPr>
  </w:style>
  <w:style w:type="character" w:customStyle="1" w:styleId="Heading4Char">
    <w:name w:val="Heading 4 Char"/>
    <w:basedOn w:val="DefaultParagraphFont"/>
    <w:link w:val="Heading4"/>
    <w:uiPriority w:val="9"/>
    <w:rsid w:val="00F330EA"/>
    <w:rPr>
      <w:rFonts w:ascii="Arial" w:eastAsia="Arial" w:hAnsi="Arial" w:cs="Arial"/>
      <w:color w:val="666666"/>
      <w:lang w:val="en"/>
    </w:rPr>
  </w:style>
  <w:style w:type="character" w:customStyle="1" w:styleId="Heading5Char">
    <w:name w:val="Heading 5 Char"/>
    <w:basedOn w:val="DefaultParagraphFont"/>
    <w:link w:val="Heading5"/>
    <w:uiPriority w:val="9"/>
    <w:rsid w:val="00F330EA"/>
    <w:rPr>
      <w:rFonts w:ascii="Arial" w:eastAsia="Arial" w:hAnsi="Arial" w:cs="Arial"/>
      <w:color w:val="666666"/>
      <w:sz w:val="22"/>
      <w:szCs w:val="22"/>
      <w:lang w:val="en"/>
    </w:rPr>
  </w:style>
  <w:style w:type="character" w:customStyle="1" w:styleId="Heading6Char">
    <w:name w:val="Heading 6 Char"/>
    <w:basedOn w:val="DefaultParagraphFont"/>
    <w:link w:val="Heading6"/>
    <w:uiPriority w:val="9"/>
    <w:semiHidden/>
    <w:rsid w:val="00F330EA"/>
    <w:rPr>
      <w:rFonts w:ascii="Arial" w:eastAsia="Arial" w:hAnsi="Arial" w:cs="Arial"/>
      <w:i/>
      <w:color w:val="666666"/>
      <w:sz w:val="22"/>
      <w:szCs w:val="22"/>
      <w:lang w:val="en"/>
    </w:rPr>
  </w:style>
  <w:style w:type="paragraph" w:styleId="NormalWeb">
    <w:name w:val="Normal (Web)"/>
    <w:basedOn w:val="Normal"/>
    <w:uiPriority w:val="99"/>
    <w:unhideWhenUsed/>
    <w:rsid w:val="00F330EA"/>
    <w:pPr>
      <w:spacing w:before="100" w:beforeAutospacing="1" w:after="100" w:afterAutospacing="1"/>
    </w:pPr>
    <w:rPr>
      <w:rFonts w:ascii="Times New Roman" w:eastAsia="Times New Roman" w:hAnsi="Times New Roman" w:cs="Times New Roman"/>
      <w:lang w:val="es-CL" w:eastAsia="es-ES_tradnl"/>
    </w:rPr>
  </w:style>
  <w:style w:type="paragraph" w:customStyle="1" w:styleId="TextonotapieC1">
    <w:name w:val="Texto nota pie C1"/>
    <w:basedOn w:val="Normal"/>
    <w:next w:val="FootnoteText"/>
    <w:link w:val="TextonotapieCar"/>
    <w:uiPriority w:val="99"/>
    <w:unhideWhenUsed/>
    <w:qFormat/>
    <w:rsid w:val="00F330EA"/>
    <w:rPr>
      <w:sz w:val="20"/>
      <w:szCs w:val="20"/>
    </w:rPr>
  </w:style>
  <w:style w:type="character" w:customStyle="1" w:styleId="TextonotapieCar">
    <w:name w:val="Texto nota pie Car"/>
    <w:aliases w:val="FA Fu Car,Footnote Text Char Char Char Char Char Car,Footnote Text Char Char Char Char Car,Footnote reference Car,Footnote Text Char Char Char Car,Texto nota pie [MM] Car,FA Fußnotentext Car,FA Fuﬂnotentext Car,ft Car, Car1 Car,Ca Car"/>
    <w:basedOn w:val="DefaultParagraphFont"/>
    <w:link w:val="TextonotapieC1"/>
    <w:uiPriority w:val="99"/>
    <w:qFormat/>
    <w:rsid w:val="00F330EA"/>
    <w:rPr>
      <w:sz w:val="20"/>
      <w:szCs w:val="20"/>
    </w:rPr>
  </w:style>
  <w:style w:type="paragraph" w:customStyle="1" w:styleId="SingleTxtG">
    <w:name w:val="_ Single Txt_G"/>
    <w:link w:val="SingleTxtGChar"/>
    <w:qFormat/>
    <w:rsid w:val="00F330EA"/>
    <w:pPr>
      <w:pBdr>
        <w:top w:val="nil"/>
        <w:left w:val="nil"/>
        <w:bottom w:val="nil"/>
        <w:right w:val="nil"/>
        <w:between w:val="nil"/>
        <w:bar w:val="nil"/>
      </w:pBdr>
      <w:suppressAutoHyphens/>
      <w:spacing w:after="120" w:line="240" w:lineRule="atLeast"/>
      <w:ind w:left="1134" w:right="1134"/>
      <w:jc w:val="both"/>
    </w:pPr>
    <w:rPr>
      <w:rFonts w:ascii="Times New Roman" w:eastAsia="Arial Unicode MS" w:hAnsi="Times New Roman" w:cs="Arial Unicode MS"/>
      <w:color w:val="000000"/>
      <w:sz w:val="20"/>
      <w:szCs w:val="20"/>
      <w:u w:color="000000"/>
      <w:bdr w:val="nil"/>
      <w:lang w:eastAsia="en-GB"/>
    </w:rPr>
  </w:style>
  <w:style w:type="character" w:customStyle="1" w:styleId="SingleTxtGChar">
    <w:name w:val="_ Single Txt_G Char"/>
    <w:link w:val="SingleTxtG"/>
    <w:locked/>
    <w:rsid w:val="00F330EA"/>
    <w:rPr>
      <w:rFonts w:ascii="Times New Roman" w:eastAsia="Arial Unicode MS" w:hAnsi="Times New Roman" w:cs="Arial Unicode MS"/>
      <w:color w:val="000000"/>
      <w:sz w:val="20"/>
      <w:szCs w:val="20"/>
      <w:u w:color="000000"/>
      <w:bdr w:val="nil"/>
      <w:lang w:eastAsia="en-GB"/>
    </w:rPr>
  </w:style>
  <w:style w:type="character" w:customStyle="1" w:styleId="apple-converted-space">
    <w:name w:val="apple-converted-space"/>
    <w:basedOn w:val="DefaultParagraphFont"/>
    <w:rsid w:val="00F330EA"/>
  </w:style>
  <w:style w:type="paragraph" w:styleId="NoSpacing">
    <w:name w:val="No Spacing"/>
    <w:link w:val="NoSpacingChar"/>
    <w:uiPriority w:val="1"/>
    <w:qFormat/>
    <w:rsid w:val="00F330EA"/>
    <w:rPr>
      <w:rFonts w:eastAsiaTheme="minorEastAsia"/>
      <w:lang w:val="es-ES_tradnl" w:eastAsia="es-ES"/>
    </w:rPr>
  </w:style>
  <w:style w:type="paragraph" w:customStyle="1" w:styleId="ep-wysiwigparagraph">
    <w:name w:val="ep-wysiwig_paragraph"/>
    <w:basedOn w:val="Normal"/>
    <w:rsid w:val="00F330EA"/>
    <w:pPr>
      <w:spacing w:before="100" w:beforeAutospacing="1" w:after="100" w:afterAutospacing="1"/>
    </w:pPr>
    <w:rPr>
      <w:rFonts w:ascii="Times New Roman" w:eastAsia="Times New Roman" w:hAnsi="Times New Roman" w:cs="Times New Roman"/>
      <w:lang w:val="es-US" w:eastAsia="es-ES_tradnl"/>
    </w:rPr>
  </w:style>
  <w:style w:type="character" w:styleId="FollowedHyperlink">
    <w:name w:val="FollowedHyperlink"/>
    <w:basedOn w:val="DefaultParagraphFont"/>
    <w:uiPriority w:val="99"/>
    <w:unhideWhenUsed/>
    <w:rsid w:val="00F330EA"/>
    <w:rPr>
      <w:color w:val="954F72" w:themeColor="followedHyperlink"/>
      <w:u w:val="single"/>
    </w:rPr>
  </w:style>
  <w:style w:type="paragraph" w:customStyle="1" w:styleId="Normal1">
    <w:name w:val="Normal 1"/>
    <w:basedOn w:val="Normal"/>
    <w:link w:val="Normal1Char"/>
    <w:qFormat/>
    <w:rsid w:val="00F330EA"/>
    <w:pPr>
      <w:numPr>
        <w:numId w:val="1"/>
      </w:numPr>
      <w:spacing w:after="240"/>
      <w:jc w:val="both"/>
    </w:pPr>
    <w:rPr>
      <w:rFonts w:ascii="Cambria" w:hAnsi="Cambria"/>
      <w:sz w:val="20"/>
      <w:szCs w:val="20"/>
      <w:lang w:val="es-419"/>
    </w:rPr>
  </w:style>
  <w:style w:type="character" w:customStyle="1" w:styleId="Normal1Char">
    <w:name w:val="Normal 1 Char"/>
    <w:basedOn w:val="DefaultParagraphFont"/>
    <w:link w:val="Normal1"/>
    <w:rsid w:val="00F330EA"/>
    <w:rPr>
      <w:rFonts w:ascii="Cambria" w:hAnsi="Cambria"/>
      <w:sz w:val="20"/>
      <w:szCs w:val="20"/>
      <w:lang w:val="es-419"/>
    </w:rPr>
  </w:style>
  <w:style w:type="paragraph" w:styleId="Revision">
    <w:name w:val="Revision"/>
    <w:hidden/>
    <w:uiPriority w:val="99"/>
    <w:semiHidden/>
    <w:rsid w:val="00F330EA"/>
    <w:rPr>
      <w:sz w:val="22"/>
      <w:szCs w:val="22"/>
      <w:lang w:val="es-AR"/>
    </w:rPr>
  </w:style>
  <w:style w:type="paragraph" w:styleId="CommentSubject">
    <w:name w:val="annotation subject"/>
    <w:basedOn w:val="CommentText"/>
    <w:next w:val="CommentText"/>
    <w:link w:val="CommentSubjectChar"/>
    <w:uiPriority w:val="99"/>
    <w:semiHidden/>
    <w:unhideWhenUsed/>
    <w:rsid w:val="00F330EA"/>
    <w:pPr>
      <w:spacing w:after="200"/>
    </w:pPr>
    <w:rPr>
      <w:b/>
      <w:bCs/>
      <w:lang w:val="es-AR"/>
    </w:rPr>
  </w:style>
  <w:style w:type="character" w:customStyle="1" w:styleId="CommentSubjectChar">
    <w:name w:val="Comment Subject Char"/>
    <w:basedOn w:val="CommentTextChar"/>
    <w:link w:val="CommentSubject"/>
    <w:uiPriority w:val="99"/>
    <w:semiHidden/>
    <w:rsid w:val="00F330EA"/>
    <w:rPr>
      <w:b/>
      <w:bCs/>
      <w:sz w:val="20"/>
      <w:szCs w:val="20"/>
      <w:lang w:val="es-AR"/>
    </w:rPr>
  </w:style>
  <w:style w:type="paragraph" w:styleId="BodyText">
    <w:name w:val="Body Text"/>
    <w:basedOn w:val="Normal"/>
    <w:link w:val="BodyTextChar"/>
    <w:qFormat/>
    <w:rsid w:val="00A6582B"/>
    <w:pPr>
      <w:widowControl w:val="0"/>
      <w:ind w:left="120"/>
    </w:pPr>
    <w:rPr>
      <w:rFonts w:ascii="Cambria" w:eastAsia="Cambria" w:hAnsi="Cambria"/>
      <w:sz w:val="20"/>
      <w:szCs w:val="20"/>
    </w:rPr>
  </w:style>
  <w:style w:type="character" w:customStyle="1" w:styleId="BodyTextChar">
    <w:name w:val="Body Text Char"/>
    <w:basedOn w:val="DefaultParagraphFont"/>
    <w:link w:val="BodyText"/>
    <w:rsid w:val="00A6582B"/>
    <w:rPr>
      <w:rFonts w:ascii="Cambria" w:eastAsia="Cambria" w:hAnsi="Cambria"/>
      <w:sz w:val="20"/>
      <w:szCs w:val="20"/>
    </w:rPr>
  </w:style>
  <w:style w:type="paragraph" w:styleId="TOC1">
    <w:name w:val="toc 1"/>
    <w:basedOn w:val="Normal"/>
    <w:uiPriority w:val="39"/>
    <w:qFormat/>
    <w:rsid w:val="00DF4BF4"/>
    <w:pPr>
      <w:widowControl w:val="0"/>
      <w:ind w:left="2301" w:hanging="720"/>
    </w:pPr>
    <w:rPr>
      <w:rFonts w:ascii="Cambria" w:eastAsia="Cambria" w:hAnsi="Cambria"/>
      <w:sz w:val="22"/>
      <w:szCs w:val="22"/>
    </w:rPr>
  </w:style>
  <w:style w:type="paragraph" w:styleId="TOC2">
    <w:name w:val="toc 2"/>
    <w:basedOn w:val="Normal"/>
    <w:uiPriority w:val="1"/>
    <w:qFormat/>
    <w:rsid w:val="00DF4BF4"/>
    <w:pPr>
      <w:widowControl w:val="0"/>
      <w:spacing w:before="2"/>
      <w:ind w:left="2321"/>
    </w:pPr>
    <w:rPr>
      <w:rFonts w:ascii="Cambria" w:eastAsia="Cambria" w:hAnsi="Cambria"/>
      <w:sz w:val="22"/>
      <w:szCs w:val="22"/>
    </w:rPr>
  </w:style>
  <w:style w:type="paragraph" w:customStyle="1" w:styleId="TableParagraph">
    <w:name w:val="Table Paragraph"/>
    <w:basedOn w:val="Normal"/>
    <w:uiPriority w:val="1"/>
    <w:qFormat/>
    <w:rsid w:val="00DF4BF4"/>
    <w:pPr>
      <w:widowControl w:val="0"/>
    </w:pPr>
    <w:rPr>
      <w:sz w:val="22"/>
      <w:szCs w:val="22"/>
    </w:rPr>
  </w:style>
  <w:style w:type="paragraph" w:customStyle="1" w:styleId="paragraphs">
    <w:name w:val="paragraphs"/>
    <w:basedOn w:val="Normal"/>
    <w:link w:val="paragraphsChar"/>
    <w:qFormat/>
    <w:rsid w:val="00AE1575"/>
    <w:pPr>
      <w:numPr>
        <w:numId w:val="2"/>
      </w:numPr>
      <w:spacing w:after="240"/>
      <w:jc w:val="both"/>
    </w:pPr>
    <w:rPr>
      <w:rFonts w:ascii="Cambria" w:eastAsia="Calibri" w:hAnsi="Cambria" w:cs="Times New Roman"/>
      <w:sz w:val="20"/>
      <w:szCs w:val="20"/>
      <w:lang w:val="es-ES_tradnl"/>
    </w:rPr>
  </w:style>
  <w:style w:type="character" w:customStyle="1" w:styleId="paragraphsChar">
    <w:name w:val="paragraphs Char"/>
    <w:link w:val="paragraphs"/>
    <w:rsid w:val="00AE1575"/>
    <w:rPr>
      <w:rFonts w:ascii="Cambria" w:eastAsia="Calibri" w:hAnsi="Cambria" w:cs="Times New Roman"/>
      <w:sz w:val="20"/>
      <w:szCs w:val="20"/>
      <w:lang w:val="es-ES_tradnl"/>
    </w:rPr>
  </w:style>
  <w:style w:type="character" w:customStyle="1" w:styleId="Nenhum">
    <w:name w:val="Nenhum"/>
    <w:rsid w:val="00AE1575"/>
  </w:style>
  <w:style w:type="paragraph" w:customStyle="1" w:styleId="Default">
    <w:name w:val="Default"/>
    <w:rsid w:val="00AE1575"/>
    <w:pPr>
      <w:autoSpaceDE w:val="0"/>
      <w:autoSpaceDN w:val="0"/>
      <w:adjustRightInd w:val="0"/>
    </w:pPr>
    <w:rPr>
      <w:rFonts w:ascii="Calibri" w:eastAsia="Times New Roman" w:hAnsi="Calibri" w:cs="Calibri"/>
      <w:color w:val="000000"/>
    </w:rPr>
  </w:style>
  <w:style w:type="paragraph" w:customStyle="1" w:styleId="Char2">
    <w:name w:val="Char2"/>
    <w:basedOn w:val="Normal"/>
    <w:link w:val="FootnoteReference"/>
    <w:uiPriority w:val="99"/>
    <w:rsid w:val="00AE1575"/>
    <w:pPr>
      <w:spacing w:after="160" w:line="240" w:lineRule="exact"/>
    </w:pPr>
    <w:rPr>
      <w:vertAlign w:val="superscript"/>
    </w:rPr>
  </w:style>
  <w:style w:type="table" w:styleId="ListTable4-Accent1">
    <w:name w:val="List Table 4 Accent 1"/>
    <w:basedOn w:val="TableNormal"/>
    <w:uiPriority w:val="49"/>
    <w:rsid w:val="00AE157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xmsolistparagraph">
    <w:name w:val="x_xmsolistparagraph"/>
    <w:basedOn w:val="Normal"/>
    <w:rsid w:val="00AE1575"/>
    <w:pPr>
      <w:spacing w:before="100" w:beforeAutospacing="1" w:after="100" w:afterAutospacing="1"/>
    </w:pPr>
    <w:rPr>
      <w:rFonts w:ascii="Calibri" w:eastAsia="MS Mincho" w:hAnsi="Calibri" w:cs="Calibri"/>
      <w:sz w:val="22"/>
      <w:szCs w:val="22"/>
    </w:rPr>
  </w:style>
  <w:style w:type="table" w:styleId="ListTable4-Accent5">
    <w:name w:val="List Table 4 Accent 5"/>
    <w:basedOn w:val="TableNormal"/>
    <w:uiPriority w:val="49"/>
    <w:rsid w:val="00AE157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arrafos">
    <w:name w:val="parrafos"/>
    <w:basedOn w:val="ListParagraph"/>
    <w:link w:val="parrafosChar"/>
    <w:qFormat/>
    <w:rsid w:val="00DD21EA"/>
    <w:pPr>
      <w:numPr>
        <w:numId w:val="3"/>
      </w:numPr>
      <w:spacing w:after="240"/>
      <w:contextualSpacing w:val="0"/>
      <w:jc w:val="both"/>
    </w:pPr>
    <w:rPr>
      <w:rFonts w:ascii="Cambria" w:eastAsia="Cambria" w:hAnsi="Cambria" w:cs="Cambria"/>
      <w:sz w:val="20"/>
      <w:szCs w:val="20"/>
    </w:rPr>
  </w:style>
  <w:style w:type="character" w:customStyle="1" w:styleId="parrafosChar">
    <w:name w:val="parrafos Char"/>
    <w:basedOn w:val="DefaultParagraphFont"/>
    <w:link w:val="parrafos"/>
    <w:rsid w:val="00DD21EA"/>
    <w:rPr>
      <w:rFonts w:ascii="Cambria" w:eastAsia="Cambria" w:hAnsi="Cambria" w:cs="Cambria"/>
      <w:sz w:val="20"/>
      <w:szCs w:val="20"/>
    </w:rPr>
  </w:style>
  <w:style w:type="numbering" w:customStyle="1" w:styleId="NoList1">
    <w:name w:val="No List1"/>
    <w:next w:val="NoList"/>
    <w:uiPriority w:val="99"/>
    <w:semiHidden/>
    <w:unhideWhenUsed/>
    <w:rsid w:val="008668B8"/>
  </w:style>
  <w:style w:type="paragraph" w:customStyle="1" w:styleId="Body">
    <w:name w:val="Body"/>
    <w:link w:val="BodyChar"/>
    <w:rsid w:val="008668B8"/>
    <w:pPr>
      <w:pBdr>
        <w:top w:val="nil"/>
        <w:left w:val="nil"/>
        <w:bottom w:val="nil"/>
        <w:right w:val="nil"/>
        <w:between w:val="nil"/>
        <w:bar w:val="nil"/>
      </w:pBdr>
    </w:pPr>
    <w:rPr>
      <w:rFonts w:ascii="Calibri" w:eastAsia="Calibri" w:hAnsi="Calibri" w:cs="Calibri"/>
      <w:color w:val="000000"/>
      <w:u w:color="000000"/>
      <w:bdr w:val="nil"/>
      <w14:textOutline w14:w="0" w14:cap="flat" w14:cmpd="sng" w14:algn="ctr">
        <w14:noFill/>
        <w14:prstDash w14:val="solid"/>
        <w14:bevel/>
      </w14:textOutline>
    </w:rPr>
  </w:style>
  <w:style w:type="paragraph" w:customStyle="1" w:styleId="HeaderFooter">
    <w:name w:val="Header &amp; Footer"/>
    <w:rsid w:val="008668B8"/>
    <w:pPr>
      <w:pBdr>
        <w:top w:val="nil"/>
        <w:left w:val="nil"/>
        <w:bottom w:val="nil"/>
        <w:right w:val="nil"/>
        <w:between w:val="nil"/>
        <w:bar w:val="nil"/>
      </w:pBdr>
      <w:tabs>
        <w:tab w:val="right" w:pos="9020"/>
      </w:tabs>
    </w:pPr>
    <w:rPr>
      <w:rFonts w:ascii="Helvetica Neue" w:eastAsia="Helvetica Neue" w:hAnsi="Helvetica Neue" w:cs="Helvetica Neue"/>
      <w:color w:val="000000"/>
      <w:bdr w:val="nil"/>
      <w14:textOutline w14:w="0" w14:cap="flat" w14:cmpd="sng" w14:algn="ctr">
        <w14:noFill/>
        <w14:prstDash w14:val="solid"/>
        <w14:bevel/>
      </w14:textOutline>
    </w:rPr>
  </w:style>
  <w:style w:type="numbering" w:customStyle="1" w:styleId="ImportedStyle1">
    <w:name w:val="Imported Style 1"/>
    <w:rsid w:val="008668B8"/>
    <w:pPr>
      <w:numPr>
        <w:numId w:val="5"/>
      </w:numPr>
    </w:pPr>
  </w:style>
  <w:style w:type="character" w:customStyle="1" w:styleId="None">
    <w:name w:val="None"/>
    <w:rsid w:val="008668B8"/>
  </w:style>
  <w:style w:type="character" w:customStyle="1" w:styleId="Hyperlink0">
    <w:name w:val="Hyperlink.0"/>
    <w:basedOn w:val="None"/>
    <w:rsid w:val="008668B8"/>
    <w:rPr>
      <w:outline w:val="0"/>
      <w:color w:val="0563C1"/>
      <w:u w:val="single" w:color="0563C1"/>
      <w:lang w:val="es-ES_tradnl"/>
    </w:rPr>
  </w:style>
  <w:style w:type="character" w:customStyle="1" w:styleId="Link">
    <w:name w:val="Link"/>
    <w:rsid w:val="008668B8"/>
    <w:rPr>
      <w:outline w:val="0"/>
      <w:color w:val="0563C1"/>
      <w:u w:val="single" w:color="0563C1"/>
    </w:rPr>
  </w:style>
  <w:style w:type="character" w:customStyle="1" w:styleId="Hyperlink1">
    <w:name w:val="Hyperlink.1"/>
    <w:basedOn w:val="Link"/>
    <w:rsid w:val="008668B8"/>
    <w:rPr>
      <w:outline w:val="0"/>
      <w:color w:val="0563C1"/>
      <w:u w:val="single" w:color="0563C1"/>
      <w:lang w:val="es-ES_tradnl"/>
    </w:rPr>
  </w:style>
  <w:style w:type="character" w:customStyle="1" w:styleId="Hyperlink2">
    <w:name w:val="Hyperlink.2"/>
    <w:basedOn w:val="None"/>
    <w:rsid w:val="008668B8"/>
    <w:rPr>
      <w:outline w:val="0"/>
      <w:color w:val="0D499C"/>
      <w:u w:val="single" w:color="0D499C"/>
      <w:shd w:val="clear" w:color="auto" w:fill="FFFFFF"/>
      <w:lang w:val="es-ES_tradnl"/>
    </w:rPr>
  </w:style>
  <w:style w:type="character" w:customStyle="1" w:styleId="Hyperlink3">
    <w:name w:val="Hyperlink.3"/>
    <w:basedOn w:val="Link"/>
    <w:rsid w:val="008668B8"/>
    <w:rPr>
      <w:outline w:val="0"/>
      <w:color w:val="0563C1"/>
      <w:u w:val="single" w:color="0563C1"/>
      <w:shd w:val="clear" w:color="auto" w:fill="FFFFFF"/>
      <w:lang w:val="es-ES_tradnl"/>
    </w:rPr>
  </w:style>
  <w:style w:type="numbering" w:customStyle="1" w:styleId="ImportedStyle2">
    <w:name w:val="Imported Style 2"/>
    <w:rsid w:val="008668B8"/>
    <w:pPr>
      <w:numPr>
        <w:numId w:val="6"/>
      </w:numPr>
    </w:pPr>
  </w:style>
  <w:style w:type="numbering" w:customStyle="1" w:styleId="ImportedStyle3">
    <w:name w:val="Imported Style 3"/>
    <w:rsid w:val="008668B8"/>
    <w:pPr>
      <w:numPr>
        <w:numId w:val="7"/>
      </w:numPr>
    </w:pPr>
  </w:style>
  <w:style w:type="character" w:customStyle="1" w:styleId="Hyperlink4">
    <w:name w:val="Hyperlink.4"/>
    <w:basedOn w:val="Link"/>
    <w:rsid w:val="008668B8"/>
    <w:rPr>
      <w:outline w:val="0"/>
      <w:color w:val="0563C1"/>
      <w:sz w:val="16"/>
      <w:szCs w:val="16"/>
      <w:u w:val="single" w:color="0563C1"/>
      <w:lang w:val="es-ES_tradnl"/>
    </w:rPr>
  </w:style>
  <w:style w:type="table" w:customStyle="1" w:styleId="GridTable4-Accent51">
    <w:name w:val="Grid Table 4 - Accent 51"/>
    <w:basedOn w:val="TableNormal"/>
    <w:next w:val="GridTable4-Accent5"/>
    <w:uiPriority w:val="49"/>
    <w:rsid w:val="008668B8"/>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8668B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Mention">
    <w:name w:val="Mention"/>
    <w:basedOn w:val="DefaultParagraphFont"/>
    <w:uiPriority w:val="99"/>
    <w:unhideWhenUsed/>
    <w:rsid w:val="008668B8"/>
    <w:rPr>
      <w:color w:val="2B579A"/>
      <w:shd w:val="clear" w:color="auto" w:fill="E6E6E6"/>
    </w:rPr>
  </w:style>
  <w:style w:type="paragraph" w:styleId="TOCHeading">
    <w:name w:val="TOC Heading"/>
    <w:basedOn w:val="Heading1"/>
    <w:next w:val="Normal"/>
    <w:uiPriority w:val="39"/>
    <w:unhideWhenUsed/>
    <w:qFormat/>
    <w:rsid w:val="008668B8"/>
    <w:pPr>
      <w:spacing w:line="259" w:lineRule="auto"/>
      <w:outlineLvl w:val="9"/>
    </w:pPr>
  </w:style>
  <w:style w:type="paragraph" w:styleId="TOC3">
    <w:name w:val="toc 3"/>
    <w:basedOn w:val="Normal"/>
    <w:next w:val="Normal"/>
    <w:autoRedefine/>
    <w:uiPriority w:val="39"/>
    <w:unhideWhenUsed/>
    <w:rsid w:val="008668B8"/>
    <w:pPr>
      <w:spacing w:after="100"/>
      <w:ind w:left="480"/>
    </w:pPr>
  </w:style>
  <w:style w:type="character" w:customStyle="1" w:styleId="fontstyle01">
    <w:name w:val="fontstyle01"/>
    <w:basedOn w:val="DefaultParagraphFont"/>
    <w:uiPriority w:val="1"/>
    <w:rsid w:val="008668B8"/>
    <w:rPr>
      <w:rFonts w:ascii="Cambria" w:eastAsia="Calibri" w:hAnsi="Cambria" w:cs="Times New Roman"/>
      <w:b w:val="0"/>
      <w:bCs w:val="0"/>
      <w:i w:val="0"/>
      <w:iCs w:val="0"/>
      <w:color w:val="000000" w:themeColor="text1"/>
      <w:sz w:val="22"/>
      <w:szCs w:val="22"/>
    </w:rPr>
  </w:style>
  <w:style w:type="paragraph" w:styleId="BalloonText">
    <w:name w:val="Balloon Text"/>
    <w:basedOn w:val="Normal"/>
    <w:link w:val="BalloonTextChar"/>
    <w:uiPriority w:val="99"/>
    <w:semiHidden/>
    <w:unhideWhenUsed/>
    <w:rsid w:val="007704F4"/>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704F4"/>
    <w:rPr>
      <w:rFonts w:ascii="Tahoma" w:eastAsia="Calibri" w:hAnsi="Tahoma" w:cs="Tahoma"/>
      <w:sz w:val="16"/>
      <w:szCs w:val="16"/>
    </w:rPr>
  </w:style>
  <w:style w:type="character" w:customStyle="1" w:styleId="NoSpacingChar">
    <w:name w:val="No Spacing Char"/>
    <w:link w:val="NoSpacing"/>
    <w:uiPriority w:val="1"/>
    <w:rsid w:val="007704F4"/>
    <w:rPr>
      <w:rFonts w:eastAsiaTheme="minorEastAsia"/>
      <w:lang w:val="es-ES_tradnl" w:eastAsia="es-ES"/>
    </w:rPr>
  </w:style>
  <w:style w:type="table" w:styleId="ColorfulList-Accent1">
    <w:name w:val="Colorful List Accent 1"/>
    <w:basedOn w:val="TableNormal"/>
    <w:uiPriority w:val="34"/>
    <w:unhideWhenUsed/>
    <w:rsid w:val="007704F4"/>
    <w:rPr>
      <w:rFonts w:ascii="Cambria" w:eastAsia="Cambria" w:hAnsi="Cambria" w:cs="Cambria"/>
      <w:color w:val="000000"/>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inguno">
    <w:name w:val="Ninguno"/>
    <w:rsid w:val="007704F4"/>
    <w:rPr>
      <w:lang w:val="en-US"/>
    </w:rPr>
  </w:style>
  <w:style w:type="numbering" w:styleId="111111">
    <w:name w:val="Outline List 2"/>
    <w:basedOn w:val="NoList"/>
    <w:uiPriority w:val="99"/>
    <w:semiHidden/>
    <w:unhideWhenUsed/>
    <w:rsid w:val="007704F4"/>
    <w:pPr>
      <w:numPr>
        <w:numId w:val="65"/>
      </w:numPr>
    </w:pPr>
  </w:style>
  <w:style w:type="character" w:styleId="Emphasis">
    <w:name w:val="Emphasis"/>
    <w:uiPriority w:val="20"/>
    <w:qFormat/>
    <w:rsid w:val="007704F4"/>
    <w:rPr>
      <w:i/>
      <w:iCs/>
    </w:rPr>
  </w:style>
  <w:style w:type="character" w:customStyle="1" w:styleId="Cuadrculamediana2Car">
    <w:name w:val="Cuadrícula mediana 2 Car"/>
    <w:aliases w:val="Informes Car"/>
    <w:link w:val="MediumGrid2"/>
    <w:uiPriority w:val="1"/>
    <w:rsid w:val="007704F4"/>
    <w:rPr>
      <w:rFonts w:ascii="Cambria" w:hAnsi="Cambria"/>
      <w:sz w:val="16"/>
      <w:lang w:bidi="ar-SA"/>
    </w:rPr>
  </w:style>
  <w:style w:type="table" w:styleId="MediumGrid2">
    <w:name w:val="Medium Grid 2"/>
    <w:basedOn w:val="TableNormal"/>
    <w:link w:val="Cuadrculamediana2Car"/>
    <w:uiPriority w:val="1"/>
    <w:rsid w:val="007704F4"/>
    <w:rPr>
      <w:rFonts w:ascii="Cambria" w:hAnsi="Cambria"/>
      <w:sz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Sombreadomediano1-nfasis1Car">
    <w:name w:val="Sombreado mediano 1 - Énfasis 1 Car"/>
    <w:link w:val="MediumShading1-Accent1"/>
    <w:rsid w:val="007704F4"/>
    <w:rPr>
      <w:rFonts w:eastAsia="MS Mincho"/>
      <w:sz w:val="22"/>
      <w:szCs w:val="22"/>
      <w:lang w:val="en-US" w:eastAsia="en-US"/>
    </w:rPr>
  </w:style>
  <w:style w:type="table" w:styleId="MediumShading1-Accent1">
    <w:name w:val="Medium Shading 1 Accent 1"/>
    <w:basedOn w:val="TableNormal"/>
    <w:link w:val="Sombreadomediano1-nfasis1Car"/>
    <w:rsid w:val="007704F4"/>
    <w:rPr>
      <w:rFonts w:eastAsia="MS Mincho"/>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7704F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s-ES"/>
    </w:rPr>
  </w:style>
  <w:style w:type="character" w:customStyle="1" w:styleId="Fuentedeprrafopredeter1">
    <w:name w:val="Fuente de párrafo predeter.1"/>
    <w:qFormat/>
    <w:rsid w:val="007704F4"/>
  </w:style>
  <w:style w:type="paragraph" w:customStyle="1" w:styleId="Standard">
    <w:name w:val="Standard"/>
    <w:qFormat/>
    <w:rsid w:val="007704F4"/>
    <w:pPr>
      <w:suppressAutoHyphens/>
      <w:textAlignment w:val="baseline"/>
    </w:pPr>
    <w:rPr>
      <w:rFonts w:ascii="Liberation Serif" w:eastAsia="Tahoma" w:hAnsi="Liberation Serif" w:cs="Lohit Devanagari"/>
      <w:color w:val="00000A"/>
      <w:lang w:eastAsia="zh-CN" w:bidi="hi-IN"/>
    </w:rPr>
  </w:style>
  <w:style w:type="paragraph" w:styleId="DocumentMap">
    <w:name w:val="Document Map"/>
    <w:basedOn w:val="Normal"/>
    <w:link w:val="DocumentMapChar"/>
    <w:uiPriority w:val="99"/>
    <w:semiHidden/>
    <w:unhideWhenUsed/>
    <w:rsid w:val="007704F4"/>
    <w:pPr>
      <w:jc w:val="both"/>
    </w:pPr>
    <w:rPr>
      <w:rFonts w:ascii="Lucida Grande" w:eastAsia="Calibri" w:hAnsi="Lucida Grande" w:cs="Times New Roman"/>
    </w:rPr>
  </w:style>
  <w:style w:type="character" w:customStyle="1" w:styleId="DocumentMapChar">
    <w:name w:val="Document Map Char"/>
    <w:basedOn w:val="DefaultParagraphFont"/>
    <w:link w:val="DocumentMap"/>
    <w:uiPriority w:val="99"/>
    <w:semiHidden/>
    <w:rsid w:val="007704F4"/>
    <w:rPr>
      <w:rFonts w:ascii="Lucida Grande" w:eastAsia="Calibri" w:hAnsi="Lucida Grande" w:cs="Times New Roman"/>
    </w:rPr>
  </w:style>
  <w:style w:type="character" w:customStyle="1" w:styleId="UnresolvedMention1">
    <w:name w:val="Unresolved Mention1"/>
    <w:uiPriority w:val="99"/>
    <w:semiHidden/>
    <w:unhideWhenUsed/>
    <w:rsid w:val="007704F4"/>
    <w:rPr>
      <w:color w:val="605E5C"/>
      <w:shd w:val="clear" w:color="auto" w:fill="E1DFDD"/>
    </w:rPr>
  </w:style>
  <w:style w:type="paragraph" w:styleId="BodyTextIndent">
    <w:name w:val="Body Text Indent"/>
    <w:link w:val="BodyTextIndentChar"/>
    <w:uiPriority w:val="99"/>
    <w:rsid w:val="007704F4"/>
    <w:pPr>
      <w:pBdr>
        <w:top w:val="nil"/>
        <w:left w:val="nil"/>
        <w:bottom w:val="nil"/>
        <w:right w:val="nil"/>
        <w:between w:val="nil"/>
        <w:bar w:val="nil"/>
      </w:pBdr>
      <w:ind w:left="2160" w:hanging="720"/>
    </w:pPr>
    <w:rPr>
      <w:rFonts w:ascii="Times New Roman" w:eastAsia="Times New Roman" w:hAnsi="Times New Roman" w:cs="Times New Roman"/>
      <w:color w:val="000000"/>
      <w:u w:color="000000"/>
      <w:bdr w:val="nil"/>
      <w:lang w:eastAsia="es-ES"/>
    </w:rPr>
  </w:style>
  <w:style w:type="character" w:customStyle="1" w:styleId="BodyTextIndentChar">
    <w:name w:val="Body Text Indent Char"/>
    <w:basedOn w:val="DefaultParagraphFont"/>
    <w:link w:val="BodyTextIndent"/>
    <w:uiPriority w:val="99"/>
    <w:rsid w:val="007704F4"/>
    <w:rPr>
      <w:rFonts w:ascii="Times New Roman" w:eastAsia="Times New Roman" w:hAnsi="Times New Roman" w:cs="Times New Roman"/>
      <w:color w:val="000000"/>
      <w:u w:color="000000"/>
      <w:bdr w:val="nil"/>
      <w:lang w:eastAsia="es-ES"/>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7704F4"/>
    <w:pPr>
      <w:spacing w:after="160" w:line="240" w:lineRule="exact"/>
    </w:pPr>
    <w:rPr>
      <w:rFonts w:ascii="Calibri" w:eastAsia="Calibri" w:hAnsi="Calibri" w:cs="Times New Roman"/>
      <w:sz w:val="20"/>
      <w:szCs w:val="20"/>
      <w:vertAlign w:val="superscript"/>
    </w:rPr>
  </w:style>
  <w:style w:type="table" w:customStyle="1" w:styleId="TableGrid1">
    <w:name w:val="Table Grid1"/>
    <w:basedOn w:val="TableNormal"/>
    <w:next w:val="TableGrid"/>
    <w:uiPriority w:val="59"/>
    <w:rsid w:val="007704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uiPriority w:val="99"/>
    <w:rsid w:val="007704F4"/>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odyTextIndent2">
    <w:name w:val="Body Text Indent 2"/>
    <w:basedOn w:val="Normal"/>
    <w:link w:val="BodyTextIndent2Char"/>
    <w:uiPriority w:val="99"/>
    <w:unhideWhenUsed/>
    <w:rsid w:val="007704F4"/>
    <w:pPr>
      <w:spacing w:after="120" w:line="480" w:lineRule="auto"/>
      <w:ind w:left="360"/>
    </w:pPr>
    <w:rPr>
      <w:rFonts w:ascii="Calibri" w:eastAsia="Calibri" w:hAnsi="Calibri" w:cs="Times New Roman"/>
      <w:sz w:val="22"/>
      <w:szCs w:val="22"/>
    </w:rPr>
  </w:style>
  <w:style w:type="character" w:customStyle="1" w:styleId="BodyTextIndent2Char">
    <w:name w:val="Body Text Indent 2 Char"/>
    <w:basedOn w:val="DefaultParagraphFont"/>
    <w:link w:val="BodyTextIndent2"/>
    <w:uiPriority w:val="99"/>
    <w:rsid w:val="007704F4"/>
    <w:rPr>
      <w:rFonts w:ascii="Calibri" w:eastAsia="Calibri" w:hAnsi="Calibri" w:cs="Times New Roman"/>
      <w:sz w:val="22"/>
      <w:szCs w:val="22"/>
    </w:rPr>
  </w:style>
  <w:style w:type="paragraph" w:customStyle="1" w:styleId="Appelnotedebasde">
    <w:name w:val="Appel note de bas de..."/>
    <w:basedOn w:val="Normal"/>
    <w:rsid w:val="007704F4"/>
    <w:pPr>
      <w:spacing w:after="160" w:line="240" w:lineRule="exact"/>
    </w:pPr>
    <w:rPr>
      <w:rFonts w:ascii="Calibri" w:eastAsia="Calibri" w:hAnsi="Calibri" w:cs="Times New Roman"/>
      <w:sz w:val="20"/>
      <w:szCs w:val="20"/>
      <w:vertAlign w:val="superscript"/>
      <w:lang w:eastAsia="es-ES"/>
    </w:rPr>
  </w:style>
  <w:style w:type="table" w:customStyle="1" w:styleId="TableContemporary1">
    <w:name w:val="Table Contemporary1"/>
    <w:basedOn w:val="TableNormal"/>
    <w:next w:val="TableContemporary"/>
    <w:uiPriority w:val="99"/>
    <w:rsid w:val="007704F4"/>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EndnoteText">
    <w:name w:val="endnote text"/>
    <w:basedOn w:val="Normal"/>
    <w:link w:val="EndnoteTextChar"/>
    <w:uiPriority w:val="99"/>
    <w:semiHidden/>
    <w:unhideWhenUsed/>
    <w:rsid w:val="007704F4"/>
    <w:pPr>
      <w:spacing w:after="200" w:line="276"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7704F4"/>
    <w:rPr>
      <w:rFonts w:ascii="Calibri" w:eastAsia="Calibri" w:hAnsi="Calibri" w:cs="Times New Roman"/>
      <w:sz w:val="20"/>
      <w:szCs w:val="20"/>
    </w:rPr>
  </w:style>
  <w:style w:type="character" w:styleId="EndnoteReference">
    <w:name w:val="endnote reference"/>
    <w:uiPriority w:val="99"/>
    <w:semiHidden/>
    <w:unhideWhenUsed/>
    <w:rsid w:val="007704F4"/>
    <w:rPr>
      <w:vertAlign w:val="superscript"/>
    </w:rPr>
  </w:style>
  <w:style w:type="character" w:customStyle="1" w:styleId="MediumGrid2Char">
    <w:name w:val="Medium Grid 2 Char"/>
    <w:uiPriority w:val="1"/>
    <w:rsid w:val="007704F4"/>
    <w:rPr>
      <w:rFonts w:eastAsia="MS Mincho" w:cs="Arial"/>
      <w:sz w:val="22"/>
      <w:szCs w:val="22"/>
      <w:lang w:val="en-US" w:eastAsia="ja-JP"/>
    </w:rPr>
  </w:style>
  <w:style w:type="table" w:customStyle="1" w:styleId="TableGrid2">
    <w:name w:val="Table Grid2"/>
    <w:basedOn w:val="TableNormal"/>
    <w:next w:val="TableGrid"/>
    <w:uiPriority w:val="39"/>
    <w:rsid w:val="007704F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704F4"/>
  </w:style>
  <w:style w:type="table" w:customStyle="1" w:styleId="ColorfulList-Accent12">
    <w:name w:val="Colorful List - Accent 12"/>
    <w:basedOn w:val="TableNormal"/>
    <w:next w:val="ColorfulList-Accent1"/>
    <w:uiPriority w:val="34"/>
    <w:unhideWhenUsed/>
    <w:rsid w:val="007704F4"/>
    <w:rPr>
      <w:rFonts w:ascii="Cambria" w:eastAsia="Cambria" w:hAnsi="Cambria" w:cs="Cambria"/>
      <w:color w:val="000000"/>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1"/>
    <w:rsid w:val="007704F4"/>
    <w:rPr>
      <w:rFonts w:ascii="Cambria" w:eastAsia="Calibri" w:hAnsi="Cambria" w:cs="Times New Roman"/>
      <w:sz w:val="16"/>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rsid w:val="007704F4"/>
    <w:rPr>
      <w:rFonts w:ascii="Calibri" w:eastAsia="MS Mincho" w:hAnsi="Calibri" w:cs="Times New Roman"/>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7704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704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7704F4"/>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7704F4"/>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7704F4"/>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7704F4"/>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7704F4"/>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7704F4"/>
    <w:rPr>
      <w:rFonts w:ascii="Calibri" w:eastAsia="MS Mincho" w:hAnsi="Calibri" w:cs="Arial"/>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7704F4"/>
    <w:rPr>
      <w:rFonts w:ascii="Cambria" w:eastAsia="Cambria" w:hAnsi="Cambria" w:cs="Cambria"/>
      <w:color w:val="000000"/>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7704F4"/>
    <w:pPr>
      <w:spacing w:before="100" w:beforeAutospacing="1" w:after="100" w:afterAutospacing="1"/>
    </w:pPr>
    <w:rPr>
      <w:rFonts w:ascii="Calibri" w:eastAsia="Times New Roman" w:hAnsi="Calibri" w:cs="Calibri"/>
      <w:b/>
      <w:bCs/>
      <w:i/>
      <w:iCs/>
      <w:color w:val="FFFFFF"/>
      <w:sz w:val="22"/>
      <w:szCs w:val="22"/>
    </w:rPr>
  </w:style>
  <w:style w:type="paragraph" w:customStyle="1" w:styleId="xl63">
    <w:name w:val="xl63"/>
    <w:basedOn w:val="Normal"/>
    <w:rsid w:val="007704F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4">
    <w:name w:val="xl64"/>
    <w:basedOn w:val="Normal"/>
    <w:rsid w:val="007704F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5">
    <w:name w:val="xl65"/>
    <w:basedOn w:val="Normal"/>
    <w:rsid w:val="007704F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6">
    <w:name w:val="xl66"/>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9">
    <w:name w:val="xl69"/>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0">
    <w:name w:val="xl70"/>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1">
    <w:name w:val="xl71"/>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72">
    <w:name w:val="xl72"/>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4">
    <w:name w:val="xl74"/>
    <w:basedOn w:val="Normal"/>
    <w:rsid w:val="007704F4"/>
    <w:pPr>
      <w:spacing w:before="100" w:beforeAutospacing="1" w:after="100" w:afterAutospacing="1"/>
      <w:jc w:val="center"/>
      <w:textAlignment w:val="center"/>
    </w:pPr>
    <w:rPr>
      <w:rFonts w:ascii="Times New Roman" w:eastAsia="Times New Roman" w:hAnsi="Times New Roman" w:cs="Times New Roman"/>
    </w:rPr>
  </w:style>
  <w:style w:type="table" w:customStyle="1" w:styleId="GridTable5Dark-Accent11">
    <w:name w:val="Grid Table 5 Dark - Accent 11"/>
    <w:basedOn w:val="TableNormal"/>
    <w:uiPriority w:val="50"/>
    <w:rsid w:val="007704F4"/>
    <w:rPr>
      <w:rFonts w:eastAsiaTheme="minorEastAsia"/>
      <w:sz w:val="21"/>
      <w:szCs w:val="21"/>
      <w:lang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Listainformes">
    <w:name w:val="Lista informes"/>
    <w:basedOn w:val="ListParagraph"/>
    <w:link w:val="ListainformesChar"/>
    <w:qFormat/>
    <w:rsid w:val="007704F4"/>
    <w:pPr>
      <w:numPr>
        <w:numId w:val="64"/>
      </w:numPr>
      <w:autoSpaceDE w:val="0"/>
      <w:autoSpaceDN w:val="0"/>
      <w:adjustRightInd w:val="0"/>
      <w:ind w:left="1440" w:hanging="720"/>
      <w:contextualSpacing w:val="0"/>
      <w:jc w:val="both"/>
    </w:pPr>
    <w:rPr>
      <w:rFonts w:ascii="Cambria" w:eastAsia="Calibri" w:hAnsi="Cambria" w:cs="Calibri"/>
      <w:sz w:val="20"/>
      <w:szCs w:val="20"/>
    </w:rPr>
  </w:style>
  <w:style w:type="character" w:customStyle="1" w:styleId="ListainformesChar">
    <w:name w:val="Lista informes Char"/>
    <w:basedOn w:val="DefaultParagraphFont"/>
    <w:link w:val="Listainformes"/>
    <w:rsid w:val="007704F4"/>
    <w:rPr>
      <w:rFonts w:ascii="Cambria" w:eastAsia="Calibri" w:hAnsi="Cambria" w:cs="Calibri"/>
      <w:sz w:val="20"/>
      <w:szCs w:val="20"/>
    </w:rPr>
  </w:style>
  <w:style w:type="character" w:customStyle="1" w:styleId="normaltextrun1">
    <w:name w:val="normaltextrun1"/>
    <w:basedOn w:val="DefaultParagraphFont"/>
    <w:rsid w:val="007704F4"/>
  </w:style>
  <w:style w:type="paragraph" w:customStyle="1" w:styleId="xmsolistparagraph">
    <w:name w:val="x_msolistparagraph"/>
    <w:basedOn w:val="Normal"/>
    <w:rsid w:val="007704F4"/>
    <w:pPr>
      <w:spacing w:before="100" w:beforeAutospacing="1" w:after="100" w:afterAutospacing="1"/>
    </w:pPr>
    <w:rPr>
      <w:rFonts w:ascii="Times New Roman" w:eastAsia="Times New Roman" w:hAnsi="Times New Roman" w:cs="Times New Roman"/>
      <w:lang w:eastAsia="es-ES_tradnl"/>
    </w:rPr>
  </w:style>
  <w:style w:type="paragraph" w:customStyle="1" w:styleId="Style1">
    <w:name w:val="Style1"/>
    <w:basedOn w:val="Heading2"/>
    <w:link w:val="Style1Char"/>
    <w:qFormat/>
    <w:rsid w:val="007704F4"/>
    <w:pPr>
      <w:keepNext w:val="0"/>
      <w:keepLines w:val="0"/>
      <w:numPr>
        <w:numId w:val="66"/>
      </w:numPr>
      <w:autoSpaceDE w:val="0"/>
      <w:autoSpaceDN w:val="0"/>
      <w:spacing w:before="0" w:after="240" w:line="240" w:lineRule="auto"/>
      <w:ind w:left="720"/>
      <w:jc w:val="both"/>
    </w:pPr>
    <w:rPr>
      <w:rFonts w:ascii="Cambria" w:eastAsia="Calibri" w:hAnsi="Cambria" w:cs="Times New Roman"/>
      <w:b/>
      <w:sz w:val="20"/>
      <w:szCs w:val="20"/>
    </w:rPr>
  </w:style>
  <w:style w:type="paragraph" w:customStyle="1" w:styleId="Style2">
    <w:name w:val="Style2"/>
    <w:basedOn w:val="ListParagraph"/>
    <w:link w:val="Style2Char"/>
    <w:qFormat/>
    <w:rsid w:val="007704F4"/>
    <w:pPr>
      <w:autoSpaceDE w:val="0"/>
      <w:autoSpaceDN w:val="0"/>
      <w:adjustRightInd w:val="0"/>
      <w:spacing w:after="240"/>
      <w:contextualSpacing w:val="0"/>
      <w:jc w:val="both"/>
    </w:pPr>
    <w:rPr>
      <w:rFonts w:ascii="Cambria" w:eastAsia="Calibri" w:hAnsi="Cambria" w:cs="Calibri"/>
      <w:b/>
      <w:sz w:val="20"/>
      <w:szCs w:val="20"/>
      <w:lang w:val="pt-BR"/>
    </w:rPr>
  </w:style>
  <w:style w:type="character" w:customStyle="1" w:styleId="Style1Char">
    <w:name w:val="Style1 Char"/>
    <w:basedOn w:val="Heading2Char"/>
    <w:link w:val="Style1"/>
    <w:rsid w:val="007704F4"/>
    <w:rPr>
      <w:rFonts w:ascii="Cambria" w:eastAsia="Calibri" w:hAnsi="Cambria" w:cs="Times New Roman"/>
      <w:b/>
      <w:color w:val="2F5496" w:themeColor="accent1" w:themeShade="BF"/>
      <w:sz w:val="20"/>
      <w:szCs w:val="20"/>
      <w:lang w:val="es-AR"/>
    </w:rPr>
  </w:style>
  <w:style w:type="character" w:customStyle="1" w:styleId="Style2Char">
    <w:name w:val="Style2 Char"/>
    <w:basedOn w:val="DefaultParagraphFont"/>
    <w:link w:val="Style2"/>
    <w:rsid w:val="007704F4"/>
    <w:rPr>
      <w:rFonts w:ascii="Cambria" w:eastAsia="Calibri" w:hAnsi="Cambria" w:cs="Calibri"/>
      <w:b/>
      <w:sz w:val="20"/>
      <w:szCs w:val="20"/>
      <w:lang w:val="pt-BR"/>
    </w:rPr>
  </w:style>
  <w:style w:type="character" w:customStyle="1" w:styleId="font71">
    <w:name w:val="font71"/>
    <w:basedOn w:val="DefaultParagraphFont"/>
    <w:rsid w:val="007704F4"/>
    <w:rPr>
      <w:rFonts w:ascii="Calibri" w:hAnsi="Calibri" w:cs="Calibri" w:hint="default"/>
      <w:b/>
      <w:bCs/>
      <w:i/>
      <w:iCs/>
      <w:strike w:val="0"/>
      <w:dstrike w:val="0"/>
      <w:color w:val="FFFFFF"/>
      <w:sz w:val="22"/>
      <w:szCs w:val="22"/>
      <w:u w:val="none"/>
      <w:effect w:val="none"/>
    </w:rPr>
  </w:style>
  <w:style w:type="character" w:customStyle="1" w:styleId="font111">
    <w:name w:val="font111"/>
    <w:basedOn w:val="DefaultParagraphFont"/>
    <w:rsid w:val="007704F4"/>
    <w:rPr>
      <w:rFonts w:ascii="Calibri" w:hAnsi="Calibri" w:cs="Calibri" w:hint="default"/>
      <w:b w:val="0"/>
      <w:bCs w:val="0"/>
      <w:i/>
      <w:iCs/>
      <w:strike w:val="0"/>
      <w:dstrike w:val="0"/>
      <w:color w:val="000000"/>
      <w:sz w:val="22"/>
      <w:szCs w:val="22"/>
      <w:u w:val="none"/>
      <w:effect w:val="none"/>
    </w:rPr>
  </w:style>
  <w:style w:type="character" w:customStyle="1" w:styleId="font91">
    <w:name w:val="font91"/>
    <w:basedOn w:val="DefaultParagraphFont"/>
    <w:rsid w:val="007704F4"/>
    <w:rPr>
      <w:rFonts w:ascii="Calibri" w:hAnsi="Calibri" w:cs="Calibri" w:hint="default"/>
      <w:b w:val="0"/>
      <w:bCs w:val="0"/>
      <w:i/>
      <w:iCs/>
      <w:strike w:val="0"/>
      <w:dstrike w:val="0"/>
      <w:color w:val="000000"/>
      <w:sz w:val="22"/>
      <w:szCs w:val="22"/>
      <w:u w:val="none"/>
      <w:effect w:val="none"/>
    </w:rPr>
  </w:style>
  <w:style w:type="paragraph" w:customStyle="1" w:styleId="msonormal0">
    <w:name w:val="msonormal"/>
    <w:basedOn w:val="Normal"/>
    <w:rsid w:val="007704F4"/>
    <w:pPr>
      <w:spacing w:before="100" w:beforeAutospacing="1" w:after="100" w:afterAutospacing="1"/>
    </w:pPr>
    <w:rPr>
      <w:rFonts w:ascii="Times New Roman" w:eastAsia="Times New Roman" w:hAnsi="Times New Roman" w:cs="Times New Roman"/>
    </w:rPr>
  </w:style>
  <w:style w:type="paragraph" w:customStyle="1" w:styleId="font0">
    <w:name w:val="font0"/>
    <w:basedOn w:val="Normal"/>
    <w:rsid w:val="007704F4"/>
    <w:pPr>
      <w:spacing w:before="100" w:beforeAutospacing="1" w:after="100" w:afterAutospacing="1"/>
    </w:pPr>
    <w:rPr>
      <w:rFonts w:ascii="Calibri" w:eastAsia="Times New Roman" w:hAnsi="Calibri" w:cs="Calibri"/>
      <w:color w:val="000000"/>
      <w:sz w:val="22"/>
      <w:szCs w:val="22"/>
    </w:rPr>
  </w:style>
  <w:style w:type="paragraph" w:customStyle="1" w:styleId="font7">
    <w:name w:val="font7"/>
    <w:basedOn w:val="Normal"/>
    <w:rsid w:val="007704F4"/>
    <w:pPr>
      <w:spacing w:before="100" w:beforeAutospacing="1" w:after="100" w:afterAutospacing="1"/>
    </w:pPr>
    <w:rPr>
      <w:rFonts w:ascii="Calibri" w:eastAsia="Times New Roman" w:hAnsi="Calibri" w:cs="Calibri"/>
      <w:i/>
      <w:iCs/>
      <w:color w:val="000000"/>
      <w:sz w:val="22"/>
      <w:szCs w:val="22"/>
    </w:rPr>
  </w:style>
  <w:style w:type="paragraph" w:customStyle="1" w:styleId="xl16">
    <w:name w:val="xl16"/>
    <w:basedOn w:val="Normal"/>
    <w:rsid w:val="007704F4"/>
    <w:pPr>
      <w:spacing w:before="100" w:beforeAutospacing="1" w:after="100" w:afterAutospacing="1"/>
      <w:jc w:val="center"/>
    </w:pPr>
    <w:rPr>
      <w:rFonts w:ascii="Times New Roman" w:eastAsia="Times New Roman" w:hAnsi="Times New Roman" w:cs="Times New Roman"/>
    </w:rPr>
  </w:style>
  <w:style w:type="paragraph" w:customStyle="1" w:styleId="xl17">
    <w:name w:val="xl17"/>
    <w:basedOn w:val="Normal"/>
    <w:rsid w:val="007704F4"/>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18">
    <w:name w:val="xl18"/>
    <w:basedOn w:val="Normal"/>
    <w:rsid w:val="007704F4"/>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i/>
      <w:iCs/>
      <w:color w:val="FFFFFF"/>
    </w:rPr>
  </w:style>
  <w:style w:type="paragraph" w:customStyle="1" w:styleId="xl19">
    <w:name w:val="xl19"/>
    <w:basedOn w:val="Normal"/>
    <w:rsid w:val="007704F4"/>
    <w:pPr>
      <w:spacing w:before="100" w:beforeAutospacing="1" w:after="100" w:afterAutospacing="1"/>
      <w:jc w:val="center"/>
    </w:pPr>
    <w:rPr>
      <w:rFonts w:ascii="Times New Roman" w:eastAsia="Times New Roman" w:hAnsi="Times New Roman" w:cs="Times New Roman"/>
    </w:rPr>
  </w:style>
  <w:style w:type="paragraph" w:customStyle="1" w:styleId="xl20">
    <w:name w:val="xl20"/>
    <w:basedOn w:val="Normal"/>
    <w:rsid w:val="007704F4"/>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21">
    <w:name w:val="xl21"/>
    <w:basedOn w:val="Normal"/>
    <w:rsid w:val="007704F4"/>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27">
    <w:name w:val="xl27"/>
    <w:basedOn w:val="Normal"/>
    <w:rsid w:val="007704F4"/>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character" w:customStyle="1" w:styleId="font01">
    <w:name w:val="font01"/>
    <w:basedOn w:val="DefaultParagraphFont"/>
    <w:rsid w:val="007704F4"/>
    <w:rPr>
      <w:rFonts w:ascii="Calibri" w:hAnsi="Calibri" w:cs="Calibri" w:hint="default"/>
      <w:b w:val="0"/>
      <w:bCs w:val="0"/>
      <w:i w:val="0"/>
      <w:iCs w:val="0"/>
      <w:strike w:val="0"/>
      <w:dstrike w:val="0"/>
      <w:color w:val="000000"/>
      <w:sz w:val="22"/>
      <w:szCs w:val="22"/>
      <w:u w:val="none"/>
      <w:effect w:val="none"/>
    </w:rPr>
  </w:style>
  <w:style w:type="paragraph" w:customStyle="1" w:styleId="font6">
    <w:name w:val="font6"/>
    <w:basedOn w:val="Normal"/>
    <w:rsid w:val="007704F4"/>
    <w:pPr>
      <w:spacing w:before="100" w:beforeAutospacing="1" w:after="100" w:afterAutospacing="1"/>
    </w:pPr>
    <w:rPr>
      <w:rFonts w:ascii="Calibri" w:eastAsia="Times New Roman" w:hAnsi="Calibri" w:cs="Calibri"/>
      <w:b/>
      <w:bCs/>
      <w:i/>
      <w:iCs/>
      <w:color w:val="FFFFFF"/>
      <w:sz w:val="22"/>
      <w:szCs w:val="22"/>
    </w:rPr>
  </w:style>
  <w:style w:type="paragraph" w:customStyle="1" w:styleId="font8">
    <w:name w:val="font8"/>
    <w:basedOn w:val="Normal"/>
    <w:rsid w:val="007704F4"/>
    <w:pPr>
      <w:spacing w:before="100" w:beforeAutospacing="1" w:after="100" w:afterAutospacing="1"/>
    </w:pPr>
    <w:rPr>
      <w:rFonts w:ascii="Calibri" w:eastAsia="Times New Roman" w:hAnsi="Calibri" w:cs="Calibri"/>
      <w:i/>
      <w:iCs/>
      <w:color w:val="000000"/>
      <w:sz w:val="22"/>
      <w:szCs w:val="22"/>
    </w:rPr>
  </w:style>
  <w:style w:type="paragraph" w:customStyle="1" w:styleId="xl75">
    <w:name w:val="xl75"/>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6">
    <w:name w:val="xl76"/>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7">
    <w:name w:val="xl77"/>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8">
    <w:name w:val="xl78"/>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9">
    <w:name w:val="xl79"/>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rPr>
  </w:style>
  <w:style w:type="paragraph" w:customStyle="1" w:styleId="xl80">
    <w:name w:val="xl80"/>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rPr>
  </w:style>
  <w:style w:type="paragraph" w:customStyle="1" w:styleId="xl81">
    <w:name w:val="xl81"/>
    <w:basedOn w:val="Normal"/>
    <w:rsid w:val="007704F4"/>
    <w:pPr>
      <w:spacing w:before="100" w:beforeAutospacing="1" w:after="100" w:afterAutospacing="1"/>
    </w:pPr>
    <w:rPr>
      <w:rFonts w:ascii="Times New Roman" w:eastAsia="Times New Roman" w:hAnsi="Times New Roman" w:cs="Times New Roman"/>
      <w:color w:val="000000"/>
    </w:rPr>
  </w:style>
  <w:style w:type="paragraph" w:customStyle="1" w:styleId="xl82">
    <w:name w:val="xl82"/>
    <w:basedOn w:val="Normal"/>
    <w:rsid w:val="007704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3">
    <w:name w:val="xl83"/>
    <w:basedOn w:val="Normal"/>
    <w:rsid w:val="007704F4"/>
    <w:pPr>
      <w:spacing w:before="100" w:beforeAutospacing="1" w:after="100" w:afterAutospacing="1"/>
      <w:textAlignment w:val="center"/>
    </w:pPr>
    <w:rPr>
      <w:rFonts w:ascii="Times New Roman" w:eastAsia="Times New Roman" w:hAnsi="Times New Roman" w:cs="Times New Roman"/>
      <w:color w:val="000000"/>
    </w:rPr>
  </w:style>
  <w:style w:type="paragraph" w:customStyle="1" w:styleId="xl84">
    <w:name w:val="xl84"/>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7704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86">
    <w:name w:val="xl86"/>
    <w:basedOn w:val="Normal"/>
    <w:rsid w:val="007704F4"/>
    <w:pPr>
      <w:shd w:val="clear" w:color="000000" w:fill="FFFFFF"/>
      <w:spacing w:before="100" w:beforeAutospacing="1" w:after="100" w:afterAutospacing="1"/>
    </w:pPr>
    <w:rPr>
      <w:rFonts w:ascii="Times New Roman" w:eastAsia="Times New Roman" w:hAnsi="Times New Roman" w:cs="Times New Roman"/>
      <w:color w:val="000000"/>
    </w:rPr>
  </w:style>
  <w:style w:type="paragraph" w:customStyle="1" w:styleId="xl87">
    <w:name w:val="xl87"/>
    <w:basedOn w:val="Normal"/>
    <w:rsid w:val="007704F4"/>
    <w:pPr>
      <w:shd w:val="clear" w:color="000000" w:fill="FFFFFF"/>
      <w:spacing w:before="100" w:beforeAutospacing="1" w:after="100" w:afterAutospacing="1"/>
    </w:pPr>
    <w:rPr>
      <w:rFonts w:ascii="Times New Roman" w:eastAsia="Times New Roman" w:hAnsi="Times New Roman" w:cs="Times New Roman"/>
      <w:color w:val="000000"/>
    </w:rPr>
  </w:style>
  <w:style w:type="paragraph" w:styleId="HTMLPreformatted">
    <w:name w:val="HTML Preformatted"/>
    <w:basedOn w:val="Normal"/>
    <w:link w:val="HTMLPreformattedChar"/>
    <w:uiPriority w:val="99"/>
    <w:rsid w:val="007704F4"/>
    <w:rPr>
      <w:rFonts w:ascii="Consolas" w:eastAsia="Times New Roman" w:hAnsi="Consolas" w:cs="Times New Roman"/>
      <w:sz w:val="20"/>
      <w:szCs w:val="20"/>
    </w:rPr>
  </w:style>
  <w:style w:type="character" w:customStyle="1" w:styleId="HTMLPreformattedChar">
    <w:name w:val="HTML Preformatted Char"/>
    <w:basedOn w:val="DefaultParagraphFont"/>
    <w:link w:val="HTMLPreformatted"/>
    <w:uiPriority w:val="99"/>
    <w:rsid w:val="007704F4"/>
    <w:rPr>
      <w:rFonts w:ascii="Consolas" w:eastAsia="Times New Roman" w:hAnsi="Consolas" w:cs="Times New Roman"/>
      <w:sz w:val="20"/>
      <w:szCs w:val="20"/>
    </w:rPr>
  </w:style>
  <w:style w:type="table" w:customStyle="1" w:styleId="GridTable1Light1">
    <w:name w:val="Grid Table 1 Light1"/>
    <w:basedOn w:val="TableNormal"/>
    <w:uiPriority w:val="46"/>
    <w:rsid w:val="007704F4"/>
    <w:rPr>
      <w:lang w:bidi="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704F4"/>
    <w:rPr>
      <w:lang w:bidi="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7704F4"/>
    <w:rPr>
      <w:lang w:bidi="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Heading11">
    <w:name w:val="Heading 11"/>
    <w:basedOn w:val="Normal"/>
    <w:next w:val="Normal"/>
    <w:uiPriority w:val="9"/>
    <w:qFormat/>
    <w:rsid w:val="007704F4"/>
    <w:pPr>
      <w:keepNext/>
      <w:keepLines/>
      <w:spacing w:before="240"/>
      <w:outlineLvl w:val="0"/>
    </w:pPr>
    <w:rPr>
      <w:rFonts w:ascii="Calibri Light" w:eastAsia="Times New Roman" w:hAnsi="Calibri Light" w:cs="Times New Roman"/>
      <w:color w:val="2F5496"/>
      <w:sz w:val="32"/>
      <w:szCs w:val="32"/>
      <w:lang w:bidi="en-US"/>
    </w:rPr>
  </w:style>
  <w:style w:type="paragraph" w:customStyle="1" w:styleId="Title1">
    <w:name w:val="Title1"/>
    <w:basedOn w:val="Normal"/>
    <w:next w:val="Normal"/>
    <w:uiPriority w:val="10"/>
    <w:qFormat/>
    <w:rsid w:val="007704F4"/>
    <w:pPr>
      <w:contextualSpacing/>
    </w:pPr>
    <w:rPr>
      <w:rFonts w:ascii="Calibri Light" w:eastAsia="Times New Roman" w:hAnsi="Calibri Light" w:cs="Times New Roman"/>
      <w:spacing w:val="-10"/>
      <w:kern w:val="28"/>
      <w:sz w:val="56"/>
      <w:szCs w:val="56"/>
      <w:lang w:bidi="en-US"/>
    </w:rPr>
  </w:style>
  <w:style w:type="paragraph" w:customStyle="1" w:styleId="Subtitle1">
    <w:name w:val="Subtitle1"/>
    <w:basedOn w:val="Normal"/>
    <w:next w:val="Normal"/>
    <w:uiPriority w:val="11"/>
    <w:qFormat/>
    <w:rsid w:val="007704F4"/>
    <w:pPr>
      <w:numPr>
        <w:ilvl w:val="1"/>
      </w:numPr>
      <w:spacing w:after="160"/>
    </w:pPr>
    <w:rPr>
      <w:rFonts w:eastAsia="Times New Roman"/>
      <w:color w:val="5A5A5A"/>
      <w:spacing w:val="15"/>
      <w:sz w:val="22"/>
      <w:szCs w:val="22"/>
      <w:lang w:bidi="en-US"/>
    </w:rPr>
  </w:style>
  <w:style w:type="paragraph" w:customStyle="1" w:styleId="Caption1">
    <w:name w:val="Caption1"/>
    <w:basedOn w:val="Normal"/>
    <w:next w:val="Normal"/>
    <w:uiPriority w:val="35"/>
    <w:unhideWhenUsed/>
    <w:qFormat/>
    <w:rsid w:val="007704F4"/>
    <w:pPr>
      <w:spacing w:after="200"/>
    </w:pPr>
    <w:rPr>
      <w:i/>
      <w:iCs/>
      <w:color w:val="44546A"/>
      <w:sz w:val="18"/>
      <w:szCs w:val="18"/>
      <w:lang w:bidi="en-US"/>
    </w:rPr>
  </w:style>
  <w:style w:type="character" w:customStyle="1" w:styleId="BalloonTextChar1">
    <w:name w:val="Balloon Text Char1"/>
    <w:basedOn w:val="DefaultParagraphFont"/>
    <w:uiPriority w:val="99"/>
    <w:semiHidden/>
    <w:rsid w:val="007704F4"/>
    <w:rPr>
      <w:rFonts w:ascii="Segoe UI" w:hAnsi="Segoe UI" w:cs="Segoe UI"/>
      <w:sz w:val="18"/>
      <w:szCs w:val="18"/>
    </w:rPr>
  </w:style>
  <w:style w:type="character" w:customStyle="1" w:styleId="CommentTextChar1">
    <w:name w:val="Comment Text Char1"/>
    <w:basedOn w:val="DefaultParagraphFont"/>
    <w:uiPriority w:val="99"/>
    <w:semiHidden/>
    <w:rsid w:val="007704F4"/>
    <w:rPr>
      <w:sz w:val="20"/>
      <w:szCs w:val="20"/>
    </w:rPr>
  </w:style>
  <w:style w:type="character" w:customStyle="1" w:styleId="CommentSubjectChar1">
    <w:name w:val="Comment Subject Char1"/>
    <w:basedOn w:val="CommentTextChar1"/>
    <w:uiPriority w:val="99"/>
    <w:semiHidden/>
    <w:rsid w:val="007704F4"/>
    <w:rPr>
      <w:b/>
      <w:bCs/>
      <w:sz w:val="20"/>
      <w:szCs w:val="20"/>
    </w:rPr>
  </w:style>
  <w:style w:type="character" w:customStyle="1" w:styleId="BodyTextIndent2Char1">
    <w:name w:val="Body Text Indent 2 Char1"/>
    <w:basedOn w:val="DefaultParagraphFont"/>
    <w:uiPriority w:val="99"/>
    <w:semiHidden/>
    <w:rsid w:val="007704F4"/>
  </w:style>
  <w:style w:type="character" w:customStyle="1" w:styleId="HTMLPreformattedChar1">
    <w:name w:val="HTML Preformatted Char1"/>
    <w:basedOn w:val="DefaultParagraphFont"/>
    <w:uiPriority w:val="99"/>
    <w:semiHidden/>
    <w:rsid w:val="007704F4"/>
    <w:rPr>
      <w:rFonts w:ascii="Consolas" w:hAnsi="Consolas"/>
      <w:sz w:val="20"/>
      <w:szCs w:val="20"/>
    </w:rPr>
  </w:style>
  <w:style w:type="character" w:customStyle="1" w:styleId="Heading1Char1">
    <w:name w:val="Heading 1 Char1"/>
    <w:basedOn w:val="DefaultParagraphFont"/>
    <w:uiPriority w:val="9"/>
    <w:rsid w:val="007704F4"/>
    <w:rPr>
      <w:rFonts w:asciiTheme="majorHAnsi" w:eastAsiaTheme="majorEastAsia" w:hAnsiTheme="majorHAnsi" w:cstheme="majorBidi"/>
      <w:color w:val="2F5496" w:themeColor="accent1" w:themeShade="BF"/>
      <w:sz w:val="32"/>
      <w:szCs w:val="32"/>
    </w:rPr>
  </w:style>
  <w:style w:type="character" w:customStyle="1" w:styleId="TitleChar1">
    <w:name w:val="Title Char1"/>
    <w:basedOn w:val="DefaultParagraphFont"/>
    <w:uiPriority w:val="10"/>
    <w:rsid w:val="007704F4"/>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7704F4"/>
    <w:rPr>
      <w:rFonts w:eastAsiaTheme="minorEastAsia"/>
      <w:color w:val="5A5A5A" w:themeColor="text1" w:themeTint="A5"/>
      <w:spacing w:val="15"/>
    </w:rPr>
  </w:style>
  <w:style w:type="paragraph" w:customStyle="1" w:styleId="xlistparagraph">
    <w:name w:val="xlistparagraph"/>
    <w:basedOn w:val="Normal"/>
    <w:rsid w:val="007704F4"/>
    <w:pPr>
      <w:spacing w:before="100" w:beforeAutospacing="1" w:after="100" w:afterAutospacing="1"/>
    </w:pPr>
    <w:rPr>
      <w:rFonts w:ascii="Times New Roman" w:eastAsia="Times New Roman" w:hAnsi="Times New Roman" w:cs="Times New Roman"/>
      <w:lang w:bidi="he-IL"/>
    </w:rPr>
  </w:style>
  <w:style w:type="character" w:customStyle="1" w:styleId="xnenhum">
    <w:name w:val="xnenhum"/>
    <w:basedOn w:val="DefaultParagraphFont"/>
    <w:rsid w:val="007704F4"/>
  </w:style>
  <w:style w:type="paragraph" w:customStyle="1" w:styleId="xmsonormal">
    <w:name w:val="xmsonormal"/>
    <w:basedOn w:val="Normal"/>
    <w:rsid w:val="007704F4"/>
    <w:pPr>
      <w:spacing w:before="100" w:beforeAutospacing="1" w:after="100" w:afterAutospacing="1"/>
    </w:pPr>
    <w:rPr>
      <w:rFonts w:ascii="Times New Roman" w:eastAsia="Times New Roman" w:hAnsi="Times New Roman" w:cs="Times New Roman"/>
      <w:lang w:bidi="he-IL"/>
    </w:rPr>
  </w:style>
  <w:style w:type="character" w:customStyle="1" w:styleId="findhit">
    <w:name w:val="findhit"/>
    <w:basedOn w:val="DefaultParagraphFont"/>
    <w:rsid w:val="007704F4"/>
  </w:style>
  <w:style w:type="table" w:styleId="GridTable4-Accent1">
    <w:name w:val="Grid Table 4 Accent 1"/>
    <w:basedOn w:val="TableNormal"/>
    <w:uiPriority w:val="49"/>
    <w:rsid w:val="007704F4"/>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2">
    <w:name w:val="Unresolved Mention2"/>
    <w:basedOn w:val="DefaultParagraphFont"/>
    <w:uiPriority w:val="99"/>
    <w:semiHidden/>
    <w:unhideWhenUsed/>
    <w:rsid w:val="007704F4"/>
    <w:rPr>
      <w:color w:val="605E5C"/>
      <w:shd w:val="clear" w:color="auto" w:fill="E1DFDD"/>
    </w:rPr>
  </w:style>
  <w:style w:type="table" w:styleId="GridTable6Colorful-Accent5">
    <w:name w:val="Grid Table 6 Colorful Accent 5"/>
    <w:basedOn w:val="TableNormal"/>
    <w:uiPriority w:val="51"/>
    <w:rsid w:val="007704F4"/>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CurrentList1">
    <w:name w:val="Current List1"/>
    <w:uiPriority w:val="99"/>
    <w:rsid w:val="007704F4"/>
    <w:pPr>
      <w:numPr>
        <w:numId w:val="67"/>
      </w:numPr>
    </w:pPr>
  </w:style>
  <w:style w:type="character" w:customStyle="1" w:styleId="BodyChar">
    <w:name w:val="Body Char"/>
    <w:basedOn w:val="DefaultParagraphFont"/>
    <w:link w:val="Body"/>
    <w:rsid w:val="007704F4"/>
    <w:rPr>
      <w:rFonts w:ascii="Calibri" w:eastAsia="Calibri" w:hAnsi="Calibri" w:cs="Calibri"/>
      <w:color w:val="000000"/>
      <w:u w:color="000000"/>
      <w:bdr w:val="nil"/>
      <w14:textOutline w14:w="0" w14:cap="flat" w14:cmpd="sng" w14:algn="ctr">
        <w14:noFill/>
        <w14:prstDash w14:val="solid"/>
        <w14:bevel/>
      </w14:textOutline>
    </w:rPr>
  </w:style>
  <w:style w:type="paragraph" w:styleId="PlainText">
    <w:name w:val="Plain Text"/>
    <w:basedOn w:val="Normal"/>
    <w:link w:val="PlainTextChar"/>
    <w:uiPriority w:val="99"/>
    <w:unhideWhenUsed/>
    <w:rsid w:val="007704F4"/>
    <w:pPr>
      <w:spacing w:after="200" w:line="288" w:lineRule="auto"/>
    </w:pPr>
    <w:rPr>
      <w:rFonts w:ascii="Calibri" w:eastAsia="MS Mincho" w:hAnsi="Calibri" w:cs="Times New Roman"/>
      <w:sz w:val="22"/>
      <w:szCs w:val="21"/>
      <w:lang w:val="es-US" w:eastAsia="es-US"/>
    </w:rPr>
  </w:style>
  <w:style w:type="character" w:customStyle="1" w:styleId="PlainTextChar">
    <w:name w:val="Plain Text Char"/>
    <w:basedOn w:val="DefaultParagraphFont"/>
    <w:link w:val="PlainText"/>
    <w:uiPriority w:val="99"/>
    <w:rsid w:val="007704F4"/>
    <w:rPr>
      <w:rFonts w:ascii="Calibri" w:eastAsia="MS Mincho" w:hAnsi="Calibri" w:cs="Times New Roman"/>
      <w:sz w:val="22"/>
      <w:szCs w:val="21"/>
      <w:lang w:val="es-US" w:eastAsia="es-US"/>
    </w:rPr>
  </w:style>
  <w:style w:type="character" w:customStyle="1" w:styleId="Mencinsinresolver1">
    <w:name w:val="Mención sin resolver1"/>
    <w:uiPriority w:val="99"/>
    <w:semiHidden/>
    <w:unhideWhenUsed/>
    <w:rsid w:val="00774C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883700">
      <w:bodyDiv w:val="1"/>
      <w:marLeft w:val="0"/>
      <w:marRight w:val="0"/>
      <w:marTop w:val="0"/>
      <w:marBottom w:val="0"/>
      <w:divBdr>
        <w:top w:val="none" w:sz="0" w:space="0" w:color="auto"/>
        <w:left w:val="none" w:sz="0" w:space="0" w:color="auto"/>
        <w:bottom w:val="none" w:sz="0" w:space="0" w:color="auto"/>
        <w:right w:val="none" w:sz="0" w:space="0" w:color="auto"/>
      </w:divBdr>
      <w:divsChild>
        <w:div w:id="80569663">
          <w:marLeft w:val="0"/>
          <w:marRight w:val="0"/>
          <w:marTop w:val="0"/>
          <w:marBottom w:val="0"/>
          <w:divBdr>
            <w:top w:val="none" w:sz="0" w:space="0" w:color="auto"/>
            <w:left w:val="none" w:sz="0" w:space="0" w:color="auto"/>
            <w:bottom w:val="none" w:sz="0" w:space="0" w:color="auto"/>
            <w:right w:val="none" w:sz="0" w:space="0" w:color="auto"/>
          </w:divBdr>
          <w:divsChild>
            <w:div w:id="775099536">
              <w:marLeft w:val="0"/>
              <w:marRight w:val="0"/>
              <w:marTop w:val="0"/>
              <w:marBottom w:val="0"/>
              <w:divBdr>
                <w:top w:val="none" w:sz="0" w:space="0" w:color="auto"/>
                <w:left w:val="none" w:sz="0" w:space="0" w:color="auto"/>
                <w:bottom w:val="none" w:sz="0" w:space="0" w:color="auto"/>
                <w:right w:val="none" w:sz="0" w:space="0" w:color="auto"/>
              </w:divBdr>
            </w:div>
            <w:div w:id="1454404801">
              <w:marLeft w:val="0"/>
              <w:marRight w:val="0"/>
              <w:marTop w:val="0"/>
              <w:marBottom w:val="0"/>
              <w:divBdr>
                <w:top w:val="none" w:sz="0" w:space="0" w:color="auto"/>
                <w:left w:val="none" w:sz="0" w:space="0" w:color="auto"/>
                <w:bottom w:val="none" w:sz="0" w:space="0" w:color="auto"/>
                <w:right w:val="none" w:sz="0" w:space="0" w:color="auto"/>
              </w:divBdr>
            </w:div>
            <w:div w:id="1462501807">
              <w:marLeft w:val="0"/>
              <w:marRight w:val="0"/>
              <w:marTop w:val="0"/>
              <w:marBottom w:val="0"/>
              <w:divBdr>
                <w:top w:val="none" w:sz="0" w:space="0" w:color="auto"/>
                <w:left w:val="none" w:sz="0" w:space="0" w:color="auto"/>
                <w:bottom w:val="none" w:sz="0" w:space="0" w:color="auto"/>
                <w:right w:val="none" w:sz="0" w:space="0" w:color="auto"/>
              </w:divBdr>
            </w:div>
            <w:div w:id="1483738603">
              <w:marLeft w:val="0"/>
              <w:marRight w:val="0"/>
              <w:marTop w:val="0"/>
              <w:marBottom w:val="0"/>
              <w:divBdr>
                <w:top w:val="none" w:sz="0" w:space="0" w:color="auto"/>
                <w:left w:val="none" w:sz="0" w:space="0" w:color="auto"/>
                <w:bottom w:val="none" w:sz="0" w:space="0" w:color="auto"/>
                <w:right w:val="none" w:sz="0" w:space="0" w:color="auto"/>
              </w:divBdr>
            </w:div>
            <w:div w:id="2060012141">
              <w:marLeft w:val="0"/>
              <w:marRight w:val="0"/>
              <w:marTop w:val="0"/>
              <w:marBottom w:val="0"/>
              <w:divBdr>
                <w:top w:val="none" w:sz="0" w:space="0" w:color="auto"/>
                <w:left w:val="none" w:sz="0" w:space="0" w:color="auto"/>
                <w:bottom w:val="none" w:sz="0" w:space="0" w:color="auto"/>
                <w:right w:val="none" w:sz="0" w:space="0" w:color="auto"/>
              </w:divBdr>
            </w:div>
          </w:divsChild>
        </w:div>
        <w:div w:id="256401865">
          <w:marLeft w:val="0"/>
          <w:marRight w:val="0"/>
          <w:marTop w:val="0"/>
          <w:marBottom w:val="0"/>
          <w:divBdr>
            <w:top w:val="none" w:sz="0" w:space="0" w:color="auto"/>
            <w:left w:val="none" w:sz="0" w:space="0" w:color="auto"/>
            <w:bottom w:val="none" w:sz="0" w:space="0" w:color="auto"/>
            <w:right w:val="none" w:sz="0" w:space="0" w:color="auto"/>
          </w:divBdr>
          <w:divsChild>
            <w:div w:id="133835737">
              <w:marLeft w:val="0"/>
              <w:marRight w:val="0"/>
              <w:marTop w:val="0"/>
              <w:marBottom w:val="0"/>
              <w:divBdr>
                <w:top w:val="none" w:sz="0" w:space="0" w:color="auto"/>
                <w:left w:val="none" w:sz="0" w:space="0" w:color="auto"/>
                <w:bottom w:val="none" w:sz="0" w:space="0" w:color="auto"/>
                <w:right w:val="none" w:sz="0" w:space="0" w:color="auto"/>
              </w:divBdr>
            </w:div>
            <w:div w:id="670638826">
              <w:marLeft w:val="0"/>
              <w:marRight w:val="0"/>
              <w:marTop w:val="0"/>
              <w:marBottom w:val="0"/>
              <w:divBdr>
                <w:top w:val="none" w:sz="0" w:space="0" w:color="auto"/>
                <w:left w:val="none" w:sz="0" w:space="0" w:color="auto"/>
                <w:bottom w:val="none" w:sz="0" w:space="0" w:color="auto"/>
                <w:right w:val="none" w:sz="0" w:space="0" w:color="auto"/>
              </w:divBdr>
            </w:div>
            <w:div w:id="870067333">
              <w:marLeft w:val="0"/>
              <w:marRight w:val="0"/>
              <w:marTop w:val="0"/>
              <w:marBottom w:val="0"/>
              <w:divBdr>
                <w:top w:val="none" w:sz="0" w:space="0" w:color="auto"/>
                <w:left w:val="none" w:sz="0" w:space="0" w:color="auto"/>
                <w:bottom w:val="none" w:sz="0" w:space="0" w:color="auto"/>
                <w:right w:val="none" w:sz="0" w:space="0" w:color="auto"/>
              </w:divBdr>
            </w:div>
            <w:div w:id="1188375571">
              <w:marLeft w:val="0"/>
              <w:marRight w:val="0"/>
              <w:marTop w:val="0"/>
              <w:marBottom w:val="0"/>
              <w:divBdr>
                <w:top w:val="none" w:sz="0" w:space="0" w:color="auto"/>
                <w:left w:val="none" w:sz="0" w:space="0" w:color="auto"/>
                <w:bottom w:val="none" w:sz="0" w:space="0" w:color="auto"/>
                <w:right w:val="none" w:sz="0" w:space="0" w:color="auto"/>
              </w:divBdr>
            </w:div>
            <w:div w:id="2009406753">
              <w:marLeft w:val="0"/>
              <w:marRight w:val="0"/>
              <w:marTop w:val="0"/>
              <w:marBottom w:val="0"/>
              <w:divBdr>
                <w:top w:val="none" w:sz="0" w:space="0" w:color="auto"/>
                <w:left w:val="none" w:sz="0" w:space="0" w:color="auto"/>
                <w:bottom w:val="none" w:sz="0" w:space="0" w:color="auto"/>
                <w:right w:val="none" w:sz="0" w:space="0" w:color="auto"/>
              </w:divBdr>
            </w:div>
          </w:divsChild>
        </w:div>
        <w:div w:id="607464825">
          <w:marLeft w:val="0"/>
          <w:marRight w:val="0"/>
          <w:marTop w:val="0"/>
          <w:marBottom w:val="0"/>
          <w:divBdr>
            <w:top w:val="none" w:sz="0" w:space="0" w:color="auto"/>
            <w:left w:val="none" w:sz="0" w:space="0" w:color="auto"/>
            <w:bottom w:val="none" w:sz="0" w:space="0" w:color="auto"/>
            <w:right w:val="none" w:sz="0" w:space="0" w:color="auto"/>
          </w:divBdr>
          <w:divsChild>
            <w:div w:id="292641162">
              <w:marLeft w:val="0"/>
              <w:marRight w:val="0"/>
              <w:marTop w:val="0"/>
              <w:marBottom w:val="0"/>
              <w:divBdr>
                <w:top w:val="none" w:sz="0" w:space="0" w:color="auto"/>
                <w:left w:val="none" w:sz="0" w:space="0" w:color="auto"/>
                <w:bottom w:val="none" w:sz="0" w:space="0" w:color="auto"/>
                <w:right w:val="none" w:sz="0" w:space="0" w:color="auto"/>
              </w:divBdr>
            </w:div>
            <w:div w:id="330722173">
              <w:marLeft w:val="0"/>
              <w:marRight w:val="0"/>
              <w:marTop w:val="0"/>
              <w:marBottom w:val="0"/>
              <w:divBdr>
                <w:top w:val="none" w:sz="0" w:space="0" w:color="auto"/>
                <w:left w:val="none" w:sz="0" w:space="0" w:color="auto"/>
                <w:bottom w:val="none" w:sz="0" w:space="0" w:color="auto"/>
                <w:right w:val="none" w:sz="0" w:space="0" w:color="auto"/>
              </w:divBdr>
            </w:div>
            <w:div w:id="499808267">
              <w:marLeft w:val="0"/>
              <w:marRight w:val="0"/>
              <w:marTop w:val="0"/>
              <w:marBottom w:val="0"/>
              <w:divBdr>
                <w:top w:val="none" w:sz="0" w:space="0" w:color="auto"/>
                <w:left w:val="none" w:sz="0" w:space="0" w:color="auto"/>
                <w:bottom w:val="none" w:sz="0" w:space="0" w:color="auto"/>
                <w:right w:val="none" w:sz="0" w:space="0" w:color="auto"/>
              </w:divBdr>
            </w:div>
            <w:div w:id="1077441014">
              <w:marLeft w:val="0"/>
              <w:marRight w:val="0"/>
              <w:marTop w:val="0"/>
              <w:marBottom w:val="0"/>
              <w:divBdr>
                <w:top w:val="none" w:sz="0" w:space="0" w:color="auto"/>
                <w:left w:val="none" w:sz="0" w:space="0" w:color="auto"/>
                <w:bottom w:val="none" w:sz="0" w:space="0" w:color="auto"/>
                <w:right w:val="none" w:sz="0" w:space="0" w:color="auto"/>
              </w:divBdr>
            </w:div>
            <w:div w:id="1438208927">
              <w:marLeft w:val="0"/>
              <w:marRight w:val="0"/>
              <w:marTop w:val="0"/>
              <w:marBottom w:val="0"/>
              <w:divBdr>
                <w:top w:val="none" w:sz="0" w:space="0" w:color="auto"/>
                <w:left w:val="none" w:sz="0" w:space="0" w:color="auto"/>
                <w:bottom w:val="none" w:sz="0" w:space="0" w:color="auto"/>
                <w:right w:val="none" w:sz="0" w:space="0" w:color="auto"/>
              </w:divBdr>
            </w:div>
          </w:divsChild>
        </w:div>
        <w:div w:id="610360204">
          <w:marLeft w:val="0"/>
          <w:marRight w:val="0"/>
          <w:marTop w:val="0"/>
          <w:marBottom w:val="0"/>
          <w:divBdr>
            <w:top w:val="none" w:sz="0" w:space="0" w:color="auto"/>
            <w:left w:val="none" w:sz="0" w:space="0" w:color="auto"/>
            <w:bottom w:val="none" w:sz="0" w:space="0" w:color="auto"/>
            <w:right w:val="none" w:sz="0" w:space="0" w:color="auto"/>
          </w:divBdr>
          <w:divsChild>
            <w:div w:id="199825831">
              <w:marLeft w:val="0"/>
              <w:marRight w:val="0"/>
              <w:marTop w:val="0"/>
              <w:marBottom w:val="0"/>
              <w:divBdr>
                <w:top w:val="none" w:sz="0" w:space="0" w:color="auto"/>
                <w:left w:val="none" w:sz="0" w:space="0" w:color="auto"/>
                <w:bottom w:val="none" w:sz="0" w:space="0" w:color="auto"/>
                <w:right w:val="none" w:sz="0" w:space="0" w:color="auto"/>
              </w:divBdr>
            </w:div>
            <w:div w:id="270937817">
              <w:marLeft w:val="0"/>
              <w:marRight w:val="0"/>
              <w:marTop w:val="0"/>
              <w:marBottom w:val="0"/>
              <w:divBdr>
                <w:top w:val="none" w:sz="0" w:space="0" w:color="auto"/>
                <w:left w:val="none" w:sz="0" w:space="0" w:color="auto"/>
                <w:bottom w:val="none" w:sz="0" w:space="0" w:color="auto"/>
                <w:right w:val="none" w:sz="0" w:space="0" w:color="auto"/>
              </w:divBdr>
            </w:div>
            <w:div w:id="715666085">
              <w:marLeft w:val="0"/>
              <w:marRight w:val="0"/>
              <w:marTop w:val="0"/>
              <w:marBottom w:val="0"/>
              <w:divBdr>
                <w:top w:val="none" w:sz="0" w:space="0" w:color="auto"/>
                <w:left w:val="none" w:sz="0" w:space="0" w:color="auto"/>
                <w:bottom w:val="none" w:sz="0" w:space="0" w:color="auto"/>
                <w:right w:val="none" w:sz="0" w:space="0" w:color="auto"/>
              </w:divBdr>
            </w:div>
            <w:div w:id="769087381">
              <w:marLeft w:val="0"/>
              <w:marRight w:val="0"/>
              <w:marTop w:val="0"/>
              <w:marBottom w:val="0"/>
              <w:divBdr>
                <w:top w:val="none" w:sz="0" w:space="0" w:color="auto"/>
                <w:left w:val="none" w:sz="0" w:space="0" w:color="auto"/>
                <w:bottom w:val="none" w:sz="0" w:space="0" w:color="auto"/>
                <w:right w:val="none" w:sz="0" w:space="0" w:color="auto"/>
              </w:divBdr>
            </w:div>
            <w:div w:id="1546021281">
              <w:marLeft w:val="0"/>
              <w:marRight w:val="0"/>
              <w:marTop w:val="0"/>
              <w:marBottom w:val="0"/>
              <w:divBdr>
                <w:top w:val="none" w:sz="0" w:space="0" w:color="auto"/>
                <w:left w:val="none" w:sz="0" w:space="0" w:color="auto"/>
                <w:bottom w:val="none" w:sz="0" w:space="0" w:color="auto"/>
                <w:right w:val="none" w:sz="0" w:space="0" w:color="auto"/>
              </w:divBdr>
            </w:div>
          </w:divsChild>
        </w:div>
        <w:div w:id="735972781">
          <w:marLeft w:val="0"/>
          <w:marRight w:val="0"/>
          <w:marTop w:val="0"/>
          <w:marBottom w:val="0"/>
          <w:divBdr>
            <w:top w:val="none" w:sz="0" w:space="0" w:color="auto"/>
            <w:left w:val="none" w:sz="0" w:space="0" w:color="auto"/>
            <w:bottom w:val="none" w:sz="0" w:space="0" w:color="auto"/>
            <w:right w:val="none" w:sz="0" w:space="0" w:color="auto"/>
          </w:divBdr>
          <w:divsChild>
            <w:div w:id="653485902">
              <w:marLeft w:val="0"/>
              <w:marRight w:val="0"/>
              <w:marTop w:val="0"/>
              <w:marBottom w:val="0"/>
              <w:divBdr>
                <w:top w:val="none" w:sz="0" w:space="0" w:color="auto"/>
                <w:left w:val="none" w:sz="0" w:space="0" w:color="auto"/>
                <w:bottom w:val="none" w:sz="0" w:space="0" w:color="auto"/>
                <w:right w:val="none" w:sz="0" w:space="0" w:color="auto"/>
              </w:divBdr>
            </w:div>
            <w:div w:id="803428971">
              <w:marLeft w:val="0"/>
              <w:marRight w:val="0"/>
              <w:marTop w:val="0"/>
              <w:marBottom w:val="0"/>
              <w:divBdr>
                <w:top w:val="none" w:sz="0" w:space="0" w:color="auto"/>
                <w:left w:val="none" w:sz="0" w:space="0" w:color="auto"/>
                <w:bottom w:val="none" w:sz="0" w:space="0" w:color="auto"/>
                <w:right w:val="none" w:sz="0" w:space="0" w:color="auto"/>
              </w:divBdr>
            </w:div>
            <w:div w:id="1473254082">
              <w:marLeft w:val="0"/>
              <w:marRight w:val="0"/>
              <w:marTop w:val="0"/>
              <w:marBottom w:val="0"/>
              <w:divBdr>
                <w:top w:val="none" w:sz="0" w:space="0" w:color="auto"/>
                <w:left w:val="none" w:sz="0" w:space="0" w:color="auto"/>
                <w:bottom w:val="none" w:sz="0" w:space="0" w:color="auto"/>
                <w:right w:val="none" w:sz="0" w:space="0" w:color="auto"/>
              </w:divBdr>
            </w:div>
            <w:div w:id="1925606437">
              <w:marLeft w:val="0"/>
              <w:marRight w:val="0"/>
              <w:marTop w:val="0"/>
              <w:marBottom w:val="0"/>
              <w:divBdr>
                <w:top w:val="none" w:sz="0" w:space="0" w:color="auto"/>
                <w:left w:val="none" w:sz="0" w:space="0" w:color="auto"/>
                <w:bottom w:val="none" w:sz="0" w:space="0" w:color="auto"/>
                <w:right w:val="none" w:sz="0" w:space="0" w:color="auto"/>
              </w:divBdr>
            </w:div>
            <w:div w:id="2008360224">
              <w:marLeft w:val="0"/>
              <w:marRight w:val="0"/>
              <w:marTop w:val="0"/>
              <w:marBottom w:val="0"/>
              <w:divBdr>
                <w:top w:val="none" w:sz="0" w:space="0" w:color="auto"/>
                <w:left w:val="none" w:sz="0" w:space="0" w:color="auto"/>
                <w:bottom w:val="none" w:sz="0" w:space="0" w:color="auto"/>
                <w:right w:val="none" w:sz="0" w:space="0" w:color="auto"/>
              </w:divBdr>
            </w:div>
          </w:divsChild>
        </w:div>
        <w:div w:id="1285693464">
          <w:marLeft w:val="0"/>
          <w:marRight w:val="0"/>
          <w:marTop w:val="0"/>
          <w:marBottom w:val="0"/>
          <w:divBdr>
            <w:top w:val="none" w:sz="0" w:space="0" w:color="auto"/>
            <w:left w:val="none" w:sz="0" w:space="0" w:color="auto"/>
            <w:bottom w:val="none" w:sz="0" w:space="0" w:color="auto"/>
            <w:right w:val="none" w:sz="0" w:space="0" w:color="auto"/>
          </w:divBdr>
          <w:divsChild>
            <w:div w:id="1001587717">
              <w:marLeft w:val="0"/>
              <w:marRight w:val="0"/>
              <w:marTop w:val="0"/>
              <w:marBottom w:val="0"/>
              <w:divBdr>
                <w:top w:val="none" w:sz="0" w:space="0" w:color="auto"/>
                <w:left w:val="none" w:sz="0" w:space="0" w:color="auto"/>
                <w:bottom w:val="none" w:sz="0" w:space="0" w:color="auto"/>
                <w:right w:val="none" w:sz="0" w:space="0" w:color="auto"/>
              </w:divBdr>
            </w:div>
            <w:div w:id="1320041601">
              <w:marLeft w:val="0"/>
              <w:marRight w:val="0"/>
              <w:marTop w:val="0"/>
              <w:marBottom w:val="0"/>
              <w:divBdr>
                <w:top w:val="none" w:sz="0" w:space="0" w:color="auto"/>
                <w:left w:val="none" w:sz="0" w:space="0" w:color="auto"/>
                <w:bottom w:val="none" w:sz="0" w:space="0" w:color="auto"/>
                <w:right w:val="none" w:sz="0" w:space="0" w:color="auto"/>
              </w:divBdr>
            </w:div>
            <w:div w:id="1367636339">
              <w:marLeft w:val="0"/>
              <w:marRight w:val="0"/>
              <w:marTop w:val="0"/>
              <w:marBottom w:val="0"/>
              <w:divBdr>
                <w:top w:val="none" w:sz="0" w:space="0" w:color="auto"/>
                <w:left w:val="none" w:sz="0" w:space="0" w:color="auto"/>
                <w:bottom w:val="none" w:sz="0" w:space="0" w:color="auto"/>
                <w:right w:val="none" w:sz="0" w:space="0" w:color="auto"/>
              </w:divBdr>
            </w:div>
            <w:div w:id="1378773534">
              <w:marLeft w:val="0"/>
              <w:marRight w:val="0"/>
              <w:marTop w:val="0"/>
              <w:marBottom w:val="0"/>
              <w:divBdr>
                <w:top w:val="none" w:sz="0" w:space="0" w:color="auto"/>
                <w:left w:val="none" w:sz="0" w:space="0" w:color="auto"/>
                <w:bottom w:val="none" w:sz="0" w:space="0" w:color="auto"/>
                <w:right w:val="none" w:sz="0" w:space="0" w:color="auto"/>
              </w:divBdr>
            </w:div>
            <w:div w:id="1740052283">
              <w:marLeft w:val="0"/>
              <w:marRight w:val="0"/>
              <w:marTop w:val="0"/>
              <w:marBottom w:val="0"/>
              <w:divBdr>
                <w:top w:val="none" w:sz="0" w:space="0" w:color="auto"/>
                <w:left w:val="none" w:sz="0" w:space="0" w:color="auto"/>
                <w:bottom w:val="none" w:sz="0" w:space="0" w:color="auto"/>
                <w:right w:val="none" w:sz="0" w:space="0" w:color="auto"/>
              </w:divBdr>
            </w:div>
          </w:divsChild>
        </w:div>
        <w:div w:id="1519195103">
          <w:marLeft w:val="0"/>
          <w:marRight w:val="0"/>
          <w:marTop w:val="0"/>
          <w:marBottom w:val="0"/>
          <w:divBdr>
            <w:top w:val="none" w:sz="0" w:space="0" w:color="auto"/>
            <w:left w:val="none" w:sz="0" w:space="0" w:color="auto"/>
            <w:bottom w:val="none" w:sz="0" w:space="0" w:color="auto"/>
            <w:right w:val="none" w:sz="0" w:space="0" w:color="auto"/>
          </w:divBdr>
          <w:divsChild>
            <w:div w:id="163399876">
              <w:marLeft w:val="0"/>
              <w:marRight w:val="0"/>
              <w:marTop w:val="0"/>
              <w:marBottom w:val="0"/>
              <w:divBdr>
                <w:top w:val="none" w:sz="0" w:space="0" w:color="auto"/>
                <w:left w:val="none" w:sz="0" w:space="0" w:color="auto"/>
                <w:bottom w:val="none" w:sz="0" w:space="0" w:color="auto"/>
                <w:right w:val="none" w:sz="0" w:space="0" w:color="auto"/>
              </w:divBdr>
            </w:div>
            <w:div w:id="501050893">
              <w:marLeft w:val="0"/>
              <w:marRight w:val="0"/>
              <w:marTop w:val="0"/>
              <w:marBottom w:val="0"/>
              <w:divBdr>
                <w:top w:val="none" w:sz="0" w:space="0" w:color="auto"/>
                <w:left w:val="none" w:sz="0" w:space="0" w:color="auto"/>
                <w:bottom w:val="none" w:sz="0" w:space="0" w:color="auto"/>
                <w:right w:val="none" w:sz="0" w:space="0" w:color="auto"/>
              </w:divBdr>
            </w:div>
            <w:div w:id="925773224">
              <w:marLeft w:val="0"/>
              <w:marRight w:val="0"/>
              <w:marTop w:val="0"/>
              <w:marBottom w:val="0"/>
              <w:divBdr>
                <w:top w:val="none" w:sz="0" w:space="0" w:color="auto"/>
                <w:left w:val="none" w:sz="0" w:space="0" w:color="auto"/>
                <w:bottom w:val="none" w:sz="0" w:space="0" w:color="auto"/>
                <w:right w:val="none" w:sz="0" w:space="0" w:color="auto"/>
              </w:divBdr>
            </w:div>
            <w:div w:id="1060129474">
              <w:marLeft w:val="0"/>
              <w:marRight w:val="0"/>
              <w:marTop w:val="0"/>
              <w:marBottom w:val="0"/>
              <w:divBdr>
                <w:top w:val="none" w:sz="0" w:space="0" w:color="auto"/>
                <w:left w:val="none" w:sz="0" w:space="0" w:color="auto"/>
                <w:bottom w:val="none" w:sz="0" w:space="0" w:color="auto"/>
                <w:right w:val="none" w:sz="0" w:space="0" w:color="auto"/>
              </w:divBdr>
            </w:div>
            <w:div w:id="1382444062">
              <w:marLeft w:val="0"/>
              <w:marRight w:val="0"/>
              <w:marTop w:val="0"/>
              <w:marBottom w:val="0"/>
              <w:divBdr>
                <w:top w:val="none" w:sz="0" w:space="0" w:color="auto"/>
                <w:left w:val="none" w:sz="0" w:space="0" w:color="auto"/>
                <w:bottom w:val="none" w:sz="0" w:space="0" w:color="auto"/>
                <w:right w:val="none" w:sz="0" w:space="0" w:color="auto"/>
              </w:divBdr>
            </w:div>
          </w:divsChild>
        </w:div>
        <w:div w:id="1608387751">
          <w:marLeft w:val="0"/>
          <w:marRight w:val="0"/>
          <w:marTop w:val="0"/>
          <w:marBottom w:val="0"/>
          <w:divBdr>
            <w:top w:val="none" w:sz="0" w:space="0" w:color="auto"/>
            <w:left w:val="none" w:sz="0" w:space="0" w:color="auto"/>
            <w:bottom w:val="none" w:sz="0" w:space="0" w:color="auto"/>
            <w:right w:val="none" w:sz="0" w:space="0" w:color="auto"/>
          </w:divBdr>
          <w:divsChild>
            <w:div w:id="27067501">
              <w:marLeft w:val="0"/>
              <w:marRight w:val="0"/>
              <w:marTop w:val="0"/>
              <w:marBottom w:val="0"/>
              <w:divBdr>
                <w:top w:val="none" w:sz="0" w:space="0" w:color="auto"/>
                <w:left w:val="none" w:sz="0" w:space="0" w:color="auto"/>
                <w:bottom w:val="none" w:sz="0" w:space="0" w:color="auto"/>
                <w:right w:val="none" w:sz="0" w:space="0" w:color="auto"/>
              </w:divBdr>
            </w:div>
            <w:div w:id="276373842">
              <w:marLeft w:val="0"/>
              <w:marRight w:val="0"/>
              <w:marTop w:val="0"/>
              <w:marBottom w:val="0"/>
              <w:divBdr>
                <w:top w:val="none" w:sz="0" w:space="0" w:color="auto"/>
                <w:left w:val="none" w:sz="0" w:space="0" w:color="auto"/>
                <w:bottom w:val="none" w:sz="0" w:space="0" w:color="auto"/>
                <w:right w:val="none" w:sz="0" w:space="0" w:color="auto"/>
              </w:divBdr>
            </w:div>
            <w:div w:id="353507282">
              <w:marLeft w:val="0"/>
              <w:marRight w:val="0"/>
              <w:marTop w:val="0"/>
              <w:marBottom w:val="0"/>
              <w:divBdr>
                <w:top w:val="none" w:sz="0" w:space="0" w:color="auto"/>
                <w:left w:val="none" w:sz="0" w:space="0" w:color="auto"/>
                <w:bottom w:val="none" w:sz="0" w:space="0" w:color="auto"/>
                <w:right w:val="none" w:sz="0" w:space="0" w:color="auto"/>
              </w:divBdr>
            </w:div>
            <w:div w:id="704477833">
              <w:marLeft w:val="0"/>
              <w:marRight w:val="0"/>
              <w:marTop w:val="0"/>
              <w:marBottom w:val="0"/>
              <w:divBdr>
                <w:top w:val="none" w:sz="0" w:space="0" w:color="auto"/>
                <w:left w:val="none" w:sz="0" w:space="0" w:color="auto"/>
                <w:bottom w:val="none" w:sz="0" w:space="0" w:color="auto"/>
                <w:right w:val="none" w:sz="0" w:space="0" w:color="auto"/>
              </w:divBdr>
            </w:div>
            <w:div w:id="1372413591">
              <w:marLeft w:val="0"/>
              <w:marRight w:val="0"/>
              <w:marTop w:val="0"/>
              <w:marBottom w:val="0"/>
              <w:divBdr>
                <w:top w:val="none" w:sz="0" w:space="0" w:color="auto"/>
                <w:left w:val="none" w:sz="0" w:space="0" w:color="auto"/>
                <w:bottom w:val="none" w:sz="0" w:space="0" w:color="auto"/>
                <w:right w:val="none" w:sz="0" w:space="0" w:color="auto"/>
              </w:divBdr>
            </w:div>
          </w:divsChild>
        </w:div>
        <w:div w:id="1646661356">
          <w:marLeft w:val="0"/>
          <w:marRight w:val="0"/>
          <w:marTop w:val="0"/>
          <w:marBottom w:val="0"/>
          <w:divBdr>
            <w:top w:val="none" w:sz="0" w:space="0" w:color="auto"/>
            <w:left w:val="none" w:sz="0" w:space="0" w:color="auto"/>
            <w:bottom w:val="none" w:sz="0" w:space="0" w:color="auto"/>
            <w:right w:val="none" w:sz="0" w:space="0" w:color="auto"/>
          </w:divBdr>
          <w:divsChild>
            <w:div w:id="392045481">
              <w:marLeft w:val="0"/>
              <w:marRight w:val="0"/>
              <w:marTop w:val="0"/>
              <w:marBottom w:val="0"/>
              <w:divBdr>
                <w:top w:val="none" w:sz="0" w:space="0" w:color="auto"/>
                <w:left w:val="none" w:sz="0" w:space="0" w:color="auto"/>
                <w:bottom w:val="none" w:sz="0" w:space="0" w:color="auto"/>
                <w:right w:val="none" w:sz="0" w:space="0" w:color="auto"/>
              </w:divBdr>
            </w:div>
            <w:div w:id="520357290">
              <w:marLeft w:val="0"/>
              <w:marRight w:val="0"/>
              <w:marTop w:val="0"/>
              <w:marBottom w:val="0"/>
              <w:divBdr>
                <w:top w:val="none" w:sz="0" w:space="0" w:color="auto"/>
                <w:left w:val="none" w:sz="0" w:space="0" w:color="auto"/>
                <w:bottom w:val="none" w:sz="0" w:space="0" w:color="auto"/>
                <w:right w:val="none" w:sz="0" w:space="0" w:color="auto"/>
              </w:divBdr>
            </w:div>
            <w:div w:id="542257303">
              <w:marLeft w:val="0"/>
              <w:marRight w:val="0"/>
              <w:marTop w:val="0"/>
              <w:marBottom w:val="0"/>
              <w:divBdr>
                <w:top w:val="none" w:sz="0" w:space="0" w:color="auto"/>
                <w:left w:val="none" w:sz="0" w:space="0" w:color="auto"/>
                <w:bottom w:val="none" w:sz="0" w:space="0" w:color="auto"/>
                <w:right w:val="none" w:sz="0" w:space="0" w:color="auto"/>
              </w:divBdr>
            </w:div>
            <w:div w:id="742796068">
              <w:marLeft w:val="0"/>
              <w:marRight w:val="0"/>
              <w:marTop w:val="0"/>
              <w:marBottom w:val="0"/>
              <w:divBdr>
                <w:top w:val="none" w:sz="0" w:space="0" w:color="auto"/>
                <w:left w:val="none" w:sz="0" w:space="0" w:color="auto"/>
                <w:bottom w:val="none" w:sz="0" w:space="0" w:color="auto"/>
                <w:right w:val="none" w:sz="0" w:space="0" w:color="auto"/>
              </w:divBdr>
            </w:div>
            <w:div w:id="1877232129">
              <w:marLeft w:val="0"/>
              <w:marRight w:val="0"/>
              <w:marTop w:val="0"/>
              <w:marBottom w:val="0"/>
              <w:divBdr>
                <w:top w:val="none" w:sz="0" w:space="0" w:color="auto"/>
                <w:left w:val="none" w:sz="0" w:space="0" w:color="auto"/>
                <w:bottom w:val="none" w:sz="0" w:space="0" w:color="auto"/>
                <w:right w:val="none" w:sz="0" w:space="0" w:color="auto"/>
              </w:divBdr>
            </w:div>
          </w:divsChild>
        </w:div>
        <w:div w:id="1830511647">
          <w:marLeft w:val="0"/>
          <w:marRight w:val="0"/>
          <w:marTop w:val="0"/>
          <w:marBottom w:val="0"/>
          <w:divBdr>
            <w:top w:val="none" w:sz="0" w:space="0" w:color="auto"/>
            <w:left w:val="none" w:sz="0" w:space="0" w:color="auto"/>
            <w:bottom w:val="none" w:sz="0" w:space="0" w:color="auto"/>
            <w:right w:val="none" w:sz="0" w:space="0" w:color="auto"/>
          </w:divBdr>
          <w:divsChild>
            <w:div w:id="530340296">
              <w:marLeft w:val="0"/>
              <w:marRight w:val="0"/>
              <w:marTop w:val="0"/>
              <w:marBottom w:val="0"/>
              <w:divBdr>
                <w:top w:val="none" w:sz="0" w:space="0" w:color="auto"/>
                <w:left w:val="none" w:sz="0" w:space="0" w:color="auto"/>
                <w:bottom w:val="none" w:sz="0" w:space="0" w:color="auto"/>
                <w:right w:val="none" w:sz="0" w:space="0" w:color="auto"/>
              </w:divBdr>
            </w:div>
            <w:div w:id="650520176">
              <w:marLeft w:val="0"/>
              <w:marRight w:val="0"/>
              <w:marTop w:val="0"/>
              <w:marBottom w:val="0"/>
              <w:divBdr>
                <w:top w:val="none" w:sz="0" w:space="0" w:color="auto"/>
                <w:left w:val="none" w:sz="0" w:space="0" w:color="auto"/>
                <w:bottom w:val="none" w:sz="0" w:space="0" w:color="auto"/>
                <w:right w:val="none" w:sz="0" w:space="0" w:color="auto"/>
              </w:divBdr>
            </w:div>
            <w:div w:id="7968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as.org/en/IACHR/docs/annual/2022/docs/IA2022cap.2.g.EC12.525-en.docx" TargetMode="External"/><Relationship Id="rId21" Type="http://schemas.openxmlformats.org/officeDocument/2006/relationships/hyperlink" Target="https://youtu.be/yjnscSGItCA?vq=hd1080" TargetMode="External"/><Relationship Id="rId63" Type="http://schemas.openxmlformats.org/officeDocument/2006/relationships/hyperlink" Target="https://www.oas.org/en/IACHR/docs/annual/2022/sa/FT_SA_Honduras_Case_12.891_ENG.docx" TargetMode="External"/><Relationship Id="rId159" Type="http://schemas.openxmlformats.org/officeDocument/2006/relationships/hyperlink" Target="https://www.oas.org/en/IACHR/docs/annual/2022/docs/IA2022cap2.G.EU13.829-en.docx" TargetMode="External"/><Relationship Id="rId170" Type="http://schemas.openxmlformats.org/officeDocument/2006/relationships/hyperlink" Target="https://www.oas.org/en/IACHR/docs/annual/2022/docs/IA2022cap.2.g.GA9.111-en.docx" TargetMode="External"/><Relationship Id="rId226" Type="http://schemas.openxmlformats.org/officeDocument/2006/relationships/hyperlink" Target="https://www.oas.org/es/CIDH/jsForm/?File=/es/cidh/prensa/comunicados/2022/042.asp" TargetMode="External"/><Relationship Id="rId268" Type="http://schemas.openxmlformats.org/officeDocument/2006/relationships/chart" Target="charts/chart26.xml"/><Relationship Id="rId32" Type="http://schemas.openxmlformats.org/officeDocument/2006/relationships/hyperlink" Target="http://www.cidh.org/annualrep/2007sp/cap3d.3sp.htm" TargetMode="External"/><Relationship Id="rId74" Type="http://schemas.openxmlformats.org/officeDocument/2006/relationships/hyperlink" Target="https://www.oas.org/en/IACHR/docs/annual/2022/docs/IA2022cap.2.g.AR12.681-en.docx" TargetMode="External"/><Relationship Id="rId128" Type="http://schemas.openxmlformats.org/officeDocument/2006/relationships/hyperlink" Target="https://www.oas.org/en/IACHR/docs/annual/2022/docs/IA2022cap.2.g.US11.331-en.doc" TargetMode="External"/><Relationship Id="rId5" Type="http://schemas.openxmlformats.org/officeDocument/2006/relationships/numbering" Target="numbering.xml"/><Relationship Id="rId181" Type="http://schemas.openxmlformats.org/officeDocument/2006/relationships/hyperlink" Target="https://www.oas.org/en/IACHR/docs/annual/2022/docs/IA2022cap.2.g.JA12.275-en.docx" TargetMode="External"/><Relationship Id="rId237" Type="http://schemas.openxmlformats.org/officeDocument/2006/relationships/hyperlink" Target="https://www.oas.org/en/iachr/decisions/mc/2022/res_60-22_mc_258-20_ve_en.pdf" TargetMode="External"/><Relationship Id="rId279" Type="http://schemas.openxmlformats.org/officeDocument/2006/relationships/chart" Target="charts/chart37.xml"/><Relationship Id="rId43" Type="http://schemas.openxmlformats.org/officeDocument/2006/relationships/hyperlink" Target="http://www.cidh.org/annualrep/2007sp/cap3d.3sp.htm" TargetMode="External"/><Relationship Id="rId139" Type="http://schemas.openxmlformats.org/officeDocument/2006/relationships/hyperlink" Target="https://www.oas.org/en/IACHR/docs/annual/2022/docs/IA2022cap.2.g.US11.575-en.doc" TargetMode="External"/><Relationship Id="rId85" Type="http://schemas.openxmlformats.org/officeDocument/2006/relationships/hyperlink" Target="https://www.oas.org/en/IACHR/docs/annual/2022/docs/IA2022cap.2.g.BR11.556-en.docx" TargetMode="External"/><Relationship Id="rId150" Type="http://schemas.openxmlformats.org/officeDocument/2006/relationships/hyperlink" Target="https://www.oas.org/en/IACHR/docs/annual/2022/docs/IA2022cap.2.g.US13.570-en.docx" TargetMode="External"/><Relationship Id="rId171" Type="http://schemas.openxmlformats.org/officeDocument/2006/relationships/hyperlink" Target="https://www.oas.org/en/IACHR/docs/annual/2022/docs/IA2022cap.2.g.GA11.382-en.docx" TargetMode="External"/><Relationship Id="rId192" Type="http://schemas.openxmlformats.org/officeDocument/2006/relationships/hyperlink" Target="https://www.oas.org/es/CIDH/docs/anual/2022/docs/IA2022cap2.g.MX11.564-es.docx" TargetMode="External"/><Relationship Id="rId206" Type="http://schemas.openxmlformats.org/officeDocument/2006/relationships/hyperlink" Target="https://www.oas.org/es/cidh/decisiones/2021/ecpu11.444es.pdf" TargetMode="External"/><Relationship Id="rId227" Type="http://schemas.openxmlformats.org/officeDocument/2006/relationships/hyperlink" Target="https://www.oas.org/es/CIDH/jsForm/?File=/es/cidh/prensa/comunicados/2022/087.asp" TargetMode="External"/><Relationship Id="rId248" Type="http://schemas.openxmlformats.org/officeDocument/2006/relationships/chart" Target="charts/chart6.xml"/><Relationship Id="rId269" Type="http://schemas.openxmlformats.org/officeDocument/2006/relationships/chart" Target="charts/chart27.xml"/><Relationship Id="rId12" Type="http://schemas.openxmlformats.org/officeDocument/2006/relationships/hyperlink" Target="https://www.oas.org/en/iachr/docs/annual/2017/docs/IA2017cap.2-en.pdf" TargetMode="External"/><Relationship Id="rId33" Type="http://schemas.openxmlformats.org/officeDocument/2006/relationships/hyperlink" Target="https://www.oas.org/en/IACHR/docs/annual/2022/sa/FT_SA_Colombia_Petition_401-05_ENG.docx" TargetMode="External"/><Relationship Id="rId108" Type="http://schemas.openxmlformats.org/officeDocument/2006/relationships/hyperlink" Target="https://www.oas.org/en/IACHR/docs/annual/2022/docs/IA2022cap.2.g.CO11.656-en.docx" TargetMode="External"/><Relationship Id="rId129" Type="http://schemas.openxmlformats.org/officeDocument/2006/relationships/hyperlink" Target="https://www.oas.org/en/IACHR/docs/annual/2022/docs/IA2022cap.2.g.US12.240-en.doc" TargetMode="External"/><Relationship Id="rId280" Type="http://schemas.openxmlformats.org/officeDocument/2006/relationships/chart" Target="charts/chart38.xml"/><Relationship Id="rId54" Type="http://schemas.openxmlformats.org/officeDocument/2006/relationships/hyperlink" Target="http://www.cidh.org/annualrep/2007sp/cap3d.3sp.htm" TargetMode="External"/><Relationship Id="rId75" Type="http://schemas.openxmlformats.org/officeDocument/2006/relationships/hyperlink" Target="https://www.oas.org/en/IACHR/docs/annual/2022/docs/IA2022cap2.g.BA12.067_12.068_12.086-en.docx" TargetMode="External"/><Relationship Id="rId96" Type="http://schemas.openxmlformats.org/officeDocument/2006/relationships/hyperlink" Target="https://www.oas.org/en/IACHR/docs/annual/2022/docs/IA2022cap.2.G.CH11.771-en.docx" TargetMode="External"/><Relationship Id="rId140" Type="http://schemas.openxmlformats.org/officeDocument/2006/relationships/hyperlink" Target="https://www.oas.org/en/IACHR/docs/annual/2022/docs/IA2022cap.2.g.us12.864-en.docx" TargetMode="External"/><Relationship Id="rId161" Type="http://schemas.openxmlformats.org/officeDocument/2006/relationships/hyperlink" Target="https://www.oas.org/en/IACHR/docs/annual/2022/docs/IA2022cap2.G.EU13.339-en.docx" TargetMode="External"/><Relationship Id="rId182" Type="http://schemas.openxmlformats.org/officeDocument/2006/relationships/hyperlink" Target="https://www.oas.org/en/IACHR/docs/annual/2022/docs/IA2022cap2.g.JA12.347-en.docx" TargetMode="External"/><Relationship Id="rId217" Type="http://schemas.openxmlformats.org/officeDocument/2006/relationships/hyperlink" Target="https://www.oas.org/en/iachr/decisions/pdf/Resolution-3-18-en.pdf" TargetMode="External"/><Relationship Id="rId6" Type="http://schemas.openxmlformats.org/officeDocument/2006/relationships/styles" Target="styles.xml"/><Relationship Id="rId238" Type="http://schemas.openxmlformats.org/officeDocument/2006/relationships/hyperlink" Target="https://www.oas.org/en/IACHR/docs/annual/2022/docs/Anexo_I_MCs_2022-EN_VF_1-31-2023.docx" TargetMode="External"/><Relationship Id="rId259" Type="http://schemas.openxmlformats.org/officeDocument/2006/relationships/chart" Target="charts/chart17.xml"/><Relationship Id="rId23" Type="http://schemas.openxmlformats.org/officeDocument/2006/relationships/hyperlink" Target="https://www.oas.org/en/iachr/docs/annual/2021/Chapters/IA2021cap2-en.pdf" TargetMode="External"/><Relationship Id="rId119" Type="http://schemas.openxmlformats.org/officeDocument/2006/relationships/hyperlink" Target="https://www.oas.org/en/IACHR/docs/annual/2022/docs/IA2022cap.2.g.EC11.444-en.docx" TargetMode="External"/><Relationship Id="rId270" Type="http://schemas.openxmlformats.org/officeDocument/2006/relationships/chart" Target="charts/chart28.xml"/><Relationship Id="rId44" Type="http://schemas.openxmlformats.org/officeDocument/2006/relationships/hyperlink" Target="http://www.cidh.org/annualrep/2007sp/cap3d.3sp.htm" TargetMode="External"/><Relationship Id="rId65" Type="http://schemas.openxmlformats.org/officeDocument/2006/relationships/hyperlink" Target="https://www.oas.org/en/IACHR/docs/annual/2022/sa/FT_SA_Panama_Case_13.017_ENG.docx" TargetMode="External"/><Relationship Id="rId86" Type="http://schemas.openxmlformats.org/officeDocument/2006/relationships/hyperlink" Target="https://www.oas.org/en/IACHR/docs/annual/2022/docs/IA2022cap.2.g.BR11.634-en.docx" TargetMode="External"/><Relationship Id="rId130" Type="http://schemas.openxmlformats.org/officeDocument/2006/relationships/hyperlink" Target="https://www.oas.org/en/IACHR/docs/annual/2022/docs/IA2022cap.2.g.US12.412-en.doc" TargetMode="External"/><Relationship Id="rId151" Type="http://schemas.openxmlformats.org/officeDocument/2006/relationships/hyperlink" Target="https://www.oas.org/en/IACHR/docs/annual/2022/docs/IA2022cap.2.g.us13.361-en.docx" TargetMode="External"/><Relationship Id="rId172" Type="http://schemas.openxmlformats.org/officeDocument/2006/relationships/hyperlink" Target="https://www.oas.org/en/IACHR/docs/annual/2022/docs/IA2022cap.2.g.GA10.855-en.docx" TargetMode="External"/><Relationship Id="rId193" Type="http://schemas.openxmlformats.org/officeDocument/2006/relationships/hyperlink" Target="https://www.oas.org/es/CIDH/docs/anual/2022/docs/IA2022cap2.g.MX11.430-es.docx" TargetMode="External"/><Relationship Id="rId207" Type="http://schemas.openxmlformats.org/officeDocument/2006/relationships/hyperlink" Target="https://www.oas.org/es/cidh/decisiones/2021/ECPU12931ES.pdf" TargetMode="External"/><Relationship Id="rId228" Type="http://schemas.openxmlformats.org/officeDocument/2006/relationships/hyperlink" Target="https://www.oas.org/es/cidh/expresion/showarticle.asp?lID=2&amp;artID=1242" TargetMode="External"/><Relationship Id="rId249" Type="http://schemas.openxmlformats.org/officeDocument/2006/relationships/chart" Target="charts/chart7.xml"/><Relationship Id="rId13" Type="http://schemas.openxmlformats.org/officeDocument/2006/relationships/hyperlink" Target="https://www.oas.org/es/cidh/decisiones/corte/2020/EC_12.979_ES.PDF" TargetMode="External"/><Relationship Id="rId109" Type="http://schemas.openxmlformats.org/officeDocument/2006/relationships/hyperlink" Target="https://www.oas.org/en/IACHR/docs/annual/2022/docs/IA2022cap.2.g.CO11.726-en.docx" TargetMode="External"/><Relationship Id="rId260" Type="http://schemas.openxmlformats.org/officeDocument/2006/relationships/chart" Target="charts/chart18.xml"/><Relationship Id="rId281" Type="http://schemas.openxmlformats.org/officeDocument/2006/relationships/chart" Target="charts/chart39.xml"/><Relationship Id="rId34" Type="http://schemas.openxmlformats.org/officeDocument/2006/relationships/hyperlink" Target="http://www.cidh.org/annualrep/2007sp/cap3d.3sp.htm" TargetMode="External"/><Relationship Id="rId55" Type="http://schemas.openxmlformats.org/officeDocument/2006/relationships/hyperlink" Target="http://www.cidh.org/annualrep/2007sp/cap3d.3sp.htm" TargetMode="External"/><Relationship Id="rId76" Type="http://schemas.openxmlformats.org/officeDocument/2006/relationships/hyperlink" Target="https://www.oas.org/en/IACHR/docs/annual/2022/docs/IA2022cap2.g.BA12.265-en.docx" TargetMode="External"/><Relationship Id="rId97" Type="http://schemas.openxmlformats.org/officeDocument/2006/relationships/hyperlink" Target="https://www.oas.org/en/IACHR/docs/annual/2022/docs/IA2022cap.2.g.CH11.725-en.docx" TargetMode="External"/><Relationship Id="rId120" Type="http://schemas.openxmlformats.org/officeDocument/2006/relationships/hyperlink" Target="https://www.oas.org/en/IACHR/docs/annual/2022/docs/IA2022cap.2.g.EC12.931-en.docx" TargetMode="External"/><Relationship Id="rId141" Type="http://schemas.openxmlformats.org/officeDocument/2006/relationships/hyperlink" Target="https://www.oas.org/en/IACHR/docs/annual/2022/docs/IA2022cap.2.g.US12.422-en.docx" TargetMode="External"/><Relationship Id="rId7" Type="http://schemas.openxmlformats.org/officeDocument/2006/relationships/settings" Target="settings.xml"/><Relationship Id="rId162" Type="http://schemas.openxmlformats.org/officeDocument/2006/relationships/hyperlink" Target="https://www.oas.org/en/IACHR/docs/annual/2022/docs/IA2022cap2.G.EU13.478-en.docx" TargetMode="External"/><Relationship Id="rId183" Type="http://schemas.openxmlformats.org/officeDocument/2006/relationships/hyperlink" Target="https://www.oas.org/en/IACHR/docs/annual/2022/docs/IA2022cap.2.g.JA12.417-en.docx" TargetMode="External"/><Relationship Id="rId218" Type="http://schemas.openxmlformats.org/officeDocument/2006/relationships/hyperlink" Target="https://www.oas.org/es/cidh/decisiones/pdf/Resolucion-3-18-es.pdf" TargetMode="External"/><Relationship Id="rId239" Type="http://schemas.openxmlformats.org/officeDocument/2006/relationships/hyperlink" Target="https://www.corteidh.or.cr/medidas_provisionales.cfm" TargetMode="External"/><Relationship Id="rId250" Type="http://schemas.openxmlformats.org/officeDocument/2006/relationships/chart" Target="charts/chart8.xml"/><Relationship Id="rId271" Type="http://schemas.openxmlformats.org/officeDocument/2006/relationships/chart" Target="charts/chart29.xml"/><Relationship Id="rId24" Type="http://schemas.openxmlformats.org/officeDocument/2006/relationships/hyperlink" Target="https://www.oas.org/en/iachr/mandate/strategicplan/2023/StrategicPlan2023-2027.pdf" TargetMode="External"/><Relationship Id="rId45" Type="http://schemas.openxmlformats.org/officeDocument/2006/relationships/hyperlink" Target="http://www.cidh.org/annualrep/2007sp/cap3d.3sp.htm" TargetMode="External"/><Relationship Id="rId66" Type="http://schemas.openxmlformats.org/officeDocument/2006/relationships/hyperlink" Target="https://www.oas.org/en/IACHR/docs/annual/2022/sa/FT_SA_Paraguay_Case_12.358_ENG.docx" TargetMode="External"/><Relationship Id="rId87" Type="http://schemas.openxmlformats.org/officeDocument/2006/relationships/hyperlink" Target="https://www.oas.org/en/IACHR/docs/annual/2022/docs/IA2022cap.2.g.BR12.001-en.docx" TargetMode="External"/><Relationship Id="rId110" Type="http://schemas.openxmlformats.org/officeDocument/2006/relationships/hyperlink" Target="https://www.oas.org/en/IACHR/docs/annual/2022/docs/IA2022cap.2.G.CO12.780-en.docx" TargetMode="External"/><Relationship Id="rId131" Type="http://schemas.openxmlformats.org/officeDocument/2006/relationships/hyperlink" Target="https://www.oas.org/en/IACHR/docs/annual/2022/docs/IA2022cap.2.g.US12.430-en.doc" TargetMode="External"/><Relationship Id="rId152" Type="http://schemas.openxmlformats.org/officeDocument/2006/relationships/hyperlink" Target="https://www.oas.org/en/IACHR/docs/annual/2022/docs/IA2022cap.2.g.US13.356-en.docx" TargetMode="External"/><Relationship Id="rId173" Type="http://schemas.openxmlformats.org/officeDocument/2006/relationships/hyperlink" Target="https://www.oas.org/en/IACHR/docs/annual/2022/docs/IA2022cap.2.g.GA11.171-en.docx" TargetMode="External"/><Relationship Id="rId194" Type="http://schemas.openxmlformats.org/officeDocument/2006/relationships/hyperlink" Target="https://www.oas.org/es/CIDH/docs/anual/2022/docs/IA2022cap2.g.MX11.740-es.docx" TargetMode="External"/><Relationship Id="rId208" Type="http://schemas.openxmlformats.org/officeDocument/2006/relationships/hyperlink" Target="https://www.oas.org/es/cidh/decisiones/2021/USPU12.505ES.pdf" TargetMode="External"/><Relationship Id="rId229" Type="http://schemas.openxmlformats.org/officeDocument/2006/relationships/hyperlink" Target="https://www.oas.org/es/CIDH/jsForm/?File=/es/cidh/prensa/comunicados/2022/160.asp" TargetMode="External"/><Relationship Id="rId240" Type="http://schemas.openxmlformats.org/officeDocument/2006/relationships/hyperlink" Target="https://www.corteidh.or.cr/docs/medidas/yanomami_se_01.pdf" TargetMode="External"/><Relationship Id="rId261" Type="http://schemas.openxmlformats.org/officeDocument/2006/relationships/chart" Target="charts/chart19.xml"/><Relationship Id="rId14" Type="http://schemas.openxmlformats.org/officeDocument/2006/relationships/hyperlink" Target="http://www.cidh.org/annualrep/96eng/Guatemala10526.htm" TargetMode="External"/><Relationship Id="rId35" Type="http://schemas.openxmlformats.org/officeDocument/2006/relationships/hyperlink" Target="http://www.cidh.org/annualrep/2007sp/cap3d.3sp.htm" TargetMode="External"/><Relationship Id="rId56" Type="http://schemas.openxmlformats.org/officeDocument/2006/relationships/hyperlink" Target="http://www.cidh.org/annualrep/2007sp/cap3d.3sp.htm" TargetMode="External"/><Relationship Id="rId77" Type="http://schemas.openxmlformats.org/officeDocument/2006/relationships/hyperlink" Target="https://www.oas.org/en/IACHR/docs/annual/2022/docs/IA2022cap2.g.BA12.513-en.docx" TargetMode="External"/><Relationship Id="rId100" Type="http://schemas.openxmlformats.org/officeDocument/2006/relationships/hyperlink" Target="https://www.oas.org/en/IACHR/docs/annual/2022/docs/IA2022cap2.G.CH12.880-en.docx" TargetMode="External"/><Relationship Id="rId282" Type="http://schemas.openxmlformats.org/officeDocument/2006/relationships/chart" Target="charts/chart40.xml"/><Relationship Id="rId8" Type="http://schemas.openxmlformats.org/officeDocument/2006/relationships/webSettings" Target="webSettings.xml"/><Relationship Id="rId98" Type="http://schemas.openxmlformats.org/officeDocument/2006/relationships/hyperlink" Target="https://www.oas.org/en/IACHR/docs/annual/2022/docs/IA2022cap.2.g.CH12.469-en.docx" TargetMode="External"/><Relationship Id="rId121" Type="http://schemas.openxmlformats.org/officeDocument/2006/relationships/hyperlink" Target="https://www.oas.org/en/IACHR/docs/annual/2022/docs/IA2022cap.2.g.ES12.249-en.docx" TargetMode="External"/><Relationship Id="rId142" Type="http://schemas.openxmlformats.org/officeDocument/2006/relationships/hyperlink" Target="https://www.oas.org/en/IACHR/docs/annual/2022/docs/IA2022cap.2.g.US12.873-en.doc" TargetMode="External"/><Relationship Id="rId163" Type="http://schemas.openxmlformats.org/officeDocument/2006/relationships/hyperlink" Target="https://www.oas.org/en/IACHR/docs/annual/2022/docs/IA2022cap2.G.EU12.871-en.docx" TargetMode="External"/><Relationship Id="rId184" Type="http://schemas.openxmlformats.org/officeDocument/2006/relationships/hyperlink" Target="https://www.oas.org/en/IACHR/docs/annual/2022/docs/IA2022cap.2.g.JA12.418-en.docx" TargetMode="External"/><Relationship Id="rId219" Type="http://schemas.openxmlformats.org/officeDocument/2006/relationships/image" Target="media/image2.png"/><Relationship Id="rId230" Type="http://schemas.openxmlformats.org/officeDocument/2006/relationships/hyperlink" Target="https://www.oas.org/es/CIDH/jsForm/?File=/es/cidh/prensa/comunicados/2022/221.asp" TargetMode="External"/><Relationship Id="rId251" Type="http://schemas.openxmlformats.org/officeDocument/2006/relationships/chart" Target="charts/chart9.xml"/><Relationship Id="rId25" Type="http://schemas.openxmlformats.org/officeDocument/2006/relationships/hyperlink" Target="https://www.oas.org/en/iachr/docs/annual/2021/Chapters/IA2021cap2-en.pdf" TargetMode="External"/><Relationship Id="rId46" Type="http://schemas.openxmlformats.org/officeDocument/2006/relationships/hyperlink" Target="http://www.cidh.org/annualrep/2007sp/cap3d.3sp.htm" TargetMode="External"/><Relationship Id="rId67" Type="http://schemas.openxmlformats.org/officeDocument/2006/relationships/hyperlink" Target="https://www.oas.org/en/IACHR/docs/annual/2022/sa/FT_SA_Peru_Case_12.191_ENG.docx" TargetMode="External"/><Relationship Id="rId272" Type="http://schemas.openxmlformats.org/officeDocument/2006/relationships/chart" Target="charts/chart30.xml"/><Relationship Id="rId88" Type="http://schemas.openxmlformats.org/officeDocument/2006/relationships/hyperlink" Target="https://www.oas.org/en/IACHR/docs/annual/2022/docs/IA2022cap.2.g.BR12.019-en.docx" TargetMode="External"/><Relationship Id="rId111" Type="http://schemas.openxmlformats.org/officeDocument/2006/relationships/hyperlink" Target="https://www.oas.org/en/IACHR/docs/annual/2022/docs/IA2022cap.2.g.CU12.476-en.docx" TargetMode="External"/><Relationship Id="rId132" Type="http://schemas.openxmlformats.org/officeDocument/2006/relationships/hyperlink" Target="https://www.oas.org/en/IACHR/docs/annual/2022/docs/IA2022cap.2.g.US12.439-en.doc" TargetMode="External"/><Relationship Id="rId153" Type="http://schemas.openxmlformats.org/officeDocument/2006/relationships/hyperlink" Target="https://www.oas.org/en/IACHR/docs/annual/2022/docs/IA2022cap.2.g.US12.865-en.docx" TargetMode="External"/><Relationship Id="rId174" Type="http://schemas.openxmlformats.org/officeDocument/2006/relationships/hyperlink" Target="https://www.oas.org/en/IACHR/docs/annual/2022/docs/IA2022cap.2.g.GA11.658-en.docx" TargetMode="External"/><Relationship Id="rId195" Type="http://schemas.openxmlformats.org/officeDocument/2006/relationships/hyperlink" Target="https://www.oas.org/en/IACHR/docs/annual/2022/docs/IA2022cap.2.g.NI11.381-en.docx" TargetMode="External"/><Relationship Id="rId209" Type="http://schemas.openxmlformats.org/officeDocument/2006/relationships/hyperlink" Target="https://www.oas.org/es/cidh/decisiones/2021/uspu13.394es.pdf" TargetMode="External"/><Relationship Id="rId220" Type="http://schemas.openxmlformats.org/officeDocument/2006/relationships/hyperlink" Target="https://www.oas.org/en/iachr/decisions/pdf/Resolution-2-20-en.pdf" TargetMode="External"/><Relationship Id="rId241" Type="http://schemas.openxmlformats.org/officeDocument/2006/relationships/hyperlink" Target="https://www.corteidh.or.cr/docs/medidas/45personas_se_01.pdf" TargetMode="External"/><Relationship Id="rId15" Type="http://schemas.openxmlformats.org/officeDocument/2006/relationships/hyperlink" Target="https://www.youtube.com/watch?v=wu6LJNAhjw8&amp;list=PL5QlapyOGhXtc-qfEME39loCXnbBwD7op&amp;index=19&amp;vq=hd1080" TargetMode="External"/><Relationship Id="rId36" Type="http://schemas.openxmlformats.org/officeDocument/2006/relationships/hyperlink" Target="https://www.oas.org/en/IACHR/docs/annual/2022/sa/FT_SA_Ecuador_Case_11.478_ENG.docx" TargetMode="External"/><Relationship Id="rId57" Type="http://schemas.openxmlformats.org/officeDocument/2006/relationships/hyperlink" Target="http://www.cidh.org/annualrep/2007sp/cap3d.3sp.htm" TargetMode="External"/><Relationship Id="rId262" Type="http://schemas.openxmlformats.org/officeDocument/2006/relationships/chart" Target="charts/chart20.xml"/><Relationship Id="rId283" Type="http://schemas.openxmlformats.org/officeDocument/2006/relationships/chart" Target="charts/chart41.xml"/><Relationship Id="rId78" Type="http://schemas.openxmlformats.org/officeDocument/2006/relationships/hyperlink" Target="https://www.oas.org/en/IACHR/docs/annual/2022/docs/IA2022cap2.g.BA12.231-en.docx" TargetMode="External"/><Relationship Id="rId99" Type="http://schemas.openxmlformats.org/officeDocument/2006/relationships/hyperlink" Target="https://www.oas.org/en/IACHR/docs/annual/2022/docs/IA2022cap.2.g.CH12.799-en.docx" TargetMode="External"/><Relationship Id="rId101" Type="http://schemas.openxmlformats.org/officeDocument/2006/relationships/hyperlink" Target="https://www.oas.org/en/IACHR/docs/annual/2022/docs/IA2022cap.2.g.CO11.654-en.docx" TargetMode="External"/><Relationship Id="rId122" Type="http://schemas.openxmlformats.org/officeDocument/2006/relationships/hyperlink" Target="https://www.oas.org/en/IACHR/docs/annual/2022/docs/IA2022cap.2.g.US9.903-en.doc" TargetMode="External"/><Relationship Id="rId143" Type="http://schemas.openxmlformats.org/officeDocument/2006/relationships/hyperlink" Target="https://www.oas.org/en/IACHR/docs/annual/2022/docs/IA2022cap.2.g.US12.833-en.docx" TargetMode="External"/><Relationship Id="rId164" Type="http://schemas.openxmlformats.org/officeDocument/2006/relationships/hyperlink" Target="https://www.oas.org/en/IACHR/docs/annual/2022/docs/IA2022cap2.g.GR12.028-en.docx" TargetMode="External"/><Relationship Id="rId185" Type="http://schemas.openxmlformats.org/officeDocument/2006/relationships/hyperlink" Target="https://www.oas.org/en/IACHR/docs/annual/2022/docs/IA2022cap.2.g.JA12.447-en.docx" TargetMode="External"/><Relationship Id="rId9" Type="http://schemas.openxmlformats.org/officeDocument/2006/relationships/footnotes" Target="footnotes.xml"/><Relationship Id="rId210" Type="http://schemas.openxmlformats.org/officeDocument/2006/relationships/hyperlink" Target="https://www.oas.org/es/cidh/decisiones/2021/uspu13.829es.pdf" TargetMode="External"/><Relationship Id="rId26" Type="http://schemas.openxmlformats.org/officeDocument/2006/relationships/chart" Target="charts/chart1.xml"/><Relationship Id="rId231" Type="http://schemas.openxmlformats.org/officeDocument/2006/relationships/hyperlink" Target="https://www.oas.org/es/CIDH/jsForm/?File=/es/cidh/prensa/comunicados/2022/253.asp" TargetMode="External"/><Relationship Id="rId252" Type="http://schemas.openxmlformats.org/officeDocument/2006/relationships/chart" Target="charts/chart10.xml"/><Relationship Id="rId273" Type="http://schemas.openxmlformats.org/officeDocument/2006/relationships/chart" Target="charts/chart31.xml"/><Relationship Id="rId47" Type="http://schemas.openxmlformats.org/officeDocument/2006/relationships/hyperlink" Target="http://www.cidh.org/annualrep/2007sp/cap3d.3sp.htm" TargetMode="External"/><Relationship Id="rId68" Type="http://schemas.openxmlformats.org/officeDocument/2006/relationships/hyperlink" Target="https://www.oas.org/en/IACHR/docs/annual/2022/sa/FT_SA_Uruguay_Petition_1376_ENG.docx" TargetMode="External"/><Relationship Id="rId89" Type="http://schemas.openxmlformats.org/officeDocument/2006/relationships/hyperlink" Target="https://www.oas.org/en/IACHR/docs/annual/2022/docs/IA2022cap.2.g.BR12.310-en.docx" TargetMode="External"/><Relationship Id="rId112" Type="http://schemas.openxmlformats.org/officeDocument/2006/relationships/hyperlink" Target="https://www.oas.org/en/IACHR/docs/annual/2022/docs/IA2022cap.2.g.CU12.477-en.docx" TargetMode="External"/><Relationship Id="rId133" Type="http://schemas.openxmlformats.org/officeDocument/2006/relationships/hyperlink" Target="https://www.oas.org/en/IACHR/docs/annual/2022/docs/IA2022cap.2.g.US12.421-en.doc" TargetMode="External"/><Relationship Id="rId154" Type="http://schemas.openxmlformats.org/officeDocument/2006/relationships/hyperlink" Target="https://www.oas.org/en/IACHR/docs/annual/2022/docs/IA2022cap.2.g.US12.719-en.docx" TargetMode="External"/><Relationship Id="rId175" Type="http://schemas.openxmlformats.org/officeDocument/2006/relationships/hyperlink" Target="https://www.oas.org/en/IACHR/docs/annual/2022/docs/IA2022cap2.g.GU12.264-en.docx" TargetMode="External"/><Relationship Id="rId196" Type="http://schemas.openxmlformats.org/officeDocument/2006/relationships/hyperlink" Target="https://www.oas.org/en/IACHR/docs/annual/2022/docs/IA2022cap.2.g.PY11.506-en.docx" TargetMode="External"/><Relationship Id="rId200" Type="http://schemas.openxmlformats.org/officeDocument/2006/relationships/hyperlink" Target="https://www.oas.org/en/IACHR/docs/annual/2022/docs/IA2022cap.2.g.UR12.553-en.docx" TargetMode="External"/><Relationship Id="rId16" Type="http://schemas.openxmlformats.org/officeDocument/2006/relationships/hyperlink" Target="https://www.youtube.com/watch?v=ASzRQ8OCXjw&amp;list=PL5QlapyOGhXtc-qfEME39loCXnbBwD7op&amp;index=7&amp;vq=hd1080" TargetMode="External"/><Relationship Id="rId221" Type="http://schemas.openxmlformats.org/officeDocument/2006/relationships/hyperlink" Target="https://www.oas.org/es/CIDH/jsForm/?File=/es/CIDH/decisiones/MC/supervision.asp" TargetMode="External"/><Relationship Id="rId242" Type="http://schemas.openxmlformats.org/officeDocument/2006/relationships/hyperlink" Target="https://www.oas.org/en/IACHR/decisions/MC/MedidasCautelares_folleto_EN.pdf" TargetMode="External"/><Relationship Id="rId263" Type="http://schemas.openxmlformats.org/officeDocument/2006/relationships/chart" Target="charts/chart21.xml"/><Relationship Id="rId284" Type="http://schemas.openxmlformats.org/officeDocument/2006/relationships/header" Target="header1.xml"/><Relationship Id="rId37" Type="http://schemas.openxmlformats.org/officeDocument/2006/relationships/hyperlink" Target="http://www.cidh.org/annualrep/2007sp/cap3d.3sp.htm" TargetMode="External"/><Relationship Id="rId58" Type="http://schemas.openxmlformats.org/officeDocument/2006/relationships/hyperlink" Target="http://www.cidh.org/annualrep/2007sp/cap3d.3sp.htm" TargetMode="External"/><Relationship Id="rId79" Type="http://schemas.openxmlformats.org/officeDocument/2006/relationships/hyperlink" Target="https://www.oas.org/en/IACHR/docs/annual/2022/docs/IA2022cap.2.g.BA12.071-en.docx" TargetMode="External"/><Relationship Id="rId102" Type="http://schemas.openxmlformats.org/officeDocument/2006/relationships/hyperlink" Target="https://www.oas.org/en/IACHR/docs/annual/2022/docs/IA2022cap.2.g.CO11.710-en.docx" TargetMode="External"/><Relationship Id="rId123" Type="http://schemas.openxmlformats.org/officeDocument/2006/relationships/hyperlink" Target="https://www.oas.org/en/IACHR/docs/annual/2022/docs/IA2022cap.2.g.US12.243-en.doc" TargetMode="External"/><Relationship Id="rId144" Type="http://schemas.openxmlformats.org/officeDocument/2006/relationships/hyperlink" Target="https://www.oas.org/en/IACHR/docs/annual/2022/docs/IA2022cap.2.g.us12.831-en.docx" TargetMode="External"/><Relationship Id="rId90" Type="http://schemas.openxmlformats.org/officeDocument/2006/relationships/hyperlink" Target="https://www.oas.org/en/IACHR/docs/annual/2022/docs/IA2022cap.2.g.BR12.440-en.docx" TargetMode="External"/><Relationship Id="rId165" Type="http://schemas.openxmlformats.org/officeDocument/2006/relationships/hyperlink" Target="https://www.oas.org/en/IACHR/docs/annual/2022/docs/IA2022cap2.g.GR11.765-en.docx" TargetMode="External"/><Relationship Id="rId186" Type="http://schemas.openxmlformats.org/officeDocument/2006/relationships/hyperlink" Target="https://www.oas.org/en/IACHR/docs/annual/2022/docs/IA2022cap.2.g.JA13.095-en.docx" TargetMode="External"/><Relationship Id="rId211" Type="http://schemas.openxmlformats.org/officeDocument/2006/relationships/hyperlink" Target="https://www.oas.org/en/iachr/decisions/2021/USPU12.832EN.pdf" TargetMode="External"/><Relationship Id="rId232" Type="http://schemas.openxmlformats.org/officeDocument/2006/relationships/hyperlink" Target="https://www.oas.org/en/iachr/decisions/pdf/Resolution-2-20-en.pdf" TargetMode="External"/><Relationship Id="rId253" Type="http://schemas.openxmlformats.org/officeDocument/2006/relationships/chart" Target="charts/chart11.xml"/><Relationship Id="rId274" Type="http://schemas.openxmlformats.org/officeDocument/2006/relationships/chart" Target="charts/chart32.xml"/><Relationship Id="rId27" Type="http://schemas.openxmlformats.org/officeDocument/2006/relationships/chart" Target="charts/chart2.xml"/><Relationship Id="rId48" Type="http://schemas.openxmlformats.org/officeDocument/2006/relationships/hyperlink" Target="http://www.cidh.org/annualrep/2007sp/cap3d.3sp.htm" TargetMode="External"/><Relationship Id="rId69" Type="http://schemas.openxmlformats.org/officeDocument/2006/relationships/hyperlink" Target="https://www.oas.org/en/IACHR/docs/annual/2022/sa/FT_SA_Venezuela_Case_11.706_ENG.docx" TargetMode="External"/><Relationship Id="rId113" Type="http://schemas.openxmlformats.org/officeDocument/2006/relationships/hyperlink" Target="https://www.oas.org/en/IACHR/docs/annual/2022/docs/IA2022cap.2.g.CU12.127-en.docx" TargetMode="External"/><Relationship Id="rId134" Type="http://schemas.openxmlformats.org/officeDocument/2006/relationships/hyperlink" Target="https://www.oas.org/en/IACHR/docs/annual/2022/docs/IA2022cap.2.g.US12.534-en.doc" TargetMode="External"/><Relationship Id="rId80" Type="http://schemas.openxmlformats.org/officeDocument/2006/relationships/hyperlink" Target="https://www.oas.org/en/IACHR/docs/annual/2022/docs/IA2022cap.2.g.BE12.053-en.docx" TargetMode="External"/><Relationship Id="rId155" Type="http://schemas.openxmlformats.org/officeDocument/2006/relationships/hyperlink" Target="https://www.oas.org/en/IACHR/docs/annual/2022/docs/IA2022cap.2.g.US12.754-en.docx" TargetMode="External"/><Relationship Id="rId176" Type="http://schemas.openxmlformats.org/officeDocument/2006/relationships/hyperlink" Target="https://www.oas.org/en/IACHR/docs/annual/2022/docs/IA2022cap2.g.GU12.504-en.docx" TargetMode="External"/><Relationship Id="rId197" Type="http://schemas.openxmlformats.org/officeDocument/2006/relationships/hyperlink" Target="https://www.oas.org/en/IACHR/docs/annual/2022/docs/IA2022cap.2.g.PY11.607-en.docx" TargetMode="External"/><Relationship Id="rId201" Type="http://schemas.openxmlformats.org/officeDocument/2006/relationships/hyperlink" Target="https://www.oas.org/es/cidh/decisiones/2021/arpu12.721es.pdf" TargetMode="External"/><Relationship Id="rId222" Type="http://schemas.openxmlformats.org/officeDocument/2006/relationships/hyperlink" Target="https://www.oas.org/en/iachr/decisions/mc/2021/res_88-21_mc_405-09_112-16_hn_en.pdf" TargetMode="External"/><Relationship Id="rId243" Type="http://schemas.openxmlformats.org/officeDocument/2006/relationships/hyperlink" Target="https://www.oas.org/en/IACHR/decisions/MC/MedidasCautelares_folleto_EN.pdf" TargetMode="External"/><Relationship Id="rId264" Type="http://schemas.openxmlformats.org/officeDocument/2006/relationships/chart" Target="charts/chart22.xml"/><Relationship Id="rId285" Type="http://schemas.openxmlformats.org/officeDocument/2006/relationships/footer" Target="footer1.xml"/><Relationship Id="rId17" Type="http://schemas.openxmlformats.org/officeDocument/2006/relationships/hyperlink" Target="https://www.youtube.com/watch?v=j91cBU4STlg&amp;list=PL5QlapyOGhXtc-qfEME39loCXnbBwD7op&amp;index=2&amp;vq=hd1080" TargetMode="External"/><Relationship Id="rId38" Type="http://schemas.openxmlformats.org/officeDocument/2006/relationships/hyperlink" Target="http://www.cidh.org/annualrep/2007sp/cap3d.3sp.htm" TargetMode="External"/><Relationship Id="rId59" Type="http://schemas.openxmlformats.org/officeDocument/2006/relationships/hyperlink" Target="http://www.cidh.org/annualrep/2007sp/cap3d.3sp.htm" TargetMode="External"/><Relationship Id="rId103" Type="http://schemas.openxmlformats.org/officeDocument/2006/relationships/hyperlink" Target="https://www.oas.org/en/IACHR/docs/annual/2022/docs/IA2022cap.2.g.CO11.712-en.docx" TargetMode="External"/><Relationship Id="rId124" Type="http://schemas.openxmlformats.org/officeDocument/2006/relationships/hyperlink" Target="https://www.oas.org/en/IACHR/docs/annual/2022/docs/IA2022cap.2.g.US11.753-en.docx" TargetMode="External"/><Relationship Id="rId70" Type="http://schemas.openxmlformats.org/officeDocument/2006/relationships/hyperlink" Target="http://www.oas.org/es/cidh/actividades/seguimiento/pdf/Directrices-es.pdf" TargetMode="External"/><Relationship Id="rId91" Type="http://schemas.openxmlformats.org/officeDocument/2006/relationships/hyperlink" Target="https://www.oas.org/en/IACHR/docs/annual/2022/docs/IA2022cap.2.g.BR12.308-en.docx" TargetMode="External"/><Relationship Id="rId145" Type="http://schemas.openxmlformats.org/officeDocument/2006/relationships/hyperlink" Target="https://www.oas.org/en/IACHR/docs/annual/2022/docs/IA2022cap.2.g.US12.994-en.doc" TargetMode="External"/><Relationship Id="rId166" Type="http://schemas.openxmlformats.org/officeDocument/2006/relationships/hyperlink" Target="https://www.oas.org/en/IACHR/docs/annual/2022/docs/IA2022cap2.g.GR12.158-en.docx" TargetMode="External"/><Relationship Id="rId187" Type="http://schemas.openxmlformats.org/officeDocument/2006/relationships/hyperlink" Target="https://www.oas.org/en/IACHR/docs/annual/2022/docs/IA2022cap.2.g.JA13.367-en.docx" TargetMode="External"/><Relationship Id="rId1" Type="http://schemas.openxmlformats.org/officeDocument/2006/relationships/customXml" Target="../customXml/item1.xml"/><Relationship Id="rId212" Type="http://schemas.openxmlformats.org/officeDocument/2006/relationships/hyperlink" Target="https://www.oas.org/es/cidh/decisiones/2021/USPU13.339ES.pdf" TargetMode="External"/><Relationship Id="rId233" Type="http://schemas.openxmlformats.org/officeDocument/2006/relationships/hyperlink" Target="http://www.oas.org/en/iachr/decisions/mc/2022/res_11-22_mc_150-19_ve_en.pdf" TargetMode="External"/><Relationship Id="rId254" Type="http://schemas.openxmlformats.org/officeDocument/2006/relationships/chart" Target="charts/chart12.xml"/><Relationship Id="rId28" Type="http://schemas.openxmlformats.org/officeDocument/2006/relationships/chart" Target="charts/chart3.xml"/><Relationship Id="rId49" Type="http://schemas.openxmlformats.org/officeDocument/2006/relationships/hyperlink" Target="http://www.cidh.org/annualrep/2007sp/cap3d.3sp.htm" TargetMode="External"/><Relationship Id="rId114" Type="http://schemas.openxmlformats.org/officeDocument/2006/relationships/hyperlink" Target="https://www.oas.org/en/IACHR/docs/annual/2022/docs/IA2022cap.2.g.CU13.639-en.docx" TargetMode="External"/><Relationship Id="rId275" Type="http://schemas.openxmlformats.org/officeDocument/2006/relationships/chart" Target="charts/chart33.xml"/><Relationship Id="rId60" Type="http://schemas.openxmlformats.org/officeDocument/2006/relationships/hyperlink" Target="http://www.cidh.org/annualrep/2007sp/cap3d.3sp.htm" TargetMode="External"/><Relationship Id="rId81" Type="http://schemas.openxmlformats.org/officeDocument/2006/relationships/hyperlink" Target="https://www.oas.org/en/IACHR/docs/annual/2022/docs/IA2022cap.2.g.BR12.051-en.docx" TargetMode="External"/><Relationship Id="rId135" Type="http://schemas.openxmlformats.org/officeDocument/2006/relationships/hyperlink" Target="https://www.oas.org/en/IACHR/docs/annual/2022/docs/IA2022cap.2.g.US12.644-en.doc" TargetMode="External"/><Relationship Id="rId156" Type="http://schemas.openxmlformats.org/officeDocument/2006/relationships/hyperlink" Target="https://www.oas.org/en/IACHR/docs/annual/2022/docs/IA2022cap.2.g.US12.545-en.docx" TargetMode="External"/><Relationship Id="rId177" Type="http://schemas.openxmlformats.org/officeDocument/2006/relationships/hyperlink" Target="https://www.oas.org/en/IACHR/docs/annual/2022/docs/IA2022cap2.g.HA11.335-en.docx" TargetMode="External"/><Relationship Id="rId198" Type="http://schemas.openxmlformats.org/officeDocument/2006/relationships/hyperlink" Target="https://www.oas.org/en/IACHR/docs/annual/2022/docs/IA2022cap2.g.PE1193-en.docx" TargetMode="External"/><Relationship Id="rId202" Type="http://schemas.openxmlformats.org/officeDocument/2006/relationships/hyperlink" Target="https://www.oas.org/es/cidh/decisiones/2021/ARPU12.681ES.pdf" TargetMode="External"/><Relationship Id="rId223" Type="http://schemas.openxmlformats.org/officeDocument/2006/relationships/hyperlink" Target="http://www.oas.org/es/cidh/decisiones/pdf/Resolucion-2-20-es.pdf" TargetMode="External"/><Relationship Id="rId244" Type="http://schemas.openxmlformats.org/officeDocument/2006/relationships/hyperlink" Target="https://www.canalcidh.org/mapa-medidas-cautelares" TargetMode="External"/><Relationship Id="rId18" Type="http://schemas.openxmlformats.org/officeDocument/2006/relationships/hyperlink" Target="https://www.youtube.com/watch?v=xkAeBzMQpjE&amp;list=PL5QlapyOGhXuiOsUB4obHdP5V6v0G4f37&amp;index=15&amp;vq=hd1080" TargetMode="External"/><Relationship Id="rId39" Type="http://schemas.openxmlformats.org/officeDocument/2006/relationships/hyperlink" Target="http://www.cidh.org/annualrep/2007sp/cap3d.3sp.htm" TargetMode="External"/><Relationship Id="rId265" Type="http://schemas.openxmlformats.org/officeDocument/2006/relationships/chart" Target="charts/chart23.xml"/><Relationship Id="rId286" Type="http://schemas.openxmlformats.org/officeDocument/2006/relationships/fontTable" Target="fontTable.xml"/><Relationship Id="rId50" Type="http://schemas.openxmlformats.org/officeDocument/2006/relationships/hyperlink" Target="http://www.cidh.org/annualrep/2007sp/cap3d.3sp.htm" TargetMode="External"/><Relationship Id="rId104" Type="http://schemas.openxmlformats.org/officeDocument/2006/relationships/hyperlink" Target="https://www.oas.org/en/IACHR/docs/annual/2022/docs/IA2022cap.2.g.CO10.916-en.docx" TargetMode="External"/><Relationship Id="rId125" Type="http://schemas.openxmlformats.org/officeDocument/2006/relationships/hyperlink" Target="https://www.oas.org/en/IACHR/docs/annual/2022/docs/IA2022cap.2.g.US11.140-en.docx" TargetMode="External"/><Relationship Id="rId146" Type="http://schemas.openxmlformats.org/officeDocument/2006/relationships/hyperlink" Target="https://www.oas.org/en/IACHR/docs/annual/2022/docs/IA2022cap.2.g.US12.834-en.docx" TargetMode="External"/><Relationship Id="rId167" Type="http://schemas.openxmlformats.org/officeDocument/2006/relationships/hyperlink" Target="https://www.oas.org/es/CIDH/docs/anual/2022/docs/IA2022cap2.G.Ga11.625-es.docx" TargetMode="External"/><Relationship Id="rId188" Type="http://schemas.openxmlformats.org/officeDocument/2006/relationships/hyperlink" Target="https://www.oas.org/en/IACHR/docs/annual/2022/docs/IA2022cap2.g.MX11.565-en.docx" TargetMode="External"/><Relationship Id="rId71" Type="http://schemas.openxmlformats.org/officeDocument/2006/relationships/hyperlink" Target="https://www.oas.org/en/IACHR/docs/annual/2022/docs/IA2022cap.2.g.AR12.324-en.docx" TargetMode="External"/><Relationship Id="rId92" Type="http://schemas.openxmlformats.org/officeDocument/2006/relationships/hyperlink" Target="https://www.oas.org/en/IACHR/docs/annual/2022/docs/IA2022cap.2.g.BR12.213-en.docx" TargetMode="External"/><Relationship Id="rId213" Type="http://schemas.openxmlformats.org/officeDocument/2006/relationships/hyperlink" Target="https://www.oas.org/es/cidh/decisiones/2021/USPU13.478ES.pdf" TargetMode="External"/><Relationship Id="rId234" Type="http://schemas.openxmlformats.org/officeDocument/2006/relationships/hyperlink" Target="https://www.oas.org/en/iachr/decisions/mc/2022/res_32-22_mc_1051-20_sv_en.pdf" TargetMode="External"/><Relationship Id="rId2" Type="http://schemas.openxmlformats.org/officeDocument/2006/relationships/customXml" Target="../customXml/item2.xml"/><Relationship Id="rId29" Type="http://schemas.openxmlformats.org/officeDocument/2006/relationships/hyperlink" Target="https://www.oas.org/en/IACHR/docs/annual/2022/sa/FT_SA_Argentina_Case_11.804_ENG.docx" TargetMode="External"/><Relationship Id="rId255" Type="http://schemas.openxmlformats.org/officeDocument/2006/relationships/chart" Target="charts/chart13.xml"/><Relationship Id="rId276" Type="http://schemas.openxmlformats.org/officeDocument/2006/relationships/chart" Target="charts/chart34.xml"/><Relationship Id="rId40" Type="http://schemas.openxmlformats.org/officeDocument/2006/relationships/hyperlink" Target="http://www.cidh.org/annualrep/2007sp/cap3d.3sp.htm" TargetMode="External"/><Relationship Id="rId115" Type="http://schemas.openxmlformats.org/officeDocument/2006/relationships/hyperlink" Target="https://www.oas.org/en/IACHR/docs/annual/2022/docs/IA2022cap.2.g.EC11.992-en.docx" TargetMode="External"/><Relationship Id="rId136" Type="http://schemas.openxmlformats.org/officeDocument/2006/relationships/hyperlink" Target="https://www.oas.org/en/IACHR/docs/annual/2022/docs/IA2022cap.2.g.US12.562-en.docx" TargetMode="External"/><Relationship Id="rId157" Type="http://schemas.openxmlformats.org/officeDocument/2006/relationships/hyperlink" Target="https://www.oas.org/en/IACHR/docs/annual/2022/docs/IA2022cap2.G.EU12.505-en.docx" TargetMode="External"/><Relationship Id="rId178" Type="http://schemas.openxmlformats.org/officeDocument/2006/relationships/hyperlink" Target="https://www.oas.org/en/IACHR/docs/annual/2022/docs/IA2022cap.2.g.JA11.826-en.docx" TargetMode="External"/><Relationship Id="rId61" Type="http://schemas.openxmlformats.org/officeDocument/2006/relationships/hyperlink" Target="http://www.cidh.org/annualrep/2007sp/cap3d.3sp.htm" TargetMode="External"/><Relationship Id="rId82" Type="http://schemas.openxmlformats.org/officeDocument/2006/relationships/hyperlink" Target="https://www.oas.org/en/IACHR/docs/annual/2022/docs/IA2022cap.2.g.BR11.286-en.docx" TargetMode="External"/><Relationship Id="rId199" Type="http://schemas.openxmlformats.org/officeDocument/2006/relationships/hyperlink" Target="https://www.oas.org/en/IACHR/docs/annual/2022/docs/IA2022cap2.g.TT12.269-en.docx" TargetMode="External"/><Relationship Id="rId203" Type="http://schemas.openxmlformats.org/officeDocument/2006/relationships/hyperlink" Target="https://www.oas.org/es/cidh/decisiones/2021/bapu12.721es.pdf" TargetMode="External"/><Relationship Id="rId19" Type="http://schemas.openxmlformats.org/officeDocument/2006/relationships/hyperlink" Target="https://www.youtube.com/watch?v=T6wZtDAPFI4&amp;vq=hd1080" TargetMode="External"/><Relationship Id="rId224" Type="http://schemas.openxmlformats.org/officeDocument/2006/relationships/hyperlink" Target="https://www.oas.org/es/CIDH/jsForm/?File=/es/cidh/prensa/comunicados/2022/002.asp" TargetMode="External"/><Relationship Id="rId245" Type="http://schemas.openxmlformats.org/officeDocument/2006/relationships/hyperlink" Target="https://www.oas.org/en/iachr/jsForm/?File=/en/iachr/decisions/mc/videos.asp" TargetMode="External"/><Relationship Id="rId266" Type="http://schemas.openxmlformats.org/officeDocument/2006/relationships/chart" Target="charts/chart24.xml"/><Relationship Id="rId287" Type="http://schemas.openxmlformats.org/officeDocument/2006/relationships/theme" Target="theme/theme1.xml"/><Relationship Id="rId30" Type="http://schemas.openxmlformats.org/officeDocument/2006/relationships/hyperlink" Target="https://www.oas.org/en/IACHR/docs/annual/2022/sa/FT_SA_Brazil_Case_11.289_ENG.docx" TargetMode="External"/><Relationship Id="rId105" Type="http://schemas.openxmlformats.org/officeDocument/2006/relationships/hyperlink" Target="https://www.oas.org/en/IACHR/docs/annual/2022/docs/IA2022cap.2.g.CO12.414-en.docx" TargetMode="External"/><Relationship Id="rId126" Type="http://schemas.openxmlformats.org/officeDocument/2006/relationships/hyperlink" Target="https://www.oas.org/en/IACHR/docs/annual/2022/docs/IA2022cap.2.g.US11.193-en.docx" TargetMode="External"/><Relationship Id="rId147" Type="http://schemas.openxmlformats.org/officeDocument/2006/relationships/hyperlink" Target="https://www.oas.org/en/IACHR/docs/annual/2022/docs/IA2022cap.2.g.US12.254-en.docx" TargetMode="External"/><Relationship Id="rId168" Type="http://schemas.openxmlformats.org/officeDocument/2006/relationships/hyperlink" Target="https://www.oas.org/es/CIDH/docs/anual/2022/docs/IA2022cap2.G.GA9.207-es.docx" TargetMode="External"/><Relationship Id="rId51" Type="http://schemas.openxmlformats.org/officeDocument/2006/relationships/hyperlink" Target="http://www.cidh.org/annualrep/2007sp/cap3d.3sp.htm" TargetMode="External"/><Relationship Id="rId72" Type="http://schemas.openxmlformats.org/officeDocument/2006/relationships/hyperlink" Target="https://www.oas.org/en/IACHR/docs/annual/2022/docs/IA2022cap.2.g.AR12.632-en.docx" TargetMode="External"/><Relationship Id="rId93" Type="http://schemas.openxmlformats.org/officeDocument/2006/relationships/hyperlink" Target="https://www.oas.org/en/IACHR/docs/annual/2022/docs/IA2022cap.2.g.BR12.332-en.docx" TargetMode="External"/><Relationship Id="rId189" Type="http://schemas.openxmlformats.org/officeDocument/2006/relationships/hyperlink" Target="https://www.oas.org/en/IACHR/docs/annual/2022/docs/IA2022cap2.g.MX12.130-en.docx" TargetMode="External"/><Relationship Id="rId3" Type="http://schemas.openxmlformats.org/officeDocument/2006/relationships/customXml" Target="../customXml/item3.xml"/><Relationship Id="rId214" Type="http://schemas.openxmlformats.org/officeDocument/2006/relationships/hyperlink" Target="https://www.oas.org/es/cidh/decisiones/2021/USPU12871ES.pdf" TargetMode="External"/><Relationship Id="rId235" Type="http://schemas.openxmlformats.org/officeDocument/2006/relationships/hyperlink" Target="https://www.oas.org/en/iachr/decisions/mc/2022/res_48-22_mc_264-13_cu_en.pdf" TargetMode="External"/><Relationship Id="rId256" Type="http://schemas.openxmlformats.org/officeDocument/2006/relationships/chart" Target="charts/chart14.xml"/><Relationship Id="rId277" Type="http://schemas.openxmlformats.org/officeDocument/2006/relationships/chart" Target="charts/chart35.xml"/><Relationship Id="rId116" Type="http://schemas.openxmlformats.org/officeDocument/2006/relationships/hyperlink" Target="https://www.oas.org/en/IACHR/docs/annual/2022/docs/IA2022cap.2.g.EC12.487-en.docx" TargetMode="External"/><Relationship Id="rId137" Type="http://schemas.openxmlformats.org/officeDocument/2006/relationships/hyperlink" Target="https://www.oas.org/en/IACHR/docs/annual/2022/docs/IA2022cap.2.g.US12.626-en.docx" TargetMode="External"/><Relationship Id="rId158" Type="http://schemas.openxmlformats.org/officeDocument/2006/relationships/hyperlink" Target="https://www.oas.org/en/IACHR/docs/annual/2022/docs/IA2022cap2.G.EU13.394-en.docx" TargetMode="External"/><Relationship Id="rId20" Type="http://schemas.openxmlformats.org/officeDocument/2006/relationships/hyperlink" Target="https://youtu.be/iKQGQ1vaau0?vq=hd1080" TargetMode="External"/><Relationship Id="rId41" Type="http://schemas.openxmlformats.org/officeDocument/2006/relationships/hyperlink" Target="http://www.cidh.org/annualrep/2007sp/cap3d.3sp.htm" TargetMode="External"/><Relationship Id="rId62" Type="http://schemas.openxmlformats.org/officeDocument/2006/relationships/hyperlink" Target="https://www.oas.org/en/IACHR/docs/annual/2022/sa/FT_SA_Guatemala_Case_11.312_ENG.docx" TargetMode="External"/><Relationship Id="rId83" Type="http://schemas.openxmlformats.org/officeDocument/2006/relationships/hyperlink" Target="https://www.oas.org/en/IACHR/docs/annual/2022/docs/IA2022cap.2.g.BR11.517-en.docx" TargetMode="External"/><Relationship Id="rId179" Type="http://schemas.openxmlformats.org/officeDocument/2006/relationships/hyperlink" Target="https://www.oas.org/en/IACHR/docs/annual/2022/docs/IA2022cap.2.g.JA12.069-en.docx" TargetMode="External"/><Relationship Id="rId190" Type="http://schemas.openxmlformats.org/officeDocument/2006/relationships/hyperlink" Target="https://www.oas.org/en/IACHR/docs/annual/2022/docs/IA2022cap2.g.MX12.228-en.docx" TargetMode="External"/><Relationship Id="rId204" Type="http://schemas.openxmlformats.org/officeDocument/2006/relationships/hyperlink" Target="https://www.oas.org/es/cidh/decisiones/2021/chpu12.880es.pdf" TargetMode="External"/><Relationship Id="rId225" Type="http://schemas.openxmlformats.org/officeDocument/2006/relationships/hyperlink" Target="http://www.oas.org/es/CIDH/jsForm/?File=/es/cidh/prensa/comunicados/2022/037.asp" TargetMode="External"/><Relationship Id="rId246" Type="http://schemas.openxmlformats.org/officeDocument/2006/relationships/chart" Target="charts/chart4.xml"/><Relationship Id="rId267" Type="http://schemas.openxmlformats.org/officeDocument/2006/relationships/chart" Target="charts/chart25.xml"/><Relationship Id="rId106" Type="http://schemas.openxmlformats.org/officeDocument/2006/relationships/hyperlink" Target="https://www.oas.org/en/IACHR/docs/annual/2022/docs/IA2022cap.2.g.CO10.455-en.docx" TargetMode="External"/><Relationship Id="rId127" Type="http://schemas.openxmlformats.org/officeDocument/2006/relationships/hyperlink" Target="https://www.oas.org/en/IACHR/docs/annual/2022/docs/IA2022cap.2.g.US11.204-en.docx" TargetMode="External"/><Relationship Id="rId10" Type="http://schemas.openxmlformats.org/officeDocument/2006/relationships/endnotes" Target="endnotes.xml"/><Relationship Id="rId31" Type="http://schemas.openxmlformats.org/officeDocument/2006/relationships/hyperlink" Target="https://www.oas.org/en/IACHR/docs/annual/2022/sa/FT_SA_Chile_Petition_4617-_ENG.docx" TargetMode="External"/><Relationship Id="rId52" Type="http://schemas.openxmlformats.org/officeDocument/2006/relationships/hyperlink" Target="file://falcon1a/EMontero/AppData/Local/Documents%20and%20Settings/ghansen/Local%20Settings/Local%20Settings/Local%20Settings/Temporary%20Internet%20Files/OLK30/Ecuador11574.htm" TargetMode="External"/><Relationship Id="rId73" Type="http://schemas.openxmlformats.org/officeDocument/2006/relationships/hyperlink" Target="https://www.oas.org/en/IACHR/docs/annual/2022/docs/IA2022cap.2.g.AR12.721-en.docx" TargetMode="External"/><Relationship Id="rId94" Type="http://schemas.openxmlformats.org/officeDocument/2006/relationships/hyperlink" Target="https://www.oas.org/en/IACHR/docs/annual/2022/docs/IA2022cap.2.g.CA12.586-en.doc" TargetMode="External"/><Relationship Id="rId148" Type="http://schemas.openxmlformats.org/officeDocument/2006/relationships/hyperlink" Target="https://www.oas.org/en/IACHR/docs/annual/2022/docs/IA2022cap.2.g.US10.573-en.docx" TargetMode="External"/><Relationship Id="rId169" Type="http://schemas.openxmlformats.org/officeDocument/2006/relationships/hyperlink" Target="https://www.oas.org/es/CIDH/docs/anual/2022/docs/IA2022cap2.G.GA10.626-es.docx" TargetMode="External"/><Relationship Id="rId4" Type="http://schemas.openxmlformats.org/officeDocument/2006/relationships/customXml" Target="../customXml/item4.xml"/><Relationship Id="rId180" Type="http://schemas.openxmlformats.org/officeDocument/2006/relationships/hyperlink" Target="https://www.oas.org/en/IACHR/docs/annual/2022/docs/IA2022cap.2.g.JA12.183-en.docx" TargetMode="External"/><Relationship Id="rId215" Type="http://schemas.openxmlformats.org/officeDocument/2006/relationships/hyperlink" Target="https://www.oas.org/en/iachr/jsForm/?File=/en/iachr/mandate/basics/rulesiachr.asp" TargetMode="External"/><Relationship Id="rId236" Type="http://schemas.openxmlformats.org/officeDocument/2006/relationships/hyperlink" Target="https://www.oas.org/en/iachr/decisions/mc/2022/res_59-22_mc_449-22_en.pdf" TargetMode="External"/><Relationship Id="rId257" Type="http://schemas.openxmlformats.org/officeDocument/2006/relationships/chart" Target="charts/chart15.xml"/><Relationship Id="rId278" Type="http://schemas.openxmlformats.org/officeDocument/2006/relationships/chart" Target="charts/chart36.xml"/><Relationship Id="rId42" Type="http://schemas.openxmlformats.org/officeDocument/2006/relationships/hyperlink" Target="http://www.cidh.org/annualrep/2007sp/cap3d.3sp.htm" TargetMode="External"/><Relationship Id="rId84" Type="http://schemas.openxmlformats.org/officeDocument/2006/relationships/hyperlink" Target="https://www.oas.org/en/IACHR/docs/annual/2022/docs/IA2022cap.2.g.BR10.301-en.docx" TargetMode="External"/><Relationship Id="rId138" Type="http://schemas.openxmlformats.org/officeDocument/2006/relationships/hyperlink" Target="https://www.oas.org/en/IACHR/docs/annual/2022/docs/IA2022cap.2.g.US12.776-en.doc" TargetMode="External"/><Relationship Id="rId191" Type="http://schemas.openxmlformats.org/officeDocument/2006/relationships/hyperlink" Target="https://www.oas.org/en/IACHR/docs/annual/2022/docs/IA2022cap2.g.MX12.551-en.docx" TargetMode="External"/><Relationship Id="rId205" Type="http://schemas.openxmlformats.org/officeDocument/2006/relationships/hyperlink" Target="https://www.oas.org/es/cidh/decisiones/2021/CBPU13639ES.pdf" TargetMode="External"/><Relationship Id="rId247" Type="http://schemas.openxmlformats.org/officeDocument/2006/relationships/chart" Target="charts/chart5.xml"/><Relationship Id="rId107" Type="http://schemas.openxmlformats.org/officeDocument/2006/relationships/hyperlink" Target="https://www.oas.org/en/IACHR/docs/annual/2022/docs/IA2022cap.2.G.CO12.713-en.docx" TargetMode="External"/><Relationship Id="rId11" Type="http://schemas.openxmlformats.org/officeDocument/2006/relationships/image" Target="media/image1.png"/><Relationship Id="rId53" Type="http://schemas.openxmlformats.org/officeDocument/2006/relationships/hyperlink" Target="http://www.cidh.org/annualrep/2007sp/cap3d.3sp.htm" TargetMode="External"/><Relationship Id="rId149" Type="http://schemas.openxmlformats.org/officeDocument/2006/relationships/hyperlink" Target="https://www.oas.org/en/IACHR/docs/annual/2022/docs/IA2022cap.2.g.US12.958-en.doc" TargetMode="External"/><Relationship Id="rId95" Type="http://schemas.openxmlformats.org/officeDocument/2006/relationships/hyperlink" Target="https://www.oas.org/en/IACHR/docs/annual/2022/docs/IA2022cap.2.g.CA11.661-en.docx" TargetMode="External"/><Relationship Id="rId160" Type="http://schemas.openxmlformats.org/officeDocument/2006/relationships/hyperlink" Target="https://www.oas.org/en/IACHR/docs/annual/2022/docs/IA2022cap2.G.EU12.832-en.docx" TargetMode="External"/><Relationship Id="rId216" Type="http://schemas.openxmlformats.org/officeDocument/2006/relationships/hyperlink" Target="https://www.oas.org/en/iachr/decisions/pdf/Resolution-3-18-en.pdf" TargetMode="External"/><Relationship Id="rId258" Type="http://schemas.openxmlformats.org/officeDocument/2006/relationships/chart" Target="charts/chart16.xml"/><Relationship Id="rId22" Type="http://schemas.openxmlformats.org/officeDocument/2006/relationships/hyperlink" Target="https://www.youtube.com/watch?v=4e-fDsBIWU8&amp;vq=hd1080" TargetMode="External"/><Relationship Id="rId64" Type="http://schemas.openxmlformats.org/officeDocument/2006/relationships/hyperlink" Target="https://www.oas.org/en/IACHR/docs/annual/2022/sa/FT_SA_Mexico_Case_11.822_ENG.docx" TargetMode="External"/><Relationship Id="rId118" Type="http://schemas.openxmlformats.org/officeDocument/2006/relationships/hyperlink" Target="https://www.oas.org/en/IACHR/docs/annual/2022/docs/IA2022cap.2.g.EC11.624-en.docx"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oas.org/en/iachr/docs/annual/2020/Chapters/IA2020cap2-en.pdf" TargetMode="External"/><Relationship Id="rId18" Type="http://schemas.openxmlformats.org/officeDocument/2006/relationships/hyperlink" Target="https://www.oas.org/en/iachr/docs/annual/2020/Chapters/IA2020cap2-en.pdf" TargetMode="External"/><Relationship Id="rId26" Type="http://schemas.openxmlformats.org/officeDocument/2006/relationships/hyperlink" Target="https://www.oas.org/es/CIDH/jsForm/?File=/es/cidh/prensa/comunicados/2022/165.asp" TargetMode="External"/><Relationship Id="rId3" Type="http://schemas.openxmlformats.org/officeDocument/2006/relationships/hyperlink" Target="http://www.oas.org/en/iachr/docs/annual/2021/Chapters/IA2021cap2-en.pdf" TargetMode="External"/><Relationship Id="rId21" Type="http://schemas.openxmlformats.org/officeDocument/2006/relationships/hyperlink" Target="http://www.oas.org/en/iachr/docs/annual/2021/Chapters/IA2021cap2-en.pdf" TargetMode="External"/><Relationship Id="rId7" Type="http://schemas.openxmlformats.org/officeDocument/2006/relationships/hyperlink" Target="http://www.oas.org/en/iachr/docs/annual/2021/Chapters/IA2021cap2-en.pdf" TargetMode="External"/><Relationship Id="rId12" Type="http://schemas.openxmlformats.org/officeDocument/2006/relationships/hyperlink" Target="https://www.oas.org/en/iachr/docs/annual/2020/Chapters/IA2020cap2-en.pdf" TargetMode="External"/><Relationship Id="rId17" Type="http://schemas.openxmlformats.org/officeDocument/2006/relationships/hyperlink" Target="http://www.oas.org/en/iachr/docs/annual/2021/Chapters/IA2021cap2-en.pdf" TargetMode="External"/><Relationship Id="rId25" Type="http://schemas.openxmlformats.org/officeDocument/2006/relationships/hyperlink" Target="https://www.oas.org/es/cidh/prensa/comunicados/2020/201.asp." TargetMode="External"/><Relationship Id="rId33" Type="http://schemas.openxmlformats.org/officeDocument/2006/relationships/hyperlink" Target="https://www.oas.org/es/CIDH/jsForm/?File=/es/cidh/prensa/comunicados/2022/285.asp" TargetMode="External"/><Relationship Id="rId2" Type="http://schemas.openxmlformats.org/officeDocument/2006/relationships/hyperlink" Target="https://www.oas.org/en/iachr/decisions/pc/admissibilities.asp" TargetMode="External"/><Relationship Id="rId16" Type="http://schemas.openxmlformats.org/officeDocument/2006/relationships/hyperlink" Target="http://www.oas.org/en/iachr/docs/annual/2021/Chapters/IA2021cap2-en.pdf" TargetMode="External"/><Relationship Id="rId20" Type="http://schemas.openxmlformats.org/officeDocument/2006/relationships/hyperlink" Target="https://www.oas.org/en/iachr/docs/annual/2020/Chapters/IA2020cap2-en.pdf" TargetMode="External"/><Relationship Id="rId29" Type="http://schemas.openxmlformats.org/officeDocument/2006/relationships/hyperlink" Target="https://www.oas.org/es/CIDH/jsForm/?File=/es/cidh/prensa/comunicados/2022/077.asp" TargetMode="External"/><Relationship Id="rId1" Type="http://schemas.openxmlformats.org/officeDocument/2006/relationships/hyperlink" Target="https://www.oas.org/en/iachr/decisions/pdf/2022/res-1-22-EN.pdf" TargetMode="External"/><Relationship Id="rId6" Type="http://schemas.openxmlformats.org/officeDocument/2006/relationships/hyperlink" Target="https://www.oas.org/en/iachr/docs/annual/2020/Chapters/IA2020cap2-en.pdf" TargetMode="External"/><Relationship Id="rId11" Type="http://schemas.openxmlformats.org/officeDocument/2006/relationships/hyperlink" Target="http://www.oas.org/en/iachr/docs/annual/2021/Chapters/IA2021cap2-en.pdf" TargetMode="External"/><Relationship Id="rId24" Type="http://schemas.openxmlformats.org/officeDocument/2006/relationships/hyperlink" Target="http://www.oas.org/es/sla/ddi/tratados_acuerdos.asp" TargetMode="External"/><Relationship Id="rId32" Type="http://schemas.openxmlformats.org/officeDocument/2006/relationships/hyperlink" Target="https://www.oas.org/es/CIDH/jsForm/?File=/es/cidh/prensa/comunicados/2022/200.asp" TargetMode="External"/><Relationship Id="rId5" Type="http://schemas.openxmlformats.org/officeDocument/2006/relationships/hyperlink" Target="https://www.oas.org/en/iachr/docs/annual/2020/Chapters/IA2020cap2-en.pdf" TargetMode="External"/><Relationship Id="rId15" Type="http://schemas.openxmlformats.org/officeDocument/2006/relationships/hyperlink" Target="https://www.oas.org/en/iachr/docs/annual/2020/Chapters/IA2020cap2-en.pdf" TargetMode="External"/><Relationship Id="rId23" Type="http://schemas.openxmlformats.org/officeDocument/2006/relationships/hyperlink" Target="http://www.oas.org/es/sla/ddi/tratados_multilaterales_interamericanos.asp" TargetMode="External"/><Relationship Id="rId28" Type="http://schemas.openxmlformats.org/officeDocument/2006/relationships/hyperlink" Target="https://www.oas.org/es/cidh/jsForm/?File=/es/cidh/decisiones/mc/audiencias.asp" TargetMode="External"/><Relationship Id="rId10" Type="http://schemas.openxmlformats.org/officeDocument/2006/relationships/hyperlink" Target="http://www.oas.org/en/iachr/docs/annual/2021/Chapters/IA2021cap2-en.pdf" TargetMode="External"/><Relationship Id="rId19" Type="http://schemas.openxmlformats.org/officeDocument/2006/relationships/hyperlink" Target="http://www.oas.org/en/iachr/docs/annual/2021/Chapters/IA2021cap2-en.pdf" TargetMode="External"/><Relationship Id="rId31" Type="http://schemas.openxmlformats.org/officeDocument/2006/relationships/hyperlink" Target="https://www.oas.org/es/CIDH/jsForm/?File=/es/cidh/prensa/comunicados/2022/107.asp" TargetMode="External"/><Relationship Id="rId4" Type="http://schemas.openxmlformats.org/officeDocument/2006/relationships/hyperlink" Target="https://www.oas.org/en/iachr/docs/annual/2020/Chapters/IA2020cap2-en.pdf" TargetMode="External"/><Relationship Id="rId9" Type="http://schemas.openxmlformats.org/officeDocument/2006/relationships/hyperlink" Target="https://www.oas.org/en/iachr/docs/annual/2020/Chapters/IA2020cap2-en.pdf" TargetMode="External"/><Relationship Id="rId14" Type="http://schemas.openxmlformats.org/officeDocument/2006/relationships/hyperlink" Target="https://www.oas.org/en/iachr/docs/annual/2020/Chapters/IA2020cap2-en.pdf" TargetMode="External"/><Relationship Id="rId22" Type="http://schemas.openxmlformats.org/officeDocument/2006/relationships/hyperlink" Target="https://www.oas.org/en/iachr/docs/annual/2020/Chapters/IA2020cap2-en.pdf" TargetMode="External"/><Relationship Id="rId27" Type="http://schemas.openxmlformats.org/officeDocument/2006/relationships/hyperlink" Target="https://www.oas.org/es/CIDH/jsForm/?File=/es/cidh/prensa/comunicados/2022/202.asp" TargetMode="External"/><Relationship Id="rId30" Type="http://schemas.openxmlformats.org/officeDocument/2006/relationships/hyperlink" Target="https://www.oas.org/es/CIDH/jsForm/?File=/es/cidh/prensa/comunicados/2022/108.asp" TargetMode="External"/><Relationship Id="rId8" Type="http://schemas.openxmlformats.org/officeDocument/2006/relationships/hyperlink" Target="https://www.oas.org/en/iachr/docs/annual/2020/Chapters/IA2020cap2-en.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2/Data%20totales%20gr&#225;ficas%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2/Data%20totales%20gr&#225;ficas%2020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2/Data%20totales%20gr&#225;ficas%20202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8.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1.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4.xlsx"/></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6.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7.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Number of Measures with progress in implementation during 2022, by level of implementation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9F8-4832-9789-AF12981B2D6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9F8-4832-9789-AF12981B2D6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9F8-4832-9789-AF12981B2D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Grafícas2022!$C$46:$E$46</c:f>
              <c:strCache>
                <c:ptCount val="3"/>
                <c:pt idx="0">
                  <c:v>Total compliance</c:v>
                </c:pt>
                <c:pt idx="1">
                  <c:v>Substantial partial ompliance</c:v>
                </c:pt>
                <c:pt idx="2">
                  <c:v>Partial compliance</c:v>
                </c:pt>
              </c:strCache>
            </c:strRef>
          </c:cat>
          <c:val>
            <c:numRef>
              <c:f>Grafícas2022!$C$47:$E$47</c:f>
              <c:numCache>
                <c:formatCode>General</c:formatCode>
                <c:ptCount val="3"/>
                <c:pt idx="0">
                  <c:v>67</c:v>
                </c:pt>
                <c:pt idx="1">
                  <c:v>23</c:v>
                </c:pt>
                <c:pt idx="2">
                  <c:v>44</c:v>
                </c:pt>
              </c:numCache>
            </c:numRef>
          </c:val>
          <c:extLst>
            <c:ext xmlns:c16="http://schemas.microsoft.com/office/drawing/2014/chart" uri="{C3380CC4-5D6E-409C-BE32-E72D297353CC}">
              <c16:uniqueId val="{00000006-A9F8-4832-9789-AF12981B2D63}"/>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Notified decisions to open for processing</a:t>
            </a:r>
          </a:p>
          <a:p>
            <a:pPr>
              <a:defRPr/>
            </a:pPr>
            <a:r>
              <a:rPr lang="en-US" sz="2000" b="1" i="0">
                <a:solidFill>
                  <a:srgbClr val="0070C0"/>
                </a:solidFill>
                <a:latin typeface="Helvetica LT Std Cond" panose="020B0506020202030204" pitchFamily="34" charset="0"/>
              </a:rPr>
              <a:t>Total: 681</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F7D9-4A9C-9C51-FFB0BCA85D82}"/>
              </c:ext>
            </c:extLst>
          </c:dPt>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3-F7D9-4A9C-9C51-FFB0BCA85D82}"/>
              </c:ext>
            </c:extLst>
          </c:dPt>
          <c:dPt>
            <c:idx val="2"/>
            <c:invertIfNegative val="0"/>
            <c:bubble3D val="0"/>
            <c:spPr>
              <a:solidFill>
                <a:srgbClr val="FFC000"/>
              </a:solidFill>
              <a:ln>
                <a:noFill/>
              </a:ln>
              <a:effectLst/>
            </c:spPr>
            <c:extLst>
              <c:ext xmlns:c16="http://schemas.microsoft.com/office/drawing/2014/chart" uri="{C3380CC4-5D6E-409C-BE32-E72D297353CC}">
                <c16:uniqueId val="{00000005-F7D9-4A9C-9C51-FFB0BCA85D82}"/>
              </c:ext>
            </c:extLst>
          </c:dPt>
          <c:dPt>
            <c:idx val="3"/>
            <c:invertIfNegative val="0"/>
            <c:bubble3D val="0"/>
            <c:spPr>
              <a:solidFill>
                <a:srgbClr val="70AD47"/>
              </a:solidFill>
              <a:ln>
                <a:noFill/>
              </a:ln>
              <a:effectLst/>
            </c:spPr>
            <c:extLst>
              <c:ext xmlns:c16="http://schemas.microsoft.com/office/drawing/2014/chart" uri="{C3380CC4-5D6E-409C-BE32-E72D297353CC}">
                <c16:uniqueId val="{00000007-F7D9-4A9C-9C51-FFB0BCA85D82}"/>
              </c:ext>
            </c:extLst>
          </c:dPt>
          <c:dPt>
            <c:idx val="4"/>
            <c:invertIfNegative val="0"/>
            <c:bubble3D val="0"/>
            <c:spPr>
              <a:solidFill>
                <a:srgbClr val="FF0000"/>
              </a:solidFill>
              <a:ln>
                <a:noFill/>
              </a:ln>
              <a:effectLst/>
            </c:spPr>
            <c:extLst>
              <c:ext xmlns:c16="http://schemas.microsoft.com/office/drawing/2014/chart" uri="{C3380CC4-5D6E-409C-BE32-E72D297353CC}">
                <c16:uniqueId val="{00000009-F7D9-4A9C-9C51-FFB0BCA85D82}"/>
              </c:ext>
            </c:extLst>
          </c:dPt>
          <c:dPt>
            <c:idx val="5"/>
            <c:invertIfNegative val="0"/>
            <c:bubble3D val="0"/>
            <c:spPr>
              <a:solidFill>
                <a:srgbClr val="0070C0"/>
              </a:solidFill>
              <a:ln>
                <a:noFill/>
              </a:ln>
              <a:effectLst/>
            </c:spPr>
            <c:extLst>
              <c:ext xmlns:c16="http://schemas.microsoft.com/office/drawing/2014/chart" uri="{C3380CC4-5D6E-409C-BE32-E72D297353CC}">
                <c16:uniqueId val="{0000000B-F7D9-4A9C-9C51-FFB0BCA85D82}"/>
              </c:ext>
            </c:extLst>
          </c:dPt>
          <c:dPt>
            <c:idx val="6"/>
            <c:invertIfNegative val="0"/>
            <c:bubble3D val="0"/>
            <c:spPr>
              <a:solidFill>
                <a:srgbClr val="ED7D31"/>
              </a:solidFill>
              <a:ln>
                <a:noFill/>
              </a:ln>
              <a:effectLst/>
            </c:spPr>
            <c:extLst>
              <c:ext xmlns:c16="http://schemas.microsoft.com/office/drawing/2014/chart" uri="{C3380CC4-5D6E-409C-BE32-E72D297353CC}">
                <c16:uniqueId val="{0000000D-F7D9-4A9C-9C51-FFB0BCA85D82}"/>
              </c:ext>
            </c:extLst>
          </c:dPt>
          <c:dPt>
            <c:idx val="7"/>
            <c:invertIfNegative val="0"/>
            <c:bubble3D val="0"/>
            <c:spPr>
              <a:solidFill>
                <a:srgbClr val="7030A0"/>
              </a:solidFill>
              <a:ln>
                <a:noFill/>
              </a:ln>
              <a:effectLst/>
            </c:spPr>
            <c:extLst>
              <c:ext xmlns:c16="http://schemas.microsoft.com/office/drawing/2014/chart" uri="{C3380CC4-5D6E-409C-BE32-E72D297353CC}">
                <c16:uniqueId val="{0000000F-F7D9-4A9C-9C51-FFB0BCA85D82}"/>
              </c:ext>
            </c:extLst>
          </c:dPt>
          <c:dPt>
            <c:idx val="8"/>
            <c:invertIfNegative val="0"/>
            <c:bubble3D val="0"/>
            <c:spPr>
              <a:solidFill>
                <a:srgbClr val="00B0F0"/>
              </a:solidFill>
              <a:ln>
                <a:noFill/>
              </a:ln>
              <a:effectLst/>
            </c:spPr>
            <c:extLst>
              <c:ext xmlns:c16="http://schemas.microsoft.com/office/drawing/2014/chart" uri="{C3380CC4-5D6E-409C-BE32-E72D297353CC}">
                <c16:uniqueId val="{00000011-F7D9-4A9C-9C51-FFB0BCA85D82}"/>
              </c:ext>
            </c:extLst>
          </c:dPt>
          <c:dPt>
            <c:idx val="9"/>
            <c:invertIfNegative val="0"/>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3-F7D9-4A9C-9C51-FFB0BCA85D82}"/>
              </c:ext>
            </c:extLst>
          </c:dPt>
          <c:dPt>
            <c:idx val="10"/>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5-F7D9-4A9C-9C51-FFB0BCA85D82}"/>
              </c:ext>
            </c:extLst>
          </c:dPt>
          <c:dPt>
            <c:idx val="1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7-F7D9-4A9C-9C51-FFB0BCA85D82}"/>
              </c:ext>
            </c:extLst>
          </c:dPt>
          <c:dPt>
            <c:idx val="12"/>
            <c:invertIfNegative val="0"/>
            <c:bubble3D val="0"/>
            <c:spPr>
              <a:solidFill>
                <a:srgbClr val="0070C0"/>
              </a:solidFill>
              <a:ln>
                <a:noFill/>
              </a:ln>
              <a:effectLst/>
            </c:spPr>
            <c:extLst>
              <c:ext xmlns:c16="http://schemas.microsoft.com/office/drawing/2014/chart" uri="{C3380CC4-5D6E-409C-BE32-E72D297353CC}">
                <c16:uniqueId val="{00000019-F7D9-4A9C-9C51-FFB0BCA85D82}"/>
              </c:ext>
            </c:extLst>
          </c:dPt>
          <c:dPt>
            <c:idx val="13"/>
            <c:invertIfNegative val="0"/>
            <c:bubble3D val="0"/>
            <c:spPr>
              <a:solidFill>
                <a:srgbClr val="CD4D47"/>
              </a:solidFill>
              <a:ln>
                <a:noFill/>
              </a:ln>
              <a:effectLst/>
            </c:spPr>
            <c:extLst>
              <c:ext xmlns:c16="http://schemas.microsoft.com/office/drawing/2014/chart" uri="{C3380CC4-5D6E-409C-BE32-E72D297353CC}">
                <c16:uniqueId val="{0000001B-F7D9-4A9C-9C51-FFB0BCA85D82}"/>
              </c:ext>
            </c:extLst>
          </c:dPt>
          <c:dPt>
            <c:idx val="14"/>
            <c:invertIfNegative val="0"/>
            <c:bubble3D val="0"/>
            <c:spPr>
              <a:solidFill>
                <a:srgbClr val="00EFE4"/>
              </a:solidFill>
              <a:ln>
                <a:noFill/>
              </a:ln>
              <a:effectLst/>
            </c:spPr>
            <c:extLst>
              <c:ext xmlns:c16="http://schemas.microsoft.com/office/drawing/2014/chart" uri="{C3380CC4-5D6E-409C-BE32-E72D297353CC}">
                <c16:uniqueId val="{0000001D-F7D9-4A9C-9C51-FFB0BCA85D82}"/>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F-F7D9-4A9C-9C51-FFB0BCA85D82}"/>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21-F7D9-4A9C-9C51-FFB0BCA85D82}"/>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3-F7D9-4A9C-9C51-FFB0BCA85D82}"/>
              </c:ext>
            </c:extLst>
          </c:dPt>
          <c:dPt>
            <c:idx val="19"/>
            <c:invertIfNegative val="0"/>
            <c:bubble3D val="0"/>
            <c:spPr>
              <a:solidFill>
                <a:srgbClr val="CD582C"/>
              </a:solidFill>
              <a:ln>
                <a:noFill/>
              </a:ln>
              <a:effectLst/>
            </c:spPr>
            <c:extLst>
              <c:ext xmlns:c16="http://schemas.microsoft.com/office/drawing/2014/chart" uri="{C3380CC4-5D6E-409C-BE32-E72D297353CC}">
                <c16:uniqueId val="{00000025-F7D9-4A9C-9C51-FFB0BCA85D82}"/>
              </c:ext>
            </c:extLst>
          </c:dPt>
          <c:dPt>
            <c:idx val="20"/>
            <c:invertIfNegative val="0"/>
            <c:bubble3D val="0"/>
            <c:spPr>
              <a:solidFill>
                <a:srgbClr val="D00024"/>
              </a:solidFill>
              <a:ln>
                <a:noFill/>
              </a:ln>
              <a:effectLst/>
            </c:spPr>
            <c:extLst>
              <c:ext xmlns:c16="http://schemas.microsoft.com/office/drawing/2014/chart" uri="{C3380CC4-5D6E-409C-BE32-E72D297353CC}">
                <c16:uniqueId val="{00000027-F7D9-4A9C-9C51-FFB0BCA85D82}"/>
              </c:ext>
            </c:extLst>
          </c:dPt>
          <c:dPt>
            <c:idx val="21"/>
            <c:invertIfNegative val="0"/>
            <c:bubble3D val="0"/>
            <c:spPr>
              <a:solidFill>
                <a:srgbClr val="4400E8"/>
              </a:solidFill>
              <a:ln>
                <a:noFill/>
              </a:ln>
              <a:effectLst/>
            </c:spPr>
            <c:extLst>
              <c:ext xmlns:c16="http://schemas.microsoft.com/office/drawing/2014/chart" uri="{C3380CC4-5D6E-409C-BE32-E72D297353CC}">
                <c16:uniqueId val="{00000029-F7D9-4A9C-9C51-FFB0BCA85D82}"/>
              </c:ext>
            </c:extLst>
          </c:dPt>
          <c:dPt>
            <c:idx val="22"/>
            <c:invertIfNegative val="0"/>
            <c:bubble3D val="0"/>
            <c:spPr>
              <a:solidFill>
                <a:srgbClr val="FFC000">
                  <a:lumMod val="75000"/>
                </a:srgbClr>
              </a:solidFill>
              <a:ln>
                <a:noFill/>
              </a:ln>
              <a:effectLst/>
            </c:spPr>
            <c:extLst>
              <c:ext xmlns:c16="http://schemas.microsoft.com/office/drawing/2014/chart" uri="{C3380CC4-5D6E-409C-BE32-E72D297353CC}">
                <c16:uniqueId val="{0000002B-F7D9-4A9C-9C51-FFB0BCA85D82}"/>
              </c:ext>
            </c:extLst>
          </c:dPt>
          <c:dPt>
            <c:idx val="23"/>
            <c:invertIfNegative val="0"/>
            <c:bubble3D val="0"/>
            <c:spPr>
              <a:solidFill>
                <a:srgbClr val="E7E6E6">
                  <a:lumMod val="75000"/>
                </a:srgbClr>
              </a:solidFill>
              <a:ln>
                <a:noFill/>
              </a:ln>
              <a:effectLst/>
            </c:spPr>
            <c:extLst>
              <c:ext xmlns:c16="http://schemas.microsoft.com/office/drawing/2014/chart" uri="{C3380CC4-5D6E-409C-BE32-E72D297353CC}">
                <c16:uniqueId val="{0000002D-F7D9-4A9C-9C51-FFB0BCA85D82}"/>
              </c:ext>
            </c:extLst>
          </c:dPt>
          <c:dPt>
            <c:idx val="24"/>
            <c:invertIfNegative val="0"/>
            <c:bubble3D val="0"/>
            <c:spPr>
              <a:solidFill>
                <a:srgbClr val="D00000"/>
              </a:solidFill>
              <a:ln>
                <a:noFill/>
              </a:ln>
              <a:effectLst/>
            </c:spPr>
            <c:extLst>
              <c:ext xmlns:c16="http://schemas.microsoft.com/office/drawing/2014/chart" uri="{C3380CC4-5D6E-409C-BE32-E72D297353CC}">
                <c16:uniqueId val="{0000002F-F7D9-4A9C-9C51-FFB0BCA85D82}"/>
              </c:ext>
            </c:extLst>
          </c:dPt>
          <c:dPt>
            <c:idx val="25"/>
            <c:invertIfNegative val="0"/>
            <c:bubble3D val="0"/>
            <c:spPr>
              <a:solidFill>
                <a:srgbClr val="7A4300"/>
              </a:solidFill>
              <a:ln>
                <a:noFill/>
              </a:ln>
              <a:effectLst/>
            </c:spPr>
            <c:extLst>
              <c:ext xmlns:c16="http://schemas.microsoft.com/office/drawing/2014/chart" uri="{C3380CC4-5D6E-409C-BE32-E72D297353CC}">
                <c16:uniqueId val="{00000031-F7D9-4A9C-9C51-FFB0BCA85D82}"/>
              </c:ext>
            </c:extLst>
          </c:dPt>
          <c:dPt>
            <c:idx val="26"/>
            <c:invertIfNegative val="0"/>
            <c:bubble3D val="0"/>
            <c:spPr>
              <a:solidFill>
                <a:srgbClr val="783FC5"/>
              </a:solidFill>
              <a:ln>
                <a:noFill/>
              </a:ln>
              <a:effectLst/>
            </c:spPr>
            <c:extLst>
              <c:ext xmlns:c16="http://schemas.microsoft.com/office/drawing/2014/chart" uri="{C3380CC4-5D6E-409C-BE32-E72D297353CC}">
                <c16:uniqueId val="{00000033-F7D9-4A9C-9C51-FFB0BCA85D8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7"/>
                <c:pt idx="0">
                  <c:v>Antigua and Barbuda</c:v>
                </c:pt>
                <c:pt idx="1">
                  <c:v>Argentina</c:v>
                </c:pt>
                <c:pt idx="2">
                  <c:v>Bolivia</c:v>
                </c:pt>
                <c:pt idx="3">
                  <c:v>Brasil</c:v>
                </c:pt>
                <c:pt idx="4">
                  <c:v>Canada</c:v>
                </c:pt>
                <c:pt idx="5">
                  <c:v>Chile</c:v>
                </c:pt>
                <c:pt idx="6">
                  <c:v>Colombia</c:v>
                </c:pt>
                <c:pt idx="7">
                  <c:v>Costa Rica</c:v>
                </c:pt>
                <c:pt idx="8">
                  <c:v>Cuba</c:v>
                </c:pt>
                <c:pt idx="9">
                  <c:v>Dominica</c:v>
                </c:pt>
                <c:pt idx="10">
                  <c:v>Ecuador</c:v>
                </c:pt>
                <c:pt idx="11">
                  <c:v>El Salvador</c:v>
                </c:pt>
                <c:pt idx="12">
                  <c:v>Guatemala</c:v>
                </c:pt>
                <c:pt idx="13">
                  <c:v>Haiti</c:v>
                </c:pt>
                <c:pt idx="14">
                  <c:v>Honduras</c:v>
                </c:pt>
                <c:pt idx="15">
                  <c:v>Jamaica</c:v>
                </c:pt>
                <c:pt idx="16">
                  <c:v>México</c:v>
                </c:pt>
                <c:pt idx="17">
                  <c:v>Nicaragua</c:v>
                </c:pt>
                <c:pt idx="18">
                  <c:v>Panamá</c:v>
                </c:pt>
                <c:pt idx="19">
                  <c:v>Paraguay</c:v>
                </c:pt>
                <c:pt idx="20">
                  <c:v>Perú</c:v>
                </c:pt>
                <c:pt idx="21">
                  <c:v>República Dominicana</c:v>
                </c:pt>
                <c:pt idx="22">
                  <c:v>Suriname</c:v>
                </c:pt>
                <c:pt idx="23">
                  <c:v>Trinidad and Tobago</c:v>
                </c:pt>
                <c:pt idx="24">
                  <c:v>United States of America</c:v>
                </c:pt>
                <c:pt idx="25">
                  <c:v>Uruguay</c:v>
                </c:pt>
                <c:pt idx="26">
                  <c:v>Venezuela</c:v>
                </c:pt>
              </c:strCache>
            </c:strRef>
          </c:cat>
          <c:val>
            <c:numRef>
              <c:f>Sheet1!$B$2:$B$36</c:f>
              <c:numCache>
                <c:formatCode>#,##0</c:formatCode>
                <c:ptCount val="27"/>
                <c:pt idx="0">
                  <c:v>2</c:v>
                </c:pt>
                <c:pt idx="1">
                  <c:v>42</c:v>
                </c:pt>
                <c:pt idx="2">
                  <c:v>28</c:v>
                </c:pt>
                <c:pt idx="3">
                  <c:v>37</c:v>
                </c:pt>
                <c:pt idx="4">
                  <c:v>1</c:v>
                </c:pt>
                <c:pt idx="5">
                  <c:v>25</c:v>
                </c:pt>
                <c:pt idx="6">
                  <c:v>178</c:v>
                </c:pt>
                <c:pt idx="7">
                  <c:v>13</c:v>
                </c:pt>
                <c:pt idx="8">
                  <c:v>4</c:v>
                </c:pt>
                <c:pt idx="9">
                  <c:v>1</c:v>
                </c:pt>
                <c:pt idx="10">
                  <c:v>46</c:v>
                </c:pt>
                <c:pt idx="11">
                  <c:v>4</c:v>
                </c:pt>
                <c:pt idx="12">
                  <c:v>19</c:v>
                </c:pt>
                <c:pt idx="13">
                  <c:v>4</c:v>
                </c:pt>
                <c:pt idx="14">
                  <c:v>18</c:v>
                </c:pt>
                <c:pt idx="15">
                  <c:v>2</c:v>
                </c:pt>
                <c:pt idx="16">
                  <c:v>132</c:v>
                </c:pt>
                <c:pt idx="17">
                  <c:v>12</c:v>
                </c:pt>
                <c:pt idx="18">
                  <c:v>10</c:v>
                </c:pt>
                <c:pt idx="19">
                  <c:v>10</c:v>
                </c:pt>
                <c:pt idx="20">
                  <c:v>44</c:v>
                </c:pt>
                <c:pt idx="21">
                  <c:v>12</c:v>
                </c:pt>
                <c:pt idx="22">
                  <c:v>1</c:v>
                </c:pt>
                <c:pt idx="23">
                  <c:v>1</c:v>
                </c:pt>
                <c:pt idx="24">
                  <c:v>17</c:v>
                </c:pt>
                <c:pt idx="25">
                  <c:v>4</c:v>
                </c:pt>
                <c:pt idx="26">
                  <c:v>14</c:v>
                </c:pt>
              </c:numCache>
            </c:numRef>
          </c:val>
          <c:extLst>
            <c:ext xmlns:c16="http://schemas.microsoft.com/office/drawing/2014/chart" uri="{C3380CC4-5D6E-409C-BE32-E72D297353CC}">
              <c16:uniqueId val="{00000034-F7D9-4A9C-9C51-FFB0BCA85D82}"/>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Petitions opened for processing, pending notification to the State</a:t>
            </a:r>
          </a:p>
          <a:p>
            <a:pPr>
              <a:defRPr/>
            </a:pPr>
            <a:r>
              <a:rPr lang="en-US" sz="2000" b="1" i="0">
                <a:solidFill>
                  <a:srgbClr val="0070C0"/>
                </a:solidFill>
                <a:latin typeface="Helvetica LT Std Cond" panose="020B0506020202030204" pitchFamily="34" charset="0"/>
              </a:rPr>
              <a:t>Total: 1,446</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2F9-438D-A1FD-C87C07899177}"/>
              </c:ext>
            </c:extLst>
          </c:dPt>
          <c:dPt>
            <c:idx val="1"/>
            <c:invertIfNegative val="0"/>
            <c:bubble3D val="0"/>
            <c:spPr>
              <a:solidFill>
                <a:srgbClr val="70AD47">
                  <a:lumMod val="75000"/>
                </a:srgbClr>
              </a:solidFill>
              <a:ln>
                <a:noFill/>
              </a:ln>
              <a:effectLst/>
            </c:spPr>
            <c:extLst>
              <c:ext xmlns:c16="http://schemas.microsoft.com/office/drawing/2014/chart" uri="{C3380CC4-5D6E-409C-BE32-E72D297353CC}">
                <c16:uniqueId val="{00000003-72F9-438D-A1FD-C87C07899177}"/>
              </c:ext>
            </c:extLst>
          </c:dPt>
          <c:dPt>
            <c:idx val="2"/>
            <c:invertIfNegative val="0"/>
            <c:bubble3D val="0"/>
            <c:spPr>
              <a:solidFill>
                <a:srgbClr val="FFC000"/>
              </a:solidFill>
              <a:ln>
                <a:noFill/>
              </a:ln>
              <a:effectLst/>
            </c:spPr>
            <c:extLst>
              <c:ext xmlns:c16="http://schemas.microsoft.com/office/drawing/2014/chart" uri="{C3380CC4-5D6E-409C-BE32-E72D297353CC}">
                <c16:uniqueId val="{00000005-72F9-438D-A1FD-C87C07899177}"/>
              </c:ext>
            </c:extLst>
          </c:dPt>
          <c:dPt>
            <c:idx val="3"/>
            <c:invertIfNegative val="0"/>
            <c:bubble3D val="0"/>
            <c:spPr>
              <a:solidFill>
                <a:srgbClr val="70AD47"/>
              </a:solidFill>
              <a:ln>
                <a:noFill/>
              </a:ln>
              <a:effectLst/>
            </c:spPr>
            <c:extLst>
              <c:ext xmlns:c16="http://schemas.microsoft.com/office/drawing/2014/chart" uri="{C3380CC4-5D6E-409C-BE32-E72D297353CC}">
                <c16:uniqueId val="{00000007-72F9-438D-A1FD-C87C07899177}"/>
              </c:ext>
            </c:extLst>
          </c:dPt>
          <c:dPt>
            <c:idx val="4"/>
            <c:invertIfNegative val="0"/>
            <c:bubble3D val="0"/>
            <c:spPr>
              <a:solidFill>
                <a:srgbClr val="FF0000"/>
              </a:solidFill>
              <a:ln>
                <a:noFill/>
              </a:ln>
              <a:effectLst/>
            </c:spPr>
            <c:extLst>
              <c:ext xmlns:c16="http://schemas.microsoft.com/office/drawing/2014/chart" uri="{C3380CC4-5D6E-409C-BE32-E72D297353CC}">
                <c16:uniqueId val="{00000009-72F9-438D-A1FD-C87C07899177}"/>
              </c:ext>
            </c:extLst>
          </c:dPt>
          <c:dPt>
            <c:idx val="5"/>
            <c:invertIfNegative val="0"/>
            <c:bubble3D val="0"/>
            <c:spPr>
              <a:solidFill>
                <a:srgbClr val="0070C0"/>
              </a:solidFill>
              <a:ln>
                <a:noFill/>
              </a:ln>
              <a:effectLst/>
            </c:spPr>
            <c:extLst>
              <c:ext xmlns:c16="http://schemas.microsoft.com/office/drawing/2014/chart" uri="{C3380CC4-5D6E-409C-BE32-E72D297353CC}">
                <c16:uniqueId val="{0000000B-72F9-438D-A1FD-C87C07899177}"/>
              </c:ext>
            </c:extLst>
          </c:dPt>
          <c:dPt>
            <c:idx val="6"/>
            <c:invertIfNegative val="0"/>
            <c:bubble3D val="0"/>
            <c:spPr>
              <a:solidFill>
                <a:srgbClr val="ED7D31"/>
              </a:solidFill>
              <a:ln>
                <a:noFill/>
              </a:ln>
              <a:effectLst/>
            </c:spPr>
            <c:extLst>
              <c:ext xmlns:c16="http://schemas.microsoft.com/office/drawing/2014/chart" uri="{C3380CC4-5D6E-409C-BE32-E72D297353CC}">
                <c16:uniqueId val="{0000000D-72F9-438D-A1FD-C87C07899177}"/>
              </c:ext>
            </c:extLst>
          </c:dPt>
          <c:dPt>
            <c:idx val="7"/>
            <c:invertIfNegative val="0"/>
            <c:bubble3D val="0"/>
            <c:spPr>
              <a:solidFill>
                <a:srgbClr val="7030A0"/>
              </a:solidFill>
              <a:ln>
                <a:noFill/>
              </a:ln>
              <a:effectLst/>
            </c:spPr>
            <c:extLst>
              <c:ext xmlns:c16="http://schemas.microsoft.com/office/drawing/2014/chart" uri="{C3380CC4-5D6E-409C-BE32-E72D297353CC}">
                <c16:uniqueId val="{0000000F-72F9-438D-A1FD-C87C07899177}"/>
              </c:ext>
            </c:extLst>
          </c:dPt>
          <c:dPt>
            <c:idx val="8"/>
            <c:invertIfNegative val="0"/>
            <c:bubble3D val="0"/>
            <c:spPr>
              <a:solidFill>
                <a:srgbClr val="00B0F0"/>
              </a:solidFill>
              <a:ln>
                <a:noFill/>
              </a:ln>
              <a:effectLst/>
            </c:spPr>
            <c:extLst>
              <c:ext xmlns:c16="http://schemas.microsoft.com/office/drawing/2014/chart" uri="{C3380CC4-5D6E-409C-BE32-E72D297353CC}">
                <c16:uniqueId val="{00000011-72F9-438D-A1FD-C87C07899177}"/>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3-72F9-438D-A1FD-C87C07899177}"/>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5-72F9-438D-A1FD-C87C07899177}"/>
              </c:ext>
            </c:extLst>
          </c:dPt>
          <c:dPt>
            <c:idx val="11"/>
            <c:invertIfNegative val="0"/>
            <c:bubble3D val="0"/>
            <c:spPr>
              <a:solidFill>
                <a:srgbClr val="0070C0"/>
              </a:solidFill>
              <a:ln>
                <a:noFill/>
              </a:ln>
              <a:effectLst/>
            </c:spPr>
            <c:extLst>
              <c:ext xmlns:c16="http://schemas.microsoft.com/office/drawing/2014/chart" uri="{C3380CC4-5D6E-409C-BE32-E72D297353CC}">
                <c16:uniqueId val="{00000017-72F9-438D-A1FD-C87C07899177}"/>
              </c:ext>
            </c:extLst>
          </c:dPt>
          <c:dPt>
            <c:idx val="12"/>
            <c:invertIfNegative val="0"/>
            <c:bubble3D val="0"/>
            <c:spPr>
              <a:solidFill>
                <a:srgbClr val="CD4D47"/>
              </a:solidFill>
              <a:ln>
                <a:noFill/>
              </a:ln>
              <a:effectLst/>
            </c:spPr>
            <c:extLst>
              <c:ext xmlns:c16="http://schemas.microsoft.com/office/drawing/2014/chart" uri="{C3380CC4-5D6E-409C-BE32-E72D297353CC}">
                <c16:uniqueId val="{00000019-72F9-438D-A1FD-C87C07899177}"/>
              </c:ext>
            </c:extLst>
          </c:dPt>
          <c:dPt>
            <c:idx val="13"/>
            <c:invertIfNegative val="0"/>
            <c:bubble3D val="0"/>
            <c:spPr>
              <a:solidFill>
                <a:srgbClr val="00EFE4"/>
              </a:solidFill>
              <a:ln>
                <a:noFill/>
              </a:ln>
              <a:effectLst/>
            </c:spPr>
            <c:extLst>
              <c:ext xmlns:c16="http://schemas.microsoft.com/office/drawing/2014/chart" uri="{C3380CC4-5D6E-409C-BE32-E72D297353CC}">
                <c16:uniqueId val="{0000001B-72F9-438D-A1FD-C87C07899177}"/>
              </c:ext>
            </c:extLst>
          </c:dPt>
          <c:dPt>
            <c:idx val="14"/>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D-72F9-438D-A1FD-C87C07899177}"/>
              </c:ext>
            </c:extLst>
          </c:dPt>
          <c:dPt>
            <c:idx val="15"/>
            <c:invertIfNegative val="0"/>
            <c:bubble3D val="0"/>
            <c:spPr>
              <a:solidFill>
                <a:srgbClr val="70AD47">
                  <a:lumMod val="75000"/>
                </a:srgbClr>
              </a:solidFill>
              <a:ln>
                <a:noFill/>
              </a:ln>
              <a:effectLst/>
            </c:spPr>
            <c:extLst>
              <c:ext xmlns:c16="http://schemas.microsoft.com/office/drawing/2014/chart" uri="{C3380CC4-5D6E-409C-BE32-E72D297353CC}">
                <c16:uniqueId val="{0000001F-72F9-438D-A1FD-C87C07899177}"/>
              </c:ext>
            </c:extLst>
          </c:dPt>
          <c:dPt>
            <c:idx val="17"/>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1-72F9-438D-A1FD-C87C07899177}"/>
              </c:ext>
            </c:extLst>
          </c:dPt>
          <c:dPt>
            <c:idx val="18"/>
            <c:invertIfNegative val="0"/>
            <c:bubble3D val="0"/>
            <c:spPr>
              <a:solidFill>
                <a:srgbClr val="CD582C"/>
              </a:solidFill>
              <a:ln>
                <a:noFill/>
              </a:ln>
              <a:effectLst/>
            </c:spPr>
            <c:extLst>
              <c:ext xmlns:c16="http://schemas.microsoft.com/office/drawing/2014/chart" uri="{C3380CC4-5D6E-409C-BE32-E72D297353CC}">
                <c16:uniqueId val="{00000023-72F9-438D-A1FD-C87C07899177}"/>
              </c:ext>
            </c:extLst>
          </c:dPt>
          <c:dPt>
            <c:idx val="19"/>
            <c:invertIfNegative val="0"/>
            <c:bubble3D val="0"/>
            <c:spPr>
              <a:solidFill>
                <a:srgbClr val="D00024"/>
              </a:solidFill>
              <a:ln>
                <a:noFill/>
              </a:ln>
              <a:effectLst/>
            </c:spPr>
            <c:extLst>
              <c:ext xmlns:c16="http://schemas.microsoft.com/office/drawing/2014/chart" uri="{C3380CC4-5D6E-409C-BE32-E72D297353CC}">
                <c16:uniqueId val="{00000025-72F9-438D-A1FD-C87C07899177}"/>
              </c:ext>
            </c:extLst>
          </c:dPt>
          <c:dPt>
            <c:idx val="20"/>
            <c:invertIfNegative val="0"/>
            <c:bubble3D val="0"/>
            <c:spPr>
              <a:solidFill>
                <a:srgbClr val="4400E8"/>
              </a:solidFill>
              <a:ln>
                <a:noFill/>
              </a:ln>
              <a:effectLst/>
            </c:spPr>
            <c:extLst>
              <c:ext xmlns:c16="http://schemas.microsoft.com/office/drawing/2014/chart" uri="{C3380CC4-5D6E-409C-BE32-E72D297353CC}">
                <c16:uniqueId val="{00000027-72F9-438D-A1FD-C87C07899177}"/>
              </c:ext>
            </c:extLst>
          </c:dPt>
          <c:dPt>
            <c:idx val="21"/>
            <c:invertIfNegative val="0"/>
            <c:bubble3D val="0"/>
            <c:spPr>
              <a:solidFill>
                <a:srgbClr val="E7E6E6">
                  <a:lumMod val="75000"/>
                </a:srgbClr>
              </a:solidFill>
              <a:ln>
                <a:noFill/>
              </a:ln>
              <a:effectLst/>
            </c:spPr>
            <c:extLst>
              <c:ext xmlns:c16="http://schemas.microsoft.com/office/drawing/2014/chart" uri="{C3380CC4-5D6E-409C-BE32-E72D297353CC}">
                <c16:uniqueId val="{00000029-72F9-438D-A1FD-C87C07899177}"/>
              </c:ext>
            </c:extLst>
          </c:dPt>
          <c:dPt>
            <c:idx val="22"/>
            <c:invertIfNegative val="0"/>
            <c:bubble3D val="0"/>
            <c:spPr>
              <a:solidFill>
                <a:srgbClr val="D00000"/>
              </a:solidFill>
              <a:ln>
                <a:noFill/>
              </a:ln>
              <a:effectLst/>
            </c:spPr>
            <c:extLst>
              <c:ext xmlns:c16="http://schemas.microsoft.com/office/drawing/2014/chart" uri="{C3380CC4-5D6E-409C-BE32-E72D297353CC}">
                <c16:uniqueId val="{0000002B-72F9-438D-A1FD-C87C07899177}"/>
              </c:ext>
            </c:extLst>
          </c:dPt>
          <c:dPt>
            <c:idx val="23"/>
            <c:invertIfNegative val="0"/>
            <c:bubble3D val="0"/>
            <c:spPr>
              <a:solidFill>
                <a:srgbClr val="7A4300"/>
              </a:solidFill>
              <a:ln>
                <a:noFill/>
              </a:ln>
              <a:effectLst/>
            </c:spPr>
            <c:extLst>
              <c:ext xmlns:c16="http://schemas.microsoft.com/office/drawing/2014/chart" uri="{C3380CC4-5D6E-409C-BE32-E72D297353CC}">
                <c16:uniqueId val="{0000002D-72F9-438D-A1FD-C87C07899177}"/>
              </c:ext>
            </c:extLst>
          </c:dPt>
          <c:dPt>
            <c:idx val="24"/>
            <c:invertIfNegative val="0"/>
            <c:bubble3D val="0"/>
            <c:spPr>
              <a:solidFill>
                <a:srgbClr val="783FC5"/>
              </a:solidFill>
              <a:ln>
                <a:noFill/>
              </a:ln>
              <a:effectLst/>
            </c:spPr>
            <c:extLst>
              <c:ext xmlns:c16="http://schemas.microsoft.com/office/drawing/2014/chart" uri="{C3380CC4-5D6E-409C-BE32-E72D297353CC}">
                <c16:uniqueId val="{0000002F-72F9-438D-A1FD-C87C0789917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5"/>
                <c:pt idx="0">
                  <c:v>Argentina</c:v>
                </c:pt>
                <c:pt idx="1">
                  <c:v>Belize</c:v>
                </c:pt>
                <c:pt idx="2">
                  <c:v>Bolivia</c:v>
                </c:pt>
                <c:pt idx="3">
                  <c:v>Brasil</c:v>
                </c:pt>
                <c:pt idx="4">
                  <c:v>Canada</c:v>
                </c:pt>
                <c:pt idx="5">
                  <c:v>Chile</c:v>
                </c:pt>
                <c:pt idx="6">
                  <c:v>Colombia</c:v>
                </c:pt>
                <c:pt idx="7">
                  <c:v>Costa Rica</c:v>
                </c:pt>
                <c:pt idx="8">
                  <c:v>Cuba</c:v>
                </c:pt>
                <c:pt idx="9">
                  <c:v>Ecuador</c:v>
                </c:pt>
                <c:pt idx="10">
                  <c:v>El Salvador</c:v>
                </c:pt>
                <c:pt idx="11">
                  <c:v>Guatemala</c:v>
                </c:pt>
                <c:pt idx="12">
                  <c:v>Haiti</c:v>
                </c:pt>
                <c:pt idx="13">
                  <c:v>Honduras</c:v>
                </c:pt>
                <c:pt idx="14">
                  <c:v>Jamaica</c:v>
                </c:pt>
                <c:pt idx="15">
                  <c:v>México</c:v>
                </c:pt>
                <c:pt idx="16">
                  <c:v>Nicaragua</c:v>
                </c:pt>
                <c:pt idx="17">
                  <c:v>Panamá</c:v>
                </c:pt>
                <c:pt idx="18">
                  <c:v>Paraguay</c:v>
                </c:pt>
                <c:pt idx="19">
                  <c:v>Perú</c:v>
                </c:pt>
                <c:pt idx="20">
                  <c:v>República Dominicana</c:v>
                </c:pt>
                <c:pt idx="21">
                  <c:v>Trinidad and Tobago</c:v>
                </c:pt>
                <c:pt idx="22">
                  <c:v>United States of America</c:v>
                </c:pt>
                <c:pt idx="23">
                  <c:v>Uruguay</c:v>
                </c:pt>
                <c:pt idx="24">
                  <c:v>Venezuela</c:v>
                </c:pt>
              </c:strCache>
            </c:strRef>
          </c:cat>
          <c:val>
            <c:numRef>
              <c:f>Sheet1!$B$2:$B$36</c:f>
              <c:numCache>
                <c:formatCode>#,##0</c:formatCode>
                <c:ptCount val="25"/>
                <c:pt idx="0">
                  <c:v>103</c:v>
                </c:pt>
                <c:pt idx="1">
                  <c:v>1</c:v>
                </c:pt>
                <c:pt idx="2">
                  <c:v>36</c:v>
                </c:pt>
                <c:pt idx="3">
                  <c:v>45</c:v>
                </c:pt>
                <c:pt idx="4">
                  <c:v>1</c:v>
                </c:pt>
                <c:pt idx="5">
                  <c:v>84</c:v>
                </c:pt>
                <c:pt idx="6">
                  <c:v>455</c:v>
                </c:pt>
                <c:pt idx="7">
                  <c:v>25</c:v>
                </c:pt>
                <c:pt idx="8">
                  <c:v>30</c:v>
                </c:pt>
                <c:pt idx="9">
                  <c:v>70</c:v>
                </c:pt>
                <c:pt idx="10">
                  <c:v>6</c:v>
                </c:pt>
                <c:pt idx="11">
                  <c:v>31</c:v>
                </c:pt>
                <c:pt idx="12">
                  <c:v>4</c:v>
                </c:pt>
                <c:pt idx="13">
                  <c:v>14</c:v>
                </c:pt>
                <c:pt idx="14">
                  <c:v>1</c:v>
                </c:pt>
                <c:pt idx="15">
                  <c:v>297</c:v>
                </c:pt>
                <c:pt idx="16">
                  <c:v>27</c:v>
                </c:pt>
                <c:pt idx="17">
                  <c:v>22</c:v>
                </c:pt>
                <c:pt idx="18">
                  <c:v>9</c:v>
                </c:pt>
                <c:pt idx="19">
                  <c:v>124</c:v>
                </c:pt>
                <c:pt idx="20">
                  <c:v>3</c:v>
                </c:pt>
                <c:pt idx="21">
                  <c:v>1</c:v>
                </c:pt>
                <c:pt idx="22">
                  <c:v>31</c:v>
                </c:pt>
                <c:pt idx="23">
                  <c:v>4</c:v>
                </c:pt>
                <c:pt idx="24">
                  <c:v>22</c:v>
                </c:pt>
              </c:numCache>
            </c:numRef>
          </c:val>
          <c:extLst>
            <c:ext xmlns:c16="http://schemas.microsoft.com/office/drawing/2014/chart" uri="{C3380CC4-5D6E-409C-BE32-E72D297353CC}">
              <c16:uniqueId val="{00000030-72F9-438D-A1FD-C87C07899177}"/>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Petitions archived in the initial review stage</a:t>
            </a:r>
          </a:p>
          <a:p>
            <a:pPr>
              <a:defRPr/>
            </a:pPr>
            <a:r>
              <a:rPr lang="en-US" sz="2000" b="1" i="0">
                <a:solidFill>
                  <a:srgbClr val="0070C0"/>
                </a:solidFill>
                <a:latin typeface="Helvetica LT Std Cond" panose="020B0506020202030204" pitchFamily="34" charset="0"/>
              </a:rPr>
              <a:t>Total: 78</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D17E-42C5-8D7C-87DCE545E291}"/>
              </c:ext>
            </c:extLst>
          </c:dPt>
          <c:dPt>
            <c:idx val="1"/>
            <c:invertIfNegative val="0"/>
            <c:bubble3D val="0"/>
            <c:spPr>
              <a:solidFill>
                <a:srgbClr val="FFC000"/>
              </a:solidFill>
              <a:ln>
                <a:noFill/>
              </a:ln>
              <a:effectLst/>
            </c:spPr>
            <c:extLst>
              <c:ext xmlns:c16="http://schemas.microsoft.com/office/drawing/2014/chart" uri="{C3380CC4-5D6E-409C-BE32-E72D297353CC}">
                <c16:uniqueId val="{00000003-D17E-42C5-8D7C-87DCE545E291}"/>
              </c:ext>
            </c:extLst>
          </c:dPt>
          <c:dPt>
            <c:idx val="2"/>
            <c:invertIfNegative val="0"/>
            <c:bubble3D val="0"/>
            <c:spPr>
              <a:solidFill>
                <a:srgbClr val="70AD47"/>
              </a:solidFill>
              <a:ln>
                <a:noFill/>
              </a:ln>
              <a:effectLst/>
            </c:spPr>
            <c:extLst>
              <c:ext xmlns:c16="http://schemas.microsoft.com/office/drawing/2014/chart" uri="{C3380CC4-5D6E-409C-BE32-E72D297353CC}">
                <c16:uniqueId val="{00000005-D17E-42C5-8D7C-87DCE545E291}"/>
              </c:ext>
            </c:extLst>
          </c:dPt>
          <c:dPt>
            <c:idx val="3"/>
            <c:invertIfNegative val="0"/>
            <c:bubble3D val="0"/>
            <c:spPr>
              <a:solidFill>
                <a:srgbClr val="FF0000"/>
              </a:solidFill>
              <a:ln>
                <a:noFill/>
              </a:ln>
              <a:effectLst/>
            </c:spPr>
            <c:extLst>
              <c:ext xmlns:c16="http://schemas.microsoft.com/office/drawing/2014/chart" uri="{C3380CC4-5D6E-409C-BE32-E72D297353CC}">
                <c16:uniqueId val="{00000007-D17E-42C5-8D7C-87DCE545E291}"/>
              </c:ext>
            </c:extLst>
          </c:dPt>
          <c:dPt>
            <c:idx val="4"/>
            <c:invertIfNegative val="0"/>
            <c:bubble3D val="0"/>
            <c:spPr>
              <a:solidFill>
                <a:srgbClr val="0070C0"/>
              </a:solidFill>
              <a:ln>
                <a:noFill/>
              </a:ln>
              <a:effectLst/>
            </c:spPr>
            <c:extLst>
              <c:ext xmlns:c16="http://schemas.microsoft.com/office/drawing/2014/chart" uri="{C3380CC4-5D6E-409C-BE32-E72D297353CC}">
                <c16:uniqueId val="{00000009-D17E-42C5-8D7C-87DCE545E291}"/>
              </c:ext>
            </c:extLst>
          </c:dPt>
          <c:dPt>
            <c:idx val="5"/>
            <c:invertIfNegative val="0"/>
            <c:bubble3D val="0"/>
            <c:spPr>
              <a:solidFill>
                <a:srgbClr val="ED7D31"/>
              </a:solidFill>
              <a:ln>
                <a:noFill/>
              </a:ln>
              <a:effectLst/>
            </c:spPr>
            <c:extLst>
              <c:ext xmlns:c16="http://schemas.microsoft.com/office/drawing/2014/chart" uri="{C3380CC4-5D6E-409C-BE32-E72D297353CC}">
                <c16:uniqueId val="{0000000B-D17E-42C5-8D7C-87DCE545E291}"/>
              </c:ext>
            </c:extLst>
          </c:dPt>
          <c:dPt>
            <c:idx val="6"/>
            <c:invertIfNegative val="0"/>
            <c:bubble3D val="0"/>
            <c:spPr>
              <a:solidFill>
                <a:srgbClr val="7030A0"/>
              </a:solidFill>
              <a:ln>
                <a:noFill/>
              </a:ln>
              <a:effectLst/>
            </c:spPr>
            <c:extLst>
              <c:ext xmlns:c16="http://schemas.microsoft.com/office/drawing/2014/chart" uri="{C3380CC4-5D6E-409C-BE32-E72D297353CC}">
                <c16:uniqueId val="{0000000D-D17E-42C5-8D7C-87DCE545E291}"/>
              </c:ext>
            </c:extLst>
          </c:dPt>
          <c:dPt>
            <c:idx val="7"/>
            <c:invertIfNegative val="0"/>
            <c:bubble3D val="0"/>
            <c:spPr>
              <a:solidFill>
                <a:srgbClr val="00B0F0"/>
              </a:solidFill>
              <a:ln>
                <a:noFill/>
              </a:ln>
              <a:effectLst/>
            </c:spPr>
            <c:extLst>
              <c:ext xmlns:c16="http://schemas.microsoft.com/office/drawing/2014/chart" uri="{C3380CC4-5D6E-409C-BE32-E72D297353CC}">
                <c16:uniqueId val="{0000000F-D17E-42C5-8D7C-87DCE545E291}"/>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D17E-42C5-8D7C-87DCE545E291}"/>
              </c:ext>
            </c:extLst>
          </c:dPt>
          <c:dPt>
            <c:idx val="9"/>
            <c:invertIfNegative val="0"/>
            <c:bubble3D val="0"/>
            <c:spPr>
              <a:solidFill>
                <a:srgbClr val="0070C0"/>
              </a:solidFill>
              <a:ln>
                <a:noFill/>
              </a:ln>
              <a:effectLst/>
            </c:spPr>
            <c:extLst>
              <c:ext xmlns:c16="http://schemas.microsoft.com/office/drawing/2014/chart" uri="{C3380CC4-5D6E-409C-BE32-E72D297353CC}">
                <c16:uniqueId val="{00000013-D17E-42C5-8D7C-87DCE545E291}"/>
              </c:ext>
            </c:extLst>
          </c:dPt>
          <c:dPt>
            <c:idx val="10"/>
            <c:invertIfNegative val="0"/>
            <c:bubble3D val="0"/>
            <c:spPr>
              <a:solidFill>
                <a:srgbClr val="00EFE4"/>
              </a:solidFill>
              <a:ln>
                <a:noFill/>
              </a:ln>
              <a:effectLst/>
            </c:spPr>
            <c:extLst>
              <c:ext xmlns:c16="http://schemas.microsoft.com/office/drawing/2014/chart" uri="{C3380CC4-5D6E-409C-BE32-E72D297353CC}">
                <c16:uniqueId val="{00000015-D17E-42C5-8D7C-87DCE545E291}"/>
              </c:ext>
            </c:extLst>
          </c:dPt>
          <c:dPt>
            <c:idx val="11"/>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7-D17E-42C5-8D7C-87DCE545E291}"/>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9-D17E-42C5-8D7C-87DCE545E291}"/>
              </c:ext>
            </c:extLst>
          </c:dPt>
          <c:dPt>
            <c:idx val="14"/>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B-D17E-42C5-8D7C-87DCE545E291}"/>
              </c:ext>
            </c:extLst>
          </c:dPt>
          <c:dPt>
            <c:idx val="15"/>
            <c:invertIfNegative val="0"/>
            <c:bubble3D val="0"/>
            <c:spPr>
              <a:solidFill>
                <a:srgbClr val="D00024"/>
              </a:solidFill>
              <a:ln>
                <a:noFill/>
              </a:ln>
              <a:effectLst/>
            </c:spPr>
            <c:extLst>
              <c:ext xmlns:c16="http://schemas.microsoft.com/office/drawing/2014/chart" uri="{C3380CC4-5D6E-409C-BE32-E72D297353CC}">
                <c16:uniqueId val="{0000001D-D17E-42C5-8D7C-87DCE545E291}"/>
              </c:ext>
            </c:extLst>
          </c:dPt>
          <c:dPt>
            <c:idx val="16"/>
            <c:invertIfNegative val="0"/>
            <c:bubble3D val="0"/>
            <c:spPr>
              <a:solidFill>
                <a:srgbClr val="D00000"/>
              </a:solidFill>
              <a:ln>
                <a:noFill/>
              </a:ln>
              <a:effectLst/>
            </c:spPr>
            <c:extLst>
              <c:ext xmlns:c16="http://schemas.microsoft.com/office/drawing/2014/chart" uri="{C3380CC4-5D6E-409C-BE32-E72D297353CC}">
                <c16:uniqueId val="{0000001F-D17E-42C5-8D7C-87DCE545E291}"/>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7"/>
                <c:pt idx="0">
                  <c:v>Argentina</c:v>
                </c:pt>
                <c:pt idx="1">
                  <c:v>Bolivia</c:v>
                </c:pt>
                <c:pt idx="2">
                  <c:v>Brasil</c:v>
                </c:pt>
                <c:pt idx="3">
                  <c:v>Canada</c:v>
                </c:pt>
                <c:pt idx="4">
                  <c:v>Chile</c:v>
                </c:pt>
                <c:pt idx="5">
                  <c:v>Colombia</c:v>
                </c:pt>
                <c:pt idx="6">
                  <c:v>Costa Rica</c:v>
                </c:pt>
                <c:pt idx="7">
                  <c:v>Cuba</c:v>
                </c:pt>
                <c:pt idx="8">
                  <c:v>Ecuador</c:v>
                </c:pt>
                <c:pt idx="9">
                  <c:v>Guatemala</c:v>
                </c:pt>
                <c:pt idx="10">
                  <c:v>Honduras</c:v>
                </c:pt>
                <c:pt idx="11">
                  <c:v>Jamaica</c:v>
                </c:pt>
                <c:pt idx="12">
                  <c:v>México</c:v>
                </c:pt>
                <c:pt idx="13">
                  <c:v>Nicaragua</c:v>
                </c:pt>
                <c:pt idx="14">
                  <c:v>Panamá</c:v>
                </c:pt>
                <c:pt idx="15">
                  <c:v>Perú</c:v>
                </c:pt>
                <c:pt idx="16">
                  <c:v>United States of America</c:v>
                </c:pt>
              </c:strCache>
            </c:strRef>
          </c:cat>
          <c:val>
            <c:numRef>
              <c:f>Sheet1!$B$2:$B$36</c:f>
              <c:numCache>
                <c:formatCode>#,##0</c:formatCode>
                <c:ptCount val="17"/>
                <c:pt idx="0">
                  <c:v>4</c:v>
                </c:pt>
                <c:pt idx="1">
                  <c:v>4</c:v>
                </c:pt>
                <c:pt idx="2">
                  <c:v>12</c:v>
                </c:pt>
                <c:pt idx="3">
                  <c:v>1</c:v>
                </c:pt>
                <c:pt idx="4">
                  <c:v>4</c:v>
                </c:pt>
                <c:pt idx="5">
                  <c:v>21</c:v>
                </c:pt>
                <c:pt idx="6">
                  <c:v>1</c:v>
                </c:pt>
                <c:pt idx="7">
                  <c:v>1</c:v>
                </c:pt>
                <c:pt idx="8">
                  <c:v>2</c:v>
                </c:pt>
                <c:pt idx="9">
                  <c:v>2</c:v>
                </c:pt>
                <c:pt idx="10">
                  <c:v>2</c:v>
                </c:pt>
                <c:pt idx="11">
                  <c:v>1</c:v>
                </c:pt>
                <c:pt idx="12">
                  <c:v>10</c:v>
                </c:pt>
                <c:pt idx="13">
                  <c:v>3</c:v>
                </c:pt>
                <c:pt idx="14">
                  <c:v>1</c:v>
                </c:pt>
                <c:pt idx="15">
                  <c:v>8</c:v>
                </c:pt>
                <c:pt idx="16">
                  <c:v>1</c:v>
                </c:pt>
              </c:numCache>
            </c:numRef>
          </c:val>
          <c:extLst>
            <c:ext xmlns:c16="http://schemas.microsoft.com/office/drawing/2014/chart" uri="{C3380CC4-5D6E-409C-BE32-E72D297353CC}">
              <c16:uniqueId val="{00000020-D17E-42C5-8D7C-87DCE545E291}"/>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Petitions in admissibility at end of year</a:t>
            </a:r>
          </a:p>
          <a:p>
            <a:pPr>
              <a:defRPr/>
            </a:pPr>
            <a:r>
              <a:rPr lang="en-US" sz="2000" b="1" i="0">
                <a:solidFill>
                  <a:srgbClr val="0070C0"/>
                </a:solidFill>
                <a:latin typeface="Helvetica LT Std Cond" panose="020B0506020202030204" pitchFamily="34" charset="0"/>
              </a:rPr>
              <a:t>Total: 1,701</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458D-4651-B914-D6F6BBC76AE9}"/>
              </c:ext>
            </c:extLst>
          </c:dPt>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3-458D-4651-B914-D6F6BBC76AE9}"/>
              </c:ext>
            </c:extLst>
          </c:dPt>
          <c:dPt>
            <c:idx val="2"/>
            <c:invertIfNegative val="0"/>
            <c:bubble3D val="0"/>
            <c:spPr>
              <a:solidFill>
                <a:srgbClr val="011EAA"/>
              </a:solidFill>
              <a:ln>
                <a:noFill/>
              </a:ln>
              <a:effectLst/>
            </c:spPr>
            <c:extLst>
              <c:ext xmlns:c16="http://schemas.microsoft.com/office/drawing/2014/chart" uri="{C3380CC4-5D6E-409C-BE32-E72D297353CC}">
                <c16:uniqueId val="{00000005-458D-4651-B914-D6F6BBC76AE9}"/>
              </c:ext>
            </c:extLst>
          </c:dPt>
          <c:dPt>
            <c:idx val="3"/>
            <c:invertIfNegative val="0"/>
            <c:bubble3D val="0"/>
            <c:spPr>
              <a:solidFill>
                <a:srgbClr val="FFC000"/>
              </a:solidFill>
              <a:ln>
                <a:noFill/>
              </a:ln>
              <a:effectLst/>
            </c:spPr>
            <c:extLst>
              <c:ext xmlns:c16="http://schemas.microsoft.com/office/drawing/2014/chart" uri="{C3380CC4-5D6E-409C-BE32-E72D297353CC}">
                <c16:uniqueId val="{00000007-458D-4651-B914-D6F6BBC76AE9}"/>
              </c:ext>
            </c:extLst>
          </c:dPt>
          <c:dPt>
            <c:idx val="4"/>
            <c:invertIfNegative val="0"/>
            <c:bubble3D val="0"/>
            <c:spPr>
              <a:solidFill>
                <a:srgbClr val="70AD47"/>
              </a:solidFill>
              <a:ln>
                <a:noFill/>
              </a:ln>
              <a:effectLst/>
            </c:spPr>
            <c:extLst>
              <c:ext xmlns:c16="http://schemas.microsoft.com/office/drawing/2014/chart" uri="{C3380CC4-5D6E-409C-BE32-E72D297353CC}">
                <c16:uniqueId val="{00000009-458D-4651-B914-D6F6BBC76AE9}"/>
              </c:ext>
            </c:extLst>
          </c:dPt>
          <c:dPt>
            <c:idx val="5"/>
            <c:invertIfNegative val="0"/>
            <c:bubble3D val="0"/>
            <c:spPr>
              <a:solidFill>
                <a:srgbClr val="FF0000"/>
              </a:solidFill>
              <a:ln>
                <a:noFill/>
              </a:ln>
              <a:effectLst/>
            </c:spPr>
            <c:extLst>
              <c:ext xmlns:c16="http://schemas.microsoft.com/office/drawing/2014/chart" uri="{C3380CC4-5D6E-409C-BE32-E72D297353CC}">
                <c16:uniqueId val="{0000000B-458D-4651-B914-D6F6BBC76AE9}"/>
              </c:ext>
            </c:extLst>
          </c:dPt>
          <c:dPt>
            <c:idx val="6"/>
            <c:invertIfNegative val="0"/>
            <c:bubble3D val="0"/>
            <c:spPr>
              <a:solidFill>
                <a:srgbClr val="0070C0"/>
              </a:solidFill>
              <a:ln>
                <a:noFill/>
              </a:ln>
              <a:effectLst/>
            </c:spPr>
            <c:extLst>
              <c:ext xmlns:c16="http://schemas.microsoft.com/office/drawing/2014/chart" uri="{C3380CC4-5D6E-409C-BE32-E72D297353CC}">
                <c16:uniqueId val="{0000000D-458D-4651-B914-D6F6BBC76AE9}"/>
              </c:ext>
            </c:extLst>
          </c:dPt>
          <c:dPt>
            <c:idx val="7"/>
            <c:invertIfNegative val="0"/>
            <c:bubble3D val="0"/>
            <c:spPr>
              <a:solidFill>
                <a:srgbClr val="ED7D31"/>
              </a:solidFill>
              <a:ln>
                <a:noFill/>
              </a:ln>
              <a:effectLst/>
            </c:spPr>
            <c:extLst>
              <c:ext xmlns:c16="http://schemas.microsoft.com/office/drawing/2014/chart" uri="{C3380CC4-5D6E-409C-BE32-E72D297353CC}">
                <c16:uniqueId val="{0000000F-458D-4651-B914-D6F6BBC76AE9}"/>
              </c:ext>
            </c:extLst>
          </c:dPt>
          <c:dPt>
            <c:idx val="8"/>
            <c:invertIfNegative val="0"/>
            <c:bubble3D val="0"/>
            <c:spPr>
              <a:solidFill>
                <a:srgbClr val="7030A0"/>
              </a:solidFill>
              <a:ln>
                <a:noFill/>
              </a:ln>
              <a:effectLst/>
            </c:spPr>
            <c:extLst>
              <c:ext xmlns:c16="http://schemas.microsoft.com/office/drawing/2014/chart" uri="{C3380CC4-5D6E-409C-BE32-E72D297353CC}">
                <c16:uniqueId val="{00000011-458D-4651-B914-D6F6BBC76AE9}"/>
              </c:ext>
            </c:extLst>
          </c:dPt>
          <c:dPt>
            <c:idx val="9"/>
            <c:invertIfNegative val="0"/>
            <c:bubble3D val="0"/>
            <c:spPr>
              <a:solidFill>
                <a:srgbClr val="00B0F0"/>
              </a:solidFill>
              <a:ln>
                <a:noFill/>
              </a:ln>
              <a:effectLst/>
            </c:spPr>
            <c:extLst>
              <c:ext xmlns:c16="http://schemas.microsoft.com/office/drawing/2014/chart" uri="{C3380CC4-5D6E-409C-BE32-E72D297353CC}">
                <c16:uniqueId val="{00000013-458D-4651-B914-D6F6BBC76AE9}"/>
              </c:ext>
            </c:extLst>
          </c:dPt>
          <c:dPt>
            <c:idx val="10"/>
            <c:invertIfNegative val="0"/>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5-458D-4651-B914-D6F6BBC76AE9}"/>
              </c:ext>
            </c:extLst>
          </c:dPt>
          <c:dPt>
            <c:idx val="11"/>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458D-4651-B914-D6F6BBC76AE9}"/>
              </c:ext>
            </c:extLst>
          </c:dPt>
          <c:dPt>
            <c:idx val="12"/>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458D-4651-B914-D6F6BBC76AE9}"/>
              </c:ext>
            </c:extLst>
          </c:dPt>
          <c:dPt>
            <c:idx val="13"/>
            <c:invertIfNegative val="0"/>
            <c:bubble3D val="0"/>
            <c:spPr>
              <a:solidFill>
                <a:srgbClr val="0070C0"/>
              </a:solidFill>
              <a:ln>
                <a:noFill/>
              </a:ln>
              <a:effectLst/>
            </c:spPr>
            <c:extLst>
              <c:ext xmlns:c16="http://schemas.microsoft.com/office/drawing/2014/chart" uri="{C3380CC4-5D6E-409C-BE32-E72D297353CC}">
                <c16:uniqueId val="{0000001B-458D-4651-B914-D6F6BBC76AE9}"/>
              </c:ext>
            </c:extLst>
          </c:dPt>
          <c:dPt>
            <c:idx val="14"/>
            <c:invertIfNegative val="0"/>
            <c:bubble3D val="0"/>
            <c:spPr>
              <a:solidFill>
                <a:srgbClr val="CD4D47"/>
              </a:solidFill>
              <a:ln>
                <a:noFill/>
              </a:ln>
              <a:effectLst/>
            </c:spPr>
            <c:extLst>
              <c:ext xmlns:c16="http://schemas.microsoft.com/office/drawing/2014/chart" uri="{C3380CC4-5D6E-409C-BE32-E72D297353CC}">
                <c16:uniqueId val="{0000001D-458D-4651-B914-D6F6BBC76AE9}"/>
              </c:ext>
            </c:extLst>
          </c:dPt>
          <c:dPt>
            <c:idx val="15"/>
            <c:invertIfNegative val="0"/>
            <c:bubble3D val="0"/>
            <c:spPr>
              <a:solidFill>
                <a:srgbClr val="00EFE4"/>
              </a:solidFill>
              <a:ln>
                <a:noFill/>
              </a:ln>
              <a:effectLst/>
            </c:spPr>
            <c:extLst>
              <c:ext xmlns:c16="http://schemas.microsoft.com/office/drawing/2014/chart" uri="{C3380CC4-5D6E-409C-BE32-E72D297353CC}">
                <c16:uniqueId val="{0000001F-458D-4651-B914-D6F6BBC76AE9}"/>
              </c:ext>
            </c:extLst>
          </c:dPt>
          <c:dPt>
            <c:idx val="16"/>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1-458D-4651-B914-D6F6BBC76AE9}"/>
              </c:ext>
            </c:extLst>
          </c:dPt>
          <c:dPt>
            <c:idx val="17"/>
            <c:invertIfNegative val="0"/>
            <c:bubble3D val="0"/>
            <c:spPr>
              <a:solidFill>
                <a:srgbClr val="70AD47">
                  <a:lumMod val="75000"/>
                </a:srgbClr>
              </a:solidFill>
              <a:ln>
                <a:noFill/>
              </a:ln>
              <a:effectLst/>
            </c:spPr>
            <c:extLst>
              <c:ext xmlns:c16="http://schemas.microsoft.com/office/drawing/2014/chart" uri="{C3380CC4-5D6E-409C-BE32-E72D297353CC}">
                <c16:uniqueId val="{00000023-458D-4651-B914-D6F6BBC76AE9}"/>
              </c:ext>
            </c:extLst>
          </c:dPt>
          <c:dPt>
            <c:idx val="19"/>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5-458D-4651-B914-D6F6BBC76AE9}"/>
              </c:ext>
            </c:extLst>
          </c:dPt>
          <c:dPt>
            <c:idx val="20"/>
            <c:invertIfNegative val="0"/>
            <c:bubble3D val="0"/>
            <c:spPr>
              <a:solidFill>
                <a:srgbClr val="CD582C"/>
              </a:solidFill>
              <a:ln>
                <a:noFill/>
              </a:ln>
              <a:effectLst/>
            </c:spPr>
            <c:extLst>
              <c:ext xmlns:c16="http://schemas.microsoft.com/office/drawing/2014/chart" uri="{C3380CC4-5D6E-409C-BE32-E72D297353CC}">
                <c16:uniqueId val="{00000027-458D-4651-B914-D6F6BBC76AE9}"/>
              </c:ext>
            </c:extLst>
          </c:dPt>
          <c:dPt>
            <c:idx val="21"/>
            <c:invertIfNegative val="0"/>
            <c:bubble3D val="0"/>
            <c:spPr>
              <a:solidFill>
                <a:srgbClr val="D00024"/>
              </a:solidFill>
              <a:ln>
                <a:noFill/>
              </a:ln>
              <a:effectLst/>
            </c:spPr>
            <c:extLst>
              <c:ext xmlns:c16="http://schemas.microsoft.com/office/drawing/2014/chart" uri="{C3380CC4-5D6E-409C-BE32-E72D297353CC}">
                <c16:uniqueId val="{00000029-458D-4651-B914-D6F6BBC76AE9}"/>
              </c:ext>
            </c:extLst>
          </c:dPt>
          <c:dPt>
            <c:idx val="22"/>
            <c:invertIfNegative val="0"/>
            <c:bubble3D val="0"/>
            <c:spPr>
              <a:solidFill>
                <a:srgbClr val="4400E8"/>
              </a:solidFill>
              <a:ln>
                <a:noFill/>
              </a:ln>
              <a:effectLst/>
            </c:spPr>
            <c:extLst>
              <c:ext xmlns:c16="http://schemas.microsoft.com/office/drawing/2014/chart" uri="{C3380CC4-5D6E-409C-BE32-E72D297353CC}">
                <c16:uniqueId val="{0000002B-458D-4651-B914-D6F6BBC76AE9}"/>
              </c:ext>
            </c:extLst>
          </c:dPt>
          <c:dPt>
            <c:idx val="23"/>
            <c:invertIfNegative val="0"/>
            <c:bubble3D val="0"/>
            <c:spPr>
              <a:solidFill>
                <a:srgbClr val="FFC000">
                  <a:lumMod val="75000"/>
                </a:srgbClr>
              </a:solidFill>
              <a:ln>
                <a:noFill/>
              </a:ln>
              <a:effectLst/>
            </c:spPr>
            <c:extLst>
              <c:ext xmlns:c16="http://schemas.microsoft.com/office/drawing/2014/chart" uri="{C3380CC4-5D6E-409C-BE32-E72D297353CC}">
                <c16:uniqueId val="{0000002D-458D-4651-B914-D6F6BBC76AE9}"/>
              </c:ext>
            </c:extLst>
          </c:dPt>
          <c:dPt>
            <c:idx val="24"/>
            <c:invertIfNegative val="0"/>
            <c:bubble3D val="0"/>
            <c:spPr>
              <a:solidFill>
                <a:srgbClr val="E7E6E6">
                  <a:lumMod val="75000"/>
                </a:srgbClr>
              </a:solidFill>
              <a:ln>
                <a:noFill/>
              </a:ln>
              <a:effectLst/>
            </c:spPr>
            <c:extLst>
              <c:ext xmlns:c16="http://schemas.microsoft.com/office/drawing/2014/chart" uri="{C3380CC4-5D6E-409C-BE32-E72D297353CC}">
                <c16:uniqueId val="{0000002F-458D-4651-B914-D6F6BBC76AE9}"/>
              </c:ext>
            </c:extLst>
          </c:dPt>
          <c:dPt>
            <c:idx val="25"/>
            <c:invertIfNegative val="0"/>
            <c:bubble3D val="0"/>
            <c:spPr>
              <a:solidFill>
                <a:srgbClr val="D00000"/>
              </a:solidFill>
              <a:ln>
                <a:noFill/>
              </a:ln>
              <a:effectLst/>
            </c:spPr>
            <c:extLst>
              <c:ext xmlns:c16="http://schemas.microsoft.com/office/drawing/2014/chart" uri="{C3380CC4-5D6E-409C-BE32-E72D297353CC}">
                <c16:uniqueId val="{00000031-458D-4651-B914-D6F6BBC76AE9}"/>
              </c:ext>
            </c:extLst>
          </c:dPt>
          <c:dPt>
            <c:idx val="26"/>
            <c:invertIfNegative val="0"/>
            <c:bubble3D val="0"/>
            <c:spPr>
              <a:solidFill>
                <a:srgbClr val="7A4300"/>
              </a:solidFill>
              <a:ln>
                <a:noFill/>
              </a:ln>
              <a:effectLst/>
            </c:spPr>
            <c:extLst>
              <c:ext xmlns:c16="http://schemas.microsoft.com/office/drawing/2014/chart" uri="{C3380CC4-5D6E-409C-BE32-E72D297353CC}">
                <c16:uniqueId val="{00000033-458D-4651-B914-D6F6BBC76AE9}"/>
              </c:ext>
            </c:extLst>
          </c:dPt>
          <c:dPt>
            <c:idx val="27"/>
            <c:invertIfNegative val="0"/>
            <c:bubble3D val="0"/>
            <c:spPr>
              <a:solidFill>
                <a:srgbClr val="783FC5"/>
              </a:solidFill>
              <a:ln>
                <a:noFill/>
              </a:ln>
              <a:effectLst/>
            </c:spPr>
            <c:extLst>
              <c:ext xmlns:c16="http://schemas.microsoft.com/office/drawing/2014/chart" uri="{C3380CC4-5D6E-409C-BE32-E72D297353CC}">
                <c16:uniqueId val="{00000035-458D-4651-B914-D6F6BBC76AE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8"/>
                <c:pt idx="0">
                  <c:v>Antigua and Barbuda</c:v>
                </c:pt>
                <c:pt idx="1">
                  <c:v>Argentina</c:v>
                </c:pt>
                <c:pt idx="2">
                  <c:v>Barbados</c:v>
                </c:pt>
                <c:pt idx="3">
                  <c:v>Bolivia</c:v>
                </c:pt>
                <c:pt idx="4">
                  <c:v>Brasil</c:v>
                </c:pt>
                <c:pt idx="5">
                  <c:v>Canada</c:v>
                </c:pt>
                <c:pt idx="6">
                  <c:v>Chile</c:v>
                </c:pt>
                <c:pt idx="7">
                  <c:v>Colombia</c:v>
                </c:pt>
                <c:pt idx="8">
                  <c:v>Costa Rica</c:v>
                </c:pt>
                <c:pt idx="9">
                  <c:v>Cuba</c:v>
                </c:pt>
                <c:pt idx="10">
                  <c:v>Dominica</c:v>
                </c:pt>
                <c:pt idx="11">
                  <c:v>Ecuador</c:v>
                </c:pt>
                <c:pt idx="12">
                  <c:v>El Salvador</c:v>
                </c:pt>
                <c:pt idx="13">
                  <c:v>Guatemala</c:v>
                </c:pt>
                <c:pt idx="14">
                  <c:v>Haiti</c:v>
                </c:pt>
                <c:pt idx="15">
                  <c:v>Honduras</c:v>
                </c:pt>
                <c:pt idx="16">
                  <c:v>Jamaica</c:v>
                </c:pt>
                <c:pt idx="17">
                  <c:v>México</c:v>
                </c:pt>
                <c:pt idx="18">
                  <c:v>Nicaragua</c:v>
                </c:pt>
                <c:pt idx="19">
                  <c:v>Panamá</c:v>
                </c:pt>
                <c:pt idx="20">
                  <c:v>Paraguay</c:v>
                </c:pt>
                <c:pt idx="21">
                  <c:v>Perú</c:v>
                </c:pt>
                <c:pt idx="22">
                  <c:v>República Dominicana</c:v>
                </c:pt>
                <c:pt idx="23">
                  <c:v>Suriname</c:v>
                </c:pt>
                <c:pt idx="24">
                  <c:v>Trinidad and Tobago</c:v>
                </c:pt>
                <c:pt idx="25">
                  <c:v>United States of America</c:v>
                </c:pt>
                <c:pt idx="26">
                  <c:v>Uruguay</c:v>
                </c:pt>
                <c:pt idx="27">
                  <c:v>Venezuela</c:v>
                </c:pt>
              </c:strCache>
            </c:strRef>
          </c:cat>
          <c:val>
            <c:numRef>
              <c:f>Sheet1!$B$2:$B$36</c:f>
              <c:numCache>
                <c:formatCode>#,##0</c:formatCode>
                <c:ptCount val="28"/>
                <c:pt idx="0">
                  <c:v>2</c:v>
                </c:pt>
                <c:pt idx="1">
                  <c:v>160</c:v>
                </c:pt>
                <c:pt idx="2">
                  <c:v>2</c:v>
                </c:pt>
                <c:pt idx="3">
                  <c:v>50</c:v>
                </c:pt>
                <c:pt idx="4">
                  <c:v>87</c:v>
                </c:pt>
                <c:pt idx="5">
                  <c:v>2</c:v>
                </c:pt>
                <c:pt idx="6">
                  <c:v>55</c:v>
                </c:pt>
                <c:pt idx="7">
                  <c:v>480</c:v>
                </c:pt>
                <c:pt idx="8">
                  <c:v>73</c:v>
                </c:pt>
                <c:pt idx="9">
                  <c:v>9</c:v>
                </c:pt>
                <c:pt idx="10">
                  <c:v>1</c:v>
                </c:pt>
                <c:pt idx="11">
                  <c:v>99</c:v>
                </c:pt>
                <c:pt idx="12">
                  <c:v>9</c:v>
                </c:pt>
                <c:pt idx="13">
                  <c:v>38</c:v>
                </c:pt>
                <c:pt idx="14">
                  <c:v>8</c:v>
                </c:pt>
                <c:pt idx="15">
                  <c:v>32</c:v>
                </c:pt>
                <c:pt idx="16">
                  <c:v>2</c:v>
                </c:pt>
                <c:pt idx="17">
                  <c:v>323</c:v>
                </c:pt>
                <c:pt idx="18">
                  <c:v>25</c:v>
                </c:pt>
                <c:pt idx="19">
                  <c:v>24</c:v>
                </c:pt>
                <c:pt idx="20">
                  <c:v>19</c:v>
                </c:pt>
                <c:pt idx="21">
                  <c:v>92</c:v>
                </c:pt>
                <c:pt idx="22">
                  <c:v>15</c:v>
                </c:pt>
                <c:pt idx="23">
                  <c:v>2</c:v>
                </c:pt>
                <c:pt idx="24">
                  <c:v>1</c:v>
                </c:pt>
                <c:pt idx="25">
                  <c:v>28</c:v>
                </c:pt>
                <c:pt idx="26">
                  <c:v>16</c:v>
                </c:pt>
                <c:pt idx="27">
                  <c:v>47</c:v>
                </c:pt>
              </c:numCache>
            </c:numRef>
          </c:val>
          <c:extLst>
            <c:ext xmlns:c16="http://schemas.microsoft.com/office/drawing/2014/chart" uri="{C3380CC4-5D6E-409C-BE32-E72D297353CC}">
              <c16:uniqueId val="{00000036-458D-4651-B914-D6F6BBC76AE9}"/>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Cases in merits at end of year</a:t>
            </a:r>
          </a:p>
          <a:p>
            <a:pPr>
              <a:defRPr/>
            </a:pPr>
            <a:r>
              <a:rPr lang="en-US" sz="2000" b="1" i="0">
                <a:solidFill>
                  <a:srgbClr val="0070C0"/>
                </a:solidFill>
                <a:latin typeface="Helvetica LT Std Cond" panose="020B0506020202030204" pitchFamily="34" charset="0"/>
              </a:rPr>
              <a:t>Total: 1,928</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casos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AEB-4957-9495-7D7F391A4B53}"/>
              </c:ext>
            </c:extLst>
          </c:dPt>
          <c:dPt>
            <c:idx val="1"/>
            <c:invertIfNegative val="0"/>
            <c:bubble3D val="0"/>
            <c:spPr>
              <a:solidFill>
                <a:srgbClr val="007982"/>
              </a:solidFill>
              <a:ln>
                <a:noFill/>
              </a:ln>
              <a:effectLst/>
            </c:spPr>
            <c:extLst>
              <c:ext xmlns:c16="http://schemas.microsoft.com/office/drawing/2014/chart" uri="{C3380CC4-5D6E-409C-BE32-E72D297353CC}">
                <c16:uniqueId val="{00000003-7AEB-4957-9495-7D7F391A4B53}"/>
              </c:ext>
            </c:extLst>
          </c:dPt>
          <c:dPt>
            <c:idx val="2"/>
            <c:invertIfNegative val="0"/>
            <c:bubble3D val="0"/>
            <c:spPr>
              <a:solidFill>
                <a:srgbClr val="011EAA"/>
              </a:solidFill>
              <a:ln>
                <a:noFill/>
              </a:ln>
              <a:effectLst/>
            </c:spPr>
            <c:extLst>
              <c:ext xmlns:c16="http://schemas.microsoft.com/office/drawing/2014/chart" uri="{C3380CC4-5D6E-409C-BE32-E72D297353CC}">
                <c16:uniqueId val="{00000005-7AEB-4957-9495-7D7F391A4B53}"/>
              </c:ext>
            </c:extLst>
          </c:dPt>
          <c:dPt>
            <c:idx val="3"/>
            <c:invertIfNegative val="0"/>
            <c:bubble3D val="0"/>
            <c:spPr>
              <a:solidFill>
                <a:srgbClr val="70AD47">
                  <a:lumMod val="75000"/>
                </a:srgbClr>
              </a:solidFill>
              <a:ln>
                <a:noFill/>
              </a:ln>
              <a:effectLst/>
            </c:spPr>
            <c:extLst>
              <c:ext xmlns:c16="http://schemas.microsoft.com/office/drawing/2014/chart" uri="{C3380CC4-5D6E-409C-BE32-E72D297353CC}">
                <c16:uniqueId val="{00000007-7AEB-4957-9495-7D7F391A4B53}"/>
              </c:ext>
            </c:extLst>
          </c:dPt>
          <c:dPt>
            <c:idx val="4"/>
            <c:invertIfNegative val="0"/>
            <c:bubble3D val="0"/>
            <c:spPr>
              <a:solidFill>
                <a:srgbClr val="FFC000"/>
              </a:solidFill>
              <a:ln>
                <a:noFill/>
              </a:ln>
              <a:effectLst/>
            </c:spPr>
            <c:extLst>
              <c:ext xmlns:c16="http://schemas.microsoft.com/office/drawing/2014/chart" uri="{C3380CC4-5D6E-409C-BE32-E72D297353CC}">
                <c16:uniqueId val="{00000009-7AEB-4957-9495-7D7F391A4B53}"/>
              </c:ext>
            </c:extLst>
          </c:dPt>
          <c:dPt>
            <c:idx val="5"/>
            <c:invertIfNegative val="0"/>
            <c:bubble3D val="0"/>
            <c:spPr>
              <a:solidFill>
                <a:srgbClr val="70AD47"/>
              </a:solidFill>
              <a:ln>
                <a:noFill/>
              </a:ln>
              <a:effectLst/>
            </c:spPr>
            <c:extLst>
              <c:ext xmlns:c16="http://schemas.microsoft.com/office/drawing/2014/chart" uri="{C3380CC4-5D6E-409C-BE32-E72D297353CC}">
                <c16:uniqueId val="{0000000B-7AEB-4957-9495-7D7F391A4B53}"/>
              </c:ext>
            </c:extLst>
          </c:dPt>
          <c:dPt>
            <c:idx val="6"/>
            <c:invertIfNegative val="0"/>
            <c:bubble3D val="0"/>
            <c:spPr>
              <a:solidFill>
                <a:srgbClr val="FF0000"/>
              </a:solidFill>
              <a:ln>
                <a:noFill/>
              </a:ln>
              <a:effectLst/>
            </c:spPr>
            <c:extLst>
              <c:ext xmlns:c16="http://schemas.microsoft.com/office/drawing/2014/chart" uri="{C3380CC4-5D6E-409C-BE32-E72D297353CC}">
                <c16:uniqueId val="{0000000D-7AEB-4957-9495-7D7F391A4B53}"/>
              </c:ext>
            </c:extLst>
          </c:dPt>
          <c:dPt>
            <c:idx val="7"/>
            <c:invertIfNegative val="0"/>
            <c:bubble3D val="0"/>
            <c:spPr>
              <a:solidFill>
                <a:srgbClr val="0070C0"/>
              </a:solidFill>
              <a:ln>
                <a:noFill/>
              </a:ln>
              <a:effectLst/>
            </c:spPr>
            <c:extLst>
              <c:ext xmlns:c16="http://schemas.microsoft.com/office/drawing/2014/chart" uri="{C3380CC4-5D6E-409C-BE32-E72D297353CC}">
                <c16:uniqueId val="{0000000F-7AEB-4957-9495-7D7F391A4B53}"/>
              </c:ext>
            </c:extLst>
          </c:dPt>
          <c:dPt>
            <c:idx val="8"/>
            <c:invertIfNegative val="0"/>
            <c:bubble3D val="0"/>
            <c:spPr>
              <a:solidFill>
                <a:srgbClr val="ED7D31"/>
              </a:solidFill>
              <a:ln>
                <a:noFill/>
              </a:ln>
              <a:effectLst/>
            </c:spPr>
            <c:extLst>
              <c:ext xmlns:c16="http://schemas.microsoft.com/office/drawing/2014/chart" uri="{C3380CC4-5D6E-409C-BE32-E72D297353CC}">
                <c16:uniqueId val="{00000011-7AEB-4957-9495-7D7F391A4B53}"/>
              </c:ext>
            </c:extLst>
          </c:dPt>
          <c:dPt>
            <c:idx val="9"/>
            <c:invertIfNegative val="0"/>
            <c:bubble3D val="0"/>
            <c:spPr>
              <a:solidFill>
                <a:srgbClr val="7030A0"/>
              </a:solidFill>
              <a:ln>
                <a:noFill/>
              </a:ln>
              <a:effectLst/>
            </c:spPr>
            <c:extLst>
              <c:ext xmlns:c16="http://schemas.microsoft.com/office/drawing/2014/chart" uri="{C3380CC4-5D6E-409C-BE32-E72D297353CC}">
                <c16:uniqueId val="{00000013-7AEB-4957-9495-7D7F391A4B53}"/>
              </c:ext>
            </c:extLst>
          </c:dPt>
          <c:dPt>
            <c:idx val="10"/>
            <c:invertIfNegative val="0"/>
            <c:bubble3D val="0"/>
            <c:spPr>
              <a:solidFill>
                <a:srgbClr val="00B0F0"/>
              </a:solidFill>
              <a:ln>
                <a:noFill/>
              </a:ln>
              <a:effectLst/>
            </c:spPr>
            <c:extLst>
              <c:ext xmlns:c16="http://schemas.microsoft.com/office/drawing/2014/chart" uri="{C3380CC4-5D6E-409C-BE32-E72D297353CC}">
                <c16:uniqueId val="{00000015-7AEB-4957-9495-7D7F391A4B53}"/>
              </c:ext>
            </c:extLst>
          </c:dPt>
          <c:dPt>
            <c:idx val="11"/>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7AEB-4957-9495-7D7F391A4B53}"/>
              </c:ext>
            </c:extLst>
          </c:dPt>
          <c:dPt>
            <c:idx val="12"/>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7AEB-4957-9495-7D7F391A4B53}"/>
              </c:ext>
            </c:extLst>
          </c:dPt>
          <c:dPt>
            <c:idx val="13"/>
            <c:invertIfNegative val="0"/>
            <c:bubble3D val="0"/>
            <c:spPr>
              <a:solidFill>
                <a:srgbClr val="0070C0"/>
              </a:solidFill>
              <a:ln>
                <a:noFill/>
              </a:ln>
              <a:effectLst/>
            </c:spPr>
            <c:extLst>
              <c:ext xmlns:c16="http://schemas.microsoft.com/office/drawing/2014/chart" uri="{C3380CC4-5D6E-409C-BE32-E72D297353CC}">
                <c16:uniqueId val="{0000001B-7AEB-4957-9495-7D7F391A4B53}"/>
              </c:ext>
            </c:extLst>
          </c:dPt>
          <c:dPt>
            <c:idx val="14"/>
            <c:invertIfNegative val="0"/>
            <c:bubble3D val="0"/>
            <c:spPr>
              <a:solidFill>
                <a:srgbClr val="00B050"/>
              </a:solidFill>
              <a:ln>
                <a:noFill/>
              </a:ln>
              <a:effectLst/>
            </c:spPr>
            <c:extLst>
              <c:ext xmlns:c16="http://schemas.microsoft.com/office/drawing/2014/chart" uri="{C3380CC4-5D6E-409C-BE32-E72D297353CC}">
                <c16:uniqueId val="{0000001D-7AEB-4957-9495-7D7F391A4B53}"/>
              </c:ext>
            </c:extLst>
          </c:dPt>
          <c:dPt>
            <c:idx val="15"/>
            <c:invertIfNegative val="0"/>
            <c:bubble3D val="0"/>
            <c:spPr>
              <a:solidFill>
                <a:srgbClr val="CD4D47"/>
              </a:solidFill>
              <a:ln>
                <a:noFill/>
              </a:ln>
              <a:effectLst/>
            </c:spPr>
            <c:extLst>
              <c:ext xmlns:c16="http://schemas.microsoft.com/office/drawing/2014/chart" uri="{C3380CC4-5D6E-409C-BE32-E72D297353CC}">
                <c16:uniqueId val="{0000001F-7AEB-4957-9495-7D7F391A4B53}"/>
              </c:ext>
            </c:extLst>
          </c:dPt>
          <c:dPt>
            <c:idx val="16"/>
            <c:invertIfNegative val="0"/>
            <c:bubble3D val="0"/>
            <c:spPr>
              <a:solidFill>
                <a:srgbClr val="00EFE4"/>
              </a:solidFill>
              <a:ln>
                <a:noFill/>
              </a:ln>
              <a:effectLst/>
            </c:spPr>
            <c:extLst>
              <c:ext xmlns:c16="http://schemas.microsoft.com/office/drawing/2014/chart" uri="{C3380CC4-5D6E-409C-BE32-E72D297353CC}">
                <c16:uniqueId val="{00000021-7AEB-4957-9495-7D7F391A4B53}"/>
              </c:ext>
            </c:extLst>
          </c:dPt>
          <c:dPt>
            <c:idx val="17"/>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7AEB-4957-9495-7D7F391A4B53}"/>
              </c:ext>
            </c:extLst>
          </c:dPt>
          <c:dPt>
            <c:idx val="18"/>
            <c:invertIfNegative val="0"/>
            <c:bubble3D val="0"/>
            <c:spPr>
              <a:solidFill>
                <a:srgbClr val="70AD47">
                  <a:lumMod val="75000"/>
                </a:srgbClr>
              </a:solidFill>
              <a:ln>
                <a:noFill/>
              </a:ln>
              <a:effectLst/>
            </c:spPr>
            <c:extLst>
              <c:ext xmlns:c16="http://schemas.microsoft.com/office/drawing/2014/chart" uri="{C3380CC4-5D6E-409C-BE32-E72D297353CC}">
                <c16:uniqueId val="{00000025-7AEB-4957-9495-7D7F391A4B53}"/>
              </c:ext>
            </c:extLst>
          </c:dPt>
          <c:dPt>
            <c:idx val="20"/>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7AEB-4957-9495-7D7F391A4B53}"/>
              </c:ext>
            </c:extLst>
          </c:dPt>
          <c:dPt>
            <c:idx val="21"/>
            <c:invertIfNegative val="0"/>
            <c:bubble3D val="0"/>
            <c:spPr>
              <a:solidFill>
                <a:srgbClr val="CD582C"/>
              </a:solidFill>
              <a:ln>
                <a:noFill/>
              </a:ln>
              <a:effectLst/>
            </c:spPr>
            <c:extLst>
              <c:ext xmlns:c16="http://schemas.microsoft.com/office/drawing/2014/chart" uri="{C3380CC4-5D6E-409C-BE32-E72D297353CC}">
                <c16:uniqueId val="{00000029-7AEB-4957-9495-7D7F391A4B53}"/>
              </c:ext>
            </c:extLst>
          </c:dPt>
          <c:dPt>
            <c:idx val="22"/>
            <c:invertIfNegative val="0"/>
            <c:bubble3D val="0"/>
            <c:spPr>
              <a:solidFill>
                <a:srgbClr val="D00024"/>
              </a:solidFill>
              <a:ln>
                <a:noFill/>
              </a:ln>
              <a:effectLst/>
            </c:spPr>
            <c:extLst>
              <c:ext xmlns:c16="http://schemas.microsoft.com/office/drawing/2014/chart" uri="{C3380CC4-5D6E-409C-BE32-E72D297353CC}">
                <c16:uniqueId val="{0000002B-7AEB-4957-9495-7D7F391A4B53}"/>
              </c:ext>
            </c:extLst>
          </c:dPt>
          <c:dPt>
            <c:idx val="23"/>
            <c:invertIfNegative val="0"/>
            <c:bubble3D val="0"/>
            <c:spPr>
              <a:solidFill>
                <a:srgbClr val="4400E8"/>
              </a:solidFill>
              <a:ln>
                <a:noFill/>
              </a:ln>
              <a:effectLst/>
            </c:spPr>
            <c:extLst>
              <c:ext xmlns:c16="http://schemas.microsoft.com/office/drawing/2014/chart" uri="{C3380CC4-5D6E-409C-BE32-E72D297353CC}">
                <c16:uniqueId val="{0000002D-7AEB-4957-9495-7D7F391A4B53}"/>
              </c:ext>
            </c:extLst>
          </c:dPt>
          <c:dPt>
            <c:idx val="24"/>
            <c:invertIfNegative val="0"/>
            <c:bubble3D val="0"/>
            <c:spPr>
              <a:solidFill>
                <a:srgbClr val="FFC000">
                  <a:lumMod val="75000"/>
                </a:srgbClr>
              </a:solidFill>
              <a:ln>
                <a:noFill/>
              </a:ln>
              <a:effectLst/>
            </c:spPr>
            <c:extLst>
              <c:ext xmlns:c16="http://schemas.microsoft.com/office/drawing/2014/chart" uri="{C3380CC4-5D6E-409C-BE32-E72D297353CC}">
                <c16:uniqueId val="{0000002F-7AEB-4957-9495-7D7F391A4B53}"/>
              </c:ext>
            </c:extLst>
          </c:dPt>
          <c:dPt>
            <c:idx val="25"/>
            <c:invertIfNegative val="0"/>
            <c:bubble3D val="0"/>
            <c:spPr>
              <a:solidFill>
                <a:srgbClr val="E7E6E6">
                  <a:lumMod val="75000"/>
                </a:srgbClr>
              </a:solidFill>
              <a:ln>
                <a:noFill/>
              </a:ln>
              <a:effectLst/>
            </c:spPr>
            <c:extLst>
              <c:ext xmlns:c16="http://schemas.microsoft.com/office/drawing/2014/chart" uri="{C3380CC4-5D6E-409C-BE32-E72D297353CC}">
                <c16:uniqueId val="{00000031-7AEB-4957-9495-7D7F391A4B53}"/>
              </c:ext>
            </c:extLst>
          </c:dPt>
          <c:dPt>
            <c:idx val="26"/>
            <c:invertIfNegative val="0"/>
            <c:bubble3D val="0"/>
            <c:spPr>
              <a:solidFill>
                <a:srgbClr val="D00000"/>
              </a:solidFill>
              <a:ln>
                <a:noFill/>
              </a:ln>
              <a:effectLst/>
            </c:spPr>
            <c:extLst>
              <c:ext xmlns:c16="http://schemas.microsoft.com/office/drawing/2014/chart" uri="{C3380CC4-5D6E-409C-BE32-E72D297353CC}">
                <c16:uniqueId val="{00000033-7AEB-4957-9495-7D7F391A4B53}"/>
              </c:ext>
            </c:extLst>
          </c:dPt>
          <c:dPt>
            <c:idx val="27"/>
            <c:invertIfNegative val="0"/>
            <c:bubble3D val="0"/>
            <c:spPr>
              <a:solidFill>
                <a:srgbClr val="7A4300"/>
              </a:solidFill>
              <a:ln>
                <a:noFill/>
              </a:ln>
              <a:effectLst/>
            </c:spPr>
            <c:extLst>
              <c:ext xmlns:c16="http://schemas.microsoft.com/office/drawing/2014/chart" uri="{C3380CC4-5D6E-409C-BE32-E72D297353CC}">
                <c16:uniqueId val="{00000035-7AEB-4957-9495-7D7F391A4B53}"/>
              </c:ext>
            </c:extLst>
          </c:dPt>
          <c:dPt>
            <c:idx val="28"/>
            <c:invertIfNegative val="0"/>
            <c:bubble3D val="0"/>
            <c:spPr>
              <a:solidFill>
                <a:srgbClr val="783FC5"/>
              </a:solidFill>
              <a:ln>
                <a:noFill/>
              </a:ln>
              <a:effectLst/>
            </c:spPr>
            <c:extLst>
              <c:ext xmlns:c16="http://schemas.microsoft.com/office/drawing/2014/chart" uri="{C3380CC4-5D6E-409C-BE32-E72D297353CC}">
                <c16:uniqueId val="{00000037-7AEB-4957-9495-7D7F391A4B5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9"/>
                <c:pt idx="0">
                  <c:v>Argentina</c:v>
                </c:pt>
                <c:pt idx="1">
                  <c:v>Bahamas</c:v>
                </c:pt>
                <c:pt idx="2">
                  <c:v>Barbados</c:v>
                </c:pt>
                <c:pt idx="3">
                  <c:v>Belize</c:v>
                </c:pt>
                <c:pt idx="4">
                  <c:v>Bolivia</c:v>
                </c:pt>
                <c:pt idx="5">
                  <c:v>Brasil</c:v>
                </c:pt>
                <c:pt idx="6">
                  <c:v>Canada</c:v>
                </c:pt>
                <c:pt idx="7">
                  <c:v>Chile</c:v>
                </c:pt>
                <c:pt idx="8">
                  <c:v>Colombia</c:v>
                </c:pt>
                <c:pt idx="9">
                  <c:v>Costa Rica</c:v>
                </c:pt>
                <c:pt idx="10">
                  <c:v>Cuba</c:v>
                </c:pt>
                <c:pt idx="11">
                  <c:v>Ecuador</c:v>
                </c:pt>
                <c:pt idx="12">
                  <c:v>El Salvador</c:v>
                </c:pt>
                <c:pt idx="13">
                  <c:v>Guatemala</c:v>
                </c:pt>
                <c:pt idx="14">
                  <c:v>Guyana</c:v>
                </c:pt>
                <c:pt idx="15">
                  <c:v>Haiti</c:v>
                </c:pt>
                <c:pt idx="16">
                  <c:v>Honduras</c:v>
                </c:pt>
                <c:pt idx="17">
                  <c:v>Jamaica</c:v>
                </c:pt>
                <c:pt idx="18">
                  <c:v>México</c:v>
                </c:pt>
                <c:pt idx="19">
                  <c:v>Nicaragua</c:v>
                </c:pt>
                <c:pt idx="20">
                  <c:v>Panamá</c:v>
                </c:pt>
                <c:pt idx="21">
                  <c:v>Paraguay</c:v>
                </c:pt>
                <c:pt idx="22">
                  <c:v>Perú</c:v>
                </c:pt>
                <c:pt idx="23">
                  <c:v>República Dominicana</c:v>
                </c:pt>
                <c:pt idx="24">
                  <c:v>Suriname</c:v>
                </c:pt>
                <c:pt idx="25">
                  <c:v>Trinidad and Tobago</c:v>
                </c:pt>
                <c:pt idx="26">
                  <c:v>United States of America</c:v>
                </c:pt>
                <c:pt idx="27">
                  <c:v>Uruguay</c:v>
                </c:pt>
                <c:pt idx="28">
                  <c:v>Venezuela</c:v>
                </c:pt>
              </c:strCache>
            </c:strRef>
          </c:cat>
          <c:val>
            <c:numRef>
              <c:f>Sheet1!$B$2:$B$36</c:f>
              <c:numCache>
                <c:formatCode>#,##0</c:formatCode>
                <c:ptCount val="29"/>
                <c:pt idx="0">
                  <c:v>211</c:v>
                </c:pt>
                <c:pt idx="1">
                  <c:v>1</c:v>
                </c:pt>
                <c:pt idx="2">
                  <c:v>6</c:v>
                </c:pt>
                <c:pt idx="3">
                  <c:v>1</c:v>
                </c:pt>
                <c:pt idx="4">
                  <c:v>26</c:v>
                </c:pt>
                <c:pt idx="5">
                  <c:v>71</c:v>
                </c:pt>
                <c:pt idx="6">
                  <c:v>3</c:v>
                </c:pt>
                <c:pt idx="7">
                  <c:v>203</c:v>
                </c:pt>
                <c:pt idx="8">
                  <c:v>371</c:v>
                </c:pt>
                <c:pt idx="9">
                  <c:v>25</c:v>
                </c:pt>
                <c:pt idx="10">
                  <c:v>29</c:v>
                </c:pt>
                <c:pt idx="11">
                  <c:v>102</c:v>
                </c:pt>
                <c:pt idx="12">
                  <c:v>27</c:v>
                </c:pt>
                <c:pt idx="13">
                  <c:v>104</c:v>
                </c:pt>
                <c:pt idx="14">
                  <c:v>1</c:v>
                </c:pt>
                <c:pt idx="15">
                  <c:v>2</c:v>
                </c:pt>
                <c:pt idx="16">
                  <c:v>33</c:v>
                </c:pt>
                <c:pt idx="17">
                  <c:v>22</c:v>
                </c:pt>
                <c:pt idx="18">
                  <c:v>284</c:v>
                </c:pt>
                <c:pt idx="19">
                  <c:v>29</c:v>
                </c:pt>
                <c:pt idx="20">
                  <c:v>25</c:v>
                </c:pt>
                <c:pt idx="21">
                  <c:v>22</c:v>
                </c:pt>
                <c:pt idx="22">
                  <c:v>152</c:v>
                </c:pt>
                <c:pt idx="23">
                  <c:v>14</c:v>
                </c:pt>
                <c:pt idx="24">
                  <c:v>7</c:v>
                </c:pt>
                <c:pt idx="25">
                  <c:v>1</c:v>
                </c:pt>
                <c:pt idx="26">
                  <c:v>51</c:v>
                </c:pt>
                <c:pt idx="27">
                  <c:v>7</c:v>
                </c:pt>
                <c:pt idx="28">
                  <c:v>98</c:v>
                </c:pt>
              </c:numCache>
            </c:numRef>
          </c:val>
          <c:extLst>
            <c:ext xmlns:c16="http://schemas.microsoft.com/office/drawing/2014/chart" uri="{C3380CC4-5D6E-409C-BE32-E72D297353CC}">
              <c16:uniqueId val="{00000038-7AEB-4957-9495-7D7F391A4B53}"/>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Petitions and cases in admissibility and merits </a:t>
            </a:r>
          </a:p>
          <a:p>
            <a:pPr>
              <a:defRPr/>
            </a:pPr>
            <a:r>
              <a:rPr lang="en-US" sz="2000" b="1" i="0">
                <a:solidFill>
                  <a:srgbClr val="0070C0"/>
                </a:solidFill>
                <a:latin typeface="Helvetica LT Std Cond" panose="020B0506020202030204" pitchFamily="34" charset="0"/>
              </a:rPr>
              <a:t>Total: 3,629</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 y casos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6B17-4A6A-86BD-D757FE9E779B}"/>
              </c:ext>
            </c:extLst>
          </c:dPt>
          <c:dPt>
            <c:idx val="1"/>
            <c:invertIfNegative val="0"/>
            <c:bubble3D val="0"/>
            <c:spPr>
              <a:solidFill>
                <a:srgbClr val="007982"/>
              </a:solidFill>
              <a:ln>
                <a:noFill/>
              </a:ln>
              <a:effectLst/>
            </c:spPr>
            <c:extLst>
              <c:ext xmlns:c16="http://schemas.microsoft.com/office/drawing/2014/chart" uri="{C3380CC4-5D6E-409C-BE32-E72D297353CC}">
                <c16:uniqueId val="{00000003-6B17-4A6A-86BD-D757FE9E779B}"/>
              </c:ext>
            </c:extLst>
          </c:dPt>
          <c:dPt>
            <c:idx val="2"/>
            <c:invertIfNegative val="0"/>
            <c:bubble3D val="0"/>
            <c:spPr>
              <a:solidFill>
                <a:srgbClr val="011EAA"/>
              </a:solidFill>
              <a:ln>
                <a:noFill/>
              </a:ln>
              <a:effectLst/>
            </c:spPr>
            <c:extLst>
              <c:ext xmlns:c16="http://schemas.microsoft.com/office/drawing/2014/chart" uri="{C3380CC4-5D6E-409C-BE32-E72D297353CC}">
                <c16:uniqueId val="{00000005-6B17-4A6A-86BD-D757FE9E779B}"/>
              </c:ext>
            </c:extLst>
          </c:dPt>
          <c:dPt>
            <c:idx val="3"/>
            <c:invertIfNegative val="0"/>
            <c:bubble3D val="0"/>
            <c:spPr>
              <a:solidFill>
                <a:srgbClr val="70AD47">
                  <a:lumMod val="75000"/>
                </a:srgbClr>
              </a:solidFill>
              <a:ln>
                <a:noFill/>
              </a:ln>
              <a:effectLst/>
            </c:spPr>
            <c:extLst>
              <c:ext xmlns:c16="http://schemas.microsoft.com/office/drawing/2014/chart" uri="{C3380CC4-5D6E-409C-BE32-E72D297353CC}">
                <c16:uniqueId val="{00000007-6B17-4A6A-86BD-D757FE9E779B}"/>
              </c:ext>
            </c:extLst>
          </c:dPt>
          <c:dPt>
            <c:idx val="4"/>
            <c:invertIfNegative val="0"/>
            <c:bubble3D val="0"/>
            <c:spPr>
              <a:solidFill>
                <a:srgbClr val="FFC000"/>
              </a:solidFill>
              <a:ln>
                <a:noFill/>
              </a:ln>
              <a:effectLst/>
            </c:spPr>
            <c:extLst>
              <c:ext xmlns:c16="http://schemas.microsoft.com/office/drawing/2014/chart" uri="{C3380CC4-5D6E-409C-BE32-E72D297353CC}">
                <c16:uniqueId val="{00000009-6B17-4A6A-86BD-D757FE9E779B}"/>
              </c:ext>
            </c:extLst>
          </c:dPt>
          <c:dPt>
            <c:idx val="5"/>
            <c:invertIfNegative val="0"/>
            <c:bubble3D val="0"/>
            <c:spPr>
              <a:solidFill>
                <a:srgbClr val="70AD47"/>
              </a:solidFill>
              <a:ln>
                <a:noFill/>
              </a:ln>
              <a:effectLst/>
            </c:spPr>
            <c:extLst>
              <c:ext xmlns:c16="http://schemas.microsoft.com/office/drawing/2014/chart" uri="{C3380CC4-5D6E-409C-BE32-E72D297353CC}">
                <c16:uniqueId val="{0000000B-6B17-4A6A-86BD-D757FE9E779B}"/>
              </c:ext>
            </c:extLst>
          </c:dPt>
          <c:dPt>
            <c:idx val="6"/>
            <c:invertIfNegative val="0"/>
            <c:bubble3D val="0"/>
            <c:spPr>
              <a:solidFill>
                <a:srgbClr val="FF0000"/>
              </a:solidFill>
              <a:ln>
                <a:noFill/>
              </a:ln>
              <a:effectLst/>
            </c:spPr>
            <c:extLst>
              <c:ext xmlns:c16="http://schemas.microsoft.com/office/drawing/2014/chart" uri="{C3380CC4-5D6E-409C-BE32-E72D297353CC}">
                <c16:uniqueId val="{0000000D-6B17-4A6A-86BD-D757FE9E779B}"/>
              </c:ext>
            </c:extLst>
          </c:dPt>
          <c:dPt>
            <c:idx val="7"/>
            <c:invertIfNegative val="0"/>
            <c:bubble3D val="0"/>
            <c:spPr>
              <a:solidFill>
                <a:srgbClr val="0070C0"/>
              </a:solidFill>
              <a:ln>
                <a:noFill/>
              </a:ln>
              <a:effectLst/>
            </c:spPr>
            <c:extLst>
              <c:ext xmlns:c16="http://schemas.microsoft.com/office/drawing/2014/chart" uri="{C3380CC4-5D6E-409C-BE32-E72D297353CC}">
                <c16:uniqueId val="{0000000F-6B17-4A6A-86BD-D757FE9E779B}"/>
              </c:ext>
            </c:extLst>
          </c:dPt>
          <c:dPt>
            <c:idx val="8"/>
            <c:invertIfNegative val="0"/>
            <c:bubble3D val="0"/>
            <c:spPr>
              <a:solidFill>
                <a:srgbClr val="ED7D31"/>
              </a:solidFill>
              <a:ln>
                <a:noFill/>
              </a:ln>
              <a:effectLst/>
            </c:spPr>
            <c:extLst>
              <c:ext xmlns:c16="http://schemas.microsoft.com/office/drawing/2014/chart" uri="{C3380CC4-5D6E-409C-BE32-E72D297353CC}">
                <c16:uniqueId val="{00000011-6B17-4A6A-86BD-D757FE9E779B}"/>
              </c:ext>
            </c:extLst>
          </c:dPt>
          <c:dPt>
            <c:idx val="9"/>
            <c:invertIfNegative val="0"/>
            <c:bubble3D val="0"/>
            <c:spPr>
              <a:solidFill>
                <a:srgbClr val="7030A0"/>
              </a:solidFill>
              <a:ln>
                <a:noFill/>
              </a:ln>
              <a:effectLst/>
            </c:spPr>
            <c:extLst>
              <c:ext xmlns:c16="http://schemas.microsoft.com/office/drawing/2014/chart" uri="{C3380CC4-5D6E-409C-BE32-E72D297353CC}">
                <c16:uniqueId val="{00000013-6B17-4A6A-86BD-D757FE9E779B}"/>
              </c:ext>
            </c:extLst>
          </c:dPt>
          <c:dPt>
            <c:idx val="10"/>
            <c:invertIfNegative val="0"/>
            <c:bubble3D val="0"/>
            <c:spPr>
              <a:solidFill>
                <a:srgbClr val="00B0F0"/>
              </a:solidFill>
              <a:ln>
                <a:noFill/>
              </a:ln>
              <a:effectLst/>
            </c:spPr>
            <c:extLst>
              <c:ext xmlns:c16="http://schemas.microsoft.com/office/drawing/2014/chart" uri="{C3380CC4-5D6E-409C-BE32-E72D297353CC}">
                <c16:uniqueId val="{00000015-6B17-4A6A-86BD-D757FE9E779B}"/>
              </c:ext>
            </c:extLst>
          </c:dPt>
          <c:dPt>
            <c:idx val="11"/>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6B17-4A6A-86BD-D757FE9E779B}"/>
              </c:ext>
            </c:extLst>
          </c:dPt>
          <c:dPt>
            <c:idx val="12"/>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6B17-4A6A-86BD-D757FE9E779B}"/>
              </c:ext>
            </c:extLst>
          </c:dPt>
          <c:dPt>
            <c:idx val="13"/>
            <c:invertIfNegative val="0"/>
            <c:bubble3D val="0"/>
            <c:spPr>
              <a:solidFill>
                <a:srgbClr val="0070C0"/>
              </a:solidFill>
              <a:ln>
                <a:noFill/>
              </a:ln>
              <a:effectLst/>
            </c:spPr>
            <c:extLst>
              <c:ext xmlns:c16="http://schemas.microsoft.com/office/drawing/2014/chart" uri="{C3380CC4-5D6E-409C-BE32-E72D297353CC}">
                <c16:uniqueId val="{0000001B-6B17-4A6A-86BD-D757FE9E779B}"/>
              </c:ext>
            </c:extLst>
          </c:dPt>
          <c:dPt>
            <c:idx val="14"/>
            <c:invertIfNegative val="0"/>
            <c:bubble3D val="0"/>
            <c:spPr>
              <a:solidFill>
                <a:srgbClr val="00B050"/>
              </a:solidFill>
              <a:ln>
                <a:noFill/>
              </a:ln>
              <a:effectLst/>
            </c:spPr>
            <c:extLst>
              <c:ext xmlns:c16="http://schemas.microsoft.com/office/drawing/2014/chart" uri="{C3380CC4-5D6E-409C-BE32-E72D297353CC}">
                <c16:uniqueId val="{0000001D-6B17-4A6A-86BD-D757FE9E779B}"/>
              </c:ext>
            </c:extLst>
          </c:dPt>
          <c:dPt>
            <c:idx val="15"/>
            <c:invertIfNegative val="0"/>
            <c:bubble3D val="0"/>
            <c:spPr>
              <a:solidFill>
                <a:srgbClr val="CD4D47"/>
              </a:solidFill>
              <a:ln>
                <a:noFill/>
              </a:ln>
              <a:effectLst/>
            </c:spPr>
            <c:extLst>
              <c:ext xmlns:c16="http://schemas.microsoft.com/office/drawing/2014/chart" uri="{C3380CC4-5D6E-409C-BE32-E72D297353CC}">
                <c16:uniqueId val="{0000001F-6B17-4A6A-86BD-D757FE9E779B}"/>
              </c:ext>
            </c:extLst>
          </c:dPt>
          <c:dPt>
            <c:idx val="16"/>
            <c:invertIfNegative val="0"/>
            <c:bubble3D val="0"/>
            <c:spPr>
              <a:solidFill>
                <a:srgbClr val="00EFE4"/>
              </a:solidFill>
              <a:ln>
                <a:noFill/>
              </a:ln>
              <a:effectLst/>
            </c:spPr>
            <c:extLst>
              <c:ext xmlns:c16="http://schemas.microsoft.com/office/drawing/2014/chart" uri="{C3380CC4-5D6E-409C-BE32-E72D297353CC}">
                <c16:uniqueId val="{00000021-6B17-4A6A-86BD-D757FE9E779B}"/>
              </c:ext>
            </c:extLst>
          </c:dPt>
          <c:dPt>
            <c:idx val="17"/>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6B17-4A6A-86BD-D757FE9E779B}"/>
              </c:ext>
            </c:extLst>
          </c:dPt>
          <c:dPt>
            <c:idx val="18"/>
            <c:invertIfNegative val="0"/>
            <c:bubble3D val="0"/>
            <c:spPr>
              <a:solidFill>
                <a:srgbClr val="70AD47">
                  <a:lumMod val="75000"/>
                </a:srgbClr>
              </a:solidFill>
              <a:ln>
                <a:noFill/>
              </a:ln>
              <a:effectLst/>
            </c:spPr>
            <c:extLst>
              <c:ext xmlns:c16="http://schemas.microsoft.com/office/drawing/2014/chart" uri="{C3380CC4-5D6E-409C-BE32-E72D297353CC}">
                <c16:uniqueId val="{00000025-6B17-4A6A-86BD-D757FE9E779B}"/>
              </c:ext>
            </c:extLst>
          </c:dPt>
          <c:dPt>
            <c:idx val="20"/>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6B17-4A6A-86BD-D757FE9E779B}"/>
              </c:ext>
            </c:extLst>
          </c:dPt>
          <c:dPt>
            <c:idx val="21"/>
            <c:invertIfNegative val="0"/>
            <c:bubble3D val="0"/>
            <c:spPr>
              <a:solidFill>
                <a:srgbClr val="CD582C"/>
              </a:solidFill>
              <a:ln>
                <a:noFill/>
              </a:ln>
              <a:effectLst/>
            </c:spPr>
            <c:extLst>
              <c:ext xmlns:c16="http://schemas.microsoft.com/office/drawing/2014/chart" uri="{C3380CC4-5D6E-409C-BE32-E72D297353CC}">
                <c16:uniqueId val="{00000029-6B17-4A6A-86BD-D757FE9E779B}"/>
              </c:ext>
            </c:extLst>
          </c:dPt>
          <c:dPt>
            <c:idx val="22"/>
            <c:invertIfNegative val="0"/>
            <c:bubble3D val="0"/>
            <c:spPr>
              <a:solidFill>
                <a:srgbClr val="D00024"/>
              </a:solidFill>
              <a:ln>
                <a:noFill/>
              </a:ln>
              <a:effectLst/>
            </c:spPr>
            <c:extLst>
              <c:ext xmlns:c16="http://schemas.microsoft.com/office/drawing/2014/chart" uri="{C3380CC4-5D6E-409C-BE32-E72D297353CC}">
                <c16:uniqueId val="{0000002B-6B17-4A6A-86BD-D757FE9E779B}"/>
              </c:ext>
            </c:extLst>
          </c:dPt>
          <c:dPt>
            <c:idx val="23"/>
            <c:invertIfNegative val="0"/>
            <c:bubble3D val="0"/>
            <c:spPr>
              <a:solidFill>
                <a:srgbClr val="4400E8"/>
              </a:solidFill>
              <a:ln>
                <a:noFill/>
              </a:ln>
              <a:effectLst/>
            </c:spPr>
            <c:extLst>
              <c:ext xmlns:c16="http://schemas.microsoft.com/office/drawing/2014/chart" uri="{C3380CC4-5D6E-409C-BE32-E72D297353CC}">
                <c16:uniqueId val="{0000002D-6B17-4A6A-86BD-D757FE9E779B}"/>
              </c:ext>
            </c:extLst>
          </c:dPt>
          <c:dPt>
            <c:idx val="24"/>
            <c:invertIfNegative val="0"/>
            <c:bubble3D val="0"/>
            <c:spPr>
              <a:solidFill>
                <a:srgbClr val="FFC000">
                  <a:lumMod val="75000"/>
                </a:srgbClr>
              </a:solidFill>
              <a:ln>
                <a:noFill/>
              </a:ln>
              <a:effectLst/>
            </c:spPr>
            <c:extLst>
              <c:ext xmlns:c16="http://schemas.microsoft.com/office/drawing/2014/chart" uri="{C3380CC4-5D6E-409C-BE32-E72D297353CC}">
                <c16:uniqueId val="{0000002F-6B17-4A6A-86BD-D757FE9E779B}"/>
              </c:ext>
            </c:extLst>
          </c:dPt>
          <c:dPt>
            <c:idx val="25"/>
            <c:invertIfNegative val="0"/>
            <c:bubble3D val="0"/>
            <c:spPr>
              <a:solidFill>
                <a:srgbClr val="E7E6E6">
                  <a:lumMod val="75000"/>
                </a:srgbClr>
              </a:solidFill>
              <a:ln>
                <a:noFill/>
              </a:ln>
              <a:effectLst/>
            </c:spPr>
            <c:extLst>
              <c:ext xmlns:c16="http://schemas.microsoft.com/office/drawing/2014/chart" uri="{C3380CC4-5D6E-409C-BE32-E72D297353CC}">
                <c16:uniqueId val="{00000031-6B17-4A6A-86BD-D757FE9E779B}"/>
              </c:ext>
            </c:extLst>
          </c:dPt>
          <c:dPt>
            <c:idx val="26"/>
            <c:invertIfNegative val="0"/>
            <c:bubble3D val="0"/>
            <c:spPr>
              <a:solidFill>
                <a:srgbClr val="D00000"/>
              </a:solidFill>
              <a:ln>
                <a:noFill/>
              </a:ln>
              <a:effectLst/>
            </c:spPr>
            <c:extLst>
              <c:ext xmlns:c16="http://schemas.microsoft.com/office/drawing/2014/chart" uri="{C3380CC4-5D6E-409C-BE32-E72D297353CC}">
                <c16:uniqueId val="{00000033-6B17-4A6A-86BD-D757FE9E779B}"/>
              </c:ext>
            </c:extLst>
          </c:dPt>
          <c:dPt>
            <c:idx val="27"/>
            <c:invertIfNegative val="0"/>
            <c:bubble3D val="0"/>
            <c:spPr>
              <a:solidFill>
                <a:srgbClr val="7A4300"/>
              </a:solidFill>
              <a:ln>
                <a:noFill/>
              </a:ln>
              <a:effectLst/>
            </c:spPr>
            <c:extLst>
              <c:ext xmlns:c16="http://schemas.microsoft.com/office/drawing/2014/chart" uri="{C3380CC4-5D6E-409C-BE32-E72D297353CC}">
                <c16:uniqueId val="{00000035-6B17-4A6A-86BD-D757FE9E779B}"/>
              </c:ext>
            </c:extLst>
          </c:dPt>
          <c:dPt>
            <c:idx val="28"/>
            <c:invertIfNegative val="0"/>
            <c:bubble3D val="0"/>
            <c:spPr>
              <a:solidFill>
                <a:srgbClr val="783FC5"/>
              </a:solidFill>
              <a:ln>
                <a:noFill/>
              </a:ln>
              <a:effectLst/>
            </c:spPr>
            <c:extLst>
              <c:ext xmlns:c16="http://schemas.microsoft.com/office/drawing/2014/chart" uri="{C3380CC4-5D6E-409C-BE32-E72D297353CC}">
                <c16:uniqueId val="{00000037-6B17-4A6A-86BD-D757FE9E779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9"/>
                <c:pt idx="0">
                  <c:v>Argentina</c:v>
                </c:pt>
                <c:pt idx="1">
                  <c:v>Bahamas</c:v>
                </c:pt>
                <c:pt idx="2">
                  <c:v>Barbados</c:v>
                </c:pt>
                <c:pt idx="3">
                  <c:v>Belize</c:v>
                </c:pt>
                <c:pt idx="4">
                  <c:v>Bolivia</c:v>
                </c:pt>
                <c:pt idx="5">
                  <c:v>Brasil</c:v>
                </c:pt>
                <c:pt idx="6">
                  <c:v>Canada</c:v>
                </c:pt>
                <c:pt idx="7">
                  <c:v>Chile</c:v>
                </c:pt>
                <c:pt idx="8">
                  <c:v>Colombia</c:v>
                </c:pt>
                <c:pt idx="9">
                  <c:v>Costa Rica</c:v>
                </c:pt>
                <c:pt idx="10">
                  <c:v>Cuba</c:v>
                </c:pt>
                <c:pt idx="11">
                  <c:v>Ecuador</c:v>
                </c:pt>
                <c:pt idx="12">
                  <c:v>El Salvador</c:v>
                </c:pt>
                <c:pt idx="13">
                  <c:v>Guatemala</c:v>
                </c:pt>
                <c:pt idx="14">
                  <c:v>Guyana</c:v>
                </c:pt>
                <c:pt idx="15">
                  <c:v>Haiti</c:v>
                </c:pt>
                <c:pt idx="16">
                  <c:v>Honduras</c:v>
                </c:pt>
                <c:pt idx="17">
                  <c:v>Jamaica</c:v>
                </c:pt>
                <c:pt idx="18">
                  <c:v>México</c:v>
                </c:pt>
                <c:pt idx="19">
                  <c:v>Nicaragua</c:v>
                </c:pt>
                <c:pt idx="20">
                  <c:v>Panamá</c:v>
                </c:pt>
                <c:pt idx="21">
                  <c:v>Paraguay</c:v>
                </c:pt>
                <c:pt idx="22">
                  <c:v>Perú</c:v>
                </c:pt>
                <c:pt idx="23">
                  <c:v>República Dominicana</c:v>
                </c:pt>
                <c:pt idx="24">
                  <c:v>Suriname</c:v>
                </c:pt>
                <c:pt idx="25">
                  <c:v>Trinidad and Tobago</c:v>
                </c:pt>
                <c:pt idx="26">
                  <c:v>United States of America</c:v>
                </c:pt>
                <c:pt idx="27">
                  <c:v>Uruguay</c:v>
                </c:pt>
                <c:pt idx="28">
                  <c:v>Venezuela</c:v>
                </c:pt>
              </c:strCache>
            </c:strRef>
          </c:cat>
          <c:val>
            <c:numRef>
              <c:f>Sheet1!$B$2:$B$36</c:f>
              <c:numCache>
                <c:formatCode>#,##0</c:formatCode>
                <c:ptCount val="29"/>
                <c:pt idx="0">
                  <c:v>371</c:v>
                </c:pt>
                <c:pt idx="1">
                  <c:v>1</c:v>
                </c:pt>
                <c:pt idx="2">
                  <c:v>8</c:v>
                </c:pt>
                <c:pt idx="3">
                  <c:v>1</c:v>
                </c:pt>
                <c:pt idx="4">
                  <c:v>76</c:v>
                </c:pt>
                <c:pt idx="5">
                  <c:v>158</c:v>
                </c:pt>
                <c:pt idx="6">
                  <c:v>5</c:v>
                </c:pt>
                <c:pt idx="7">
                  <c:v>258</c:v>
                </c:pt>
                <c:pt idx="8">
                  <c:v>851</c:v>
                </c:pt>
                <c:pt idx="9">
                  <c:v>98</c:v>
                </c:pt>
                <c:pt idx="10">
                  <c:v>38</c:v>
                </c:pt>
                <c:pt idx="11">
                  <c:v>201</c:v>
                </c:pt>
                <c:pt idx="12">
                  <c:v>36</c:v>
                </c:pt>
                <c:pt idx="13">
                  <c:v>142</c:v>
                </c:pt>
                <c:pt idx="14">
                  <c:v>1</c:v>
                </c:pt>
                <c:pt idx="15">
                  <c:v>10</c:v>
                </c:pt>
                <c:pt idx="16">
                  <c:v>65</c:v>
                </c:pt>
                <c:pt idx="17">
                  <c:v>24</c:v>
                </c:pt>
                <c:pt idx="18">
                  <c:v>607</c:v>
                </c:pt>
                <c:pt idx="19">
                  <c:v>54</c:v>
                </c:pt>
                <c:pt idx="20">
                  <c:v>49</c:v>
                </c:pt>
                <c:pt idx="21">
                  <c:v>41</c:v>
                </c:pt>
                <c:pt idx="22">
                  <c:v>244</c:v>
                </c:pt>
                <c:pt idx="23">
                  <c:v>29</c:v>
                </c:pt>
                <c:pt idx="24">
                  <c:v>9</c:v>
                </c:pt>
                <c:pt idx="25">
                  <c:v>2</c:v>
                </c:pt>
                <c:pt idx="26">
                  <c:v>79</c:v>
                </c:pt>
                <c:pt idx="27">
                  <c:v>23</c:v>
                </c:pt>
                <c:pt idx="28">
                  <c:v>145</c:v>
                </c:pt>
              </c:numCache>
            </c:numRef>
          </c:val>
          <c:extLst>
            <c:ext xmlns:c16="http://schemas.microsoft.com/office/drawing/2014/chart" uri="{C3380CC4-5D6E-409C-BE32-E72D297353CC}">
              <c16:uniqueId val="{00000038-6B17-4A6A-86BD-D757FE9E779B}"/>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Hearings before the </a:t>
            </a:r>
            <a:r>
              <a:rPr lang="en-US" sz="1400" b="1" i="0">
                <a:solidFill>
                  <a:schemeClr val="tx1">
                    <a:lumMod val="50000"/>
                    <a:lumOff val="50000"/>
                  </a:schemeClr>
                </a:solidFill>
                <a:latin typeface="Helvetica LT Std Cond" panose="020B0506020202030204" pitchFamily="34" charset="0"/>
              </a:rPr>
              <a:t>IACHR</a:t>
            </a:r>
            <a:r>
              <a:rPr lang="en-US" sz="1400" b="0" i="0">
                <a:solidFill>
                  <a:schemeClr val="tx1">
                    <a:lumMod val="50000"/>
                    <a:lumOff val="50000"/>
                  </a:schemeClr>
                </a:solidFill>
                <a:latin typeface="Helvetica LT Std Cond" panose="020B0506020202030204" pitchFamily="34" charset="0"/>
              </a:rPr>
              <a:t> by country </a:t>
            </a:r>
          </a:p>
          <a:p>
            <a:pPr>
              <a:defRPr/>
            </a:pPr>
            <a:r>
              <a:rPr lang="en-US" sz="2000" b="1" i="0">
                <a:solidFill>
                  <a:srgbClr val="0070C0"/>
                </a:solidFill>
                <a:latin typeface="Helvetica LT Std Cond" panose="020B0506020202030204" pitchFamily="34" charset="0"/>
              </a:rPr>
              <a:t>Total: 47</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audiencias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A711-4EBD-9609-8E62130DB330}"/>
              </c:ext>
            </c:extLst>
          </c:dPt>
          <c:dPt>
            <c:idx val="1"/>
            <c:invertIfNegative val="0"/>
            <c:bubble3D val="0"/>
            <c:spPr>
              <a:solidFill>
                <a:srgbClr val="FFC000"/>
              </a:solidFill>
              <a:ln>
                <a:noFill/>
              </a:ln>
              <a:effectLst/>
            </c:spPr>
            <c:extLst>
              <c:ext xmlns:c16="http://schemas.microsoft.com/office/drawing/2014/chart" uri="{C3380CC4-5D6E-409C-BE32-E72D297353CC}">
                <c16:uniqueId val="{00000003-A711-4EBD-9609-8E62130DB330}"/>
              </c:ext>
            </c:extLst>
          </c:dPt>
          <c:dPt>
            <c:idx val="2"/>
            <c:invertIfNegative val="0"/>
            <c:bubble3D val="0"/>
            <c:spPr>
              <a:solidFill>
                <a:srgbClr val="70AD47"/>
              </a:solidFill>
              <a:ln>
                <a:noFill/>
              </a:ln>
              <a:effectLst/>
            </c:spPr>
            <c:extLst>
              <c:ext xmlns:c16="http://schemas.microsoft.com/office/drawing/2014/chart" uri="{C3380CC4-5D6E-409C-BE32-E72D297353CC}">
                <c16:uniqueId val="{00000005-A711-4EBD-9609-8E62130DB330}"/>
              </c:ext>
            </c:extLst>
          </c:dPt>
          <c:dPt>
            <c:idx val="3"/>
            <c:invertIfNegative val="0"/>
            <c:bubble3D val="0"/>
            <c:spPr>
              <a:solidFill>
                <a:srgbClr val="ED7D31"/>
              </a:solidFill>
              <a:ln>
                <a:noFill/>
              </a:ln>
              <a:effectLst/>
            </c:spPr>
            <c:extLst>
              <c:ext xmlns:c16="http://schemas.microsoft.com/office/drawing/2014/chart" uri="{C3380CC4-5D6E-409C-BE32-E72D297353CC}">
                <c16:uniqueId val="{00000007-A711-4EBD-9609-8E62130DB330}"/>
              </c:ext>
            </c:extLst>
          </c:dPt>
          <c:dPt>
            <c:idx val="4"/>
            <c:invertIfNegative val="0"/>
            <c:bubble3D val="0"/>
            <c:spPr>
              <a:solidFill>
                <a:srgbClr val="00B0F0"/>
              </a:solidFill>
              <a:ln>
                <a:noFill/>
              </a:ln>
              <a:effectLst/>
            </c:spPr>
            <c:extLst>
              <c:ext xmlns:c16="http://schemas.microsoft.com/office/drawing/2014/chart" uri="{C3380CC4-5D6E-409C-BE32-E72D297353CC}">
                <c16:uniqueId val="{00000009-A711-4EBD-9609-8E62130DB330}"/>
              </c:ext>
            </c:extLst>
          </c:dPt>
          <c:dPt>
            <c:idx val="5"/>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A711-4EBD-9609-8E62130DB330}"/>
              </c:ext>
            </c:extLst>
          </c:dPt>
          <c:dPt>
            <c:idx val="6"/>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D-A711-4EBD-9609-8E62130DB330}"/>
              </c:ext>
            </c:extLst>
          </c:dPt>
          <c:dPt>
            <c:idx val="7"/>
            <c:invertIfNegative val="0"/>
            <c:bubble3D val="0"/>
            <c:spPr>
              <a:solidFill>
                <a:srgbClr val="0070C0"/>
              </a:solidFill>
              <a:ln>
                <a:noFill/>
              </a:ln>
              <a:effectLst/>
            </c:spPr>
            <c:extLst>
              <c:ext xmlns:c16="http://schemas.microsoft.com/office/drawing/2014/chart" uri="{C3380CC4-5D6E-409C-BE32-E72D297353CC}">
                <c16:uniqueId val="{0000000F-A711-4EBD-9609-8E62130DB330}"/>
              </c:ext>
            </c:extLst>
          </c:dPt>
          <c:dPt>
            <c:idx val="8"/>
            <c:invertIfNegative val="0"/>
            <c:bubble3D val="0"/>
            <c:spPr>
              <a:solidFill>
                <a:srgbClr val="CD4D47"/>
              </a:solidFill>
              <a:ln>
                <a:noFill/>
              </a:ln>
              <a:effectLst/>
            </c:spPr>
            <c:extLst>
              <c:ext xmlns:c16="http://schemas.microsoft.com/office/drawing/2014/chart" uri="{C3380CC4-5D6E-409C-BE32-E72D297353CC}">
                <c16:uniqueId val="{00000011-A711-4EBD-9609-8E62130DB330}"/>
              </c:ext>
            </c:extLst>
          </c:dPt>
          <c:dPt>
            <c:idx val="9"/>
            <c:invertIfNegative val="0"/>
            <c:bubble3D val="0"/>
            <c:spPr>
              <a:solidFill>
                <a:srgbClr val="00EFE4"/>
              </a:solidFill>
              <a:ln>
                <a:noFill/>
              </a:ln>
              <a:effectLst/>
            </c:spPr>
            <c:extLst>
              <c:ext xmlns:c16="http://schemas.microsoft.com/office/drawing/2014/chart" uri="{C3380CC4-5D6E-409C-BE32-E72D297353CC}">
                <c16:uniqueId val="{00000013-A711-4EBD-9609-8E62130DB330}"/>
              </c:ext>
            </c:extLst>
          </c:dPt>
          <c:dPt>
            <c:idx val="10"/>
            <c:invertIfNegative val="0"/>
            <c:bubble3D val="0"/>
            <c:spPr>
              <a:solidFill>
                <a:srgbClr val="70AD47">
                  <a:lumMod val="75000"/>
                </a:srgbClr>
              </a:solidFill>
              <a:ln>
                <a:noFill/>
              </a:ln>
              <a:effectLst/>
            </c:spPr>
            <c:extLst>
              <c:ext xmlns:c16="http://schemas.microsoft.com/office/drawing/2014/chart" uri="{C3380CC4-5D6E-409C-BE32-E72D297353CC}">
                <c16:uniqueId val="{00000015-A711-4EBD-9609-8E62130DB330}"/>
              </c:ext>
            </c:extLst>
          </c:dPt>
          <c:dPt>
            <c:idx val="1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7-A711-4EBD-9609-8E62130DB330}"/>
              </c:ext>
            </c:extLst>
          </c:dPt>
          <c:dPt>
            <c:idx val="13"/>
            <c:invertIfNegative val="0"/>
            <c:bubble3D val="0"/>
            <c:spPr>
              <a:solidFill>
                <a:srgbClr val="CD582C"/>
              </a:solidFill>
              <a:ln>
                <a:noFill/>
              </a:ln>
              <a:effectLst/>
            </c:spPr>
            <c:extLst>
              <c:ext xmlns:c16="http://schemas.microsoft.com/office/drawing/2014/chart" uri="{C3380CC4-5D6E-409C-BE32-E72D297353CC}">
                <c16:uniqueId val="{00000019-A711-4EBD-9609-8E62130DB330}"/>
              </c:ext>
            </c:extLst>
          </c:dPt>
          <c:dPt>
            <c:idx val="14"/>
            <c:invertIfNegative val="0"/>
            <c:bubble3D val="0"/>
            <c:spPr>
              <a:solidFill>
                <a:srgbClr val="D00024"/>
              </a:solidFill>
              <a:ln>
                <a:noFill/>
              </a:ln>
              <a:effectLst/>
            </c:spPr>
            <c:extLst>
              <c:ext xmlns:c16="http://schemas.microsoft.com/office/drawing/2014/chart" uri="{C3380CC4-5D6E-409C-BE32-E72D297353CC}">
                <c16:uniqueId val="{0000001B-A711-4EBD-9609-8E62130DB330}"/>
              </c:ext>
            </c:extLst>
          </c:dPt>
          <c:dPt>
            <c:idx val="15"/>
            <c:invertIfNegative val="0"/>
            <c:bubble3D val="0"/>
            <c:spPr>
              <a:solidFill>
                <a:srgbClr val="4400E8"/>
              </a:solidFill>
              <a:ln>
                <a:noFill/>
              </a:ln>
              <a:effectLst/>
            </c:spPr>
            <c:extLst>
              <c:ext xmlns:c16="http://schemas.microsoft.com/office/drawing/2014/chart" uri="{C3380CC4-5D6E-409C-BE32-E72D297353CC}">
                <c16:uniqueId val="{0000001D-A711-4EBD-9609-8E62130DB330}"/>
              </c:ext>
            </c:extLst>
          </c:dPt>
          <c:dPt>
            <c:idx val="16"/>
            <c:invertIfNegative val="0"/>
            <c:bubble3D val="0"/>
            <c:spPr>
              <a:solidFill>
                <a:srgbClr val="D00000"/>
              </a:solidFill>
              <a:ln>
                <a:noFill/>
              </a:ln>
              <a:effectLst/>
            </c:spPr>
            <c:extLst>
              <c:ext xmlns:c16="http://schemas.microsoft.com/office/drawing/2014/chart" uri="{C3380CC4-5D6E-409C-BE32-E72D297353CC}">
                <c16:uniqueId val="{0000001F-A711-4EBD-9609-8E62130DB330}"/>
              </c:ext>
            </c:extLst>
          </c:dPt>
          <c:dPt>
            <c:idx val="17"/>
            <c:invertIfNegative val="0"/>
            <c:bubble3D val="0"/>
            <c:spPr>
              <a:solidFill>
                <a:srgbClr val="7A4300"/>
              </a:solidFill>
              <a:ln>
                <a:noFill/>
              </a:ln>
              <a:effectLst/>
            </c:spPr>
            <c:extLst>
              <c:ext xmlns:c16="http://schemas.microsoft.com/office/drawing/2014/chart" uri="{C3380CC4-5D6E-409C-BE32-E72D297353CC}">
                <c16:uniqueId val="{00000021-A711-4EBD-9609-8E62130DB330}"/>
              </c:ext>
            </c:extLst>
          </c:dPt>
          <c:dPt>
            <c:idx val="18"/>
            <c:invertIfNegative val="0"/>
            <c:bubble3D val="0"/>
            <c:spPr>
              <a:solidFill>
                <a:srgbClr val="783FC5"/>
              </a:solidFill>
              <a:ln>
                <a:noFill/>
              </a:ln>
              <a:effectLst/>
            </c:spPr>
            <c:extLst>
              <c:ext xmlns:c16="http://schemas.microsoft.com/office/drawing/2014/chart" uri="{C3380CC4-5D6E-409C-BE32-E72D297353CC}">
                <c16:uniqueId val="{00000023-A711-4EBD-9609-8E62130DB33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9"/>
                <c:pt idx="0">
                  <c:v>Argentina</c:v>
                </c:pt>
                <c:pt idx="1">
                  <c:v>Bolivia</c:v>
                </c:pt>
                <c:pt idx="2">
                  <c:v>Brasil</c:v>
                </c:pt>
                <c:pt idx="3">
                  <c:v>Colombia</c:v>
                </c:pt>
                <c:pt idx="4">
                  <c:v>Cuba</c:v>
                </c:pt>
                <c:pt idx="5">
                  <c:v>Ecuador</c:v>
                </c:pt>
                <c:pt idx="6">
                  <c:v>El Salvador</c:v>
                </c:pt>
                <c:pt idx="7">
                  <c:v>Guatemala</c:v>
                </c:pt>
                <c:pt idx="8">
                  <c:v>Haiti</c:v>
                </c:pt>
                <c:pt idx="9">
                  <c:v>Honduras</c:v>
                </c:pt>
                <c:pt idx="10">
                  <c:v>México</c:v>
                </c:pt>
                <c:pt idx="11">
                  <c:v>Nicaragua</c:v>
                </c:pt>
                <c:pt idx="12">
                  <c:v>Panamá</c:v>
                </c:pt>
                <c:pt idx="13">
                  <c:v>Paraguay</c:v>
                </c:pt>
                <c:pt idx="14">
                  <c:v>Perú</c:v>
                </c:pt>
                <c:pt idx="15">
                  <c:v>República Dominicana</c:v>
                </c:pt>
                <c:pt idx="16">
                  <c:v>United States of America</c:v>
                </c:pt>
                <c:pt idx="17">
                  <c:v>Uruguay</c:v>
                </c:pt>
                <c:pt idx="18">
                  <c:v>Venezuela</c:v>
                </c:pt>
              </c:strCache>
            </c:strRef>
          </c:cat>
          <c:val>
            <c:numRef>
              <c:f>Sheet1!$B$2:$B$36</c:f>
              <c:numCache>
                <c:formatCode>#,##0</c:formatCode>
                <c:ptCount val="19"/>
                <c:pt idx="0">
                  <c:v>1</c:v>
                </c:pt>
                <c:pt idx="1">
                  <c:v>2</c:v>
                </c:pt>
                <c:pt idx="2">
                  <c:v>3</c:v>
                </c:pt>
                <c:pt idx="3">
                  <c:v>5</c:v>
                </c:pt>
                <c:pt idx="4">
                  <c:v>2</c:v>
                </c:pt>
                <c:pt idx="5">
                  <c:v>6</c:v>
                </c:pt>
                <c:pt idx="6">
                  <c:v>4</c:v>
                </c:pt>
                <c:pt idx="7">
                  <c:v>3</c:v>
                </c:pt>
                <c:pt idx="8">
                  <c:v>1</c:v>
                </c:pt>
                <c:pt idx="9">
                  <c:v>2</c:v>
                </c:pt>
                <c:pt idx="10">
                  <c:v>2</c:v>
                </c:pt>
                <c:pt idx="11">
                  <c:v>3</c:v>
                </c:pt>
                <c:pt idx="12">
                  <c:v>1</c:v>
                </c:pt>
                <c:pt idx="13">
                  <c:v>1</c:v>
                </c:pt>
                <c:pt idx="14">
                  <c:v>3</c:v>
                </c:pt>
                <c:pt idx="15">
                  <c:v>1</c:v>
                </c:pt>
                <c:pt idx="16">
                  <c:v>4</c:v>
                </c:pt>
                <c:pt idx="17">
                  <c:v>1</c:v>
                </c:pt>
                <c:pt idx="18">
                  <c:v>2</c:v>
                </c:pt>
              </c:numCache>
            </c:numRef>
          </c:val>
          <c:extLst>
            <c:ext xmlns:c16="http://schemas.microsoft.com/office/drawing/2014/chart" uri="{C3380CC4-5D6E-409C-BE32-E72D297353CC}">
              <c16:uniqueId val="{00000024-A711-4EBD-9609-8E62130DB330}"/>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Petitions and cases in friendly settlement procedure at end of year </a:t>
            </a:r>
          </a:p>
          <a:p>
            <a:pPr>
              <a:defRPr/>
            </a:pPr>
            <a:r>
              <a:rPr lang="en-US" sz="2000" b="1" i="0">
                <a:solidFill>
                  <a:srgbClr val="0070C0"/>
                </a:solidFill>
                <a:latin typeface="Helvetica LT Std Cond" panose="020B0506020202030204" pitchFamily="34" charset="0"/>
              </a:rPr>
              <a:t>Total: 91</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stacked"/>
        <c:varyColors val="0"/>
        <c:ser>
          <c:idx val="0"/>
          <c:order val="0"/>
          <c:tx>
            <c:strRef>
              <c:f>Sheet1!$B$1</c:f>
              <c:strCache>
                <c:ptCount val="1"/>
                <c:pt idx="0">
                  <c:v>Admissibility</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B0D2-4907-81E0-13B89BF5AACA}"/>
              </c:ext>
            </c:extLst>
          </c:dPt>
          <c:dPt>
            <c:idx val="1"/>
            <c:invertIfNegative val="0"/>
            <c:bubble3D val="0"/>
            <c:spPr>
              <a:solidFill>
                <a:srgbClr val="4F81BD"/>
              </a:solidFill>
              <a:ln>
                <a:noFill/>
              </a:ln>
              <a:effectLst/>
            </c:spPr>
            <c:extLst>
              <c:ext xmlns:c16="http://schemas.microsoft.com/office/drawing/2014/chart" uri="{C3380CC4-5D6E-409C-BE32-E72D297353CC}">
                <c16:uniqueId val="{00000003-B0D2-4907-81E0-13B89BF5AACA}"/>
              </c:ext>
            </c:extLst>
          </c:dPt>
          <c:dPt>
            <c:idx val="2"/>
            <c:invertIfNegative val="0"/>
            <c:bubble3D val="0"/>
            <c:spPr>
              <a:solidFill>
                <a:srgbClr val="4F81BD"/>
              </a:solidFill>
              <a:ln>
                <a:noFill/>
              </a:ln>
              <a:effectLst/>
            </c:spPr>
            <c:extLst>
              <c:ext xmlns:c16="http://schemas.microsoft.com/office/drawing/2014/chart" uri="{C3380CC4-5D6E-409C-BE32-E72D297353CC}">
                <c16:uniqueId val="{00000005-B0D2-4907-81E0-13B89BF5AACA}"/>
              </c:ext>
            </c:extLst>
          </c:dPt>
          <c:dPt>
            <c:idx val="3"/>
            <c:invertIfNegative val="0"/>
            <c:bubble3D val="0"/>
            <c:spPr>
              <a:solidFill>
                <a:srgbClr val="4F81BD"/>
              </a:solidFill>
              <a:ln>
                <a:noFill/>
              </a:ln>
              <a:effectLst/>
            </c:spPr>
            <c:extLst>
              <c:ext xmlns:c16="http://schemas.microsoft.com/office/drawing/2014/chart" uri="{C3380CC4-5D6E-409C-BE32-E72D297353CC}">
                <c16:uniqueId val="{00000007-B0D2-4907-81E0-13B89BF5AACA}"/>
              </c:ext>
            </c:extLst>
          </c:dPt>
          <c:dPt>
            <c:idx val="4"/>
            <c:invertIfNegative val="0"/>
            <c:bubble3D val="0"/>
            <c:spPr>
              <a:solidFill>
                <a:srgbClr val="4F81BD"/>
              </a:solidFill>
              <a:ln>
                <a:noFill/>
              </a:ln>
              <a:effectLst/>
            </c:spPr>
            <c:extLst>
              <c:ext xmlns:c16="http://schemas.microsoft.com/office/drawing/2014/chart" uri="{C3380CC4-5D6E-409C-BE32-E72D297353CC}">
                <c16:uniqueId val="{00000009-B0D2-4907-81E0-13B89BF5AACA}"/>
              </c:ext>
            </c:extLst>
          </c:dPt>
          <c:dPt>
            <c:idx val="5"/>
            <c:invertIfNegative val="0"/>
            <c:bubble3D val="0"/>
            <c:spPr>
              <a:solidFill>
                <a:srgbClr val="4F81BD"/>
              </a:solidFill>
              <a:ln>
                <a:noFill/>
              </a:ln>
              <a:effectLst/>
            </c:spPr>
            <c:extLst>
              <c:ext xmlns:c16="http://schemas.microsoft.com/office/drawing/2014/chart" uri="{C3380CC4-5D6E-409C-BE32-E72D297353CC}">
                <c16:uniqueId val="{0000000B-B0D2-4907-81E0-13B89BF5AACA}"/>
              </c:ext>
            </c:extLst>
          </c:dPt>
          <c:dPt>
            <c:idx val="6"/>
            <c:invertIfNegative val="0"/>
            <c:bubble3D val="0"/>
            <c:spPr>
              <a:solidFill>
                <a:srgbClr val="4F81BD"/>
              </a:solidFill>
              <a:ln>
                <a:noFill/>
              </a:ln>
              <a:effectLst/>
            </c:spPr>
            <c:extLst>
              <c:ext xmlns:c16="http://schemas.microsoft.com/office/drawing/2014/chart" uri="{C3380CC4-5D6E-409C-BE32-E72D297353CC}">
                <c16:uniqueId val="{0000000D-B0D2-4907-81E0-13B89BF5AACA}"/>
              </c:ext>
            </c:extLst>
          </c:dPt>
          <c:dPt>
            <c:idx val="7"/>
            <c:invertIfNegative val="0"/>
            <c:bubble3D val="0"/>
            <c:spPr>
              <a:solidFill>
                <a:srgbClr val="4F81BD"/>
              </a:solidFill>
              <a:ln>
                <a:noFill/>
              </a:ln>
              <a:effectLst/>
            </c:spPr>
            <c:extLst>
              <c:ext xmlns:c16="http://schemas.microsoft.com/office/drawing/2014/chart" uri="{C3380CC4-5D6E-409C-BE32-E72D297353CC}">
                <c16:uniqueId val="{0000000F-B0D2-4907-81E0-13B89BF5AACA}"/>
              </c:ext>
            </c:extLst>
          </c:dPt>
          <c:dPt>
            <c:idx val="8"/>
            <c:invertIfNegative val="0"/>
            <c:bubble3D val="0"/>
            <c:spPr>
              <a:solidFill>
                <a:srgbClr val="4F81BD"/>
              </a:solidFill>
              <a:ln>
                <a:noFill/>
              </a:ln>
              <a:effectLst/>
            </c:spPr>
            <c:extLst>
              <c:ext xmlns:c16="http://schemas.microsoft.com/office/drawing/2014/chart" uri="{C3380CC4-5D6E-409C-BE32-E72D297353CC}">
                <c16:uniqueId val="{00000011-B0D2-4907-81E0-13B89BF5AACA}"/>
              </c:ext>
            </c:extLst>
          </c:dPt>
          <c:dPt>
            <c:idx val="9"/>
            <c:invertIfNegative val="0"/>
            <c:bubble3D val="0"/>
            <c:spPr>
              <a:solidFill>
                <a:srgbClr val="4F81BD"/>
              </a:solidFill>
              <a:ln>
                <a:noFill/>
              </a:ln>
              <a:effectLst/>
            </c:spPr>
            <c:extLst>
              <c:ext xmlns:c16="http://schemas.microsoft.com/office/drawing/2014/chart" uri="{C3380CC4-5D6E-409C-BE32-E72D297353CC}">
                <c16:uniqueId val="{00000013-B0D2-4907-81E0-13B89BF5AACA}"/>
              </c:ext>
            </c:extLst>
          </c:dPt>
          <c:dPt>
            <c:idx val="10"/>
            <c:invertIfNegative val="0"/>
            <c:bubble3D val="0"/>
            <c:spPr>
              <a:solidFill>
                <a:srgbClr val="4F81BD"/>
              </a:solidFill>
              <a:ln>
                <a:noFill/>
              </a:ln>
              <a:effectLst/>
            </c:spPr>
            <c:extLst>
              <c:ext xmlns:c16="http://schemas.microsoft.com/office/drawing/2014/chart" uri="{C3380CC4-5D6E-409C-BE32-E72D297353CC}">
                <c16:uniqueId val="{00000015-B0D2-4907-81E0-13B89BF5AACA}"/>
              </c:ext>
            </c:extLst>
          </c:dPt>
          <c:dPt>
            <c:idx val="11"/>
            <c:invertIfNegative val="0"/>
            <c:bubble3D val="0"/>
            <c:spPr>
              <a:solidFill>
                <a:srgbClr val="4F81BD"/>
              </a:solidFill>
              <a:ln>
                <a:noFill/>
              </a:ln>
              <a:effectLst/>
            </c:spPr>
            <c:extLst>
              <c:ext xmlns:c16="http://schemas.microsoft.com/office/drawing/2014/chart" uri="{C3380CC4-5D6E-409C-BE32-E72D297353CC}">
                <c16:uniqueId val="{00000017-B0D2-4907-81E0-13B89BF5AAC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2"/>
                <c:pt idx="0">
                  <c:v>Argentina</c:v>
                </c:pt>
                <c:pt idx="1">
                  <c:v>Bolivia</c:v>
                </c:pt>
                <c:pt idx="2">
                  <c:v>Brasil</c:v>
                </c:pt>
                <c:pt idx="3">
                  <c:v>Chile</c:v>
                </c:pt>
                <c:pt idx="4">
                  <c:v>Colombia</c:v>
                </c:pt>
                <c:pt idx="5">
                  <c:v>Guatemala</c:v>
                </c:pt>
                <c:pt idx="6">
                  <c:v>Honduras</c:v>
                </c:pt>
                <c:pt idx="7">
                  <c:v>México</c:v>
                </c:pt>
                <c:pt idx="8">
                  <c:v>Paraguay</c:v>
                </c:pt>
                <c:pt idx="9">
                  <c:v>Perú</c:v>
                </c:pt>
                <c:pt idx="10">
                  <c:v>República Dominicana</c:v>
                </c:pt>
                <c:pt idx="11">
                  <c:v>Uruguay</c:v>
                </c:pt>
              </c:strCache>
            </c:strRef>
          </c:cat>
          <c:val>
            <c:numRef>
              <c:f>Sheet1!$B$2:$B$36</c:f>
              <c:numCache>
                <c:formatCode>General</c:formatCode>
                <c:ptCount val="12"/>
                <c:pt idx="0" formatCode="#,##0">
                  <c:v>3</c:v>
                </c:pt>
                <c:pt idx="4" formatCode="#,##0">
                  <c:v>1</c:v>
                </c:pt>
                <c:pt idx="5" formatCode="#,##0">
                  <c:v>2</c:v>
                </c:pt>
                <c:pt idx="7" formatCode="#,##0">
                  <c:v>7</c:v>
                </c:pt>
                <c:pt idx="8" formatCode="#,##0">
                  <c:v>2</c:v>
                </c:pt>
                <c:pt idx="9" formatCode="#,##0">
                  <c:v>1</c:v>
                </c:pt>
                <c:pt idx="10" formatCode="#,##0">
                  <c:v>1</c:v>
                </c:pt>
                <c:pt idx="11" formatCode="#,##0">
                  <c:v>1</c:v>
                </c:pt>
              </c:numCache>
            </c:numRef>
          </c:val>
          <c:extLst>
            <c:ext xmlns:c16="http://schemas.microsoft.com/office/drawing/2014/chart" uri="{C3380CC4-5D6E-409C-BE32-E72D297353CC}">
              <c16:uniqueId val="{00000018-B0D2-4907-81E0-13B89BF5AACA}"/>
            </c:ext>
          </c:extLst>
        </c:ser>
        <c:ser>
          <c:idx val="1"/>
          <c:order val="1"/>
          <c:tx>
            <c:strRef>
              <c:f>Sheet1!$C$1</c:f>
              <c:strCache>
                <c:ptCount val="1"/>
                <c:pt idx="0">
                  <c:v>Merits</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Sheet1!$A$2:$A$36</c:f>
              <c:strCache>
                <c:ptCount val="12"/>
                <c:pt idx="0">
                  <c:v>Argentina</c:v>
                </c:pt>
                <c:pt idx="1">
                  <c:v>Bolivia</c:v>
                </c:pt>
                <c:pt idx="2">
                  <c:v>Brasil</c:v>
                </c:pt>
                <c:pt idx="3">
                  <c:v>Chile</c:v>
                </c:pt>
                <c:pt idx="4">
                  <c:v>Colombia</c:v>
                </c:pt>
                <c:pt idx="5">
                  <c:v>Guatemala</c:v>
                </c:pt>
                <c:pt idx="6">
                  <c:v>Honduras</c:v>
                </c:pt>
                <c:pt idx="7">
                  <c:v>México</c:v>
                </c:pt>
                <c:pt idx="8">
                  <c:v>Paraguay</c:v>
                </c:pt>
                <c:pt idx="9">
                  <c:v>Perú</c:v>
                </c:pt>
                <c:pt idx="10">
                  <c:v>República Dominicana</c:v>
                </c:pt>
                <c:pt idx="11">
                  <c:v>Uruguay</c:v>
                </c:pt>
              </c:strCache>
            </c:strRef>
          </c:cat>
          <c:val>
            <c:numRef>
              <c:f>Sheet1!$C$2:$C$36</c:f>
              <c:numCache>
                <c:formatCode>General</c:formatCode>
                <c:ptCount val="12"/>
                <c:pt idx="0">
                  <c:v>18</c:v>
                </c:pt>
                <c:pt idx="1">
                  <c:v>6</c:v>
                </c:pt>
                <c:pt idx="2">
                  <c:v>2</c:v>
                </c:pt>
                <c:pt idx="3">
                  <c:v>4</c:v>
                </c:pt>
                <c:pt idx="4">
                  <c:v>23</c:v>
                </c:pt>
                <c:pt idx="5">
                  <c:v>9</c:v>
                </c:pt>
                <c:pt idx="6">
                  <c:v>3</c:v>
                </c:pt>
                <c:pt idx="7">
                  <c:v>6</c:v>
                </c:pt>
                <c:pt idx="8">
                  <c:v>2</c:v>
                </c:pt>
              </c:numCache>
            </c:numRef>
          </c:val>
          <c:extLst>
            <c:ext xmlns:c16="http://schemas.microsoft.com/office/drawing/2014/chart" uri="{C3380CC4-5D6E-409C-BE32-E72D297353CC}">
              <c16:uniqueId val="{00000019-B0D2-4907-81E0-13B89BF5AACA}"/>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Case docket at the end of every year </a:t>
            </a:r>
          </a:p>
          <a:p>
            <a:pPr>
              <a:defRPr sz="1400" b="0">
                <a:solidFill>
                  <a:schemeClr val="tx1">
                    <a:lumMod val="50000"/>
                    <a:lumOff val="50000"/>
                  </a:schemeClr>
                </a:solidFill>
                <a:latin typeface="Helvetica LT Std Cond" panose="020B0506020202030204" pitchFamily="34" charset="0"/>
              </a:defRPr>
            </a:pPr>
            <a:r>
              <a:rPr lang="en-US" sz="2000" b="1" i="0" u="none" strike="noStrike" baseline="0">
                <a:solidFill>
                  <a:srgbClr val="0070C0"/>
                </a:solidFill>
                <a:effectLst/>
              </a:rPr>
              <a:t>Admissibility and Merits</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portafolio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44E9-40BE-89E9-22E2CFE54D24}"/>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44E9-40BE-89E9-22E2CFE54D24}"/>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44E9-40BE-89E9-22E2CFE54D24}"/>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44E9-40BE-89E9-22E2CFE54D24}"/>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44E9-40BE-89E9-22E2CFE54D24}"/>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44E9-40BE-89E9-22E2CFE54D24}"/>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44E9-40BE-89E9-22E2CFE54D24}"/>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44E9-40BE-89E9-22E2CFE54D24}"/>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44E9-40BE-89E9-22E2CFE54D24}"/>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44E9-40BE-89E9-22E2CFE54D24}"/>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44E9-40BE-89E9-22E2CFE54D24}"/>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44E9-40BE-89E9-22E2CFE54D24}"/>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44E9-40BE-89E9-22E2CFE54D24}"/>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44E9-40BE-89E9-22E2CFE54D24}"/>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44E9-40BE-89E9-22E2CFE54D24}"/>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44E9-40BE-89E9-22E2CFE54D24}"/>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44E9-40BE-89E9-22E2CFE54D24}"/>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44E9-40BE-89E9-22E2CFE54D24}"/>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44E9-40BE-89E9-22E2CFE54D24}"/>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44E9-40BE-89E9-22E2CFE54D24}"/>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44E9-40BE-89E9-22E2CFE54D24}"/>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44E9-40BE-89E9-22E2CFE54D24}"/>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44E9-40BE-89E9-22E2CFE54D24}"/>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44E9-40BE-89E9-22E2CFE54D24}"/>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44E9-40BE-89E9-22E2CFE54D24}"/>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44E9-40BE-89E9-22E2CFE54D24}"/>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Sheet1!$B$2:$B$27</c:f>
              <c:numCache>
                <c:formatCode>#,##0</c:formatCode>
                <c:ptCount val="26"/>
                <c:pt idx="0">
                  <c:v>976</c:v>
                </c:pt>
                <c:pt idx="1">
                  <c:v>945</c:v>
                </c:pt>
                <c:pt idx="2">
                  <c:v>945</c:v>
                </c:pt>
                <c:pt idx="3">
                  <c:v>930</c:v>
                </c:pt>
                <c:pt idx="4">
                  <c:v>936</c:v>
                </c:pt>
                <c:pt idx="5">
                  <c:v>973</c:v>
                </c:pt>
                <c:pt idx="6">
                  <c:v>982</c:v>
                </c:pt>
                <c:pt idx="7">
                  <c:v>1021</c:v>
                </c:pt>
                <c:pt idx="8">
                  <c:v>1137</c:v>
                </c:pt>
                <c:pt idx="9">
                  <c:v>1237</c:v>
                </c:pt>
                <c:pt idx="10">
                  <c:v>1251</c:v>
                </c:pt>
                <c:pt idx="11">
                  <c:v>1376</c:v>
                </c:pt>
                <c:pt idx="12">
                  <c:v>1450</c:v>
                </c:pt>
                <c:pt idx="13">
                  <c:v>1584</c:v>
                </c:pt>
                <c:pt idx="14">
                  <c:v>1645</c:v>
                </c:pt>
                <c:pt idx="15">
                  <c:v>1704</c:v>
                </c:pt>
                <c:pt idx="16">
                  <c:v>1753</c:v>
                </c:pt>
                <c:pt idx="17">
                  <c:v>1955</c:v>
                </c:pt>
                <c:pt idx="18">
                  <c:v>1903</c:v>
                </c:pt>
                <c:pt idx="19">
                  <c:v>2333</c:v>
                </c:pt>
                <c:pt idx="20">
                  <c:v>2622</c:v>
                </c:pt>
                <c:pt idx="21">
                  <c:v>4217</c:v>
                </c:pt>
                <c:pt idx="22">
                  <c:v>4757</c:v>
                </c:pt>
                <c:pt idx="23">
                  <c:v>3089</c:v>
                </c:pt>
                <c:pt idx="24">
                  <c:v>3177</c:v>
                </c:pt>
                <c:pt idx="25">
                  <c:v>3629</c:v>
                </c:pt>
              </c:numCache>
            </c:numRef>
          </c:val>
          <c:extLst>
            <c:ext xmlns:c16="http://schemas.microsoft.com/office/drawing/2014/chart" uri="{C3380CC4-5D6E-409C-BE32-E72D297353CC}">
              <c16:uniqueId val="{00000034-44E9-40BE-89E9-22E2CFE54D24}"/>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Cases archived</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by Year</a:t>
            </a:r>
            <a:r>
              <a:rPr lang="en-US"/>
              <a:t>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casos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07E8-4C1A-8A54-79A07DE6E11F}"/>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07E8-4C1A-8A54-79A07DE6E11F}"/>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07E8-4C1A-8A54-79A07DE6E11F}"/>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07E8-4C1A-8A54-79A07DE6E11F}"/>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07E8-4C1A-8A54-79A07DE6E11F}"/>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07E8-4C1A-8A54-79A07DE6E11F}"/>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07E8-4C1A-8A54-79A07DE6E11F}"/>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07E8-4C1A-8A54-79A07DE6E11F}"/>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07E8-4C1A-8A54-79A07DE6E11F}"/>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07E8-4C1A-8A54-79A07DE6E11F}"/>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07E8-4C1A-8A54-79A07DE6E11F}"/>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07E8-4C1A-8A54-79A07DE6E11F}"/>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07E8-4C1A-8A54-79A07DE6E11F}"/>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07E8-4C1A-8A54-79A07DE6E11F}"/>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07E8-4C1A-8A54-79A07DE6E11F}"/>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07E8-4C1A-8A54-79A07DE6E11F}"/>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07E8-4C1A-8A54-79A07DE6E11F}"/>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07E8-4C1A-8A54-79A07DE6E11F}"/>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07E8-4C1A-8A54-79A07DE6E11F}"/>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07E8-4C1A-8A54-79A07DE6E11F}"/>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07E8-4C1A-8A54-79A07DE6E11F}"/>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07E8-4C1A-8A54-79A07DE6E11F}"/>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07E8-4C1A-8A54-79A07DE6E11F}"/>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07E8-4C1A-8A54-79A07DE6E11F}"/>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07E8-4C1A-8A54-79A07DE6E11F}"/>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07E8-4C1A-8A54-79A07DE6E11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Sheet1!$A$2:$A$26</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Sheet1!$B$2:$B$26</c:f>
              <c:numCache>
                <c:formatCode>#,##0</c:formatCode>
                <c:ptCount val="25"/>
                <c:pt idx="0">
                  <c:v>26</c:v>
                </c:pt>
                <c:pt idx="1">
                  <c:v>41</c:v>
                </c:pt>
                <c:pt idx="2">
                  <c:v>61</c:v>
                </c:pt>
                <c:pt idx="3">
                  <c:v>47</c:v>
                </c:pt>
                <c:pt idx="4">
                  <c:v>41</c:v>
                </c:pt>
                <c:pt idx="5">
                  <c:v>21</c:v>
                </c:pt>
                <c:pt idx="6">
                  <c:v>19</c:v>
                </c:pt>
                <c:pt idx="7">
                  <c:v>12</c:v>
                </c:pt>
                <c:pt idx="8">
                  <c:v>27</c:v>
                </c:pt>
                <c:pt idx="9">
                  <c:v>14</c:v>
                </c:pt>
                <c:pt idx="10">
                  <c:v>0</c:v>
                </c:pt>
                <c:pt idx="11">
                  <c:v>20</c:v>
                </c:pt>
                <c:pt idx="12">
                  <c:v>55</c:v>
                </c:pt>
                <c:pt idx="13">
                  <c:v>54</c:v>
                </c:pt>
                <c:pt idx="14">
                  <c:v>42</c:v>
                </c:pt>
                <c:pt idx="15">
                  <c:v>38</c:v>
                </c:pt>
                <c:pt idx="16">
                  <c:v>29</c:v>
                </c:pt>
                <c:pt idx="17">
                  <c:v>107</c:v>
                </c:pt>
                <c:pt idx="18">
                  <c:v>77</c:v>
                </c:pt>
                <c:pt idx="19">
                  <c:v>109</c:v>
                </c:pt>
                <c:pt idx="20">
                  <c:v>152</c:v>
                </c:pt>
                <c:pt idx="21">
                  <c:v>308</c:v>
                </c:pt>
                <c:pt idx="22">
                  <c:v>148</c:v>
                </c:pt>
                <c:pt idx="23">
                  <c:v>183</c:v>
                </c:pt>
                <c:pt idx="24">
                  <c:v>69</c:v>
                </c:pt>
              </c:numCache>
            </c:numRef>
          </c:val>
          <c:extLst>
            <c:ext xmlns:c16="http://schemas.microsoft.com/office/drawing/2014/chart" uri="{C3380CC4-5D6E-409C-BE32-E72D297353CC}">
              <c16:uniqueId val="{00000034-07E8-4C1A-8A54-79A07DE6E11F}"/>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Number of measures with progress in implementation during 2022, by State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Grafícas2022!$C$103</c:f>
              <c:strCache>
                <c:ptCount val="1"/>
                <c:pt idx="0">
                  <c:v>Total compliance</c:v>
                </c:pt>
              </c:strCache>
            </c:strRef>
          </c:tx>
          <c:spPr>
            <a:solidFill>
              <a:schemeClr val="accent1"/>
            </a:solidFill>
            <a:ln>
              <a:noFill/>
            </a:ln>
            <a:effectLst/>
          </c:spPr>
          <c:invertIfNegative val="0"/>
          <c:cat>
            <c:strRef>
              <c:f>Grafícas2022!$B$104:$B$112</c:f>
              <c:strCache>
                <c:ptCount val="9"/>
                <c:pt idx="0">
                  <c:v>Argentina</c:v>
                </c:pt>
                <c:pt idx="1">
                  <c:v>Brazil</c:v>
                </c:pt>
                <c:pt idx="2">
                  <c:v>Chile</c:v>
                </c:pt>
                <c:pt idx="3">
                  <c:v>Colombia</c:v>
                </c:pt>
                <c:pt idx="4">
                  <c:v>Guatemala</c:v>
                </c:pt>
                <c:pt idx="5">
                  <c:v>Honduras</c:v>
                </c:pt>
                <c:pt idx="6">
                  <c:v>Mexico</c:v>
                </c:pt>
                <c:pt idx="7">
                  <c:v>Panama</c:v>
                </c:pt>
                <c:pt idx="8">
                  <c:v>Uruguay</c:v>
                </c:pt>
              </c:strCache>
            </c:strRef>
          </c:cat>
          <c:val>
            <c:numRef>
              <c:f>Grafícas2022!$C$104:$C$112</c:f>
              <c:numCache>
                <c:formatCode>General</c:formatCode>
                <c:ptCount val="9"/>
                <c:pt idx="0">
                  <c:v>15</c:v>
                </c:pt>
                <c:pt idx="1">
                  <c:v>1</c:v>
                </c:pt>
                <c:pt idx="2">
                  <c:v>1</c:v>
                </c:pt>
                <c:pt idx="3">
                  <c:v>38</c:v>
                </c:pt>
                <c:pt idx="4">
                  <c:v>1</c:v>
                </c:pt>
                <c:pt idx="5">
                  <c:v>5</c:v>
                </c:pt>
                <c:pt idx="6">
                  <c:v>3</c:v>
                </c:pt>
                <c:pt idx="7">
                  <c:v>0</c:v>
                </c:pt>
                <c:pt idx="8">
                  <c:v>3</c:v>
                </c:pt>
              </c:numCache>
            </c:numRef>
          </c:val>
          <c:extLst>
            <c:ext xmlns:c16="http://schemas.microsoft.com/office/drawing/2014/chart" uri="{C3380CC4-5D6E-409C-BE32-E72D297353CC}">
              <c16:uniqueId val="{00000000-345C-4D80-B020-4AEDAE8ED7C1}"/>
            </c:ext>
          </c:extLst>
        </c:ser>
        <c:ser>
          <c:idx val="1"/>
          <c:order val="1"/>
          <c:tx>
            <c:strRef>
              <c:f>Grafícas2022!$D$103</c:f>
              <c:strCache>
                <c:ptCount val="1"/>
                <c:pt idx="0">
                  <c:v>Substantial partial ompliance</c:v>
                </c:pt>
              </c:strCache>
            </c:strRef>
          </c:tx>
          <c:spPr>
            <a:solidFill>
              <a:schemeClr val="accent2"/>
            </a:solidFill>
            <a:ln>
              <a:noFill/>
            </a:ln>
            <a:effectLst/>
          </c:spPr>
          <c:invertIfNegative val="0"/>
          <c:cat>
            <c:strRef>
              <c:f>Grafícas2022!$B$104:$B$112</c:f>
              <c:strCache>
                <c:ptCount val="9"/>
                <c:pt idx="0">
                  <c:v>Argentina</c:v>
                </c:pt>
                <c:pt idx="1">
                  <c:v>Brazil</c:v>
                </c:pt>
                <c:pt idx="2">
                  <c:v>Chile</c:v>
                </c:pt>
                <c:pt idx="3">
                  <c:v>Colombia</c:v>
                </c:pt>
                <c:pt idx="4">
                  <c:v>Guatemala</c:v>
                </c:pt>
                <c:pt idx="5">
                  <c:v>Honduras</c:v>
                </c:pt>
                <c:pt idx="6">
                  <c:v>Mexico</c:v>
                </c:pt>
                <c:pt idx="7">
                  <c:v>Panama</c:v>
                </c:pt>
                <c:pt idx="8">
                  <c:v>Uruguay</c:v>
                </c:pt>
              </c:strCache>
            </c:strRef>
          </c:cat>
          <c:val>
            <c:numRef>
              <c:f>Grafícas2022!$D$104:$D$112</c:f>
              <c:numCache>
                <c:formatCode>General</c:formatCode>
                <c:ptCount val="9"/>
                <c:pt idx="0">
                  <c:v>1</c:v>
                </c:pt>
                <c:pt idx="1">
                  <c:v>0</c:v>
                </c:pt>
                <c:pt idx="2">
                  <c:v>2</c:v>
                </c:pt>
                <c:pt idx="3">
                  <c:v>15</c:v>
                </c:pt>
                <c:pt idx="4">
                  <c:v>1</c:v>
                </c:pt>
                <c:pt idx="5">
                  <c:v>0</c:v>
                </c:pt>
                <c:pt idx="6">
                  <c:v>4</c:v>
                </c:pt>
                <c:pt idx="7">
                  <c:v>0</c:v>
                </c:pt>
                <c:pt idx="8">
                  <c:v>0</c:v>
                </c:pt>
              </c:numCache>
            </c:numRef>
          </c:val>
          <c:extLst>
            <c:ext xmlns:c16="http://schemas.microsoft.com/office/drawing/2014/chart" uri="{C3380CC4-5D6E-409C-BE32-E72D297353CC}">
              <c16:uniqueId val="{00000001-345C-4D80-B020-4AEDAE8ED7C1}"/>
            </c:ext>
          </c:extLst>
        </c:ser>
        <c:ser>
          <c:idx val="2"/>
          <c:order val="2"/>
          <c:tx>
            <c:strRef>
              <c:f>Grafícas2022!$E$103</c:f>
              <c:strCache>
                <c:ptCount val="1"/>
                <c:pt idx="0">
                  <c:v>Partial compliance</c:v>
                </c:pt>
              </c:strCache>
            </c:strRef>
          </c:tx>
          <c:spPr>
            <a:solidFill>
              <a:schemeClr val="accent3"/>
            </a:solidFill>
            <a:ln>
              <a:noFill/>
            </a:ln>
            <a:effectLst/>
          </c:spPr>
          <c:invertIfNegative val="0"/>
          <c:cat>
            <c:strRef>
              <c:f>Grafícas2022!$B$104:$B$112</c:f>
              <c:strCache>
                <c:ptCount val="9"/>
                <c:pt idx="0">
                  <c:v>Argentina</c:v>
                </c:pt>
                <c:pt idx="1">
                  <c:v>Brazil</c:v>
                </c:pt>
                <c:pt idx="2">
                  <c:v>Chile</c:v>
                </c:pt>
                <c:pt idx="3">
                  <c:v>Colombia</c:v>
                </c:pt>
                <c:pt idx="4">
                  <c:v>Guatemala</c:v>
                </c:pt>
                <c:pt idx="5">
                  <c:v>Honduras</c:v>
                </c:pt>
                <c:pt idx="6">
                  <c:v>Mexico</c:v>
                </c:pt>
                <c:pt idx="7">
                  <c:v>Panama</c:v>
                </c:pt>
                <c:pt idx="8">
                  <c:v>Uruguay</c:v>
                </c:pt>
              </c:strCache>
            </c:strRef>
          </c:cat>
          <c:val>
            <c:numRef>
              <c:f>Grafícas2022!$E$104:$E$112</c:f>
              <c:numCache>
                <c:formatCode>General</c:formatCode>
                <c:ptCount val="9"/>
                <c:pt idx="0">
                  <c:v>14</c:v>
                </c:pt>
                <c:pt idx="1">
                  <c:v>0</c:v>
                </c:pt>
                <c:pt idx="2">
                  <c:v>1</c:v>
                </c:pt>
                <c:pt idx="3">
                  <c:v>20</c:v>
                </c:pt>
                <c:pt idx="4">
                  <c:v>1</c:v>
                </c:pt>
                <c:pt idx="5">
                  <c:v>1</c:v>
                </c:pt>
                <c:pt idx="6">
                  <c:v>5</c:v>
                </c:pt>
                <c:pt idx="7">
                  <c:v>1</c:v>
                </c:pt>
                <c:pt idx="8">
                  <c:v>1</c:v>
                </c:pt>
              </c:numCache>
            </c:numRef>
          </c:val>
          <c:extLst>
            <c:ext xmlns:c16="http://schemas.microsoft.com/office/drawing/2014/chart" uri="{C3380CC4-5D6E-409C-BE32-E72D297353CC}">
              <c16:uniqueId val="{00000002-345C-4D80-B020-4AEDAE8ED7C1}"/>
            </c:ext>
          </c:extLst>
        </c:ser>
        <c:dLbls>
          <c:showLegendKey val="0"/>
          <c:showVal val="0"/>
          <c:showCatName val="0"/>
          <c:showSerName val="0"/>
          <c:showPercent val="0"/>
          <c:showBubbleSize val="0"/>
        </c:dLbls>
        <c:gapWidth val="79"/>
        <c:overlap val="100"/>
        <c:axId val="1785009536"/>
        <c:axId val="1785014528"/>
      </c:barChart>
      <c:catAx>
        <c:axId val="178500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785014528"/>
        <c:crosses val="autoZero"/>
        <c:auto val="1"/>
        <c:lblAlgn val="ctr"/>
        <c:lblOffset val="100"/>
        <c:noMultiLvlLbl val="0"/>
      </c:catAx>
      <c:valAx>
        <c:axId val="1785014528"/>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009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Cases archived by country </a:t>
            </a:r>
          </a:p>
          <a:p>
            <a:pPr>
              <a:defRPr/>
            </a:pPr>
            <a:r>
              <a:rPr lang="en-US" sz="2000" b="1" i="0">
                <a:solidFill>
                  <a:srgbClr val="0070C0"/>
                </a:solidFill>
                <a:latin typeface="Helvetica LT Std Cond" panose="020B0506020202030204" pitchFamily="34" charset="0"/>
              </a:rPr>
              <a:t>Total: 69</a:t>
            </a:r>
          </a:p>
        </c:rich>
      </c:tx>
      <c:layout>
        <c:manualLayout>
          <c:xMode val="edge"/>
          <c:yMode val="edge"/>
          <c:x val="0.33739837808735451"/>
          <c:y val="3.1746031746031744E-2"/>
        </c:manualLayout>
      </c:layout>
      <c:overlay val="0"/>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F3D7-4370-A2AF-9BEFFFAD8DD0}"/>
              </c:ext>
            </c:extLst>
          </c:dPt>
          <c:dPt>
            <c:idx val="1"/>
            <c:invertIfNegative val="0"/>
            <c:bubble3D val="0"/>
            <c:spPr>
              <a:solidFill>
                <a:srgbClr val="FFC000"/>
              </a:solidFill>
              <a:ln>
                <a:noFill/>
              </a:ln>
              <a:effectLst/>
            </c:spPr>
            <c:extLst>
              <c:ext xmlns:c16="http://schemas.microsoft.com/office/drawing/2014/chart" uri="{C3380CC4-5D6E-409C-BE32-E72D297353CC}">
                <c16:uniqueId val="{00000003-F3D7-4370-A2AF-9BEFFFAD8DD0}"/>
              </c:ext>
            </c:extLst>
          </c:dPt>
          <c:dPt>
            <c:idx val="2"/>
            <c:invertIfNegative val="0"/>
            <c:bubble3D val="0"/>
            <c:spPr>
              <a:solidFill>
                <a:srgbClr val="70AD47"/>
              </a:solidFill>
              <a:ln>
                <a:noFill/>
              </a:ln>
              <a:effectLst/>
            </c:spPr>
            <c:extLst>
              <c:ext xmlns:c16="http://schemas.microsoft.com/office/drawing/2014/chart" uri="{C3380CC4-5D6E-409C-BE32-E72D297353CC}">
                <c16:uniqueId val="{00000005-F3D7-4370-A2AF-9BEFFFAD8DD0}"/>
              </c:ext>
            </c:extLst>
          </c:dPt>
          <c:dPt>
            <c:idx val="3"/>
            <c:invertIfNegative val="0"/>
            <c:bubble3D val="0"/>
            <c:spPr>
              <a:solidFill>
                <a:srgbClr val="0070C0"/>
              </a:solidFill>
              <a:ln>
                <a:noFill/>
              </a:ln>
              <a:effectLst/>
            </c:spPr>
            <c:extLst>
              <c:ext xmlns:c16="http://schemas.microsoft.com/office/drawing/2014/chart" uri="{C3380CC4-5D6E-409C-BE32-E72D297353CC}">
                <c16:uniqueId val="{00000007-F3D7-4370-A2AF-9BEFFFAD8DD0}"/>
              </c:ext>
            </c:extLst>
          </c:dPt>
          <c:dPt>
            <c:idx val="4"/>
            <c:invertIfNegative val="0"/>
            <c:bubble3D val="0"/>
            <c:spPr>
              <a:solidFill>
                <a:srgbClr val="ED7D31"/>
              </a:solidFill>
              <a:ln>
                <a:noFill/>
              </a:ln>
              <a:effectLst/>
            </c:spPr>
            <c:extLst>
              <c:ext xmlns:c16="http://schemas.microsoft.com/office/drawing/2014/chart" uri="{C3380CC4-5D6E-409C-BE32-E72D297353CC}">
                <c16:uniqueId val="{00000009-F3D7-4370-A2AF-9BEFFFAD8DD0}"/>
              </c:ext>
            </c:extLst>
          </c:dPt>
          <c:dPt>
            <c:idx val="5"/>
            <c:invertIfNegative val="0"/>
            <c:bubble3D val="0"/>
            <c:spPr>
              <a:solidFill>
                <a:srgbClr val="7030A0"/>
              </a:solidFill>
              <a:ln>
                <a:noFill/>
              </a:ln>
              <a:effectLst/>
            </c:spPr>
            <c:extLst>
              <c:ext xmlns:c16="http://schemas.microsoft.com/office/drawing/2014/chart" uri="{C3380CC4-5D6E-409C-BE32-E72D297353CC}">
                <c16:uniqueId val="{0000000B-F3D7-4370-A2AF-9BEFFFAD8DD0}"/>
              </c:ext>
            </c:extLst>
          </c:dPt>
          <c:dPt>
            <c:idx val="6"/>
            <c:invertIfNegative val="0"/>
            <c:bubble3D val="0"/>
            <c:spPr>
              <a:solidFill>
                <a:srgbClr val="00B0F0"/>
              </a:solidFill>
              <a:ln>
                <a:noFill/>
              </a:ln>
              <a:effectLst/>
            </c:spPr>
            <c:extLst>
              <c:ext xmlns:c16="http://schemas.microsoft.com/office/drawing/2014/chart" uri="{C3380CC4-5D6E-409C-BE32-E72D297353CC}">
                <c16:uniqueId val="{0000000D-F3D7-4370-A2AF-9BEFFFAD8DD0}"/>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F3D7-4370-A2AF-9BEFFFAD8DD0}"/>
              </c:ext>
            </c:extLst>
          </c:dPt>
          <c:dPt>
            <c:idx val="8"/>
            <c:invertIfNegative val="0"/>
            <c:bubble3D val="0"/>
            <c:spPr>
              <a:solidFill>
                <a:srgbClr val="0070C0"/>
              </a:solidFill>
              <a:ln>
                <a:noFill/>
              </a:ln>
              <a:effectLst/>
            </c:spPr>
            <c:extLst>
              <c:ext xmlns:c16="http://schemas.microsoft.com/office/drawing/2014/chart" uri="{C3380CC4-5D6E-409C-BE32-E72D297353CC}">
                <c16:uniqueId val="{00000011-F3D7-4370-A2AF-9BEFFFAD8DD0}"/>
              </c:ext>
            </c:extLst>
          </c:dPt>
          <c:dPt>
            <c:idx val="9"/>
            <c:invertIfNegative val="0"/>
            <c:bubble3D val="0"/>
            <c:spPr>
              <a:solidFill>
                <a:srgbClr val="00EFE4"/>
              </a:solidFill>
              <a:ln>
                <a:noFill/>
              </a:ln>
              <a:effectLst/>
            </c:spPr>
            <c:extLst>
              <c:ext xmlns:c16="http://schemas.microsoft.com/office/drawing/2014/chart" uri="{C3380CC4-5D6E-409C-BE32-E72D297353CC}">
                <c16:uniqueId val="{00000013-F3D7-4370-A2AF-9BEFFFAD8DD0}"/>
              </c:ext>
            </c:extLst>
          </c:dPt>
          <c:dPt>
            <c:idx val="10"/>
            <c:invertIfNegative val="0"/>
            <c:bubble3D val="0"/>
            <c:spPr>
              <a:solidFill>
                <a:srgbClr val="70AD47">
                  <a:lumMod val="75000"/>
                </a:srgbClr>
              </a:solidFill>
              <a:ln>
                <a:noFill/>
              </a:ln>
              <a:effectLst/>
            </c:spPr>
            <c:extLst>
              <c:ext xmlns:c16="http://schemas.microsoft.com/office/drawing/2014/chart" uri="{C3380CC4-5D6E-409C-BE32-E72D297353CC}">
                <c16:uniqueId val="{00000015-F3D7-4370-A2AF-9BEFFFAD8DD0}"/>
              </c:ext>
            </c:extLst>
          </c:dPt>
          <c:dPt>
            <c:idx val="1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7-F3D7-4370-A2AF-9BEFFFAD8DD0}"/>
              </c:ext>
            </c:extLst>
          </c:dPt>
          <c:dPt>
            <c:idx val="13"/>
            <c:invertIfNegative val="0"/>
            <c:bubble3D val="0"/>
            <c:spPr>
              <a:solidFill>
                <a:srgbClr val="CD582C"/>
              </a:solidFill>
              <a:ln>
                <a:noFill/>
              </a:ln>
              <a:effectLst/>
            </c:spPr>
            <c:extLst>
              <c:ext xmlns:c16="http://schemas.microsoft.com/office/drawing/2014/chart" uri="{C3380CC4-5D6E-409C-BE32-E72D297353CC}">
                <c16:uniqueId val="{00000019-F3D7-4370-A2AF-9BEFFFAD8DD0}"/>
              </c:ext>
            </c:extLst>
          </c:dPt>
          <c:dPt>
            <c:idx val="14"/>
            <c:invertIfNegative val="0"/>
            <c:bubble3D val="0"/>
            <c:spPr>
              <a:solidFill>
                <a:srgbClr val="D00024"/>
              </a:solidFill>
              <a:ln>
                <a:noFill/>
              </a:ln>
              <a:effectLst/>
            </c:spPr>
            <c:extLst>
              <c:ext xmlns:c16="http://schemas.microsoft.com/office/drawing/2014/chart" uri="{C3380CC4-5D6E-409C-BE32-E72D297353CC}">
                <c16:uniqueId val="{0000001B-F3D7-4370-A2AF-9BEFFFAD8DD0}"/>
              </c:ext>
            </c:extLst>
          </c:dPt>
          <c:dPt>
            <c:idx val="15"/>
            <c:invertIfNegative val="0"/>
            <c:bubble3D val="0"/>
            <c:spPr>
              <a:solidFill>
                <a:srgbClr val="4400E8"/>
              </a:solidFill>
              <a:ln>
                <a:noFill/>
              </a:ln>
              <a:effectLst/>
            </c:spPr>
            <c:extLst>
              <c:ext xmlns:c16="http://schemas.microsoft.com/office/drawing/2014/chart" uri="{C3380CC4-5D6E-409C-BE32-E72D297353CC}">
                <c16:uniqueId val="{0000001D-F3D7-4370-A2AF-9BEFFFAD8DD0}"/>
              </c:ext>
            </c:extLst>
          </c:dPt>
          <c:dPt>
            <c:idx val="16"/>
            <c:invertIfNegative val="0"/>
            <c:bubble3D val="0"/>
            <c:spPr>
              <a:solidFill>
                <a:srgbClr val="E7E6E6">
                  <a:lumMod val="75000"/>
                </a:srgbClr>
              </a:solidFill>
              <a:ln>
                <a:noFill/>
              </a:ln>
              <a:effectLst/>
            </c:spPr>
            <c:extLst>
              <c:ext xmlns:c16="http://schemas.microsoft.com/office/drawing/2014/chart" uri="{C3380CC4-5D6E-409C-BE32-E72D297353CC}">
                <c16:uniqueId val="{0000001F-F3D7-4370-A2AF-9BEFFFAD8DD0}"/>
              </c:ext>
            </c:extLst>
          </c:dPt>
          <c:dPt>
            <c:idx val="17"/>
            <c:invertIfNegative val="0"/>
            <c:bubble3D val="0"/>
            <c:spPr>
              <a:solidFill>
                <a:srgbClr val="D00000"/>
              </a:solidFill>
              <a:ln>
                <a:noFill/>
              </a:ln>
              <a:effectLst/>
            </c:spPr>
            <c:extLst>
              <c:ext xmlns:c16="http://schemas.microsoft.com/office/drawing/2014/chart" uri="{C3380CC4-5D6E-409C-BE32-E72D297353CC}">
                <c16:uniqueId val="{00000021-F3D7-4370-A2AF-9BEFFFAD8DD0}"/>
              </c:ext>
            </c:extLst>
          </c:dPt>
          <c:dPt>
            <c:idx val="18"/>
            <c:invertIfNegative val="0"/>
            <c:bubble3D val="0"/>
            <c:spPr>
              <a:solidFill>
                <a:srgbClr val="783FC5"/>
              </a:solidFill>
              <a:ln>
                <a:noFill/>
              </a:ln>
              <a:effectLst/>
            </c:spPr>
            <c:extLst>
              <c:ext xmlns:c16="http://schemas.microsoft.com/office/drawing/2014/chart" uri="{C3380CC4-5D6E-409C-BE32-E72D297353CC}">
                <c16:uniqueId val="{00000023-F3D7-4370-A2AF-9BEFFFAD8DD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9"/>
                <c:pt idx="0">
                  <c:v>Argentina</c:v>
                </c:pt>
                <c:pt idx="1">
                  <c:v>Bolivia</c:v>
                </c:pt>
                <c:pt idx="2">
                  <c:v>Brasil</c:v>
                </c:pt>
                <c:pt idx="3">
                  <c:v>Chile</c:v>
                </c:pt>
                <c:pt idx="4">
                  <c:v>Colombia</c:v>
                </c:pt>
                <c:pt idx="5">
                  <c:v>Costa Rica</c:v>
                </c:pt>
                <c:pt idx="6">
                  <c:v>Cuba</c:v>
                </c:pt>
                <c:pt idx="7">
                  <c:v>Ecuador</c:v>
                </c:pt>
                <c:pt idx="8">
                  <c:v>Guatemala</c:v>
                </c:pt>
                <c:pt idx="9">
                  <c:v>Honduras</c:v>
                </c:pt>
                <c:pt idx="10">
                  <c:v>México</c:v>
                </c:pt>
                <c:pt idx="11">
                  <c:v>Nicaragua</c:v>
                </c:pt>
                <c:pt idx="12">
                  <c:v>Panamá</c:v>
                </c:pt>
                <c:pt idx="13">
                  <c:v>Paraguay</c:v>
                </c:pt>
                <c:pt idx="14">
                  <c:v>Perú</c:v>
                </c:pt>
                <c:pt idx="15">
                  <c:v>República Dominicana</c:v>
                </c:pt>
                <c:pt idx="16">
                  <c:v>Trinidad and Tobago</c:v>
                </c:pt>
                <c:pt idx="17">
                  <c:v>United States of America</c:v>
                </c:pt>
                <c:pt idx="18">
                  <c:v>Venezuela</c:v>
                </c:pt>
              </c:strCache>
            </c:strRef>
          </c:cat>
          <c:val>
            <c:numRef>
              <c:f>Sheet1!$B$2:$B$36</c:f>
              <c:numCache>
                <c:formatCode>#,##0</c:formatCode>
                <c:ptCount val="19"/>
                <c:pt idx="0">
                  <c:v>3</c:v>
                </c:pt>
                <c:pt idx="1">
                  <c:v>2</c:v>
                </c:pt>
                <c:pt idx="2">
                  <c:v>3</c:v>
                </c:pt>
                <c:pt idx="3">
                  <c:v>6</c:v>
                </c:pt>
                <c:pt idx="4">
                  <c:v>12</c:v>
                </c:pt>
                <c:pt idx="5">
                  <c:v>6</c:v>
                </c:pt>
                <c:pt idx="6">
                  <c:v>1</c:v>
                </c:pt>
                <c:pt idx="7">
                  <c:v>4</c:v>
                </c:pt>
                <c:pt idx="8">
                  <c:v>2</c:v>
                </c:pt>
                <c:pt idx="9">
                  <c:v>1</c:v>
                </c:pt>
                <c:pt idx="10">
                  <c:v>3</c:v>
                </c:pt>
                <c:pt idx="11">
                  <c:v>2</c:v>
                </c:pt>
                <c:pt idx="12">
                  <c:v>1</c:v>
                </c:pt>
                <c:pt idx="13">
                  <c:v>2</c:v>
                </c:pt>
                <c:pt idx="14">
                  <c:v>4</c:v>
                </c:pt>
                <c:pt idx="15">
                  <c:v>1</c:v>
                </c:pt>
                <c:pt idx="16">
                  <c:v>1</c:v>
                </c:pt>
                <c:pt idx="17">
                  <c:v>3</c:v>
                </c:pt>
                <c:pt idx="18">
                  <c:v>12</c:v>
                </c:pt>
              </c:numCache>
            </c:numRef>
          </c:val>
          <c:extLst>
            <c:ext xmlns:c16="http://schemas.microsoft.com/office/drawing/2014/chart" uri="{C3380CC4-5D6E-409C-BE32-E72D297353CC}">
              <c16:uniqueId val="{00000024-F3D7-4370-A2AF-9BEFFFAD8DD0}"/>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Reports on admissibility adopted</a:t>
            </a:r>
          </a:p>
          <a:p>
            <a:pPr>
              <a:defRPr/>
            </a:pPr>
            <a:r>
              <a:rPr lang="en-US" sz="2000" b="1" i="0">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12536479815023122"/>
          <c:y val="0.13579190101237346"/>
          <c:w val="0.83216144856892893"/>
          <c:h val="0.80725009373828271"/>
        </c:manualLayout>
      </c:layout>
      <c:barChart>
        <c:barDir val="bar"/>
        <c:grouping val="stacked"/>
        <c:varyColors val="0"/>
        <c:ser>
          <c:idx val="0"/>
          <c:order val="0"/>
          <c:tx>
            <c:strRef>
              <c:f>Sheet1!$B$1</c:f>
              <c:strCache>
                <c:ptCount val="1"/>
                <c:pt idx="0">
                  <c:v>Admissible</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2344-49A6-882A-0A195F0AEC13}"/>
              </c:ext>
            </c:extLst>
          </c:dPt>
          <c:dPt>
            <c:idx val="1"/>
            <c:invertIfNegative val="0"/>
            <c:bubble3D val="0"/>
            <c:spPr>
              <a:solidFill>
                <a:srgbClr val="4F81BD"/>
              </a:solidFill>
              <a:ln>
                <a:noFill/>
              </a:ln>
              <a:effectLst/>
            </c:spPr>
            <c:extLst>
              <c:ext xmlns:c16="http://schemas.microsoft.com/office/drawing/2014/chart" uri="{C3380CC4-5D6E-409C-BE32-E72D297353CC}">
                <c16:uniqueId val="{00000003-2344-49A6-882A-0A195F0AEC13}"/>
              </c:ext>
            </c:extLst>
          </c:dPt>
          <c:dPt>
            <c:idx val="2"/>
            <c:invertIfNegative val="0"/>
            <c:bubble3D val="0"/>
            <c:spPr>
              <a:solidFill>
                <a:srgbClr val="4F81BD"/>
              </a:solidFill>
              <a:ln>
                <a:noFill/>
              </a:ln>
              <a:effectLst/>
            </c:spPr>
            <c:extLst>
              <c:ext xmlns:c16="http://schemas.microsoft.com/office/drawing/2014/chart" uri="{C3380CC4-5D6E-409C-BE32-E72D297353CC}">
                <c16:uniqueId val="{00000005-2344-49A6-882A-0A195F0AEC13}"/>
              </c:ext>
            </c:extLst>
          </c:dPt>
          <c:dPt>
            <c:idx val="3"/>
            <c:invertIfNegative val="0"/>
            <c:bubble3D val="0"/>
            <c:spPr>
              <a:solidFill>
                <a:srgbClr val="4F81BD"/>
              </a:solidFill>
              <a:ln>
                <a:noFill/>
              </a:ln>
              <a:effectLst/>
            </c:spPr>
            <c:extLst>
              <c:ext xmlns:c16="http://schemas.microsoft.com/office/drawing/2014/chart" uri="{C3380CC4-5D6E-409C-BE32-E72D297353CC}">
                <c16:uniqueId val="{00000007-2344-49A6-882A-0A195F0AEC13}"/>
              </c:ext>
            </c:extLst>
          </c:dPt>
          <c:dPt>
            <c:idx val="4"/>
            <c:invertIfNegative val="0"/>
            <c:bubble3D val="0"/>
            <c:spPr>
              <a:solidFill>
                <a:srgbClr val="4F81BD"/>
              </a:solidFill>
              <a:ln>
                <a:noFill/>
              </a:ln>
              <a:effectLst/>
            </c:spPr>
            <c:extLst>
              <c:ext xmlns:c16="http://schemas.microsoft.com/office/drawing/2014/chart" uri="{C3380CC4-5D6E-409C-BE32-E72D297353CC}">
                <c16:uniqueId val="{00000009-2344-49A6-882A-0A195F0AEC13}"/>
              </c:ext>
            </c:extLst>
          </c:dPt>
          <c:dPt>
            <c:idx val="5"/>
            <c:invertIfNegative val="0"/>
            <c:bubble3D val="0"/>
            <c:spPr>
              <a:solidFill>
                <a:srgbClr val="4F81BD"/>
              </a:solidFill>
              <a:ln>
                <a:noFill/>
              </a:ln>
              <a:effectLst/>
            </c:spPr>
            <c:extLst>
              <c:ext xmlns:c16="http://schemas.microsoft.com/office/drawing/2014/chart" uri="{C3380CC4-5D6E-409C-BE32-E72D297353CC}">
                <c16:uniqueId val="{0000000B-2344-49A6-882A-0A195F0AEC13}"/>
              </c:ext>
            </c:extLst>
          </c:dPt>
          <c:dPt>
            <c:idx val="6"/>
            <c:invertIfNegative val="0"/>
            <c:bubble3D val="0"/>
            <c:spPr>
              <a:solidFill>
                <a:srgbClr val="4F81BD"/>
              </a:solidFill>
              <a:ln>
                <a:noFill/>
              </a:ln>
              <a:effectLst/>
            </c:spPr>
            <c:extLst>
              <c:ext xmlns:c16="http://schemas.microsoft.com/office/drawing/2014/chart" uri="{C3380CC4-5D6E-409C-BE32-E72D297353CC}">
                <c16:uniqueId val="{0000000D-2344-49A6-882A-0A195F0AEC13}"/>
              </c:ext>
            </c:extLst>
          </c:dPt>
          <c:dPt>
            <c:idx val="7"/>
            <c:invertIfNegative val="0"/>
            <c:bubble3D val="0"/>
            <c:spPr>
              <a:solidFill>
                <a:srgbClr val="4F81BD"/>
              </a:solidFill>
              <a:ln>
                <a:noFill/>
              </a:ln>
              <a:effectLst/>
            </c:spPr>
            <c:extLst>
              <c:ext xmlns:c16="http://schemas.microsoft.com/office/drawing/2014/chart" uri="{C3380CC4-5D6E-409C-BE32-E72D297353CC}">
                <c16:uniqueId val="{0000000F-2344-49A6-882A-0A195F0AEC13}"/>
              </c:ext>
            </c:extLst>
          </c:dPt>
          <c:dPt>
            <c:idx val="8"/>
            <c:invertIfNegative val="0"/>
            <c:bubble3D val="0"/>
            <c:spPr>
              <a:solidFill>
                <a:srgbClr val="4F81BD"/>
              </a:solidFill>
              <a:ln>
                <a:noFill/>
              </a:ln>
              <a:effectLst/>
            </c:spPr>
            <c:extLst>
              <c:ext xmlns:c16="http://schemas.microsoft.com/office/drawing/2014/chart" uri="{C3380CC4-5D6E-409C-BE32-E72D297353CC}">
                <c16:uniqueId val="{00000011-2344-49A6-882A-0A195F0AEC13}"/>
              </c:ext>
            </c:extLst>
          </c:dPt>
          <c:dPt>
            <c:idx val="9"/>
            <c:invertIfNegative val="0"/>
            <c:bubble3D val="0"/>
            <c:spPr>
              <a:solidFill>
                <a:srgbClr val="4F81BD"/>
              </a:solidFill>
              <a:ln>
                <a:noFill/>
              </a:ln>
              <a:effectLst/>
            </c:spPr>
            <c:extLst>
              <c:ext xmlns:c16="http://schemas.microsoft.com/office/drawing/2014/chart" uri="{C3380CC4-5D6E-409C-BE32-E72D297353CC}">
                <c16:uniqueId val="{00000013-2344-49A6-882A-0A195F0AEC13}"/>
              </c:ext>
            </c:extLst>
          </c:dPt>
          <c:dPt>
            <c:idx val="10"/>
            <c:invertIfNegative val="0"/>
            <c:bubble3D val="0"/>
            <c:spPr>
              <a:solidFill>
                <a:srgbClr val="4F81BD"/>
              </a:solidFill>
              <a:ln>
                <a:noFill/>
              </a:ln>
              <a:effectLst/>
            </c:spPr>
            <c:extLst>
              <c:ext xmlns:c16="http://schemas.microsoft.com/office/drawing/2014/chart" uri="{C3380CC4-5D6E-409C-BE32-E72D297353CC}">
                <c16:uniqueId val="{00000015-2344-49A6-882A-0A195F0AEC13}"/>
              </c:ext>
            </c:extLst>
          </c:dPt>
          <c:dPt>
            <c:idx val="11"/>
            <c:invertIfNegative val="0"/>
            <c:bubble3D val="0"/>
            <c:spPr>
              <a:solidFill>
                <a:srgbClr val="4F81BD"/>
              </a:solidFill>
              <a:ln>
                <a:noFill/>
              </a:ln>
              <a:effectLst/>
            </c:spPr>
            <c:extLst>
              <c:ext xmlns:c16="http://schemas.microsoft.com/office/drawing/2014/chart" uri="{C3380CC4-5D6E-409C-BE32-E72D297353CC}">
                <c16:uniqueId val="{00000017-2344-49A6-882A-0A195F0AEC13}"/>
              </c:ext>
            </c:extLst>
          </c:dPt>
          <c:dPt>
            <c:idx val="12"/>
            <c:invertIfNegative val="0"/>
            <c:bubble3D val="0"/>
            <c:spPr>
              <a:solidFill>
                <a:srgbClr val="4F81BD"/>
              </a:solidFill>
              <a:ln>
                <a:noFill/>
              </a:ln>
              <a:effectLst/>
            </c:spPr>
            <c:extLst>
              <c:ext xmlns:c16="http://schemas.microsoft.com/office/drawing/2014/chart" uri="{C3380CC4-5D6E-409C-BE32-E72D297353CC}">
                <c16:uniqueId val="{00000019-2344-49A6-882A-0A195F0AEC13}"/>
              </c:ext>
            </c:extLst>
          </c:dPt>
          <c:dPt>
            <c:idx val="13"/>
            <c:invertIfNegative val="0"/>
            <c:bubble3D val="0"/>
            <c:spPr>
              <a:solidFill>
                <a:srgbClr val="4F81BD"/>
              </a:solidFill>
              <a:ln>
                <a:noFill/>
              </a:ln>
              <a:effectLst/>
            </c:spPr>
            <c:extLst>
              <c:ext xmlns:c16="http://schemas.microsoft.com/office/drawing/2014/chart" uri="{C3380CC4-5D6E-409C-BE32-E72D297353CC}">
                <c16:uniqueId val="{0000001B-2344-49A6-882A-0A195F0AEC13}"/>
              </c:ext>
            </c:extLst>
          </c:dPt>
          <c:dPt>
            <c:idx val="14"/>
            <c:invertIfNegative val="0"/>
            <c:bubble3D val="0"/>
            <c:spPr>
              <a:solidFill>
                <a:srgbClr val="4F81BD"/>
              </a:solidFill>
              <a:ln>
                <a:noFill/>
              </a:ln>
              <a:effectLst/>
            </c:spPr>
            <c:extLst>
              <c:ext xmlns:c16="http://schemas.microsoft.com/office/drawing/2014/chart" uri="{C3380CC4-5D6E-409C-BE32-E72D297353CC}">
                <c16:uniqueId val="{0000001D-2344-49A6-882A-0A195F0AEC13}"/>
              </c:ext>
            </c:extLst>
          </c:dPt>
          <c:dPt>
            <c:idx val="15"/>
            <c:invertIfNegative val="0"/>
            <c:bubble3D val="0"/>
            <c:spPr>
              <a:solidFill>
                <a:srgbClr val="4F81BD"/>
              </a:solidFill>
              <a:ln>
                <a:noFill/>
              </a:ln>
              <a:effectLst/>
            </c:spPr>
            <c:extLst>
              <c:ext xmlns:c16="http://schemas.microsoft.com/office/drawing/2014/chart" uri="{C3380CC4-5D6E-409C-BE32-E72D297353CC}">
                <c16:uniqueId val="{0000001F-2344-49A6-882A-0A195F0AEC13}"/>
              </c:ext>
            </c:extLst>
          </c:dPt>
          <c:dPt>
            <c:idx val="16"/>
            <c:invertIfNegative val="0"/>
            <c:bubble3D val="0"/>
            <c:spPr>
              <a:solidFill>
                <a:srgbClr val="4F81BD"/>
              </a:solidFill>
              <a:ln>
                <a:noFill/>
              </a:ln>
              <a:effectLst/>
            </c:spPr>
            <c:extLst>
              <c:ext xmlns:c16="http://schemas.microsoft.com/office/drawing/2014/chart" uri="{C3380CC4-5D6E-409C-BE32-E72D297353CC}">
                <c16:uniqueId val="{00000021-2344-49A6-882A-0A195F0AEC13}"/>
              </c:ext>
            </c:extLst>
          </c:dPt>
          <c:dPt>
            <c:idx val="17"/>
            <c:invertIfNegative val="0"/>
            <c:bubble3D val="0"/>
            <c:spPr>
              <a:solidFill>
                <a:srgbClr val="4F81BD"/>
              </a:solidFill>
              <a:ln>
                <a:noFill/>
              </a:ln>
              <a:effectLst/>
            </c:spPr>
            <c:extLst>
              <c:ext xmlns:c16="http://schemas.microsoft.com/office/drawing/2014/chart" uri="{C3380CC4-5D6E-409C-BE32-E72D297353CC}">
                <c16:uniqueId val="{00000023-2344-49A6-882A-0A195F0AEC13}"/>
              </c:ext>
            </c:extLst>
          </c:dPt>
          <c:dPt>
            <c:idx val="18"/>
            <c:invertIfNegative val="0"/>
            <c:bubble3D val="0"/>
            <c:spPr>
              <a:solidFill>
                <a:srgbClr val="4F81BD"/>
              </a:solidFill>
              <a:ln>
                <a:noFill/>
              </a:ln>
              <a:effectLst/>
            </c:spPr>
            <c:extLst>
              <c:ext xmlns:c16="http://schemas.microsoft.com/office/drawing/2014/chart" uri="{C3380CC4-5D6E-409C-BE32-E72D297353CC}">
                <c16:uniqueId val="{00000025-2344-49A6-882A-0A195F0AEC13}"/>
              </c:ext>
            </c:extLst>
          </c:dPt>
          <c:dPt>
            <c:idx val="19"/>
            <c:invertIfNegative val="0"/>
            <c:bubble3D val="0"/>
            <c:spPr>
              <a:solidFill>
                <a:srgbClr val="4F81BD"/>
              </a:solidFill>
              <a:ln>
                <a:noFill/>
              </a:ln>
              <a:effectLst/>
            </c:spPr>
            <c:extLst>
              <c:ext xmlns:c16="http://schemas.microsoft.com/office/drawing/2014/chart" uri="{C3380CC4-5D6E-409C-BE32-E72D297353CC}">
                <c16:uniqueId val="{00000027-2344-49A6-882A-0A195F0AEC13}"/>
              </c:ext>
            </c:extLst>
          </c:dPt>
          <c:dPt>
            <c:idx val="20"/>
            <c:invertIfNegative val="0"/>
            <c:bubble3D val="0"/>
            <c:spPr>
              <a:solidFill>
                <a:srgbClr val="4F81BD"/>
              </a:solidFill>
              <a:ln>
                <a:noFill/>
              </a:ln>
              <a:effectLst/>
            </c:spPr>
            <c:extLst>
              <c:ext xmlns:c16="http://schemas.microsoft.com/office/drawing/2014/chart" uri="{C3380CC4-5D6E-409C-BE32-E72D297353CC}">
                <c16:uniqueId val="{00000029-2344-49A6-882A-0A195F0AEC13}"/>
              </c:ext>
            </c:extLst>
          </c:dPt>
          <c:dPt>
            <c:idx val="21"/>
            <c:invertIfNegative val="0"/>
            <c:bubble3D val="0"/>
            <c:spPr>
              <a:solidFill>
                <a:srgbClr val="4F81BD"/>
              </a:solidFill>
              <a:ln>
                <a:noFill/>
              </a:ln>
              <a:effectLst/>
            </c:spPr>
            <c:extLst>
              <c:ext xmlns:c16="http://schemas.microsoft.com/office/drawing/2014/chart" uri="{C3380CC4-5D6E-409C-BE32-E72D297353CC}">
                <c16:uniqueId val="{0000002B-2344-49A6-882A-0A195F0AEC13}"/>
              </c:ext>
            </c:extLst>
          </c:dPt>
          <c:dPt>
            <c:idx val="23"/>
            <c:invertIfNegative val="0"/>
            <c:bubble3D val="0"/>
            <c:spPr>
              <a:solidFill>
                <a:srgbClr val="4F81BD"/>
              </a:solidFill>
              <a:ln>
                <a:noFill/>
              </a:ln>
              <a:effectLst/>
            </c:spPr>
            <c:extLst>
              <c:ext xmlns:c16="http://schemas.microsoft.com/office/drawing/2014/chart" uri="{C3380CC4-5D6E-409C-BE32-E72D297353CC}">
                <c16:uniqueId val="{0000002D-2344-49A6-882A-0A195F0AEC13}"/>
              </c:ext>
            </c:extLst>
          </c:dPt>
          <c:dPt>
            <c:idx val="24"/>
            <c:invertIfNegative val="0"/>
            <c:bubble3D val="0"/>
            <c:spPr>
              <a:solidFill>
                <a:srgbClr val="4F81BD"/>
              </a:solidFill>
              <a:ln>
                <a:noFill/>
              </a:ln>
              <a:effectLst/>
            </c:spPr>
            <c:extLst>
              <c:ext xmlns:c16="http://schemas.microsoft.com/office/drawing/2014/chart" uri="{C3380CC4-5D6E-409C-BE32-E72D297353CC}">
                <c16:uniqueId val="{0000002F-2344-49A6-882A-0A195F0AEC13}"/>
              </c:ext>
            </c:extLst>
          </c:dPt>
          <c:dPt>
            <c:idx val="25"/>
            <c:invertIfNegative val="0"/>
            <c:bubble3D val="0"/>
            <c:spPr>
              <a:solidFill>
                <a:srgbClr val="4F81BD"/>
              </a:solidFill>
              <a:ln>
                <a:noFill/>
              </a:ln>
              <a:effectLst/>
            </c:spPr>
            <c:extLst>
              <c:ext xmlns:c16="http://schemas.microsoft.com/office/drawing/2014/chart" uri="{C3380CC4-5D6E-409C-BE32-E72D297353CC}">
                <c16:uniqueId val="{00000031-2344-49A6-882A-0A195F0AEC1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Sheet1!$B$2:$B$27</c:f>
              <c:numCache>
                <c:formatCode>#,##0</c:formatCode>
                <c:ptCount val="26"/>
                <c:pt idx="0">
                  <c:v>22</c:v>
                </c:pt>
                <c:pt idx="1">
                  <c:v>34</c:v>
                </c:pt>
                <c:pt idx="2">
                  <c:v>26</c:v>
                </c:pt>
                <c:pt idx="3">
                  <c:v>35</c:v>
                </c:pt>
                <c:pt idx="4">
                  <c:v>36</c:v>
                </c:pt>
                <c:pt idx="5">
                  <c:v>18</c:v>
                </c:pt>
                <c:pt idx="6">
                  <c:v>37</c:v>
                </c:pt>
                <c:pt idx="7">
                  <c:v>45</c:v>
                </c:pt>
                <c:pt idx="8">
                  <c:v>53</c:v>
                </c:pt>
                <c:pt idx="9">
                  <c:v>56</c:v>
                </c:pt>
                <c:pt idx="10">
                  <c:v>51</c:v>
                </c:pt>
                <c:pt idx="11">
                  <c:v>49</c:v>
                </c:pt>
                <c:pt idx="12">
                  <c:v>62</c:v>
                </c:pt>
                <c:pt idx="13">
                  <c:v>73</c:v>
                </c:pt>
                <c:pt idx="14">
                  <c:v>67</c:v>
                </c:pt>
                <c:pt idx="15">
                  <c:v>42</c:v>
                </c:pt>
                <c:pt idx="16">
                  <c:v>44</c:v>
                </c:pt>
                <c:pt idx="17">
                  <c:v>47</c:v>
                </c:pt>
                <c:pt idx="18">
                  <c:v>42</c:v>
                </c:pt>
                <c:pt idx="19">
                  <c:v>43</c:v>
                </c:pt>
                <c:pt idx="20">
                  <c:v>114</c:v>
                </c:pt>
                <c:pt idx="21">
                  <c:v>118</c:v>
                </c:pt>
                <c:pt idx="22">
                  <c:v>128</c:v>
                </c:pt>
                <c:pt idx="23">
                  <c:v>246</c:v>
                </c:pt>
                <c:pt idx="24">
                  <c:v>264</c:v>
                </c:pt>
                <c:pt idx="25">
                  <c:v>216</c:v>
                </c:pt>
              </c:numCache>
            </c:numRef>
          </c:val>
          <c:extLst>
            <c:ext xmlns:c16="http://schemas.microsoft.com/office/drawing/2014/chart" uri="{C3380CC4-5D6E-409C-BE32-E72D297353CC}">
              <c16:uniqueId val="{00000032-2344-49A6-882A-0A195F0AEC13}"/>
            </c:ext>
          </c:extLst>
        </c:ser>
        <c:ser>
          <c:idx val="1"/>
          <c:order val="1"/>
          <c:tx>
            <c:strRef>
              <c:f>Sheet1!$C$1</c:f>
              <c:strCache>
                <c:ptCount val="1"/>
                <c:pt idx="0">
                  <c:v>Inadmissible</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Sheet1!$C$2:$C$27</c:f>
              <c:numCache>
                <c:formatCode>General</c:formatCode>
                <c:ptCount val="26"/>
                <c:pt idx="0">
                  <c:v>5</c:v>
                </c:pt>
                <c:pt idx="1">
                  <c:v>10</c:v>
                </c:pt>
                <c:pt idx="2">
                  <c:v>5</c:v>
                </c:pt>
                <c:pt idx="3">
                  <c:v>21</c:v>
                </c:pt>
                <c:pt idx="4">
                  <c:v>22</c:v>
                </c:pt>
                <c:pt idx="5">
                  <c:v>6</c:v>
                </c:pt>
                <c:pt idx="6">
                  <c:v>10</c:v>
                </c:pt>
                <c:pt idx="7">
                  <c:v>9</c:v>
                </c:pt>
                <c:pt idx="8">
                  <c:v>16</c:v>
                </c:pt>
                <c:pt idx="9">
                  <c:v>14</c:v>
                </c:pt>
                <c:pt idx="10">
                  <c:v>14</c:v>
                </c:pt>
                <c:pt idx="11">
                  <c:v>10</c:v>
                </c:pt>
                <c:pt idx="12">
                  <c:v>15</c:v>
                </c:pt>
                <c:pt idx="13">
                  <c:v>10</c:v>
                </c:pt>
                <c:pt idx="14">
                  <c:v>11</c:v>
                </c:pt>
                <c:pt idx="15">
                  <c:v>17</c:v>
                </c:pt>
                <c:pt idx="16">
                  <c:v>9</c:v>
                </c:pt>
                <c:pt idx="17">
                  <c:v>4</c:v>
                </c:pt>
                <c:pt idx="18">
                  <c:v>2</c:v>
                </c:pt>
                <c:pt idx="19">
                  <c:v>2</c:v>
                </c:pt>
                <c:pt idx="20">
                  <c:v>6</c:v>
                </c:pt>
                <c:pt idx="21">
                  <c:v>15</c:v>
                </c:pt>
                <c:pt idx="22">
                  <c:v>23</c:v>
                </c:pt>
                <c:pt idx="23">
                  <c:v>44</c:v>
                </c:pt>
                <c:pt idx="24">
                  <c:v>82</c:v>
                </c:pt>
                <c:pt idx="25">
                  <c:v>88</c:v>
                </c:pt>
              </c:numCache>
            </c:numRef>
          </c:val>
          <c:extLst>
            <c:ext xmlns:c16="http://schemas.microsoft.com/office/drawing/2014/chart" uri="{C3380CC4-5D6E-409C-BE32-E72D297353CC}">
              <c16:uniqueId val="{00000033-2344-49A6-882A-0A195F0AEC13}"/>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b="0">
                <a:solidFill>
                  <a:schemeClr val="tx1">
                    <a:lumMod val="50000"/>
                    <a:lumOff val="50000"/>
                  </a:schemeClr>
                </a:solidFill>
                <a:latin typeface="Helvetica LT Std Cond" panose="020B0506020202030204" pitchFamily="34" charset="0"/>
              </a:rPr>
              <a:t>Reports on admissibility adopted by country </a:t>
            </a:r>
          </a:p>
          <a:p>
            <a:pPr>
              <a:defRPr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303</a:t>
            </a:r>
          </a:p>
        </c:rich>
      </c:tx>
      <c:overlay val="1"/>
      <c:spPr>
        <a:noFill/>
        <a:ln>
          <a:noFill/>
        </a:ln>
        <a:effectLst/>
      </c:spPr>
      <c:txPr>
        <a:bodyPr rot="0" spcFirstLastPara="1" vertOverflow="ellipsis" vert="horz" wrap="square" anchor="ctr" anchorCtr="1"/>
        <a:lstStyle/>
        <a:p>
          <a:pPr>
            <a:defRPr sz="16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6F10-4F94-A190-6D637309F848}"/>
              </c:ext>
            </c:extLst>
          </c:dPt>
          <c:dPt>
            <c:idx val="1"/>
            <c:invertIfNegative val="0"/>
            <c:bubble3D val="0"/>
            <c:spPr>
              <a:solidFill>
                <a:srgbClr val="011EAA"/>
              </a:solidFill>
              <a:ln>
                <a:noFill/>
              </a:ln>
              <a:effectLst/>
            </c:spPr>
            <c:extLst>
              <c:ext xmlns:c16="http://schemas.microsoft.com/office/drawing/2014/chart" uri="{C3380CC4-5D6E-409C-BE32-E72D297353CC}">
                <c16:uniqueId val="{00000003-6F10-4F94-A190-6D637309F848}"/>
              </c:ext>
            </c:extLst>
          </c:dPt>
          <c:dPt>
            <c:idx val="2"/>
            <c:invertIfNegative val="0"/>
            <c:bubble3D val="0"/>
            <c:spPr>
              <a:solidFill>
                <a:srgbClr val="FFC000"/>
              </a:solidFill>
              <a:ln>
                <a:noFill/>
              </a:ln>
              <a:effectLst/>
            </c:spPr>
            <c:extLst>
              <c:ext xmlns:c16="http://schemas.microsoft.com/office/drawing/2014/chart" uri="{C3380CC4-5D6E-409C-BE32-E72D297353CC}">
                <c16:uniqueId val="{00000005-6F10-4F94-A190-6D637309F848}"/>
              </c:ext>
            </c:extLst>
          </c:dPt>
          <c:dPt>
            <c:idx val="3"/>
            <c:invertIfNegative val="0"/>
            <c:bubble3D val="0"/>
            <c:spPr>
              <a:solidFill>
                <a:srgbClr val="70AD47"/>
              </a:solidFill>
              <a:ln>
                <a:noFill/>
              </a:ln>
              <a:effectLst/>
            </c:spPr>
            <c:extLst>
              <c:ext xmlns:c16="http://schemas.microsoft.com/office/drawing/2014/chart" uri="{C3380CC4-5D6E-409C-BE32-E72D297353CC}">
                <c16:uniqueId val="{00000007-6F10-4F94-A190-6D637309F848}"/>
              </c:ext>
            </c:extLst>
          </c:dPt>
          <c:dPt>
            <c:idx val="4"/>
            <c:invertIfNegative val="0"/>
            <c:bubble3D val="0"/>
            <c:spPr>
              <a:solidFill>
                <a:srgbClr val="FF0000"/>
              </a:solidFill>
              <a:ln>
                <a:noFill/>
              </a:ln>
              <a:effectLst/>
            </c:spPr>
            <c:extLst>
              <c:ext xmlns:c16="http://schemas.microsoft.com/office/drawing/2014/chart" uri="{C3380CC4-5D6E-409C-BE32-E72D297353CC}">
                <c16:uniqueId val="{00000009-6F10-4F94-A190-6D637309F848}"/>
              </c:ext>
            </c:extLst>
          </c:dPt>
          <c:dPt>
            <c:idx val="5"/>
            <c:invertIfNegative val="0"/>
            <c:bubble3D val="0"/>
            <c:spPr>
              <a:solidFill>
                <a:srgbClr val="0070C0"/>
              </a:solidFill>
              <a:ln>
                <a:noFill/>
              </a:ln>
              <a:effectLst/>
            </c:spPr>
            <c:extLst>
              <c:ext xmlns:c16="http://schemas.microsoft.com/office/drawing/2014/chart" uri="{C3380CC4-5D6E-409C-BE32-E72D297353CC}">
                <c16:uniqueId val="{0000000B-6F10-4F94-A190-6D637309F848}"/>
              </c:ext>
            </c:extLst>
          </c:dPt>
          <c:dPt>
            <c:idx val="6"/>
            <c:invertIfNegative val="0"/>
            <c:bubble3D val="0"/>
            <c:spPr>
              <a:solidFill>
                <a:srgbClr val="ED7D31"/>
              </a:solidFill>
              <a:ln>
                <a:noFill/>
              </a:ln>
              <a:effectLst/>
            </c:spPr>
            <c:extLst>
              <c:ext xmlns:c16="http://schemas.microsoft.com/office/drawing/2014/chart" uri="{C3380CC4-5D6E-409C-BE32-E72D297353CC}">
                <c16:uniqueId val="{0000000D-6F10-4F94-A190-6D637309F848}"/>
              </c:ext>
            </c:extLst>
          </c:dPt>
          <c:dPt>
            <c:idx val="7"/>
            <c:invertIfNegative val="0"/>
            <c:bubble3D val="0"/>
            <c:spPr>
              <a:solidFill>
                <a:srgbClr val="7030A0"/>
              </a:solidFill>
              <a:ln>
                <a:noFill/>
              </a:ln>
              <a:effectLst/>
            </c:spPr>
            <c:extLst>
              <c:ext xmlns:c16="http://schemas.microsoft.com/office/drawing/2014/chart" uri="{C3380CC4-5D6E-409C-BE32-E72D297353CC}">
                <c16:uniqueId val="{0000000F-6F10-4F94-A190-6D637309F848}"/>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6F10-4F94-A190-6D637309F848}"/>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6F10-4F94-A190-6D637309F848}"/>
              </c:ext>
            </c:extLst>
          </c:dPt>
          <c:dPt>
            <c:idx val="10"/>
            <c:invertIfNegative val="0"/>
            <c:bubble3D val="0"/>
            <c:spPr>
              <a:solidFill>
                <a:srgbClr val="0070C0"/>
              </a:solidFill>
              <a:ln>
                <a:noFill/>
              </a:ln>
              <a:effectLst/>
            </c:spPr>
            <c:extLst>
              <c:ext xmlns:c16="http://schemas.microsoft.com/office/drawing/2014/chart" uri="{C3380CC4-5D6E-409C-BE32-E72D297353CC}">
                <c16:uniqueId val="{00000015-6F10-4F94-A190-6D637309F848}"/>
              </c:ext>
            </c:extLst>
          </c:dPt>
          <c:dPt>
            <c:idx val="11"/>
            <c:invertIfNegative val="0"/>
            <c:bubble3D val="0"/>
            <c:spPr>
              <a:solidFill>
                <a:srgbClr val="00EFE4"/>
              </a:solidFill>
              <a:ln>
                <a:noFill/>
              </a:ln>
              <a:effectLst/>
            </c:spPr>
            <c:extLst>
              <c:ext xmlns:c16="http://schemas.microsoft.com/office/drawing/2014/chart" uri="{C3380CC4-5D6E-409C-BE32-E72D297353CC}">
                <c16:uniqueId val="{00000017-6F10-4F94-A190-6D637309F848}"/>
              </c:ext>
            </c:extLst>
          </c:dPt>
          <c:dPt>
            <c:idx val="12"/>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9-6F10-4F94-A190-6D637309F848}"/>
              </c:ext>
            </c:extLst>
          </c:dPt>
          <c:dPt>
            <c:idx val="13"/>
            <c:invertIfNegative val="0"/>
            <c:bubble3D val="0"/>
            <c:spPr>
              <a:solidFill>
                <a:srgbClr val="70AD47">
                  <a:lumMod val="75000"/>
                </a:srgbClr>
              </a:solidFill>
              <a:ln>
                <a:noFill/>
              </a:ln>
              <a:effectLst/>
            </c:spPr>
            <c:extLst>
              <c:ext xmlns:c16="http://schemas.microsoft.com/office/drawing/2014/chart" uri="{C3380CC4-5D6E-409C-BE32-E72D297353CC}">
                <c16:uniqueId val="{0000001B-6F10-4F94-A190-6D637309F848}"/>
              </c:ext>
            </c:extLst>
          </c:dPt>
          <c:dPt>
            <c:idx val="15"/>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D-6F10-4F94-A190-6D637309F848}"/>
              </c:ext>
            </c:extLst>
          </c:dPt>
          <c:dPt>
            <c:idx val="16"/>
            <c:invertIfNegative val="0"/>
            <c:bubble3D val="0"/>
            <c:spPr>
              <a:solidFill>
                <a:srgbClr val="CD582C"/>
              </a:solidFill>
              <a:ln>
                <a:noFill/>
              </a:ln>
              <a:effectLst/>
            </c:spPr>
            <c:extLst>
              <c:ext xmlns:c16="http://schemas.microsoft.com/office/drawing/2014/chart" uri="{C3380CC4-5D6E-409C-BE32-E72D297353CC}">
                <c16:uniqueId val="{0000001F-6F10-4F94-A190-6D637309F848}"/>
              </c:ext>
            </c:extLst>
          </c:dPt>
          <c:dPt>
            <c:idx val="17"/>
            <c:invertIfNegative val="0"/>
            <c:bubble3D val="0"/>
            <c:spPr>
              <a:solidFill>
                <a:srgbClr val="D00024"/>
              </a:solidFill>
              <a:ln>
                <a:noFill/>
              </a:ln>
              <a:effectLst/>
            </c:spPr>
            <c:extLst>
              <c:ext xmlns:c16="http://schemas.microsoft.com/office/drawing/2014/chart" uri="{C3380CC4-5D6E-409C-BE32-E72D297353CC}">
                <c16:uniqueId val="{00000021-6F10-4F94-A190-6D637309F848}"/>
              </c:ext>
            </c:extLst>
          </c:dPt>
          <c:dPt>
            <c:idx val="18"/>
            <c:invertIfNegative val="0"/>
            <c:bubble3D val="0"/>
            <c:spPr>
              <a:solidFill>
                <a:srgbClr val="FFC000">
                  <a:lumMod val="75000"/>
                </a:srgbClr>
              </a:solidFill>
              <a:ln>
                <a:noFill/>
              </a:ln>
              <a:effectLst/>
            </c:spPr>
            <c:extLst>
              <c:ext xmlns:c16="http://schemas.microsoft.com/office/drawing/2014/chart" uri="{C3380CC4-5D6E-409C-BE32-E72D297353CC}">
                <c16:uniqueId val="{00000023-6F10-4F94-A190-6D637309F848}"/>
              </c:ext>
            </c:extLst>
          </c:dPt>
          <c:dPt>
            <c:idx val="19"/>
            <c:invertIfNegative val="0"/>
            <c:bubble3D val="0"/>
            <c:spPr>
              <a:solidFill>
                <a:srgbClr val="D00000"/>
              </a:solidFill>
              <a:ln>
                <a:noFill/>
              </a:ln>
              <a:effectLst/>
            </c:spPr>
            <c:extLst>
              <c:ext xmlns:c16="http://schemas.microsoft.com/office/drawing/2014/chart" uri="{C3380CC4-5D6E-409C-BE32-E72D297353CC}">
                <c16:uniqueId val="{00000025-6F10-4F94-A190-6D637309F848}"/>
              </c:ext>
            </c:extLst>
          </c:dPt>
          <c:dPt>
            <c:idx val="20"/>
            <c:invertIfNegative val="0"/>
            <c:bubble3D val="0"/>
            <c:spPr>
              <a:solidFill>
                <a:srgbClr val="7A4300"/>
              </a:solidFill>
              <a:ln>
                <a:noFill/>
              </a:ln>
              <a:effectLst/>
            </c:spPr>
            <c:extLst>
              <c:ext xmlns:c16="http://schemas.microsoft.com/office/drawing/2014/chart" uri="{C3380CC4-5D6E-409C-BE32-E72D297353CC}">
                <c16:uniqueId val="{00000027-6F10-4F94-A190-6D637309F848}"/>
              </c:ext>
            </c:extLst>
          </c:dPt>
          <c:dPt>
            <c:idx val="21"/>
            <c:invertIfNegative val="0"/>
            <c:bubble3D val="0"/>
            <c:spPr>
              <a:solidFill>
                <a:srgbClr val="783FC5"/>
              </a:solidFill>
              <a:ln>
                <a:noFill/>
              </a:ln>
              <a:effectLst/>
            </c:spPr>
            <c:extLst>
              <c:ext xmlns:c16="http://schemas.microsoft.com/office/drawing/2014/chart" uri="{C3380CC4-5D6E-409C-BE32-E72D297353CC}">
                <c16:uniqueId val="{00000029-6F10-4F94-A190-6D637309F848}"/>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2"/>
                <c:pt idx="0">
                  <c:v>Argentina</c:v>
                </c:pt>
                <c:pt idx="1">
                  <c:v>Barbados</c:v>
                </c:pt>
                <c:pt idx="2">
                  <c:v>Bolivia</c:v>
                </c:pt>
                <c:pt idx="3">
                  <c:v>Brasil</c:v>
                </c:pt>
                <c:pt idx="4">
                  <c:v>Canada</c:v>
                </c:pt>
                <c:pt idx="5">
                  <c:v>Chile</c:v>
                </c:pt>
                <c:pt idx="6">
                  <c:v>Colombia</c:v>
                </c:pt>
                <c:pt idx="7">
                  <c:v>Costa Rica</c:v>
                </c:pt>
                <c:pt idx="8">
                  <c:v>Ecuador</c:v>
                </c:pt>
                <c:pt idx="9">
                  <c:v>El Salvador</c:v>
                </c:pt>
                <c:pt idx="10">
                  <c:v>Guatemala</c:v>
                </c:pt>
                <c:pt idx="11">
                  <c:v>Honduras</c:v>
                </c:pt>
                <c:pt idx="12">
                  <c:v>Jamaica</c:v>
                </c:pt>
                <c:pt idx="13">
                  <c:v>México</c:v>
                </c:pt>
                <c:pt idx="14">
                  <c:v>Nicaragua</c:v>
                </c:pt>
                <c:pt idx="15">
                  <c:v>Panamá</c:v>
                </c:pt>
                <c:pt idx="16">
                  <c:v>Paraguay</c:v>
                </c:pt>
                <c:pt idx="17">
                  <c:v>Perú</c:v>
                </c:pt>
                <c:pt idx="18">
                  <c:v>Suriname</c:v>
                </c:pt>
                <c:pt idx="19">
                  <c:v>United States of America</c:v>
                </c:pt>
                <c:pt idx="20">
                  <c:v>Uruguay</c:v>
                </c:pt>
                <c:pt idx="21">
                  <c:v>Venezuela</c:v>
                </c:pt>
              </c:strCache>
            </c:strRef>
          </c:cat>
          <c:val>
            <c:numRef>
              <c:f>Sheet1!$B$2:$B$36</c:f>
              <c:numCache>
                <c:formatCode>#,##0</c:formatCode>
                <c:ptCount val="22"/>
                <c:pt idx="0">
                  <c:v>32</c:v>
                </c:pt>
                <c:pt idx="1">
                  <c:v>1</c:v>
                </c:pt>
                <c:pt idx="2">
                  <c:v>10</c:v>
                </c:pt>
                <c:pt idx="3">
                  <c:v>8</c:v>
                </c:pt>
                <c:pt idx="4">
                  <c:v>2</c:v>
                </c:pt>
                <c:pt idx="5">
                  <c:v>15</c:v>
                </c:pt>
                <c:pt idx="6">
                  <c:v>94</c:v>
                </c:pt>
                <c:pt idx="7">
                  <c:v>1</c:v>
                </c:pt>
                <c:pt idx="8">
                  <c:v>30</c:v>
                </c:pt>
                <c:pt idx="9">
                  <c:v>4</c:v>
                </c:pt>
                <c:pt idx="10">
                  <c:v>10</c:v>
                </c:pt>
                <c:pt idx="11">
                  <c:v>8</c:v>
                </c:pt>
                <c:pt idx="12">
                  <c:v>2</c:v>
                </c:pt>
                <c:pt idx="13">
                  <c:v>17</c:v>
                </c:pt>
                <c:pt idx="14">
                  <c:v>9</c:v>
                </c:pt>
                <c:pt idx="15">
                  <c:v>4</c:v>
                </c:pt>
                <c:pt idx="16">
                  <c:v>2</c:v>
                </c:pt>
                <c:pt idx="17">
                  <c:v>28</c:v>
                </c:pt>
                <c:pt idx="18">
                  <c:v>1</c:v>
                </c:pt>
                <c:pt idx="19">
                  <c:v>23</c:v>
                </c:pt>
                <c:pt idx="20">
                  <c:v>1</c:v>
                </c:pt>
                <c:pt idx="21">
                  <c:v>1</c:v>
                </c:pt>
              </c:numCache>
            </c:numRef>
          </c:val>
          <c:extLst>
            <c:ext xmlns:c16="http://schemas.microsoft.com/office/drawing/2014/chart" uri="{C3380CC4-5D6E-409C-BE32-E72D297353CC}">
              <c16:uniqueId val="{0000002A-6F10-4F94-A190-6D637309F848}"/>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Application of resolution 1/16</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APLICACIONES DE RESOLUCIÓN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6DB5-4576-8FE4-E4D8092DF3B5}"/>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6DB5-4576-8FE4-E4D8092DF3B5}"/>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6DB5-4576-8FE4-E4D8092DF3B5}"/>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6DB5-4576-8FE4-E4D8092DF3B5}"/>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6DB5-4576-8FE4-E4D8092DF3B5}"/>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6DB5-4576-8FE4-E4D8092DF3B5}"/>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6DB5-4576-8FE4-E4D8092DF3B5}"/>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6DB5-4576-8FE4-E4D8092DF3B5}"/>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6DB5-4576-8FE4-E4D8092DF3B5}"/>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6DB5-4576-8FE4-E4D8092DF3B5}"/>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6DB5-4576-8FE4-E4D8092DF3B5}"/>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6DB5-4576-8FE4-E4D8092DF3B5}"/>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6DB5-4576-8FE4-E4D8092DF3B5}"/>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6DB5-4576-8FE4-E4D8092DF3B5}"/>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6DB5-4576-8FE4-E4D8092DF3B5}"/>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6DB5-4576-8FE4-E4D8092DF3B5}"/>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6DB5-4576-8FE4-E4D8092DF3B5}"/>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6DB5-4576-8FE4-E4D8092DF3B5}"/>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6DB5-4576-8FE4-E4D8092DF3B5}"/>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6DB5-4576-8FE4-E4D8092DF3B5}"/>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6DB5-4576-8FE4-E4D8092DF3B5}"/>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6DB5-4576-8FE4-E4D8092DF3B5}"/>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6DB5-4576-8FE4-E4D8092DF3B5}"/>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6DB5-4576-8FE4-E4D8092DF3B5}"/>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6DB5-4576-8FE4-E4D8092DF3B5}"/>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6DB5-4576-8FE4-E4D8092DF3B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Sheet1!$B$2:$B$7</c:f>
              <c:numCache>
                <c:formatCode>#,##0</c:formatCode>
                <c:ptCount val="6"/>
                <c:pt idx="0">
                  <c:v>116</c:v>
                </c:pt>
                <c:pt idx="1">
                  <c:v>326</c:v>
                </c:pt>
                <c:pt idx="2">
                  <c:v>46</c:v>
                </c:pt>
                <c:pt idx="3">
                  <c:v>212</c:v>
                </c:pt>
                <c:pt idx="4">
                  <c:v>232</c:v>
                </c:pt>
                <c:pt idx="5">
                  <c:v>102</c:v>
                </c:pt>
              </c:numCache>
            </c:numRef>
          </c:val>
          <c:extLst>
            <c:ext xmlns:c16="http://schemas.microsoft.com/office/drawing/2014/chart" uri="{C3380CC4-5D6E-409C-BE32-E72D297353CC}">
              <c16:uniqueId val="{00000034-6DB5-4576-8FE4-E4D8092DF3B5}"/>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Application of Resolution 1/16 by country </a:t>
            </a:r>
          </a:p>
          <a:p>
            <a:pPr>
              <a:defRPr/>
            </a:pPr>
            <a:r>
              <a:rPr lang="en-US" sz="2000" b="1" i="0">
                <a:solidFill>
                  <a:srgbClr val="0070C0"/>
                </a:solidFill>
                <a:latin typeface="Helvetica LT Std Cond" panose="020B0506020202030204" pitchFamily="34" charset="0"/>
              </a:rPr>
              <a:t>Total: 102</a:t>
            </a:r>
          </a:p>
        </c:rich>
      </c:tx>
      <c:layout>
        <c:manualLayout>
          <c:xMode val="edge"/>
          <c:yMode val="edge"/>
          <c:x val="0.33739837808735451"/>
          <c:y val="3.1746031746031744E-2"/>
        </c:manualLayout>
      </c:layout>
      <c:overlay val="0"/>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APLICACIONES DE RESOLUCIÓN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536-420E-8181-7210D5E2EA0D}"/>
              </c:ext>
            </c:extLst>
          </c:dPt>
          <c:dPt>
            <c:idx val="1"/>
            <c:invertIfNegative val="0"/>
            <c:bubble3D val="0"/>
            <c:spPr>
              <a:solidFill>
                <a:srgbClr val="011EAA"/>
              </a:solidFill>
              <a:ln>
                <a:noFill/>
              </a:ln>
              <a:effectLst/>
            </c:spPr>
            <c:extLst>
              <c:ext xmlns:c16="http://schemas.microsoft.com/office/drawing/2014/chart" uri="{C3380CC4-5D6E-409C-BE32-E72D297353CC}">
                <c16:uniqueId val="{00000003-7536-420E-8181-7210D5E2EA0D}"/>
              </c:ext>
            </c:extLst>
          </c:dPt>
          <c:dPt>
            <c:idx val="2"/>
            <c:invertIfNegative val="0"/>
            <c:bubble3D val="0"/>
            <c:spPr>
              <a:solidFill>
                <a:srgbClr val="70AD47"/>
              </a:solidFill>
              <a:ln>
                <a:noFill/>
              </a:ln>
              <a:effectLst/>
            </c:spPr>
            <c:extLst>
              <c:ext xmlns:c16="http://schemas.microsoft.com/office/drawing/2014/chart" uri="{C3380CC4-5D6E-409C-BE32-E72D297353CC}">
                <c16:uniqueId val="{00000005-7536-420E-8181-7210D5E2EA0D}"/>
              </c:ext>
            </c:extLst>
          </c:dPt>
          <c:dPt>
            <c:idx val="3"/>
            <c:invertIfNegative val="0"/>
            <c:bubble3D val="0"/>
            <c:spPr>
              <a:solidFill>
                <a:srgbClr val="0070C0"/>
              </a:solidFill>
              <a:ln>
                <a:noFill/>
              </a:ln>
              <a:effectLst/>
            </c:spPr>
            <c:extLst>
              <c:ext xmlns:c16="http://schemas.microsoft.com/office/drawing/2014/chart" uri="{C3380CC4-5D6E-409C-BE32-E72D297353CC}">
                <c16:uniqueId val="{00000007-7536-420E-8181-7210D5E2EA0D}"/>
              </c:ext>
            </c:extLst>
          </c:dPt>
          <c:dPt>
            <c:idx val="4"/>
            <c:invertIfNegative val="0"/>
            <c:bubble3D val="0"/>
            <c:spPr>
              <a:solidFill>
                <a:srgbClr val="ED7D31"/>
              </a:solidFill>
              <a:ln>
                <a:noFill/>
              </a:ln>
              <a:effectLst/>
            </c:spPr>
            <c:extLst>
              <c:ext xmlns:c16="http://schemas.microsoft.com/office/drawing/2014/chart" uri="{C3380CC4-5D6E-409C-BE32-E72D297353CC}">
                <c16:uniqueId val="{00000009-7536-420E-8181-7210D5E2EA0D}"/>
              </c:ext>
            </c:extLst>
          </c:dPt>
          <c:dPt>
            <c:idx val="5"/>
            <c:invertIfNegative val="0"/>
            <c:bubble3D val="0"/>
            <c:spPr>
              <a:solidFill>
                <a:srgbClr val="00B0F0"/>
              </a:solidFill>
              <a:ln>
                <a:noFill/>
              </a:ln>
              <a:effectLst/>
            </c:spPr>
            <c:extLst>
              <c:ext xmlns:c16="http://schemas.microsoft.com/office/drawing/2014/chart" uri="{C3380CC4-5D6E-409C-BE32-E72D297353CC}">
                <c16:uniqueId val="{0000000B-7536-420E-8181-7210D5E2EA0D}"/>
              </c:ext>
            </c:extLst>
          </c:dPt>
          <c:dPt>
            <c:idx val="6"/>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D-7536-420E-8181-7210D5E2EA0D}"/>
              </c:ext>
            </c:extLst>
          </c:dPt>
          <c:dPt>
            <c:idx val="7"/>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F-7536-420E-8181-7210D5E2EA0D}"/>
              </c:ext>
            </c:extLst>
          </c:dPt>
          <c:dPt>
            <c:idx val="8"/>
            <c:invertIfNegative val="0"/>
            <c:bubble3D val="0"/>
            <c:spPr>
              <a:solidFill>
                <a:srgbClr val="00B050"/>
              </a:solidFill>
              <a:ln>
                <a:noFill/>
              </a:ln>
              <a:effectLst/>
            </c:spPr>
            <c:extLst>
              <c:ext xmlns:c16="http://schemas.microsoft.com/office/drawing/2014/chart" uri="{C3380CC4-5D6E-409C-BE32-E72D297353CC}">
                <c16:uniqueId val="{00000011-7536-420E-8181-7210D5E2EA0D}"/>
              </c:ext>
            </c:extLst>
          </c:dPt>
          <c:dPt>
            <c:idx val="9"/>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3-7536-420E-8181-7210D5E2EA0D}"/>
              </c:ext>
            </c:extLst>
          </c:dPt>
          <c:dPt>
            <c:idx val="10"/>
            <c:invertIfNegative val="0"/>
            <c:bubble3D val="0"/>
            <c:spPr>
              <a:solidFill>
                <a:srgbClr val="70AD47">
                  <a:lumMod val="75000"/>
                </a:srgbClr>
              </a:solidFill>
              <a:ln>
                <a:noFill/>
              </a:ln>
              <a:effectLst/>
            </c:spPr>
            <c:extLst>
              <c:ext xmlns:c16="http://schemas.microsoft.com/office/drawing/2014/chart" uri="{C3380CC4-5D6E-409C-BE32-E72D297353CC}">
                <c16:uniqueId val="{00000015-7536-420E-8181-7210D5E2EA0D}"/>
              </c:ext>
            </c:extLst>
          </c:dPt>
          <c:dPt>
            <c:idx val="11"/>
            <c:invertIfNegative val="0"/>
            <c:bubble3D val="0"/>
            <c:spPr>
              <a:solidFill>
                <a:srgbClr val="CD582C"/>
              </a:solidFill>
              <a:ln>
                <a:noFill/>
              </a:ln>
              <a:effectLst/>
            </c:spPr>
            <c:extLst>
              <c:ext xmlns:c16="http://schemas.microsoft.com/office/drawing/2014/chart" uri="{C3380CC4-5D6E-409C-BE32-E72D297353CC}">
                <c16:uniqueId val="{00000017-7536-420E-8181-7210D5E2EA0D}"/>
              </c:ext>
            </c:extLst>
          </c:dPt>
          <c:dPt>
            <c:idx val="12"/>
            <c:invertIfNegative val="0"/>
            <c:bubble3D val="0"/>
            <c:spPr>
              <a:solidFill>
                <a:srgbClr val="D00024"/>
              </a:solidFill>
              <a:ln>
                <a:noFill/>
              </a:ln>
              <a:effectLst/>
            </c:spPr>
            <c:extLst>
              <c:ext xmlns:c16="http://schemas.microsoft.com/office/drawing/2014/chart" uri="{C3380CC4-5D6E-409C-BE32-E72D297353CC}">
                <c16:uniqueId val="{00000019-7536-420E-8181-7210D5E2EA0D}"/>
              </c:ext>
            </c:extLst>
          </c:dPt>
          <c:dPt>
            <c:idx val="13"/>
            <c:invertIfNegative val="0"/>
            <c:bubble3D val="0"/>
            <c:spPr>
              <a:solidFill>
                <a:srgbClr val="E7E6E6">
                  <a:lumMod val="75000"/>
                </a:srgbClr>
              </a:solidFill>
              <a:ln>
                <a:noFill/>
              </a:ln>
              <a:effectLst/>
            </c:spPr>
            <c:extLst>
              <c:ext xmlns:c16="http://schemas.microsoft.com/office/drawing/2014/chart" uri="{C3380CC4-5D6E-409C-BE32-E72D297353CC}">
                <c16:uniqueId val="{0000001B-7536-420E-8181-7210D5E2EA0D}"/>
              </c:ext>
            </c:extLst>
          </c:dPt>
          <c:dPt>
            <c:idx val="14"/>
            <c:invertIfNegative val="0"/>
            <c:bubble3D val="0"/>
            <c:spPr>
              <a:solidFill>
                <a:srgbClr val="D00000"/>
              </a:solidFill>
              <a:ln>
                <a:noFill/>
              </a:ln>
              <a:effectLst/>
            </c:spPr>
            <c:extLst>
              <c:ext xmlns:c16="http://schemas.microsoft.com/office/drawing/2014/chart" uri="{C3380CC4-5D6E-409C-BE32-E72D297353CC}">
                <c16:uniqueId val="{0000001D-7536-420E-8181-7210D5E2EA0D}"/>
              </c:ext>
            </c:extLst>
          </c:dPt>
          <c:dPt>
            <c:idx val="15"/>
            <c:invertIfNegative val="0"/>
            <c:bubble3D val="0"/>
            <c:spPr>
              <a:solidFill>
                <a:srgbClr val="783FC5"/>
              </a:solidFill>
              <a:ln>
                <a:noFill/>
              </a:ln>
              <a:effectLst/>
            </c:spPr>
            <c:extLst>
              <c:ext xmlns:c16="http://schemas.microsoft.com/office/drawing/2014/chart" uri="{C3380CC4-5D6E-409C-BE32-E72D297353CC}">
                <c16:uniqueId val="{0000001F-7536-420E-8181-7210D5E2EA0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6"/>
                <c:pt idx="0">
                  <c:v>Argentina</c:v>
                </c:pt>
                <c:pt idx="1">
                  <c:v>Barbados</c:v>
                </c:pt>
                <c:pt idx="2">
                  <c:v>Brasil</c:v>
                </c:pt>
                <c:pt idx="3">
                  <c:v>Chile</c:v>
                </c:pt>
                <c:pt idx="4">
                  <c:v>Colombia</c:v>
                </c:pt>
                <c:pt idx="5">
                  <c:v>Cuba</c:v>
                </c:pt>
                <c:pt idx="6">
                  <c:v>Ecuador</c:v>
                </c:pt>
                <c:pt idx="7">
                  <c:v>El Salvador</c:v>
                </c:pt>
                <c:pt idx="8">
                  <c:v>Guyana</c:v>
                </c:pt>
                <c:pt idx="9">
                  <c:v>Jamaica</c:v>
                </c:pt>
                <c:pt idx="10">
                  <c:v>México</c:v>
                </c:pt>
                <c:pt idx="11">
                  <c:v>Paraguay</c:v>
                </c:pt>
                <c:pt idx="12">
                  <c:v>Perú</c:v>
                </c:pt>
                <c:pt idx="13">
                  <c:v>Trinidad and Tobago</c:v>
                </c:pt>
                <c:pt idx="14">
                  <c:v>United States of America</c:v>
                </c:pt>
                <c:pt idx="15">
                  <c:v>Venezuela</c:v>
                </c:pt>
              </c:strCache>
            </c:strRef>
          </c:cat>
          <c:val>
            <c:numRef>
              <c:f>Sheet1!$B$2:$B$36</c:f>
              <c:numCache>
                <c:formatCode>#,##0</c:formatCode>
                <c:ptCount val="16"/>
                <c:pt idx="0">
                  <c:v>11</c:v>
                </c:pt>
                <c:pt idx="1">
                  <c:v>2</c:v>
                </c:pt>
                <c:pt idx="2">
                  <c:v>2</c:v>
                </c:pt>
                <c:pt idx="3">
                  <c:v>17</c:v>
                </c:pt>
                <c:pt idx="4">
                  <c:v>3</c:v>
                </c:pt>
                <c:pt idx="5">
                  <c:v>3</c:v>
                </c:pt>
                <c:pt idx="6">
                  <c:v>2</c:v>
                </c:pt>
                <c:pt idx="7">
                  <c:v>1</c:v>
                </c:pt>
                <c:pt idx="8">
                  <c:v>1</c:v>
                </c:pt>
                <c:pt idx="9">
                  <c:v>1</c:v>
                </c:pt>
                <c:pt idx="10">
                  <c:v>50</c:v>
                </c:pt>
                <c:pt idx="11">
                  <c:v>1</c:v>
                </c:pt>
                <c:pt idx="12">
                  <c:v>2</c:v>
                </c:pt>
                <c:pt idx="13">
                  <c:v>1</c:v>
                </c:pt>
                <c:pt idx="14">
                  <c:v>3</c:v>
                </c:pt>
                <c:pt idx="15">
                  <c:v>2</c:v>
                </c:pt>
              </c:numCache>
            </c:numRef>
          </c:val>
          <c:extLst>
            <c:ext xmlns:c16="http://schemas.microsoft.com/office/drawing/2014/chart" uri="{C3380CC4-5D6E-409C-BE32-E72D297353CC}">
              <c16:uniqueId val="{00000020-7536-420E-8181-7210D5E2EA0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Application of Resolution 1/16 by category</a:t>
            </a:r>
          </a:p>
          <a:p>
            <a:pPr>
              <a:defRPr/>
            </a:pPr>
            <a:r>
              <a:rPr lang="en-US" sz="2000" b="1" i="0">
                <a:solidFill>
                  <a:srgbClr val="0070C0"/>
                </a:solidFill>
                <a:latin typeface="Helvetica LT Std Cond" panose="020B0506020202030204" pitchFamily="34" charset="0"/>
              </a:rPr>
              <a:t>Total: 102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APLICACIONES DE RESOLUCIÓN</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9FE-403E-9A6C-44FE1B9D04DE}"/>
              </c:ext>
            </c:extLst>
          </c:dPt>
          <c:dPt>
            <c:idx val="1"/>
            <c:invertIfNegative val="0"/>
            <c:bubble3D val="0"/>
            <c:spPr>
              <a:solidFill>
                <a:srgbClr val="007982"/>
              </a:solidFill>
              <a:ln>
                <a:noFill/>
              </a:ln>
              <a:effectLst/>
            </c:spPr>
            <c:extLst>
              <c:ext xmlns:c16="http://schemas.microsoft.com/office/drawing/2014/chart" uri="{C3380CC4-5D6E-409C-BE32-E72D297353CC}">
                <c16:uniqueId val="{00000003-79FE-403E-9A6C-44FE1B9D04DE}"/>
              </c:ext>
            </c:extLst>
          </c:dPt>
          <c:dPt>
            <c:idx val="2"/>
            <c:invertIfNegative val="0"/>
            <c:bubble3D val="0"/>
            <c:spPr>
              <a:solidFill>
                <a:srgbClr val="011EAA"/>
              </a:solidFill>
              <a:ln>
                <a:noFill/>
              </a:ln>
              <a:effectLst/>
            </c:spPr>
            <c:extLst>
              <c:ext xmlns:c16="http://schemas.microsoft.com/office/drawing/2014/chart" uri="{C3380CC4-5D6E-409C-BE32-E72D297353CC}">
                <c16:uniqueId val="{00000005-79FE-403E-9A6C-44FE1B9D04DE}"/>
              </c:ext>
            </c:extLst>
          </c:dPt>
          <c:dPt>
            <c:idx val="3"/>
            <c:invertIfNegative val="0"/>
            <c:bubble3D val="0"/>
            <c:spPr>
              <a:solidFill>
                <a:srgbClr val="70AD47">
                  <a:lumMod val="75000"/>
                </a:srgbClr>
              </a:solidFill>
              <a:ln>
                <a:noFill/>
              </a:ln>
              <a:effectLst/>
            </c:spPr>
            <c:extLst>
              <c:ext xmlns:c16="http://schemas.microsoft.com/office/drawing/2014/chart" uri="{C3380CC4-5D6E-409C-BE32-E72D297353CC}">
                <c16:uniqueId val="{00000007-79FE-403E-9A6C-44FE1B9D04D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Chronological</c:v>
                </c:pt>
                <c:pt idx="1">
                  <c:v>No response from State</c:v>
                </c:pt>
                <c:pt idx="2">
                  <c:v>Existing precautionary 
measure</c:v>
                </c:pt>
                <c:pt idx="3">
                  <c:v>Death penalty</c:v>
                </c:pt>
              </c:strCache>
            </c:strRef>
          </c:cat>
          <c:val>
            <c:numRef>
              <c:f>Sheet1!$B$2:$B$5</c:f>
              <c:numCache>
                <c:formatCode>#,##0</c:formatCode>
                <c:ptCount val="4"/>
                <c:pt idx="0">
                  <c:v>2</c:v>
                </c:pt>
                <c:pt idx="1">
                  <c:v>85</c:v>
                </c:pt>
                <c:pt idx="2">
                  <c:v>10</c:v>
                </c:pt>
                <c:pt idx="3">
                  <c:v>5</c:v>
                </c:pt>
              </c:numCache>
            </c:numRef>
          </c:val>
          <c:extLst>
            <c:ext xmlns:c16="http://schemas.microsoft.com/office/drawing/2014/chart" uri="{C3380CC4-5D6E-409C-BE32-E72D297353CC}">
              <c16:uniqueId val="{00000008-79FE-403E-9A6C-44FE1B9D04DE}"/>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Reports on friendly settlement published</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per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DE SA PUBLICADOS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642E-4025-9F30-46A93A829650}"/>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642E-4025-9F30-46A93A829650}"/>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642E-4025-9F30-46A93A829650}"/>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7-642E-4025-9F30-46A93A829650}"/>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9-642E-4025-9F30-46A93A829650}"/>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642E-4025-9F30-46A93A829650}"/>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D-642E-4025-9F30-46A93A829650}"/>
              </c:ext>
            </c:extLst>
          </c:dPt>
          <c:dPt>
            <c:idx val="7"/>
            <c:invertIfNegative val="0"/>
            <c:bubble3D val="0"/>
            <c:spPr>
              <a:solidFill>
                <a:schemeClr val="accent1">
                  <a:lumMod val="75000"/>
                </a:schemeClr>
              </a:solidFill>
              <a:ln>
                <a:noFill/>
              </a:ln>
              <a:effectLst/>
            </c:spPr>
            <c:extLst>
              <c:ext xmlns:c16="http://schemas.microsoft.com/office/drawing/2014/chart" uri="{C3380CC4-5D6E-409C-BE32-E72D297353CC}">
                <c16:uniqueId val="{0000000F-642E-4025-9F30-46A93A829650}"/>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642E-4025-9F30-46A93A829650}"/>
              </c:ext>
            </c:extLst>
          </c:dPt>
          <c:dPt>
            <c:idx val="9"/>
            <c:invertIfNegative val="0"/>
            <c:bubble3D val="0"/>
            <c:spPr>
              <a:solidFill>
                <a:schemeClr val="accent5"/>
              </a:solidFill>
              <a:ln>
                <a:noFill/>
              </a:ln>
              <a:effectLst/>
            </c:spPr>
            <c:extLst>
              <c:ext xmlns:c16="http://schemas.microsoft.com/office/drawing/2014/chart" uri="{C3380CC4-5D6E-409C-BE32-E72D297353CC}">
                <c16:uniqueId val="{00000013-642E-4025-9F30-46A93A829650}"/>
              </c:ext>
            </c:extLst>
          </c:dPt>
          <c:dPt>
            <c:idx val="10"/>
            <c:invertIfNegative val="0"/>
            <c:bubble3D val="0"/>
            <c:spPr>
              <a:solidFill>
                <a:schemeClr val="accent1">
                  <a:lumMod val="75000"/>
                </a:schemeClr>
              </a:solidFill>
              <a:ln>
                <a:noFill/>
              </a:ln>
              <a:effectLst/>
            </c:spPr>
            <c:extLst>
              <c:ext xmlns:c16="http://schemas.microsoft.com/office/drawing/2014/chart" uri="{C3380CC4-5D6E-409C-BE32-E72D297353CC}">
                <c16:uniqueId val="{00000015-642E-4025-9F30-46A93A829650}"/>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7-642E-4025-9F30-46A93A829650}"/>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19-642E-4025-9F30-46A93A829650}"/>
              </c:ext>
            </c:extLst>
          </c:dPt>
          <c:dPt>
            <c:idx val="13"/>
            <c:invertIfNegative val="0"/>
            <c:bubble3D val="0"/>
            <c:spPr>
              <a:solidFill>
                <a:schemeClr val="accent1">
                  <a:lumMod val="75000"/>
                </a:schemeClr>
              </a:solidFill>
              <a:ln>
                <a:noFill/>
              </a:ln>
              <a:effectLst/>
            </c:spPr>
            <c:extLst>
              <c:ext xmlns:c16="http://schemas.microsoft.com/office/drawing/2014/chart" uri="{C3380CC4-5D6E-409C-BE32-E72D297353CC}">
                <c16:uniqueId val="{0000001B-642E-4025-9F30-46A93A829650}"/>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D-642E-4025-9F30-46A93A829650}"/>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1F-642E-4025-9F30-46A93A829650}"/>
              </c:ext>
            </c:extLst>
          </c:dPt>
          <c:dPt>
            <c:idx val="16"/>
            <c:invertIfNegative val="0"/>
            <c:bubble3D val="0"/>
            <c:spPr>
              <a:solidFill>
                <a:schemeClr val="accent1">
                  <a:lumMod val="75000"/>
                </a:schemeClr>
              </a:solidFill>
              <a:ln>
                <a:noFill/>
              </a:ln>
              <a:effectLst/>
            </c:spPr>
            <c:extLst>
              <c:ext xmlns:c16="http://schemas.microsoft.com/office/drawing/2014/chart" uri="{C3380CC4-5D6E-409C-BE32-E72D297353CC}">
                <c16:uniqueId val="{00000021-642E-4025-9F30-46A93A829650}"/>
              </c:ext>
            </c:extLst>
          </c:dPt>
          <c:dPt>
            <c:idx val="17"/>
            <c:invertIfNegative val="0"/>
            <c:bubble3D val="0"/>
            <c:spPr>
              <a:solidFill>
                <a:schemeClr val="accent6"/>
              </a:solidFill>
              <a:ln>
                <a:noFill/>
              </a:ln>
              <a:effectLst/>
            </c:spPr>
            <c:extLst>
              <c:ext xmlns:c16="http://schemas.microsoft.com/office/drawing/2014/chart" uri="{C3380CC4-5D6E-409C-BE32-E72D297353CC}">
                <c16:uniqueId val="{00000023-642E-4025-9F30-46A93A829650}"/>
              </c:ext>
            </c:extLst>
          </c:dPt>
          <c:dPt>
            <c:idx val="18"/>
            <c:invertIfNegative val="0"/>
            <c:bubble3D val="0"/>
            <c:spPr>
              <a:solidFill>
                <a:schemeClr val="accent5"/>
              </a:solidFill>
              <a:ln>
                <a:noFill/>
              </a:ln>
              <a:effectLst/>
            </c:spPr>
            <c:extLst>
              <c:ext xmlns:c16="http://schemas.microsoft.com/office/drawing/2014/chart" uri="{C3380CC4-5D6E-409C-BE32-E72D297353CC}">
                <c16:uniqueId val="{00000025-642E-4025-9F30-46A93A829650}"/>
              </c:ext>
            </c:extLst>
          </c:dPt>
          <c:dPt>
            <c:idx val="19"/>
            <c:invertIfNegative val="0"/>
            <c:bubble3D val="0"/>
            <c:spPr>
              <a:solidFill>
                <a:schemeClr val="accent1">
                  <a:lumMod val="75000"/>
                </a:schemeClr>
              </a:solidFill>
              <a:ln>
                <a:noFill/>
              </a:ln>
              <a:effectLst/>
            </c:spPr>
            <c:extLst>
              <c:ext xmlns:c16="http://schemas.microsoft.com/office/drawing/2014/chart" uri="{C3380CC4-5D6E-409C-BE32-E72D297353CC}">
                <c16:uniqueId val="{00000027-642E-4025-9F30-46A93A829650}"/>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29-642E-4025-9F30-46A93A829650}"/>
              </c:ext>
            </c:extLst>
          </c:dPt>
          <c:dPt>
            <c:idx val="21"/>
            <c:invertIfNegative val="0"/>
            <c:bubble3D val="0"/>
            <c:spPr>
              <a:solidFill>
                <a:schemeClr val="accent5"/>
              </a:solidFill>
              <a:ln>
                <a:noFill/>
              </a:ln>
              <a:effectLst/>
            </c:spPr>
            <c:extLst>
              <c:ext xmlns:c16="http://schemas.microsoft.com/office/drawing/2014/chart" uri="{C3380CC4-5D6E-409C-BE32-E72D297353CC}">
                <c16:uniqueId val="{0000002B-642E-4025-9F30-46A93A829650}"/>
              </c:ext>
            </c:extLst>
          </c:dPt>
          <c:dPt>
            <c:idx val="22"/>
            <c:invertIfNegative val="0"/>
            <c:bubble3D val="0"/>
            <c:spPr>
              <a:solidFill>
                <a:schemeClr val="accent1">
                  <a:lumMod val="75000"/>
                </a:schemeClr>
              </a:solidFill>
              <a:ln>
                <a:noFill/>
              </a:ln>
              <a:effectLst/>
            </c:spPr>
            <c:extLst>
              <c:ext xmlns:c16="http://schemas.microsoft.com/office/drawing/2014/chart" uri="{C3380CC4-5D6E-409C-BE32-E72D297353CC}">
                <c16:uniqueId val="{0000002D-642E-4025-9F30-46A93A829650}"/>
              </c:ext>
            </c:extLst>
          </c:dPt>
          <c:dPt>
            <c:idx val="23"/>
            <c:invertIfNegative val="0"/>
            <c:bubble3D val="0"/>
            <c:spPr>
              <a:solidFill>
                <a:schemeClr val="accent6"/>
              </a:solidFill>
              <a:ln>
                <a:noFill/>
              </a:ln>
              <a:effectLst/>
            </c:spPr>
            <c:extLst>
              <c:ext xmlns:c16="http://schemas.microsoft.com/office/drawing/2014/chart" uri="{C3380CC4-5D6E-409C-BE32-E72D297353CC}">
                <c16:uniqueId val="{0000002F-642E-4025-9F30-46A93A829650}"/>
              </c:ext>
            </c:extLst>
          </c:dPt>
          <c:dPt>
            <c:idx val="24"/>
            <c:invertIfNegative val="0"/>
            <c:bubble3D val="0"/>
            <c:spPr>
              <a:solidFill>
                <a:schemeClr val="accent5"/>
              </a:solidFill>
              <a:ln>
                <a:noFill/>
              </a:ln>
              <a:effectLst/>
            </c:spPr>
            <c:extLst>
              <c:ext xmlns:c16="http://schemas.microsoft.com/office/drawing/2014/chart" uri="{C3380CC4-5D6E-409C-BE32-E72D297353CC}">
                <c16:uniqueId val="{00000031-642E-4025-9F30-46A93A82965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5"/>
                <c:pt idx="0">
                  <c:v>1997</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Sheet1!$B$2:$B$27</c:f>
              <c:numCache>
                <c:formatCode>#,##0</c:formatCode>
                <c:ptCount val="25"/>
                <c:pt idx="0">
                  <c:v>2</c:v>
                </c:pt>
                <c:pt idx="1">
                  <c:v>3</c:v>
                </c:pt>
                <c:pt idx="2">
                  <c:v>12</c:v>
                </c:pt>
                <c:pt idx="3">
                  <c:v>12</c:v>
                </c:pt>
                <c:pt idx="4">
                  <c:v>3</c:v>
                </c:pt>
                <c:pt idx="5">
                  <c:v>11</c:v>
                </c:pt>
                <c:pt idx="6">
                  <c:v>3</c:v>
                </c:pt>
                <c:pt idx="7">
                  <c:v>8</c:v>
                </c:pt>
                <c:pt idx="8">
                  <c:v>10</c:v>
                </c:pt>
                <c:pt idx="9">
                  <c:v>5</c:v>
                </c:pt>
                <c:pt idx="10">
                  <c:v>4</c:v>
                </c:pt>
                <c:pt idx="11">
                  <c:v>4</c:v>
                </c:pt>
                <c:pt idx="12">
                  <c:v>11</c:v>
                </c:pt>
                <c:pt idx="13">
                  <c:v>8</c:v>
                </c:pt>
                <c:pt idx="14">
                  <c:v>8</c:v>
                </c:pt>
                <c:pt idx="15">
                  <c:v>6</c:v>
                </c:pt>
                <c:pt idx="16">
                  <c:v>6</c:v>
                </c:pt>
                <c:pt idx="17">
                  <c:v>5</c:v>
                </c:pt>
                <c:pt idx="18">
                  <c:v>8</c:v>
                </c:pt>
                <c:pt idx="19">
                  <c:v>5</c:v>
                </c:pt>
                <c:pt idx="20">
                  <c:v>6</c:v>
                </c:pt>
                <c:pt idx="21">
                  <c:v>14</c:v>
                </c:pt>
                <c:pt idx="22">
                  <c:v>25</c:v>
                </c:pt>
                <c:pt idx="23">
                  <c:v>15</c:v>
                </c:pt>
                <c:pt idx="24">
                  <c:v>23</c:v>
                </c:pt>
              </c:numCache>
            </c:numRef>
          </c:val>
          <c:extLst>
            <c:ext xmlns:c16="http://schemas.microsoft.com/office/drawing/2014/chart" uri="{C3380CC4-5D6E-409C-BE32-E72D297353CC}">
              <c16:uniqueId val="{00000032-642E-4025-9F30-46A93A829650}"/>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Reports on friendly settlement published by country </a:t>
            </a:r>
          </a:p>
          <a:p>
            <a:pPr>
              <a:defRPr/>
            </a:pPr>
            <a:r>
              <a:rPr lang="en-US" sz="2000" b="1" i="0">
                <a:solidFill>
                  <a:srgbClr val="0070C0"/>
                </a:solidFill>
                <a:latin typeface="Helvetica LT Std Cond" panose="020B0506020202030204" pitchFamily="34" charset="0"/>
              </a:rPr>
              <a:t>Total: 23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INFORMES PUBLICADOS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353B-4D27-812C-ED08245D27E9}"/>
              </c:ext>
            </c:extLst>
          </c:dPt>
          <c:dPt>
            <c:idx val="1"/>
            <c:invertIfNegative val="0"/>
            <c:bubble3D val="0"/>
            <c:spPr>
              <a:solidFill>
                <a:srgbClr val="ED7D31"/>
              </a:solidFill>
              <a:ln>
                <a:noFill/>
              </a:ln>
              <a:effectLst/>
            </c:spPr>
            <c:extLst>
              <c:ext xmlns:c16="http://schemas.microsoft.com/office/drawing/2014/chart" uri="{C3380CC4-5D6E-409C-BE32-E72D297353CC}">
                <c16:uniqueId val="{00000003-353B-4D27-812C-ED08245D27E9}"/>
              </c:ext>
            </c:extLst>
          </c:dPt>
          <c:dPt>
            <c:idx val="2"/>
            <c:invertIfNegative val="0"/>
            <c:bubble3D val="0"/>
            <c:spPr>
              <a:solidFill>
                <a:srgbClr val="0070C0"/>
              </a:solidFill>
              <a:ln>
                <a:noFill/>
              </a:ln>
              <a:effectLst/>
            </c:spPr>
            <c:extLst>
              <c:ext xmlns:c16="http://schemas.microsoft.com/office/drawing/2014/chart" uri="{C3380CC4-5D6E-409C-BE32-E72D297353CC}">
                <c16:uniqueId val="{00000005-353B-4D27-812C-ED08245D27E9}"/>
              </c:ext>
            </c:extLst>
          </c:dPt>
          <c:dPt>
            <c:idx val="3"/>
            <c:invertIfNegative val="0"/>
            <c:bubble3D val="0"/>
            <c:spPr>
              <a:solidFill>
                <a:srgbClr val="00EFE4"/>
              </a:solidFill>
              <a:ln>
                <a:noFill/>
              </a:ln>
              <a:effectLst/>
            </c:spPr>
            <c:extLst>
              <c:ext xmlns:c16="http://schemas.microsoft.com/office/drawing/2014/chart" uri="{C3380CC4-5D6E-409C-BE32-E72D297353CC}">
                <c16:uniqueId val="{00000007-353B-4D27-812C-ED08245D27E9}"/>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9-353B-4D27-812C-ED08245D27E9}"/>
              </c:ext>
            </c:extLst>
          </c:dPt>
          <c:dPt>
            <c:idx val="5"/>
            <c:invertIfNegative val="0"/>
            <c:bubble3D val="0"/>
            <c:spPr>
              <a:solidFill>
                <a:srgbClr val="7A4300"/>
              </a:solidFill>
              <a:ln>
                <a:noFill/>
              </a:ln>
              <a:effectLst/>
            </c:spPr>
            <c:extLst>
              <c:ext xmlns:c16="http://schemas.microsoft.com/office/drawing/2014/chart" uri="{C3380CC4-5D6E-409C-BE32-E72D297353CC}">
                <c16:uniqueId val="{0000000B-353B-4D27-812C-ED08245D27E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6"/>
                <c:pt idx="0">
                  <c:v>Argentina</c:v>
                </c:pt>
                <c:pt idx="1">
                  <c:v>Colombia</c:v>
                </c:pt>
                <c:pt idx="2">
                  <c:v>Guatemala</c:v>
                </c:pt>
                <c:pt idx="3">
                  <c:v>Honduras</c:v>
                </c:pt>
                <c:pt idx="4">
                  <c:v>México</c:v>
                </c:pt>
                <c:pt idx="5">
                  <c:v>Uruguay</c:v>
                </c:pt>
              </c:strCache>
            </c:strRef>
          </c:cat>
          <c:val>
            <c:numRef>
              <c:f>Sheet1!$B$2:$B$36</c:f>
              <c:numCache>
                <c:formatCode>#,##0</c:formatCode>
                <c:ptCount val="6"/>
                <c:pt idx="0">
                  <c:v>4</c:v>
                </c:pt>
                <c:pt idx="1">
                  <c:v>14</c:v>
                </c:pt>
                <c:pt idx="2">
                  <c:v>1</c:v>
                </c:pt>
                <c:pt idx="3">
                  <c:v>2</c:v>
                </c:pt>
                <c:pt idx="4">
                  <c:v>1</c:v>
                </c:pt>
                <c:pt idx="5">
                  <c:v>1</c:v>
                </c:pt>
              </c:numCache>
            </c:numRef>
          </c:val>
          <c:extLst>
            <c:ext xmlns:c16="http://schemas.microsoft.com/office/drawing/2014/chart" uri="{C3380CC4-5D6E-409C-BE32-E72D297353CC}">
              <c16:uniqueId val="{0000000C-353B-4D27-812C-ED08245D27E9}"/>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Friendly settlement agreements signed by country </a:t>
            </a:r>
          </a:p>
          <a:p>
            <a:pPr>
              <a:defRPr/>
            </a:pPr>
            <a:r>
              <a:rPr lang="en-US" sz="2000" b="1" i="0">
                <a:solidFill>
                  <a:srgbClr val="0070C0"/>
                </a:solidFill>
                <a:latin typeface="Helvetica LT Std Cond" panose="020B0506020202030204" pitchFamily="34" charset="0"/>
              </a:rPr>
              <a:t>Total: 29</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acuerdos firmados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6F3E-4C14-8B05-C8A3324DF9A4}"/>
              </c:ext>
            </c:extLst>
          </c:dPt>
          <c:dPt>
            <c:idx val="1"/>
            <c:invertIfNegative val="0"/>
            <c:bubble3D val="0"/>
            <c:spPr>
              <a:solidFill>
                <a:srgbClr val="FFC000"/>
              </a:solidFill>
              <a:ln>
                <a:noFill/>
              </a:ln>
              <a:effectLst/>
            </c:spPr>
            <c:extLst>
              <c:ext xmlns:c16="http://schemas.microsoft.com/office/drawing/2014/chart" uri="{C3380CC4-5D6E-409C-BE32-E72D297353CC}">
                <c16:uniqueId val="{00000003-6F3E-4C14-8B05-C8A3324DF9A4}"/>
              </c:ext>
            </c:extLst>
          </c:dPt>
          <c:dPt>
            <c:idx val="2"/>
            <c:invertIfNegative val="0"/>
            <c:bubble3D val="0"/>
            <c:spPr>
              <a:solidFill>
                <a:srgbClr val="ED7D31"/>
              </a:solidFill>
              <a:ln>
                <a:noFill/>
              </a:ln>
              <a:effectLst/>
            </c:spPr>
            <c:extLst>
              <c:ext xmlns:c16="http://schemas.microsoft.com/office/drawing/2014/chart" uri="{C3380CC4-5D6E-409C-BE32-E72D297353CC}">
                <c16:uniqueId val="{00000005-6F3E-4C14-8B05-C8A3324DF9A4}"/>
              </c:ext>
            </c:extLst>
          </c:dPt>
          <c:dPt>
            <c:idx val="3"/>
            <c:invertIfNegative val="0"/>
            <c:bubble3D val="0"/>
            <c:spPr>
              <a:solidFill>
                <a:srgbClr val="7A4300"/>
              </a:solidFill>
              <a:ln>
                <a:noFill/>
              </a:ln>
              <a:effectLst/>
            </c:spPr>
            <c:extLst>
              <c:ext xmlns:c16="http://schemas.microsoft.com/office/drawing/2014/chart" uri="{C3380CC4-5D6E-409C-BE32-E72D297353CC}">
                <c16:uniqueId val="{00000007-6F3E-4C14-8B05-C8A3324DF9A4}"/>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4"/>
                <c:pt idx="0">
                  <c:v>Argentina</c:v>
                </c:pt>
                <c:pt idx="1">
                  <c:v>Bolivia</c:v>
                </c:pt>
                <c:pt idx="2">
                  <c:v>Colombia</c:v>
                </c:pt>
                <c:pt idx="3">
                  <c:v>Uruguay</c:v>
                </c:pt>
              </c:strCache>
            </c:strRef>
          </c:cat>
          <c:val>
            <c:numRef>
              <c:f>Sheet1!$B$2:$B$36</c:f>
              <c:numCache>
                <c:formatCode>#,##0</c:formatCode>
                <c:ptCount val="4"/>
                <c:pt idx="0">
                  <c:v>14</c:v>
                </c:pt>
                <c:pt idx="1">
                  <c:v>1</c:v>
                </c:pt>
                <c:pt idx="2">
                  <c:v>13</c:v>
                </c:pt>
                <c:pt idx="3">
                  <c:v>1</c:v>
                </c:pt>
              </c:numCache>
            </c:numRef>
          </c:val>
          <c:extLst>
            <c:ext xmlns:c16="http://schemas.microsoft.com/office/drawing/2014/chart" uri="{C3380CC4-5D6E-409C-BE32-E72D297353CC}">
              <c16:uniqueId val="{00000008-6F3E-4C14-8B05-C8A3324DF9A4}"/>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Reports on the merits approved</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per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APROBADOS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B74C-4489-B917-6A871FCD3E6D}"/>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B74C-4489-B917-6A871FCD3E6D}"/>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B74C-4489-B917-6A871FCD3E6D}"/>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B74C-4489-B917-6A871FCD3E6D}"/>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B74C-4489-B917-6A871FCD3E6D}"/>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B74C-4489-B917-6A871FCD3E6D}"/>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B74C-4489-B917-6A871FCD3E6D}"/>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B74C-4489-B917-6A871FCD3E6D}"/>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B74C-4489-B917-6A871FCD3E6D}"/>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B74C-4489-B917-6A871FCD3E6D}"/>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B74C-4489-B917-6A871FCD3E6D}"/>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B74C-4489-B917-6A871FCD3E6D}"/>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B74C-4489-B917-6A871FCD3E6D}"/>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B74C-4489-B917-6A871FCD3E6D}"/>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B74C-4489-B917-6A871FCD3E6D}"/>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B74C-4489-B917-6A871FCD3E6D}"/>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B74C-4489-B917-6A871FCD3E6D}"/>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B74C-4489-B917-6A871FCD3E6D}"/>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B74C-4489-B917-6A871FCD3E6D}"/>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B74C-4489-B917-6A871FCD3E6D}"/>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B74C-4489-B917-6A871FCD3E6D}"/>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B74C-4489-B917-6A871FCD3E6D}"/>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B74C-4489-B917-6A871FCD3E6D}"/>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B74C-4489-B917-6A871FCD3E6D}"/>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B74C-4489-B917-6A871FCD3E6D}"/>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B74C-4489-B917-6A871FCD3E6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Sheet1!$B$2:$B$27</c:f>
              <c:numCache>
                <c:formatCode>#,##0</c:formatCode>
                <c:ptCount val="26"/>
                <c:pt idx="0">
                  <c:v>16</c:v>
                </c:pt>
                <c:pt idx="1">
                  <c:v>33</c:v>
                </c:pt>
                <c:pt idx="2">
                  <c:v>38</c:v>
                </c:pt>
                <c:pt idx="3">
                  <c:v>27</c:v>
                </c:pt>
                <c:pt idx="4">
                  <c:v>17</c:v>
                </c:pt>
                <c:pt idx="5">
                  <c:v>12</c:v>
                </c:pt>
                <c:pt idx="6">
                  <c:v>30</c:v>
                </c:pt>
                <c:pt idx="7">
                  <c:v>18</c:v>
                </c:pt>
                <c:pt idx="8">
                  <c:v>19</c:v>
                </c:pt>
                <c:pt idx="9">
                  <c:v>29</c:v>
                </c:pt>
                <c:pt idx="10">
                  <c:v>13</c:v>
                </c:pt>
                <c:pt idx="11">
                  <c:v>17</c:v>
                </c:pt>
                <c:pt idx="12">
                  <c:v>20</c:v>
                </c:pt>
                <c:pt idx="13">
                  <c:v>25</c:v>
                </c:pt>
                <c:pt idx="14">
                  <c:v>25</c:v>
                </c:pt>
                <c:pt idx="15">
                  <c:v>15</c:v>
                </c:pt>
                <c:pt idx="16">
                  <c:v>16</c:v>
                </c:pt>
                <c:pt idx="17">
                  <c:v>18</c:v>
                </c:pt>
                <c:pt idx="18">
                  <c:v>22</c:v>
                </c:pt>
                <c:pt idx="19">
                  <c:v>16</c:v>
                </c:pt>
                <c:pt idx="20">
                  <c:v>35</c:v>
                </c:pt>
                <c:pt idx="21">
                  <c:v>43</c:v>
                </c:pt>
                <c:pt idx="22">
                  <c:v>62</c:v>
                </c:pt>
                <c:pt idx="23">
                  <c:v>67</c:v>
                </c:pt>
                <c:pt idx="24">
                  <c:v>75</c:v>
                </c:pt>
                <c:pt idx="25">
                  <c:v>65</c:v>
                </c:pt>
              </c:numCache>
            </c:numRef>
          </c:val>
          <c:extLst>
            <c:ext xmlns:c16="http://schemas.microsoft.com/office/drawing/2014/chart" uri="{C3380CC4-5D6E-409C-BE32-E72D297353CC}">
              <c16:uniqueId val="{00000034-B74C-4489-B917-6A871FCD3E6D}"/>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NUMBER OF MEASURES WITH PROGRESS IN IMPLEMENTATION DURING 2022, BY TYPE OF IMPACT</a:t>
            </a:r>
          </a:p>
        </c:rich>
      </c:tx>
      <c:layout>
        <c:manualLayout>
          <c:xMode val="edge"/>
          <c:yMode val="edge"/>
          <c:x val="0.15430555555555553"/>
          <c:y val="8.32369942196531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Grafícas2022!$C$173</c:f>
              <c:strCache>
                <c:ptCount val="1"/>
                <c:pt idx="0">
                  <c:v>Structural</c:v>
                </c:pt>
              </c:strCache>
            </c:strRef>
          </c:tx>
          <c:spPr>
            <a:solidFill>
              <a:schemeClr val="accent1"/>
            </a:solidFill>
            <a:ln>
              <a:noFill/>
            </a:ln>
            <a:effectLst/>
          </c:spPr>
          <c:invertIfNegative val="0"/>
          <c:dLbls>
            <c:dLbl>
              <c:idx val="0"/>
              <c:tx>
                <c:rich>
                  <a:bodyPr/>
                  <a:lstStyle/>
                  <a:p>
                    <a:fld id="{B0A78E03-DE1F-486A-BD69-3C1F00B0FC4E}" type="VALUE">
                      <a:rPr lang="en-US" sz="110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3C5-4357-AD82-CA4B9FDD7E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Grafícas2022!$C$174</c:f>
              <c:numCache>
                <c:formatCode>General</c:formatCode>
                <c:ptCount val="1"/>
                <c:pt idx="0">
                  <c:v>50</c:v>
                </c:pt>
              </c:numCache>
            </c:numRef>
          </c:val>
          <c:extLst>
            <c:ext xmlns:c16="http://schemas.microsoft.com/office/drawing/2014/chart" uri="{C3380CC4-5D6E-409C-BE32-E72D297353CC}">
              <c16:uniqueId val="{00000001-93C5-4357-AD82-CA4B9FDD7EB9}"/>
            </c:ext>
          </c:extLst>
        </c:ser>
        <c:ser>
          <c:idx val="1"/>
          <c:order val="1"/>
          <c:tx>
            <c:strRef>
              <c:f>Grafícas2022!$D$173</c:f>
              <c:strCache>
                <c:ptCount val="1"/>
                <c:pt idx="0">
                  <c:v>Individual</c:v>
                </c:pt>
              </c:strCache>
            </c:strRef>
          </c:tx>
          <c:spPr>
            <a:solidFill>
              <a:schemeClr val="accent2"/>
            </a:solidFill>
            <a:ln>
              <a:noFill/>
            </a:ln>
            <a:effectLst/>
          </c:spPr>
          <c:invertIfNegative val="0"/>
          <c:dLbls>
            <c:dLbl>
              <c:idx val="0"/>
              <c:tx>
                <c:rich>
                  <a:bodyPr/>
                  <a:lstStyle/>
                  <a:p>
                    <a:fld id="{2BD2963C-83A2-4301-B9D3-3385B1ECE995}" type="VALUE">
                      <a:rPr lang="en-US" sz="110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3C5-4357-AD82-CA4B9FDD7E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Grafícas2022!$D$174</c:f>
              <c:numCache>
                <c:formatCode>General</c:formatCode>
                <c:ptCount val="1"/>
                <c:pt idx="0">
                  <c:v>84</c:v>
                </c:pt>
              </c:numCache>
            </c:numRef>
          </c:val>
          <c:extLst>
            <c:ext xmlns:c16="http://schemas.microsoft.com/office/drawing/2014/chart" uri="{C3380CC4-5D6E-409C-BE32-E72D297353CC}">
              <c16:uniqueId val="{00000003-93C5-4357-AD82-CA4B9FDD7EB9}"/>
            </c:ext>
          </c:extLst>
        </c:ser>
        <c:dLbls>
          <c:dLblPos val="outEnd"/>
          <c:showLegendKey val="0"/>
          <c:showVal val="1"/>
          <c:showCatName val="0"/>
          <c:showSerName val="0"/>
          <c:showPercent val="0"/>
          <c:showBubbleSize val="0"/>
        </c:dLbls>
        <c:gapWidth val="219"/>
        <c:overlap val="-27"/>
        <c:axId val="1895419536"/>
        <c:axId val="1895419952"/>
      </c:barChart>
      <c:catAx>
        <c:axId val="189541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419952"/>
        <c:crosses val="autoZero"/>
        <c:auto val="1"/>
        <c:lblAlgn val="ctr"/>
        <c:lblOffset val="100"/>
        <c:noMultiLvlLbl val="0"/>
      </c:catAx>
      <c:valAx>
        <c:axId val="189541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41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Reports on the merits adopted by country </a:t>
            </a:r>
          </a:p>
          <a:p>
            <a:pPr>
              <a:defRPr/>
            </a:pPr>
            <a:r>
              <a:rPr lang="en-US" sz="2000" b="1" i="0">
                <a:solidFill>
                  <a:srgbClr val="0070C0"/>
                </a:solidFill>
                <a:latin typeface="Helvetica LT Std Cond" panose="020B0506020202030204" pitchFamily="34" charset="0"/>
              </a:rPr>
              <a:t>Total: 65</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Número de informes
Number of reports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EB48-473B-B8AD-0035080377AE}"/>
              </c:ext>
            </c:extLst>
          </c:dPt>
          <c:dPt>
            <c:idx val="1"/>
            <c:invertIfNegative val="0"/>
            <c:bubble3D val="0"/>
            <c:spPr>
              <a:solidFill>
                <a:srgbClr val="70AD47"/>
              </a:solidFill>
              <a:ln>
                <a:noFill/>
              </a:ln>
              <a:effectLst/>
            </c:spPr>
            <c:extLst>
              <c:ext xmlns:c16="http://schemas.microsoft.com/office/drawing/2014/chart" uri="{C3380CC4-5D6E-409C-BE32-E72D297353CC}">
                <c16:uniqueId val="{00000003-EB48-473B-B8AD-0035080377AE}"/>
              </c:ext>
            </c:extLst>
          </c:dPt>
          <c:dPt>
            <c:idx val="2"/>
            <c:invertIfNegative val="0"/>
            <c:bubble3D val="0"/>
            <c:spPr>
              <a:solidFill>
                <a:srgbClr val="0070C0"/>
              </a:solidFill>
              <a:ln>
                <a:noFill/>
              </a:ln>
              <a:effectLst/>
            </c:spPr>
            <c:extLst>
              <c:ext xmlns:c16="http://schemas.microsoft.com/office/drawing/2014/chart" uri="{C3380CC4-5D6E-409C-BE32-E72D297353CC}">
                <c16:uniqueId val="{00000005-EB48-473B-B8AD-0035080377AE}"/>
              </c:ext>
            </c:extLst>
          </c:dPt>
          <c:dPt>
            <c:idx val="3"/>
            <c:invertIfNegative val="0"/>
            <c:bubble3D val="0"/>
            <c:spPr>
              <a:solidFill>
                <a:srgbClr val="ED7D31"/>
              </a:solidFill>
              <a:ln>
                <a:noFill/>
              </a:ln>
              <a:effectLst/>
            </c:spPr>
            <c:extLst>
              <c:ext xmlns:c16="http://schemas.microsoft.com/office/drawing/2014/chart" uri="{C3380CC4-5D6E-409C-BE32-E72D297353CC}">
                <c16:uniqueId val="{00000007-EB48-473B-B8AD-0035080377AE}"/>
              </c:ext>
            </c:extLst>
          </c:dPt>
          <c:dPt>
            <c:idx val="4"/>
            <c:invertIfNegative val="0"/>
            <c:bubble3D val="0"/>
            <c:spPr>
              <a:solidFill>
                <a:srgbClr val="7030A0"/>
              </a:solidFill>
              <a:ln>
                <a:noFill/>
              </a:ln>
              <a:effectLst/>
            </c:spPr>
            <c:extLst>
              <c:ext xmlns:c16="http://schemas.microsoft.com/office/drawing/2014/chart" uri="{C3380CC4-5D6E-409C-BE32-E72D297353CC}">
                <c16:uniqueId val="{00000009-EB48-473B-B8AD-0035080377AE}"/>
              </c:ext>
            </c:extLst>
          </c:dPt>
          <c:dPt>
            <c:idx val="5"/>
            <c:invertIfNegative val="0"/>
            <c:bubble3D val="0"/>
            <c:spPr>
              <a:solidFill>
                <a:srgbClr val="00B0F0"/>
              </a:solidFill>
              <a:ln>
                <a:noFill/>
              </a:ln>
              <a:effectLst/>
            </c:spPr>
            <c:extLst>
              <c:ext xmlns:c16="http://schemas.microsoft.com/office/drawing/2014/chart" uri="{C3380CC4-5D6E-409C-BE32-E72D297353CC}">
                <c16:uniqueId val="{0000000B-EB48-473B-B8AD-0035080377AE}"/>
              </c:ext>
            </c:extLst>
          </c:dPt>
          <c:dPt>
            <c:idx val="6"/>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D-EB48-473B-B8AD-0035080377AE}"/>
              </c:ext>
            </c:extLst>
          </c:dPt>
          <c:dPt>
            <c:idx val="7"/>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F-EB48-473B-B8AD-0035080377AE}"/>
              </c:ext>
            </c:extLst>
          </c:dPt>
          <c:dPt>
            <c:idx val="8"/>
            <c:invertIfNegative val="0"/>
            <c:bubble3D val="0"/>
            <c:spPr>
              <a:solidFill>
                <a:srgbClr val="0070C0"/>
              </a:solidFill>
              <a:ln>
                <a:noFill/>
              </a:ln>
              <a:effectLst/>
            </c:spPr>
            <c:extLst>
              <c:ext xmlns:c16="http://schemas.microsoft.com/office/drawing/2014/chart" uri="{C3380CC4-5D6E-409C-BE32-E72D297353CC}">
                <c16:uniqueId val="{00000011-EB48-473B-B8AD-0035080377AE}"/>
              </c:ext>
            </c:extLst>
          </c:dPt>
          <c:dPt>
            <c:idx val="9"/>
            <c:invertIfNegative val="0"/>
            <c:bubble3D val="0"/>
            <c:spPr>
              <a:solidFill>
                <a:srgbClr val="00EFE4"/>
              </a:solidFill>
              <a:ln>
                <a:noFill/>
              </a:ln>
              <a:effectLst/>
            </c:spPr>
            <c:extLst>
              <c:ext xmlns:c16="http://schemas.microsoft.com/office/drawing/2014/chart" uri="{C3380CC4-5D6E-409C-BE32-E72D297353CC}">
                <c16:uniqueId val="{00000013-EB48-473B-B8AD-0035080377AE}"/>
              </c:ext>
            </c:extLst>
          </c:dPt>
          <c:dPt>
            <c:idx val="10"/>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5-EB48-473B-B8AD-0035080377AE}"/>
              </c:ext>
            </c:extLst>
          </c:dPt>
          <c:dPt>
            <c:idx val="11"/>
            <c:invertIfNegative val="0"/>
            <c:bubble3D val="0"/>
            <c:spPr>
              <a:solidFill>
                <a:srgbClr val="70AD47">
                  <a:lumMod val="75000"/>
                </a:srgbClr>
              </a:solidFill>
              <a:ln>
                <a:noFill/>
              </a:ln>
              <a:effectLst/>
            </c:spPr>
            <c:extLst>
              <c:ext xmlns:c16="http://schemas.microsoft.com/office/drawing/2014/chart" uri="{C3380CC4-5D6E-409C-BE32-E72D297353CC}">
                <c16:uniqueId val="{00000017-EB48-473B-B8AD-0035080377AE}"/>
              </c:ext>
            </c:extLst>
          </c:dPt>
          <c:dPt>
            <c:idx val="1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9-EB48-473B-B8AD-0035080377AE}"/>
              </c:ext>
            </c:extLst>
          </c:dPt>
          <c:dPt>
            <c:idx val="14"/>
            <c:invertIfNegative val="0"/>
            <c:bubble3D val="0"/>
            <c:spPr>
              <a:solidFill>
                <a:srgbClr val="CD582C"/>
              </a:solidFill>
              <a:ln>
                <a:noFill/>
              </a:ln>
              <a:effectLst/>
            </c:spPr>
            <c:extLst>
              <c:ext xmlns:c16="http://schemas.microsoft.com/office/drawing/2014/chart" uri="{C3380CC4-5D6E-409C-BE32-E72D297353CC}">
                <c16:uniqueId val="{0000001B-EB48-473B-B8AD-0035080377AE}"/>
              </c:ext>
            </c:extLst>
          </c:dPt>
          <c:dPt>
            <c:idx val="15"/>
            <c:invertIfNegative val="0"/>
            <c:bubble3D val="0"/>
            <c:spPr>
              <a:solidFill>
                <a:srgbClr val="D00024"/>
              </a:solidFill>
              <a:ln>
                <a:noFill/>
              </a:ln>
              <a:effectLst/>
            </c:spPr>
            <c:extLst>
              <c:ext xmlns:c16="http://schemas.microsoft.com/office/drawing/2014/chart" uri="{C3380CC4-5D6E-409C-BE32-E72D297353CC}">
                <c16:uniqueId val="{0000001D-EB48-473B-B8AD-0035080377AE}"/>
              </c:ext>
            </c:extLst>
          </c:dPt>
          <c:dPt>
            <c:idx val="16"/>
            <c:invertIfNegative val="0"/>
            <c:bubble3D val="0"/>
            <c:spPr>
              <a:solidFill>
                <a:srgbClr val="783FC5"/>
              </a:solidFill>
              <a:ln>
                <a:noFill/>
              </a:ln>
              <a:effectLst/>
            </c:spPr>
            <c:extLst>
              <c:ext xmlns:c16="http://schemas.microsoft.com/office/drawing/2014/chart" uri="{C3380CC4-5D6E-409C-BE32-E72D297353CC}">
                <c16:uniqueId val="{0000001F-EB48-473B-B8AD-0035080377A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7"/>
                <c:pt idx="0">
                  <c:v>Argentina</c:v>
                </c:pt>
                <c:pt idx="1">
                  <c:v>Brasil</c:v>
                </c:pt>
                <c:pt idx="2">
                  <c:v>Chile</c:v>
                </c:pt>
                <c:pt idx="3">
                  <c:v>Colombia</c:v>
                </c:pt>
                <c:pt idx="4">
                  <c:v>Costa Rica</c:v>
                </c:pt>
                <c:pt idx="5">
                  <c:v>Cuba</c:v>
                </c:pt>
                <c:pt idx="6">
                  <c:v>Ecuador</c:v>
                </c:pt>
                <c:pt idx="7">
                  <c:v>El Salvador</c:v>
                </c:pt>
                <c:pt idx="8">
                  <c:v>Guatemala</c:v>
                </c:pt>
                <c:pt idx="9">
                  <c:v>Honduras</c:v>
                </c:pt>
                <c:pt idx="10">
                  <c:v>Jamaica</c:v>
                </c:pt>
                <c:pt idx="11">
                  <c:v>México</c:v>
                </c:pt>
                <c:pt idx="12">
                  <c:v>Nicaragua</c:v>
                </c:pt>
                <c:pt idx="13">
                  <c:v>Panamá</c:v>
                </c:pt>
                <c:pt idx="14">
                  <c:v>Paraguay</c:v>
                </c:pt>
                <c:pt idx="15">
                  <c:v>Perú</c:v>
                </c:pt>
                <c:pt idx="16">
                  <c:v>Venezuela</c:v>
                </c:pt>
              </c:strCache>
            </c:strRef>
          </c:cat>
          <c:val>
            <c:numRef>
              <c:f>Sheet1!$B$2:$B$36</c:f>
              <c:numCache>
                <c:formatCode>#,##0</c:formatCode>
                <c:ptCount val="17"/>
                <c:pt idx="0">
                  <c:v>8</c:v>
                </c:pt>
                <c:pt idx="1">
                  <c:v>2</c:v>
                </c:pt>
                <c:pt idx="2">
                  <c:v>3</c:v>
                </c:pt>
                <c:pt idx="3">
                  <c:v>8</c:v>
                </c:pt>
                <c:pt idx="4">
                  <c:v>2</c:v>
                </c:pt>
                <c:pt idx="5">
                  <c:v>1</c:v>
                </c:pt>
                <c:pt idx="6">
                  <c:v>8</c:v>
                </c:pt>
                <c:pt idx="7">
                  <c:v>2</c:v>
                </c:pt>
                <c:pt idx="8">
                  <c:v>4</c:v>
                </c:pt>
                <c:pt idx="9">
                  <c:v>2</c:v>
                </c:pt>
                <c:pt idx="10">
                  <c:v>1</c:v>
                </c:pt>
                <c:pt idx="11">
                  <c:v>3</c:v>
                </c:pt>
                <c:pt idx="12">
                  <c:v>6</c:v>
                </c:pt>
                <c:pt idx="13">
                  <c:v>2</c:v>
                </c:pt>
                <c:pt idx="14">
                  <c:v>1</c:v>
                </c:pt>
                <c:pt idx="15">
                  <c:v>3</c:v>
                </c:pt>
                <c:pt idx="16">
                  <c:v>9</c:v>
                </c:pt>
              </c:numCache>
            </c:numRef>
          </c:val>
          <c:extLst>
            <c:ext xmlns:c16="http://schemas.microsoft.com/office/drawing/2014/chart" uri="{C3380CC4-5D6E-409C-BE32-E72D297353CC}">
              <c16:uniqueId val="{00000020-EB48-473B-B8AD-0035080377AE}"/>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Cases submitted to the Court</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each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CASOS PRESENTADOS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E565-4F4C-8A8A-CDCCD6AE6DED}"/>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E565-4F4C-8A8A-CDCCD6AE6DED}"/>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E565-4F4C-8A8A-CDCCD6AE6DED}"/>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E565-4F4C-8A8A-CDCCD6AE6DED}"/>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E565-4F4C-8A8A-CDCCD6AE6DED}"/>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E565-4F4C-8A8A-CDCCD6AE6DED}"/>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E565-4F4C-8A8A-CDCCD6AE6DED}"/>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E565-4F4C-8A8A-CDCCD6AE6DED}"/>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E565-4F4C-8A8A-CDCCD6AE6DED}"/>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E565-4F4C-8A8A-CDCCD6AE6DED}"/>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E565-4F4C-8A8A-CDCCD6AE6DED}"/>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E565-4F4C-8A8A-CDCCD6AE6DED}"/>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E565-4F4C-8A8A-CDCCD6AE6DED}"/>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E565-4F4C-8A8A-CDCCD6AE6DED}"/>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E565-4F4C-8A8A-CDCCD6AE6DED}"/>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E565-4F4C-8A8A-CDCCD6AE6DED}"/>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E565-4F4C-8A8A-CDCCD6AE6DED}"/>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E565-4F4C-8A8A-CDCCD6AE6DED}"/>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E565-4F4C-8A8A-CDCCD6AE6DED}"/>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E565-4F4C-8A8A-CDCCD6AE6DED}"/>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E565-4F4C-8A8A-CDCCD6AE6DED}"/>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E565-4F4C-8A8A-CDCCD6AE6DED}"/>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E565-4F4C-8A8A-CDCCD6AE6DED}"/>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E565-4F4C-8A8A-CDCCD6AE6DED}"/>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E565-4F4C-8A8A-CDCCD6AE6DED}"/>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E565-4F4C-8A8A-CDCCD6AE6DE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Sheet1!$B$2:$B$27</c:f>
              <c:numCache>
                <c:formatCode>#,##0</c:formatCode>
                <c:ptCount val="26"/>
                <c:pt idx="0">
                  <c:v>2</c:v>
                </c:pt>
                <c:pt idx="1">
                  <c:v>3</c:v>
                </c:pt>
                <c:pt idx="2">
                  <c:v>7</c:v>
                </c:pt>
                <c:pt idx="3">
                  <c:v>3</c:v>
                </c:pt>
                <c:pt idx="4">
                  <c:v>5</c:v>
                </c:pt>
                <c:pt idx="5">
                  <c:v>7</c:v>
                </c:pt>
                <c:pt idx="6">
                  <c:v>15</c:v>
                </c:pt>
                <c:pt idx="7">
                  <c:v>12</c:v>
                </c:pt>
                <c:pt idx="8">
                  <c:v>10</c:v>
                </c:pt>
                <c:pt idx="9">
                  <c:v>14</c:v>
                </c:pt>
                <c:pt idx="10">
                  <c:v>14</c:v>
                </c:pt>
                <c:pt idx="11">
                  <c:v>9</c:v>
                </c:pt>
                <c:pt idx="12">
                  <c:v>11</c:v>
                </c:pt>
                <c:pt idx="13">
                  <c:v>16</c:v>
                </c:pt>
                <c:pt idx="14">
                  <c:v>23</c:v>
                </c:pt>
                <c:pt idx="15">
                  <c:v>12</c:v>
                </c:pt>
                <c:pt idx="16">
                  <c:v>11</c:v>
                </c:pt>
                <c:pt idx="17">
                  <c:v>19</c:v>
                </c:pt>
                <c:pt idx="18">
                  <c:v>14</c:v>
                </c:pt>
                <c:pt idx="19">
                  <c:v>16</c:v>
                </c:pt>
                <c:pt idx="20">
                  <c:v>17</c:v>
                </c:pt>
                <c:pt idx="21">
                  <c:v>18</c:v>
                </c:pt>
                <c:pt idx="22">
                  <c:v>32</c:v>
                </c:pt>
                <c:pt idx="23">
                  <c:v>23</c:v>
                </c:pt>
                <c:pt idx="24">
                  <c:v>40</c:v>
                </c:pt>
                <c:pt idx="25">
                  <c:v>24</c:v>
                </c:pt>
              </c:numCache>
            </c:numRef>
          </c:val>
          <c:extLst>
            <c:ext xmlns:c16="http://schemas.microsoft.com/office/drawing/2014/chart" uri="{C3380CC4-5D6E-409C-BE32-E72D297353CC}">
              <c16:uniqueId val="{00000034-E565-4F4C-8A8A-CDCCD6AE6DED}"/>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Cases submitted to the </a:t>
            </a:r>
            <a:r>
              <a:rPr lang="en-US" sz="1400" b="1" i="0">
                <a:solidFill>
                  <a:schemeClr val="tx1">
                    <a:lumMod val="50000"/>
                    <a:lumOff val="50000"/>
                  </a:schemeClr>
                </a:solidFill>
                <a:latin typeface="Helvetica LT Std Cond" panose="020B0506020202030204" pitchFamily="34" charset="0"/>
              </a:rPr>
              <a:t>I/A Court H.R.</a:t>
            </a:r>
            <a:r>
              <a:rPr lang="en-US" sz="1400" b="0" i="0">
                <a:solidFill>
                  <a:schemeClr val="tx1">
                    <a:lumMod val="50000"/>
                    <a:lumOff val="50000"/>
                  </a:schemeClr>
                </a:solidFill>
                <a:latin typeface="Helvetica LT Std Cond" panose="020B0506020202030204" pitchFamily="34" charset="0"/>
              </a:rPr>
              <a:t> by country </a:t>
            </a:r>
          </a:p>
          <a:p>
            <a:pPr>
              <a:defRPr/>
            </a:pPr>
            <a:r>
              <a:rPr lang="en-US" sz="2000" b="1" i="0">
                <a:solidFill>
                  <a:srgbClr val="0070C0"/>
                </a:solidFill>
                <a:latin typeface="Helvetica LT Std Cond" panose="020B0506020202030204" pitchFamily="34" charset="0"/>
              </a:rPr>
              <a:t>Total: 24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482D-41C8-A2C3-ED38026F8D2B}"/>
              </c:ext>
            </c:extLst>
          </c:dPt>
          <c:dPt>
            <c:idx val="1"/>
            <c:invertIfNegative val="0"/>
            <c:bubble3D val="0"/>
            <c:spPr>
              <a:solidFill>
                <a:srgbClr val="70AD47"/>
              </a:solidFill>
              <a:ln>
                <a:noFill/>
              </a:ln>
              <a:effectLst/>
            </c:spPr>
            <c:extLst>
              <c:ext xmlns:c16="http://schemas.microsoft.com/office/drawing/2014/chart" uri="{C3380CC4-5D6E-409C-BE32-E72D297353CC}">
                <c16:uniqueId val="{00000003-482D-41C8-A2C3-ED38026F8D2B}"/>
              </c:ext>
            </c:extLst>
          </c:dPt>
          <c:dPt>
            <c:idx val="2"/>
            <c:invertIfNegative val="0"/>
            <c:bubble3D val="0"/>
            <c:spPr>
              <a:solidFill>
                <a:srgbClr val="0070C0"/>
              </a:solidFill>
              <a:ln>
                <a:noFill/>
              </a:ln>
              <a:effectLst/>
            </c:spPr>
            <c:extLst>
              <c:ext xmlns:c16="http://schemas.microsoft.com/office/drawing/2014/chart" uri="{C3380CC4-5D6E-409C-BE32-E72D297353CC}">
                <c16:uniqueId val="{00000005-482D-41C8-A2C3-ED38026F8D2B}"/>
              </c:ext>
            </c:extLst>
          </c:dPt>
          <c:dPt>
            <c:idx val="3"/>
            <c:invertIfNegative val="0"/>
            <c:bubble3D val="0"/>
            <c:spPr>
              <a:solidFill>
                <a:srgbClr val="ED7D31"/>
              </a:solidFill>
              <a:ln>
                <a:noFill/>
              </a:ln>
              <a:effectLst/>
            </c:spPr>
            <c:extLst>
              <c:ext xmlns:c16="http://schemas.microsoft.com/office/drawing/2014/chart" uri="{C3380CC4-5D6E-409C-BE32-E72D297353CC}">
                <c16:uniqueId val="{00000007-482D-41C8-A2C3-ED38026F8D2B}"/>
              </c:ext>
            </c:extLst>
          </c:dPt>
          <c:dPt>
            <c:idx val="4"/>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9-482D-41C8-A2C3-ED38026F8D2B}"/>
              </c:ext>
            </c:extLst>
          </c:dPt>
          <c:dPt>
            <c:idx val="5"/>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B-482D-41C8-A2C3-ED38026F8D2B}"/>
              </c:ext>
            </c:extLst>
          </c:dPt>
          <c:dPt>
            <c:idx val="6"/>
            <c:invertIfNegative val="0"/>
            <c:bubble3D val="0"/>
            <c:spPr>
              <a:solidFill>
                <a:srgbClr val="0070C0"/>
              </a:solidFill>
              <a:ln>
                <a:noFill/>
              </a:ln>
              <a:effectLst/>
            </c:spPr>
            <c:extLst>
              <c:ext xmlns:c16="http://schemas.microsoft.com/office/drawing/2014/chart" uri="{C3380CC4-5D6E-409C-BE32-E72D297353CC}">
                <c16:uniqueId val="{0000000D-482D-41C8-A2C3-ED38026F8D2B}"/>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F-482D-41C8-A2C3-ED38026F8D2B}"/>
              </c:ext>
            </c:extLst>
          </c:dPt>
          <c:dPt>
            <c:idx val="9"/>
            <c:invertIfNegative val="0"/>
            <c:bubble3D val="0"/>
            <c:spPr>
              <a:solidFill>
                <a:srgbClr val="CD582C"/>
              </a:solidFill>
              <a:ln>
                <a:noFill/>
              </a:ln>
              <a:effectLst/>
            </c:spPr>
            <c:extLst>
              <c:ext xmlns:c16="http://schemas.microsoft.com/office/drawing/2014/chart" uri="{C3380CC4-5D6E-409C-BE32-E72D297353CC}">
                <c16:uniqueId val="{00000011-482D-41C8-A2C3-ED38026F8D2B}"/>
              </c:ext>
            </c:extLst>
          </c:dPt>
          <c:dPt>
            <c:idx val="10"/>
            <c:invertIfNegative val="0"/>
            <c:bubble3D val="0"/>
            <c:spPr>
              <a:solidFill>
                <a:srgbClr val="D00024"/>
              </a:solidFill>
              <a:ln>
                <a:noFill/>
              </a:ln>
              <a:effectLst/>
            </c:spPr>
            <c:extLst>
              <c:ext xmlns:c16="http://schemas.microsoft.com/office/drawing/2014/chart" uri="{C3380CC4-5D6E-409C-BE32-E72D297353CC}">
                <c16:uniqueId val="{00000013-482D-41C8-A2C3-ED38026F8D2B}"/>
              </c:ext>
            </c:extLst>
          </c:dPt>
          <c:dPt>
            <c:idx val="11"/>
            <c:invertIfNegative val="0"/>
            <c:bubble3D val="0"/>
            <c:spPr>
              <a:solidFill>
                <a:srgbClr val="783FC5"/>
              </a:solidFill>
              <a:ln>
                <a:noFill/>
              </a:ln>
              <a:effectLst/>
            </c:spPr>
            <c:extLst>
              <c:ext xmlns:c16="http://schemas.microsoft.com/office/drawing/2014/chart" uri="{C3380CC4-5D6E-409C-BE32-E72D297353CC}">
                <c16:uniqueId val="{00000015-482D-41C8-A2C3-ED38026F8D2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2"/>
                <c:pt idx="0">
                  <c:v>Argentina</c:v>
                </c:pt>
                <c:pt idx="1">
                  <c:v>Brasil</c:v>
                </c:pt>
                <c:pt idx="2">
                  <c:v>Chile</c:v>
                </c:pt>
                <c:pt idx="3">
                  <c:v>Colombia</c:v>
                </c:pt>
                <c:pt idx="4">
                  <c:v>Ecuador</c:v>
                </c:pt>
                <c:pt idx="5">
                  <c:v>El Salvador</c:v>
                </c:pt>
                <c:pt idx="6">
                  <c:v>Guatemala</c:v>
                </c:pt>
                <c:pt idx="7">
                  <c:v>México</c:v>
                </c:pt>
                <c:pt idx="8">
                  <c:v>Nicaragua</c:v>
                </c:pt>
                <c:pt idx="9">
                  <c:v>Paraguay</c:v>
                </c:pt>
                <c:pt idx="10">
                  <c:v>Perú</c:v>
                </c:pt>
                <c:pt idx="11">
                  <c:v>Venezuela</c:v>
                </c:pt>
              </c:strCache>
            </c:strRef>
          </c:cat>
          <c:val>
            <c:numRef>
              <c:f>Sheet1!$B$2:$B$36</c:f>
              <c:numCache>
                <c:formatCode>#,##0</c:formatCode>
                <c:ptCount val="12"/>
                <c:pt idx="0">
                  <c:v>1</c:v>
                </c:pt>
                <c:pt idx="1">
                  <c:v>5</c:v>
                </c:pt>
                <c:pt idx="2">
                  <c:v>2</c:v>
                </c:pt>
                <c:pt idx="3">
                  <c:v>1</c:v>
                </c:pt>
                <c:pt idx="4">
                  <c:v>2</c:v>
                </c:pt>
                <c:pt idx="5">
                  <c:v>3</c:v>
                </c:pt>
                <c:pt idx="6">
                  <c:v>1</c:v>
                </c:pt>
                <c:pt idx="7">
                  <c:v>1</c:v>
                </c:pt>
                <c:pt idx="8">
                  <c:v>1</c:v>
                </c:pt>
                <c:pt idx="9">
                  <c:v>1</c:v>
                </c:pt>
                <c:pt idx="10">
                  <c:v>1</c:v>
                </c:pt>
                <c:pt idx="11">
                  <c:v>5</c:v>
                </c:pt>
              </c:numCache>
            </c:numRef>
          </c:val>
          <c:extLst>
            <c:ext xmlns:c16="http://schemas.microsoft.com/office/drawing/2014/chart" uri="{C3380CC4-5D6E-409C-BE32-E72D297353CC}">
              <c16:uniqueId val="{00000016-482D-41C8-A2C3-ED38026F8D2B}"/>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r>
              <a:rPr lang="en-US" sz="1600" b="0" i="0" baseline="0">
                <a:solidFill>
                  <a:schemeClr val="tx1">
                    <a:lumMod val="50000"/>
                    <a:lumOff val="50000"/>
                  </a:schemeClr>
                </a:solidFill>
                <a:effectLst/>
                <a:latin typeface="Helvetica LT Std Cond" panose="020B0506020202030204" pitchFamily="34" charset="0"/>
              </a:rPr>
              <a:t>Hearings in which the </a:t>
            </a:r>
            <a:r>
              <a:rPr lang="en-US" sz="1600" b="1" i="0" baseline="0">
                <a:solidFill>
                  <a:schemeClr val="tx1">
                    <a:lumMod val="50000"/>
                    <a:lumOff val="50000"/>
                  </a:schemeClr>
                </a:solidFill>
                <a:effectLst/>
                <a:latin typeface="Helvetica LT Std Cond" panose="020B0506020202030204" pitchFamily="34" charset="0"/>
              </a:rPr>
              <a:t>IACHR</a:t>
            </a:r>
            <a:r>
              <a:rPr lang="en-US" sz="1600" b="0" i="0" baseline="0">
                <a:solidFill>
                  <a:schemeClr val="tx1">
                    <a:lumMod val="50000"/>
                    <a:lumOff val="50000"/>
                  </a:schemeClr>
                </a:solidFill>
                <a:effectLst/>
                <a:latin typeface="Helvetica LT Std Cond" panose="020B0506020202030204" pitchFamily="34" charset="0"/>
              </a:rPr>
              <a:t> participates</a:t>
            </a:r>
          </a:p>
          <a:p>
            <a:pPr>
              <a:defRPr b="0">
                <a:solidFill>
                  <a:schemeClr val="tx1">
                    <a:lumMod val="50000"/>
                    <a:lumOff val="50000"/>
                  </a:schemeClr>
                </a:solidFill>
                <a:latin typeface="Helvetica LT Std Cond" panose="020B0506020202030204" pitchFamily="34" charset="0"/>
              </a:defRPr>
            </a:pPr>
            <a:r>
              <a:rPr lang="en-US" sz="1600" b="0" i="0" baseline="0">
                <a:solidFill>
                  <a:schemeClr val="tx1">
                    <a:lumMod val="50000"/>
                    <a:lumOff val="50000"/>
                  </a:schemeClr>
                </a:solidFill>
                <a:effectLst/>
                <a:latin typeface="Helvetica LT Std Cond" panose="020B0506020202030204" pitchFamily="34" charset="0"/>
              </a:rPr>
              <a:t>in the </a:t>
            </a:r>
            <a:r>
              <a:rPr lang="en-US" sz="1600" b="1" i="0" baseline="0">
                <a:solidFill>
                  <a:schemeClr val="tx1">
                    <a:lumMod val="50000"/>
                    <a:lumOff val="50000"/>
                  </a:schemeClr>
                </a:solidFill>
                <a:effectLst/>
                <a:latin typeface="Helvetica LT Std Cond" panose="020B0506020202030204" pitchFamily="34" charset="0"/>
              </a:rPr>
              <a:t>I/A Court H.R.</a:t>
            </a:r>
            <a:br>
              <a:rPr lang="en-US" sz="1600" b="0" i="0" baseline="0">
                <a:solidFill>
                  <a:schemeClr val="tx1">
                    <a:lumMod val="50000"/>
                    <a:lumOff val="50000"/>
                  </a:schemeClr>
                </a:solidFill>
                <a:effectLst/>
                <a:latin typeface="Helvetica LT Std Cond" panose="020B0506020202030204" pitchFamily="34" charset="0"/>
              </a:rPr>
            </a:br>
            <a:r>
              <a:rPr lang="en-US" sz="2000" b="1" i="0" baseline="0">
                <a:solidFill>
                  <a:srgbClr val="0070C0"/>
                </a:solidFill>
                <a:effectLst/>
                <a:latin typeface="Helvetica LT Std Cond" panose="020B0506020202030204" pitchFamily="34" charset="0"/>
              </a:rPr>
              <a:t>2013 - 2022</a:t>
            </a:r>
            <a:endParaRPr lang="en-US" sz="2000" b="1" i="0">
              <a:solidFill>
                <a:srgbClr val="0070C0"/>
              </a:solidFill>
              <a:effectLst/>
              <a:latin typeface="Helvetica LT Std Cond" panose="020B0506020202030204" pitchFamily="34" charset="0"/>
            </a:endParaRPr>
          </a:p>
        </c:rich>
      </c:tx>
      <c:overlay val="1"/>
      <c:spPr>
        <a:noFill/>
        <a:ln>
          <a:noFill/>
        </a:ln>
        <a:effectLst/>
      </c:spPr>
      <c:txPr>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3.5398463500148671E-2"/>
          <c:y val="0.12178302712160979"/>
          <c:w val="0.92801231081446589"/>
          <c:h val="0.73372375328083983"/>
        </c:manualLayout>
      </c:layout>
      <c:barChart>
        <c:barDir val="col"/>
        <c:grouping val="stacked"/>
        <c:varyColors val="0"/>
        <c:ser>
          <c:idx val="0"/>
          <c:order val="0"/>
          <c:tx>
            <c:strRef>
              <c:f>Sheet1!$B$1</c:f>
              <c:strCache>
                <c:ptCount val="1"/>
                <c:pt idx="0">
                  <c:v>Contentious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Sheet1!$B$2:$B$11</c:f>
              <c:numCache>
                <c:formatCode>General</c:formatCode>
                <c:ptCount val="10"/>
                <c:pt idx="0">
                  <c:v>17</c:v>
                </c:pt>
                <c:pt idx="1">
                  <c:v>12</c:v>
                </c:pt>
                <c:pt idx="2">
                  <c:v>13</c:v>
                </c:pt>
                <c:pt idx="3">
                  <c:v>16</c:v>
                </c:pt>
                <c:pt idx="4">
                  <c:v>15</c:v>
                </c:pt>
                <c:pt idx="5">
                  <c:v>9</c:v>
                </c:pt>
                <c:pt idx="6">
                  <c:v>18</c:v>
                </c:pt>
                <c:pt idx="7">
                  <c:v>10</c:v>
                </c:pt>
                <c:pt idx="8">
                  <c:v>17</c:v>
                </c:pt>
                <c:pt idx="9">
                  <c:v>34</c:v>
                </c:pt>
              </c:numCache>
            </c:numRef>
          </c:val>
          <c:extLst>
            <c:ext xmlns:c16="http://schemas.microsoft.com/office/drawing/2014/chart" uri="{C3380CC4-5D6E-409C-BE32-E72D297353CC}">
              <c16:uniqueId val="{00000000-B471-4245-ADF7-F7AFD83457B1}"/>
            </c:ext>
          </c:extLst>
        </c:ser>
        <c:ser>
          <c:idx val="1"/>
          <c:order val="1"/>
          <c:tx>
            <c:strRef>
              <c:f>Sheet1!$C$1</c:f>
              <c:strCache>
                <c:ptCount val="1"/>
                <c:pt idx="0">
                  <c:v>Supervision</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solidFill>
                      <a:schemeClr val="tx2"/>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Sheet1!$C$2:$C$11</c:f>
              <c:numCache>
                <c:formatCode>General</c:formatCode>
                <c:ptCount val="10"/>
                <c:pt idx="0">
                  <c:v>12</c:v>
                </c:pt>
                <c:pt idx="1">
                  <c:v>8</c:v>
                </c:pt>
                <c:pt idx="2">
                  <c:v>8</c:v>
                </c:pt>
                <c:pt idx="3">
                  <c:v>7</c:v>
                </c:pt>
                <c:pt idx="4">
                  <c:v>7</c:v>
                </c:pt>
                <c:pt idx="5">
                  <c:v>6</c:v>
                </c:pt>
                <c:pt idx="6">
                  <c:v>16</c:v>
                </c:pt>
                <c:pt idx="7">
                  <c:v>10</c:v>
                </c:pt>
                <c:pt idx="8">
                  <c:v>14</c:v>
                </c:pt>
                <c:pt idx="9">
                  <c:v>18</c:v>
                </c:pt>
              </c:numCache>
            </c:numRef>
          </c:val>
          <c:extLst>
            <c:ext xmlns:c16="http://schemas.microsoft.com/office/drawing/2014/chart" uri="{C3380CC4-5D6E-409C-BE32-E72D297353CC}">
              <c16:uniqueId val="{00000001-B471-4245-ADF7-F7AFD83457B1}"/>
            </c:ext>
          </c:extLst>
        </c:ser>
        <c:dLbls>
          <c:showLegendKey val="0"/>
          <c:showVal val="0"/>
          <c:showCatName val="0"/>
          <c:showSerName val="0"/>
          <c:showPercent val="0"/>
          <c:showBubbleSize val="0"/>
        </c:dLbls>
        <c:gapWidth val="100"/>
        <c:overlap val="100"/>
        <c:axId val="581096592"/>
        <c:axId val="581098224"/>
      </c:barChart>
      <c:lineChart>
        <c:grouping val="stacked"/>
        <c:varyColors val="0"/>
        <c:ser>
          <c:idx val="2"/>
          <c:order val="2"/>
          <c:tx>
            <c:strRef>
              <c:f>Sheet1!$D$1</c:f>
              <c:strCache>
                <c:ptCount val="1"/>
                <c:pt idx="0">
                  <c:v>Total hearings</c:v>
                </c:pt>
              </c:strCache>
            </c:strRef>
          </c:tx>
          <c:spPr>
            <a:ln w="31750" cap="rnd">
              <a:solidFill>
                <a:srgbClr val="5B9BD5">
                  <a:lumMod val="40000"/>
                  <a:lumOff val="60000"/>
                </a:srgbClr>
              </a:solidFill>
              <a:round/>
            </a:ln>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Sheet1!$D$2:$D$11</c:f>
              <c:numCache>
                <c:formatCode>General</c:formatCode>
                <c:ptCount val="10"/>
                <c:pt idx="0">
                  <c:v>29</c:v>
                </c:pt>
                <c:pt idx="1">
                  <c:v>20</c:v>
                </c:pt>
                <c:pt idx="2">
                  <c:v>21</c:v>
                </c:pt>
                <c:pt idx="3">
                  <c:v>23</c:v>
                </c:pt>
                <c:pt idx="4">
                  <c:v>22</c:v>
                </c:pt>
                <c:pt idx="5">
                  <c:v>15</c:v>
                </c:pt>
                <c:pt idx="6">
                  <c:v>34</c:v>
                </c:pt>
                <c:pt idx="7">
                  <c:v>20</c:v>
                </c:pt>
                <c:pt idx="8">
                  <c:v>31</c:v>
                </c:pt>
                <c:pt idx="9">
                  <c:v>52</c:v>
                </c:pt>
              </c:numCache>
            </c:numRef>
          </c:val>
          <c:smooth val="0"/>
          <c:extLst>
            <c:ext xmlns:c16="http://schemas.microsoft.com/office/drawing/2014/chart" uri="{C3380CC4-5D6E-409C-BE32-E72D297353CC}">
              <c16:uniqueId val="{00000002-B471-4245-ADF7-F7AFD83457B1}"/>
            </c:ext>
          </c:extLst>
        </c:ser>
        <c:dLbls>
          <c:showLegendKey val="0"/>
          <c:showVal val="0"/>
          <c:showCatName val="0"/>
          <c:showSerName val="0"/>
          <c:showPercent val="0"/>
          <c:showBubbleSize val="0"/>
        </c:dLbls>
        <c:marker val="1"/>
        <c:smooth val="0"/>
        <c:axId val="581096592"/>
        <c:axId val="581098224"/>
      </c:lineChart>
      <c:catAx>
        <c:axId val="581096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l"/>
        <c:numFmt formatCode="General" sourceLinked="1"/>
        <c:majorTickMark val="out"/>
        <c:minorTickMark val="none"/>
        <c:tickLblPos val="nextTo"/>
        <c:crossAx val="58109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Hearings before the </a:t>
            </a:r>
            <a:r>
              <a:rPr lang="en-US" sz="1400" b="1" i="0">
                <a:solidFill>
                  <a:schemeClr val="tx1">
                    <a:lumMod val="50000"/>
                    <a:lumOff val="50000"/>
                  </a:schemeClr>
                </a:solidFill>
                <a:latin typeface="Helvetica LT Std Cond" panose="020B0506020202030204" pitchFamily="34" charset="0"/>
              </a:rPr>
              <a:t>I/A Court H.R.</a:t>
            </a:r>
            <a:r>
              <a:rPr lang="en-US" sz="1400" b="0" i="0">
                <a:solidFill>
                  <a:schemeClr val="tx1">
                    <a:lumMod val="50000"/>
                    <a:lumOff val="50000"/>
                  </a:schemeClr>
                </a:solidFill>
                <a:latin typeface="Helvetica LT Std Cond" panose="020B0506020202030204" pitchFamily="34" charset="0"/>
              </a:rPr>
              <a:t> by country * </a:t>
            </a:r>
          </a:p>
          <a:p>
            <a:pPr>
              <a:defRPr/>
            </a:pPr>
            <a:r>
              <a:rPr lang="en-US" sz="2000" b="1" i="0">
                <a:solidFill>
                  <a:srgbClr val="0070C0"/>
                </a:solidFill>
                <a:latin typeface="Helvetica LT Std Cond" panose="020B0506020202030204" pitchFamily="34" charset="0"/>
              </a:rPr>
              <a:t>Total: 52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0023-42F0-B06B-685A1C2B0E6B}"/>
              </c:ext>
            </c:extLst>
          </c:dPt>
          <c:dPt>
            <c:idx val="1"/>
            <c:invertIfNegative val="0"/>
            <c:bubble3D val="0"/>
            <c:spPr>
              <a:solidFill>
                <a:srgbClr val="FFC000"/>
              </a:solidFill>
              <a:ln>
                <a:noFill/>
              </a:ln>
              <a:effectLst/>
            </c:spPr>
            <c:extLst>
              <c:ext xmlns:c16="http://schemas.microsoft.com/office/drawing/2014/chart" uri="{C3380CC4-5D6E-409C-BE32-E72D297353CC}">
                <c16:uniqueId val="{00000003-0023-42F0-B06B-685A1C2B0E6B}"/>
              </c:ext>
            </c:extLst>
          </c:dPt>
          <c:dPt>
            <c:idx val="2"/>
            <c:invertIfNegative val="0"/>
            <c:bubble3D val="0"/>
            <c:spPr>
              <a:solidFill>
                <a:srgbClr val="70AD47"/>
              </a:solidFill>
              <a:ln>
                <a:noFill/>
              </a:ln>
              <a:effectLst/>
            </c:spPr>
            <c:extLst>
              <c:ext xmlns:c16="http://schemas.microsoft.com/office/drawing/2014/chart" uri="{C3380CC4-5D6E-409C-BE32-E72D297353CC}">
                <c16:uniqueId val="{00000005-0023-42F0-B06B-685A1C2B0E6B}"/>
              </c:ext>
            </c:extLst>
          </c:dPt>
          <c:dPt>
            <c:idx val="3"/>
            <c:invertIfNegative val="0"/>
            <c:bubble3D val="0"/>
            <c:spPr>
              <a:solidFill>
                <a:srgbClr val="0070C0"/>
              </a:solidFill>
              <a:ln>
                <a:noFill/>
              </a:ln>
              <a:effectLst/>
            </c:spPr>
            <c:extLst>
              <c:ext xmlns:c16="http://schemas.microsoft.com/office/drawing/2014/chart" uri="{C3380CC4-5D6E-409C-BE32-E72D297353CC}">
                <c16:uniqueId val="{00000007-0023-42F0-B06B-685A1C2B0E6B}"/>
              </c:ext>
            </c:extLst>
          </c:dPt>
          <c:dPt>
            <c:idx val="4"/>
            <c:invertIfNegative val="0"/>
            <c:bubble3D val="0"/>
            <c:spPr>
              <a:solidFill>
                <a:srgbClr val="ED7D31"/>
              </a:solidFill>
              <a:ln>
                <a:noFill/>
              </a:ln>
              <a:effectLst/>
            </c:spPr>
            <c:extLst>
              <c:ext xmlns:c16="http://schemas.microsoft.com/office/drawing/2014/chart" uri="{C3380CC4-5D6E-409C-BE32-E72D297353CC}">
                <c16:uniqueId val="{00000009-0023-42F0-B06B-685A1C2B0E6B}"/>
              </c:ext>
            </c:extLst>
          </c:dPt>
          <c:dPt>
            <c:idx val="5"/>
            <c:invertIfNegative val="0"/>
            <c:bubble3D val="0"/>
            <c:spPr>
              <a:solidFill>
                <a:srgbClr val="7030A0"/>
              </a:solidFill>
              <a:ln>
                <a:noFill/>
              </a:ln>
              <a:effectLst/>
            </c:spPr>
            <c:extLst>
              <c:ext xmlns:c16="http://schemas.microsoft.com/office/drawing/2014/chart" uri="{C3380CC4-5D6E-409C-BE32-E72D297353CC}">
                <c16:uniqueId val="{0000000B-0023-42F0-B06B-685A1C2B0E6B}"/>
              </c:ext>
            </c:extLst>
          </c:dPt>
          <c:dPt>
            <c:idx val="6"/>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D-0023-42F0-B06B-685A1C2B0E6B}"/>
              </c:ext>
            </c:extLst>
          </c:dPt>
          <c:dPt>
            <c:idx val="7"/>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F-0023-42F0-B06B-685A1C2B0E6B}"/>
              </c:ext>
            </c:extLst>
          </c:dPt>
          <c:dPt>
            <c:idx val="8"/>
            <c:invertIfNegative val="0"/>
            <c:bubble3D val="0"/>
            <c:spPr>
              <a:solidFill>
                <a:srgbClr val="0070C0"/>
              </a:solidFill>
              <a:ln>
                <a:noFill/>
              </a:ln>
              <a:effectLst/>
            </c:spPr>
            <c:extLst>
              <c:ext xmlns:c16="http://schemas.microsoft.com/office/drawing/2014/chart" uri="{C3380CC4-5D6E-409C-BE32-E72D297353CC}">
                <c16:uniqueId val="{00000011-0023-42F0-B06B-685A1C2B0E6B}"/>
              </c:ext>
            </c:extLst>
          </c:dPt>
          <c:dPt>
            <c:idx val="9"/>
            <c:invertIfNegative val="0"/>
            <c:bubble3D val="0"/>
            <c:spPr>
              <a:solidFill>
                <a:srgbClr val="00EFE4"/>
              </a:solidFill>
              <a:ln>
                <a:noFill/>
              </a:ln>
              <a:effectLst/>
            </c:spPr>
            <c:extLst>
              <c:ext xmlns:c16="http://schemas.microsoft.com/office/drawing/2014/chart" uri="{C3380CC4-5D6E-409C-BE32-E72D297353CC}">
                <c16:uniqueId val="{00000013-0023-42F0-B06B-685A1C2B0E6B}"/>
              </c:ext>
            </c:extLst>
          </c:dPt>
          <c:dPt>
            <c:idx val="10"/>
            <c:invertIfNegative val="0"/>
            <c:bubble3D val="0"/>
            <c:spPr>
              <a:solidFill>
                <a:srgbClr val="70AD47">
                  <a:lumMod val="75000"/>
                </a:srgbClr>
              </a:solidFill>
              <a:ln>
                <a:noFill/>
              </a:ln>
              <a:effectLst/>
            </c:spPr>
            <c:extLst>
              <c:ext xmlns:c16="http://schemas.microsoft.com/office/drawing/2014/chart" uri="{C3380CC4-5D6E-409C-BE32-E72D297353CC}">
                <c16:uniqueId val="{00000015-0023-42F0-B06B-685A1C2B0E6B}"/>
              </c:ext>
            </c:extLst>
          </c:dPt>
          <c:dPt>
            <c:idx val="11"/>
            <c:invertIfNegative val="0"/>
            <c:bubble3D val="0"/>
            <c:spPr>
              <a:solidFill>
                <a:srgbClr val="CD582C"/>
              </a:solidFill>
              <a:ln>
                <a:noFill/>
              </a:ln>
              <a:effectLst/>
            </c:spPr>
            <c:extLst>
              <c:ext xmlns:c16="http://schemas.microsoft.com/office/drawing/2014/chart" uri="{C3380CC4-5D6E-409C-BE32-E72D297353CC}">
                <c16:uniqueId val="{00000017-0023-42F0-B06B-685A1C2B0E6B}"/>
              </c:ext>
            </c:extLst>
          </c:dPt>
          <c:dPt>
            <c:idx val="12"/>
            <c:invertIfNegative val="0"/>
            <c:bubble3D val="0"/>
            <c:spPr>
              <a:solidFill>
                <a:srgbClr val="D00024"/>
              </a:solidFill>
              <a:ln>
                <a:noFill/>
              </a:ln>
              <a:effectLst/>
            </c:spPr>
            <c:extLst>
              <c:ext xmlns:c16="http://schemas.microsoft.com/office/drawing/2014/chart" uri="{C3380CC4-5D6E-409C-BE32-E72D297353CC}">
                <c16:uniqueId val="{00000019-0023-42F0-B06B-685A1C2B0E6B}"/>
              </c:ext>
            </c:extLst>
          </c:dPt>
          <c:dPt>
            <c:idx val="13"/>
            <c:invertIfNegative val="0"/>
            <c:bubble3D val="0"/>
            <c:spPr>
              <a:solidFill>
                <a:srgbClr val="7A4300"/>
              </a:solidFill>
              <a:ln>
                <a:noFill/>
              </a:ln>
              <a:effectLst/>
            </c:spPr>
            <c:extLst>
              <c:ext xmlns:c16="http://schemas.microsoft.com/office/drawing/2014/chart" uri="{C3380CC4-5D6E-409C-BE32-E72D297353CC}">
                <c16:uniqueId val="{0000001B-0023-42F0-B06B-685A1C2B0E6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4"/>
                <c:pt idx="0">
                  <c:v>Argentina</c:v>
                </c:pt>
                <c:pt idx="1">
                  <c:v>Bolivia</c:v>
                </c:pt>
                <c:pt idx="2">
                  <c:v>Brasil</c:v>
                </c:pt>
                <c:pt idx="3">
                  <c:v>Chile</c:v>
                </c:pt>
                <c:pt idx="4">
                  <c:v>Colombia</c:v>
                </c:pt>
                <c:pt idx="5">
                  <c:v>Costa Rica</c:v>
                </c:pt>
                <c:pt idx="6">
                  <c:v>Ecuador</c:v>
                </c:pt>
                <c:pt idx="7">
                  <c:v>El Salvador</c:v>
                </c:pt>
                <c:pt idx="8">
                  <c:v>Guatemala</c:v>
                </c:pt>
                <c:pt idx="9">
                  <c:v>Honduras</c:v>
                </c:pt>
                <c:pt idx="10">
                  <c:v>México</c:v>
                </c:pt>
                <c:pt idx="11">
                  <c:v>Paraguay</c:v>
                </c:pt>
                <c:pt idx="12">
                  <c:v>Perú</c:v>
                </c:pt>
                <c:pt idx="13">
                  <c:v>Uruguay</c:v>
                </c:pt>
              </c:strCache>
            </c:strRef>
          </c:cat>
          <c:val>
            <c:numRef>
              <c:f>Sheet1!$B$2:$B$36</c:f>
              <c:numCache>
                <c:formatCode>#,##0</c:formatCode>
                <c:ptCount val="14"/>
                <c:pt idx="0">
                  <c:v>13</c:v>
                </c:pt>
                <c:pt idx="1">
                  <c:v>3</c:v>
                </c:pt>
                <c:pt idx="2">
                  <c:v>2</c:v>
                </c:pt>
                <c:pt idx="3">
                  <c:v>1</c:v>
                </c:pt>
                <c:pt idx="4">
                  <c:v>3</c:v>
                </c:pt>
                <c:pt idx="5">
                  <c:v>3</c:v>
                </c:pt>
                <c:pt idx="6">
                  <c:v>7</c:v>
                </c:pt>
                <c:pt idx="7">
                  <c:v>1</c:v>
                </c:pt>
                <c:pt idx="8">
                  <c:v>5</c:v>
                </c:pt>
                <c:pt idx="9">
                  <c:v>4</c:v>
                </c:pt>
                <c:pt idx="10">
                  <c:v>2</c:v>
                </c:pt>
                <c:pt idx="11">
                  <c:v>3</c:v>
                </c:pt>
                <c:pt idx="12">
                  <c:v>4</c:v>
                </c:pt>
                <c:pt idx="13">
                  <c:v>1</c:v>
                </c:pt>
              </c:numCache>
            </c:numRef>
          </c:val>
          <c:extLst>
            <c:ext xmlns:c16="http://schemas.microsoft.com/office/drawing/2014/chart" uri="{C3380CC4-5D6E-409C-BE32-E72D297353CC}">
              <c16:uniqueId val="{0000001C-0023-42F0-B06B-685A1C2B0E6B}"/>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Requests for precautionary measures received</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SOLICITUDES RECIBIDAS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DC8A-4FD0-810E-2E03AF3E746A}"/>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DC8A-4FD0-810E-2E03AF3E746A}"/>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DC8A-4FD0-810E-2E03AF3E746A}"/>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DC8A-4FD0-810E-2E03AF3E746A}"/>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DC8A-4FD0-810E-2E03AF3E746A}"/>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DC8A-4FD0-810E-2E03AF3E746A}"/>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DC8A-4FD0-810E-2E03AF3E746A}"/>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DC8A-4FD0-810E-2E03AF3E746A}"/>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DC8A-4FD0-810E-2E03AF3E746A}"/>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DC8A-4FD0-810E-2E03AF3E746A}"/>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DC8A-4FD0-810E-2E03AF3E746A}"/>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DC8A-4FD0-810E-2E03AF3E746A}"/>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DC8A-4FD0-810E-2E03AF3E746A}"/>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DC8A-4FD0-810E-2E03AF3E746A}"/>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DC8A-4FD0-810E-2E03AF3E746A}"/>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DC8A-4FD0-810E-2E03AF3E746A}"/>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DC8A-4FD0-810E-2E03AF3E746A}"/>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DC8A-4FD0-810E-2E03AF3E746A}"/>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DC8A-4FD0-810E-2E03AF3E746A}"/>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DC8A-4FD0-810E-2E03AF3E746A}"/>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DC8A-4FD0-810E-2E03AF3E746A}"/>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DC8A-4FD0-810E-2E03AF3E746A}"/>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DC8A-4FD0-810E-2E03AF3E746A}"/>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DC8A-4FD0-810E-2E03AF3E746A}"/>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DC8A-4FD0-810E-2E03AF3E746A}"/>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DC8A-4FD0-810E-2E03AF3E746A}"/>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Sheet1!$A$2:$A$19</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Sheet1!$B$2:$B$19</c:f>
              <c:numCache>
                <c:formatCode>#,##0</c:formatCode>
                <c:ptCount val="18"/>
                <c:pt idx="0">
                  <c:v>265</c:v>
                </c:pt>
                <c:pt idx="1">
                  <c:v>314</c:v>
                </c:pt>
                <c:pt idx="2">
                  <c:v>250</c:v>
                </c:pt>
                <c:pt idx="3">
                  <c:v>301</c:v>
                </c:pt>
                <c:pt idx="4">
                  <c:v>324</c:v>
                </c:pt>
                <c:pt idx="5">
                  <c:v>375</c:v>
                </c:pt>
                <c:pt idx="6">
                  <c:v>422</c:v>
                </c:pt>
                <c:pt idx="7">
                  <c:v>448</c:v>
                </c:pt>
                <c:pt idx="8">
                  <c:v>400</c:v>
                </c:pt>
                <c:pt idx="9">
                  <c:v>504</c:v>
                </c:pt>
                <c:pt idx="10">
                  <c:v>674</c:v>
                </c:pt>
                <c:pt idx="11">
                  <c:v>1061</c:v>
                </c:pt>
                <c:pt idx="12">
                  <c:v>1037</c:v>
                </c:pt>
                <c:pt idx="13">
                  <c:v>1618</c:v>
                </c:pt>
                <c:pt idx="14">
                  <c:v>1160</c:v>
                </c:pt>
                <c:pt idx="15">
                  <c:v>1170</c:v>
                </c:pt>
                <c:pt idx="16">
                  <c:v>1185</c:v>
                </c:pt>
                <c:pt idx="17">
                  <c:v>1033</c:v>
                </c:pt>
              </c:numCache>
            </c:numRef>
          </c:val>
          <c:extLst>
            <c:ext xmlns:c16="http://schemas.microsoft.com/office/drawing/2014/chart" uri="{C3380CC4-5D6E-409C-BE32-E72D297353CC}">
              <c16:uniqueId val="{00000034-DC8A-4FD0-810E-2E03AF3E746A}"/>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Requests for precautionary measures received by country </a:t>
            </a:r>
          </a:p>
          <a:p>
            <a:pPr>
              <a:defRPr/>
            </a:pPr>
            <a:r>
              <a:rPr lang="en-US" sz="2000" b="1" i="0">
                <a:solidFill>
                  <a:srgbClr val="0070C0"/>
                </a:solidFill>
                <a:latin typeface="Helvetica LT Std Cond" panose="020B0506020202030204" pitchFamily="34" charset="0"/>
              </a:rPr>
              <a:t>Total: 1,033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RECIBIDAS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F11B-468D-9A9D-9286BC2A428B}"/>
              </c:ext>
            </c:extLst>
          </c:dPt>
          <c:dPt>
            <c:idx val="1"/>
            <c:invertIfNegative val="0"/>
            <c:bubble3D val="0"/>
            <c:spPr>
              <a:solidFill>
                <a:srgbClr val="FFC000"/>
              </a:solidFill>
              <a:ln>
                <a:noFill/>
              </a:ln>
              <a:effectLst/>
            </c:spPr>
            <c:extLst>
              <c:ext xmlns:c16="http://schemas.microsoft.com/office/drawing/2014/chart" uri="{C3380CC4-5D6E-409C-BE32-E72D297353CC}">
                <c16:uniqueId val="{00000003-F11B-468D-9A9D-9286BC2A428B}"/>
              </c:ext>
            </c:extLst>
          </c:dPt>
          <c:dPt>
            <c:idx val="2"/>
            <c:invertIfNegative val="0"/>
            <c:bubble3D val="0"/>
            <c:spPr>
              <a:solidFill>
                <a:srgbClr val="70AD47"/>
              </a:solidFill>
              <a:ln>
                <a:noFill/>
              </a:ln>
              <a:effectLst/>
            </c:spPr>
            <c:extLst>
              <c:ext xmlns:c16="http://schemas.microsoft.com/office/drawing/2014/chart" uri="{C3380CC4-5D6E-409C-BE32-E72D297353CC}">
                <c16:uniqueId val="{00000005-F11B-468D-9A9D-9286BC2A428B}"/>
              </c:ext>
            </c:extLst>
          </c:dPt>
          <c:dPt>
            <c:idx val="3"/>
            <c:invertIfNegative val="0"/>
            <c:bubble3D val="0"/>
            <c:spPr>
              <a:solidFill>
                <a:srgbClr val="FF0000"/>
              </a:solidFill>
              <a:ln>
                <a:noFill/>
              </a:ln>
              <a:effectLst/>
            </c:spPr>
            <c:extLst>
              <c:ext xmlns:c16="http://schemas.microsoft.com/office/drawing/2014/chart" uri="{C3380CC4-5D6E-409C-BE32-E72D297353CC}">
                <c16:uniqueId val="{00000007-F11B-468D-9A9D-9286BC2A428B}"/>
              </c:ext>
            </c:extLst>
          </c:dPt>
          <c:dPt>
            <c:idx val="4"/>
            <c:invertIfNegative val="0"/>
            <c:bubble3D val="0"/>
            <c:spPr>
              <a:solidFill>
                <a:srgbClr val="0070C0"/>
              </a:solidFill>
              <a:ln>
                <a:noFill/>
              </a:ln>
              <a:effectLst/>
            </c:spPr>
            <c:extLst>
              <c:ext xmlns:c16="http://schemas.microsoft.com/office/drawing/2014/chart" uri="{C3380CC4-5D6E-409C-BE32-E72D297353CC}">
                <c16:uniqueId val="{00000009-F11B-468D-9A9D-9286BC2A428B}"/>
              </c:ext>
            </c:extLst>
          </c:dPt>
          <c:dPt>
            <c:idx val="5"/>
            <c:invertIfNegative val="0"/>
            <c:bubble3D val="0"/>
            <c:spPr>
              <a:solidFill>
                <a:srgbClr val="ED7D31"/>
              </a:solidFill>
              <a:ln>
                <a:noFill/>
              </a:ln>
              <a:effectLst/>
            </c:spPr>
            <c:extLst>
              <c:ext xmlns:c16="http://schemas.microsoft.com/office/drawing/2014/chart" uri="{C3380CC4-5D6E-409C-BE32-E72D297353CC}">
                <c16:uniqueId val="{0000000B-F11B-468D-9A9D-9286BC2A428B}"/>
              </c:ext>
            </c:extLst>
          </c:dPt>
          <c:dPt>
            <c:idx val="6"/>
            <c:invertIfNegative val="0"/>
            <c:bubble3D val="0"/>
            <c:spPr>
              <a:solidFill>
                <a:srgbClr val="7030A0"/>
              </a:solidFill>
              <a:ln>
                <a:noFill/>
              </a:ln>
              <a:effectLst/>
            </c:spPr>
            <c:extLst>
              <c:ext xmlns:c16="http://schemas.microsoft.com/office/drawing/2014/chart" uri="{C3380CC4-5D6E-409C-BE32-E72D297353CC}">
                <c16:uniqueId val="{0000000D-F11B-468D-9A9D-9286BC2A428B}"/>
              </c:ext>
            </c:extLst>
          </c:dPt>
          <c:dPt>
            <c:idx val="7"/>
            <c:invertIfNegative val="0"/>
            <c:bubble3D val="0"/>
            <c:spPr>
              <a:solidFill>
                <a:srgbClr val="00B0F0"/>
              </a:solidFill>
              <a:ln>
                <a:noFill/>
              </a:ln>
              <a:effectLst/>
            </c:spPr>
            <c:extLst>
              <c:ext xmlns:c16="http://schemas.microsoft.com/office/drawing/2014/chart" uri="{C3380CC4-5D6E-409C-BE32-E72D297353CC}">
                <c16:uniqueId val="{0000000F-F11B-468D-9A9D-9286BC2A428B}"/>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F11B-468D-9A9D-9286BC2A428B}"/>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F11B-468D-9A9D-9286BC2A428B}"/>
              </c:ext>
            </c:extLst>
          </c:dPt>
          <c:dPt>
            <c:idx val="10"/>
            <c:invertIfNegative val="0"/>
            <c:bubble3D val="0"/>
            <c:spPr>
              <a:solidFill>
                <a:srgbClr val="0070C0"/>
              </a:solidFill>
              <a:ln>
                <a:noFill/>
              </a:ln>
              <a:effectLst/>
            </c:spPr>
            <c:extLst>
              <c:ext xmlns:c16="http://schemas.microsoft.com/office/drawing/2014/chart" uri="{C3380CC4-5D6E-409C-BE32-E72D297353CC}">
                <c16:uniqueId val="{00000015-F11B-468D-9A9D-9286BC2A428B}"/>
              </c:ext>
            </c:extLst>
          </c:dPt>
          <c:dPt>
            <c:idx val="11"/>
            <c:invertIfNegative val="0"/>
            <c:bubble3D val="0"/>
            <c:spPr>
              <a:solidFill>
                <a:srgbClr val="CD4D47"/>
              </a:solidFill>
              <a:ln>
                <a:noFill/>
              </a:ln>
              <a:effectLst/>
            </c:spPr>
            <c:extLst>
              <c:ext xmlns:c16="http://schemas.microsoft.com/office/drawing/2014/chart" uri="{C3380CC4-5D6E-409C-BE32-E72D297353CC}">
                <c16:uniqueId val="{00000017-F11B-468D-9A9D-9286BC2A428B}"/>
              </c:ext>
            </c:extLst>
          </c:dPt>
          <c:dPt>
            <c:idx val="12"/>
            <c:invertIfNegative val="0"/>
            <c:bubble3D val="0"/>
            <c:spPr>
              <a:solidFill>
                <a:srgbClr val="00EFE4"/>
              </a:solidFill>
              <a:ln>
                <a:noFill/>
              </a:ln>
              <a:effectLst/>
            </c:spPr>
            <c:extLst>
              <c:ext xmlns:c16="http://schemas.microsoft.com/office/drawing/2014/chart" uri="{C3380CC4-5D6E-409C-BE32-E72D297353CC}">
                <c16:uniqueId val="{00000019-F11B-468D-9A9D-9286BC2A428B}"/>
              </c:ext>
            </c:extLst>
          </c:dPt>
          <c:dPt>
            <c:idx val="13"/>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F11B-468D-9A9D-9286BC2A428B}"/>
              </c:ext>
            </c:extLst>
          </c:dPt>
          <c:dPt>
            <c:idx val="14"/>
            <c:invertIfNegative val="0"/>
            <c:bubble3D val="0"/>
            <c:spPr>
              <a:solidFill>
                <a:srgbClr val="70AD47">
                  <a:lumMod val="75000"/>
                </a:srgbClr>
              </a:solidFill>
              <a:ln>
                <a:noFill/>
              </a:ln>
              <a:effectLst/>
            </c:spPr>
            <c:extLst>
              <c:ext xmlns:c16="http://schemas.microsoft.com/office/drawing/2014/chart" uri="{C3380CC4-5D6E-409C-BE32-E72D297353CC}">
                <c16:uniqueId val="{0000001D-F11B-468D-9A9D-9286BC2A428B}"/>
              </c:ext>
            </c:extLst>
          </c:dPt>
          <c:dPt>
            <c:idx val="16"/>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F11B-468D-9A9D-9286BC2A428B}"/>
              </c:ext>
            </c:extLst>
          </c:dPt>
          <c:dPt>
            <c:idx val="17"/>
            <c:invertIfNegative val="0"/>
            <c:bubble3D val="0"/>
            <c:spPr>
              <a:solidFill>
                <a:srgbClr val="CD582C"/>
              </a:solidFill>
              <a:ln>
                <a:noFill/>
              </a:ln>
              <a:effectLst/>
            </c:spPr>
            <c:extLst>
              <c:ext xmlns:c16="http://schemas.microsoft.com/office/drawing/2014/chart" uri="{C3380CC4-5D6E-409C-BE32-E72D297353CC}">
                <c16:uniqueId val="{00000021-F11B-468D-9A9D-9286BC2A428B}"/>
              </c:ext>
            </c:extLst>
          </c:dPt>
          <c:dPt>
            <c:idx val="18"/>
            <c:invertIfNegative val="0"/>
            <c:bubble3D val="0"/>
            <c:spPr>
              <a:solidFill>
                <a:srgbClr val="D00024"/>
              </a:solidFill>
              <a:ln>
                <a:noFill/>
              </a:ln>
              <a:effectLst/>
            </c:spPr>
            <c:extLst>
              <c:ext xmlns:c16="http://schemas.microsoft.com/office/drawing/2014/chart" uri="{C3380CC4-5D6E-409C-BE32-E72D297353CC}">
                <c16:uniqueId val="{00000023-F11B-468D-9A9D-9286BC2A428B}"/>
              </c:ext>
            </c:extLst>
          </c:dPt>
          <c:dPt>
            <c:idx val="19"/>
            <c:invertIfNegative val="0"/>
            <c:bubble3D val="0"/>
            <c:spPr>
              <a:solidFill>
                <a:srgbClr val="4400E8"/>
              </a:solidFill>
              <a:ln>
                <a:noFill/>
              </a:ln>
              <a:effectLst/>
            </c:spPr>
            <c:extLst>
              <c:ext xmlns:c16="http://schemas.microsoft.com/office/drawing/2014/chart" uri="{C3380CC4-5D6E-409C-BE32-E72D297353CC}">
                <c16:uniqueId val="{00000025-F11B-468D-9A9D-9286BC2A428B}"/>
              </c:ext>
            </c:extLst>
          </c:dPt>
          <c:dPt>
            <c:idx val="20"/>
            <c:invertIfNegative val="0"/>
            <c:bubble3D val="0"/>
            <c:spPr>
              <a:solidFill>
                <a:srgbClr val="FFC000">
                  <a:lumMod val="75000"/>
                </a:srgbClr>
              </a:solidFill>
              <a:ln>
                <a:noFill/>
              </a:ln>
              <a:effectLst/>
            </c:spPr>
            <c:extLst>
              <c:ext xmlns:c16="http://schemas.microsoft.com/office/drawing/2014/chart" uri="{C3380CC4-5D6E-409C-BE32-E72D297353CC}">
                <c16:uniqueId val="{00000027-F11B-468D-9A9D-9286BC2A428B}"/>
              </c:ext>
            </c:extLst>
          </c:dPt>
          <c:dPt>
            <c:idx val="21"/>
            <c:invertIfNegative val="0"/>
            <c:bubble3D val="0"/>
            <c:spPr>
              <a:solidFill>
                <a:srgbClr val="E7E6E6">
                  <a:lumMod val="75000"/>
                </a:srgbClr>
              </a:solidFill>
              <a:ln>
                <a:noFill/>
              </a:ln>
              <a:effectLst/>
            </c:spPr>
            <c:extLst>
              <c:ext xmlns:c16="http://schemas.microsoft.com/office/drawing/2014/chart" uri="{C3380CC4-5D6E-409C-BE32-E72D297353CC}">
                <c16:uniqueId val="{00000029-F11B-468D-9A9D-9286BC2A428B}"/>
              </c:ext>
            </c:extLst>
          </c:dPt>
          <c:dPt>
            <c:idx val="22"/>
            <c:invertIfNegative val="0"/>
            <c:bubble3D val="0"/>
            <c:spPr>
              <a:solidFill>
                <a:srgbClr val="D00000"/>
              </a:solidFill>
              <a:ln>
                <a:noFill/>
              </a:ln>
              <a:effectLst/>
            </c:spPr>
            <c:extLst>
              <c:ext xmlns:c16="http://schemas.microsoft.com/office/drawing/2014/chart" uri="{C3380CC4-5D6E-409C-BE32-E72D297353CC}">
                <c16:uniqueId val="{0000002B-F11B-468D-9A9D-9286BC2A428B}"/>
              </c:ext>
            </c:extLst>
          </c:dPt>
          <c:dPt>
            <c:idx val="23"/>
            <c:invertIfNegative val="0"/>
            <c:bubble3D val="0"/>
            <c:spPr>
              <a:solidFill>
                <a:srgbClr val="7A4300"/>
              </a:solidFill>
              <a:ln>
                <a:noFill/>
              </a:ln>
              <a:effectLst/>
            </c:spPr>
            <c:extLst>
              <c:ext xmlns:c16="http://schemas.microsoft.com/office/drawing/2014/chart" uri="{C3380CC4-5D6E-409C-BE32-E72D297353CC}">
                <c16:uniqueId val="{0000002D-F11B-468D-9A9D-9286BC2A428B}"/>
              </c:ext>
            </c:extLst>
          </c:dPt>
          <c:dPt>
            <c:idx val="24"/>
            <c:invertIfNegative val="0"/>
            <c:bubble3D val="0"/>
            <c:spPr>
              <a:solidFill>
                <a:srgbClr val="783FC5"/>
              </a:solidFill>
              <a:ln>
                <a:noFill/>
              </a:ln>
              <a:effectLst/>
            </c:spPr>
            <c:extLst>
              <c:ext xmlns:c16="http://schemas.microsoft.com/office/drawing/2014/chart" uri="{C3380CC4-5D6E-409C-BE32-E72D297353CC}">
                <c16:uniqueId val="{0000002F-F11B-468D-9A9D-9286BC2A428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5"/>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Haiti</c:v>
                </c:pt>
                <c:pt idx="12">
                  <c:v>Honduras</c:v>
                </c:pt>
                <c:pt idx="13">
                  <c:v>Jamaica</c:v>
                </c:pt>
                <c:pt idx="14">
                  <c:v>México</c:v>
                </c:pt>
                <c:pt idx="15">
                  <c:v>Nicaragua</c:v>
                </c:pt>
                <c:pt idx="16">
                  <c:v>Panamá</c:v>
                </c:pt>
                <c:pt idx="17">
                  <c:v>Paraguay</c:v>
                </c:pt>
                <c:pt idx="18">
                  <c:v>Perú</c:v>
                </c:pt>
                <c:pt idx="19">
                  <c:v>República Dominicana</c:v>
                </c:pt>
                <c:pt idx="20">
                  <c:v>Suriname</c:v>
                </c:pt>
                <c:pt idx="21">
                  <c:v>Trinidad and Tobago</c:v>
                </c:pt>
                <c:pt idx="22">
                  <c:v>United States of America</c:v>
                </c:pt>
                <c:pt idx="23">
                  <c:v>Uruguay</c:v>
                </c:pt>
                <c:pt idx="24">
                  <c:v>Venezuela</c:v>
                </c:pt>
              </c:strCache>
            </c:strRef>
          </c:cat>
          <c:val>
            <c:numRef>
              <c:f>Sheet1!$B$2:$B$36</c:f>
              <c:numCache>
                <c:formatCode>#,##0</c:formatCode>
                <c:ptCount val="25"/>
                <c:pt idx="0">
                  <c:v>84</c:v>
                </c:pt>
                <c:pt idx="1">
                  <c:v>17</c:v>
                </c:pt>
                <c:pt idx="2">
                  <c:v>86</c:v>
                </c:pt>
                <c:pt idx="3">
                  <c:v>4</c:v>
                </c:pt>
                <c:pt idx="4">
                  <c:v>22</c:v>
                </c:pt>
                <c:pt idx="5">
                  <c:v>288</c:v>
                </c:pt>
                <c:pt idx="6">
                  <c:v>52</c:v>
                </c:pt>
                <c:pt idx="7">
                  <c:v>8</c:v>
                </c:pt>
                <c:pt idx="8">
                  <c:v>47</c:v>
                </c:pt>
                <c:pt idx="9">
                  <c:v>8</c:v>
                </c:pt>
                <c:pt idx="10">
                  <c:v>31</c:v>
                </c:pt>
                <c:pt idx="11">
                  <c:v>4</c:v>
                </c:pt>
                <c:pt idx="12">
                  <c:v>15</c:v>
                </c:pt>
                <c:pt idx="13">
                  <c:v>4</c:v>
                </c:pt>
                <c:pt idx="14">
                  <c:v>138</c:v>
                </c:pt>
                <c:pt idx="15">
                  <c:v>26</c:v>
                </c:pt>
                <c:pt idx="16">
                  <c:v>17</c:v>
                </c:pt>
                <c:pt idx="17">
                  <c:v>11</c:v>
                </c:pt>
                <c:pt idx="18">
                  <c:v>82</c:v>
                </c:pt>
                <c:pt idx="19">
                  <c:v>2</c:v>
                </c:pt>
                <c:pt idx="20">
                  <c:v>1</c:v>
                </c:pt>
                <c:pt idx="21">
                  <c:v>2</c:v>
                </c:pt>
                <c:pt idx="22">
                  <c:v>49</c:v>
                </c:pt>
                <c:pt idx="23">
                  <c:v>4</c:v>
                </c:pt>
                <c:pt idx="24">
                  <c:v>31</c:v>
                </c:pt>
              </c:numCache>
            </c:numRef>
          </c:val>
          <c:extLst>
            <c:ext xmlns:c16="http://schemas.microsoft.com/office/drawing/2014/chart" uri="{C3380CC4-5D6E-409C-BE32-E72D297353CC}">
              <c16:uniqueId val="{00000030-F11B-468D-9A9D-9286BC2A428B}"/>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Precautionary measures granted or extended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per Year*</a:t>
            </a:r>
            <a:r>
              <a:rPr lang="en-US"/>
              <a:t>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MC OTORGADAS O AMPLIADAS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9B63-4C21-A80F-618C22B4075D}"/>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9B63-4C21-A80F-618C22B4075D}"/>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9B63-4C21-A80F-618C22B4075D}"/>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9B63-4C21-A80F-618C22B4075D}"/>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9B63-4C21-A80F-618C22B4075D}"/>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9B63-4C21-A80F-618C22B4075D}"/>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9B63-4C21-A80F-618C22B4075D}"/>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9B63-4C21-A80F-618C22B4075D}"/>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9B63-4C21-A80F-618C22B4075D}"/>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9B63-4C21-A80F-618C22B4075D}"/>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9B63-4C21-A80F-618C22B4075D}"/>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9B63-4C21-A80F-618C22B4075D}"/>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9B63-4C21-A80F-618C22B4075D}"/>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9B63-4C21-A80F-618C22B4075D}"/>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9B63-4C21-A80F-618C22B4075D}"/>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9B63-4C21-A80F-618C22B4075D}"/>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9B63-4C21-A80F-618C22B4075D}"/>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9B63-4C21-A80F-618C22B4075D}"/>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9B63-4C21-A80F-618C22B4075D}"/>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9B63-4C21-A80F-618C22B4075D}"/>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9B63-4C21-A80F-618C22B4075D}"/>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9B63-4C21-A80F-618C22B4075D}"/>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9B63-4C21-A80F-618C22B4075D}"/>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9B63-4C21-A80F-618C22B4075D}"/>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9B63-4C21-A80F-618C22B4075D}"/>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9B63-4C21-A80F-618C22B4075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Sheet1!$B$2:$B$27</c:f>
              <c:numCache>
                <c:formatCode>#,##0</c:formatCode>
                <c:ptCount val="26"/>
                <c:pt idx="0">
                  <c:v>57</c:v>
                </c:pt>
                <c:pt idx="1">
                  <c:v>54</c:v>
                </c:pt>
                <c:pt idx="2">
                  <c:v>52</c:v>
                </c:pt>
                <c:pt idx="3">
                  <c:v>52</c:v>
                </c:pt>
                <c:pt idx="4">
                  <c:v>50</c:v>
                </c:pt>
                <c:pt idx="5">
                  <c:v>91</c:v>
                </c:pt>
                <c:pt idx="6">
                  <c:v>56</c:v>
                </c:pt>
                <c:pt idx="7">
                  <c:v>37</c:v>
                </c:pt>
                <c:pt idx="8">
                  <c:v>33</c:v>
                </c:pt>
                <c:pt idx="9">
                  <c:v>37</c:v>
                </c:pt>
                <c:pt idx="10">
                  <c:v>40</c:v>
                </c:pt>
                <c:pt idx="11">
                  <c:v>28</c:v>
                </c:pt>
                <c:pt idx="12">
                  <c:v>34</c:v>
                </c:pt>
                <c:pt idx="13">
                  <c:v>68</c:v>
                </c:pt>
                <c:pt idx="14">
                  <c:v>57</c:v>
                </c:pt>
                <c:pt idx="15">
                  <c:v>35</c:v>
                </c:pt>
                <c:pt idx="16">
                  <c:v>26</c:v>
                </c:pt>
                <c:pt idx="17">
                  <c:v>33</c:v>
                </c:pt>
                <c:pt idx="18">
                  <c:v>45</c:v>
                </c:pt>
                <c:pt idx="19">
                  <c:v>42</c:v>
                </c:pt>
                <c:pt idx="20">
                  <c:v>45</c:v>
                </c:pt>
                <c:pt idx="21">
                  <c:v>120</c:v>
                </c:pt>
                <c:pt idx="22">
                  <c:v>74</c:v>
                </c:pt>
                <c:pt idx="23">
                  <c:v>58</c:v>
                </c:pt>
                <c:pt idx="24">
                  <c:v>106</c:v>
                </c:pt>
                <c:pt idx="25">
                  <c:v>50</c:v>
                </c:pt>
              </c:numCache>
            </c:numRef>
          </c:val>
          <c:extLst>
            <c:ext xmlns:c16="http://schemas.microsoft.com/office/drawing/2014/chart" uri="{C3380CC4-5D6E-409C-BE32-E72D297353CC}">
              <c16:uniqueId val="{00000034-9B63-4C21-A80F-618C22B4075D}"/>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Precautionary measures granted or extended per country </a:t>
            </a:r>
          </a:p>
          <a:p>
            <a:pPr>
              <a:defRPr/>
            </a:pPr>
            <a:r>
              <a:rPr lang="en-US" sz="2000" b="1" i="0">
                <a:solidFill>
                  <a:srgbClr val="0070C0"/>
                </a:solidFill>
                <a:latin typeface="Helvetica LT Std Cond" panose="020B0506020202030204" pitchFamily="34" charset="0"/>
              </a:rPr>
              <a:t>Total: 50</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OTORGADAS O AMPLIADAS</c:v>
                </c:pt>
              </c:strCache>
            </c:strRef>
          </c:tx>
          <c:spPr>
            <a:solidFill>
              <a:schemeClr val="accent1"/>
            </a:solidFill>
            <a:ln>
              <a:noFill/>
            </a:ln>
            <a:effectLst/>
          </c:spPr>
          <c:invertIfNegative val="0"/>
          <c:dPt>
            <c:idx val="0"/>
            <c:invertIfNegative val="0"/>
            <c:bubble3D val="0"/>
            <c:spPr>
              <a:solidFill>
                <a:srgbClr val="70AD47"/>
              </a:solidFill>
              <a:ln>
                <a:noFill/>
              </a:ln>
              <a:effectLst/>
            </c:spPr>
            <c:extLst>
              <c:ext xmlns:c16="http://schemas.microsoft.com/office/drawing/2014/chart" uri="{C3380CC4-5D6E-409C-BE32-E72D297353CC}">
                <c16:uniqueId val="{00000001-965B-48C5-BF86-EBC66E100015}"/>
              </c:ext>
            </c:extLst>
          </c:dPt>
          <c:dPt>
            <c:idx val="1"/>
            <c:invertIfNegative val="0"/>
            <c:bubble3D val="0"/>
            <c:spPr>
              <a:solidFill>
                <a:srgbClr val="ED7D31"/>
              </a:solidFill>
              <a:ln>
                <a:noFill/>
              </a:ln>
              <a:effectLst/>
            </c:spPr>
            <c:extLst>
              <c:ext xmlns:c16="http://schemas.microsoft.com/office/drawing/2014/chart" uri="{C3380CC4-5D6E-409C-BE32-E72D297353CC}">
                <c16:uniqueId val="{00000003-965B-48C5-BF86-EBC66E100015}"/>
              </c:ext>
            </c:extLst>
          </c:dPt>
          <c:dPt>
            <c:idx val="2"/>
            <c:invertIfNegative val="0"/>
            <c:bubble3D val="0"/>
            <c:spPr>
              <a:solidFill>
                <a:srgbClr val="00B0F0"/>
              </a:solidFill>
              <a:ln>
                <a:noFill/>
              </a:ln>
              <a:effectLst/>
            </c:spPr>
            <c:extLst>
              <c:ext xmlns:c16="http://schemas.microsoft.com/office/drawing/2014/chart" uri="{C3380CC4-5D6E-409C-BE32-E72D297353CC}">
                <c16:uniqueId val="{00000005-965B-48C5-BF86-EBC66E100015}"/>
              </c:ext>
            </c:extLst>
          </c:dPt>
          <c:dPt>
            <c:idx val="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7-965B-48C5-BF86-EBC66E100015}"/>
              </c:ext>
            </c:extLst>
          </c:dPt>
          <c:dPt>
            <c:idx val="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9-965B-48C5-BF86-EBC66E100015}"/>
              </c:ext>
            </c:extLst>
          </c:dPt>
          <c:dPt>
            <c:idx val="5"/>
            <c:invertIfNegative val="0"/>
            <c:bubble3D val="0"/>
            <c:spPr>
              <a:solidFill>
                <a:srgbClr val="CD4D47"/>
              </a:solidFill>
              <a:ln>
                <a:noFill/>
              </a:ln>
              <a:effectLst/>
            </c:spPr>
            <c:extLst>
              <c:ext xmlns:c16="http://schemas.microsoft.com/office/drawing/2014/chart" uri="{C3380CC4-5D6E-409C-BE32-E72D297353CC}">
                <c16:uniqueId val="{0000000B-965B-48C5-BF86-EBC66E100015}"/>
              </c:ext>
            </c:extLst>
          </c:dPt>
          <c:dPt>
            <c:idx val="6"/>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0D-965B-48C5-BF86-EBC66E100015}"/>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F-965B-48C5-BF86-EBC66E100015}"/>
              </c:ext>
            </c:extLst>
          </c:dPt>
          <c:dPt>
            <c:idx val="9"/>
            <c:invertIfNegative val="0"/>
            <c:bubble3D val="0"/>
            <c:spPr>
              <a:solidFill>
                <a:srgbClr val="D00000"/>
              </a:solidFill>
              <a:ln>
                <a:noFill/>
              </a:ln>
              <a:effectLst/>
            </c:spPr>
            <c:extLst>
              <c:ext xmlns:c16="http://schemas.microsoft.com/office/drawing/2014/chart" uri="{C3380CC4-5D6E-409C-BE32-E72D297353CC}">
                <c16:uniqueId val="{00000011-965B-48C5-BF86-EBC66E100015}"/>
              </c:ext>
            </c:extLst>
          </c:dPt>
          <c:dPt>
            <c:idx val="10"/>
            <c:invertIfNegative val="0"/>
            <c:bubble3D val="0"/>
            <c:spPr>
              <a:solidFill>
                <a:srgbClr val="783FC5"/>
              </a:solidFill>
              <a:ln>
                <a:noFill/>
              </a:ln>
              <a:effectLst/>
            </c:spPr>
            <c:extLst>
              <c:ext xmlns:c16="http://schemas.microsoft.com/office/drawing/2014/chart" uri="{C3380CC4-5D6E-409C-BE32-E72D297353CC}">
                <c16:uniqueId val="{00000013-965B-48C5-BF86-EBC66E10001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1"/>
                <c:pt idx="0">
                  <c:v>Brasil</c:v>
                </c:pt>
                <c:pt idx="1">
                  <c:v>Colombia</c:v>
                </c:pt>
                <c:pt idx="2">
                  <c:v>Cuba</c:v>
                </c:pt>
                <c:pt idx="3">
                  <c:v>Ecuador</c:v>
                </c:pt>
                <c:pt idx="4">
                  <c:v>El Salvador</c:v>
                </c:pt>
                <c:pt idx="5">
                  <c:v>Haiti</c:v>
                </c:pt>
                <c:pt idx="6">
                  <c:v>Jamaica</c:v>
                </c:pt>
                <c:pt idx="7">
                  <c:v>México</c:v>
                </c:pt>
                <c:pt idx="8">
                  <c:v>Nicaragua</c:v>
                </c:pt>
                <c:pt idx="9">
                  <c:v>United States of America</c:v>
                </c:pt>
                <c:pt idx="10">
                  <c:v>Venezuela</c:v>
                </c:pt>
              </c:strCache>
            </c:strRef>
          </c:cat>
          <c:val>
            <c:numRef>
              <c:f>Sheet1!$B$2:$B$36</c:f>
              <c:numCache>
                <c:formatCode>#,##0</c:formatCode>
                <c:ptCount val="11"/>
                <c:pt idx="0">
                  <c:v>5</c:v>
                </c:pt>
                <c:pt idx="1">
                  <c:v>5</c:v>
                </c:pt>
                <c:pt idx="2">
                  <c:v>4</c:v>
                </c:pt>
                <c:pt idx="3">
                  <c:v>1</c:v>
                </c:pt>
                <c:pt idx="4">
                  <c:v>1</c:v>
                </c:pt>
                <c:pt idx="5">
                  <c:v>1</c:v>
                </c:pt>
                <c:pt idx="6">
                  <c:v>1</c:v>
                </c:pt>
                <c:pt idx="7">
                  <c:v>1</c:v>
                </c:pt>
                <c:pt idx="8">
                  <c:v>25</c:v>
                </c:pt>
                <c:pt idx="9">
                  <c:v>3</c:v>
                </c:pt>
                <c:pt idx="10">
                  <c:v>3</c:v>
                </c:pt>
              </c:numCache>
            </c:numRef>
          </c:val>
          <c:extLst>
            <c:ext xmlns:c16="http://schemas.microsoft.com/office/drawing/2014/chart" uri="{C3380CC4-5D6E-409C-BE32-E72D297353CC}">
              <c16:uniqueId val="{00000014-965B-48C5-BF86-EBC66E100015}"/>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a:latin typeface="Helvetica LT Std Cond" panose="020B0506020202030204" pitchFamily="34" charset="0"/>
              </a:rPr>
              <a:t>Granting or extention time</a:t>
            </a:r>
          </a:p>
        </c:rich>
      </c:tx>
      <c:layout>
        <c:manualLayout>
          <c:xMode val="edge"/>
          <c:yMode val="edge"/>
          <c:x val="0.14126068376068376"/>
          <c:y val="1.282051282051282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NÚMERO DE MC</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CE8-47FA-B754-2821FF36881F}"/>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4CE8-47FA-B754-2821FF36881F}"/>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4CE8-47FA-B754-2821FF36881F}"/>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4CE8-47FA-B754-2821FF36881F}"/>
              </c:ext>
            </c:extLst>
          </c:dPt>
          <c:dLbls>
            <c:dLbl>
              <c:idx val="0"/>
              <c:tx>
                <c:rich>
                  <a:bodyPr/>
                  <a:lstStyle/>
                  <a:p>
                    <a:fld id="{BBFDC5BC-4F69-4144-A8C8-88274ECE2419}" type="CATEGORYNAME">
                      <a:rPr lang="en-US"/>
                      <a:pPr/>
                      <a:t>[CATEGORY NAME]</a:t>
                    </a:fld>
                    <a:r>
                      <a:rPr lang="en-US" baseline="0"/>
                      <a:t>, </a:t>
                    </a:r>
                    <a:fld id="{3C2556B6-A913-4646-9D62-AF6E12EA5609}" type="VALUE">
                      <a:rPr lang="en-US" sz="1800" b="1"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CE8-47FA-B754-2821FF36881F}"/>
                </c:ext>
              </c:extLst>
            </c:dLbl>
            <c:dLbl>
              <c:idx val="1"/>
              <c:tx>
                <c:rich>
                  <a:bodyPr/>
                  <a:lstStyle/>
                  <a:p>
                    <a:fld id="{19DCEC5D-50A0-4CFE-8BCD-6CBCD269B00C}" type="CATEGORYNAME">
                      <a:rPr lang="en-US"/>
                      <a:pPr/>
                      <a:t>[CATEGORY NAME]</a:t>
                    </a:fld>
                    <a:r>
                      <a:rPr lang="en-US" baseline="0"/>
                      <a:t>, </a:t>
                    </a:r>
                    <a:fld id="{1E24B52A-69E3-4DD0-89F3-D566BD200CD3}" type="VALUE">
                      <a:rPr lang="en-US" sz="1800" b="1"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CE8-47FA-B754-2821FF36881F}"/>
                </c:ext>
              </c:extLst>
            </c:dLbl>
            <c:dLbl>
              <c:idx val="2"/>
              <c:tx>
                <c:rich>
                  <a:bodyPr/>
                  <a:lstStyle/>
                  <a:p>
                    <a:fld id="{FDF19547-4766-4DD0-A12A-CDDB7493796A}" type="CATEGORYNAME">
                      <a:rPr lang="en-US"/>
                      <a:pPr/>
                      <a:t>[CATEGORY NAME]</a:t>
                    </a:fld>
                    <a:r>
                      <a:rPr lang="en-US" baseline="0"/>
                      <a:t>, </a:t>
                    </a:r>
                    <a:fld id="{556FCC48-36A4-48EA-A717-C2B166CFF8E4}" type="VALUE">
                      <a:rPr lang="en-US" sz="1800" b="1"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CE8-47FA-B754-2821FF36881F}"/>
                </c:ext>
              </c:extLst>
            </c:dLbl>
            <c:dLbl>
              <c:idx val="3"/>
              <c:tx>
                <c:rich>
                  <a:bodyPr/>
                  <a:lstStyle/>
                  <a:p>
                    <a:fld id="{0FF48E6A-F98C-4644-B6BC-24AE6047329B}" type="CATEGORYNAME">
                      <a:rPr lang="en-US"/>
                      <a:pPr/>
                      <a:t>[CATEGORY NAME]</a:t>
                    </a:fld>
                    <a:r>
                      <a:rPr lang="en-US" baseline="0"/>
                      <a:t>, </a:t>
                    </a:r>
                    <a:fld id="{0CCFF85A-B078-4CD1-BE72-593B23037583}" type="VALUE">
                      <a:rPr lang="en-US" sz="1800" b="1"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CE8-47FA-B754-2821FF36881F}"/>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Less than one month</c:v>
                </c:pt>
                <c:pt idx="1">
                  <c:v>1-3 months</c:v>
                </c:pt>
                <c:pt idx="2">
                  <c:v>3-6 months</c:v>
                </c:pt>
                <c:pt idx="3">
                  <c:v>More than 6 months</c:v>
                </c:pt>
              </c:strCache>
            </c:strRef>
          </c:cat>
          <c:val>
            <c:numRef>
              <c:f>Sheet1!$B$2:$B$5</c:f>
              <c:numCache>
                <c:formatCode>#,##0</c:formatCode>
                <c:ptCount val="4"/>
                <c:pt idx="0" formatCode="General">
                  <c:v>6</c:v>
                </c:pt>
                <c:pt idx="1">
                  <c:v>18</c:v>
                </c:pt>
                <c:pt idx="2" formatCode="General">
                  <c:v>12</c:v>
                </c:pt>
                <c:pt idx="3" formatCode="General">
                  <c:v>14</c:v>
                </c:pt>
              </c:numCache>
            </c:numRef>
          </c:val>
          <c:extLst>
            <c:ext xmlns:c16="http://schemas.microsoft.com/office/drawing/2014/chart" uri="{C3380CC4-5D6E-409C-BE32-E72D297353CC}">
              <c16:uniqueId val="{00000008-4CE8-47FA-B754-2821FF36881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Petitions received by country</a:t>
            </a:r>
          </a:p>
          <a:p>
            <a:pPr>
              <a:defRPr/>
            </a:pPr>
            <a:r>
              <a:rPr lang="en-US" sz="2000" b="1" i="0">
                <a:solidFill>
                  <a:srgbClr val="0070C0"/>
                </a:solidFill>
                <a:latin typeface="Helvetica LT Std Cond" panose="020B0506020202030204" pitchFamily="34" charset="0"/>
              </a:rPr>
              <a:t>Total: 2,440</a:t>
            </a:r>
          </a:p>
        </c:rich>
      </c:tx>
      <c:layout>
        <c:manualLayout>
          <c:xMode val="edge"/>
          <c:yMode val="edge"/>
          <c:x val="0.33739837808735451"/>
          <c:y val="3.1746031746031744E-2"/>
        </c:manualLayout>
      </c:layout>
      <c:overlay val="0"/>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284A-4184-8FE6-53308CAD8740}"/>
              </c:ext>
            </c:extLst>
          </c:dPt>
          <c:dPt>
            <c:idx val="1"/>
            <c:invertIfNegative val="0"/>
            <c:bubble3D val="0"/>
            <c:spPr>
              <a:solidFill>
                <a:srgbClr val="011EAA"/>
              </a:solidFill>
              <a:ln>
                <a:noFill/>
              </a:ln>
              <a:effectLst/>
            </c:spPr>
            <c:extLst>
              <c:ext xmlns:c16="http://schemas.microsoft.com/office/drawing/2014/chart" uri="{C3380CC4-5D6E-409C-BE32-E72D297353CC}">
                <c16:uniqueId val="{00000003-284A-4184-8FE6-53308CAD8740}"/>
              </c:ext>
            </c:extLst>
          </c:dPt>
          <c:dPt>
            <c:idx val="2"/>
            <c:invertIfNegative val="0"/>
            <c:bubble3D val="0"/>
            <c:spPr>
              <a:solidFill>
                <a:srgbClr val="FFC000"/>
              </a:solidFill>
              <a:ln>
                <a:noFill/>
              </a:ln>
              <a:effectLst/>
            </c:spPr>
            <c:extLst>
              <c:ext xmlns:c16="http://schemas.microsoft.com/office/drawing/2014/chart" uri="{C3380CC4-5D6E-409C-BE32-E72D297353CC}">
                <c16:uniqueId val="{00000005-284A-4184-8FE6-53308CAD8740}"/>
              </c:ext>
            </c:extLst>
          </c:dPt>
          <c:dPt>
            <c:idx val="3"/>
            <c:invertIfNegative val="0"/>
            <c:bubble3D val="0"/>
            <c:spPr>
              <a:solidFill>
                <a:srgbClr val="70AD47"/>
              </a:solidFill>
              <a:ln>
                <a:noFill/>
              </a:ln>
              <a:effectLst/>
            </c:spPr>
            <c:extLst>
              <c:ext xmlns:c16="http://schemas.microsoft.com/office/drawing/2014/chart" uri="{C3380CC4-5D6E-409C-BE32-E72D297353CC}">
                <c16:uniqueId val="{00000007-284A-4184-8FE6-53308CAD8740}"/>
              </c:ext>
            </c:extLst>
          </c:dPt>
          <c:dPt>
            <c:idx val="4"/>
            <c:invertIfNegative val="0"/>
            <c:bubble3D val="0"/>
            <c:spPr>
              <a:solidFill>
                <a:srgbClr val="FF0000"/>
              </a:solidFill>
              <a:ln>
                <a:noFill/>
              </a:ln>
              <a:effectLst/>
            </c:spPr>
            <c:extLst>
              <c:ext xmlns:c16="http://schemas.microsoft.com/office/drawing/2014/chart" uri="{C3380CC4-5D6E-409C-BE32-E72D297353CC}">
                <c16:uniqueId val="{00000009-284A-4184-8FE6-53308CAD8740}"/>
              </c:ext>
            </c:extLst>
          </c:dPt>
          <c:dPt>
            <c:idx val="5"/>
            <c:invertIfNegative val="0"/>
            <c:bubble3D val="0"/>
            <c:spPr>
              <a:solidFill>
                <a:srgbClr val="0070C0"/>
              </a:solidFill>
              <a:ln>
                <a:noFill/>
              </a:ln>
              <a:effectLst/>
            </c:spPr>
            <c:extLst>
              <c:ext xmlns:c16="http://schemas.microsoft.com/office/drawing/2014/chart" uri="{C3380CC4-5D6E-409C-BE32-E72D297353CC}">
                <c16:uniqueId val="{0000000B-284A-4184-8FE6-53308CAD8740}"/>
              </c:ext>
            </c:extLst>
          </c:dPt>
          <c:dPt>
            <c:idx val="6"/>
            <c:invertIfNegative val="0"/>
            <c:bubble3D val="0"/>
            <c:spPr>
              <a:solidFill>
                <a:srgbClr val="ED7D31"/>
              </a:solidFill>
              <a:ln>
                <a:noFill/>
              </a:ln>
              <a:effectLst/>
            </c:spPr>
            <c:extLst>
              <c:ext xmlns:c16="http://schemas.microsoft.com/office/drawing/2014/chart" uri="{C3380CC4-5D6E-409C-BE32-E72D297353CC}">
                <c16:uniqueId val="{0000000D-284A-4184-8FE6-53308CAD8740}"/>
              </c:ext>
            </c:extLst>
          </c:dPt>
          <c:dPt>
            <c:idx val="7"/>
            <c:invertIfNegative val="0"/>
            <c:bubble3D val="0"/>
            <c:spPr>
              <a:solidFill>
                <a:srgbClr val="7030A0"/>
              </a:solidFill>
              <a:ln>
                <a:noFill/>
              </a:ln>
              <a:effectLst/>
            </c:spPr>
            <c:extLst>
              <c:ext xmlns:c16="http://schemas.microsoft.com/office/drawing/2014/chart" uri="{C3380CC4-5D6E-409C-BE32-E72D297353CC}">
                <c16:uniqueId val="{0000000F-284A-4184-8FE6-53308CAD8740}"/>
              </c:ext>
            </c:extLst>
          </c:dPt>
          <c:dPt>
            <c:idx val="8"/>
            <c:invertIfNegative val="0"/>
            <c:bubble3D val="0"/>
            <c:spPr>
              <a:solidFill>
                <a:srgbClr val="00B0F0"/>
              </a:solidFill>
              <a:ln>
                <a:noFill/>
              </a:ln>
              <a:effectLst/>
            </c:spPr>
            <c:extLst>
              <c:ext xmlns:c16="http://schemas.microsoft.com/office/drawing/2014/chart" uri="{C3380CC4-5D6E-409C-BE32-E72D297353CC}">
                <c16:uniqueId val="{00000011-284A-4184-8FE6-53308CAD8740}"/>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3-284A-4184-8FE6-53308CAD8740}"/>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5-284A-4184-8FE6-53308CAD8740}"/>
              </c:ext>
            </c:extLst>
          </c:dPt>
          <c:dPt>
            <c:idx val="11"/>
            <c:invertIfNegative val="0"/>
            <c:bubble3D val="0"/>
            <c:spPr>
              <a:solidFill>
                <a:srgbClr val="0070C0"/>
              </a:solidFill>
              <a:ln>
                <a:noFill/>
              </a:ln>
              <a:effectLst/>
            </c:spPr>
            <c:extLst>
              <c:ext xmlns:c16="http://schemas.microsoft.com/office/drawing/2014/chart" uri="{C3380CC4-5D6E-409C-BE32-E72D297353CC}">
                <c16:uniqueId val="{00000017-284A-4184-8FE6-53308CAD8740}"/>
              </c:ext>
            </c:extLst>
          </c:dPt>
          <c:dPt>
            <c:idx val="12"/>
            <c:invertIfNegative val="0"/>
            <c:bubble3D val="0"/>
            <c:spPr>
              <a:solidFill>
                <a:srgbClr val="00B050"/>
              </a:solidFill>
              <a:ln>
                <a:noFill/>
              </a:ln>
              <a:effectLst/>
            </c:spPr>
            <c:extLst>
              <c:ext xmlns:c16="http://schemas.microsoft.com/office/drawing/2014/chart" uri="{C3380CC4-5D6E-409C-BE32-E72D297353CC}">
                <c16:uniqueId val="{00000019-284A-4184-8FE6-53308CAD8740}"/>
              </c:ext>
            </c:extLst>
          </c:dPt>
          <c:dPt>
            <c:idx val="13"/>
            <c:invertIfNegative val="0"/>
            <c:bubble3D val="0"/>
            <c:spPr>
              <a:solidFill>
                <a:srgbClr val="CD4D47"/>
              </a:solidFill>
              <a:ln>
                <a:noFill/>
              </a:ln>
              <a:effectLst/>
            </c:spPr>
            <c:extLst>
              <c:ext xmlns:c16="http://schemas.microsoft.com/office/drawing/2014/chart" uri="{C3380CC4-5D6E-409C-BE32-E72D297353CC}">
                <c16:uniqueId val="{0000001B-284A-4184-8FE6-53308CAD8740}"/>
              </c:ext>
            </c:extLst>
          </c:dPt>
          <c:dPt>
            <c:idx val="14"/>
            <c:invertIfNegative val="0"/>
            <c:bubble3D val="0"/>
            <c:spPr>
              <a:solidFill>
                <a:srgbClr val="00EFE4"/>
              </a:solidFill>
              <a:ln>
                <a:noFill/>
              </a:ln>
              <a:effectLst/>
            </c:spPr>
            <c:extLst>
              <c:ext xmlns:c16="http://schemas.microsoft.com/office/drawing/2014/chart" uri="{C3380CC4-5D6E-409C-BE32-E72D297353CC}">
                <c16:uniqueId val="{0000001D-284A-4184-8FE6-53308CAD8740}"/>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F-284A-4184-8FE6-53308CAD8740}"/>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21-284A-4184-8FE6-53308CAD8740}"/>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3-284A-4184-8FE6-53308CAD8740}"/>
              </c:ext>
            </c:extLst>
          </c:dPt>
          <c:dPt>
            <c:idx val="19"/>
            <c:invertIfNegative val="0"/>
            <c:bubble3D val="0"/>
            <c:spPr>
              <a:solidFill>
                <a:srgbClr val="CD582C"/>
              </a:solidFill>
              <a:ln>
                <a:noFill/>
              </a:ln>
              <a:effectLst/>
            </c:spPr>
            <c:extLst>
              <c:ext xmlns:c16="http://schemas.microsoft.com/office/drawing/2014/chart" uri="{C3380CC4-5D6E-409C-BE32-E72D297353CC}">
                <c16:uniqueId val="{00000025-284A-4184-8FE6-53308CAD8740}"/>
              </c:ext>
            </c:extLst>
          </c:dPt>
          <c:dPt>
            <c:idx val="20"/>
            <c:invertIfNegative val="0"/>
            <c:bubble3D val="0"/>
            <c:spPr>
              <a:solidFill>
                <a:srgbClr val="D00024"/>
              </a:solidFill>
              <a:ln>
                <a:noFill/>
              </a:ln>
              <a:effectLst/>
            </c:spPr>
            <c:extLst>
              <c:ext xmlns:c16="http://schemas.microsoft.com/office/drawing/2014/chart" uri="{C3380CC4-5D6E-409C-BE32-E72D297353CC}">
                <c16:uniqueId val="{00000027-284A-4184-8FE6-53308CAD8740}"/>
              </c:ext>
            </c:extLst>
          </c:dPt>
          <c:dPt>
            <c:idx val="21"/>
            <c:invertIfNegative val="0"/>
            <c:bubble3D val="0"/>
            <c:spPr>
              <a:solidFill>
                <a:srgbClr val="4400E8"/>
              </a:solidFill>
              <a:ln>
                <a:noFill/>
              </a:ln>
              <a:effectLst/>
            </c:spPr>
            <c:extLst>
              <c:ext xmlns:c16="http://schemas.microsoft.com/office/drawing/2014/chart" uri="{C3380CC4-5D6E-409C-BE32-E72D297353CC}">
                <c16:uniqueId val="{00000029-284A-4184-8FE6-53308CAD8740}"/>
              </c:ext>
            </c:extLst>
          </c:dPt>
          <c:dPt>
            <c:idx val="22"/>
            <c:invertIfNegative val="0"/>
            <c:bubble3D val="0"/>
            <c:spPr>
              <a:solidFill>
                <a:srgbClr val="00B050"/>
              </a:solidFill>
              <a:ln>
                <a:noFill/>
              </a:ln>
              <a:effectLst/>
            </c:spPr>
            <c:extLst>
              <c:ext xmlns:c16="http://schemas.microsoft.com/office/drawing/2014/chart" uri="{C3380CC4-5D6E-409C-BE32-E72D297353CC}">
                <c16:uniqueId val="{0000002B-284A-4184-8FE6-53308CAD8740}"/>
              </c:ext>
            </c:extLst>
          </c:dPt>
          <c:dPt>
            <c:idx val="23"/>
            <c:invertIfNegative val="0"/>
            <c:bubble3D val="0"/>
            <c:spPr>
              <a:solidFill>
                <a:srgbClr val="FFC000">
                  <a:lumMod val="75000"/>
                </a:srgbClr>
              </a:solidFill>
              <a:ln>
                <a:noFill/>
              </a:ln>
              <a:effectLst/>
            </c:spPr>
            <c:extLst>
              <c:ext xmlns:c16="http://schemas.microsoft.com/office/drawing/2014/chart" uri="{C3380CC4-5D6E-409C-BE32-E72D297353CC}">
                <c16:uniqueId val="{0000002D-284A-4184-8FE6-53308CAD8740}"/>
              </c:ext>
            </c:extLst>
          </c:dPt>
          <c:dPt>
            <c:idx val="24"/>
            <c:invertIfNegative val="0"/>
            <c:bubble3D val="0"/>
            <c:spPr>
              <a:solidFill>
                <a:srgbClr val="D00000"/>
              </a:solidFill>
              <a:ln>
                <a:noFill/>
              </a:ln>
              <a:effectLst/>
            </c:spPr>
            <c:extLst>
              <c:ext xmlns:c16="http://schemas.microsoft.com/office/drawing/2014/chart" uri="{C3380CC4-5D6E-409C-BE32-E72D297353CC}">
                <c16:uniqueId val="{0000002F-284A-4184-8FE6-53308CAD8740}"/>
              </c:ext>
            </c:extLst>
          </c:dPt>
          <c:dPt>
            <c:idx val="25"/>
            <c:invertIfNegative val="0"/>
            <c:bubble3D val="0"/>
            <c:spPr>
              <a:solidFill>
                <a:srgbClr val="7A4300"/>
              </a:solidFill>
              <a:ln>
                <a:noFill/>
              </a:ln>
              <a:effectLst/>
            </c:spPr>
            <c:extLst>
              <c:ext xmlns:c16="http://schemas.microsoft.com/office/drawing/2014/chart" uri="{C3380CC4-5D6E-409C-BE32-E72D297353CC}">
                <c16:uniqueId val="{00000031-284A-4184-8FE6-53308CAD8740}"/>
              </c:ext>
            </c:extLst>
          </c:dPt>
          <c:dPt>
            <c:idx val="26"/>
            <c:invertIfNegative val="0"/>
            <c:bubble3D val="0"/>
            <c:spPr>
              <a:solidFill>
                <a:srgbClr val="783FC5"/>
              </a:solidFill>
              <a:ln>
                <a:noFill/>
              </a:ln>
              <a:effectLst/>
            </c:spPr>
            <c:extLst>
              <c:ext xmlns:c16="http://schemas.microsoft.com/office/drawing/2014/chart" uri="{C3380CC4-5D6E-409C-BE32-E72D297353CC}">
                <c16:uniqueId val="{00000033-284A-4184-8FE6-53308CAD874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7"/>
                <c:pt idx="0">
                  <c:v>Argentina</c:v>
                </c:pt>
                <c:pt idx="1">
                  <c:v>Barbados</c:v>
                </c:pt>
                <c:pt idx="2">
                  <c:v>Bolivia</c:v>
                </c:pt>
                <c:pt idx="3">
                  <c:v>Brasil</c:v>
                </c:pt>
                <c:pt idx="4">
                  <c:v>Canada</c:v>
                </c:pt>
                <c:pt idx="5">
                  <c:v>Chile</c:v>
                </c:pt>
                <c:pt idx="6">
                  <c:v>Colombia</c:v>
                </c:pt>
                <c:pt idx="7">
                  <c:v>Costa Rica</c:v>
                </c:pt>
                <c:pt idx="8">
                  <c:v>Cuba</c:v>
                </c:pt>
                <c:pt idx="9">
                  <c:v>Ecuador</c:v>
                </c:pt>
                <c:pt idx="10">
                  <c:v>El Salvador</c:v>
                </c:pt>
                <c:pt idx="11">
                  <c:v>Guatemala</c:v>
                </c:pt>
                <c:pt idx="12">
                  <c:v>Guyana</c:v>
                </c:pt>
                <c:pt idx="13">
                  <c:v>Haiti</c:v>
                </c:pt>
                <c:pt idx="14">
                  <c:v>Honduras</c:v>
                </c:pt>
                <c:pt idx="15">
                  <c:v>Jamaica</c:v>
                </c:pt>
                <c:pt idx="16">
                  <c:v>México</c:v>
                </c:pt>
                <c:pt idx="17">
                  <c:v>Nicaragua</c:v>
                </c:pt>
                <c:pt idx="18">
                  <c:v>Panamá</c:v>
                </c:pt>
                <c:pt idx="19">
                  <c:v>Paraguay</c:v>
                </c:pt>
                <c:pt idx="20">
                  <c:v>Perú</c:v>
                </c:pt>
                <c:pt idx="21">
                  <c:v>República Dominicana</c:v>
                </c:pt>
                <c:pt idx="22">
                  <c:v>Saint Kitts and Nevis</c:v>
                </c:pt>
                <c:pt idx="23">
                  <c:v>Suriname</c:v>
                </c:pt>
                <c:pt idx="24">
                  <c:v>United States of America</c:v>
                </c:pt>
                <c:pt idx="25">
                  <c:v>Uruguay</c:v>
                </c:pt>
                <c:pt idx="26">
                  <c:v>Venezuela</c:v>
                </c:pt>
              </c:strCache>
            </c:strRef>
          </c:cat>
          <c:val>
            <c:numRef>
              <c:f>Sheet1!$B$2:$B$36</c:f>
              <c:numCache>
                <c:formatCode>#,##0</c:formatCode>
                <c:ptCount val="27"/>
                <c:pt idx="0">
                  <c:v>150</c:v>
                </c:pt>
                <c:pt idx="1">
                  <c:v>2</c:v>
                </c:pt>
                <c:pt idx="2">
                  <c:v>25</c:v>
                </c:pt>
                <c:pt idx="3">
                  <c:v>182</c:v>
                </c:pt>
                <c:pt idx="4">
                  <c:v>10</c:v>
                </c:pt>
                <c:pt idx="5">
                  <c:v>74</c:v>
                </c:pt>
                <c:pt idx="6">
                  <c:v>631</c:v>
                </c:pt>
                <c:pt idx="7">
                  <c:v>65</c:v>
                </c:pt>
                <c:pt idx="8">
                  <c:v>4</c:v>
                </c:pt>
                <c:pt idx="9">
                  <c:v>110</c:v>
                </c:pt>
                <c:pt idx="10">
                  <c:v>18</c:v>
                </c:pt>
                <c:pt idx="11">
                  <c:v>34</c:v>
                </c:pt>
                <c:pt idx="12">
                  <c:v>1</c:v>
                </c:pt>
                <c:pt idx="13">
                  <c:v>4</c:v>
                </c:pt>
                <c:pt idx="14">
                  <c:v>33</c:v>
                </c:pt>
                <c:pt idx="15">
                  <c:v>3</c:v>
                </c:pt>
                <c:pt idx="16">
                  <c:v>625</c:v>
                </c:pt>
                <c:pt idx="17">
                  <c:v>21</c:v>
                </c:pt>
                <c:pt idx="18">
                  <c:v>29</c:v>
                </c:pt>
                <c:pt idx="19">
                  <c:v>27</c:v>
                </c:pt>
                <c:pt idx="20">
                  <c:v>282</c:v>
                </c:pt>
                <c:pt idx="21">
                  <c:v>7</c:v>
                </c:pt>
                <c:pt idx="22">
                  <c:v>1</c:v>
                </c:pt>
                <c:pt idx="23">
                  <c:v>3</c:v>
                </c:pt>
                <c:pt idx="24">
                  <c:v>68</c:v>
                </c:pt>
                <c:pt idx="25">
                  <c:v>7</c:v>
                </c:pt>
                <c:pt idx="26">
                  <c:v>24</c:v>
                </c:pt>
              </c:numCache>
            </c:numRef>
          </c:val>
          <c:extLst>
            <c:ext xmlns:c16="http://schemas.microsoft.com/office/drawing/2014/chart" uri="{C3380CC4-5D6E-409C-BE32-E72D297353CC}">
              <c16:uniqueId val="{00000034-284A-4184-8FE6-53308CAD8740}"/>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Precautionary measures lifted by country </a:t>
            </a:r>
          </a:p>
          <a:p>
            <a:pPr>
              <a:defRPr/>
            </a:pPr>
            <a:r>
              <a:rPr lang="en-US" sz="2000" b="1" i="0">
                <a:solidFill>
                  <a:srgbClr val="0070C0"/>
                </a:solidFill>
                <a:latin typeface="Helvetica LT Std Cond" panose="020B0506020202030204" pitchFamily="34" charset="0"/>
              </a:rPr>
              <a:t>Total: 46</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MEDIDAS CAUTELARES LEVANTADAS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244C-4178-9EA8-FEC7C290AB85}"/>
              </c:ext>
            </c:extLst>
          </c:dPt>
          <c:dPt>
            <c:idx val="1"/>
            <c:invertIfNegative val="0"/>
            <c:bubble3D val="0"/>
            <c:spPr>
              <a:solidFill>
                <a:srgbClr val="70AD47"/>
              </a:solidFill>
              <a:ln>
                <a:noFill/>
              </a:ln>
              <a:effectLst/>
            </c:spPr>
            <c:extLst>
              <c:ext xmlns:c16="http://schemas.microsoft.com/office/drawing/2014/chart" uri="{C3380CC4-5D6E-409C-BE32-E72D297353CC}">
                <c16:uniqueId val="{00000003-244C-4178-9EA8-FEC7C290AB85}"/>
              </c:ext>
            </c:extLst>
          </c:dPt>
          <c:dPt>
            <c:idx val="2"/>
            <c:invertIfNegative val="0"/>
            <c:bubble3D val="0"/>
            <c:spPr>
              <a:solidFill>
                <a:srgbClr val="ED7D31"/>
              </a:solidFill>
              <a:ln>
                <a:noFill/>
              </a:ln>
              <a:effectLst/>
            </c:spPr>
            <c:extLst>
              <c:ext xmlns:c16="http://schemas.microsoft.com/office/drawing/2014/chart" uri="{C3380CC4-5D6E-409C-BE32-E72D297353CC}">
                <c16:uniqueId val="{00000005-244C-4178-9EA8-FEC7C290AB85}"/>
              </c:ext>
            </c:extLst>
          </c:dPt>
          <c:dPt>
            <c:idx val="3"/>
            <c:invertIfNegative val="0"/>
            <c:bubble3D val="0"/>
            <c:spPr>
              <a:solidFill>
                <a:srgbClr val="00B0F0"/>
              </a:solidFill>
              <a:ln>
                <a:noFill/>
              </a:ln>
              <a:effectLst/>
            </c:spPr>
            <c:extLst>
              <c:ext xmlns:c16="http://schemas.microsoft.com/office/drawing/2014/chart" uri="{C3380CC4-5D6E-409C-BE32-E72D297353CC}">
                <c16:uniqueId val="{00000007-244C-4178-9EA8-FEC7C290AB85}"/>
              </c:ext>
            </c:extLst>
          </c:dPt>
          <c:dPt>
            <c:idx val="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9-244C-4178-9EA8-FEC7C290AB85}"/>
              </c:ext>
            </c:extLst>
          </c:dPt>
          <c:dPt>
            <c:idx val="5"/>
            <c:invertIfNegative val="0"/>
            <c:bubble3D val="0"/>
            <c:spPr>
              <a:solidFill>
                <a:srgbClr val="0070C0"/>
              </a:solidFill>
              <a:ln>
                <a:noFill/>
              </a:ln>
              <a:effectLst/>
            </c:spPr>
            <c:extLst>
              <c:ext xmlns:c16="http://schemas.microsoft.com/office/drawing/2014/chart" uri="{C3380CC4-5D6E-409C-BE32-E72D297353CC}">
                <c16:uniqueId val="{0000000B-244C-4178-9EA8-FEC7C290AB85}"/>
              </c:ext>
            </c:extLst>
          </c:dPt>
          <c:dPt>
            <c:idx val="6"/>
            <c:invertIfNegative val="0"/>
            <c:bubble3D val="0"/>
            <c:spPr>
              <a:solidFill>
                <a:srgbClr val="00EFE4"/>
              </a:solidFill>
              <a:ln>
                <a:noFill/>
              </a:ln>
              <a:effectLst/>
            </c:spPr>
            <c:extLst>
              <c:ext xmlns:c16="http://schemas.microsoft.com/office/drawing/2014/chart" uri="{C3380CC4-5D6E-409C-BE32-E72D297353CC}">
                <c16:uniqueId val="{0000000D-244C-4178-9EA8-FEC7C290AB85}"/>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F-244C-4178-9EA8-FEC7C290AB85}"/>
              </c:ext>
            </c:extLst>
          </c:dPt>
          <c:dPt>
            <c:idx val="9"/>
            <c:invertIfNegative val="0"/>
            <c:bubble3D val="0"/>
            <c:spPr>
              <a:solidFill>
                <a:srgbClr val="D00024"/>
              </a:solidFill>
              <a:ln>
                <a:noFill/>
              </a:ln>
              <a:effectLst/>
            </c:spPr>
            <c:extLst>
              <c:ext xmlns:c16="http://schemas.microsoft.com/office/drawing/2014/chart" uri="{C3380CC4-5D6E-409C-BE32-E72D297353CC}">
                <c16:uniqueId val="{00000011-244C-4178-9EA8-FEC7C290AB85}"/>
              </c:ext>
            </c:extLst>
          </c:dPt>
          <c:dPt>
            <c:idx val="10"/>
            <c:invertIfNegative val="0"/>
            <c:bubble3D val="0"/>
            <c:spPr>
              <a:solidFill>
                <a:srgbClr val="4400E8"/>
              </a:solidFill>
              <a:ln>
                <a:noFill/>
              </a:ln>
              <a:effectLst/>
            </c:spPr>
            <c:extLst>
              <c:ext xmlns:c16="http://schemas.microsoft.com/office/drawing/2014/chart" uri="{C3380CC4-5D6E-409C-BE32-E72D297353CC}">
                <c16:uniqueId val="{00000013-244C-4178-9EA8-FEC7C290AB85}"/>
              </c:ext>
            </c:extLst>
          </c:dPt>
          <c:dPt>
            <c:idx val="11"/>
            <c:invertIfNegative val="0"/>
            <c:bubble3D val="0"/>
            <c:spPr>
              <a:solidFill>
                <a:srgbClr val="D00000"/>
              </a:solidFill>
              <a:ln>
                <a:noFill/>
              </a:ln>
              <a:effectLst/>
            </c:spPr>
            <c:extLst>
              <c:ext xmlns:c16="http://schemas.microsoft.com/office/drawing/2014/chart" uri="{C3380CC4-5D6E-409C-BE32-E72D297353CC}">
                <c16:uniqueId val="{00000015-244C-4178-9EA8-FEC7C290AB85}"/>
              </c:ext>
            </c:extLst>
          </c:dPt>
          <c:dPt>
            <c:idx val="12"/>
            <c:invertIfNegative val="0"/>
            <c:bubble3D val="0"/>
            <c:spPr>
              <a:solidFill>
                <a:srgbClr val="783FC5"/>
              </a:solidFill>
              <a:ln>
                <a:noFill/>
              </a:ln>
              <a:effectLst/>
            </c:spPr>
            <c:extLst>
              <c:ext xmlns:c16="http://schemas.microsoft.com/office/drawing/2014/chart" uri="{C3380CC4-5D6E-409C-BE32-E72D297353CC}">
                <c16:uniqueId val="{00000017-244C-4178-9EA8-FEC7C290AB8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3"/>
                <c:pt idx="0">
                  <c:v>Argentina</c:v>
                </c:pt>
                <c:pt idx="1">
                  <c:v>Brasil</c:v>
                </c:pt>
                <c:pt idx="2">
                  <c:v>Colombia</c:v>
                </c:pt>
                <c:pt idx="3">
                  <c:v>Cuba</c:v>
                </c:pt>
                <c:pt idx="4">
                  <c:v>El Salvador</c:v>
                </c:pt>
                <c:pt idx="5">
                  <c:v>Guatemala</c:v>
                </c:pt>
                <c:pt idx="6">
                  <c:v>Honduras</c:v>
                </c:pt>
                <c:pt idx="7">
                  <c:v>México</c:v>
                </c:pt>
                <c:pt idx="8">
                  <c:v>Nicaragua</c:v>
                </c:pt>
                <c:pt idx="9">
                  <c:v>Perú</c:v>
                </c:pt>
                <c:pt idx="10">
                  <c:v>República Dominicana</c:v>
                </c:pt>
                <c:pt idx="11">
                  <c:v>United States of America</c:v>
                </c:pt>
                <c:pt idx="12">
                  <c:v>Venezuela</c:v>
                </c:pt>
              </c:strCache>
            </c:strRef>
          </c:cat>
          <c:val>
            <c:numRef>
              <c:f>Sheet1!$B$2:$B$36</c:f>
              <c:numCache>
                <c:formatCode>#,##0</c:formatCode>
                <c:ptCount val="13"/>
                <c:pt idx="0">
                  <c:v>2</c:v>
                </c:pt>
                <c:pt idx="1">
                  <c:v>1</c:v>
                </c:pt>
                <c:pt idx="2">
                  <c:v>8</c:v>
                </c:pt>
                <c:pt idx="3">
                  <c:v>1</c:v>
                </c:pt>
                <c:pt idx="4">
                  <c:v>1</c:v>
                </c:pt>
                <c:pt idx="5">
                  <c:v>1</c:v>
                </c:pt>
                <c:pt idx="6">
                  <c:v>2</c:v>
                </c:pt>
                <c:pt idx="7">
                  <c:v>8</c:v>
                </c:pt>
                <c:pt idx="8">
                  <c:v>1</c:v>
                </c:pt>
                <c:pt idx="9">
                  <c:v>1</c:v>
                </c:pt>
                <c:pt idx="10">
                  <c:v>1</c:v>
                </c:pt>
                <c:pt idx="11">
                  <c:v>18</c:v>
                </c:pt>
                <c:pt idx="12">
                  <c:v>1</c:v>
                </c:pt>
              </c:numCache>
            </c:numRef>
          </c:val>
          <c:extLst>
            <c:ext xmlns:c16="http://schemas.microsoft.com/office/drawing/2014/chart" uri="{C3380CC4-5D6E-409C-BE32-E72D297353CC}">
              <c16:uniqueId val="{00000018-244C-4178-9EA8-FEC7C290AB85}"/>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Thematic reports approved</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each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NÚMERO DE INFORMES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7C6C-4C73-B09A-A1E2CABCE2BB}"/>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7C6C-4C73-B09A-A1E2CABCE2BB}"/>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7C6C-4C73-B09A-A1E2CABCE2BB}"/>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7C6C-4C73-B09A-A1E2CABCE2BB}"/>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7C6C-4C73-B09A-A1E2CABCE2BB}"/>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7C6C-4C73-B09A-A1E2CABCE2BB}"/>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7C6C-4C73-B09A-A1E2CABCE2BB}"/>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7C6C-4C73-B09A-A1E2CABCE2BB}"/>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7C6C-4C73-B09A-A1E2CABCE2BB}"/>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7C6C-4C73-B09A-A1E2CABCE2BB}"/>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7C6C-4C73-B09A-A1E2CABCE2BB}"/>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7C6C-4C73-B09A-A1E2CABCE2BB}"/>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7C6C-4C73-B09A-A1E2CABCE2BB}"/>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7C6C-4C73-B09A-A1E2CABCE2BB}"/>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7C6C-4C73-B09A-A1E2CABCE2BB}"/>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7C6C-4C73-B09A-A1E2CABCE2BB}"/>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7C6C-4C73-B09A-A1E2CABCE2BB}"/>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7C6C-4C73-B09A-A1E2CABCE2BB}"/>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7C6C-4C73-B09A-A1E2CABCE2BB}"/>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7C6C-4C73-B09A-A1E2CABCE2BB}"/>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7C6C-4C73-B09A-A1E2CABCE2BB}"/>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7C6C-4C73-B09A-A1E2CABCE2BB}"/>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7C6C-4C73-B09A-A1E2CABCE2BB}"/>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7C6C-4C73-B09A-A1E2CABCE2BB}"/>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7C6C-4C73-B09A-A1E2CABCE2BB}"/>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7C6C-4C73-B09A-A1E2CABCE2B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Sheet1!$B$2:$B$24</c:f>
              <c:numCache>
                <c:formatCode>#,##0</c:formatCode>
                <c:ptCount val="23"/>
                <c:pt idx="0">
                  <c:v>2</c:v>
                </c:pt>
                <c:pt idx="1">
                  <c:v>1</c:v>
                </c:pt>
                <c:pt idx="2">
                  <c:v>1</c:v>
                </c:pt>
                <c:pt idx="3">
                  <c:v>3</c:v>
                </c:pt>
                <c:pt idx="4">
                  <c:v>1</c:v>
                </c:pt>
                <c:pt idx="6">
                  <c:v>3</c:v>
                </c:pt>
                <c:pt idx="7">
                  <c:v>3</c:v>
                </c:pt>
                <c:pt idx="8">
                  <c:v>2</c:v>
                </c:pt>
                <c:pt idx="9">
                  <c:v>7</c:v>
                </c:pt>
                <c:pt idx="10">
                  <c:v>1</c:v>
                </c:pt>
                <c:pt idx="11">
                  <c:v>10</c:v>
                </c:pt>
                <c:pt idx="13">
                  <c:v>7</c:v>
                </c:pt>
                <c:pt idx="14">
                  <c:v>3</c:v>
                </c:pt>
                <c:pt idx="15">
                  <c:v>9</c:v>
                </c:pt>
                <c:pt idx="17">
                  <c:v>6</c:v>
                </c:pt>
                <c:pt idx="18">
                  <c:v>12</c:v>
                </c:pt>
                <c:pt idx="19">
                  <c:v>6</c:v>
                </c:pt>
                <c:pt idx="20">
                  <c:v>7</c:v>
                </c:pt>
                <c:pt idx="21">
                  <c:v>12</c:v>
                </c:pt>
                <c:pt idx="22">
                  <c:v>7</c:v>
                </c:pt>
              </c:numCache>
            </c:numRef>
          </c:val>
          <c:extLst>
            <c:ext xmlns:c16="http://schemas.microsoft.com/office/drawing/2014/chart" uri="{C3380CC4-5D6E-409C-BE32-E72D297353CC}">
              <c16:uniqueId val="{00000034-7C6C-4C73-B09A-A1E2CABCE2BB}"/>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800" b="0" i="0" baseline="0">
                <a:effectLst/>
              </a:rPr>
              <a:t>Petitions received</a:t>
            </a:r>
          </a:p>
          <a:p>
            <a:pPr>
              <a:defRPr sz="1400" b="0">
                <a:solidFill>
                  <a:schemeClr val="tx1">
                    <a:lumMod val="50000"/>
                    <a:lumOff val="50000"/>
                  </a:schemeClr>
                </a:solidFill>
                <a:latin typeface="Helvetica LT Std Cond" panose="020B0506020202030204" pitchFamily="34" charset="0"/>
              </a:defRPr>
            </a:pPr>
            <a:r>
              <a:rPr lang="en-US" sz="1800" b="1" i="0" baseline="0">
                <a:solidFill>
                  <a:srgbClr val="0070C0"/>
                </a:solidFill>
                <a:effectLst/>
              </a:rPr>
              <a:t>by Year</a:t>
            </a:r>
          </a:p>
          <a:p>
            <a:pPr>
              <a:defRPr sz="1400" b="0">
                <a:solidFill>
                  <a:schemeClr val="tx1">
                    <a:lumMod val="50000"/>
                    <a:lumOff val="50000"/>
                  </a:schemeClr>
                </a:solidFill>
                <a:latin typeface="Helvetica LT Std Cond" panose="020B0506020202030204" pitchFamily="34" charset="0"/>
              </a:defRPr>
            </a:pPr>
            <a:r>
              <a:rPr lang="en-US" sz="1400" b="0">
                <a:solidFill>
                  <a:schemeClr val="tx1">
                    <a:lumMod val="50000"/>
                    <a:lumOff val="50000"/>
                  </a:schemeClr>
                </a:solidFill>
                <a:latin typeface="Helvetica LT Std Cond" panose="020B0506020202030204" pitchFamily="34" charset="0"/>
              </a:rPr>
              <a:t>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Peticiones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53C1-48FA-8836-8B208B2FBD3B}"/>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53C1-48FA-8836-8B208B2FBD3B}"/>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53C1-48FA-8836-8B208B2FBD3B}"/>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53C1-48FA-8836-8B208B2FBD3B}"/>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53C1-48FA-8836-8B208B2FBD3B}"/>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53C1-48FA-8836-8B208B2FBD3B}"/>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53C1-48FA-8836-8B208B2FBD3B}"/>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53C1-48FA-8836-8B208B2FBD3B}"/>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53C1-48FA-8836-8B208B2FBD3B}"/>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53C1-48FA-8836-8B208B2FBD3B}"/>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53C1-48FA-8836-8B208B2FBD3B}"/>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53C1-48FA-8836-8B208B2FBD3B}"/>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53C1-48FA-8836-8B208B2FBD3B}"/>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53C1-48FA-8836-8B208B2FBD3B}"/>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53C1-48FA-8836-8B208B2FBD3B}"/>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53C1-48FA-8836-8B208B2FBD3B}"/>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53C1-48FA-8836-8B208B2FBD3B}"/>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53C1-48FA-8836-8B208B2FBD3B}"/>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53C1-48FA-8836-8B208B2FBD3B}"/>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53C1-48FA-8836-8B208B2FBD3B}"/>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53C1-48FA-8836-8B208B2FBD3B}"/>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53C1-48FA-8836-8B208B2FBD3B}"/>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53C1-48FA-8836-8B208B2FBD3B}"/>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53C1-48FA-8836-8B208B2FBD3B}"/>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53C1-48FA-8836-8B208B2FBD3B}"/>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53C1-48FA-8836-8B208B2FBD3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Sheet1!$B$2:$B$27</c:f>
              <c:numCache>
                <c:formatCode>#,##0</c:formatCode>
                <c:ptCount val="26"/>
                <c:pt idx="0">
                  <c:v>435</c:v>
                </c:pt>
                <c:pt idx="1">
                  <c:v>571</c:v>
                </c:pt>
                <c:pt idx="2">
                  <c:v>520</c:v>
                </c:pt>
                <c:pt idx="3">
                  <c:v>658</c:v>
                </c:pt>
                <c:pt idx="4">
                  <c:v>885</c:v>
                </c:pt>
                <c:pt idx="5">
                  <c:v>979</c:v>
                </c:pt>
                <c:pt idx="6">
                  <c:v>1050</c:v>
                </c:pt>
                <c:pt idx="7">
                  <c:v>1319</c:v>
                </c:pt>
                <c:pt idx="8">
                  <c:v>1330</c:v>
                </c:pt>
                <c:pt idx="9">
                  <c:v>1325</c:v>
                </c:pt>
                <c:pt idx="10">
                  <c:v>1456</c:v>
                </c:pt>
                <c:pt idx="11">
                  <c:v>1323</c:v>
                </c:pt>
                <c:pt idx="12">
                  <c:v>1431</c:v>
                </c:pt>
                <c:pt idx="13">
                  <c:v>1598</c:v>
                </c:pt>
                <c:pt idx="14">
                  <c:v>1670</c:v>
                </c:pt>
                <c:pt idx="15">
                  <c:v>1936</c:v>
                </c:pt>
                <c:pt idx="16">
                  <c:v>2061</c:v>
                </c:pt>
                <c:pt idx="17">
                  <c:v>1758</c:v>
                </c:pt>
                <c:pt idx="18">
                  <c:v>2164</c:v>
                </c:pt>
                <c:pt idx="19">
                  <c:v>2567</c:v>
                </c:pt>
                <c:pt idx="20">
                  <c:v>2494</c:v>
                </c:pt>
                <c:pt idx="21">
                  <c:v>2957</c:v>
                </c:pt>
                <c:pt idx="22">
                  <c:v>3034</c:v>
                </c:pt>
                <c:pt idx="23">
                  <c:v>2448</c:v>
                </c:pt>
                <c:pt idx="24">
                  <c:v>2327</c:v>
                </c:pt>
                <c:pt idx="25">
                  <c:v>2440</c:v>
                </c:pt>
              </c:numCache>
            </c:numRef>
          </c:val>
          <c:extLst>
            <c:ext xmlns:c16="http://schemas.microsoft.com/office/drawing/2014/chart" uri="{C3380CC4-5D6E-409C-BE32-E72D297353CC}">
              <c16:uniqueId val="{00000034-53C1-48FA-8836-8B208B2FBD3B}"/>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Petitions pending initial review by country </a:t>
            </a:r>
          </a:p>
          <a:p>
            <a:pPr>
              <a:defRPr/>
            </a:pPr>
            <a:r>
              <a:rPr lang="en-US" sz="2000" b="1" i="0">
                <a:solidFill>
                  <a:srgbClr val="0070C0"/>
                </a:solidFill>
                <a:latin typeface="Helvetica LT Std Cond" panose="020B0506020202030204" pitchFamily="34" charset="0"/>
              </a:rPr>
              <a:t>Total: 96 *</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51F8-40F3-8CA1-1860BDC0671B}"/>
              </c:ext>
            </c:extLst>
          </c:dPt>
          <c:dPt>
            <c:idx val="1"/>
            <c:invertIfNegative val="0"/>
            <c:bubble3D val="0"/>
            <c:spPr>
              <a:solidFill>
                <a:srgbClr val="FFC000"/>
              </a:solidFill>
              <a:ln>
                <a:noFill/>
              </a:ln>
              <a:effectLst/>
            </c:spPr>
            <c:extLst>
              <c:ext xmlns:c16="http://schemas.microsoft.com/office/drawing/2014/chart" uri="{C3380CC4-5D6E-409C-BE32-E72D297353CC}">
                <c16:uniqueId val="{00000003-51F8-40F3-8CA1-1860BDC0671B}"/>
              </c:ext>
            </c:extLst>
          </c:dPt>
          <c:dPt>
            <c:idx val="2"/>
            <c:invertIfNegative val="0"/>
            <c:bubble3D val="0"/>
            <c:spPr>
              <a:solidFill>
                <a:srgbClr val="70AD47"/>
              </a:solidFill>
              <a:ln>
                <a:noFill/>
              </a:ln>
              <a:effectLst/>
            </c:spPr>
            <c:extLst>
              <c:ext xmlns:c16="http://schemas.microsoft.com/office/drawing/2014/chart" uri="{C3380CC4-5D6E-409C-BE32-E72D297353CC}">
                <c16:uniqueId val="{00000005-51F8-40F3-8CA1-1860BDC0671B}"/>
              </c:ext>
            </c:extLst>
          </c:dPt>
          <c:dPt>
            <c:idx val="3"/>
            <c:invertIfNegative val="0"/>
            <c:bubble3D val="0"/>
            <c:spPr>
              <a:solidFill>
                <a:srgbClr val="0070C0"/>
              </a:solidFill>
              <a:ln>
                <a:noFill/>
              </a:ln>
              <a:effectLst/>
            </c:spPr>
            <c:extLst>
              <c:ext xmlns:c16="http://schemas.microsoft.com/office/drawing/2014/chart" uri="{C3380CC4-5D6E-409C-BE32-E72D297353CC}">
                <c16:uniqueId val="{00000007-51F8-40F3-8CA1-1860BDC0671B}"/>
              </c:ext>
            </c:extLst>
          </c:dPt>
          <c:dPt>
            <c:idx val="4"/>
            <c:invertIfNegative val="0"/>
            <c:bubble3D val="0"/>
            <c:spPr>
              <a:solidFill>
                <a:srgbClr val="ED7D31"/>
              </a:solidFill>
              <a:ln>
                <a:noFill/>
              </a:ln>
              <a:effectLst/>
            </c:spPr>
            <c:extLst>
              <c:ext xmlns:c16="http://schemas.microsoft.com/office/drawing/2014/chart" uri="{C3380CC4-5D6E-409C-BE32-E72D297353CC}">
                <c16:uniqueId val="{00000009-51F8-40F3-8CA1-1860BDC0671B}"/>
              </c:ext>
            </c:extLst>
          </c:dPt>
          <c:dPt>
            <c:idx val="5"/>
            <c:invertIfNegative val="0"/>
            <c:bubble3D val="0"/>
            <c:spPr>
              <a:solidFill>
                <a:srgbClr val="7030A0"/>
              </a:solidFill>
              <a:ln>
                <a:noFill/>
              </a:ln>
              <a:effectLst/>
            </c:spPr>
            <c:extLst>
              <c:ext xmlns:c16="http://schemas.microsoft.com/office/drawing/2014/chart" uri="{C3380CC4-5D6E-409C-BE32-E72D297353CC}">
                <c16:uniqueId val="{0000000B-51F8-40F3-8CA1-1860BDC0671B}"/>
              </c:ext>
            </c:extLst>
          </c:dPt>
          <c:dPt>
            <c:idx val="6"/>
            <c:invertIfNegative val="0"/>
            <c:bubble3D val="0"/>
            <c:spPr>
              <a:solidFill>
                <a:srgbClr val="00B0F0"/>
              </a:solidFill>
              <a:ln>
                <a:noFill/>
              </a:ln>
              <a:effectLst/>
            </c:spPr>
            <c:extLst>
              <c:ext xmlns:c16="http://schemas.microsoft.com/office/drawing/2014/chart" uri="{C3380CC4-5D6E-409C-BE32-E72D297353CC}">
                <c16:uniqueId val="{0000000D-51F8-40F3-8CA1-1860BDC0671B}"/>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51F8-40F3-8CA1-1860BDC0671B}"/>
              </c:ext>
            </c:extLst>
          </c:dPt>
          <c:dPt>
            <c:idx val="8"/>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1-51F8-40F3-8CA1-1860BDC0671B}"/>
              </c:ext>
            </c:extLst>
          </c:dPt>
          <c:dPt>
            <c:idx val="9"/>
            <c:invertIfNegative val="0"/>
            <c:bubble3D val="0"/>
            <c:spPr>
              <a:solidFill>
                <a:srgbClr val="0070C0"/>
              </a:solidFill>
              <a:ln>
                <a:noFill/>
              </a:ln>
              <a:effectLst/>
            </c:spPr>
            <c:extLst>
              <c:ext xmlns:c16="http://schemas.microsoft.com/office/drawing/2014/chart" uri="{C3380CC4-5D6E-409C-BE32-E72D297353CC}">
                <c16:uniqueId val="{00000013-51F8-40F3-8CA1-1860BDC0671B}"/>
              </c:ext>
            </c:extLst>
          </c:dPt>
          <c:dPt>
            <c:idx val="10"/>
            <c:invertIfNegative val="0"/>
            <c:bubble3D val="0"/>
            <c:spPr>
              <a:solidFill>
                <a:srgbClr val="CD4D47"/>
              </a:solidFill>
              <a:ln>
                <a:noFill/>
              </a:ln>
              <a:effectLst/>
            </c:spPr>
            <c:extLst>
              <c:ext xmlns:c16="http://schemas.microsoft.com/office/drawing/2014/chart" uri="{C3380CC4-5D6E-409C-BE32-E72D297353CC}">
                <c16:uniqueId val="{00000015-51F8-40F3-8CA1-1860BDC0671B}"/>
              </c:ext>
            </c:extLst>
          </c:dPt>
          <c:dPt>
            <c:idx val="11"/>
            <c:invertIfNegative val="0"/>
            <c:bubble3D val="0"/>
            <c:spPr>
              <a:solidFill>
                <a:srgbClr val="00EFE4"/>
              </a:solidFill>
              <a:ln>
                <a:noFill/>
              </a:ln>
              <a:effectLst/>
            </c:spPr>
            <c:extLst>
              <c:ext xmlns:c16="http://schemas.microsoft.com/office/drawing/2014/chart" uri="{C3380CC4-5D6E-409C-BE32-E72D297353CC}">
                <c16:uniqueId val="{00000017-51F8-40F3-8CA1-1860BDC0671B}"/>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9-51F8-40F3-8CA1-1860BDC0671B}"/>
              </c:ext>
            </c:extLst>
          </c:dPt>
          <c:dPt>
            <c:idx val="14"/>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B-51F8-40F3-8CA1-1860BDC0671B}"/>
              </c:ext>
            </c:extLst>
          </c:dPt>
          <c:dPt>
            <c:idx val="15"/>
            <c:invertIfNegative val="0"/>
            <c:bubble3D val="0"/>
            <c:spPr>
              <a:solidFill>
                <a:srgbClr val="CD582C"/>
              </a:solidFill>
              <a:ln>
                <a:noFill/>
              </a:ln>
              <a:effectLst/>
            </c:spPr>
            <c:extLst>
              <c:ext xmlns:c16="http://schemas.microsoft.com/office/drawing/2014/chart" uri="{C3380CC4-5D6E-409C-BE32-E72D297353CC}">
                <c16:uniqueId val="{0000001D-51F8-40F3-8CA1-1860BDC0671B}"/>
              </c:ext>
            </c:extLst>
          </c:dPt>
          <c:dPt>
            <c:idx val="16"/>
            <c:invertIfNegative val="0"/>
            <c:bubble3D val="0"/>
            <c:spPr>
              <a:solidFill>
                <a:srgbClr val="D00024"/>
              </a:solidFill>
              <a:ln>
                <a:noFill/>
              </a:ln>
              <a:effectLst/>
            </c:spPr>
            <c:extLst>
              <c:ext xmlns:c16="http://schemas.microsoft.com/office/drawing/2014/chart" uri="{C3380CC4-5D6E-409C-BE32-E72D297353CC}">
                <c16:uniqueId val="{0000001F-51F8-40F3-8CA1-1860BDC0671B}"/>
              </c:ext>
            </c:extLst>
          </c:dPt>
          <c:dPt>
            <c:idx val="17"/>
            <c:invertIfNegative val="0"/>
            <c:bubble3D val="0"/>
            <c:spPr>
              <a:solidFill>
                <a:srgbClr val="4400E8"/>
              </a:solidFill>
              <a:ln>
                <a:noFill/>
              </a:ln>
              <a:effectLst/>
            </c:spPr>
            <c:extLst>
              <c:ext xmlns:c16="http://schemas.microsoft.com/office/drawing/2014/chart" uri="{C3380CC4-5D6E-409C-BE32-E72D297353CC}">
                <c16:uniqueId val="{00000021-51F8-40F3-8CA1-1860BDC0671B}"/>
              </c:ext>
            </c:extLst>
          </c:dPt>
          <c:dPt>
            <c:idx val="18"/>
            <c:invertIfNegative val="0"/>
            <c:bubble3D val="0"/>
            <c:spPr>
              <a:solidFill>
                <a:srgbClr val="FFC000">
                  <a:lumMod val="75000"/>
                </a:srgbClr>
              </a:solidFill>
              <a:ln>
                <a:noFill/>
              </a:ln>
              <a:effectLst/>
            </c:spPr>
            <c:extLst>
              <c:ext xmlns:c16="http://schemas.microsoft.com/office/drawing/2014/chart" uri="{C3380CC4-5D6E-409C-BE32-E72D297353CC}">
                <c16:uniqueId val="{00000023-51F8-40F3-8CA1-1860BDC0671B}"/>
              </c:ext>
            </c:extLst>
          </c:dPt>
          <c:dPt>
            <c:idx val="19"/>
            <c:invertIfNegative val="0"/>
            <c:bubble3D val="0"/>
            <c:spPr>
              <a:solidFill>
                <a:srgbClr val="D00000"/>
              </a:solidFill>
              <a:ln>
                <a:noFill/>
              </a:ln>
              <a:effectLst/>
            </c:spPr>
            <c:extLst>
              <c:ext xmlns:c16="http://schemas.microsoft.com/office/drawing/2014/chart" uri="{C3380CC4-5D6E-409C-BE32-E72D297353CC}">
                <c16:uniqueId val="{00000025-51F8-40F3-8CA1-1860BDC0671B}"/>
              </c:ext>
            </c:extLst>
          </c:dPt>
          <c:dPt>
            <c:idx val="20"/>
            <c:invertIfNegative val="0"/>
            <c:bubble3D val="0"/>
            <c:spPr>
              <a:solidFill>
                <a:srgbClr val="7A4300"/>
              </a:solidFill>
              <a:ln>
                <a:noFill/>
              </a:ln>
              <a:effectLst/>
            </c:spPr>
            <c:extLst>
              <c:ext xmlns:c16="http://schemas.microsoft.com/office/drawing/2014/chart" uri="{C3380CC4-5D6E-409C-BE32-E72D297353CC}">
                <c16:uniqueId val="{00000027-51F8-40F3-8CA1-1860BDC0671B}"/>
              </c:ext>
            </c:extLst>
          </c:dPt>
          <c:dPt>
            <c:idx val="21"/>
            <c:invertIfNegative val="0"/>
            <c:bubble3D val="0"/>
            <c:spPr>
              <a:solidFill>
                <a:srgbClr val="783FC5"/>
              </a:solidFill>
              <a:ln>
                <a:noFill/>
              </a:ln>
              <a:effectLst/>
            </c:spPr>
            <c:extLst>
              <c:ext xmlns:c16="http://schemas.microsoft.com/office/drawing/2014/chart" uri="{C3380CC4-5D6E-409C-BE32-E72D297353CC}">
                <c16:uniqueId val="{00000029-51F8-40F3-8CA1-1860BDC0671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2"/>
                <c:pt idx="0">
                  <c:v>Argentina</c:v>
                </c:pt>
                <c:pt idx="1">
                  <c:v>Bolivia</c:v>
                </c:pt>
                <c:pt idx="2">
                  <c:v>Brasil</c:v>
                </c:pt>
                <c:pt idx="3">
                  <c:v>Chile</c:v>
                </c:pt>
                <c:pt idx="4">
                  <c:v>Colombia</c:v>
                </c:pt>
                <c:pt idx="5">
                  <c:v>Costa Rica</c:v>
                </c:pt>
                <c:pt idx="6">
                  <c:v>Cuba</c:v>
                </c:pt>
                <c:pt idx="7">
                  <c:v>Ecuador</c:v>
                </c:pt>
                <c:pt idx="8">
                  <c:v>El Salvador</c:v>
                </c:pt>
                <c:pt idx="9">
                  <c:v>Guatemala</c:v>
                </c:pt>
                <c:pt idx="10">
                  <c:v>Haiti</c:v>
                </c:pt>
                <c:pt idx="11">
                  <c:v>Honduras</c:v>
                </c:pt>
                <c:pt idx="12">
                  <c:v>México</c:v>
                </c:pt>
                <c:pt idx="13">
                  <c:v>Nicaragua</c:v>
                </c:pt>
                <c:pt idx="14">
                  <c:v>Panamá</c:v>
                </c:pt>
                <c:pt idx="15">
                  <c:v>Paraguay</c:v>
                </c:pt>
                <c:pt idx="16">
                  <c:v>Perú</c:v>
                </c:pt>
                <c:pt idx="17">
                  <c:v>República Dominicana</c:v>
                </c:pt>
                <c:pt idx="18">
                  <c:v>Suriname</c:v>
                </c:pt>
                <c:pt idx="19">
                  <c:v>United States of America</c:v>
                </c:pt>
                <c:pt idx="20">
                  <c:v>Uruguay</c:v>
                </c:pt>
                <c:pt idx="21">
                  <c:v>Venezuela</c:v>
                </c:pt>
              </c:strCache>
            </c:strRef>
          </c:cat>
          <c:val>
            <c:numRef>
              <c:f>Sheet1!$B$2:$B$36</c:f>
              <c:numCache>
                <c:formatCode>#,##0</c:formatCode>
                <c:ptCount val="22"/>
                <c:pt idx="0">
                  <c:v>3</c:v>
                </c:pt>
                <c:pt idx="1">
                  <c:v>3</c:v>
                </c:pt>
                <c:pt idx="2">
                  <c:v>16</c:v>
                </c:pt>
                <c:pt idx="3">
                  <c:v>4</c:v>
                </c:pt>
                <c:pt idx="4">
                  <c:v>16</c:v>
                </c:pt>
                <c:pt idx="5">
                  <c:v>4</c:v>
                </c:pt>
                <c:pt idx="6">
                  <c:v>1</c:v>
                </c:pt>
                <c:pt idx="7">
                  <c:v>2</c:v>
                </c:pt>
                <c:pt idx="8">
                  <c:v>1</c:v>
                </c:pt>
                <c:pt idx="9">
                  <c:v>2</c:v>
                </c:pt>
                <c:pt idx="10">
                  <c:v>1</c:v>
                </c:pt>
                <c:pt idx="11">
                  <c:v>3</c:v>
                </c:pt>
                <c:pt idx="12">
                  <c:v>18</c:v>
                </c:pt>
                <c:pt idx="13">
                  <c:v>3</c:v>
                </c:pt>
                <c:pt idx="14">
                  <c:v>2</c:v>
                </c:pt>
                <c:pt idx="15">
                  <c:v>2</c:v>
                </c:pt>
                <c:pt idx="16">
                  <c:v>5</c:v>
                </c:pt>
                <c:pt idx="17">
                  <c:v>2</c:v>
                </c:pt>
                <c:pt idx="18">
                  <c:v>1</c:v>
                </c:pt>
                <c:pt idx="19">
                  <c:v>4</c:v>
                </c:pt>
                <c:pt idx="20">
                  <c:v>1</c:v>
                </c:pt>
                <c:pt idx="21">
                  <c:v>2</c:v>
                </c:pt>
              </c:numCache>
            </c:numRef>
          </c:val>
          <c:extLst>
            <c:ext xmlns:c16="http://schemas.microsoft.com/office/drawing/2014/chart" uri="{C3380CC4-5D6E-409C-BE32-E72D297353CC}">
              <c16:uniqueId val="{0000002A-51F8-40F3-8CA1-1860BDC0671B}"/>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Decisions to open for processing by country </a:t>
            </a:r>
          </a:p>
          <a:p>
            <a:pPr>
              <a:defRPr/>
            </a:pPr>
            <a:r>
              <a:rPr lang="en-US" sz="2000" b="1" i="0">
                <a:solidFill>
                  <a:srgbClr val="0070C0"/>
                </a:solidFill>
                <a:latin typeface="Helvetica LT Std Cond" panose="020B0506020202030204" pitchFamily="34" charset="0"/>
              </a:rPr>
              <a:t>Total: 340</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914-432B-B90E-365FE36421B0}"/>
              </c:ext>
            </c:extLst>
          </c:dPt>
          <c:dPt>
            <c:idx val="1"/>
            <c:invertIfNegative val="0"/>
            <c:bubble3D val="0"/>
            <c:spPr>
              <a:solidFill>
                <a:srgbClr val="FFC000"/>
              </a:solidFill>
              <a:ln>
                <a:noFill/>
              </a:ln>
              <a:effectLst/>
            </c:spPr>
            <c:extLst>
              <c:ext xmlns:c16="http://schemas.microsoft.com/office/drawing/2014/chart" uri="{C3380CC4-5D6E-409C-BE32-E72D297353CC}">
                <c16:uniqueId val="{00000003-7914-432B-B90E-365FE36421B0}"/>
              </c:ext>
            </c:extLst>
          </c:dPt>
          <c:dPt>
            <c:idx val="2"/>
            <c:invertIfNegative val="0"/>
            <c:bubble3D val="0"/>
            <c:spPr>
              <a:solidFill>
                <a:srgbClr val="70AD47"/>
              </a:solidFill>
              <a:ln>
                <a:noFill/>
              </a:ln>
              <a:effectLst/>
            </c:spPr>
            <c:extLst>
              <c:ext xmlns:c16="http://schemas.microsoft.com/office/drawing/2014/chart" uri="{C3380CC4-5D6E-409C-BE32-E72D297353CC}">
                <c16:uniqueId val="{00000005-7914-432B-B90E-365FE36421B0}"/>
              </c:ext>
            </c:extLst>
          </c:dPt>
          <c:dPt>
            <c:idx val="3"/>
            <c:invertIfNegative val="0"/>
            <c:bubble3D val="0"/>
            <c:spPr>
              <a:solidFill>
                <a:srgbClr val="FF0000"/>
              </a:solidFill>
              <a:ln>
                <a:noFill/>
              </a:ln>
              <a:effectLst/>
            </c:spPr>
            <c:extLst>
              <c:ext xmlns:c16="http://schemas.microsoft.com/office/drawing/2014/chart" uri="{C3380CC4-5D6E-409C-BE32-E72D297353CC}">
                <c16:uniqueId val="{00000007-7914-432B-B90E-365FE36421B0}"/>
              </c:ext>
            </c:extLst>
          </c:dPt>
          <c:dPt>
            <c:idx val="4"/>
            <c:invertIfNegative val="0"/>
            <c:bubble3D val="0"/>
            <c:spPr>
              <a:solidFill>
                <a:srgbClr val="0070C0"/>
              </a:solidFill>
              <a:ln>
                <a:noFill/>
              </a:ln>
              <a:effectLst/>
            </c:spPr>
            <c:extLst>
              <c:ext xmlns:c16="http://schemas.microsoft.com/office/drawing/2014/chart" uri="{C3380CC4-5D6E-409C-BE32-E72D297353CC}">
                <c16:uniqueId val="{00000009-7914-432B-B90E-365FE36421B0}"/>
              </c:ext>
            </c:extLst>
          </c:dPt>
          <c:dPt>
            <c:idx val="5"/>
            <c:invertIfNegative val="0"/>
            <c:bubble3D val="0"/>
            <c:spPr>
              <a:solidFill>
                <a:srgbClr val="ED7D31"/>
              </a:solidFill>
              <a:ln>
                <a:noFill/>
              </a:ln>
              <a:effectLst/>
            </c:spPr>
            <c:extLst>
              <c:ext xmlns:c16="http://schemas.microsoft.com/office/drawing/2014/chart" uri="{C3380CC4-5D6E-409C-BE32-E72D297353CC}">
                <c16:uniqueId val="{0000000B-7914-432B-B90E-365FE36421B0}"/>
              </c:ext>
            </c:extLst>
          </c:dPt>
          <c:dPt>
            <c:idx val="6"/>
            <c:invertIfNegative val="0"/>
            <c:bubble3D val="0"/>
            <c:spPr>
              <a:solidFill>
                <a:srgbClr val="7030A0"/>
              </a:solidFill>
              <a:ln>
                <a:noFill/>
              </a:ln>
              <a:effectLst/>
            </c:spPr>
            <c:extLst>
              <c:ext xmlns:c16="http://schemas.microsoft.com/office/drawing/2014/chart" uri="{C3380CC4-5D6E-409C-BE32-E72D297353CC}">
                <c16:uniqueId val="{0000000D-7914-432B-B90E-365FE36421B0}"/>
              </c:ext>
            </c:extLst>
          </c:dPt>
          <c:dPt>
            <c:idx val="7"/>
            <c:invertIfNegative val="0"/>
            <c:bubble3D val="0"/>
            <c:spPr>
              <a:solidFill>
                <a:srgbClr val="00B0F0"/>
              </a:solidFill>
              <a:ln>
                <a:noFill/>
              </a:ln>
              <a:effectLst/>
            </c:spPr>
            <c:extLst>
              <c:ext xmlns:c16="http://schemas.microsoft.com/office/drawing/2014/chart" uri="{C3380CC4-5D6E-409C-BE32-E72D297353CC}">
                <c16:uniqueId val="{0000000F-7914-432B-B90E-365FE36421B0}"/>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7914-432B-B90E-365FE36421B0}"/>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7914-432B-B90E-365FE36421B0}"/>
              </c:ext>
            </c:extLst>
          </c:dPt>
          <c:dPt>
            <c:idx val="10"/>
            <c:invertIfNegative val="0"/>
            <c:bubble3D val="0"/>
            <c:spPr>
              <a:solidFill>
                <a:srgbClr val="0070C0"/>
              </a:solidFill>
              <a:ln>
                <a:noFill/>
              </a:ln>
              <a:effectLst/>
            </c:spPr>
            <c:extLst>
              <c:ext xmlns:c16="http://schemas.microsoft.com/office/drawing/2014/chart" uri="{C3380CC4-5D6E-409C-BE32-E72D297353CC}">
                <c16:uniqueId val="{00000015-7914-432B-B90E-365FE36421B0}"/>
              </c:ext>
            </c:extLst>
          </c:dPt>
          <c:dPt>
            <c:idx val="11"/>
            <c:invertIfNegative val="0"/>
            <c:bubble3D val="0"/>
            <c:spPr>
              <a:solidFill>
                <a:srgbClr val="CD4D47"/>
              </a:solidFill>
              <a:ln>
                <a:noFill/>
              </a:ln>
              <a:effectLst/>
            </c:spPr>
            <c:extLst>
              <c:ext xmlns:c16="http://schemas.microsoft.com/office/drawing/2014/chart" uri="{C3380CC4-5D6E-409C-BE32-E72D297353CC}">
                <c16:uniqueId val="{00000017-7914-432B-B90E-365FE36421B0}"/>
              </c:ext>
            </c:extLst>
          </c:dPt>
          <c:dPt>
            <c:idx val="12"/>
            <c:invertIfNegative val="0"/>
            <c:bubble3D val="0"/>
            <c:spPr>
              <a:solidFill>
                <a:srgbClr val="00EFE4"/>
              </a:solidFill>
              <a:ln>
                <a:noFill/>
              </a:ln>
              <a:effectLst/>
            </c:spPr>
            <c:extLst>
              <c:ext xmlns:c16="http://schemas.microsoft.com/office/drawing/2014/chart" uri="{C3380CC4-5D6E-409C-BE32-E72D297353CC}">
                <c16:uniqueId val="{00000019-7914-432B-B90E-365FE36421B0}"/>
              </c:ext>
            </c:extLst>
          </c:dPt>
          <c:dPt>
            <c:idx val="13"/>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7914-432B-B90E-365FE36421B0}"/>
              </c:ext>
            </c:extLst>
          </c:dPt>
          <c:dPt>
            <c:idx val="14"/>
            <c:invertIfNegative val="0"/>
            <c:bubble3D val="0"/>
            <c:spPr>
              <a:solidFill>
                <a:srgbClr val="70AD47">
                  <a:lumMod val="75000"/>
                </a:srgbClr>
              </a:solidFill>
              <a:ln>
                <a:noFill/>
              </a:ln>
              <a:effectLst/>
            </c:spPr>
            <c:extLst>
              <c:ext xmlns:c16="http://schemas.microsoft.com/office/drawing/2014/chart" uri="{C3380CC4-5D6E-409C-BE32-E72D297353CC}">
                <c16:uniqueId val="{0000001D-7914-432B-B90E-365FE36421B0}"/>
              </c:ext>
            </c:extLst>
          </c:dPt>
          <c:dPt>
            <c:idx val="16"/>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7914-432B-B90E-365FE36421B0}"/>
              </c:ext>
            </c:extLst>
          </c:dPt>
          <c:dPt>
            <c:idx val="17"/>
            <c:invertIfNegative val="0"/>
            <c:bubble3D val="0"/>
            <c:spPr>
              <a:solidFill>
                <a:srgbClr val="CD582C"/>
              </a:solidFill>
              <a:ln>
                <a:noFill/>
              </a:ln>
              <a:effectLst/>
            </c:spPr>
            <c:extLst>
              <c:ext xmlns:c16="http://schemas.microsoft.com/office/drawing/2014/chart" uri="{C3380CC4-5D6E-409C-BE32-E72D297353CC}">
                <c16:uniqueId val="{00000021-7914-432B-B90E-365FE36421B0}"/>
              </c:ext>
            </c:extLst>
          </c:dPt>
          <c:dPt>
            <c:idx val="18"/>
            <c:invertIfNegative val="0"/>
            <c:bubble3D val="0"/>
            <c:spPr>
              <a:solidFill>
                <a:srgbClr val="D00024"/>
              </a:solidFill>
              <a:ln>
                <a:noFill/>
              </a:ln>
              <a:effectLst/>
            </c:spPr>
            <c:extLst>
              <c:ext xmlns:c16="http://schemas.microsoft.com/office/drawing/2014/chart" uri="{C3380CC4-5D6E-409C-BE32-E72D297353CC}">
                <c16:uniqueId val="{00000023-7914-432B-B90E-365FE36421B0}"/>
              </c:ext>
            </c:extLst>
          </c:dPt>
          <c:dPt>
            <c:idx val="19"/>
            <c:invertIfNegative val="0"/>
            <c:bubble3D val="0"/>
            <c:spPr>
              <a:solidFill>
                <a:srgbClr val="D00000"/>
              </a:solidFill>
              <a:ln>
                <a:noFill/>
              </a:ln>
              <a:effectLst/>
            </c:spPr>
            <c:extLst>
              <c:ext xmlns:c16="http://schemas.microsoft.com/office/drawing/2014/chart" uri="{C3380CC4-5D6E-409C-BE32-E72D297353CC}">
                <c16:uniqueId val="{00000025-7914-432B-B90E-365FE36421B0}"/>
              </c:ext>
            </c:extLst>
          </c:dPt>
          <c:dPt>
            <c:idx val="20"/>
            <c:invertIfNegative val="0"/>
            <c:bubble3D val="0"/>
            <c:spPr>
              <a:solidFill>
                <a:srgbClr val="7A4300"/>
              </a:solidFill>
              <a:ln>
                <a:noFill/>
              </a:ln>
              <a:effectLst/>
            </c:spPr>
            <c:extLst>
              <c:ext xmlns:c16="http://schemas.microsoft.com/office/drawing/2014/chart" uri="{C3380CC4-5D6E-409C-BE32-E72D297353CC}">
                <c16:uniqueId val="{00000027-7914-432B-B90E-365FE36421B0}"/>
              </c:ext>
            </c:extLst>
          </c:dPt>
          <c:dPt>
            <c:idx val="21"/>
            <c:invertIfNegative val="0"/>
            <c:bubble3D val="0"/>
            <c:spPr>
              <a:solidFill>
                <a:srgbClr val="783FC5"/>
              </a:solidFill>
              <a:ln>
                <a:noFill/>
              </a:ln>
              <a:effectLst/>
            </c:spPr>
            <c:extLst>
              <c:ext xmlns:c16="http://schemas.microsoft.com/office/drawing/2014/chart" uri="{C3380CC4-5D6E-409C-BE32-E72D297353CC}">
                <c16:uniqueId val="{00000029-7914-432B-B90E-365FE36421B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2"/>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Haiti</c:v>
                </c:pt>
                <c:pt idx="12">
                  <c:v>Honduras</c:v>
                </c:pt>
                <c:pt idx="13">
                  <c:v>Jamaica</c:v>
                </c:pt>
                <c:pt idx="14">
                  <c:v>México</c:v>
                </c:pt>
                <c:pt idx="15">
                  <c:v>Nicaragua</c:v>
                </c:pt>
                <c:pt idx="16">
                  <c:v>Panamá</c:v>
                </c:pt>
                <c:pt idx="17">
                  <c:v>Paraguay</c:v>
                </c:pt>
                <c:pt idx="18">
                  <c:v>Perú</c:v>
                </c:pt>
                <c:pt idx="19">
                  <c:v>United States of America</c:v>
                </c:pt>
                <c:pt idx="20">
                  <c:v>Uruguay</c:v>
                </c:pt>
                <c:pt idx="21">
                  <c:v>Venezuela</c:v>
                </c:pt>
              </c:strCache>
            </c:strRef>
          </c:cat>
          <c:val>
            <c:numRef>
              <c:f>Sheet1!$B$2:$B$36</c:f>
              <c:numCache>
                <c:formatCode>#,##0</c:formatCode>
                <c:ptCount val="22"/>
                <c:pt idx="0">
                  <c:v>23</c:v>
                </c:pt>
                <c:pt idx="1">
                  <c:v>5</c:v>
                </c:pt>
                <c:pt idx="2">
                  <c:v>2</c:v>
                </c:pt>
                <c:pt idx="3">
                  <c:v>1</c:v>
                </c:pt>
                <c:pt idx="4">
                  <c:v>7</c:v>
                </c:pt>
                <c:pt idx="5">
                  <c:v>96</c:v>
                </c:pt>
                <c:pt idx="6">
                  <c:v>10</c:v>
                </c:pt>
                <c:pt idx="7">
                  <c:v>1</c:v>
                </c:pt>
                <c:pt idx="8">
                  <c:v>18</c:v>
                </c:pt>
                <c:pt idx="9">
                  <c:v>4</c:v>
                </c:pt>
                <c:pt idx="10">
                  <c:v>8</c:v>
                </c:pt>
                <c:pt idx="11">
                  <c:v>2</c:v>
                </c:pt>
                <c:pt idx="12">
                  <c:v>5</c:v>
                </c:pt>
                <c:pt idx="13">
                  <c:v>2</c:v>
                </c:pt>
                <c:pt idx="14">
                  <c:v>80</c:v>
                </c:pt>
                <c:pt idx="15">
                  <c:v>12</c:v>
                </c:pt>
                <c:pt idx="16">
                  <c:v>4</c:v>
                </c:pt>
                <c:pt idx="17">
                  <c:v>4</c:v>
                </c:pt>
                <c:pt idx="18">
                  <c:v>38</c:v>
                </c:pt>
                <c:pt idx="19">
                  <c:v>8</c:v>
                </c:pt>
                <c:pt idx="20">
                  <c:v>2</c:v>
                </c:pt>
                <c:pt idx="21">
                  <c:v>8</c:v>
                </c:pt>
              </c:numCache>
            </c:numRef>
          </c:val>
          <c:extLst>
            <c:ext xmlns:c16="http://schemas.microsoft.com/office/drawing/2014/chart" uri="{C3380CC4-5D6E-409C-BE32-E72D297353CC}">
              <c16:uniqueId val="{0000002A-7914-432B-B90E-365FE36421B0}"/>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Petitions not opened for processing</a:t>
            </a:r>
          </a:p>
          <a:p>
            <a:pPr>
              <a:defRPr/>
            </a:pPr>
            <a:r>
              <a:rPr lang="en-US" sz="2000" b="1" i="0">
                <a:solidFill>
                  <a:srgbClr val="0070C0"/>
                </a:solidFill>
                <a:latin typeface="Helvetica LT Std Cond" panose="020B0506020202030204" pitchFamily="34" charset="0"/>
              </a:rPr>
              <a:t>Total: 1,864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AD3F-427E-A942-FD20DF776055}"/>
              </c:ext>
            </c:extLst>
          </c:dPt>
          <c:dPt>
            <c:idx val="1"/>
            <c:invertIfNegative val="0"/>
            <c:bubble3D val="0"/>
            <c:spPr>
              <a:solidFill>
                <a:srgbClr val="011EAA"/>
              </a:solidFill>
              <a:ln>
                <a:noFill/>
              </a:ln>
              <a:effectLst/>
            </c:spPr>
            <c:extLst>
              <c:ext xmlns:c16="http://schemas.microsoft.com/office/drawing/2014/chart" uri="{C3380CC4-5D6E-409C-BE32-E72D297353CC}">
                <c16:uniqueId val="{00000003-AD3F-427E-A942-FD20DF776055}"/>
              </c:ext>
            </c:extLst>
          </c:dPt>
          <c:dPt>
            <c:idx val="2"/>
            <c:invertIfNegative val="0"/>
            <c:bubble3D val="0"/>
            <c:spPr>
              <a:solidFill>
                <a:srgbClr val="FFC000"/>
              </a:solidFill>
              <a:ln>
                <a:noFill/>
              </a:ln>
              <a:effectLst/>
            </c:spPr>
            <c:extLst>
              <c:ext xmlns:c16="http://schemas.microsoft.com/office/drawing/2014/chart" uri="{C3380CC4-5D6E-409C-BE32-E72D297353CC}">
                <c16:uniqueId val="{00000005-AD3F-427E-A942-FD20DF776055}"/>
              </c:ext>
            </c:extLst>
          </c:dPt>
          <c:dPt>
            <c:idx val="3"/>
            <c:invertIfNegative val="0"/>
            <c:bubble3D val="0"/>
            <c:spPr>
              <a:solidFill>
                <a:srgbClr val="70AD47"/>
              </a:solidFill>
              <a:ln>
                <a:noFill/>
              </a:ln>
              <a:effectLst/>
            </c:spPr>
            <c:extLst>
              <c:ext xmlns:c16="http://schemas.microsoft.com/office/drawing/2014/chart" uri="{C3380CC4-5D6E-409C-BE32-E72D297353CC}">
                <c16:uniqueId val="{00000007-AD3F-427E-A942-FD20DF776055}"/>
              </c:ext>
            </c:extLst>
          </c:dPt>
          <c:dPt>
            <c:idx val="4"/>
            <c:invertIfNegative val="0"/>
            <c:bubble3D val="0"/>
            <c:spPr>
              <a:solidFill>
                <a:srgbClr val="FF0000"/>
              </a:solidFill>
              <a:ln>
                <a:noFill/>
              </a:ln>
              <a:effectLst/>
            </c:spPr>
            <c:extLst>
              <c:ext xmlns:c16="http://schemas.microsoft.com/office/drawing/2014/chart" uri="{C3380CC4-5D6E-409C-BE32-E72D297353CC}">
                <c16:uniqueId val="{00000009-AD3F-427E-A942-FD20DF776055}"/>
              </c:ext>
            </c:extLst>
          </c:dPt>
          <c:dPt>
            <c:idx val="5"/>
            <c:invertIfNegative val="0"/>
            <c:bubble3D val="0"/>
            <c:spPr>
              <a:solidFill>
                <a:srgbClr val="0070C0"/>
              </a:solidFill>
              <a:ln>
                <a:noFill/>
              </a:ln>
              <a:effectLst/>
            </c:spPr>
            <c:extLst>
              <c:ext xmlns:c16="http://schemas.microsoft.com/office/drawing/2014/chart" uri="{C3380CC4-5D6E-409C-BE32-E72D297353CC}">
                <c16:uniqueId val="{0000000B-AD3F-427E-A942-FD20DF776055}"/>
              </c:ext>
            </c:extLst>
          </c:dPt>
          <c:dPt>
            <c:idx val="6"/>
            <c:invertIfNegative val="0"/>
            <c:bubble3D val="0"/>
            <c:spPr>
              <a:solidFill>
                <a:srgbClr val="ED7D31"/>
              </a:solidFill>
              <a:ln>
                <a:noFill/>
              </a:ln>
              <a:effectLst/>
            </c:spPr>
            <c:extLst>
              <c:ext xmlns:c16="http://schemas.microsoft.com/office/drawing/2014/chart" uri="{C3380CC4-5D6E-409C-BE32-E72D297353CC}">
                <c16:uniqueId val="{0000000D-AD3F-427E-A942-FD20DF776055}"/>
              </c:ext>
            </c:extLst>
          </c:dPt>
          <c:dPt>
            <c:idx val="7"/>
            <c:invertIfNegative val="0"/>
            <c:bubble3D val="0"/>
            <c:spPr>
              <a:solidFill>
                <a:srgbClr val="7030A0"/>
              </a:solidFill>
              <a:ln>
                <a:noFill/>
              </a:ln>
              <a:effectLst/>
            </c:spPr>
            <c:extLst>
              <c:ext xmlns:c16="http://schemas.microsoft.com/office/drawing/2014/chart" uri="{C3380CC4-5D6E-409C-BE32-E72D297353CC}">
                <c16:uniqueId val="{0000000F-AD3F-427E-A942-FD20DF776055}"/>
              </c:ext>
            </c:extLst>
          </c:dPt>
          <c:dPt>
            <c:idx val="8"/>
            <c:invertIfNegative val="0"/>
            <c:bubble3D val="0"/>
            <c:spPr>
              <a:solidFill>
                <a:srgbClr val="00B0F0"/>
              </a:solidFill>
              <a:ln>
                <a:noFill/>
              </a:ln>
              <a:effectLst/>
            </c:spPr>
            <c:extLst>
              <c:ext xmlns:c16="http://schemas.microsoft.com/office/drawing/2014/chart" uri="{C3380CC4-5D6E-409C-BE32-E72D297353CC}">
                <c16:uniqueId val="{00000011-AD3F-427E-A942-FD20DF776055}"/>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3-AD3F-427E-A942-FD20DF776055}"/>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5-AD3F-427E-A942-FD20DF776055}"/>
              </c:ext>
            </c:extLst>
          </c:dPt>
          <c:dPt>
            <c:idx val="11"/>
            <c:invertIfNegative val="0"/>
            <c:bubble3D val="0"/>
            <c:spPr>
              <a:solidFill>
                <a:srgbClr val="0070C0"/>
              </a:solidFill>
              <a:ln>
                <a:noFill/>
              </a:ln>
              <a:effectLst/>
            </c:spPr>
            <c:extLst>
              <c:ext xmlns:c16="http://schemas.microsoft.com/office/drawing/2014/chart" uri="{C3380CC4-5D6E-409C-BE32-E72D297353CC}">
                <c16:uniqueId val="{00000017-AD3F-427E-A942-FD20DF776055}"/>
              </c:ext>
            </c:extLst>
          </c:dPt>
          <c:dPt>
            <c:idx val="12"/>
            <c:invertIfNegative val="0"/>
            <c:bubble3D val="0"/>
            <c:spPr>
              <a:solidFill>
                <a:srgbClr val="00B050"/>
              </a:solidFill>
              <a:ln>
                <a:noFill/>
              </a:ln>
              <a:effectLst/>
            </c:spPr>
            <c:extLst>
              <c:ext xmlns:c16="http://schemas.microsoft.com/office/drawing/2014/chart" uri="{C3380CC4-5D6E-409C-BE32-E72D297353CC}">
                <c16:uniqueId val="{00000019-AD3F-427E-A942-FD20DF776055}"/>
              </c:ext>
            </c:extLst>
          </c:dPt>
          <c:dPt>
            <c:idx val="13"/>
            <c:invertIfNegative val="0"/>
            <c:bubble3D val="0"/>
            <c:spPr>
              <a:solidFill>
                <a:srgbClr val="CD4D47"/>
              </a:solidFill>
              <a:ln>
                <a:noFill/>
              </a:ln>
              <a:effectLst/>
            </c:spPr>
            <c:extLst>
              <c:ext xmlns:c16="http://schemas.microsoft.com/office/drawing/2014/chart" uri="{C3380CC4-5D6E-409C-BE32-E72D297353CC}">
                <c16:uniqueId val="{0000001B-AD3F-427E-A942-FD20DF776055}"/>
              </c:ext>
            </c:extLst>
          </c:dPt>
          <c:dPt>
            <c:idx val="14"/>
            <c:invertIfNegative val="0"/>
            <c:bubble3D val="0"/>
            <c:spPr>
              <a:solidFill>
                <a:srgbClr val="00EFE4"/>
              </a:solidFill>
              <a:ln>
                <a:noFill/>
              </a:ln>
              <a:effectLst/>
            </c:spPr>
            <c:extLst>
              <c:ext xmlns:c16="http://schemas.microsoft.com/office/drawing/2014/chart" uri="{C3380CC4-5D6E-409C-BE32-E72D297353CC}">
                <c16:uniqueId val="{0000001D-AD3F-427E-A942-FD20DF776055}"/>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F-AD3F-427E-A942-FD20DF776055}"/>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21-AD3F-427E-A942-FD20DF776055}"/>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3-AD3F-427E-A942-FD20DF776055}"/>
              </c:ext>
            </c:extLst>
          </c:dPt>
          <c:dPt>
            <c:idx val="19"/>
            <c:invertIfNegative val="0"/>
            <c:bubble3D val="0"/>
            <c:spPr>
              <a:solidFill>
                <a:srgbClr val="CD582C"/>
              </a:solidFill>
              <a:ln>
                <a:noFill/>
              </a:ln>
              <a:effectLst/>
            </c:spPr>
            <c:extLst>
              <c:ext xmlns:c16="http://schemas.microsoft.com/office/drawing/2014/chart" uri="{C3380CC4-5D6E-409C-BE32-E72D297353CC}">
                <c16:uniqueId val="{00000025-AD3F-427E-A942-FD20DF776055}"/>
              </c:ext>
            </c:extLst>
          </c:dPt>
          <c:dPt>
            <c:idx val="20"/>
            <c:invertIfNegative val="0"/>
            <c:bubble3D val="0"/>
            <c:spPr>
              <a:solidFill>
                <a:srgbClr val="D00024"/>
              </a:solidFill>
              <a:ln>
                <a:noFill/>
              </a:ln>
              <a:effectLst/>
            </c:spPr>
            <c:extLst>
              <c:ext xmlns:c16="http://schemas.microsoft.com/office/drawing/2014/chart" uri="{C3380CC4-5D6E-409C-BE32-E72D297353CC}">
                <c16:uniqueId val="{00000027-AD3F-427E-A942-FD20DF776055}"/>
              </c:ext>
            </c:extLst>
          </c:dPt>
          <c:dPt>
            <c:idx val="21"/>
            <c:invertIfNegative val="0"/>
            <c:bubble3D val="0"/>
            <c:spPr>
              <a:solidFill>
                <a:srgbClr val="4400E8"/>
              </a:solidFill>
              <a:ln>
                <a:noFill/>
              </a:ln>
              <a:effectLst/>
            </c:spPr>
            <c:extLst>
              <c:ext xmlns:c16="http://schemas.microsoft.com/office/drawing/2014/chart" uri="{C3380CC4-5D6E-409C-BE32-E72D297353CC}">
                <c16:uniqueId val="{00000029-AD3F-427E-A942-FD20DF776055}"/>
              </c:ext>
            </c:extLst>
          </c:dPt>
          <c:dPt>
            <c:idx val="22"/>
            <c:invertIfNegative val="0"/>
            <c:bubble3D val="0"/>
            <c:spPr>
              <a:solidFill>
                <a:srgbClr val="00B050"/>
              </a:solidFill>
              <a:ln>
                <a:noFill/>
              </a:ln>
              <a:effectLst/>
            </c:spPr>
            <c:extLst>
              <c:ext xmlns:c16="http://schemas.microsoft.com/office/drawing/2014/chart" uri="{C3380CC4-5D6E-409C-BE32-E72D297353CC}">
                <c16:uniqueId val="{0000002B-AD3F-427E-A942-FD20DF776055}"/>
              </c:ext>
            </c:extLst>
          </c:dPt>
          <c:dPt>
            <c:idx val="23"/>
            <c:invertIfNegative val="0"/>
            <c:bubble3D val="0"/>
            <c:spPr>
              <a:solidFill>
                <a:srgbClr val="FFC000">
                  <a:lumMod val="75000"/>
                </a:srgbClr>
              </a:solidFill>
              <a:ln>
                <a:noFill/>
              </a:ln>
              <a:effectLst/>
            </c:spPr>
            <c:extLst>
              <c:ext xmlns:c16="http://schemas.microsoft.com/office/drawing/2014/chart" uri="{C3380CC4-5D6E-409C-BE32-E72D297353CC}">
                <c16:uniqueId val="{0000002D-AD3F-427E-A942-FD20DF776055}"/>
              </c:ext>
            </c:extLst>
          </c:dPt>
          <c:dPt>
            <c:idx val="24"/>
            <c:invertIfNegative val="0"/>
            <c:bubble3D val="0"/>
            <c:spPr>
              <a:solidFill>
                <a:srgbClr val="D00000"/>
              </a:solidFill>
              <a:ln>
                <a:noFill/>
              </a:ln>
              <a:effectLst/>
            </c:spPr>
            <c:extLst>
              <c:ext xmlns:c16="http://schemas.microsoft.com/office/drawing/2014/chart" uri="{C3380CC4-5D6E-409C-BE32-E72D297353CC}">
                <c16:uniqueId val="{0000002F-AD3F-427E-A942-FD20DF776055}"/>
              </c:ext>
            </c:extLst>
          </c:dPt>
          <c:dPt>
            <c:idx val="25"/>
            <c:invertIfNegative val="0"/>
            <c:bubble3D val="0"/>
            <c:spPr>
              <a:solidFill>
                <a:srgbClr val="7A4300"/>
              </a:solidFill>
              <a:ln>
                <a:noFill/>
              </a:ln>
              <a:effectLst/>
            </c:spPr>
            <c:extLst>
              <c:ext xmlns:c16="http://schemas.microsoft.com/office/drawing/2014/chart" uri="{C3380CC4-5D6E-409C-BE32-E72D297353CC}">
                <c16:uniqueId val="{00000031-AD3F-427E-A942-FD20DF776055}"/>
              </c:ext>
            </c:extLst>
          </c:dPt>
          <c:dPt>
            <c:idx val="26"/>
            <c:invertIfNegative val="0"/>
            <c:bubble3D val="0"/>
            <c:spPr>
              <a:solidFill>
                <a:srgbClr val="783FC5"/>
              </a:solidFill>
              <a:ln>
                <a:noFill/>
              </a:ln>
              <a:effectLst/>
            </c:spPr>
            <c:extLst>
              <c:ext xmlns:c16="http://schemas.microsoft.com/office/drawing/2014/chart" uri="{C3380CC4-5D6E-409C-BE32-E72D297353CC}">
                <c16:uniqueId val="{00000033-AD3F-427E-A942-FD20DF77605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7"/>
                <c:pt idx="0">
                  <c:v>Argentina</c:v>
                </c:pt>
                <c:pt idx="1">
                  <c:v>Barbados</c:v>
                </c:pt>
                <c:pt idx="2">
                  <c:v>Bolivia</c:v>
                </c:pt>
                <c:pt idx="3">
                  <c:v>Brasil</c:v>
                </c:pt>
                <c:pt idx="4">
                  <c:v>Canada</c:v>
                </c:pt>
                <c:pt idx="5">
                  <c:v>Chile</c:v>
                </c:pt>
                <c:pt idx="6">
                  <c:v>Colombia</c:v>
                </c:pt>
                <c:pt idx="7">
                  <c:v>Costa Rica</c:v>
                </c:pt>
                <c:pt idx="8">
                  <c:v>Cuba</c:v>
                </c:pt>
                <c:pt idx="9">
                  <c:v>Ecuador</c:v>
                </c:pt>
                <c:pt idx="10">
                  <c:v>El Salvador</c:v>
                </c:pt>
                <c:pt idx="11">
                  <c:v>Guatemala</c:v>
                </c:pt>
                <c:pt idx="12">
                  <c:v>Guyana</c:v>
                </c:pt>
                <c:pt idx="13">
                  <c:v>Haiti</c:v>
                </c:pt>
                <c:pt idx="14">
                  <c:v>Honduras</c:v>
                </c:pt>
                <c:pt idx="15">
                  <c:v>Jamaica</c:v>
                </c:pt>
                <c:pt idx="16">
                  <c:v>México</c:v>
                </c:pt>
                <c:pt idx="17">
                  <c:v>Nicaragua</c:v>
                </c:pt>
                <c:pt idx="18">
                  <c:v>Panamá</c:v>
                </c:pt>
                <c:pt idx="19">
                  <c:v>Paraguay</c:v>
                </c:pt>
                <c:pt idx="20">
                  <c:v>Perú</c:v>
                </c:pt>
                <c:pt idx="21">
                  <c:v>República Dominicana</c:v>
                </c:pt>
                <c:pt idx="22">
                  <c:v>Saint Kitts and Nevis</c:v>
                </c:pt>
                <c:pt idx="23">
                  <c:v>Suriname</c:v>
                </c:pt>
                <c:pt idx="24">
                  <c:v>United States of America</c:v>
                </c:pt>
                <c:pt idx="25">
                  <c:v>Uruguay</c:v>
                </c:pt>
                <c:pt idx="26">
                  <c:v>Venezuela</c:v>
                </c:pt>
              </c:strCache>
            </c:strRef>
          </c:cat>
          <c:val>
            <c:numRef>
              <c:f>Sheet1!$B$2:$B$36</c:f>
              <c:numCache>
                <c:formatCode>#,##0</c:formatCode>
                <c:ptCount val="27"/>
                <c:pt idx="0">
                  <c:v>94</c:v>
                </c:pt>
                <c:pt idx="1">
                  <c:v>2</c:v>
                </c:pt>
                <c:pt idx="2">
                  <c:v>13</c:v>
                </c:pt>
                <c:pt idx="3">
                  <c:v>121</c:v>
                </c:pt>
                <c:pt idx="4">
                  <c:v>9</c:v>
                </c:pt>
                <c:pt idx="5">
                  <c:v>62</c:v>
                </c:pt>
                <c:pt idx="6">
                  <c:v>491</c:v>
                </c:pt>
                <c:pt idx="7">
                  <c:v>46</c:v>
                </c:pt>
                <c:pt idx="8">
                  <c:v>2</c:v>
                </c:pt>
                <c:pt idx="9">
                  <c:v>89</c:v>
                </c:pt>
                <c:pt idx="10">
                  <c:v>13</c:v>
                </c:pt>
                <c:pt idx="11">
                  <c:v>24</c:v>
                </c:pt>
                <c:pt idx="12">
                  <c:v>1</c:v>
                </c:pt>
                <c:pt idx="13">
                  <c:v>1</c:v>
                </c:pt>
                <c:pt idx="14">
                  <c:v>25</c:v>
                </c:pt>
                <c:pt idx="15">
                  <c:v>1</c:v>
                </c:pt>
                <c:pt idx="16">
                  <c:v>497</c:v>
                </c:pt>
                <c:pt idx="17">
                  <c:v>6</c:v>
                </c:pt>
                <c:pt idx="18">
                  <c:v>23</c:v>
                </c:pt>
                <c:pt idx="19">
                  <c:v>21</c:v>
                </c:pt>
                <c:pt idx="20">
                  <c:v>239</c:v>
                </c:pt>
                <c:pt idx="21">
                  <c:v>5</c:v>
                </c:pt>
                <c:pt idx="22">
                  <c:v>1</c:v>
                </c:pt>
                <c:pt idx="23">
                  <c:v>2</c:v>
                </c:pt>
                <c:pt idx="24">
                  <c:v>56</c:v>
                </c:pt>
                <c:pt idx="25">
                  <c:v>4</c:v>
                </c:pt>
                <c:pt idx="26">
                  <c:v>16</c:v>
                </c:pt>
              </c:numCache>
            </c:numRef>
          </c:val>
          <c:extLst>
            <c:ext xmlns:c16="http://schemas.microsoft.com/office/drawing/2014/chart" uri="{C3380CC4-5D6E-409C-BE32-E72D297353CC}">
              <c16:uniqueId val="{00000034-AD3F-427E-A942-FD20DF776055}"/>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sz="1200" b="0" i="0">
                <a:latin typeface="Helvetica LT Std Cond" panose="020B0506020202030204" pitchFamily="34" charset="0"/>
              </a:rPr>
              <a:t>Decisions taken regarding petitions in the initial review stage</a:t>
            </a:r>
          </a:p>
          <a:p>
            <a:pPr>
              <a:defRPr sz="1400" b="0">
                <a:latin typeface="Helvetica LT Std Cond" panose="020B0506020202030204" pitchFamily="34" charset="0"/>
              </a:defRPr>
            </a:pPr>
            <a:r>
              <a:rPr lang="en-US" sz="2000" b="1" i="0">
                <a:solidFill>
                  <a:schemeClr val="accent5">
                    <a:lumMod val="75000"/>
                  </a:schemeClr>
                </a:solidFill>
                <a:latin typeface="Helvetica LT Std Cond" panose="020B0506020202030204" pitchFamily="34" charset="0"/>
              </a:rPr>
              <a:t>TOTAL: 2,344</a:t>
            </a:r>
          </a:p>
        </c:rich>
      </c:tx>
      <c:overlay val="1"/>
      <c:spPr>
        <a:noFill/>
        <a:ln>
          <a:noFill/>
        </a:ln>
        <a:effectLst/>
      </c:spPr>
      <c:txPr>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Decisiones</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249-46DF-9BB9-A82E52E2791F}"/>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6249-46DF-9BB9-A82E52E2791F}"/>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6249-46DF-9BB9-A82E52E2791F}"/>
              </c:ext>
            </c:extLst>
          </c:dPt>
          <c:dLbls>
            <c:dLbl>
              <c:idx val="0"/>
              <c:layout>
                <c:manualLayout>
                  <c:x val="0.12820512820512819"/>
                  <c:y val="5.3418803418803402E-2"/>
                </c:manualLayout>
              </c:layout>
              <c:tx>
                <c:rich>
                  <a:bodyPr/>
                  <a:lstStyle/>
                  <a:p>
                    <a:fld id="{A80F6361-C480-8E44-99C8-18D9B50421AC}" type="CATEGORYNAME">
                      <a:rPr lang="en-US" sz="900" b="0" i="0">
                        <a:latin typeface="Helvetica LT Std Cond" panose="020B0506020202030204" pitchFamily="34" charset="0"/>
                      </a:rPr>
                      <a:pPr/>
                      <a:t>[CATEGORY NAME]</a:t>
                    </a:fld>
                    <a:r>
                      <a:rPr lang="en-US"/>
                      <a:t>
</a:t>
                    </a:r>
                    <a:fld id="{6C723B99-230E-1940-AFD6-7957059355D8}" type="PERCENTAGE">
                      <a:rPr lang="en-US" sz="1600" b="1" i="0" baseline="0">
                        <a:solidFill>
                          <a:schemeClr val="accent5">
                            <a:lumMod val="75000"/>
                          </a:schemeClr>
                        </a:solidFill>
                        <a:latin typeface="Helvetica LT Std Cond" panose="020B0506020202030204" pitchFamily="34" charset="0"/>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249-46DF-9BB9-A82E52E2791F}"/>
                </c:ext>
              </c:extLst>
            </c:dLbl>
            <c:dLbl>
              <c:idx val="1"/>
              <c:layout>
                <c:manualLayout>
                  <c:x val="-0.19230769230769232"/>
                  <c:y val="-0.10470085470085486"/>
                </c:manualLayout>
              </c:layout>
              <c:tx>
                <c:rich>
                  <a:bodyPr/>
                  <a:lstStyle/>
                  <a:p>
                    <a:fld id="{045E01D8-0DD4-4241-880B-03DAFF1DA5B9}" type="CATEGORYNAME">
                      <a:rPr lang="en-US" sz="800" b="0" i="0">
                        <a:latin typeface="Helvetica LT Std Cond" panose="020B0506020202030204" pitchFamily="34" charset="0"/>
                      </a:rPr>
                      <a:pPr/>
                      <a:t>[CATEGORY NAME]</a:t>
                    </a:fld>
                    <a:r>
                      <a:rPr lang="en-US" sz="800" b="0" i="0" baseline="0">
                        <a:latin typeface="Helvetica LT Std Cond" panose="020B0506020202030204" pitchFamily="34" charset="0"/>
                      </a:rPr>
                      <a:t>
</a:t>
                    </a:r>
                    <a:fld id="{7610FE4B-98E3-5445-97E1-7C454D0CFAB5}" type="PERCENTAGE">
                      <a:rPr lang="en-US" sz="1600" b="1" i="0" baseline="0">
                        <a:solidFill>
                          <a:schemeClr val="accent5">
                            <a:lumMod val="75000"/>
                          </a:schemeClr>
                        </a:solidFill>
                        <a:latin typeface="Helvetica LT Std Cond" panose="020B0506020202030204" pitchFamily="34" charset="0"/>
                      </a:rPr>
                      <a:pPr/>
                      <a:t>[PERCENTAGE]</a:t>
                    </a:fld>
                    <a:endParaRPr lang="en-US" sz="800" b="0" i="0" baseline="0">
                      <a:latin typeface="Helvetica LT Std Cond" panose="020B050602020203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249-46DF-9BB9-A82E52E2791F}"/>
                </c:ext>
              </c:extLst>
            </c:dLbl>
            <c:dLbl>
              <c:idx val="2"/>
              <c:layout>
                <c:manualLayout>
                  <c:x val="-6.7307692307692346E-2"/>
                  <c:y val="3.3119742243757994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800" b="0" i="0" u="none" strike="noStrike" kern="1200" baseline="0">
                        <a:solidFill>
                          <a:sysClr val="windowText" lastClr="000000">
                            <a:lumMod val="65000"/>
                            <a:lumOff val="35000"/>
                          </a:sysClr>
                        </a:solidFill>
                        <a:latin typeface="Helvetica LT Std Cond" panose="020B0506020202030204" pitchFamily="34" charset="0"/>
                      </a:rPr>
                      <a:t>Request for information</a:t>
                    </a:r>
                    <a:r>
                      <a:rPr lang="en-US" b="0" i="0" baseline="0">
                        <a:latin typeface="Helvetica LT Std Cond" panose="020B0506020202030204" pitchFamily="34" charset="0"/>
                      </a:rPr>
                      <a:t>
</a:t>
                    </a:r>
                    <a:fld id="{1B40AF97-A2E4-D845-94E6-F434501D932B}" type="PERCENTAGE">
                      <a:rPr lang="en-US" sz="1600" b="1" i="0" baseline="0">
                        <a:solidFill>
                          <a:schemeClr val="accent5">
                            <a:lumMod val="75000"/>
                          </a:schemeClr>
                        </a:solidFill>
                        <a:latin typeface="Helvetica LT Std Cond" panose="020B0506020202030204" pitchFamily="34" charset="0"/>
                      </a:rPr>
                      <a:pPr>
                        <a:defRPr/>
                      </a:pPr>
                      <a:t>[PERCENTAGE]</a:t>
                    </a:fld>
                    <a:endParaRPr lang="en-US" b="0" i="0" baseline="0">
                      <a:latin typeface="Helvetica LT Std Cond" panose="020B0506020202030204" pitchFamily="34" charset="0"/>
                    </a:endParaRPr>
                  </a:p>
                </c:rich>
              </c:tx>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771333871727574"/>
                      <c:h val="0.10716232586311325"/>
                    </c:manualLayout>
                  </c15:layout>
                  <c15:dlblFieldTable/>
                  <c15:showDataLabelsRange val="0"/>
                </c:ext>
                <c:ext xmlns:c16="http://schemas.microsoft.com/office/drawing/2014/chart" uri="{C3380CC4-5D6E-409C-BE32-E72D297353CC}">
                  <c16:uniqueId val="{00000005-6249-46DF-9BB9-A82E52E2791F}"/>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Open to processing</c:v>
                </c:pt>
                <c:pt idx="1">
                  <c:v>Not opened for processing</c:v>
                </c:pt>
                <c:pt idx="2">
                  <c:v>Request for information</c:v>
                </c:pt>
              </c:strCache>
            </c:strRef>
          </c:cat>
          <c:val>
            <c:numRef>
              <c:f>Sheet1!$B$2:$B$4</c:f>
              <c:numCache>
                <c:formatCode>#,##0</c:formatCode>
                <c:ptCount val="3"/>
                <c:pt idx="0" formatCode="General">
                  <c:v>340</c:v>
                </c:pt>
                <c:pt idx="1">
                  <c:v>1864</c:v>
                </c:pt>
                <c:pt idx="2" formatCode="General">
                  <c:v>140</c:v>
                </c:pt>
              </c:numCache>
            </c:numRef>
          </c:val>
          <c:extLst>
            <c:ext xmlns:c16="http://schemas.microsoft.com/office/drawing/2014/chart" uri="{C3380CC4-5D6E-409C-BE32-E72D297353CC}">
              <c16:uniqueId val="{00000006-6249-46DF-9BB9-A82E52E2791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6" ma:contentTypeDescription="Create a new document." ma:contentTypeScope="" ma:versionID="41b705fc5f40bd46de411ae7f48cc65e">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e08a90f10db4ac7ad96fd758b52062b9"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6c515e-02a8-4087-b8e1-c0d9bea02763}"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1cd70d-670c-436a-92c3-8ff9adc7eaab">
      <Terms xmlns="http://schemas.microsoft.com/office/infopath/2007/PartnerControls"/>
    </lcf76f155ced4ddcb4097134ff3c332f>
    <TaxCatchAll xmlns="05bff542-d332-425c-8dfd-ceb417fe7363" xsi:nil="true"/>
  </documentManagement>
</p:properties>
</file>

<file path=customXml/itemProps1.xml><?xml version="1.0" encoding="utf-8"?>
<ds:datastoreItem xmlns:ds="http://schemas.openxmlformats.org/officeDocument/2006/customXml" ds:itemID="{322B3EFA-F7C4-4088-A73B-0B07D5608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F486B0-8222-46CA-9456-B45493D30A96}">
  <ds:schemaRefs>
    <ds:schemaRef ds:uri="http://schemas.openxmlformats.org/officeDocument/2006/bibliography"/>
  </ds:schemaRefs>
</ds:datastoreItem>
</file>

<file path=customXml/itemProps3.xml><?xml version="1.0" encoding="utf-8"?>
<ds:datastoreItem xmlns:ds="http://schemas.openxmlformats.org/officeDocument/2006/customXml" ds:itemID="{DEC7E496-1926-4306-90FF-9E2212CB1F61}">
  <ds:schemaRefs>
    <ds:schemaRef ds:uri="http://schemas.microsoft.com/sharepoint/v3/contenttype/forms"/>
  </ds:schemaRefs>
</ds:datastoreItem>
</file>

<file path=customXml/itemProps4.xml><?xml version="1.0" encoding="utf-8"?>
<ds:datastoreItem xmlns:ds="http://schemas.openxmlformats.org/officeDocument/2006/customXml" ds:itemID="{1B341BD1-A9BC-4882-A4C3-9E4D3D2DCE35}">
  <ds:schemaRefs>
    <ds:schemaRef ds:uri="http://schemas.microsoft.com/office/2006/metadata/properties"/>
    <ds:schemaRef ds:uri="http://schemas.microsoft.com/office/infopath/2007/PartnerControls"/>
    <ds:schemaRef ds:uri="1c1cd70d-670c-436a-92c3-8ff9adc7eaab"/>
    <ds:schemaRef ds:uri="05bff542-d332-425c-8dfd-ceb417fe736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99711</Words>
  <Characters>568357</Characters>
  <Application>Microsoft Office Word</Application>
  <DocSecurity>0</DocSecurity>
  <Lines>4736</Lines>
  <Paragraphs>1333</Paragraphs>
  <ScaleCrop>false</ScaleCrop>
  <Company/>
  <LinksUpToDate>false</LinksUpToDate>
  <CharactersWithSpaces>666735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2023-05-23T20:40:00Z</dcterms:created>
  <dcterms:modified xsi:type="dcterms:W3CDTF">2023-05-23T20:41:00Z</dcterms:modified>
</cp:coreProperties>
</file>