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D4287E" w:rsidRDefault="00D306D1" w:rsidP="00627C9F">
      <w:pPr>
        <w:jc w:val="both"/>
        <w:rPr>
          <w:rFonts w:asciiTheme="majorHAnsi" w:hAnsiTheme="majorHAnsi" w:cs="Univers"/>
          <w:b/>
          <w:bCs/>
          <w:sz w:val="22"/>
          <w:szCs w:val="22"/>
          <w:lang w:val="es-AR"/>
        </w:rPr>
      </w:pPr>
      <w:r w:rsidRPr="00D4287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389A25" wp14:editId="717E4C7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4287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96B4963" wp14:editId="43EB25D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01E6358" wp14:editId="18D6002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4277BF28" wp14:editId="06ED399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D4287E" w:rsidRDefault="00040C3A" w:rsidP="00040C3A">
      <w:pPr>
        <w:tabs>
          <w:tab w:val="center" w:pos="5400"/>
        </w:tabs>
        <w:suppressAutoHyphens/>
        <w:jc w:val="both"/>
        <w:rPr>
          <w:rFonts w:asciiTheme="majorHAnsi" w:hAnsiTheme="majorHAnsi"/>
          <w:sz w:val="22"/>
          <w:szCs w:val="22"/>
          <w:lang w:val="es-AR"/>
        </w:rPr>
      </w:pPr>
    </w:p>
    <w:p w:rsidR="00040C3A" w:rsidRPr="00D4287E" w:rsidRDefault="00040C3A" w:rsidP="00040C3A">
      <w:pPr>
        <w:tabs>
          <w:tab w:val="center" w:pos="5400"/>
        </w:tabs>
        <w:suppressAutoHyphens/>
        <w:jc w:val="both"/>
        <w:rPr>
          <w:rFonts w:asciiTheme="majorHAnsi" w:hAnsiTheme="majorHAnsi"/>
          <w:sz w:val="22"/>
          <w:szCs w:val="22"/>
          <w:lang w:val="es-AR"/>
        </w:rPr>
      </w:pPr>
    </w:p>
    <w:p w:rsidR="005128E4" w:rsidRPr="00D4287E" w:rsidRDefault="005128E4" w:rsidP="00040C3A">
      <w:pPr>
        <w:tabs>
          <w:tab w:val="center" w:pos="5400"/>
        </w:tabs>
        <w:suppressAutoHyphens/>
        <w:rPr>
          <w:rFonts w:asciiTheme="majorHAnsi" w:hAnsiTheme="majorHAnsi"/>
          <w:sz w:val="22"/>
          <w:szCs w:val="22"/>
          <w:lang w:val="es-AR"/>
        </w:rPr>
      </w:pPr>
    </w:p>
    <w:p w:rsidR="005128E4" w:rsidRPr="00D4287E" w:rsidRDefault="005128E4" w:rsidP="00040C3A">
      <w:pPr>
        <w:tabs>
          <w:tab w:val="center" w:pos="5400"/>
        </w:tabs>
        <w:suppressAutoHyphens/>
        <w:rPr>
          <w:rFonts w:asciiTheme="majorHAnsi" w:hAnsiTheme="majorHAnsi"/>
          <w:sz w:val="22"/>
          <w:szCs w:val="22"/>
          <w:lang w:val="es-AR"/>
        </w:rPr>
      </w:pPr>
    </w:p>
    <w:p w:rsidR="005128E4" w:rsidRPr="00D4287E" w:rsidRDefault="005128E4" w:rsidP="00040C3A">
      <w:pPr>
        <w:tabs>
          <w:tab w:val="center" w:pos="5400"/>
        </w:tabs>
        <w:suppressAutoHyphens/>
        <w:rPr>
          <w:rFonts w:asciiTheme="majorHAnsi" w:hAnsiTheme="majorHAnsi"/>
          <w:sz w:val="22"/>
          <w:szCs w:val="22"/>
          <w:lang w:val="es-AR"/>
        </w:rPr>
      </w:pPr>
    </w:p>
    <w:p w:rsidR="00040C3A" w:rsidRPr="00D4287E" w:rsidRDefault="00040C3A" w:rsidP="005128E4">
      <w:pPr>
        <w:tabs>
          <w:tab w:val="center" w:pos="5400"/>
        </w:tabs>
        <w:suppressAutoHyphens/>
        <w:jc w:val="center"/>
        <w:rPr>
          <w:rFonts w:asciiTheme="majorHAnsi" w:hAnsiTheme="majorHAnsi"/>
          <w:sz w:val="22"/>
          <w:szCs w:val="22"/>
          <w:lang w:val="es-AR"/>
        </w:rPr>
      </w:pPr>
    </w:p>
    <w:p w:rsidR="00040C3A" w:rsidRPr="00D4287E" w:rsidRDefault="00040C3A" w:rsidP="005128E4">
      <w:pPr>
        <w:tabs>
          <w:tab w:val="center" w:pos="5400"/>
        </w:tabs>
        <w:suppressAutoHyphens/>
        <w:jc w:val="center"/>
        <w:rPr>
          <w:rFonts w:asciiTheme="majorHAnsi" w:hAnsiTheme="majorHAnsi"/>
          <w:sz w:val="22"/>
          <w:szCs w:val="22"/>
          <w:lang w:val="es-AR"/>
        </w:rPr>
      </w:pPr>
    </w:p>
    <w:p w:rsidR="005B52B0" w:rsidRPr="00D4287E" w:rsidRDefault="005B52B0" w:rsidP="005128E4">
      <w:pPr>
        <w:tabs>
          <w:tab w:val="center" w:pos="5400"/>
        </w:tabs>
        <w:suppressAutoHyphens/>
        <w:jc w:val="center"/>
        <w:rPr>
          <w:rFonts w:asciiTheme="majorHAnsi" w:hAnsiTheme="majorHAnsi"/>
          <w:sz w:val="22"/>
          <w:szCs w:val="22"/>
          <w:lang w:val="es-AR"/>
        </w:rPr>
      </w:pPr>
    </w:p>
    <w:p w:rsidR="005B52B0" w:rsidRPr="00D4287E" w:rsidRDefault="005B52B0" w:rsidP="005128E4">
      <w:pPr>
        <w:tabs>
          <w:tab w:val="center" w:pos="5400"/>
        </w:tabs>
        <w:suppressAutoHyphens/>
        <w:jc w:val="center"/>
        <w:rPr>
          <w:rFonts w:asciiTheme="majorHAnsi" w:hAnsiTheme="majorHAnsi"/>
          <w:sz w:val="22"/>
          <w:szCs w:val="22"/>
          <w:lang w:val="es-AR"/>
        </w:rPr>
      </w:pPr>
      <w:bookmarkStart w:id="0" w:name="_GoBack"/>
      <w:bookmarkEnd w:id="0"/>
    </w:p>
    <w:p w:rsidR="005B52B0" w:rsidRPr="00D4287E" w:rsidRDefault="005B52B0" w:rsidP="005128E4">
      <w:pPr>
        <w:tabs>
          <w:tab w:val="center" w:pos="5400"/>
        </w:tabs>
        <w:suppressAutoHyphens/>
        <w:jc w:val="center"/>
        <w:rPr>
          <w:rFonts w:asciiTheme="majorHAnsi" w:hAnsiTheme="majorHAnsi"/>
          <w:sz w:val="22"/>
          <w:szCs w:val="22"/>
          <w:lang w:val="es-AR"/>
        </w:rPr>
      </w:pPr>
    </w:p>
    <w:p w:rsidR="00040C3A" w:rsidRPr="00D4287E" w:rsidRDefault="00040C3A" w:rsidP="00040C3A">
      <w:pPr>
        <w:tabs>
          <w:tab w:val="center" w:pos="5400"/>
        </w:tabs>
        <w:suppressAutoHyphens/>
        <w:jc w:val="center"/>
        <w:rPr>
          <w:rFonts w:asciiTheme="majorHAnsi" w:hAnsiTheme="majorHAnsi"/>
          <w:sz w:val="22"/>
          <w:szCs w:val="22"/>
          <w:lang w:val="es-AR"/>
        </w:rPr>
      </w:pPr>
    </w:p>
    <w:p w:rsidR="00040C3A" w:rsidRPr="00D4287E" w:rsidRDefault="00040C3A" w:rsidP="00040C3A">
      <w:pPr>
        <w:tabs>
          <w:tab w:val="center" w:pos="5400"/>
        </w:tabs>
        <w:suppressAutoHyphens/>
        <w:jc w:val="center"/>
        <w:rPr>
          <w:rFonts w:asciiTheme="majorHAnsi" w:hAnsiTheme="majorHAnsi"/>
          <w:sz w:val="22"/>
          <w:szCs w:val="22"/>
          <w:lang w:val="es-AR"/>
        </w:rPr>
      </w:pPr>
    </w:p>
    <w:p w:rsidR="00040C3A" w:rsidRPr="00D4287E" w:rsidRDefault="003D3BC2" w:rsidP="00040C3A">
      <w:pPr>
        <w:tabs>
          <w:tab w:val="center" w:pos="5400"/>
        </w:tabs>
        <w:suppressAutoHyphens/>
        <w:jc w:val="center"/>
        <w:rPr>
          <w:rFonts w:asciiTheme="majorHAnsi" w:hAnsiTheme="majorHAnsi"/>
          <w:sz w:val="22"/>
          <w:szCs w:val="22"/>
          <w:lang w:val="es-AR"/>
        </w:rPr>
      </w:pPr>
      <w:r w:rsidRPr="00D4287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DEBAF88" wp14:editId="65B9D86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9B7BAF">
                              <w:rPr>
                                <w:rFonts w:asciiTheme="majorHAnsi" w:hAnsiTheme="majorHAnsi" w:cs="Arial"/>
                                <w:b/>
                                <w:bCs/>
                                <w:color w:val="0D0D0D" w:themeColor="text1" w:themeTint="F2"/>
                                <w:sz w:val="36"/>
                                <w:szCs w:val="22"/>
                                <w:lang w:val="es-ES_tradnl"/>
                              </w:rPr>
                              <w:t>30</w:t>
                            </w:r>
                            <w:r w:rsidRPr="004E2649">
                              <w:rPr>
                                <w:rFonts w:asciiTheme="majorHAnsi" w:hAnsiTheme="majorHAnsi" w:cs="Arial"/>
                                <w:b/>
                                <w:bCs/>
                                <w:color w:val="0D0D0D" w:themeColor="text1" w:themeTint="F2"/>
                                <w:sz w:val="36"/>
                                <w:szCs w:val="22"/>
                                <w:lang w:val="es-ES_tradnl"/>
                              </w:rPr>
                              <w:t>/1</w:t>
                            </w:r>
                            <w:r w:rsidR="00164ACD">
                              <w:rPr>
                                <w:rFonts w:asciiTheme="majorHAnsi" w:hAnsiTheme="majorHAnsi" w:cs="Arial"/>
                                <w:b/>
                                <w:bCs/>
                                <w:color w:val="0D0D0D" w:themeColor="text1" w:themeTint="F2"/>
                                <w:sz w:val="36"/>
                                <w:szCs w:val="22"/>
                                <w:lang w:val="es-ES_tradnl"/>
                              </w:rPr>
                              <w:t>5</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F0E2C">
                              <w:rPr>
                                <w:rFonts w:asciiTheme="majorHAnsi" w:hAnsiTheme="majorHAnsi" w:cs="Arial"/>
                                <w:b/>
                                <w:color w:val="0D0D0D" w:themeColor="text1" w:themeTint="F2"/>
                                <w:sz w:val="36"/>
                                <w:szCs w:val="22"/>
                                <w:lang w:val="es-ES_tradnl"/>
                              </w:rPr>
                              <w:t>1263</w:t>
                            </w:r>
                            <w:r w:rsidR="00246D1F" w:rsidRPr="004E2649">
                              <w:rPr>
                                <w:rFonts w:asciiTheme="majorHAnsi" w:hAnsiTheme="majorHAnsi" w:cs="Arial"/>
                                <w:b/>
                                <w:color w:val="0D0D0D" w:themeColor="text1" w:themeTint="F2"/>
                                <w:sz w:val="36"/>
                                <w:szCs w:val="22"/>
                                <w:lang w:val="es-ES_tradnl"/>
                              </w:rPr>
                              <w:t>-</w:t>
                            </w:r>
                            <w:r w:rsidR="004F0E2C">
                              <w:rPr>
                                <w:rFonts w:asciiTheme="majorHAnsi" w:hAnsiTheme="majorHAnsi" w:cs="Arial"/>
                                <w:b/>
                                <w:color w:val="0D0D0D" w:themeColor="text1" w:themeTint="F2"/>
                                <w:sz w:val="36"/>
                                <w:szCs w:val="22"/>
                                <w:lang w:val="es-ES_tradnl"/>
                              </w:rPr>
                              <w:t>08</w:t>
                            </w:r>
                          </w:p>
                          <w:p w:rsidR="004F0E2C" w:rsidRPr="0010736F" w:rsidRDefault="005B52B0" w:rsidP="004F0E2C">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5B52B0" w:rsidRPr="0010736F" w:rsidRDefault="005B52B0" w:rsidP="00997BC5">
                            <w:pPr>
                              <w:spacing w:line="276" w:lineRule="auto"/>
                              <w:rPr>
                                <w:rFonts w:asciiTheme="majorHAnsi" w:hAnsiTheme="majorHAnsi" w:cs="Arial"/>
                                <w:color w:val="0D0D0D" w:themeColor="text1" w:themeTint="F2"/>
                                <w:szCs w:val="22"/>
                                <w:lang w:val="es-ES_tradnl"/>
                              </w:rPr>
                            </w:pP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4F0E2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SANDRA CECILIA PAVEZ PAVEZ</w:t>
                            </w:r>
                          </w:p>
                          <w:bookmarkEnd w:id="1"/>
                          <w:p w:rsidR="005B52B0" w:rsidRPr="0010736F" w:rsidRDefault="004F0E2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9B7BAF">
                        <w:rPr>
                          <w:rFonts w:asciiTheme="majorHAnsi" w:hAnsiTheme="majorHAnsi" w:cs="Arial"/>
                          <w:b/>
                          <w:bCs/>
                          <w:color w:val="0D0D0D" w:themeColor="text1" w:themeTint="F2"/>
                          <w:sz w:val="36"/>
                          <w:szCs w:val="22"/>
                          <w:lang w:val="es-ES_tradnl"/>
                        </w:rPr>
                        <w:t>30</w:t>
                      </w:r>
                      <w:r w:rsidRPr="004E2649">
                        <w:rPr>
                          <w:rFonts w:asciiTheme="majorHAnsi" w:hAnsiTheme="majorHAnsi" w:cs="Arial"/>
                          <w:b/>
                          <w:bCs/>
                          <w:color w:val="0D0D0D" w:themeColor="text1" w:themeTint="F2"/>
                          <w:sz w:val="36"/>
                          <w:szCs w:val="22"/>
                          <w:lang w:val="es-ES_tradnl"/>
                        </w:rPr>
                        <w:t>/1</w:t>
                      </w:r>
                      <w:r w:rsidR="00164ACD">
                        <w:rPr>
                          <w:rFonts w:asciiTheme="majorHAnsi" w:hAnsiTheme="majorHAnsi" w:cs="Arial"/>
                          <w:b/>
                          <w:bCs/>
                          <w:color w:val="0D0D0D" w:themeColor="text1" w:themeTint="F2"/>
                          <w:sz w:val="36"/>
                          <w:szCs w:val="22"/>
                          <w:lang w:val="es-ES_tradnl"/>
                        </w:rPr>
                        <w:t>5</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F0E2C">
                        <w:rPr>
                          <w:rFonts w:asciiTheme="majorHAnsi" w:hAnsiTheme="majorHAnsi" w:cs="Arial"/>
                          <w:b/>
                          <w:color w:val="0D0D0D" w:themeColor="text1" w:themeTint="F2"/>
                          <w:sz w:val="36"/>
                          <w:szCs w:val="22"/>
                          <w:lang w:val="es-ES_tradnl"/>
                        </w:rPr>
                        <w:t>1263</w:t>
                      </w:r>
                      <w:r w:rsidR="00246D1F" w:rsidRPr="004E2649">
                        <w:rPr>
                          <w:rFonts w:asciiTheme="majorHAnsi" w:hAnsiTheme="majorHAnsi" w:cs="Arial"/>
                          <w:b/>
                          <w:color w:val="0D0D0D" w:themeColor="text1" w:themeTint="F2"/>
                          <w:sz w:val="36"/>
                          <w:szCs w:val="22"/>
                          <w:lang w:val="es-ES_tradnl"/>
                        </w:rPr>
                        <w:t>-</w:t>
                      </w:r>
                      <w:r w:rsidR="004F0E2C">
                        <w:rPr>
                          <w:rFonts w:asciiTheme="majorHAnsi" w:hAnsiTheme="majorHAnsi" w:cs="Arial"/>
                          <w:b/>
                          <w:color w:val="0D0D0D" w:themeColor="text1" w:themeTint="F2"/>
                          <w:sz w:val="36"/>
                          <w:szCs w:val="22"/>
                          <w:lang w:val="es-ES_tradnl"/>
                        </w:rPr>
                        <w:t>08</w:t>
                      </w:r>
                    </w:p>
                    <w:p w:rsidR="004F0E2C" w:rsidRPr="0010736F" w:rsidRDefault="005B52B0" w:rsidP="004F0E2C">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5B52B0" w:rsidRPr="0010736F" w:rsidRDefault="005B52B0" w:rsidP="00997BC5">
                      <w:pPr>
                        <w:spacing w:line="276" w:lineRule="auto"/>
                        <w:rPr>
                          <w:rFonts w:asciiTheme="majorHAnsi" w:hAnsiTheme="majorHAnsi" w:cs="Arial"/>
                          <w:color w:val="0D0D0D" w:themeColor="text1" w:themeTint="F2"/>
                          <w:szCs w:val="22"/>
                          <w:lang w:val="es-ES_tradnl"/>
                        </w:rPr>
                      </w:pP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4F0E2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SANDRA CECILIA PAVEZ </w:t>
                      </w:r>
                      <w:proofErr w:type="spellStart"/>
                      <w:r>
                        <w:rPr>
                          <w:rFonts w:asciiTheme="majorHAnsi" w:hAnsiTheme="majorHAnsi" w:cs="Arial"/>
                          <w:color w:val="0D0D0D" w:themeColor="text1" w:themeTint="F2"/>
                          <w:szCs w:val="22"/>
                          <w:lang w:val="es-ES_tradnl"/>
                        </w:rPr>
                        <w:t>PAVEZ</w:t>
                      </w:r>
                      <w:proofErr w:type="spellEnd"/>
                    </w:p>
                    <w:bookmarkEnd w:id="1"/>
                    <w:p w:rsidR="005B52B0" w:rsidRPr="0010736F" w:rsidRDefault="004F0E2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5B52B0" w:rsidRPr="00AE5488" w:rsidRDefault="005B52B0" w:rsidP="007A5817">
                      <w:pPr>
                        <w:rPr>
                          <w:color w:val="0D0D0D" w:themeColor="text1" w:themeTint="F2"/>
                          <w:lang w:val="es-ES_tradnl"/>
                        </w:rPr>
                      </w:pPr>
                    </w:p>
                  </w:txbxContent>
                </v:textbox>
              </v:shape>
            </w:pict>
          </mc:Fallback>
        </mc:AlternateContent>
      </w:r>
      <w:r w:rsidR="004E2649" w:rsidRPr="00D4287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FA7671E" wp14:editId="742BB68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6562E0" w:rsidRDefault="00627C9F" w:rsidP="007A5817">
                            <w:pPr>
                              <w:spacing w:line="276" w:lineRule="auto"/>
                              <w:jc w:val="right"/>
                              <w:rPr>
                                <w:rFonts w:asciiTheme="minorHAnsi" w:hAnsiTheme="minorHAnsi"/>
                                <w:color w:val="FFFFFF" w:themeColor="background1"/>
                                <w:sz w:val="22"/>
                                <w:lang w:val="pt-BR"/>
                              </w:rPr>
                            </w:pPr>
                            <w:r w:rsidRPr="006562E0">
                              <w:rPr>
                                <w:rFonts w:asciiTheme="minorHAnsi" w:hAnsiTheme="minorHAnsi"/>
                                <w:color w:val="FFFFFF" w:themeColor="background1"/>
                                <w:sz w:val="22"/>
                                <w:lang w:val="pt-BR"/>
                              </w:rPr>
                              <w:t>OEA/Ser.L/V/II.15</w:t>
                            </w:r>
                            <w:r w:rsidR="00A36344" w:rsidRPr="006562E0">
                              <w:rPr>
                                <w:rFonts w:asciiTheme="minorHAnsi" w:hAnsiTheme="minorHAnsi"/>
                                <w:color w:val="FFFFFF" w:themeColor="background1"/>
                                <w:sz w:val="22"/>
                                <w:lang w:val="pt-BR"/>
                              </w:rPr>
                              <w:t>5</w:t>
                            </w:r>
                          </w:p>
                          <w:p w:rsidR="00627C9F" w:rsidRPr="006562E0" w:rsidRDefault="00627C9F" w:rsidP="007A5817">
                            <w:pPr>
                              <w:spacing w:line="276" w:lineRule="auto"/>
                              <w:jc w:val="right"/>
                              <w:rPr>
                                <w:rFonts w:asciiTheme="minorHAnsi" w:hAnsiTheme="minorHAnsi"/>
                                <w:color w:val="FFFFFF" w:themeColor="background1"/>
                                <w:sz w:val="22"/>
                                <w:lang w:val="pt-BR"/>
                              </w:rPr>
                            </w:pPr>
                            <w:r w:rsidRPr="006562E0">
                              <w:rPr>
                                <w:rFonts w:asciiTheme="minorHAnsi" w:hAnsiTheme="minorHAnsi"/>
                                <w:color w:val="FFFFFF" w:themeColor="background1"/>
                                <w:sz w:val="22"/>
                                <w:lang w:val="pt-BR"/>
                              </w:rPr>
                              <w:t xml:space="preserve">Doc. </w:t>
                            </w:r>
                            <w:r w:rsidR="009B7BAF">
                              <w:rPr>
                                <w:rFonts w:asciiTheme="minorHAnsi" w:hAnsiTheme="minorHAnsi"/>
                                <w:color w:val="FFFFFF" w:themeColor="background1"/>
                                <w:sz w:val="22"/>
                                <w:lang w:val="pt-BR"/>
                              </w:rPr>
                              <w:t>9</w:t>
                            </w:r>
                          </w:p>
                          <w:p w:rsidR="00627C9F" w:rsidRPr="002011A8" w:rsidRDefault="00D4287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21</w:t>
                            </w:r>
                            <w:r w:rsidR="009B7BAF">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julio</w:t>
                            </w:r>
                            <w:r w:rsidR="00627C9F" w:rsidRPr="002011A8">
                              <w:rPr>
                                <w:rFonts w:asciiTheme="minorHAnsi" w:hAnsiTheme="minorHAnsi"/>
                                <w:color w:val="FFFFFF" w:themeColor="background1"/>
                                <w:sz w:val="22"/>
                                <w:lang w:val="es-ES"/>
                              </w:rPr>
                              <w:t xml:space="preserve"> 201</w:t>
                            </w:r>
                            <w:r w:rsidR="00A36344">
                              <w:rPr>
                                <w:rFonts w:asciiTheme="minorHAnsi" w:hAnsiTheme="minorHAnsi"/>
                                <w:color w:val="FFFFFF" w:themeColor="background1"/>
                                <w:sz w:val="22"/>
                                <w:lang w:val="es-ES"/>
                              </w:rPr>
                              <w:t>5</w:t>
                            </w:r>
                          </w:p>
                          <w:p w:rsidR="00627C9F" w:rsidRPr="002011A8" w:rsidRDefault="00E0340B" w:rsidP="007A5817">
                            <w:pPr>
                              <w:spacing w:line="276" w:lineRule="auto"/>
                              <w:jc w:val="right"/>
                              <w:rPr>
                                <w:rFonts w:asciiTheme="minorHAnsi" w:hAnsiTheme="minorHAnsi"/>
                                <w:color w:val="FFFFFF" w:themeColor="background1"/>
                                <w:sz w:val="22"/>
                                <w:lang w:val="es-ES"/>
                              </w:rPr>
                            </w:pPr>
                            <w:r w:rsidRPr="002011A8">
                              <w:rPr>
                                <w:rFonts w:asciiTheme="minorHAnsi" w:hAnsiTheme="minorHAnsi"/>
                                <w:color w:val="FFFFFF" w:themeColor="background1"/>
                                <w:sz w:val="22"/>
                                <w:lang w:val="es-ES"/>
                              </w:rPr>
                              <w:t xml:space="preserve">Original: </w:t>
                            </w:r>
                            <w:r w:rsidR="008B12F5" w:rsidRPr="002011A8">
                              <w:rPr>
                                <w:rFonts w:asciiTheme="minorHAnsi" w:hAnsiTheme="minorHAnsi"/>
                                <w:color w:val="FFFFFF" w:themeColor="background1"/>
                                <w:sz w:val="22"/>
                                <w:lang w:val="es-ES"/>
                              </w:rPr>
                              <w:t>e</w:t>
                            </w:r>
                            <w:r w:rsidR="00627C9F" w:rsidRPr="002011A8">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6562E0" w:rsidRDefault="00627C9F" w:rsidP="007A5817">
                      <w:pPr>
                        <w:spacing w:line="276" w:lineRule="auto"/>
                        <w:jc w:val="right"/>
                        <w:rPr>
                          <w:rFonts w:asciiTheme="minorHAnsi" w:hAnsiTheme="minorHAnsi"/>
                          <w:color w:val="FFFFFF" w:themeColor="background1"/>
                          <w:sz w:val="22"/>
                          <w:lang w:val="pt-BR"/>
                        </w:rPr>
                      </w:pPr>
                      <w:r w:rsidRPr="006562E0">
                        <w:rPr>
                          <w:rFonts w:asciiTheme="minorHAnsi" w:hAnsiTheme="minorHAnsi"/>
                          <w:color w:val="FFFFFF" w:themeColor="background1"/>
                          <w:sz w:val="22"/>
                          <w:lang w:val="pt-BR"/>
                        </w:rPr>
                        <w:t>OEA/Ser.L/V/II.15</w:t>
                      </w:r>
                      <w:r w:rsidR="00A36344" w:rsidRPr="006562E0">
                        <w:rPr>
                          <w:rFonts w:asciiTheme="minorHAnsi" w:hAnsiTheme="minorHAnsi"/>
                          <w:color w:val="FFFFFF" w:themeColor="background1"/>
                          <w:sz w:val="22"/>
                          <w:lang w:val="pt-BR"/>
                        </w:rPr>
                        <w:t>5</w:t>
                      </w:r>
                    </w:p>
                    <w:p w:rsidR="00627C9F" w:rsidRPr="006562E0" w:rsidRDefault="00627C9F" w:rsidP="007A5817">
                      <w:pPr>
                        <w:spacing w:line="276" w:lineRule="auto"/>
                        <w:jc w:val="right"/>
                        <w:rPr>
                          <w:rFonts w:asciiTheme="minorHAnsi" w:hAnsiTheme="minorHAnsi"/>
                          <w:color w:val="FFFFFF" w:themeColor="background1"/>
                          <w:sz w:val="22"/>
                          <w:lang w:val="pt-BR"/>
                        </w:rPr>
                      </w:pPr>
                      <w:r w:rsidRPr="006562E0">
                        <w:rPr>
                          <w:rFonts w:asciiTheme="minorHAnsi" w:hAnsiTheme="minorHAnsi"/>
                          <w:color w:val="FFFFFF" w:themeColor="background1"/>
                          <w:sz w:val="22"/>
                          <w:lang w:val="pt-BR"/>
                        </w:rPr>
                        <w:t xml:space="preserve">Doc. </w:t>
                      </w:r>
                      <w:r w:rsidR="009B7BAF">
                        <w:rPr>
                          <w:rFonts w:asciiTheme="minorHAnsi" w:hAnsiTheme="minorHAnsi"/>
                          <w:color w:val="FFFFFF" w:themeColor="background1"/>
                          <w:sz w:val="22"/>
                          <w:lang w:val="pt-BR"/>
                        </w:rPr>
                        <w:t>9</w:t>
                      </w:r>
                    </w:p>
                    <w:p w:rsidR="00627C9F" w:rsidRPr="002011A8" w:rsidRDefault="00D4287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21</w:t>
                      </w:r>
                      <w:r w:rsidR="009B7BAF">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julio</w:t>
                      </w:r>
                      <w:r w:rsidR="00627C9F" w:rsidRPr="002011A8">
                        <w:rPr>
                          <w:rFonts w:asciiTheme="minorHAnsi" w:hAnsiTheme="minorHAnsi"/>
                          <w:color w:val="FFFFFF" w:themeColor="background1"/>
                          <w:sz w:val="22"/>
                          <w:lang w:val="es-ES"/>
                        </w:rPr>
                        <w:t xml:space="preserve"> 201</w:t>
                      </w:r>
                      <w:r w:rsidR="00A36344">
                        <w:rPr>
                          <w:rFonts w:asciiTheme="minorHAnsi" w:hAnsiTheme="minorHAnsi"/>
                          <w:color w:val="FFFFFF" w:themeColor="background1"/>
                          <w:sz w:val="22"/>
                          <w:lang w:val="es-ES"/>
                        </w:rPr>
                        <w:t>5</w:t>
                      </w:r>
                    </w:p>
                    <w:p w:rsidR="00627C9F" w:rsidRPr="002011A8" w:rsidRDefault="00E0340B" w:rsidP="007A5817">
                      <w:pPr>
                        <w:spacing w:line="276" w:lineRule="auto"/>
                        <w:jc w:val="right"/>
                        <w:rPr>
                          <w:rFonts w:asciiTheme="minorHAnsi" w:hAnsiTheme="minorHAnsi"/>
                          <w:color w:val="FFFFFF" w:themeColor="background1"/>
                          <w:sz w:val="22"/>
                          <w:lang w:val="es-ES"/>
                        </w:rPr>
                      </w:pPr>
                      <w:r w:rsidRPr="002011A8">
                        <w:rPr>
                          <w:rFonts w:asciiTheme="minorHAnsi" w:hAnsiTheme="minorHAnsi"/>
                          <w:color w:val="FFFFFF" w:themeColor="background1"/>
                          <w:sz w:val="22"/>
                          <w:lang w:val="es-ES"/>
                        </w:rPr>
                        <w:t xml:space="preserve">Original: </w:t>
                      </w:r>
                      <w:r w:rsidR="008B12F5" w:rsidRPr="002011A8">
                        <w:rPr>
                          <w:rFonts w:asciiTheme="minorHAnsi" w:hAnsiTheme="minorHAnsi"/>
                          <w:color w:val="FFFFFF" w:themeColor="background1"/>
                          <w:sz w:val="22"/>
                          <w:lang w:val="es-ES"/>
                        </w:rPr>
                        <w:t>e</w:t>
                      </w:r>
                      <w:r w:rsidR="00627C9F" w:rsidRPr="002011A8">
                        <w:rPr>
                          <w:rFonts w:asciiTheme="minorHAnsi" w:hAnsiTheme="minorHAnsi"/>
                          <w:color w:val="FFFFFF" w:themeColor="background1"/>
                          <w:sz w:val="22"/>
                          <w:lang w:val="es-ES"/>
                        </w:rPr>
                        <w:t>spañol</w:t>
                      </w:r>
                    </w:p>
                  </w:txbxContent>
                </v:textbox>
              </v:shape>
            </w:pict>
          </mc:Fallback>
        </mc:AlternateContent>
      </w:r>
    </w:p>
    <w:p w:rsidR="00040C3A" w:rsidRPr="00D4287E" w:rsidRDefault="00040C3A" w:rsidP="00040C3A">
      <w:pPr>
        <w:tabs>
          <w:tab w:val="center" w:pos="5400"/>
        </w:tabs>
        <w:suppressAutoHyphens/>
        <w:jc w:val="center"/>
        <w:rPr>
          <w:rFonts w:asciiTheme="majorHAnsi" w:hAnsiTheme="majorHAnsi"/>
          <w:sz w:val="22"/>
          <w:szCs w:val="22"/>
          <w:lang w:val="es-AR"/>
        </w:rPr>
      </w:pPr>
    </w:p>
    <w:p w:rsidR="00040C3A" w:rsidRPr="00D4287E" w:rsidRDefault="00040C3A" w:rsidP="00040C3A">
      <w:pPr>
        <w:tabs>
          <w:tab w:val="center" w:pos="5400"/>
        </w:tabs>
        <w:suppressAutoHyphens/>
        <w:jc w:val="center"/>
        <w:rPr>
          <w:rFonts w:asciiTheme="majorHAnsi" w:hAnsiTheme="majorHAnsi"/>
          <w:sz w:val="22"/>
          <w:szCs w:val="22"/>
          <w:lang w:val="es-AR"/>
        </w:rPr>
      </w:pPr>
    </w:p>
    <w:p w:rsidR="00040C3A" w:rsidRPr="00D4287E" w:rsidRDefault="00040C3A" w:rsidP="00040C3A">
      <w:pPr>
        <w:tabs>
          <w:tab w:val="center" w:pos="5400"/>
        </w:tabs>
        <w:suppressAutoHyphens/>
        <w:jc w:val="center"/>
        <w:rPr>
          <w:rFonts w:asciiTheme="majorHAnsi" w:hAnsiTheme="majorHAnsi" w:cs="Arial"/>
          <w:sz w:val="22"/>
          <w:szCs w:val="22"/>
          <w:lang w:val="es-AR"/>
        </w:rPr>
      </w:pPr>
    </w:p>
    <w:p w:rsidR="00040C3A" w:rsidRPr="00D4287E" w:rsidRDefault="00040C3A" w:rsidP="00040C3A">
      <w:pPr>
        <w:tabs>
          <w:tab w:val="center" w:pos="5400"/>
        </w:tabs>
        <w:suppressAutoHyphens/>
        <w:jc w:val="center"/>
        <w:rPr>
          <w:rFonts w:asciiTheme="majorHAnsi" w:hAnsiTheme="majorHAnsi"/>
          <w:sz w:val="22"/>
          <w:szCs w:val="22"/>
          <w:lang w:val="es-AR"/>
        </w:rPr>
      </w:pPr>
    </w:p>
    <w:p w:rsidR="00040C3A" w:rsidRPr="00D4287E" w:rsidRDefault="00040C3A" w:rsidP="00040C3A">
      <w:pPr>
        <w:tabs>
          <w:tab w:val="center" w:pos="5400"/>
        </w:tabs>
        <w:suppressAutoHyphens/>
        <w:jc w:val="center"/>
        <w:rPr>
          <w:rFonts w:asciiTheme="majorHAnsi" w:hAnsiTheme="majorHAnsi"/>
          <w:sz w:val="22"/>
          <w:szCs w:val="22"/>
          <w:lang w:val="es-AR"/>
        </w:rPr>
      </w:pPr>
    </w:p>
    <w:p w:rsidR="00040C3A" w:rsidRPr="00D4287E" w:rsidRDefault="00040C3A" w:rsidP="00040C3A">
      <w:pPr>
        <w:tabs>
          <w:tab w:val="center" w:pos="5400"/>
        </w:tabs>
        <w:suppressAutoHyphens/>
        <w:jc w:val="center"/>
        <w:rPr>
          <w:rFonts w:asciiTheme="majorHAnsi" w:hAnsiTheme="majorHAnsi"/>
          <w:sz w:val="22"/>
          <w:szCs w:val="22"/>
          <w:lang w:val="es-AR"/>
        </w:rPr>
      </w:pPr>
    </w:p>
    <w:p w:rsidR="00040C3A" w:rsidRPr="00D4287E" w:rsidRDefault="00040C3A" w:rsidP="00040C3A">
      <w:pPr>
        <w:tabs>
          <w:tab w:val="center" w:pos="5400"/>
        </w:tabs>
        <w:suppressAutoHyphens/>
        <w:jc w:val="center"/>
        <w:rPr>
          <w:rFonts w:asciiTheme="majorHAnsi" w:hAnsiTheme="majorHAnsi"/>
          <w:sz w:val="22"/>
          <w:szCs w:val="22"/>
          <w:lang w:val="es-AR"/>
        </w:rPr>
      </w:pPr>
    </w:p>
    <w:p w:rsidR="005128E4" w:rsidRPr="00D4287E" w:rsidRDefault="005128E4" w:rsidP="00040C3A">
      <w:pPr>
        <w:tabs>
          <w:tab w:val="center" w:pos="5400"/>
        </w:tabs>
        <w:suppressAutoHyphens/>
        <w:jc w:val="center"/>
        <w:rPr>
          <w:rFonts w:asciiTheme="majorHAnsi" w:hAnsiTheme="majorHAnsi"/>
          <w:sz w:val="22"/>
          <w:szCs w:val="22"/>
          <w:lang w:val="es-AR"/>
        </w:rPr>
      </w:pPr>
    </w:p>
    <w:p w:rsidR="00040C3A" w:rsidRPr="00D4287E" w:rsidRDefault="00040C3A" w:rsidP="00040C3A">
      <w:pPr>
        <w:tabs>
          <w:tab w:val="center" w:pos="5400"/>
        </w:tabs>
        <w:suppressAutoHyphens/>
        <w:jc w:val="center"/>
        <w:rPr>
          <w:rFonts w:asciiTheme="majorHAnsi" w:hAnsiTheme="majorHAnsi"/>
          <w:sz w:val="22"/>
          <w:szCs w:val="22"/>
          <w:lang w:val="es-AR"/>
        </w:rPr>
      </w:pPr>
    </w:p>
    <w:p w:rsidR="005128E4" w:rsidRPr="00D4287E" w:rsidRDefault="005128E4" w:rsidP="00040C3A">
      <w:pPr>
        <w:tabs>
          <w:tab w:val="center" w:pos="5400"/>
        </w:tabs>
        <w:suppressAutoHyphens/>
        <w:jc w:val="center"/>
        <w:rPr>
          <w:rFonts w:asciiTheme="majorHAnsi" w:hAnsiTheme="majorHAnsi"/>
          <w:sz w:val="22"/>
          <w:szCs w:val="22"/>
          <w:lang w:val="es-AR"/>
        </w:rPr>
      </w:pPr>
    </w:p>
    <w:p w:rsidR="005128E4" w:rsidRPr="00D4287E" w:rsidRDefault="005128E4" w:rsidP="00040C3A">
      <w:pPr>
        <w:tabs>
          <w:tab w:val="center" w:pos="5400"/>
        </w:tabs>
        <w:suppressAutoHyphens/>
        <w:jc w:val="center"/>
        <w:rPr>
          <w:rFonts w:asciiTheme="majorHAnsi" w:hAnsiTheme="majorHAnsi"/>
          <w:sz w:val="22"/>
          <w:szCs w:val="22"/>
          <w:lang w:val="es-AR"/>
        </w:rPr>
      </w:pPr>
    </w:p>
    <w:p w:rsidR="005128E4" w:rsidRPr="00D4287E" w:rsidRDefault="005128E4" w:rsidP="00040C3A">
      <w:pPr>
        <w:tabs>
          <w:tab w:val="center" w:pos="5400"/>
        </w:tabs>
        <w:suppressAutoHyphens/>
        <w:jc w:val="center"/>
        <w:rPr>
          <w:rFonts w:asciiTheme="majorHAnsi" w:hAnsiTheme="majorHAnsi"/>
          <w:sz w:val="22"/>
          <w:szCs w:val="22"/>
          <w:lang w:val="es-AR"/>
        </w:rPr>
      </w:pPr>
    </w:p>
    <w:p w:rsidR="00040C3A" w:rsidRPr="00D4287E" w:rsidRDefault="00040C3A" w:rsidP="00040C3A">
      <w:pPr>
        <w:tabs>
          <w:tab w:val="center" w:pos="5400"/>
        </w:tabs>
        <w:suppressAutoHyphens/>
        <w:jc w:val="center"/>
        <w:rPr>
          <w:rFonts w:asciiTheme="majorHAnsi" w:hAnsiTheme="majorHAnsi"/>
          <w:sz w:val="22"/>
          <w:szCs w:val="22"/>
          <w:lang w:val="es-AR"/>
        </w:rPr>
      </w:pPr>
    </w:p>
    <w:p w:rsidR="00040C3A" w:rsidRPr="00D4287E" w:rsidRDefault="00040C3A" w:rsidP="00040C3A">
      <w:pPr>
        <w:tabs>
          <w:tab w:val="center" w:pos="5400"/>
        </w:tabs>
        <w:suppressAutoHyphens/>
        <w:jc w:val="center"/>
        <w:rPr>
          <w:rFonts w:asciiTheme="majorHAnsi" w:hAnsiTheme="majorHAnsi"/>
          <w:sz w:val="22"/>
          <w:szCs w:val="22"/>
          <w:lang w:val="es-AR"/>
        </w:rPr>
      </w:pPr>
    </w:p>
    <w:p w:rsidR="00A50FCF" w:rsidRPr="00D4287E" w:rsidRDefault="00A50FCF" w:rsidP="00040C3A">
      <w:pPr>
        <w:tabs>
          <w:tab w:val="center" w:pos="5400"/>
        </w:tabs>
        <w:suppressAutoHyphens/>
        <w:jc w:val="center"/>
        <w:rPr>
          <w:rFonts w:asciiTheme="majorHAnsi" w:hAnsiTheme="majorHAnsi"/>
          <w:sz w:val="18"/>
          <w:szCs w:val="22"/>
          <w:lang w:val="es-AR"/>
        </w:rPr>
      </w:pPr>
    </w:p>
    <w:p w:rsidR="00A50FCF" w:rsidRPr="00D4287E" w:rsidRDefault="00A50FCF" w:rsidP="00040C3A">
      <w:pPr>
        <w:tabs>
          <w:tab w:val="center" w:pos="5400"/>
        </w:tabs>
        <w:suppressAutoHyphens/>
        <w:jc w:val="center"/>
        <w:rPr>
          <w:rFonts w:asciiTheme="majorHAnsi" w:hAnsiTheme="majorHAnsi"/>
          <w:sz w:val="18"/>
          <w:szCs w:val="22"/>
          <w:lang w:val="es-AR"/>
        </w:rPr>
      </w:pPr>
    </w:p>
    <w:p w:rsidR="00A50FCF" w:rsidRPr="00D4287E" w:rsidRDefault="00A50FCF" w:rsidP="00040C3A">
      <w:pPr>
        <w:tabs>
          <w:tab w:val="center" w:pos="5400"/>
        </w:tabs>
        <w:suppressAutoHyphens/>
        <w:jc w:val="center"/>
        <w:rPr>
          <w:rFonts w:asciiTheme="majorHAnsi" w:hAnsiTheme="majorHAnsi"/>
          <w:sz w:val="18"/>
          <w:szCs w:val="22"/>
          <w:lang w:val="es-AR"/>
        </w:rPr>
      </w:pPr>
    </w:p>
    <w:p w:rsidR="00A50FCF" w:rsidRPr="00D4287E" w:rsidRDefault="00A50FCF" w:rsidP="00040C3A">
      <w:pPr>
        <w:tabs>
          <w:tab w:val="center" w:pos="5400"/>
        </w:tabs>
        <w:suppressAutoHyphens/>
        <w:jc w:val="center"/>
        <w:rPr>
          <w:rFonts w:asciiTheme="majorHAnsi" w:hAnsiTheme="majorHAnsi"/>
          <w:sz w:val="18"/>
          <w:szCs w:val="22"/>
          <w:lang w:val="es-AR"/>
        </w:rPr>
      </w:pPr>
    </w:p>
    <w:p w:rsidR="00A50FCF" w:rsidRPr="00D4287E" w:rsidRDefault="00A50FCF" w:rsidP="00040C3A">
      <w:pPr>
        <w:tabs>
          <w:tab w:val="center" w:pos="5400"/>
        </w:tabs>
        <w:suppressAutoHyphens/>
        <w:jc w:val="center"/>
        <w:rPr>
          <w:rFonts w:asciiTheme="majorHAnsi" w:hAnsiTheme="majorHAnsi"/>
          <w:sz w:val="18"/>
          <w:szCs w:val="22"/>
          <w:lang w:val="es-AR"/>
        </w:rPr>
      </w:pPr>
    </w:p>
    <w:p w:rsidR="00A50FCF" w:rsidRPr="00D4287E" w:rsidRDefault="00A50FCF" w:rsidP="00040C3A">
      <w:pPr>
        <w:tabs>
          <w:tab w:val="center" w:pos="5400"/>
        </w:tabs>
        <w:suppressAutoHyphens/>
        <w:jc w:val="center"/>
        <w:rPr>
          <w:rFonts w:asciiTheme="majorHAnsi" w:hAnsiTheme="majorHAnsi"/>
          <w:sz w:val="18"/>
          <w:szCs w:val="22"/>
          <w:lang w:val="es-AR"/>
        </w:rPr>
      </w:pPr>
    </w:p>
    <w:p w:rsidR="00A50FCF" w:rsidRPr="00D4287E" w:rsidRDefault="00A50FCF" w:rsidP="00040C3A">
      <w:pPr>
        <w:tabs>
          <w:tab w:val="center" w:pos="5400"/>
        </w:tabs>
        <w:suppressAutoHyphens/>
        <w:jc w:val="center"/>
        <w:rPr>
          <w:rFonts w:asciiTheme="majorHAnsi" w:hAnsiTheme="majorHAnsi"/>
          <w:sz w:val="18"/>
          <w:szCs w:val="22"/>
          <w:lang w:val="es-AR"/>
        </w:rPr>
      </w:pPr>
    </w:p>
    <w:p w:rsidR="00A50FCF" w:rsidRPr="00D4287E" w:rsidRDefault="00A50FCF" w:rsidP="00040C3A">
      <w:pPr>
        <w:tabs>
          <w:tab w:val="center" w:pos="5400"/>
        </w:tabs>
        <w:suppressAutoHyphens/>
        <w:jc w:val="center"/>
        <w:rPr>
          <w:rFonts w:asciiTheme="majorHAnsi" w:hAnsiTheme="majorHAnsi"/>
          <w:sz w:val="18"/>
          <w:szCs w:val="22"/>
          <w:lang w:val="es-AR"/>
        </w:rPr>
      </w:pPr>
    </w:p>
    <w:p w:rsidR="00A50FCF" w:rsidRPr="00D4287E" w:rsidRDefault="00A50FCF" w:rsidP="00040C3A">
      <w:pPr>
        <w:tabs>
          <w:tab w:val="center" w:pos="5400"/>
        </w:tabs>
        <w:suppressAutoHyphens/>
        <w:jc w:val="center"/>
        <w:rPr>
          <w:rFonts w:asciiTheme="majorHAnsi" w:hAnsiTheme="majorHAnsi"/>
          <w:sz w:val="18"/>
          <w:szCs w:val="22"/>
          <w:lang w:val="es-AR"/>
        </w:rPr>
      </w:pPr>
    </w:p>
    <w:p w:rsidR="00A50FCF" w:rsidRPr="00D4287E" w:rsidRDefault="00A50FCF" w:rsidP="00040C3A">
      <w:pPr>
        <w:tabs>
          <w:tab w:val="center" w:pos="5400"/>
        </w:tabs>
        <w:suppressAutoHyphens/>
        <w:jc w:val="center"/>
        <w:rPr>
          <w:rFonts w:asciiTheme="majorHAnsi" w:hAnsiTheme="majorHAnsi"/>
          <w:sz w:val="18"/>
          <w:szCs w:val="22"/>
          <w:lang w:val="es-AR"/>
        </w:rPr>
      </w:pPr>
    </w:p>
    <w:p w:rsidR="00A50FCF" w:rsidRPr="00D4287E" w:rsidRDefault="00A50FCF" w:rsidP="00040C3A">
      <w:pPr>
        <w:tabs>
          <w:tab w:val="center" w:pos="5400"/>
        </w:tabs>
        <w:suppressAutoHyphens/>
        <w:jc w:val="center"/>
        <w:rPr>
          <w:rFonts w:asciiTheme="majorHAnsi" w:hAnsiTheme="majorHAnsi"/>
          <w:sz w:val="18"/>
          <w:szCs w:val="22"/>
          <w:lang w:val="es-AR"/>
        </w:rPr>
      </w:pPr>
    </w:p>
    <w:p w:rsidR="00A50FCF" w:rsidRPr="00D4287E" w:rsidRDefault="00A50FCF" w:rsidP="00040C3A">
      <w:pPr>
        <w:tabs>
          <w:tab w:val="center" w:pos="5400"/>
        </w:tabs>
        <w:suppressAutoHyphens/>
        <w:jc w:val="center"/>
        <w:rPr>
          <w:rFonts w:asciiTheme="majorHAnsi" w:hAnsiTheme="majorHAnsi"/>
          <w:sz w:val="18"/>
          <w:szCs w:val="22"/>
          <w:lang w:val="es-AR"/>
        </w:rPr>
      </w:pPr>
    </w:p>
    <w:p w:rsidR="00A50FCF" w:rsidRPr="00D4287E" w:rsidRDefault="00A50FCF" w:rsidP="00040C3A">
      <w:pPr>
        <w:tabs>
          <w:tab w:val="center" w:pos="5400"/>
        </w:tabs>
        <w:suppressAutoHyphens/>
        <w:jc w:val="center"/>
        <w:rPr>
          <w:rFonts w:asciiTheme="majorHAnsi" w:hAnsiTheme="majorHAnsi"/>
          <w:sz w:val="18"/>
          <w:szCs w:val="22"/>
          <w:lang w:val="es-AR"/>
        </w:rPr>
      </w:pPr>
    </w:p>
    <w:p w:rsidR="00A50FCF" w:rsidRPr="00D4287E" w:rsidRDefault="00A50FCF" w:rsidP="00040C3A">
      <w:pPr>
        <w:tabs>
          <w:tab w:val="center" w:pos="5400"/>
        </w:tabs>
        <w:suppressAutoHyphens/>
        <w:jc w:val="center"/>
        <w:rPr>
          <w:rFonts w:asciiTheme="majorHAnsi" w:hAnsiTheme="majorHAnsi"/>
          <w:sz w:val="18"/>
          <w:szCs w:val="22"/>
          <w:lang w:val="es-AR"/>
        </w:rPr>
      </w:pPr>
    </w:p>
    <w:p w:rsidR="00A50FCF" w:rsidRPr="00D4287E" w:rsidRDefault="0090270B" w:rsidP="00040C3A">
      <w:pPr>
        <w:tabs>
          <w:tab w:val="center" w:pos="5400"/>
        </w:tabs>
        <w:suppressAutoHyphens/>
        <w:jc w:val="center"/>
        <w:rPr>
          <w:rFonts w:asciiTheme="majorHAnsi" w:hAnsiTheme="majorHAnsi"/>
          <w:sz w:val="18"/>
          <w:szCs w:val="22"/>
          <w:lang w:val="es-AR"/>
        </w:rPr>
      </w:pPr>
      <w:r w:rsidRPr="00D4287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7112D4C" wp14:editId="590395F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9B7BAF">
                              <w:rPr>
                                <w:rFonts w:asciiTheme="majorHAnsi" w:hAnsiTheme="majorHAnsi"/>
                                <w:color w:val="0D0D0D" w:themeColor="text1" w:themeTint="F2"/>
                                <w:sz w:val="18"/>
                                <w:szCs w:val="20"/>
                                <w:lang w:val="es-ES"/>
                              </w:rPr>
                              <w:t>2034</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9B7BAF">
                              <w:rPr>
                                <w:rFonts w:asciiTheme="majorHAnsi" w:hAnsiTheme="majorHAnsi"/>
                                <w:color w:val="0D0D0D" w:themeColor="text1" w:themeTint="F2"/>
                                <w:sz w:val="18"/>
                                <w:szCs w:val="20"/>
                                <w:lang w:val="es-ES"/>
                              </w:rPr>
                              <w:t>21</w:t>
                            </w:r>
                            <w:r w:rsidRPr="00890650">
                              <w:rPr>
                                <w:rFonts w:asciiTheme="majorHAnsi" w:hAnsiTheme="majorHAnsi"/>
                                <w:color w:val="0D0D0D" w:themeColor="text1" w:themeTint="F2"/>
                                <w:sz w:val="18"/>
                                <w:szCs w:val="20"/>
                                <w:lang w:val="es-ES"/>
                              </w:rPr>
                              <w:t xml:space="preserve"> de </w:t>
                            </w:r>
                            <w:r w:rsidR="00A36344">
                              <w:rPr>
                                <w:rFonts w:asciiTheme="majorHAnsi" w:hAnsiTheme="majorHAnsi"/>
                                <w:color w:val="0D0D0D" w:themeColor="text1" w:themeTint="F2"/>
                                <w:sz w:val="18"/>
                                <w:szCs w:val="20"/>
                                <w:lang w:val="es-ES"/>
                              </w:rPr>
                              <w:t>julio</w:t>
                            </w:r>
                            <w:r w:rsidR="002011A8">
                              <w:rPr>
                                <w:rFonts w:asciiTheme="majorHAnsi" w:hAnsiTheme="majorHAnsi"/>
                                <w:color w:val="0D0D0D" w:themeColor="text1" w:themeTint="F2"/>
                                <w:sz w:val="18"/>
                                <w:szCs w:val="20"/>
                                <w:lang w:val="es-ES"/>
                              </w:rPr>
                              <w:t xml:space="preserve"> </w:t>
                            </w:r>
                            <w:r w:rsidR="00A36344">
                              <w:rPr>
                                <w:rFonts w:asciiTheme="majorHAnsi" w:hAnsiTheme="majorHAnsi"/>
                                <w:color w:val="0D0D0D" w:themeColor="text1" w:themeTint="F2"/>
                                <w:sz w:val="18"/>
                                <w:szCs w:val="20"/>
                                <w:lang w:val="es-ES"/>
                              </w:rPr>
                              <w:t>de 2015</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A36344">
                              <w:rPr>
                                <w:rFonts w:asciiTheme="majorHAnsi" w:hAnsiTheme="majorHAnsi" w:cs="Univers"/>
                                <w:color w:val="0D0D0D" w:themeColor="text1" w:themeTint="F2"/>
                                <w:sz w:val="18"/>
                                <w:szCs w:val="20"/>
                                <w:lang w:val="es-ES_tradnl"/>
                              </w:rPr>
                              <w:t>5</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CA6879">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9B7BAF">
                        <w:rPr>
                          <w:rFonts w:asciiTheme="majorHAnsi" w:hAnsiTheme="majorHAnsi"/>
                          <w:color w:val="0D0D0D" w:themeColor="text1" w:themeTint="F2"/>
                          <w:sz w:val="18"/>
                          <w:szCs w:val="20"/>
                          <w:lang w:val="es-ES"/>
                        </w:rPr>
                        <w:t>2034</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9B7BAF">
                        <w:rPr>
                          <w:rFonts w:asciiTheme="majorHAnsi" w:hAnsiTheme="majorHAnsi"/>
                          <w:color w:val="0D0D0D" w:themeColor="text1" w:themeTint="F2"/>
                          <w:sz w:val="18"/>
                          <w:szCs w:val="20"/>
                          <w:lang w:val="es-ES"/>
                        </w:rPr>
                        <w:t>21</w:t>
                      </w:r>
                      <w:r w:rsidRPr="00890650">
                        <w:rPr>
                          <w:rFonts w:asciiTheme="majorHAnsi" w:hAnsiTheme="majorHAnsi"/>
                          <w:color w:val="0D0D0D" w:themeColor="text1" w:themeTint="F2"/>
                          <w:sz w:val="18"/>
                          <w:szCs w:val="20"/>
                          <w:lang w:val="es-ES"/>
                        </w:rPr>
                        <w:t xml:space="preserve"> de </w:t>
                      </w:r>
                      <w:r w:rsidR="00A36344">
                        <w:rPr>
                          <w:rFonts w:asciiTheme="majorHAnsi" w:hAnsiTheme="majorHAnsi"/>
                          <w:color w:val="0D0D0D" w:themeColor="text1" w:themeTint="F2"/>
                          <w:sz w:val="18"/>
                          <w:szCs w:val="20"/>
                          <w:lang w:val="es-ES"/>
                        </w:rPr>
                        <w:t>julio</w:t>
                      </w:r>
                      <w:r w:rsidR="002011A8">
                        <w:rPr>
                          <w:rFonts w:asciiTheme="majorHAnsi" w:hAnsiTheme="majorHAnsi"/>
                          <w:color w:val="0D0D0D" w:themeColor="text1" w:themeTint="F2"/>
                          <w:sz w:val="18"/>
                          <w:szCs w:val="20"/>
                          <w:lang w:val="es-ES"/>
                        </w:rPr>
                        <w:t xml:space="preserve"> </w:t>
                      </w:r>
                      <w:r w:rsidR="00A36344">
                        <w:rPr>
                          <w:rFonts w:asciiTheme="majorHAnsi" w:hAnsiTheme="majorHAnsi"/>
                          <w:color w:val="0D0D0D" w:themeColor="text1" w:themeTint="F2"/>
                          <w:sz w:val="18"/>
                          <w:szCs w:val="20"/>
                          <w:lang w:val="es-ES"/>
                        </w:rPr>
                        <w:t>de 2015</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A36344">
                        <w:rPr>
                          <w:rFonts w:asciiTheme="majorHAnsi" w:hAnsiTheme="majorHAnsi" w:cs="Univers"/>
                          <w:color w:val="0D0D0D" w:themeColor="text1" w:themeTint="F2"/>
                          <w:sz w:val="18"/>
                          <w:szCs w:val="20"/>
                          <w:lang w:val="es-ES_tradnl"/>
                        </w:rPr>
                        <w:t>5</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CA6879">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D4287E" w:rsidRDefault="00A50FCF" w:rsidP="00040C3A">
      <w:pPr>
        <w:tabs>
          <w:tab w:val="center" w:pos="5400"/>
        </w:tabs>
        <w:suppressAutoHyphens/>
        <w:jc w:val="center"/>
        <w:rPr>
          <w:rFonts w:asciiTheme="majorHAnsi" w:hAnsiTheme="majorHAnsi"/>
          <w:sz w:val="18"/>
          <w:szCs w:val="22"/>
          <w:lang w:val="es-AR"/>
        </w:rPr>
      </w:pPr>
    </w:p>
    <w:p w:rsidR="00A50FCF" w:rsidRPr="00D4287E" w:rsidRDefault="00A50FCF" w:rsidP="00040C3A">
      <w:pPr>
        <w:tabs>
          <w:tab w:val="center" w:pos="5400"/>
        </w:tabs>
        <w:suppressAutoHyphens/>
        <w:jc w:val="center"/>
        <w:rPr>
          <w:rFonts w:asciiTheme="majorHAnsi" w:hAnsiTheme="majorHAnsi"/>
          <w:sz w:val="18"/>
          <w:szCs w:val="22"/>
          <w:lang w:val="es-AR"/>
        </w:rPr>
      </w:pPr>
    </w:p>
    <w:p w:rsidR="00A50FCF" w:rsidRPr="00D4287E" w:rsidRDefault="00A50FCF" w:rsidP="00040C3A">
      <w:pPr>
        <w:tabs>
          <w:tab w:val="center" w:pos="5400"/>
        </w:tabs>
        <w:suppressAutoHyphens/>
        <w:jc w:val="center"/>
        <w:rPr>
          <w:rFonts w:asciiTheme="majorHAnsi" w:hAnsiTheme="majorHAnsi"/>
          <w:sz w:val="18"/>
          <w:szCs w:val="22"/>
          <w:lang w:val="es-AR"/>
        </w:rPr>
      </w:pPr>
    </w:p>
    <w:p w:rsidR="00A50FCF" w:rsidRPr="00D4287E" w:rsidRDefault="00A50FCF" w:rsidP="00040C3A">
      <w:pPr>
        <w:tabs>
          <w:tab w:val="center" w:pos="5400"/>
        </w:tabs>
        <w:suppressAutoHyphens/>
        <w:jc w:val="center"/>
        <w:rPr>
          <w:rFonts w:asciiTheme="majorHAnsi" w:hAnsiTheme="majorHAnsi"/>
          <w:sz w:val="18"/>
          <w:szCs w:val="22"/>
          <w:lang w:val="es-AR"/>
        </w:rPr>
      </w:pPr>
    </w:p>
    <w:p w:rsidR="00A50FCF" w:rsidRPr="00D4287E" w:rsidRDefault="0090270B" w:rsidP="00040C3A">
      <w:pPr>
        <w:tabs>
          <w:tab w:val="center" w:pos="5400"/>
        </w:tabs>
        <w:suppressAutoHyphens/>
        <w:jc w:val="center"/>
        <w:rPr>
          <w:rFonts w:asciiTheme="majorHAnsi" w:hAnsiTheme="majorHAnsi"/>
          <w:sz w:val="18"/>
          <w:szCs w:val="22"/>
          <w:lang w:val="es-AR"/>
        </w:rPr>
      </w:pPr>
      <w:r w:rsidRPr="00D4287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2520821" wp14:editId="300EBFE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164ACD" w:rsidRDefault="00113F73" w:rsidP="00113F73">
                            <w:pPr>
                              <w:spacing w:line="276" w:lineRule="auto"/>
                              <w:rPr>
                                <w:rFonts w:asciiTheme="majorHAnsi" w:hAnsiTheme="majorHAnsi"/>
                                <w:color w:val="595959" w:themeColor="text1" w:themeTint="A6"/>
                                <w:sz w:val="18"/>
                                <w:szCs w:val="18"/>
                                <w:lang w:val="es-ES"/>
                              </w:rPr>
                            </w:pPr>
                            <w:r w:rsidRPr="009B7BAF">
                              <w:rPr>
                                <w:rFonts w:asciiTheme="majorHAnsi" w:hAnsiTheme="majorHAnsi"/>
                                <w:b/>
                                <w:color w:val="595959" w:themeColor="text1" w:themeTint="A6"/>
                                <w:sz w:val="18"/>
                                <w:szCs w:val="18"/>
                                <w:lang w:val="es-AR"/>
                              </w:rPr>
                              <w:t>Citar como:</w:t>
                            </w:r>
                            <w:r w:rsidRPr="009B7BAF">
                              <w:rPr>
                                <w:rFonts w:asciiTheme="majorHAnsi" w:hAnsiTheme="majorHAnsi"/>
                                <w:color w:val="595959" w:themeColor="text1" w:themeTint="A6"/>
                                <w:sz w:val="18"/>
                                <w:szCs w:val="18"/>
                                <w:lang w:val="es-AR"/>
                              </w:rPr>
                              <w:t xml:space="preserve"> CIDH, Informe No. </w:t>
                            </w:r>
                            <w:r w:rsidR="009B7BAF">
                              <w:rPr>
                                <w:rFonts w:asciiTheme="majorHAnsi" w:hAnsiTheme="majorHAnsi"/>
                                <w:color w:val="595959" w:themeColor="text1" w:themeTint="A6"/>
                                <w:sz w:val="18"/>
                                <w:szCs w:val="18"/>
                                <w:lang w:val="es-ES_tradnl"/>
                              </w:rPr>
                              <w:t>30/15</w:t>
                            </w:r>
                            <w:r w:rsidRPr="00890650">
                              <w:rPr>
                                <w:rFonts w:asciiTheme="majorHAnsi" w:hAnsiTheme="majorHAnsi"/>
                                <w:color w:val="595959" w:themeColor="text1" w:themeTint="A6"/>
                                <w:sz w:val="18"/>
                                <w:szCs w:val="18"/>
                                <w:lang w:val="es-ES_tradnl"/>
                              </w:rPr>
                              <w:t xml:space="preserve">, </w:t>
                            </w:r>
                            <w:r w:rsidR="00164ACD">
                              <w:rPr>
                                <w:rFonts w:asciiTheme="majorHAnsi" w:hAnsiTheme="majorHAnsi"/>
                                <w:color w:val="595959" w:themeColor="text1" w:themeTint="A6"/>
                                <w:sz w:val="18"/>
                                <w:szCs w:val="18"/>
                                <w:lang w:val="es-ES_tradnl"/>
                              </w:rPr>
                              <w:t>Petición 1263-08</w:t>
                            </w:r>
                            <w:r w:rsidRPr="00890650">
                              <w:rPr>
                                <w:rFonts w:asciiTheme="majorHAnsi" w:hAnsiTheme="majorHAnsi"/>
                                <w:color w:val="595959" w:themeColor="text1" w:themeTint="A6"/>
                                <w:sz w:val="18"/>
                                <w:szCs w:val="18"/>
                                <w:lang w:val="es-ES_tradnl"/>
                              </w:rPr>
                              <w:t>.</w:t>
                            </w:r>
                            <w:r w:rsidR="009B7BAF">
                              <w:rPr>
                                <w:rFonts w:asciiTheme="majorHAnsi" w:hAnsiTheme="majorHAnsi"/>
                                <w:color w:val="595959" w:themeColor="text1" w:themeTint="A6"/>
                                <w:sz w:val="18"/>
                                <w:szCs w:val="18"/>
                                <w:lang w:val="es-ES_tradnl"/>
                              </w:rPr>
                              <w:t xml:space="preserve"> </w:t>
                            </w:r>
                            <w:r w:rsidR="00164ACD">
                              <w:rPr>
                                <w:rFonts w:asciiTheme="majorHAnsi" w:hAnsiTheme="majorHAnsi"/>
                                <w:color w:val="595959" w:themeColor="text1" w:themeTint="A6"/>
                                <w:sz w:val="18"/>
                                <w:szCs w:val="18"/>
                                <w:lang w:val="es-ES_tradnl"/>
                              </w:rPr>
                              <w:t>Admisibilidad</w:t>
                            </w:r>
                            <w:r w:rsidR="009B7BAF">
                              <w:rPr>
                                <w:rFonts w:asciiTheme="majorHAnsi" w:hAnsiTheme="majorHAnsi"/>
                                <w:color w:val="595959" w:themeColor="text1" w:themeTint="A6"/>
                                <w:sz w:val="18"/>
                                <w:szCs w:val="18"/>
                                <w:lang w:val="es-ES_tradnl"/>
                              </w:rPr>
                              <w:t>. Sandra Cecilia Pavez Pavez</w:t>
                            </w:r>
                            <w:r w:rsidR="00164ACD">
                              <w:rPr>
                                <w:rFonts w:asciiTheme="majorHAnsi" w:hAnsiTheme="majorHAnsi"/>
                                <w:color w:val="595959" w:themeColor="text1" w:themeTint="A6"/>
                                <w:sz w:val="18"/>
                                <w:szCs w:val="18"/>
                                <w:lang w:val="es-ES_tradnl"/>
                              </w:rPr>
                              <w:t>. Chile</w:t>
                            </w:r>
                            <w:r w:rsidRPr="00890650">
                              <w:rPr>
                                <w:rFonts w:asciiTheme="majorHAnsi" w:hAnsiTheme="majorHAnsi"/>
                                <w:color w:val="595959" w:themeColor="text1" w:themeTint="A6"/>
                                <w:sz w:val="18"/>
                                <w:szCs w:val="18"/>
                                <w:lang w:val="es-ES_tradnl"/>
                              </w:rPr>
                              <w:t xml:space="preserve">. </w:t>
                            </w:r>
                            <w:r w:rsidR="009B7BAF">
                              <w:rPr>
                                <w:rFonts w:asciiTheme="majorHAnsi" w:hAnsiTheme="majorHAnsi"/>
                                <w:color w:val="595959" w:themeColor="text1" w:themeTint="A6"/>
                                <w:sz w:val="18"/>
                                <w:szCs w:val="18"/>
                                <w:lang w:val="es-ES"/>
                              </w:rPr>
                              <w:t>21 de julio de 2015</w:t>
                            </w:r>
                            <w:r w:rsidRPr="00164ACD">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164ACD" w:rsidRDefault="00113F73" w:rsidP="00113F73">
                      <w:pPr>
                        <w:spacing w:line="276" w:lineRule="auto"/>
                        <w:rPr>
                          <w:rFonts w:asciiTheme="majorHAnsi" w:hAnsiTheme="majorHAnsi"/>
                          <w:color w:val="595959" w:themeColor="text1" w:themeTint="A6"/>
                          <w:sz w:val="18"/>
                          <w:szCs w:val="18"/>
                          <w:lang w:val="es-ES"/>
                        </w:rPr>
                      </w:pPr>
                      <w:r w:rsidRPr="009B7BAF">
                        <w:rPr>
                          <w:rFonts w:asciiTheme="majorHAnsi" w:hAnsiTheme="majorHAnsi"/>
                          <w:b/>
                          <w:color w:val="595959" w:themeColor="text1" w:themeTint="A6"/>
                          <w:sz w:val="18"/>
                          <w:szCs w:val="18"/>
                          <w:lang w:val="es-AR"/>
                        </w:rPr>
                        <w:t>Citar como:</w:t>
                      </w:r>
                      <w:r w:rsidRPr="009B7BAF">
                        <w:rPr>
                          <w:rFonts w:asciiTheme="majorHAnsi" w:hAnsiTheme="majorHAnsi"/>
                          <w:color w:val="595959" w:themeColor="text1" w:themeTint="A6"/>
                          <w:sz w:val="18"/>
                          <w:szCs w:val="18"/>
                          <w:lang w:val="es-AR"/>
                        </w:rPr>
                        <w:t xml:space="preserve"> CIDH, Informe No. </w:t>
                      </w:r>
                      <w:r w:rsidR="009B7BAF">
                        <w:rPr>
                          <w:rFonts w:asciiTheme="majorHAnsi" w:hAnsiTheme="majorHAnsi"/>
                          <w:color w:val="595959" w:themeColor="text1" w:themeTint="A6"/>
                          <w:sz w:val="18"/>
                          <w:szCs w:val="18"/>
                          <w:lang w:val="es-ES_tradnl"/>
                        </w:rPr>
                        <w:t>30/15</w:t>
                      </w:r>
                      <w:r w:rsidRPr="00890650">
                        <w:rPr>
                          <w:rFonts w:asciiTheme="majorHAnsi" w:hAnsiTheme="majorHAnsi"/>
                          <w:color w:val="595959" w:themeColor="text1" w:themeTint="A6"/>
                          <w:sz w:val="18"/>
                          <w:szCs w:val="18"/>
                          <w:lang w:val="es-ES_tradnl"/>
                        </w:rPr>
                        <w:t xml:space="preserve">, </w:t>
                      </w:r>
                      <w:r w:rsidR="00164ACD">
                        <w:rPr>
                          <w:rFonts w:asciiTheme="majorHAnsi" w:hAnsiTheme="majorHAnsi"/>
                          <w:color w:val="595959" w:themeColor="text1" w:themeTint="A6"/>
                          <w:sz w:val="18"/>
                          <w:szCs w:val="18"/>
                          <w:lang w:val="es-ES_tradnl"/>
                        </w:rPr>
                        <w:t>Petición 1263-08</w:t>
                      </w:r>
                      <w:r w:rsidRPr="00890650">
                        <w:rPr>
                          <w:rFonts w:asciiTheme="majorHAnsi" w:hAnsiTheme="majorHAnsi"/>
                          <w:color w:val="595959" w:themeColor="text1" w:themeTint="A6"/>
                          <w:sz w:val="18"/>
                          <w:szCs w:val="18"/>
                          <w:lang w:val="es-ES_tradnl"/>
                        </w:rPr>
                        <w:t>.</w:t>
                      </w:r>
                      <w:r w:rsidR="009B7BAF">
                        <w:rPr>
                          <w:rFonts w:asciiTheme="majorHAnsi" w:hAnsiTheme="majorHAnsi"/>
                          <w:color w:val="595959" w:themeColor="text1" w:themeTint="A6"/>
                          <w:sz w:val="18"/>
                          <w:szCs w:val="18"/>
                          <w:lang w:val="es-ES_tradnl"/>
                        </w:rPr>
                        <w:t xml:space="preserve"> </w:t>
                      </w:r>
                      <w:r w:rsidR="00164ACD">
                        <w:rPr>
                          <w:rFonts w:asciiTheme="majorHAnsi" w:hAnsiTheme="majorHAnsi"/>
                          <w:color w:val="595959" w:themeColor="text1" w:themeTint="A6"/>
                          <w:sz w:val="18"/>
                          <w:szCs w:val="18"/>
                          <w:lang w:val="es-ES_tradnl"/>
                        </w:rPr>
                        <w:t>Admisibilidad</w:t>
                      </w:r>
                      <w:r w:rsidR="009B7BAF">
                        <w:rPr>
                          <w:rFonts w:asciiTheme="majorHAnsi" w:hAnsiTheme="majorHAnsi"/>
                          <w:color w:val="595959" w:themeColor="text1" w:themeTint="A6"/>
                          <w:sz w:val="18"/>
                          <w:szCs w:val="18"/>
                          <w:lang w:val="es-ES_tradnl"/>
                        </w:rPr>
                        <w:t xml:space="preserve">. Sandra Cecilia </w:t>
                      </w:r>
                      <w:proofErr w:type="spellStart"/>
                      <w:r w:rsidR="009B7BAF">
                        <w:rPr>
                          <w:rFonts w:asciiTheme="majorHAnsi" w:hAnsiTheme="majorHAnsi"/>
                          <w:color w:val="595959" w:themeColor="text1" w:themeTint="A6"/>
                          <w:sz w:val="18"/>
                          <w:szCs w:val="18"/>
                          <w:lang w:val="es-ES_tradnl"/>
                        </w:rPr>
                        <w:t>Pavez</w:t>
                      </w:r>
                      <w:proofErr w:type="spellEnd"/>
                      <w:r w:rsidR="009B7BAF">
                        <w:rPr>
                          <w:rFonts w:asciiTheme="majorHAnsi" w:hAnsiTheme="majorHAnsi"/>
                          <w:color w:val="595959" w:themeColor="text1" w:themeTint="A6"/>
                          <w:sz w:val="18"/>
                          <w:szCs w:val="18"/>
                          <w:lang w:val="es-ES_tradnl"/>
                        </w:rPr>
                        <w:t xml:space="preserve"> </w:t>
                      </w:r>
                      <w:proofErr w:type="spellStart"/>
                      <w:r w:rsidR="009B7BAF">
                        <w:rPr>
                          <w:rFonts w:asciiTheme="majorHAnsi" w:hAnsiTheme="majorHAnsi"/>
                          <w:color w:val="595959" w:themeColor="text1" w:themeTint="A6"/>
                          <w:sz w:val="18"/>
                          <w:szCs w:val="18"/>
                          <w:lang w:val="es-ES_tradnl"/>
                        </w:rPr>
                        <w:t>Pavez</w:t>
                      </w:r>
                      <w:proofErr w:type="spellEnd"/>
                      <w:r w:rsidR="00164ACD">
                        <w:rPr>
                          <w:rFonts w:asciiTheme="majorHAnsi" w:hAnsiTheme="majorHAnsi"/>
                          <w:color w:val="595959" w:themeColor="text1" w:themeTint="A6"/>
                          <w:sz w:val="18"/>
                          <w:szCs w:val="18"/>
                          <w:lang w:val="es-ES_tradnl"/>
                        </w:rPr>
                        <w:t>. Chile</w:t>
                      </w:r>
                      <w:r w:rsidRPr="00890650">
                        <w:rPr>
                          <w:rFonts w:asciiTheme="majorHAnsi" w:hAnsiTheme="majorHAnsi"/>
                          <w:color w:val="595959" w:themeColor="text1" w:themeTint="A6"/>
                          <w:sz w:val="18"/>
                          <w:szCs w:val="18"/>
                          <w:lang w:val="es-ES_tradnl"/>
                        </w:rPr>
                        <w:t xml:space="preserve">. </w:t>
                      </w:r>
                      <w:r w:rsidR="009B7BAF">
                        <w:rPr>
                          <w:rFonts w:asciiTheme="majorHAnsi" w:hAnsiTheme="majorHAnsi"/>
                          <w:color w:val="595959" w:themeColor="text1" w:themeTint="A6"/>
                          <w:sz w:val="18"/>
                          <w:szCs w:val="18"/>
                          <w:lang w:val="es-ES"/>
                        </w:rPr>
                        <w:t>21 de julio de 2015</w:t>
                      </w:r>
                      <w:r w:rsidRPr="00164ACD">
                        <w:rPr>
                          <w:rFonts w:asciiTheme="majorHAnsi" w:hAnsiTheme="majorHAnsi"/>
                          <w:color w:val="595959" w:themeColor="text1" w:themeTint="A6"/>
                          <w:sz w:val="18"/>
                          <w:szCs w:val="18"/>
                          <w:lang w:val="es-ES"/>
                        </w:rPr>
                        <w:t>.</w:t>
                      </w:r>
                    </w:p>
                  </w:txbxContent>
                </v:textbox>
              </v:shape>
            </w:pict>
          </mc:Fallback>
        </mc:AlternateContent>
      </w:r>
    </w:p>
    <w:p w:rsidR="00A50FCF" w:rsidRPr="00D4287E" w:rsidRDefault="00A50FCF" w:rsidP="00040C3A">
      <w:pPr>
        <w:tabs>
          <w:tab w:val="center" w:pos="5400"/>
        </w:tabs>
        <w:suppressAutoHyphens/>
        <w:jc w:val="center"/>
        <w:rPr>
          <w:rFonts w:asciiTheme="majorHAnsi" w:hAnsiTheme="majorHAnsi"/>
          <w:sz w:val="18"/>
          <w:szCs w:val="22"/>
          <w:lang w:val="es-AR"/>
        </w:rPr>
      </w:pPr>
    </w:p>
    <w:p w:rsidR="0090270B" w:rsidRPr="00D4287E" w:rsidRDefault="00D306D1" w:rsidP="005516A1">
      <w:pPr>
        <w:tabs>
          <w:tab w:val="center" w:pos="5400"/>
        </w:tabs>
        <w:suppressAutoHyphens/>
        <w:jc w:val="center"/>
        <w:rPr>
          <w:rFonts w:asciiTheme="majorHAnsi" w:hAnsiTheme="majorHAnsi"/>
          <w:b/>
          <w:sz w:val="20"/>
          <w:lang w:val="es-AR"/>
        </w:rPr>
      </w:pPr>
      <w:r w:rsidRPr="00D4287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2254235" wp14:editId="3A699BB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D703435" wp14:editId="148FB0D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3D92B8F" wp14:editId="4D68F62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4287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32A871D" wp14:editId="118E040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D4287E" w:rsidRDefault="0070697F" w:rsidP="005516A1">
      <w:pPr>
        <w:tabs>
          <w:tab w:val="center" w:pos="5400"/>
        </w:tabs>
        <w:suppressAutoHyphens/>
        <w:jc w:val="center"/>
        <w:rPr>
          <w:rFonts w:asciiTheme="majorHAnsi" w:hAnsiTheme="majorHAnsi"/>
          <w:b/>
          <w:sz w:val="20"/>
          <w:lang w:val="es-AR"/>
        </w:rPr>
        <w:sectPr w:rsidR="0070697F" w:rsidRPr="00D4287E"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CA6879" w:rsidRPr="0004208D" w:rsidRDefault="004F0E2C" w:rsidP="00CA6879">
      <w:pPr>
        <w:tabs>
          <w:tab w:val="center" w:pos="5400"/>
        </w:tabs>
        <w:suppressAutoHyphens/>
        <w:jc w:val="center"/>
        <w:rPr>
          <w:rFonts w:asciiTheme="majorHAnsi" w:hAnsiTheme="majorHAnsi"/>
          <w:b/>
          <w:sz w:val="18"/>
          <w:szCs w:val="20"/>
        </w:rPr>
      </w:pPr>
      <w:r w:rsidRPr="00D4287E">
        <w:rPr>
          <w:rFonts w:asciiTheme="majorHAnsi" w:hAnsiTheme="majorHAnsi"/>
          <w:b/>
          <w:sz w:val="18"/>
          <w:szCs w:val="20"/>
          <w:lang w:val="es-AR"/>
        </w:rPr>
        <w:lastRenderedPageBreak/>
        <w:t xml:space="preserve">INFORME No. </w:t>
      </w:r>
      <w:r w:rsidR="00ED5DED" w:rsidRPr="00D4287E">
        <w:rPr>
          <w:rFonts w:asciiTheme="majorHAnsi" w:hAnsiTheme="majorHAnsi"/>
          <w:b/>
          <w:sz w:val="18"/>
          <w:szCs w:val="20"/>
          <w:lang w:val="es-AR"/>
        </w:rPr>
        <w:t>30</w:t>
      </w:r>
      <w:r w:rsidRPr="00D4287E">
        <w:rPr>
          <w:rFonts w:asciiTheme="majorHAnsi" w:hAnsiTheme="majorHAnsi"/>
          <w:b/>
          <w:sz w:val="18"/>
          <w:szCs w:val="20"/>
          <w:lang w:val="es-AR"/>
        </w:rPr>
        <w:t>/1</w:t>
      </w:r>
      <w:r w:rsidR="00164ACD" w:rsidRPr="00D4287E">
        <w:rPr>
          <w:rFonts w:asciiTheme="majorHAnsi" w:hAnsiTheme="majorHAnsi"/>
          <w:b/>
          <w:sz w:val="18"/>
          <w:szCs w:val="20"/>
          <w:lang w:val="es-AR"/>
        </w:rPr>
        <w:t>5</w:t>
      </w:r>
      <w:r w:rsidR="00CA6879" w:rsidRPr="0004208D">
        <w:rPr>
          <w:rFonts w:ascii="Calibri" w:hAnsi="Calibri" w:cs="Arial"/>
          <w:b/>
          <w:sz w:val="18"/>
          <w:szCs w:val="20"/>
          <w:vertAlign w:val="superscript"/>
        </w:rPr>
        <w:footnoteReference w:id="2"/>
      </w:r>
    </w:p>
    <w:p w:rsidR="004F0E2C" w:rsidRPr="00D4287E" w:rsidRDefault="004F0E2C" w:rsidP="004F0E2C">
      <w:pPr>
        <w:tabs>
          <w:tab w:val="center" w:pos="5400"/>
        </w:tabs>
        <w:suppressAutoHyphens/>
        <w:spacing w:line="276" w:lineRule="auto"/>
        <w:jc w:val="center"/>
        <w:rPr>
          <w:rFonts w:asciiTheme="majorHAnsi" w:hAnsiTheme="majorHAnsi"/>
          <w:b/>
          <w:sz w:val="18"/>
          <w:szCs w:val="20"/>
          <w:lang w:val="es-AR"/>
        </w:rPr>
      </w:pPr>
      <w:r w:rsidRPr="00D4287E">
        <w:rPr>
          <w:rFonts w:asciiTheme="majorHAnsi" w:hAnsiTheme="majorHAnsi"/>
          <w:b/>
          <w:sz w:val="18"/>
          <w:szCs w:val="20"/>
          <w:lang w:val="es-AR"/>
        </w:rPr>
        <w:t>PETICIÓN 1263-08</w:t>
      </w:r>
    </w:p>
    <w:p w:rsidR="004F0E2C" w:rsidRPr="00D4287E" w:rsidRDefault="004F0E2C" w:rsidP="004F0E2C">
      <w:pPr>
        <w:tabs>
          <w:tab w:val="center" w:pos="5400"/>
        </w:tabs>
        <w:suppressAutoHyphens/>
        <w:spacing w:line="276" w:lineRule="auto"/>
        <w:jc w:val="center"/>
        <w:rPr>
          <w:rFonts w:asciiTheme="majorHAnsi" w:hAnsiTheme="majorHAnsi"/>
          <w:sz w:val="18"/>
          <w:szCs w:val="20"/>
          <w:lang w:val="es-AR"/>
        </w:rPr>
      </w:pPr>
      <w:r w:rsidRPr="00D4287E">
        <w:rPr>
          <w:rFonts w:asciiTheme="majorHAnsi" w:hAnsiTheme="majorHAnsi"/>
          <w:sz w:val="18"/>
          <w:szCs w:val="20"/>
          <w:lang w:val="es-AR"/>
        </w:rPr>
        <w:t>ADMISIBILIDAD</w:t>
      </w:r>
    </w:p>
    <w:p w:rsidR="004F0E2C" w:rsidRPr="00D4287E" w:rsidRDefault="004F0E2C" w:rsidP="004F0E2C">
      <w:pPr>
        <w:tabs>
          <w:tab w:val="center" w:pos="5400"/>
        </w:tabs>
        <w:suppressAutoHyphens/>
        <w:spacing w:line="276" w:lineRule="auto"/>
        <w:jc w:val="center"/>
        <w:rPr>
          <w:rFonts w:asciiTheme="majorHAnsi" w:hAnsiTheme="majorHAnsi"/>
          <w:sz w:val="18"/>
          <w:szCs w:val="20"/>
          <w:lang w:val="es-AR"/>
        </w:rPr>
      </w:pPr>
      <w:r w:rsidRPr="00D4287E">
        <w:rPr>
          <w:rFonts w:asciiTheme="majorHAnsi" w:hAnsiTheme="majorHAnsi"/>
          <w:sz w:val="18"/>
          <w:szCs w:val="20"/>
          <w:lang w:val="es-AR"/>
        </w:rPr>
        <w:t>SANDRA CECILIA PAVEZ PAVEZ</w:t>
      </w:r>
    </w:p>
    <w:p w:rsidR="004F0E2C" w:rsidRPr="00D4287E" w:rsidRDefault="004F0E2C" w:rsidP="004F0E2C">
      <w:pPr>
        <w:tabs>
          <w:tab w:val="center" w:pos="5400"/>
        </w:tabs>
        <w:suppressAutoHyphens/>
        <w:spacing w:line="276" w:lineRule="auto"/>
        <w:jc w:val="center"/>
        <w:rPr>
          <w:rFonts w:asciiTheme="majorHAnsi" w:hAnsiTheme="majorHAnsi"/>
          <w:sz w:val="18"/>
          <w:szCs w:val="20"/>
          <w:lang w:val="es-AR"/>
        </w:rPr>
      </w:pPr>
      <w:r w:rsidRPr="00D4287E">
        <w:rPr>
          <w:rFonts w:asciiTheme="majorHAnsi" w:hAnsiTheme="majorHAnsi"/>
          <w:sz w:val="18"/>
          <w:szCs w:val="20"/>
          <w:lang w:val="es-AR"/>
        </w:rPr>
        <w:t>CHILE</w:t>
      </w:r>
    </w:p>
    <w:p w:rsidR="00DF1EC4" w:rsidRPr="00D4287E" w:rsidRDefault="00ED5DED" w:rsidP="003A1AF6">
      <w:pPr>
        <w:tabs>
          <w:tab w:val="center" w:pos="5400"/>
        </w:tabs>
        <w:suppressAutoHyphens/>
        <w:spacing w:line="276" w:lineRule="auto"/>
        <w:jc w:val="center"/>
        <w:rPr>
          <w:rFonts w:asciiTheme="majorHAnsi" w:hAnsiTheme="majorHAnsi"/>
          <w:sz w:val="18"/>
          <w:szCs w:val="20"/>
          <w:lang w:val="es-AR"/>
        </w:rPr>
      </w:pPr>
      <w:r w:rsidRPr="00D4287E">
        <w:rPr>
          <w:rFonts w:asciiTheme="majorHAnsi" w:hAnsiTheme="majorHAnsi"/>
          <w:sz w:val="18"/>
          <w:szCs w:val="20"/>
          <w:lang w:val="es-AR"/>
        </w:rPr>
        <w:t>21 DE JULIO DE 2015</w:t>
      </w:r>
    </w:p>
    <w:p w:rsidR="009B2357" w:rsidRPr="00D4287E" w:rsidRDefault="009B2357" w:rsidP="003A1AF6">
      <w:pPr>
        <w:tabs>
          <w:tab w:val="center" w:pos="5400"/>
        </w:tabs>
        <w:suppressAutoHyphens/>
        <w:spacing w:line="276" w:lineRule="auto"/>
        <w:jc w:val="center"/>
        <w:rPr>
          <w:rFonts w:asciiTheme="majorHAnsi" w:hAnsiTheme="majorHAnsi"/>
          <w:sz w:val="18"/>
          <w:szCs w:val="20"/>
          <w:lang w:val="es-AR"/>
        </w:rPr>
      </w:pPr>
    </w:p>
    <w:p w:rsidR="00A36344" w:rsidRPr="00D4287E" w:rsidRDefault="00A36344" w:rsidP="00A36344">
      <w:pPr>
        <w:tabs>
          <w:tab w:val="center" w:pos="5400"/>
        </w:tabs>
        <w:suppressAutoHyphens/>
        <w:jc w:val="center"/>
        <w:rPr>
          <w:rFonts w:asciiTheme="majorHAnsi" w:hAnsiTheme="majorHAnsi"/>
          <w:sz w:val="20"/>
          <w:szCs w:val="20"/>
          <w:lang w:val="es-AR"/>
        </w:rPr>
      </w:pPr>
    </w:p>
    <w:p w:rsidR="00101F29" w:rsidRPr="00D4287E" w:rsidRDefault="00101F29" w:rsidP="00A36344">
      <w:pPr>
        <w:pStyle w:val="Heading1"/>
        <w:numPr>
          <w:ilvl w:val="0"/>
          <w:numId w:val="58"/>
        </w:numPr>
        <w:spacing w:before="0"/>
        <w:rPr>
          <w:color w:val="auto"/>
          <w:sz w:val="20"/>
          <w:szCs w:val="20"/>
          <w:lang w:val="es-AR"/>
        </w:rPr>
      </w:pPr>
      <w:r w:rsidRPr="00D4287E">
        <w:rPr>
          <w:color w:val="auto"/>
          <w:sz w:val="20"/>
          <w:szCs w:val="20"/>
          <w:lang w:val="es-AR"/>
        </w:rPr>
        <w:t>RESUMEN</w:t>
      </w:r>
    </w:p>
    <w:p w:rsidR="00A36344" w:rsidRPr="00D4287E" w:rsidRDefault="00A36344" w:rsidP="00A36344">
      <w:pPr>
        <w:rPr>
          <w:lang w:val="es-AR"/>
        </w:rPr>
      </w:pPr>
    </w:p>
    <w:p w:rsidR="00A36344" w:rsidRPr="00D4287E" w:rsidRDefault="00101F29"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lang w:val="es-AR"/>
        </w:rPr>
      </w:pPr>
      <w:r w:rsidRPr="00D4287E">
        <w:rPr>
          <w:rFonts w:asciiTheme="majorHAnsi" w:hAnsiTheme="majorHAnsi"/>
          <w:sz w:val="20"/>
          <w:szCs w:val="20"/>
          <w:lang w:val="es-AR"/>
        </w:rPr>
        <w:t xml:space="preserve">El </w:t>
      </w:r>
      <w:r w:rsidR="00751022" w:rsidRPr="00D4287E">
        <w:rPr>
          <w:rFonts w:asciiTheme="majorHAnsi" w:hAnsiTheme="majorHAnsi"/>
          <w:sz w:val="20"/>
          <w:szCs w:val="20"/>
          <w:lang w:val="es-AR"/>
        </w:rPr>
        <w:t>28</w:t>
      </w:r>
      <w:r w:rsidRPr="00D4287E">
        <w:rPr>
          <w:rFonts w:asciiTheme="majorHAnsi" w:hAnsiTheme="majorHAnsi"/>
          <w:sz w:val="20"/>
          <w:szCs w:val="20"/>
          <w:lang w:val="es-AR"/>
        </w:rPr>
        <w:t xml:space="preserve"> de </w:t>
      </w:r>
      <w:r w:rsidR="00751022" w:rsidRPr="00D4287E">
        <w:rPr>
          <w:rFonts w:asciiTheme="majorHAnsi" w:hAnsiTheme="majorHAnsi"/>
          <w:sz w:val="20"/>
          <w:szCs w:val="20"/>
          <w:lang w:val="es-AR"/>
        </w:rPr>
        <w:t>octubre</w:t>
      </w:r>
      <w:r w:rsidRPr="00D4287E">
        <w:rPr>
          <w:rFonts w:asciiTheme="majorHAnsi" w:hAnsiTheme="majorHAnsi"/>
          <w:sz w:val="20"/>
          <w:szCs w:val="20"/>
          <w:lang w:val="es-AR"/>
        </w:rPr>
        <w:t xml:space="preserve"> de 200</w:t>
      </w:r>
      <w:r w:rsidR="00751022" w:rsidRPr="00D4287E">
        <w:rPr>
          <w:rFonts w:asciiTheme="majorHAnsi" w:hAnsiTheme="majorHAnsi"/>
          <w:sz w:val="20"/>
          <w:szCs w:val="20"/>
          <w:lang w:val="es-AR"/>
        </w:rPr>
        <w:t>8</w:t>
      </w:r>
      <w:r w:rsidRPr="00D4287E">
        <w:rPr>
          <w:rFonts w:asciiTheme="majorHAnsi" w:hAnsiTheme="majorHAnsi"/>
          <w:sz w:val="20"/>
          <w:szCs w:val="20"/>
          <w:lang w:val="es-AR"/>
        </w:rPr>
        <w:t xml:space="preserve"> la Comisión Interamericana de Derechos Humanos (en adelante también </w:t>
      </w:r>
      <w:r w:rsidRPr="00D4287E">
        <w:rPr>
          <w:rFonts w:asciiTheme="majorHAnsi" w:hAnsiTheme="majorHAnsi" w:cs="Arial"/>
          <w:sz w:val="20"/>
          <w:szCs w:val="20"/>
          <w:lang w:val="es-AR"/>
        </w:rPr>
        <w:t>“</w:t>
      </w:r>
      <w:r w:rsidRPr="00D4287E">
        <w:rPr>
          <w:rFonts w:asciiTheme="majorHAnsi" w:hAnsiTheme="majorHAnsi"/>
          <w:sz w:val="20"/>
          <w:szCs w:val="20"/>
          <w:lang w:val="es-AR"/>
        </w:rPr>
        <w:t>la Comisión Interamericana</w:t>
      </w:r>
      <w:r w:rsidRPr="00D4287E">
        <w:rPr>
          <w:rFonts w:asciiTheme="majorHAnsi" w:hAnsiTheme="majorHAnsi" w:cs="Arial"/>
          <w:sz w:val="20"/>
          <w:szCs w:val="20"/>
          <w:lang w:val="es-AR"/>
        </w:rPr>
        <w:t>”</w:t>
      </w:r>
      <w:r w:rsidRPr="00D4287E">
        <w:rPr>
          <w:rFonts w:asciiTheme="majorHAnsi" w:hAnsiTheme="majorHAnsi"/>
          <w:sz w:val="20"/>
          <w:szCs w:val="20"/>
          <w:lang w:val="es-AR"/>
        </w:rPr>
        <w:t xml:space="preserve">, </w:t>
      </w:r>
      <w:r w:rsidRPr="00D4287E">
        <w:rPr>
          <w:rFonts w:asciiTheme="majorHAnsi" w:hAnsiTheme="majorHAnsi" w:cs="Arial"/>
          <w:sz w:val="20"/>
          <w:szCs w:val="20"/>
          <w:lang w:val="es-AR"/>
        </w:rPr>
        <w:t>“</w:t>
      </w:r>
      <w:r w:rsidRPr="00D4287E">
        <w:rPr>
          <w:rFonts w:asciiTheme="majorHAnsi" w:hAnsiTheme="majorHAnsi"/>
          <w:sz w:val="20"/>
          <w:szCs w:val="20"/>
          <w:lang w:val="es-AR"/>
        </w:rPr>
        <w:t>la Comisión</w:t>
      </w:r>
      <w:r w:rsidRPr="00D4287E">
        <w:rPr>
          <w:rFonts w:asciiTheme="majorHAnsi" w:hAnsiTheme="majorHAnsi" w:cs="Arial"/>
          <w:sz w:val="20"/>
          <w:szCs w:val="20"/>
          <w:lang w:val="es-AR"/>
        </w:rPr>
        <w:t>”</w:t>
      </w:r>
      <w:r w:rsidRPr="00D4287E">
        <w:rPr>
          <w:rFonts w:asciiTheme="majorHAnsi" w:hAnsiTheme="majorHAnsi"/>
          <w:sz w:val="20"/>
          <w:szCs w:val="20"/>
          <w:lang w:val="es-AR"/>
        </w:rPr>
        <w:t xml:space="preserve"> o </w:t>
      </w:r>
      <w:r w:rsidRPr="00D4287E">
        <w:rPr>
          <w:rFonts w:asciiTheme="majorHAnsi" w:hAnsiTheme="majorHAnsi" w:cs="Arial"/>
          <w:sz w:val="20"/>
          <w:szCs w:val="20"/>
          <w:lang w:val="es-AR"/>
        </w:rPr>
        <w:t>“</w:t>
      </w:r>
      <w:r w:rsidRPr="00D4287E">
        <w:rPr>
          <w:rFonts w:asciiTheme="majorHAnsi" w:hAnsiTheme="majorHAnsi"/>
          <w:sz w:val="20"/>
          <w:szCs w:val="20"/>
          <w:lang w:val="es-AR"/>
        </w:rPr>
        <w:t>la CIDH</w:t>
      </w:r>
      <w:r w:rsidRPr="00D4287E">
        <w:rPr>
          <w:rFonts w:asciiTheme="majorHAnsi" w:hAnsiTheme="majorHAnsi" w:cs="Arial"/>
          <w:sz w:val="20"/>
          <w:szCs w:val="20"/>
          <w:lang w:val="es-AR"/>
        </w:rPr>
        <w:t>”</w:t>
      </w:r>
      <w:r w:rsidRPr="00D4287E">
        <w:rPr>
          <w:rFonts w:asciiTheme="majorHAnsi" w:hAnsiTheme="majorHAnsi"/>
          <w:sz w:val="20"/>
          <w:szCs w:val="20"/>
          <w:lang w:val="es-AR"/>
        </w:rPr>
        <w:t>) recibió una petición presentada por</w:t>
      </w:r>
      <w:r w:rsidR="00285D4F" w:rsidRPr="00D4287E">
        <w:rPr>
          <w:rFonts w:asciiTheme="majorHAnsi" w:hAnsiTheme="majorHAnsi"/>
          <w:sz w:val="20"/>
          <w:szCs w:val="20"/>
          <w:lang w:val="es-AR"/>
        </w:rPr>
        <w:t xml:space="preserve"> Sandra Cecilia Pavez Pavez</w:t>
      </w:r>
      <w:r w:rsidR="004D1F7B" w:rsidRPr="00D4287E">
        <w:rPr>
          <w:rFonts w:asciiTheme="majorHAnsi" w:hAnsiTheme="majorHAnsi"/>
          <w:sz w:val="20"/>
          <w:szCs w:val="20"/>
          <w:lang w:val="es-AR"/>
        </w:rPr>
        <w:t xml:space="preserve"> (en adelante “la presunta víctima”)</w:t>
      </w:r>
      <w:r w:rsidR="00BC6D51" w:rsidRPr="00D4287E">
        <w:rPr>
          <w:rFonts w:asciiTheme="majorHAnsi" w:hAnsiTheme="majorHAnsi"/>
          <w:sz w:val="20"/>
          <w:szCs w:val="20"/>
          <w:lang w:val="es-AR"/>
        </w:rPr>
        <w:t>,</w:t>
      </w:r>
      <w:r w:rsidR="00056DE9" w:rsidRPr="00D4287E">
        <w:rPr>
          <w:rFonts w:asciiTheme="majorHAnsi" w:hAnsiTheme="majorHAnsi"/>
          <w:sz w:val="20"/>
          <w:szCs w:val="20"/>
          <w:lang w:val="es-AR"/>
        </w:rPr>
        <w:t xml:space="preserve"> por</w:t>
      </w:r>
      <w:r w:rsidR="00BC6D51" w:rsidRPr="00D4287E">
        <w:rPr>
          <w:rFonts w:asciiTheme="majorHAnsi" w:hAnsiTheme="majorHAnsi"/>
          <w:sz w:val="20"/>
          <w:szCs w:val="20"/>
          <w:lang w:val="es-AR"/>
        </w:rPr>
        <w:t xml:space="preserve"> Rolando Paul Jiménez Pérez, representante legal d</w:t>
      </w:r>
      <w:r w:rsidR="00285D4F" w:rsidRPr="00D4287E">
        <w:rPr>
          <w:rFonts w:asciiTheme="majorHAnsi" w:hAnsiTheme="majorHAnsi"/>
          <w:sz w:val="20"/>
          <w:szCs w:val="20"/>
          <w:lang w:val="es-AR"/>
        </w:rPr>
        <w:t>el</w:t>
      </w:r>
      <w:r w:rsidR="004D1F7B" w:rsidRPr="00D4287E">
        <w:rPr>
          <w:rFonts w:asciiTheme="majorHAnsi" w:hAnsiTheme="majorHAnsi"/>
          <w:sz w:val="20"/>
          <w:szCs w:val="20"/>
          <w:lang w:val="es-AR"/>
        </w:rPr>
        <w:t xml:space="preserve"> Movimiento de Integración y Liberación Homosexual</w:t>
      </w:r>
      <w:r w:rsidR="00920706" w:rsidRPr="00D4287E">
        <w:rPr>
          <w:rFonts w:asciiTheme="majorHAnsi" w:hAnsiTheme="majorHAnsi"/>
          <w:sz w:val="20"/>
          <w:szCs w:val="20"/>
          <w:lang w:val="es-AR"/>
        </w:rPr>
        <w:t xml:space="preserve"> (MOVILH)</w:t>
      </w:r>
      <w:r w:rsidR="004D1F7B" w:rsidRPr="00D4287E">
        <w:rPr>
          <w:rFonts w:asciiTheme="majorHAnsi" w:hAnsiTheme="majorHAnsi"/>
          <w:sz w:val="20"/>
          <w:szCs w:val="20"/>
          <w:lang w:val="es-AR"/>
        </w:rPr>
        <w:t xml:space="preserve"> </w:t>
      </w:r>
      <w:r w:rsidR="00285D4F" w:rsidRPr="00D4287E">
        <w:rPr>
          <w:rFonts w:asciiTheme="majorHAnsi" w:hAnsiTheme="majorHAnsi"/>
          <w:sz w:val="20"/>
          <w:szCs w:val="20"/>
          <w:lang w:val="es-AR"/>
        </w:rPr>
        <w:t xml:space="preserve">y </w:t>
      </w:r>
      <w:r w:rsidR="00BC6D51" w:rsidRPr="00D4287E">
        <w:rPr>
          <w:rFonts w:asciiTheme="majorHAnsi" w:hAnsiTheme="majorHAnsi"/>
          <w:sz w:val="20"/>
          <w:szCs w:val="20"/>
          <w:lang w:val="es-AR"/>
        </w:rPr>
        <w:t xml:space="preserve">por </w:t>
      </w:r>
      <w:r w:rsidR="00285D4F" w:rsidRPr="00D4287E">
        <w:rPr>
          <w:rFonts w:asciiTheme="majorHAnsi" w:hAnsiTheme="majorHAnsi"/>
          <w:sz w:val="20"/>
          <w:szCs w:val="20"/>
          <w:lang w:val="es-AR"/>
        </w:rPr>
        <w:t xml:space="preserve">Alfredo Morgado </w:t>
      </w:r>
      <w:r w:rsidRPr="00D4287E">
        <w:rPr>
          <w:rFonts w:asciiTheme="majorHAnsi" w:hAnsiTheme="majorHAnsi"/>
          <w:sz w:val="20"/>
          <w:szCs w:val="20"/>
          <w:lang w:val="es-AR"/>
        </w:rPr>
        <w:t xml:space="preserve">(en adelante también “los peticionarios”), en la cual se alega </w:t>
      </w:r>
      <w:r w:rsidR="00815DEE" w:rsidRPr="00D4287E">
        <w:rPr>
          <w:rFonts w:asciiTheme="majorHAnsi" w:hAnsiTheme="majorHAnsi"/>
          <w:sz w:val="20"/>
          <w:szCs w:val="20"/>
          <w:lang w:val="es-AR"/>
        </w:rPr>
        <w:t>l</w:t>
      </w:r>
      <w:r w:rsidR="00BC6D51" w:rsidRPr="00D4287E">
        <w:rPr>
          <w:rFonts w:asciiTheme="majorHAnsi" w:hAnsiTheme="majorHAnsi"/>
          <w:sz w:val="20"/>
          <w:szCs w:val="20"/>
          <w:lang w:val="es-AR"/>
        </w:rPr>
        <w:t>a</w:t>
      </w:r>
      <w:r w:rsidRPr="00D4287E">
        <w:rPr>
          <w:rFonts w:asciiTheme="majorHAnsi" w:hAnsiTheme="majorHAnsi"/>
          <w:sz w:val="20"/>
          <w:szCs w:val="20"/>
          <w:lang w:val="es-AR"/>
        </w:rPr>
        <w:t xml:space="preserve"> responsabilidad de la República de</w:t>
      </w:r>
      <w:r w:rsidR="004D1F7B" w:rsidRPr="00D4287E">
        <w:rPr>
          <w:rFonts w:asciiTheme="majorHAnsi" w:hAnsiTheme="majorHAnsi"/>
          <w:sz w:val="20"/>
          <w:szCs w:val="20"/>
          <w:lang w:val="es-AR"/>
        </w:rPr>
        <w:t xml:space="preserve"> Chile</w:t>
      </w:r>
      <w:r w:rsidRPr="00D4287E">
        <w:rPr>
          <w:rFonts w:asciiTheme="majorHAnsi" w:hAnsiTheme="majorHAnsi"/>
          <w:sz w:val="20"/>
          <w:szCs w:val="20"/>
          <w:lang w:val="es-AR"/>
        </w:rPr>
        <w:t xml:space="preserve"> (en adelante </w:t>
      </w:r>
      <w:r w:rsidRPr="00D4287E">
        <w:rPr>
          <w:rFonts w:asciiTheme="majorHAnsi" w:hAnsiTheme="majorHAnsi" w:cs="Arial"/>
          <w:sz w:val="20"/>
          <w:szCs w:val="20"/>
          <w:lang w:val="es-AR"/>
        </w:rPr>
        <w:t>“</w:t>
      </w:r>
      <w:r w:rsidR="004D1F7B" w:rsidRPr="00D4287E">
        <w:rPr>
          <w:rFonts w:asciiTheme="majorHAnsi" w:hAnsiTheme="majorHAnsi" w:cs="Arial"/>
          <w:sz w:val="20"/>
          <w:szCs w:val="20"/>
          <w:lang w:val="es-AR"/>
        </w:rPr>
        <w:t>Chile</w:t>
      </w:r>
      <w:r w:rsidRPr="00D4287E">
        <w:rPr>
          <w:rFonts w:asciiTheme="majorHAnsi" w:hAnsiTheme="majorHAnsi" w:cs="Arial"/>
          <w:sz w:val="20"/>
          <w:szCs w:val="20"/>
          <w:lang w:val="es-AR"/>
        </w:rPr>
        <w:t>”</w:t>
      </w:r>
      <w:r w:rsidRPr="00D4287E">
        <w:rPr>
          <w:rFonts w:asciiTheme="majorHAnsi" w:hAnsiTheme="majorHAnsi"/>
          <w:sz w:val="20"/>
          <w:szCs w:val="20"/>
          <w:lang w:val="es-AR"/>
        </w:rPr>
        <w:t xml:space="preserve">, </w:t>
      </w:r>
      <w:r w:rsidRPr="00D4287E">
        <w:rPr>
          <w:rFonts w:asciiTheme="majorHAnsi" w:hAnsiTheme="majorHAnsi" w:cs="Arial"/>
          <w:sz w:val="20"/>
          <w:szCs w:val="20"/>
          <w:lang w:val="es-AR"/>
        </w:rPr>
        <w:t>“</w:t>
      </w:r>
      <w:r w:rsidRPr="00D4287E">
        <w:rPr>
          <w:rFonts w:asciiTheme="majorHAnsi" w:hAnsiTheme="majorHAnsi"/>
          <w:sz w:val="20"/>
          <w:szCs w:val="20"/>
          <w:lang w:val="es-AR"/>
        </w:rPr>
        <w:t>el Estado</w:t>
      </w:r>
      <w:r w:rsidRPr="00D4287E">
        <w:rPr>
          <w:rFonts w:asciiTheme="majorHAnsi" w:hAnsiTheme="majorHAnsi" w:cs="Arial"/>
          <w:sz w:val="20"/>
          <w:szCs w:val="20"/>
          <w:lang w:val="es-AR"/>
        </w:rPr>
        <w:t>”</w:t>
      </w:r>
      <w:r w:rsidRPr="00D4287E">
        <w:rPr>
          <w:rFonts w:asciiTheme="majorHAnsi" w:hAnsiTheme="majorHAnsi"/>
          <w:sz w:val="20"/>
          <w:szCs w:val="20"/>
          <w:lang w:val="es-AR"/>
        </w:rPr>
        <w:t xml:space="preserve"> o </w:t>
      </w:r>
      <w:r w:rsidRPr="00D4287E">
        <w:rPr>
          <w:rFonts w:asciiTheme="majorHAnsi" w:hAnsiTheme="majorHAnsi" w:cs="Arial"/>
          <w:sz w:val="20"/>
          <w:szCs w:val="20"/>
          <w:lang w:val="es-AR"/>
        </w:rPr>
        <w:t>“</w:t>
      </w:r>
      <w:r w:rsidRPr="00D4287E">
        <w:rPr>
          <w:rFonts w:asciiTheme="majorHAnsi" w:hAnsiTheme="majorHAnsi"/>
          <w:sz w:val="20"/>
          <w:szCs w:val="20"/>
          <w:lang w:val="es-AR"/>
        </w:rPr>
        <w:t xml:space="preserve">el Estado </w:t>
      </w:r>
      <w:r w:rsidR="004D1F7B" w:rsidRPr="00D4287E">
        <w:rPr>
          <w:rFonts w:asciiTheme="majorHAnsi" w:hAnsiTheme="majorHAnsi"/>
          <w:sz w:val="20"/>
          <w:szCs w:val="20"/>
          <w:lang w:val="es-AR"/>
        </w:rPr>
        <w:t>chileno</w:t>
      </w:r>
      <w:r w:rsidRPr="00D4287E">
        <w:rPr>
          <w:rFonts w:asciiTheme="majorHAnsi" w:hAnsiTheme="majorHAnsi" w:cs="Arial"/>
          <w:sz w:val="20"/>
          <w:szCs w:val="20"/>
          <w:lang w:val="es-AR"/>
        </w:rPr>
        <w:t>”</w:t>
      </w:r>
      <w:r w:rsidRPr="00D4287E">
        <w:rPr>
          <w:rFonts w:asciiTheme="majorHAnsi" w:hAnsiTheme="majorHAnsi"/>
          <w:sz w:val="20"/>
          <w:szCs w:val="20"/>
          <w:lang w:val="es-AR"/>
        </w:rPr>
        <w:t xml:space="preserve">) </w:t>
      </w:r>
      <w:r w:rsidR="00BC6D51" w:rsidRPr="00D4287E">
        <w:rPr>
          <w:rFonts w:asciiTheme="majorHAnsi" w:hAnsiTheme="majorHAnsi"/>
          <w:sz w:val="20"/>
          <w:szCs w:val="20"/>
          <w:lang w:val="es-AR"/>
        </w:rPr>
        <w:t>por una presunta violación</w:t>
      </w:r>
      <w:r w:rsidR="00815DEE" w:rsidRPr="00D4287E">
        <w:rPr>
          <w:rFonts w:asciiTheme="majorHAnsi" w:hAnsiTheme="majorHAnsi"/>
          <w:sz w:val="20"/>
          <w:szCs w:val="20"/>
          <w:lang w:val="es-AR"/>
        </w:rPr>
        <w:t xml:space="preserve"> </w:t>
      </w:r>
      <w:r w:rsidR="00882B95" w:rsidRPr="00D4287E">
        <w:rPr>
          <w:rFonts w:asciiTheme="majorHAnsi" w:hAnsiTheme="majorHAnsi"/>
          <w:sz w:val="20"/>
          <w:szCs w:val="20"/>
          <w:lang w:val="es-AR"/>
        </w:rPr>
        <w:t>a su derecho a no sufrir injerencias arbitrarias en su vida privada, consagrado en el artículo 11</w:t>
      </w:r>
      <w:r w:rsidR="006C60B0" w:rsidRPr="00D4287E">
        <w:rPr>
          <w:rFonts w:asciiTheme="majorHAnsi" w:hAnsiTheme="majorHAnsi"/>
          <w:sz w:val="20"/>
          <w:szCs w:val="20"/>
          <w:lang w:val="es-AR"/>
        </w:rPr>
        <w:t xml:space="preserve"> de la Convención Americana sobre Derechos Humanos (en adelante también, “Convención Americana” o “la Convención”) y a su derecho</w:t>
      </w:r>
      <w:r w:rsidR="00882B95" w:rsidRPr="00D4287E">
        <w:rPr>
          <w:rFonts w:asciiTheme="majorHAnsi" w:hAnsiTheme="majorHAnsi"/>
          <w:sz w:val="20"/>
          <w:szCs w:val="20"/>
          <w:lang w:val="es-AR"/>
        </w:rPr>
        <w:t xml:space="preserve"> a la igualdad ante la ley, consagrado en el artículo 24 </w:t>
      </w:r>
      <w:r w:rsidR="006C60B0" w:rsidRPr="00D4287E">
        <w:rPr>
          <w:rFonts w:asciiTheme="majorHAnsi" w:hAnsiTheme="majorHAnsi"/>
          <w:sz w:val="20"/>
          <w:szCs w:val="20"/>
          <w:lang w:val="es-AR"/>
        </w:rPr>
        <w:t xml:space="preserve">de la Convención, ambos en relación con el artículo 1.1 </w:t>
      </w:r>
      <w:r w:rsidR="003A1AF6" w:rsidRPr="00D4287E">
        <w:rPr>
          <w:rFonts w:asciiTheme="majorHAnsi" w:hAnsiTheme="majorHAnsi"/>
          <w:sz w:val="20"/>
          <w:szCs w:val="20"/>
          <w:lang w:val="es-AR"/>
        </w:rPr>
        <w:t>(obligación de respeto y garantía de los derechos humanos)</w:t>
      </w:r>
      <w:r w:rsidR="008464A4" w:rsidRPr="00D4287E">
        <w:rPr>
          <w:rFonts w:asciiTheme="majorHAnsi" w:hAnsiTheme="majorHAnsi"/>
          <w:sz w:val="20"/>
          <w:szCs w:val="20"/>
          <w:lang w:val="es-AR"/>
        </w:rPr>
        <w:t xml:space="preserve"> </w:t>
      </w:r>
      <w:r w:rsidR="00882B95" w:rsidRPr="00D4287E">
        <w:rPr>
          <w:rFonts w:asciiTheme="majorHAnsi" w:hAnsiTheme="majorHAnsi"/>
          <w:sz w:val="20"/>
          <w:szCs w:val="20"/>
          <w:lang w:val="es-AR"/>
        </w:rPr>
        <w:t>del mismo instrumento.</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lang w:val="es-AR"/>
        </w:rPr>
      </w:pPr>
    </w:p>
    <w:p w:rsidR="00101F29" w:rsidRPr="00D4287E" w:rsidRDefault="00920706"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lang w:val="es-AR"/>
        </w:rPr>
      </w:pPr>
      <w:r w:rsidRPr="00D4287E">
        <w:rPr>
          <w:rFonts w:asciiTheme="majorHAnsi" w:hAnsiTheme="majorHAnsi" w:cs="Arial"/>
          <w:iCs/>
          <w:sz w:val="20"/>
          <w:szCs w:val="20"/>
          <w:lang w:val="es-AR"/>
        </w:rPr>
        <w:t xml:space="preserve">El Estado </w:t>
      </w:r>
      <w:r w:rsidR="00F13D5F" w:rsidRPr="00D4287E">
        <w:rPr>
          <w:rFonts w:asciiTheme="majorHAnsi" w:hAnsiTheme="majorHAnsi" w:cs="Arial"/>
          <w:iCs/>
          <w:sz w:val="20"/>
          <w:szCs w:val="20"/>
          <w:lang w:val="es-AR"/>
        </w:rPr>
        <w:t>c</w:t>
      </w:r>
      <w:r w:rsidRPr="00D4287E">
        <w:rPr>
          <w:rFonts w:asciiTheme="majorHAnsi" w:hAnsiTheme="majorHAnsi" w:cs="Arial"/>
          <w:iCs/>
          <w:sz w:val="20"/>
          <w:szCs w:val="20"/>
          <w:lang w:val="es-AR"/>
        </w:rPr>
        <w:t xml:space="preserve">hileno, por su parte, manifestó ante esta Comisión que, </w:t>
      </w:r>
      <w:r w:rsidR="00F70462" w:rsidRPr="00D4287E">
        <w:rPr>
          <w:rFonts w:asciiTheme="majorHAnsi" w:hAnsiTheme="majorHAnsi"/>
          <w:sz w:val="20"/>
          <w:szCs w:val="20"/>
          <w:lang w:val="es-AR"/>
        </w:rPr>
        <w:t>“sin perjuicio de las observaciones sobre el fondo que el Estado pueda formular en su oportunidad, no tiene reparos respecto al cumplimiento de los requisitos de forma por parte de los peticionarios”.</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lang w:val="es-AR"/>
        </w:rPr>
      </w:pPr>
    </w:p>
    <w:p w:rsidR="00101F29" w:rsidRPr="00D4287E" w:rsidRDefault="00101F29"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 xml:space="preserve">Tras examinar el reclamo a la luz de los requisitos de admisibilidad previstos en los artículos 46 y 47 de la Convención, y ante </w:t>
      </w:r>
      <w:r w:rsidR="0009567C" w:rsidRPr="00D4287E">
        <w:rPr>
          <w:rFonts w:asciiTheme="majorHAnsi" w:hAnsiTheme="majorHAnsi"/>
          <w:sz w:val="20"/>
          <w:szCs w:val="20"/>
          <w:lang w:val="es-AR"/>
        </w:rPr>
        <w:t>la respuesta</w:t>
      </w:r>
      <w:r w:rsidRPr="00D4287E">
        <w:rPr>
          <w:rFonts w:asciiTheme="majorHAnsi" w:hAnsiTheme="majorHAnsi"/>
          <w:sz w:val="20"/>
          <w:szCs w:val="20"/>
          <w:lang w:val="es-AR"/>
        </w:rPr>
        <w:t xml:space="preserve"> del Estado, la Comisión concluyó que es competente para conocer los reclamos presentados sobre la presunta violación de los derechos consagrados en los artículos</w:t>
      </w:r>
      <w:r w:rsidR="00ED5DED" w:rsidRPr="00D4287E">
        <w:rPr>
          <w:rFonts w:asciiTheme="majorHAnsi" w:hAnsiTheme="majorHAnsi"/>
          <w:sz w:val="20"/>
          <w:szCs w:val="20"/>
          <w:lang w:val="es-AR"/>
        </w:rPr>
        <w:t xml:space="preserve"> 8, </w:t>
      </w:r>
      <w:r w:rsidR="00EE71BC" w:rsidRPr="00D4287E">
        <w:rPr>
          <w:rFonts w:asciiTheme="majorHAnsi" w:hAnsiTheme="majorHAnsi"/>
          <w:sz w:val="20"/>
          <w:szCs w:val="20"/>
          <w:lang w:val="es-AR"/>
        </w:rPr>
        <w:t>11</w:t>
      </w:r>
      <w:r w:rsidR="009B2357" w:rsidRPr="00D4287E">
        <w:rPr>
          <w:rFonts w:asciiTheme="majorHAnsi" w:hAnsiTheme="majorHAnsi"/>
          <w:sz w:val="20"/>
          <w:szCs w:val="20"/>
          <w:lang w:val="es-AR"/>
        </w:rPr>
        <w:t>,</w:t>
      </w:r>
      <w:r w:rsidR="00EE71BC" w:rsidRPr="00D4287E">
        <w:rPr>
          <w:rFonts w:asciiTheme="majorHAnsi" w:hAnsiTheme="majorHAnsi"/>
          <w:sz w:val="20"/>
          <w:szCs w:val="20"/>
          <w:lang w:val="es-AR"/>
        </w:rPr>
        <w:t xml:space="preserve"> 24</w:t>
      </w:r>
      <w:r w:rsidR="00A01543" w:rsidRPr="00D4287E">
        <w:rPr>
          <w:rFonts w:asciiTheme="majorHAnsi" w:hAnsiTheme="majorHAnsi"/>
          <w:sz w:val="20"/>
          <w:szCs w:val="20"/>
          <w:lang w:val="es-AR"/>
        </w:rPr>
        <w:t xml:space="preserve"> y</w:t>
      </w:r>
      <w:r w:rsidR="00280A03" w:rsidRPr="00D4287E">
        <w:rPr>
          <w:rFonts w:asciiTheme="majorHAnsi" w:hAnsiTheme="majorHAnsi"/>
          <w:sz w:val="20"/>
          <w:szCs w:val="20"/>
          <w:lang w:val="es-AR"/>
        </w:rPr>
        <w:t xml:space="preserve"> </w:t>
      </w:r>
      <w:r w:rsidR="009B2357" w:rsidRPr="00D4287E">
        <w:rPr>
          <w:rFonts w:asciiTheme="majorHAnsi" w:hAnsiTheme="majorHAnsi"/>
          <w:sz w:val="20"/>
          <w:szCs w:val="20"/>
          <w:lang w:val="es-AR"/>
        </w:rPr>
        <w:t xml:space="preserve">25 </w:t>
      </w:r>
      <w:r w:rsidR="00280A03" w:rsidRPr="00D4287E">
        <w:rPr>
          <w:rFonts w:asciiTheme="majorHAnsi" w:hAnsiTheme="majorHAnsi"/>
          <w:sz w:val="20"/>
          <w:szCs w:val="20"/>
          <w:lang w:val="es-AR"/>
        </w:rPr>
        <w:t>de la Convención Americana</w:t>
      </w:r>
      <w:r w:rsidR="009B2357" w:rsidRPr="00D4287E">
        <w:rPr>
          <w:rFonts w:asciiTheme="majorHAnsi" w:hAnsiTheme="majorHAnsi"/>
          <w:sz w:val="20"/>
          <w:szCs w:val="20"/>
          <w:lang w:val="es-AR"/>
        </w:rPr>
        <w:t xml:space="preserve"> </w:t>
      </w:r>
      <w:r w:rsidRPr="00D4287E">
        <w:rPr>
          <w:rFonts w:asciiTheme="majorHAnsi" w:hAnsiTheme="majorHAnsi"/>
          <w:sz w:val="20"/>
          <w:szCs w:val="20"/>
          <w:lang w:val="es-AR"/>
        </w:rPr>
        <w:t xml:space="preserve">en relación con </w:t>
      </w:r>
      <w:r w:rsidR="00234879" w:rsidRPr="00D4287E">
        <w:rPr>
          <w:rFonts w:asciiTheme="majorHAnsi" w:hAnsiTheme="majorHAnsi"/>
          <w:sz w:val="20"/>
          <w:szCs w:val="20"/>
          <w:lang w:val="es-AR"/>
        </w:rPr>
        <w:t xml:space="preserve">los </w:t>
      </w:r>
      <w:r w:rsidRPr="00D4287E">
        <w:rPr>
          <w:rFonts w:asciiTheme="majorHAnsi" w:hAnsiTheme="majorHAnsi"/>
          <w:sz w:val="20"/>
          <w:szCs w:val="20"/>
          <w:lang w:val="es-AR"/>
        </w:rPr>
        <w:t>artículo</w:t>
      </w:r>
      <w:r w:rsidR="00234879" w:rsidRPr="00D4287E">
        <w:rPr>
          <w:rFonts w:asciiTheme="majorHAnsi" w:hAnsiTheme="majorHAnsi"/>
          <w:sz w:val="20"/>
          <w:szCs w:val="20"/>
          <w:lang w:val="es-AR"/>
        </w:rPr>
        <w:t>s</w:t>
      </w:r>
      <w:r w:rsidRPr="00D4287E">
        <w:rPr>
          <w:rFonts w:asciiTheme="majorHAnsi" w:hAnsiTheme="majorHAnsi"/>
          <w:sz w:val="20"/>
          <w:szCs w:val="20"/>
          <w:lang w:val="es-AR"/>
        </w:rPr>
        <w:t xml:space="preserve"> 1.1</w:t>
      </w:r>
      <w:r w:rsidR="00234879" w:rsidRPr="00D4287E">
        <w:rPr>
          <w:rFonts w:asciiTheme="majorHAnsi" w:hAnsiTheme="majorHAnsi"/>
          <w:sz w:val="20"/>
          <w:szCs w:val="20"/>
          <w:lang w:val="es-AR"/>
        </w:rPr>
        <w:t xml:space="preserve"> y 2</w:t>
      </w:r>
      <w:r w:rsidRPr="00D4287E">
        <w:rPr>
          <w:rFonts w:asciiTheme="majorHAnsi" w:hAnsiTheme="majorHAnsi"/>
          <w:sz w:val="20"/>
          <w:szCs w:val="20"/>
          <w:lang w:val="es-AR"/>
        </w:rPr>
        <w:t xml:space="preserve"> del mismo instrumento</w:t>
      </w:r>
      <w:r w:rsidR="0009567C" w:rsidRPr="00D4287E">
        <w:rPr>
          <w:rFonts w:asciiTheme="majorHAnsi" w:hAnsiTheme="majorHAnsi"/>
          <w:sz w:val="20"/>
          <w:szCs w:val="20"/>
          <w:lang w:val="es-AR"/>
        </w:rPr>
        <w:t>.</w:t>
      </w:r>
      <w:r w:rsidRPr="00D4287E">
        <w:rPr>
          <w:rFonts w:asciiTheme="majorHAnsi" w:hAnsiTheme="majorHAnsi"/>
          <w:sz w:val="20"/>
          <w:szCs w:val="20"/>
          <w:lang w:val="es-AR"/>
        </w:rPr>
        <w:t xml:space="preserve"> Asimismo, la Comisión decidió notificar el presente </w:t>
      </w:r>
      <w:r w:rsidR="00A01543" w:rsidRPr="00D4287E">
        <w:rPr>
          <w:rFonts w:asciiTheme="majorHAnsi" w:hAnsiTheme="majorHAnsi"/>
          <w:sz w:val="20"/>
          <w:szCs w:val="20"/>
          <w:lang w:val="es-AR"/>
        </w:rPr>
        <w:t>i</w:t>
      </w:r>
      <w:r w:rsidRPr="00D4287E">
        <w:rPr>
          <w:rFonts w:asciiTheme="majorHAnsi" w:hAnsiTheme="majorHAnsi"/>
          <w:sz w:val="20"/>
          <w:szCs w:val="20"/>
          <w:lang w:val="es-AR"/>
        </w:rPr>
        <w:t xml:space="preserve">nforme a las partes, hacerlo público e incluirlo en su Informe Anual a la Asamblea General de la OEA. </w:t>
      </w:r>
    </w:p>
    <w:p w:rsidR="009B2357" w:rsidRPr="00D4287E" w:rsidRDefault="009B2357" w:rsidP="00A3634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AR"/>
        </w:rPr>
      </w:pPr>
    </w:p>
    <w:p w:rsidR="00101F29" w:rsidRPr="00D4287E" w:rsidRDefault="00101F29" w:rsidP="00A36344">
      <w:pPr>
        <w:pStyle w:val="Heading1"/>
        <w:numPr>
          <w:ilvl w:val="0"/>
          <w:numId w:val="58"/>
        </w:numPr>
        <w:spacing w:before="0"/>
        <w:rPr>
          <w:color w:val="auto"/>
          <w:sz w:val="20"/>
          <w:szCs w:val="20"/>
          <w:lang w:val="es-AR"/>
        </w:rPr>
      </w:pPr>
      <w:r w:rsidRPr="00D4287E">
        <w:rPr>
          <w:color w:val="auto"/>
          <w:sz w:val="20"/>
          <w:szCs w:val="20"/>
          <w:lang w:val="es-AR"/>
        </w:rPr>
        <w:t>TRÁMITE ANTE LA COMISIÓN</w:t>
      </w:r>
    </w:p>
    <w:p w:rsidR="00A36344" w:rsidRPr="00D4287E" w:rsidRDefault="00A36344" w:rsidP="00A36344">
      <w:pPr>
        <w:rPr>
          <w:lang w:val="es-AR"/>
        </w:rPr>
      </w:pPr>
    </w:p>
    <w:p w:rsidR="00D435C6" w:rsidRPr="00D4287E" w:rsidRDefault="00101F29"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 xml:space="preserve">El </w:t>
      </w:r>
      <w:r w:rsidR="008E7ED9" w:rsidRPr="00D4287E">
        <w:rPr>
          <w:rFonts w:asciiTheme="majorHAnsi" w:hAnsiTheme="majorHAnsi"/>
          <w:sz w:val="20"/>
          <w:szCs w:val="20"/>
          <w:lang w:val="es-AR"/>
        </w:rPr>
        <w:t>28 de octubre de 2008</w:t>
      </w:r>
      <w:r w:rsidRPr="00D4287E">
        <w:rPr>
          <w:rFonts w:asciiTheme="majorHAnsi" w:hAnsiTheme="majorHAnsi"/>
          <w:sz w:val="20"/>
          <w:szCs w:val="20"/>
          <w:lang w:val="es-AR"/>
        </w:rPr>
        <w:t xml:space="preserve"> la Comisión recibió la petición inicial, la cual fue registrada bajo el número P</w:t>
      </w:r>
      <w:r w:rsidR="00EE71BC" w:rsidRPr="00D4287E">
        <w:rPr>
          <w:rFonts w:asciiTheme="majorHAnsi" w:hAnsiTheme="majorHAnsi"/>
          <w:sz w:val="20"/>
          <w:szCs w:val="20"/>
          <w:lang w:val="es-AR"/>
        </w:rPr>
        <w:t>-</w:t>
      </w:r>
      <w:r w:rsidR="008E7ED9" w:rsidRPr="00D4287E">
        <w:rPr>
          <w:rFonts w:asciiTheme="majorHAnsi" w:hAnsiTheme="majorHAnsi"/>
          <w:sz w:val="20"/>
          <w:szCs w:val="20"/>
          <w:lang w:val="es-AR"/>
        </w:rPr>
        <w:t>1263</w:t>
      </w:r>
      <w:r w:rsidRPr="00D4287E">
        <w:rPr>
          <w:rFonts w:asciiTheme="majorHAnsi" w:hAnsiTheme="majorHAnsi"/>
          <w:sz w:val="20"/>
          <w:szCs w:val="20"/>
          <w:lang w:val="es-AR"/>
        </w:rPr>
        <w:t>-0</w:t>
      </w:r>
      <w:r w:rsidR="008E7ED9" w:rsidRPr="00D4287E">
        <w:rPr>
          <w:rFonts w:asciiTheme="majorHAnsi" w:hAnsiTheme="majorHAnsi"/>
          <w:sz w:val="20"/>
          <w:szCs w:val="20"/>
          <w:lang w:val="es-AR"/>
        </w:rPr>
        <w:t>8</w:t>
      </w:r>
      <w:r w:rsidRPr="00D4287E">
        <w:rPr>
          <w:rFonts w:asciiTheme="majorHAnsi" w:hAnsiTheme="majorHAnsi"/>
          <w:sz w:val="20"/>
          <w:szCs w:val="20"/>
          <w:lang w:val="es-AR"/>
        </w:rPr>
        <w:t xml:space="preserve">. El </w:t>
      </w:r>
      <w:r w:rsidR="008E7ED9" w:rsidRPr="00D4287E">
        <w:rPr>
          <w:rFonts w:asciiTheme="majorHAnsi" w:hAnsiTheme="majorHAnsi"/>
          <w:sz w:val="20"/>
          <w:szCs w:val="20"/>
          <w:lang w:val="es-AR"/>
        </w:rPr>
        <w:t>2</w:t>
      </w:r>
      <w:r w:rsidR="00D435C6" w:rsidRPr="00D4287E">
        <w:rPr>
          <w:rFonts w:asciiTheme="majorHAnsi" w:hAnsiTheme="majorHAnsi"/>
          <w:sz w:val="20"/>
          <w:szCs w:val="20"/>
          <w:lang w:val="es-AR"/>
        </w:rPr>
        <w:t>4</w:t>
      </w:r>
      <w:r w:rsidRPr="00D4287E">
        <w:rPr>
          <w:rFonts w:asciiTheme="majorHAnsi" w:hAnsiTheme="majorHAnsi"/>
          <w:sz w:val="20"/>
          <w:szCs w:val="20"/>
          <w:lang w:val="es-AR"/>
        </w:rPr>
        <w:t xml:space="preserve"> de </w:t>
      </w:r>
      <w:r w:rsidR="00760722" w:rsidRPr="00D4287E">
        <w:rPr>
          <w:rFonts w:asciiTheme="majorHAnsi" w:hAnsiTheme="majorHAnsi"/>
          <w:sz w:val="20"/>
          <w:szCs w:val="20"/>
          <w:lang w:val="es-AR"/>
        </w:rPr>
        <w:t>octubre</w:t>
      </w:r>
      <w:r w:rsidRPr="00D4287E">
        <w:rPr>
          <w:rFonts w:asciiTheme="majorHAnsi" w:hAnsiTheme="majorHAnsi"/>
          <w:sz w:val="20"/>
          <w:szCs w:val="20"/>
          <w:lang w:val="es-AR"/>
        </w:rPr>
        <w:t xml:space="preserve"> de 20</w:t>
      </w:r>
      <w:r w:rsidR="008E7ED9" w:rsidRPr="00D4287E">
        <w:rPr>
          <w:rFonts w:asciiTheme="majorHAnsi" w:hAnsiTheme="majorHAnsi"/>
          <w:sz w:val="20"/>
          <w:szCs w:val="20"/>
          <w:lang w:val="es-AR"/>
        </w:rPr>
        <w:t>12</w:t>
      </w:r>
      <w:r w:rsidRPr="00D4287E">
        <w:rPr>
          <w:rFonts w:asciiTheme="majorHAnsi" w:hAnsiTheme="majorHAnsi"/>
          <w:sz w:val="20"/>
          <w:szCs w:val="20"/>
          <w:lang w:val="es-AR"/>
        </w:rPr>
        <w:t>,</w:t>
      </w:r>
      <w:r w:rsidR="008E7ED9" w:rsidRPr="00D4287E">
        <w:rPr>
          <w:rFonts w:asciiTheme="majorHAnsi" w:hAnsiTheme="majorHAnsi"/>
          <w:sz w:val="20"/>
          <w:szCs w:val="20"/>
          <w:lang w:val="es-AR"/>
        </w:rPr>
        <w:t xml:space="preserve"> </w:t>
      </w:r>
      <w:r w:rsidRPr="00D4287E">
        <w:rPr>
          <w:rFonts w:asciiTheme="majorHAnsi" w:hAnsiTheme="majorHAnsi"/>
          <w:sz w:val="20"/>
          <w:szCs w:val="20"/>
          <w:lang w:val="es-AR"/>
        </w:rPr>
        <w:t>l</w:t>
      </w:r>
      <w:r w:rsidR="008E7ED9" w:rsidRPr="00D4287E">
        <w:rPr>
          <w:rFonts w:asciiTheme="majorHAnsi" w:hAnsiTheme="majorHAnsi"/>
          <w:sz w:val="20"/>
          <w:szCs w:val="20"/>
          <w:lang w:val="es-AR"/>
        </w:rPr>
        <w:t>a Comisión solicitó información adicional a los</w:t>
      </w:r>
      <w:r w:rsidRPr="00D4287E">
        <w:rPr>
          <w:rFonts w:asciiTheme="majorHAnsi" w:hAnsiTheme="majorHAnsi"/>
          <w:sz w:val="20"/>
          <w:szCs w:val="20"/>
          <w:lang w:val="es-AR"/>
        </w:rPr>
        <w:t xml:space="preserve"> peticionarios</w:t>
      </w:r>
      <w:r w:rsidR="009446CD" w:rsidRPr="00D4287E">
        <w:rPr>
          <w:rFonts w:asciiTheme="majorHAnsi" w:hAnsiTheme="majorHAnsi"/>
          <w:sz w:val="20"/>
          <w:szCs w:val="20"/>
          <w:lang w:val="es-AR"/>
        </w:rPr>
        <w:t>, la cual fue recibida e</w:t>
      </w:r>
      <w:r w:rsidR="00D435C6" w:rsidRPr="00D4287E">
        <w:rPr>
          <w:rFonts w:asciiTheme="majorHAnsi" w:hAnsiTheme="majorHAnsi"/>
          <w:sz w:val="20"/>
          <w:szCs w:val="20"/>
          <w:lang w:val="es-AR"/>
        </w:rPr>
        <w:t>l 10 de julio de 2013</w:t>
      </w:r>
      <w:r w:rsidR="00124908" w:rsidRPr="00D4287E">
        <w:rPr>
          <w:rFonts w:asciiTheme="majorHAnsi" w:hAnsiTheme="majorHAnsi"/>
          <w:sz w:val="20"/>
          <w:szCs w:val="20"/>
          <w:lang w:val="es-AR"/>
        </w:rPr>
        <w:t>.</w:t>
      </w:r>
      <w:r w:rsidR="00D435C6" w:rsidRPr="00D4287E">
        <w:rPr>
          <w:rFonts w:asciiTheme="majorHAnsi" w:hAnsiTheme="majorHAnsi"/>
          <w:sz w:val="20"/>
          <w:szCs w:val="20"/>
          <w:lang w:val="es-AR"/>
        </w:rPr>
        <w:t xml:space="preserve"> </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101F29" w:rsidRPr="00D4287E" w:rsidRDefault="00101F29"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 xml:space="preserve">El </w:t>
      </w:r>
      <w:r w:rsidR="007F57B2" w:rsidRPr="00D4287E">
        <w:rPr>
          <w:rFonts w:asciiTheme="majorHAnsi" w:hAnsiTheme="majorHAnsi"/>
          <w:sz w:val="20"/>
          <w:szCs w:val="20"/>
          <w:lang w:val="es-AR"/>
        </w:rPr>
        <w:t>10</w:t>
      </w:r>
      <w:r w:rsidRPr="00D4287E">
        <w:rPr>
          <w:rFonts w:asciiTheme="majorHAnsi" w:hAnsiTheme="majorHAnsi"/>
          <w:sz w:val="20"/>
          <w:szCs w:val="20"/>
          <w:lang w:val="es-AR"/>
        </w:rPr>
        <w:t xml:space="preserve"> de </w:t>
      </w:r>
      <w:r w:rsidR="007F57B2" w:rsidRPr="00D4287E">
        <w:rPr>
          <w:rFonts w:asciiTheme="majorHAnsi" w:hAnsiTheme="majorHAnsi"/>
          <w:sz w:val="20"/>
          <w:szCs w:val="20"/>
          <w:lang w:val="es-AR"/>
        </w:rPr>
        <w:t>octubre</w:t>
      </w:r>
      <w:r w:rsidRPr="00D4287E">
        <w:rPr>
          <w:rFonts w:asciiTheme="majorHAnsi" w:hAnsiTheme="majorHAnsi"/>
          <w:sz w:val="20"/>
          <w:szCs w:val="20"/>
          <w:lang w:val="es-AR"/>
        </w:rPr>
        <w:t xml:space="preserve"> de 2013, tras completar el estudio preliminar de la petición, la Comisión procedió a transmitir las partes pertinentes de la petición al Estado </w:t>
      </w:r>
      <w:r w:rsidR="00C323C3" w:rsidRPr="00D4287E">
        <w:rPr>
          <w:rFonts w:asciiTheme="majorHAnsi" w:hAnsiTheme="majorHAnsi"/>
          <w:sz w:val="20"/>
          <w:szCs w:val="20"/>
          <w:lang w:val="es-AR"/>
        </w:rPr>
        <w:t>chileno</w:t>
      </w:r>
      <w:r w:rsidR="00837E57" w:rsidRPr="00D4287E">
        <w:rPr>
          <w:rFonts w:asciiTheme="majorHAnsi" w:hAnsiTheme="majorHAnsi"/>
          <w:sz w:val="20"/>
          <w:szCs w:val="20"/>
          <w:lang w:val="es-AR"/>
        </w:rPr>
        <w:t xml:space="preserve">, </w:t>
      </w:r>
      <w:r w:rsidR="009446CD" w:rsidRPr="00D4287E">
        <w:rPr>
          <w:rFonts w:asciiTheme="majorHAnsi" w:hAnsiTheme="majorHAnsi"/>
          <w:sz w:val="20"/>
          <w:szCs w:val="20"/>
          <w:lang w:val="es-AR"/>
        </w:rPr>
        <w:t xml:space="preserve">otorgándole </w:t>
      </w:r>
      <w:r w:rsidR="00837E57" w:rsidRPr="00D4287E">
        <w:rPr>
          <w:rFonts w:asciiTheme="majorHAnsi" w:hAnsiTheme="majorHAnsi"/>
          <w:sz w:val="20"/>
          <w:szCs w:val="20"/>
          <w:lang w:val="es-AR"/>
        </w:rPr>
        <w:t>un plazo de tres</w:t>
      </w:r>
      <w:r w:rsidRPr="00D4287E">
        <w:rPr>
          <w:rFonts w:asciiTheme="majorHAnsi" w:hAnsiTheme="majorHAnsi"/>
          <w:sz w:val="20"/>
          <w:szCs w:val="20"/>
          <w:lang w:val="es-AR"/>
        </w:rPr>
        <w:t xml:space="preserve"> meses para presentar sus observaciones, conforme al artículo 30</w:t>
      </w:r>
      <w:r w:rsidR="001E216D">
        <w:rPr>
          <w:rFonts w:asciiTheme="majorHAnsi" w:hAnsiTheme="majorHAnsi"/>
          <w:sz w:val="20"/>
          <w:szCs w:val="20"/>
          <w:lang w:val="es-AR"/>
        </w:rPr>
        <w:t>.</w:t>
      </w:r>
      <w:r w:rsidR="00C323C3" w:rsidRPr="00D4287E">
        <w:rPr>
          <w:rFonts w:asciiTheme="majorHAnsi" w:hAnsiTheme="majorHAnsi"/>
          <w:sz w:val="20"/>
          <w:szCs w:val="20"/>
          <w:lang w:val="es-AR"/>
        </w:rPr>
        <w:t>3</w:t>
      </w:r>
      <w:r w:rsidRPr="00D4287E">
        <w:rPr>
          <w:rFonts w:asciiTheme="majorHAnsi" w:hAnsiTheme="majorHAnsi"/>
          <w:sz w:val="20"/>
          <w:szCs w:val="20"/>
          <w:lang w:val="es-AR"/>
        </w:rPr>
        <w:t xml:space="preserve"> del</w:t>
      </w:r>
      <w:r w:rsidR="00837E57" w:rsidRPr="00D4287E">
        <w:rPr>
          <w:rFonts w:asciiTheme="majorHAnsi" w:hAnsiTheme="majorHAnsi"/>
          <w:sz w:val="20"/>
          <w:szCs w:val="20"/>
          <w:lang w:val="es-AR"/>
        </w:rPr>
        <w:t xml:space="preserve"> Reglamento de la Comisión</w:t>
      </w:r>
      <w:r w:rsidRPr="00D4287E">
        <w:rPr>
          <w:rFonts w:asciiTheme="majorHAnsi" w:hAnsiTheme="majorHAnsi"/>
          <w:sz w:val="20"/>
          <w:szCs w:val="20"/>
          <w:lang w:val="es-AR"/>
        </w:rPr>
        <w:t xml:space="preserve">. Con fecha </w:t>
      </w:r>
      <w:r w:rsidR="00151384" w:rsidRPr="00D4287E">
        <w:rPr>
          <w:rFonts w:asciiTheme="majorHAnsi" w:hAnsiTheme="majorHAnsi"/>
          <w:sz w:val="20"/>
          <w:szCs w:val="20"/>
          <w:lang w:val="es-AR"/>
        </w:rPr>
        <w:t>17</w:t>
      </w:r>
      <w:r w:rsidRPr="00D4287E">
        <w:rPr>
          <w:rFonts w:asciiTheme="majorHAnsi" w:hAnsiTheme="majorHAnsi"/>
          <w:sz w:val="20"/>
          <w:szCs w:val="20"/>
          <w:lang w:val="es-AR"/>
        </w:rPr>
        <w:t xml:space="preserve"> de </w:t>
      </w:r>
      <w:r w:rsidR="00151384" w:rsidRPr="00D4287E">
        <w:rPr>
          <w:rFonts w:asciiTheme="majorHAnsi" w:hAnsiTheme="majorHAnsi"/>
          <w:sz w:val="20"/>
          <w:szCs w:val="20"/>
          <w:lang w:val="es-AR"/>
        </w:rPr>
        <w:t>enero</w:t>
      </w:r>
      <w:r w:rsidRPr="00D4287E">
        <w:rPr>
          <w:rFonts w:asciiTheme="majorHAnsi" w:hAnsiTheme="majorHAnsi"/>
          <w:sz w:val="20"/>
          <w:szCs w:val="20"/>
          <w:lang w:val="es-AR"/>
        </w:rPr>
        <w:t xml:space="preserve"> de 201</w:t>
      </w:r>
      <w:r w:rsidR="00151384" w:rsidRPr="00D4287E">
        <w:rPr>
          <w:rFonts w:asciiTheme="majorHAnsi" w:hAnsiTheme="majorHAnsi"/>
          <w:sz w:val="20"/>
          <w:szCs w:val="20"/>
          <w:lang w:val="es-AR"/>
        </w:rPr>
        <w:t>4</w:t>
      </w:r>
      <w:r w:rsidRPr="00D4287E">
        <w:rPr>
          <w:rFonts w:asciiTheme="majorHAnsi" w:hAnsiTheme="majorHAnsi"/>
          <w:sz w:val="20"/>
          <w:szCs w:val="20"/>
          <w:lang w:val="es-AR"/>
        </w:rPr>
        <w:t xml:space="preserve"> el Estado solicitó una prórroga. El </w:t>
      </w:r>
      <w:r w:rsidR="00151384" w:rsidRPr="00D4287E">
        <w:rPr>
          <w:rFonts w:asciiTheme="majorHAnsi" w:hAnsiTheme="majorHAnsi"/>
          <w:sz w:val="20"/>
          <w:szCs w:val="20"/>
          <w:lang w:val="es-AR"/>
        </w:rPr>
        <w:t>4 de junio de 2014</w:t>
      </w:r>
      <w:r w:rsidRPr="00D4287E">
        <w:rPr>
          <w:rFonts w:asciiTheme="majorHAnsi" w:hAnsiTheme="majorHAnsi"/>
          <w:sz w:val="20"/>
          <w:szCs w:val="20"/>
          <w:lang w:val="es-AR"/>
        </w:rPr>
        <w:t xml:space="preserve">, </w:t>
      </w:r>
      <w:r w:rsidR="00151384" w:rsidRPr="00D4287E">
        <w:rPr>
          <w:rFonts w:asciiTheme="majorHAnsi" w:hAnsiTheme="majorHAnsi"/>
          <w:sz w:val="20"/>
          <w:szCs w:val="20"/>
          <w:lang w:val="es-AR"/>
        </w:rPr>
        <w:t xml:space="preserve">la Comisión informó </w:t>
      </w:r>
      <w:r w:rsidRPr="00D4287E">
        <w:rPr>
          <w:rFonts w:asciiTheme="majorHAnsi" w:hAnsiTheme="majorHAnsi"/>
          <w:sz w:val="20"/>
          <w:szCs w:val="20"/>
          <w:lang w:val="es-AR"/>
        </w:rPr>
        <w:t>a ambas partes que</w:t>
      </w:r>
      <w:r w:rsidR="00151384" w:rsidRPr="00D4287E">
        <w:rPr>
          <w:rFonts w:asciiTheme="majorHAnsi" w:hAnsiTheme="majorHAnsi"/>
          <w:sz w:val="20"/>
          <w:szCs w:val="20"/>
          <w:lang w:val="es-AR"/>
        </w:rPr>
        <w:t xml:space="preserve"> no </w:t>
      </w:r>
      <w:r w:rsidRPr="00D4287E">
        <w:rPr>
          <w:rFonts w:asciiTheme="majorHAnsi" w:hAnsiTheme="majorHAnsi"/>
          <w:sz w:val="20"/>
          <w:szCs w:val="20"/>
          <w:lang w:val="es-AR"/>
        </w:rPr>
        <w:t>se había concedido la prórroga solicitada por el Estado</w:t>
      </w:r>
      <w:r w:rsidR="00151384" w:rsidRPr="00D4287E">
        <w:rPr>
          <w:rFonts w:asciiTheme="majorHAnsi" w:hAnsiTheme="majorHAnsi"/>
          <w:sz w:val="20"/>
          <w:szCs w:val="20"/>
          <w:lang w:val="es-AR"/>
        </w:rPr>
        <w:t xml:space="preserve">, </w:t>
      </w:r>
      <w:r w:rsidRPr="00D4287E">
        <w:rPr>
          <w:rFonts w:asciiTheme="majorHAnsi" w:hAnsiTheme="majorHAnsi"/>
          <w:sz w:val="20"/>
          <w:szCs w:val="20"/>
          <w:lang w:val="es-AR"/>
        </w:rPr>
        <w:t>de conformidad con lo dispuesto en el artíc</w:t>
      </w:r>
      <w:r w:rsidR="001E216D">
        <w:rPr>
          <w:rFonts w:asciiTheme="majorHAnsi" w:hAnsiTheme="majorHAnsi"/>
          <w:sz w:val="20"/>
          <w:szCs w:val="20"/>
          <w:lang w:val="es-AR"/>
        </w:rPr>
        <w:t>ulo 30.</w:t>
      </w:r>
      <w:r w:rsidRPr="00D4287E">
        <w:rPr>
          <w:rFonts w:asciiTheme="majorHAnsi" w:hAnsiTheme="majorHAnsi"/>
          <w:sz w:val="20"/>
          <w:szCs w:val="20"/>
          <w:lang w:val="es-AR"/>
        </w:rPr>
        <w:t>3 del Reglamento de la Comisión. El</w:t>
      </w:r>
      <w:r w:rsidR="00151384" w:rsidRPr="00D4287E">
        <w:rPr>
          <w:rFonts w:asciiTheme="majorHAnsi" w:hAnsiTheme="majorHAnsi"/>
          <w:sz w:val="20"/>
          <w:szCs w:val="20"/>
          <w:lang w:val="es-AR"/>
        </w:rPr>
        <w:t xml:space="preserve"> 16 de junio de 2014, el</w:t>
      </w:r>
      <w:r w:rsidRPr="00D4287E">
        <w:rPr>
          <w:rFonts w:asciiTheme="majorHAnsi" w:hAnsiTheme="majorHAnsi"/>
          <w:sz w:val="20"/>
          <w:szCs w:val="20"/>
          <w:lang w:val="es-AR"/>
        </w:rPr>
        <w:t xml:space="preserve"> Estado presentó su respuesta</w:t>
      </w:r>
      <w:r w:rsidR="00F75995" w:rsidRPr="00D4287E">
        <w:rPr>
          <w:rFonts w:asciiTheme="majorHAnsi" w:hAnsiTheme="majorHAnsi"/>
          <w:sz w:val="20"/>
          <w:szCs w:val="20"/>
          <w:lang w:val="es-AR"/>
        </w:rPr>
        <w:t>.</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CB7A68" w:rsidRPr="00D4287E" w:rsidRDefault="00CB7A68"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Por último, el 18 de marzo de 2015</w:t>
      </w:r>
      <w:r w:rsidR="00737EED" w:rsidRPr="00D4287E">
        <w:rPr>
          <w:rFonts w:asciiTheme="majorHAnsi" w:hAnsiTheme="majorHAnsi"/>
          <w:sz w:val="20"/>
          <w:szCs w:val="20"/>
          <w:lang w:val="es-AR"/>
        </w:rPr>
        <w:t>,</w:t>
      </w:r>
      <w:r w:rsidRPr="00D4287E">
        <w:rPr>
          <w:rFonts w:asciiTheme="majorHAnsi" w:hAnsiTheme="majorHAnsi"/>
          <w:sz w:val="20"/>
          <w:szCs w:val="20"/>
          <w:lang w:val="es-AR"/>
        </w:rPr>
        <w:t xml:space="preserve"> la organización Alliance Defending Freedom presentó</w:t>
      </w:r>
      <w:r w:rsidR="00242652" w:rsidRPr="00D4287E">
        <w:rPr>
          <w:rFonts w:asciiTheme="majorHAnsi" w:hAnsiTheme="majorHAnsi"/>
          <w:sz w:val="20"/>
          <w:szCs w:val="20"/>
          <w:lang w:val="es-AR"/>
        </w:rPr>
        <w:t xml:space="preserve"> un </w:t>
      </w:r>
      <w:r w:rsidR="00737EED" w:rsidRPr="00D4287E">
        <w:rPr>
          <w:rFonts w:asciiTheme="majorHAnsi" w:hAnsiTheme="majorHAnsi"/>
          <w:sz w:val="20"/>
          <w:szCs w:val="20"/>
          <w:lang w:val="es-AR"/>
        </w:rPr>
        <w:t>escrito “amicus curiae”. En el mismo, la organización ofrece argumentos tendientes a demostrar que en el presente caso no se han vulnerado los derechos de la presunta víctima.</w:t>
      </w:r>
    </w:p>
    <w:p w:rsidR="009B2357" w:rsidRPr="00D4287E" w:rsidRDefault="009B2357" w:rsidP="00A36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101F29" w:rsidRPr="00D4287E" w:rsidRDefault="00101F29" w:rsidP="00A36344">
      <w:pPr>
        <w:pStyle w:val="Heading1"/>
        <w:numPr>
          <w:ilvl w:val="0"/>
          <w:numId w:val="58"/>
        </w:numPr>
        <w:spacing w:before="0"/>
        <w:rPr>
          <w:color w:val="auto"/>
          <w:sz w:val="20"/>
          <w:szCs w:val="20"/>
          <w:lang w:val="es-AR"/>
        </w:rPr>
      </w:pPr>
      <w:r w:rsidRPr="00D4287E">
        <w:rPr>
          <w:color w:val="auto"/>
          <w:sz w:val="20"/>
          <w:szCs w:val="20"/>
          <w:lang w:val="es-AR"/>
        </w:rPr>
        <w:lastRenderedPageBreak/>
        <w:t>POSICIÓN DE LAS PARTES</w:t>
      </w:r>
    </w:p>
    <w:p w:rsidR="00A36344" w:rsidRPr="00D4287E" w:rsidRDefault="00A36344" w:rsidP="00A36344">
      <w:pPr>
        <w:rPr>
          <w:lang w:val="es-AR"/>
        </w:rPr>
      </w:pPr>
    </w:p>
    <w:p w:rsidR="00101F29" w:rsidRPr="00D4287E" w:rsidRDefault="00101F29" w:rsidP="00A36344">
      <w:pPr>
        <w:pStyle w:val="Heading1"/>
        <w:keepNext w:val="0"/>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color w:val="auto"/>
          <w:sz w:val="20"/>
          <w:szCs w:val="20"/>
          <w:lang w:val="es-AR"/>
        </w:rPr>
      </w:pPr>
      <w:r w:rsidRPr="00D4287E">
        <w:rPr>
          <w:color w:val="auto"/>
          <w:sz w:val="20"/>
          <w:szCs w:val="20"/>
          <w:lang w:val="es-AR"/>
        </w:rPr>
        <w:t>Posición de los peticionarios</w:t>
      </w:r>
    </w:p>
    <w:p w:rsidR="00A36344" w:rsidRPr="00D4287E" w:rsidRDefault="00A36344" w:rsidP="00A36344">
      <w:pPr>
        <w:rPr>
          <w:lang w:val="es-AR"/>
        </w:rPr>
      </w:pPr>
    </w:p>
    <w:p w:rsidR="00226643" w:rsidRPr="00D4287E" w:rsidRDefault="009446CD"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 xml:space="preserve">Según la información suministrada por los peticionarios, </w:t>
      </w:r>
      <w:r w:rsidR="002D09F3" w:rsidRPr="00D4287E">
        <w:rPr>
          <w:rFonts w:asciiTheme="majorHAnsi" w:hAnsiTheme="majorHAnsi"/>
          <w:sz w:val="20"/>
          <w:szCs w:val="20"/>
          <w:lang w:val="es-AR"/>
        </w:rPr>
        <w:t xml:space="preserve">Sandra Cecilia Pavez Pavez es profesora de </w:t>
      </w:r>
      <w:r w:rsidRPr="00D4287E">
        <w:rPr>
          <w:rFonts w:asciiTheme="majorHAnsi" w:hAnsiTheme="majorHAnsi"/>
          <w:sz w:val="20"/>
          <w:szCs w:val="20"/>
          <w:lang w:val="es-AR"/>
        </w:rPr>
        <w:t xml:space="preserve">la asignatura de </w:t>
      </w:r>
      <w:r w:rsidR="002D09F3" w:rsidRPr="00D4287E">
        <w:rPr>
          <w:rFonts w:asciiTheme="majorHAnsi" w:hAnsiTheme="majorHAnsi"/>
          <w:sz w:val="20"/>
          <w:szCs w:val="20"/>
          <w:lang w:val="es-AR"/>
        </w:rPr>
        <w:t xml:space="preserve">religión de </w:t>
      </w:r>
      <w:r w:rsidRPr="00D4287E">
        <w:rPr>
          <w:rFonts w:asciiTheme="majorHAnsi" w:hAnsiTheme="majorHAnsi"/>
          <w:sz w:val="20"/>
          <w:szCs w:val="20"/>
          <w:lang w:val="es-AR"/>
        </w:rPr>
        <w:t>E</w:t>
      </w:r>
      <w:r w:rsidR="002D09F3" w:rsidRPr="00D4287E">
        <w:rPr>
          <w:rFonts w:asciiTheme="majorHAnsi" w:hAnsiTheme="majorHAnsi"/>
          <w:sz w:val="20"/>
          <w:szCs w:val="20"/>
          <w:lang w:val="es-AR"/>
        </w:rPr>
        <w:t xml:space="preserve">ducación </w:t>
      </w:r>
      <w:r w:rsidRPr="00D4287E">
        <w:rPr>
          <w:rFonts w:asciiTheme="majorHAnsi" w:hAnsiTheme="majorHAnsi"/>
          <w:sz w:val="20"/>
          <w:szCs w:val="20"/>
          <w:lang w:val="es-AR"/>
        </w:rPr>
        <w:t>G</w:t>
      </w:r>
      <w:r w:rsidR="002D09F3" w:rsidRPr="00D4287E">
        <w:rPr>
          <w:rFonts w:asciiTheme="majorHAnsi" w:hAnsiTheme="majorHAnsi"/>
          <w:sz w:val="20"/>
          <w:szCs w:val="20"/>
          <w:lang w:val="es-AR"/>
        </w:rPr>
        <w:t xml:space="preserve">eneral </w:t>
      </w:r>
      <w:r w:rsidRPr="00D4287E">
        <w:rPr>
          <w:rFonts w:asciiTheme="majorHAnsi" w:hAnsiTheme="majorHAnsi"/>
          <w:sz w:val="20"/>
          <w:szCs w:val="20"/>
          <w:lang w:val="es-AR"/>
        </w:rPr>
        <w:t>B</w:t>
      </w:r>
      <w:r w:rsidR="007259E9" w:rsidRPr="00D4287E">
        <w:rPr>
          <w:rFonts w:asciiTheme="majorHAnsi" w:hAnsiTheme="majorHAnsi"/>
          <w:sz w:val="20"/>
          <w:szCs w:val="20"/>
          <w:lang w:val="es-AR"/>
        </w:rPr>
        <w:t>ásica y</w:t>
      </w:r>
      <w:r w:rsidR="002D09F3" w:rsidRPr="00D4287E">
        <w:rPr>
          <w:rFonts w:asciiTheme="majorHAnsi" w:hAnsiTheme="majorHAnsi"/>
          <w:sz w:val="20"/>
          <w:szCs w:val="20"/>
          <w:lang w:val="es-AR"/>
        </w:rPr>
        <w:t xml:space="preserve"> </w:t>
      </w:r>
      <w:r w:rsidRPr="00D4287E">
        <w:rPr>
          <w:rFonts w:asciiTheme="majorHAnsi" w:hAnsiTheme="majorHAnsi"/>
          <w:sz w:val="20"/>
          <w:szCs w:val="20"/>
          <w:lang w:val="es-AR"/>
        </w:rPr>
        <w:t>se ha desempeñado por más de veinticinco años, cumpliendo todas las exigencias académicas y legales requeridas por el cargo, sin haber sido objeto de un reproche por parte de sus superiores</w:t>
      </w:r>
      <w:r w:rsidR="00365D73" w:rsidRPr="00D4287E">
        <w:rPr>
          <w:rFonts w:asciiTheme="majorHAnsi" w:hAnsiTheme="majorHAnsi"/>
          <w:sz w:val="20"/>
          <w:szCs w:val="20"/>
          <w:lang w:val="es-AR"/>
        </w:rPr>
        <w:t xml:space="preserve">. </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E07A93" w:rsidRPr="00D4287E" w:rsidRDefault="00226643"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 xml:space="preserve">Los peticionarios explicaron que en virtud del artículo 9 del Decreto 924 de 1984 —que reglamenta las clases de religión en establecimientos educacionales— </w:t>
      </w:r>
      <w:r w:rsidR="0020677C" w:rsidRPr="00D4287E">
        <w:rPr>
          <w:rFonts w:asciiTheme="majorHAnsi" w:hAnsiTheme="majorHAnsi"/>
          <w:sz w:val="20"/>
          <w:szCs w:val="20"/>
          <w:lang w:val="es-AR"/>
        </w:rPr>
        <w:t>quienes se desempeñan en la docencia de religión,</w:t>
      </w:r>
      <w:r w:rsidRPr="00D4287E">
        <w:rPr>
          <w:rFonts w:asciiTheme="majorHAnsi" w:hAnsiTheme="majorHAnsi"/>
          <w:sz w:val="20"/>
          <w:szCs w:val="20"/>
          <w:lang w:val="es-AR"/>
        </w:rPr>
        <w:t xml:space="preserve"> requieren </w:t>
      </w:r>
      <w:r w:rsidR="0020677C" w:rsidRPr="00D4287E">
        <w:rPr>
          <w:rFonts w:asciiTheme="majorHAnsi" w:hAnsiTheme="majorHAnsi"/>
          <w:sz w:val="20"/>
          <w:szCs w:val="20"/>
          <w:lang w:val="es-AR"/>
        </w:rPr>
        <w:t xml:space="preserve">para poder ejercer </w:t>
      </w:r>
      <w:r w:rsidRPr="00D4287E">
        <w:rPr>
          <w:rFonts w:asciiTheme="majorHAnsi" w:hAnsiTheme="majorHAnsi"/>
          <w:sz w:val="20"/>
          <w:szCs w:val="20"/>
          <w:lang w:val="es-AR"/>
        </w:rPr>
        <w:t xml:space="preserve">estar en posesión de un certificado de idoneidad, </w:t>
      </w:r>
      <w:r w:rsidR="0020677C" w:rsidRPr="00D4287E">
        <w:rPr>
          <w:rFonts w:asciiTheme="majorHAnsi" w:hAnsiTheme="majorHAnsi"/>
          <w:sz w:val="20"/>
          <w:szCs w:val="20"/>
          <w:lang w:val="es-AR"/>
        </w:rPr>
        <w:t xml:space="preserve">el cual es </w:t>
      </w:r>
      <w:r w:rsidRPr="00D4287E">
        <w:rPr>
          <w:rFonts w:asciiTheme="majorHAnsi" w:hAnsiTheme="majorHAnsi"/>
          <w:sz w:val="20"/>
          <w:szCs w:val="20"/>
          <w:lang w:val="es-AR"/>
        </w:rPr>
        <w:t>otorgado por la autoridad religiosa que corresponda</w:t>
      </w:r>
      <w:r w:rsidR="00EE71BC" w:rsidRPr="00D4287E">
        <w:rPr>
          <w:rFonts w:asciiTheme="majorHAnsi" w:hAnsiTheme="majorHAnsi"/>
          <w:sz w:val="20"/>
          <w:szCs w:val="20"/>
          <w:lang w:val="es-AR"/>
        </w:rPr>
        <w:t xml:space="preserve"> al culto cuya enseñanza impart</w:t>
      </w:r>
      <w:r w:rsidR="007E16EF" w:rsidRPr="00D4287E">
        <w:rPr>
          <w:rFonts w:asciiTheme="majorHAnsi" w:hAnsiTheme="majorHAnsi"/>
          <w:sz w:val="20"/>
          <w:szCs w:val="20"/>
          <w:lang w:val="es-AR"/>
        </w:rPr>
        <w:t>a</w:t>
      </w:r>
      <w:r w:rsidR="00EE71BC" w:rsidRPr="00D4287E">
        <w:rPr>
          <w:rFonts w:asciiTheme="majorHAnsi" w:hAnsiTheme="majorHAnsi"/>
          <w:sz w:val="20"/>
          <w:szCs w:val="20"/>
          <w:lang w:val="es-AR"/>
        </w:rPr>
        <w:t>n</w:t>
      </w:r>
      <w:r w:rsidR="0020677C" w:rsidRPr="00D4287E">
        <w:rPr>
          <w:rFonts w:asciiTheme="majorHAnsi" w:hAnsiTheme="majorHAnsi"/>
          <w:sz w:val="20"/>
          <w:szCs w:val="20"/>
          <w:lang w:val="es-AR"/>
        </w:rPr>
        <w:t xml:space="preserve"> y </w:t>
      </w:r>
      <w:r w:rsidRPr="00D4287E">
        <w:rPr>
          <w:rFonts w:asciiTheme="majorHAnsi" w:hAnsiTheme="majorHAnsi"/>
          <w:sz w:val="20"/>
          <w:szCs w:val="20"/>
          <w:lang w:val="es-AR"/>
        </w:rPr>
        <w:t xml:space="preserve">cuya validez dura mientras </w:t>
      </w:r>
      <w:r w:rsidR="00EE71BC" w:rsidRPr="00D4287E">
        <w:rPr>
          <w:rFonts w:asciiTheme="majorHAnsi" w:hAnsiTheme="majorHAnsi"/>
          <w:sz w:val="20"/>
          <w:szCs w:val="20"/>
          <w:lang w:val="es-AR"/>
        </w:rPr>
        <w:t>dicha autoridad</w:t>
      </w:r>
      <w:r w:rsidRPr="00D4287E">
        <w:rPr>
          <w:rFonts w:asciiTheme="majorHAnsi" w:hAnsiTheme="majorHAnsi"/>
          <w:sz w:val="20"/>
          <w:szCs w:val="20"/>
          <w:lang w:val="es-AR"/>
        </w:rPr>
        <w:t xml:space="preserve"> no lo revoque. </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226643" w:rsidRPr="00D4287E" w:rsidRDefault="00226643"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Seguidamente, i</w:t>
      </w:r>
      <w:r w:rsidR="00E07A93" w:rsidRPr="00D4287E">
        <w:rPr>
          <w:rFonts w:asciiTheme="majorHAnsi" w:hAnsiTheme="majorHAnsi"/>
          <w:sz w:val="20"/>
          <w:szCs w:val="20"/>
          <w:lang w:val="es-AR"/>
        </w:rPr>
        <w:t>ndica</w:t>
      </w:r>
      <w:r w:rsidRPr="00D4287E">
        <w:rPr>
          <w:rFonts w:asciiTheme="majorHAnsi" w:hAnsiTheme="majorHAnsi"/>
          <w:sz w:val="20"/>
          <w:szCs w:val="20"/>
          <w:lang w:val="es-AR"/>
        </w:rPr>
        <w:t>n</w:t>
      </w:r>
      <w:r w:rsidR="00E07A93" w:rsidRPr="00D4287E">
        <w:rPr>
          <w:rFonts w:asciiTheme="majorHAnsi" w:hAnsiTheme="majorHAnsi"/>
          <w:sz w:val="20"/>
          <w:szCs w:val="20"/>
          <w:lang w:val="es-AR"/>
        </w:rPr>
        <w:t xml:space="preserve"> que el 25 de julio de 2007, el </w:t>
      </w:r>
      <w:r w:rsidR="00D7749C" w:rsidRPr="00D4287E">
        <w:rPr>
          <w:rFonts w:asciiTheme="majorHAnsi" w:hAnsiTheme="majorHAnsi"/>
          <w:sz w:val="20"/>
          <w:szCs w:val="20"/>
          <w:lang w:val="es-AR"/>
        </w:rPr>
        <w:t>v</w:t>
      </w:r>
      <w:r w:rsidR="00E07A93" w:rsidRPr="00D4287E">
        <w:rPr>
          <w:rFonts w:asciiTheme="majorHAnsi" w:hAnsiTheme="majorHAnsi"/>
          <w:sz w:val="20"/>
          <w:szCs w:val="20"/>
          <w:lang w:val="es-AR"/>
        </w:rPr>
        <w:t xml:space="preserve">icario para la </w:t>
      </w:r>
      <w:r w:rsidR="00D7749C" w:rsidRPr="00D4287E">
        <w:rPr>
          <w:rFonts w:asciiTheme="majorHAnsi" w:hAnsiTheme="majorHAnsi"/>
          <w:sz w:val="20"/>
          <w:szCs w:val="20"/>
          <w:lang w:val="es-AR"/>
        </w:rPr>
        <w:t>e</w:t>
      </w:r>
      <w:r w:rsidR="00E07A93" w:rsidRPr="00D4287E">
        <w:rPr>
          <w:rFonts w:asciiTheme="majorHAnsi" w:hAnsiTheme="majorHAnsi"/>
          <w:sz w:val="20"/>
          <w:szCs w:val="20"/>
          <w:lang w:val="es-AR"/>
        </w:rPr>
        <w:t xml:space="preserve">ducación del </w:t>
      </w:r>
      <w:r w:rsidR="00D7749C" w:rsidRPr="00D4287E">
        <w:rPr>
          <w:rFonts w:asciiTheme="majorHAnsi" w:hAnsiTheme="majorHAnsi"/>
          <w:sz w:val="20"/>
          <w:szCs w:val="20"/>
          <w:lang w:val="es-AR"/>
        </w:rPr>
        <w:t>o</w:t>
      </w:r>
      <w:r w:rsidR="00E07A93" w:rsidRPr="00D4287E">
        <w:rPr>
          <w:rFonts w:asciiTheme="majorHAnsi" w:hAnsiTheme="majorHAnsi"/>
          <w:sz w:val="20"/>
          <w:szCs w:val="20"/>
          <w:lang w:val="es-AR"/>
        </w:rPr>
        <w:t>bispado de San Bernardo</w:t>
      </w:r>
      <w:r w:rsidR="00D7749C" w:rsidRPr="00D4287E">
        <w:rPr>
          <w:rFonts w:asciiTheme="majorHAnsi" w:hAnsiTheme="majorHAnsi"/>
          <w:sz w:val="20"/>
          <w:szCs w:val="20"/>
          <w:lang w:val="es-AR"/>
        </w:rPr>
        <w:t>, René Aguilera Colinier,</w:t>
      </w:r>
      <w:r w:rsidR="00E07A93" w:rsidRPr="00D4287E">
        <w:rPr>
          <w:rFonts w:asciiTheme="majorHAnsi" w:hAnsiTheme="majorHAnsi"/>
          <w:sz w:val="20"/>
          <w:szCs w:val="20"/>
          <w:lang w:val="es-AR"/>
        </w:rPr>
        <w:t xml:space="preserve"> le comunicó por escrito a la presunta víctima que había decidido revocar su </w:t>
      </w:r>
      <w:r w:rsidR="00C05E85" w:rsidRPr="00D4287E">
        <w:rPr>
          <w:rFonts w:asciiTheme="majorHAnsi" w:hAnsiTheme="majorHAnsi"/>
          <w:sz w:val="20"/>
          <w:szCs w:val="20"/>
          <w:lang w:val="es-AR"/>
        </w:rPr>
        <w:t>c</w:t>
      </w:r>
      <w:r w:rsidR="00E07A93" w:rsidRPr="00D4287E">
        <w:rPr>
          <w:rFonts w:asciiTheme="majorHAnsi" w:hAnsiTheme="majorHAnsi"/>
          <w:sz w:val="20"/>
          <w:szCs w:val="20"/>
          <w:lang w:val="es-AR"/>
        </w:rPr>
        <w:t xml:space="preserve">ertificado de </w:t>
      </w:r>
      <w:r w:rsidR="00C05E85" w:rsidRPr="00D4287E">
        <w:rPr>
          <w:rFonts w:asciiTheme="majorHAnsi" w:hAnsiTheme="majorHAnsi"/>
          <w:sz w:val="20"/>
          <w:szCs w:val="20"/>
          <w:lang w:val="es-AR"/>
        </w:rPr>
        <w:t>i</w:t>
      </w:r>
      <w:r w:rsidR="00E07A93" w:rsidRPr="00D4287E">
        <w:rPr>
          <w:rFonts w:asciiTheme="majorHAnsi" w:hAnsiTheme="majorHAnsi"/>
          <w:sz w:val="20"/>
          <w:szCs w:val="20"/>
          <w:lang w:val="es-AR"/>
        </w:rPr>
        <w:t>doneidad, inhabilitándol</w:t>
      </w:r>
      <w:r w:rsidR="00EE71BC" w:rsidRPr="00D4287E">
        <w:rPr>
          <w:rFonts w:asciiTheme="majorHAnsi" w:hAnsiTheme="majorHAnsi"/>
          <w:sz w:val="20"/>
          <w:szCs w:val="20"/>
          <w:lang w:val="es-AR"/>
        </w:rPr>
        <w:t>a</w:t>
      </w:r>
      <w:r w:rsidR="00E07A93" w:rsidRPr="00D4287E">
        <w:rPr>
          <w:rFonts w:asciiTheme="majorHAnsi" w:hAnsiTheme="majorHAnsi"/>
          <w:sz w:val="20"/>
          <w:szCs w:val="20"/>
          <w:lang w:val="es-AR"/>
        </w:rPr>
        <w:t xml:space="preserve"> de esta manera para ejercer como docente </w:t>
      </w:r>
      <w:r w:rsidR="00EE71BC" w:rsidRPr="00D4287E">
        <w:rPr>
          <w:rFonts w:asciiTheme="majorHAnsi" w:hAnsiTheme="majorHAnsi"/>
          <w:sz w:val="20"/>
          <w:szCs w:val="20"/>
          <w:lang w:val="es-AR"/>
        </w:rPr>
        <w:t xml:space="preserve">de </w:t>
      </w:r>
      <w:r w:rsidR="00E07A93" w:rsidRPr="00D4287E">
        <w:rPr>
          <w:rFonts w:asciiTheme="majorHAnsi" w:hAnsiTheme="majorHAnsi"/>
          <w:sz w:val="20"/>
          <w:szCs w:val="20"/>
          <w:lang w:val="es-AR"/>
        </w:rPr>
        <w:t xml:space="preserve">la asignatura de religión </w:t>
      </w:r>
      <w:r w:rsidR="007E16EF" w:rsidRPr="00D4287E">
        <w:rPr>
          <w:rFonts w:asciiTheme="majorHAnsi" w:hAnsiTheme="majorHAnsi"/>
          <w:sz w:val="20"/>
          <w:szCs w:val="20"/>
          <w:lang w:val="es-AR"/>
        </w:rPr>
        <w:t xml:space="preserve">católica </w:t>
      </w:r>
      <w:r w:rsidR="00E07A93" w:rsidRPr="00D4287E">
        <w:rPr>
          <w:rFonts w:asciiTheme="majorHAnsi" w:hAnsiTheme="majorHAnsi"/>
          <w:sz w:val="20"/>
          <w:szCs w:val="20"/>
          <w:lang w:val="es-AR"/>
        </w:rPr>
        <w:t xml:space="preserve">en los establecimientos educacionales </w:t>
      </w:r>
      <w:r w:rsidR="0020677C" w:rsidRPr="00D4287E">
        <w:rPr>
          <w:rFonts w:asciiTheme="majorHAnsi" w:hAnsiTheme="majorHAnsi"/>
          <w:sz w:val="20"/>
          <w:szCs w:val="20"/>
          <w:lang w:val="es-AR"/>
        </w:rPr>
        <w:t>de</w:t>
      </w:r>
      <w:r w:rsidR="00E07A93" w:rsidRPr="00D4287E">
        <w:rPr>
          <w:rFonts w:asciiTheme="majorHAnsi" w:hAnsiTheme="majorHAnsi"/>
          <w:sz w:val="20"/>
          <w:szCs w:val="20"/>
          <w:lang w:val="es-AR"/>
        </w:rPr>
        <w:t xml:space="preserve"> la diócesis de San Bernardo. En dicha comunicación le habría manifestado que </w:t>
      </w:r>
      <w:r w:rsidR="00A45FED" w:rsidRPr="00D4287E">
        <w:rPr>
          <w:rFonts w:asciiTheme="majorHAnsi" w:hAnsiTheme="majorHAnsi"/>
          <w:sz w:val="20"/>
          <w:szCs w:val="20"/>
          <w:lang w:val="es-AR"/>
        </w:rPr>
        <w:t>la</w:t>
      </w:r>
      <w:r w:rsidR="00E07A93" w:rsidRPr="00D4287E">
        <w:rPr>
          <w:rFonts w:asciiTheme="majorHAnsi" w:hAnsiTheme="majorHAnsi"/>
          <w:sz w:val="20"/>
          <w:szCs w:val="20"/>
          <w:lang w:val="es-AR"/>
        </w:rPr>
        <w:t xml:space="preserve"> decisión se había adoptado “después del proceso de análisis de la situación que </w:t>
      </w:r>
      <w:r w:rsidR="00EE71BC" w:rsidRPr="00D4287E">
        <w:rPr>
          <w:rFonts w:asciiTheme="majorHAnsi" w:hAnsiTheme="majorHAnsi"/>
          <w:sz w:val="20"/>
          <w:szCs w:val="20"/>
          <w:lang w:val="es-AR"/>
        </w:rPr>
        <w:t xml:space="preserve">[la presunta víctima] </w:t>
      </w:r>
      <w:r w:rsidR="00E07A93" w:rsidRPr="00D4287E">
        <w:rPr>
          <w:rFonts w:asciiTheme="majorHAnsi" w:hAnsiTheme="majorHAnsi"/>
          <w:sz w:val="20"/>
          <w:szCs w:val="20"/>
          <w:lang w:val="es-AR"/>
        </w:rPr>
        <w:t xml:space="preserve">ya </w:t>
      </w:r>
      <w:r w:rsidR="00EE71BC" w:rsidRPr="00D4287E">
        <w:rPr>
          <w:rFonts w:asciiTheme="majorHAnsi" w:hAnsiTheme="majorHAnsi"/>
          <w:sz w:val="20"/>
          <w:szCs w:val="20"/>
          <w:lang w:val="es-AR"/>
        </w:rPr>
        <w:t>[conocía]</w:t>
      </w:r>
      <w:r w:rsidR="00E07A93" w:rsidRPr="00D4287E">
        <w:rPr>
          <w:rFonts w:asciiTheme="majorHAnsi" w:hAnsiTheme="majorHAnsi"/>
          <w:sz w:val="20"/>
          <w:szCs w:val="20"/>
          <w:lang w:val="es-AR"/>
        </w:rPr>
        <w:t xml:space="preserve"> y sobre la cual [habían] dialogado en diversas ocasiones y considerando las disposiciones de la Iglesia</w:t>
      </w:r>
      <w:r w:rsidR="00390CDC" w:rsidRPr="00D4287E">
        <w:rPr>
          <w:rFonts w:asciiTheme="majorHAnsi" w:hAnsiTheme="majorHAnsi"/>
          <w:sz w:val="20"/>
          <w:szCs w:val="20"/>
          <w:lang w:val="es-AR"/>
        </w:rPr>
        <w:t xml:space="preserve"> en relación con la idoneidad necesaria para ejercer la enseñanza de la religió</w:t>
      </w:r>
      <w:r w:rsidR="00A45FED" w:rsidRPr="00D4287E">
        <w:rPr>
          <w:rFonts w:asciiTheme="majorHAnsi" w:hAnsiTheme="majorHAnsi"/>
          <w:sz w:val="20"/>
          <w:szCs w:val="20"/>
          <w:lang w:val="es-AR"/>
        </w:rPr>
        <w:t>n</w:t>
      </w:r>
      <w:r w:rsidR="00390CDC" w:rsidRPr="00D4287E">
        <w:rPr>
          <w:rFonts w:asciiTheme="majorHAnsi" w:hAnsiTheme="majorHAnsi"/>
          <w:sz w:val="20"/>
          <w:szCs w:val="20"/>
          <w:lang w:val="es-AR"/>
        </w:rPr>
        <w:t xml:space="preserve"> católica en los establecimientos educacionales y las normas legales vigentes</w:t>
      </w:r>
      <w:r w:rsidR="00E07A93" w:rsidRPr="00D4287E">
        <w:rPr>
          <w:rFonts w:asciiTheme="majorHAnsi" w:hAnsiTheme="majorHAnsi"/>
          <w:sz w:val="20"/>
          <w:szCs w:val="20"/>
          <w:lang w:val="es-AR"/>
        </w:rPr>
        <w:t>, como asimismo lo dispuesto por las normas del derecho canónico”.</w:t>
      </w:r>
      <w:r w:rsidR="00070A51" w:rsidRPr="00D4287E">
        <w:rPr>
          <w:rFonts w:asciiTheme="majorHAnsi" w:hAnsiTheme="majorHAnsi"/>
          <w:sz w:val="20"/>
          <w:szCs w:val="20"/>
          <w:lang w:val="es-AR"/>
        </w:rPr>
        <w:t xml:space="preserve"> </w:t>
      </w:r>
      <w:r w:rsidR="00A45FED" w:rsidRPr="00D4287E">
        <w:rPr>
          <w:rFonts w:asciiTheme="majorHAnsi" w:hAnsiTheme="majorHAnsi"/>
          <w:sz w:val="20"/>
          <w:szCs w:val="20"/>
          <w:lang w:val="es-AR"/>
        </w:rPr>
        <w:t>C</w:t>
      </w:r>
      <w:r w:rsidR="00070A51" w:rsidRPr="00D4287E">
        <w:rPr>
          <w:rFonts w:asciiTheme="majorHAnsi" w:hAnsiTheme="majorHAnsi"/>
          <w:sz w:val="20"/>
          <w:szCs w:val="20"/>
          <w:lang w:val="es-AR"/>
        </w:rPr>
        <w:t xml:space="preserve">opias de dicha comunicación </w:t>
      </w:r>
      <w:r w:rsidR="00F936B9" w:rsidRPr="00D4287E">
        <w:rPr>
          <w:rFonts w:asciiTheme="majorHAnsi" w:hAnsiTheme="majorHAnsi"/>
          <w:sz w:val="20"/>
          <w:szCs w:val="20"/>
          <w:lang w:val="es-AR"/>
        </w:rPr>
        <w:t>habrían sido</w:t>
      </w:r>
      <w:r w:rsidR="00070A51" w:rsidRPr="00D4287E">
        <w:rPr>
          <w:rFonts w:asciiTheme="majorHAnsi" w:hAnsiTheme="majorHAnsi"/>
          <w:sz w:val="20"/>
          <w:szCs w:val="20"/>
          <w:lang w:val="es-AR"/>
        </w:rPr>
        <w:t xml:space="preserve"> remitidas a la alcaldesa de San Bernardo y al director de la corporación de educación y salud de la misma municipalidad.</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C943B8" w:rsidRPr="00D4287E" w:rsidRDefault="00D7749C"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 xml:space="preserve">Asimismo, explicaron </w:t>
      </w:r>
      <w:r w:rsidR="00F936B9" w:rsidRPr="00D4287E">
        <w:rPr>
          <w:rFonts w:asciiTheme="majorHAnsi" w:hAnsiTheme="majorHAnsi"/>
          <w:sz w:val="20"/>
          <w:szCs w:val="20"/>
          <w:lang w:val="es-AR"/>
        </w:rPr>
        <w:t xml:space="preserve">los peticionarios </w:t>
      </w:r>
      <w:r w:rsidRPr="00D4287E">
        <w:rPr>
          <w:rFonts w:asciiTheme="majorHAnsi" w:hAnsiTheme="majorHAnsi"/>
          <w:sz w:val="20"/>
          <w:szCs w:val="20"/>
          <w:lang w:val="es-AR"/>
        </w:rPr>
        <w:t xml:space="preserve">que al hacer referencia a la “situación </w:t>
      </w:r>
      <w:r w:rsidR="00F936B9" w:rsidRPr="00D4287E">
        <w:rPr>
          <w:rFonts w:asciiTheme="majorHAnsi" w:hAnsiTheme="majorHAnsi"/>
          <w:sz w:val="20"/>
          <w:szCs w:val="20"/>
          <w:lang w:val="es-AR"/>
        </w:rPr>
        <w:t xml:space="preserve">que [la presunta víctima] ya [conocía] </w:t>
      </w:r>
      <w:r w:rsidRPr="00D4287E">
        <w:rPr>
          <w:rFonts w:asciiTheme="majorHAnsi" w:hAnsiTheme="majorHAnsi"/>
          <w:sz w:val="20"/>
          <w:szCs w:val="20"/>
          <w:lang w:val="es-AR"/>
        </w:rPr>
        <w:t xml:space="preserve">y sobre la cual [habían] dialogado en diversas ocasiones”, el vicario estaría haciendo directa referencia a que la presunta víctima es lesbiana y a la serie de conversaciones sostenidas con ella desde el mes </w:t>
      </w:r>
      <w:r w:rsidR="00A9675C" w:rsidRPr="00D4287E">
        <w:rPr>
          <w:rFonts w:asciiTheme="majorHAnsi" w:hAnsiTheme="majorHAnsi"/>
          <w:sz w:val="20"/>
          <w:szCs w:val="20"/>
          <w:lang w:val="es-AR"/>
        </w:rPr>
        <w:t>de abril de 2007, en las cuales,</w:t>
      </w:r>
      <w:r w:rsidRPr="00D4287E">
        <w:rPr>
          <w:rFonts w:asciiTheme="majorHAnsi" w:hAnsiTheme="majorHAnsi"/>
          <w:sz w:val="20"/>
          <w:szCs w:val="20"/>
          <w:lang w:val="es-AR"/>
        </w:rPr>
        <w:t xml:space="preserve"> tanto el citado vicario como el obispo de la diócesis de San Bernardo le </w:t>
      </w:r>
      <w:r w:rsidR="00F936B9" w:rsidRPr="00D4287E">
        <w:rPr>
          <w:rFonts w:asciiTheme="majorHAnsi" w:hAnsiTheme="majorHAnsi"/>
          <w:sz w:val="20"/>
          <w:szCs w:val="20"/>
          <w:lang w:val="es-AR"/>
        </w:rPr>
        <w:t>habrían reprochado</w:t>
      </w:r>
      <w:r w:rsidRPr="00D4287E">
        <w:rPr>
          <w:rFonts w:asciiTheme="majorHAnsi" w:hAnsiTheme="majorHAnsi"/>
          <w:sz w:val="20"/>
          <w:szCs w:val="20"/>
          <w:lang w:val="es-AR"/>
        </w:rPr>
        <w:t xml:space="preserve"> su orientación sexual y </w:t>
      </w:r>
      <w:r w:rsidR="00A9675C" w:rsidRPr="00D4287E">
        <w:rPr>
          <w:rFonts w:asciiTheme="majorHAnsi" w:hAnsiTheme="majorHAnsi"/>
          <w:sz w:val="20"/>
          <w:szCs w:val="20"/>
          <w:lang w:val="es-AR"/>
        </w:rPr>
        <w:t xml:space="preserve">el </w:t>
      </w:r>
      <w:r w:rsidRPr="00D4287E">
        <w:rPr>
          <w:rFonts w:asciiTheme="majorHAnsi" w:hAnsiTheme="majorHAnsi"/>
          <w:sz w:val="20"/>
          <w:szCs w:val="20"/>
          <w:lang w:val="es-AR"/>
        </w:rPr>
        <w:t xml:space="preserve">hecho de mantener una </w:t>
      </w:r>
      <w:r w:rsidR="00A9675C" w:rsidRPr="00D4287E">
        <w:rPr>
          <w:rFonts w:asciiTheme="majorHAnsi" w:hAnsiTheme="majorHAnsi"/>
          <w:sz w:val="20"/>
          <w:szCs w:val="20"/>
          <w:lang w:val="es-AR"/>
        </w:rPr>
        <w:t>relación</w:t>
      </w:r>
      <w:r w:rsidRPr="00D4287E">
        <w:rPr>
          <w:rFonts w:asciiTheme="majorHAnsi" w:hAnsiTheme="majorHAnsi"/>
          <w:sz w:val="20"/>
          <w:szCs w:val="20"/>
          <w:lang w:val="es-AR"/>
        </w:rPr>
        <w:t xml:space="preserve"> estable </w:t>
      </w:r>
      <w:r w:rsidR="00A9675C" w:rsidRPr="00D4287E">
        <w:rPr>
          <w:rFonts w:asciiTheme="majorHAnsi" w:hAnsiTheme="majorHAnsi"/>
          <w:sz w:val="20"/>
          <w:szCs w:val="20"/>
          <w:lang w:val="es-AR"/>
        </w:rPr>
        <w:t xml:space="preserve">con una persona </w:t>
      </w:r>
      <w:r w:rsidRPr="00D4287E">
        <w:rPr>
          <w:rFonts w:asciiTheme="majorHAnsi" w:hAnsiTheme="majorHAnsi"/>
          <w:sz w:val="20"/>
          <w:szCs w:val="20"/>
          <w:lang w:val="es-AR"/>
        </w:rPr>
        <w:t>del mismo sexo</w:t>
      </w:r>
      <w:r w:rsidR="00A9675C" w:rsidRPr="00D4287E">
        <w:rPr>
          <w:rFonts w:asciiTheme="majorHAnsi" w:hAnsiTheme="majorHAnsi"/>
          <w:sz w:val="20"/>
          <w:szCs w:val="20"/>
          <w:lang w:val="es-AR"/>
        </w:rPr>
        <w:t xml:space="preserve">. </w:t>
      </w:r>
      <w:r w:rsidR="00C943B8" w:rsidRPr="00D4287E">
        <w:rPr>
          <w:rFonts w:asciiTheme="majorHAnsi" w:hAnsiTheme="majorHAnsi"/>
          <w:sz w:val="20"/>
          <w:szCs w:val="20"/>
          <w:lang w:val="es-AR"/>
        </w:rPr>
        <w:t>Así, le habrían</w:t>
      </w:r>
      <w:r w:rsidRPr="00D4287E">
        <w:rPr>
          <w:rFonts w:asciiTheme="majorHAnsi" w:hAnsiTheme="majorHAnsi"/>
          <w:sz w:val="20"/>
          <w:szCs w:val="20"/>
          <w:lang w:val="es-AR"/>
        </w:rPr>
        <w:t xml:space="preserve"> exhort</w:t>
      </w:r>
      <w:r w:rsidR="00C943B8" w:rsidRPr="00D4287E">
        <w:rPr>
          <w:rFonts w:asciiTheme="majorHAnsi" w:hAnsiTheme="majorHAnsi"/>
          <w:sz w:val="20"/>
          <w:szCs w:val="20"/>
          <w:lang w:val="es-AR"/>
        </w:rPr>
        <w:t xml:space="preserve">ado </w:t>
      </w:r>
      <w:r w:rsidRPr="00D4287E">
        <w:rPr>
          <w:rFonts w:asciiTheme="majorHAnsi" w:hAnsiTheme="majorHAnsi"/>
          <w:sz w:val="20"/>
          <w:szCs w:val="20"/>
          <w:lang w:val="es-AR"/>
        </w:rPr>
        <w:t>a “terminar de manera inmediata con su vida homosexual”</w:t>
      </w:r>
      <w:r w:rsidR="00C943B8" w:rsidRPr="00D4287E">
        <w:rPr>
          <w:rFonts w:asciiTheme="majorHAnsi" w:hAnsiTheme="majorHAnsi"/>
          <w:sz w:val="20"/>
          <w:szCs w:val="20"/>
          <w:lang w:val="es-AR"/>
        </w:rPr>
        <w:t xml:space="preserve"> [sic]</w:t>
      </w:r>
      <w:r w:rsidR="00C05E85" w:rsidRPr="00D4287E">
        <w:rPr>
          <w:rFonts w:asciiTheme="majorHAnsi" w:hAnsiTheme="majorHAnsi"/>
          <w:sz w:val="20"/>
          <w:szCs w:val="20"/>
          <w:lang w:val="es-AR"/>
        </w:rPr>
        <w:t>, so pena de no poder ejercer más su profesión de docente de la asignatura de religión. Asimismo, indican los peticionarios que le habrían impuesto como condición adicional el somet</w:t>
      </w:r>
      <w:r w:rsidR="00C943B8" w:rsidRPr="00D4287E">
        <w:rPr>
          <w:rFonts w:asciiTheme="majorHAnsi" w:hAnsiTheme="majorHAnsi"/>
          <w:sz w:val="20"/>
          <w:szCs w:val="20"/>
          <w:lang w:val="es-AR"/>
        </w:rPr>
        <w:t>erse</w:t>
      </w:r>
      <w:r w:rsidR="00C05E85" w:rsidRPr="00D4287E">
        <w:rPr>
          <w:rFonts w:asciiTheme="majorHAnsi" w:hAnsiTheme="majorHAnsi"/>
          <w:sz w:val="20"/>
          <w:szCs w:val="20"/>
          <w:lang w:val="es-AR"/>
        </w:rPr>
        <w:t xml:space="preserve"> a una “terapia de orden psiquiátrico” con la finalidad “de que revirtiera su supuesta alteración mental”</w:t>
      </w:r>
      <w:r w:rsidR="00C943B8" w:rsidRPr="00D4287E">
        <w:rPr>
          <w:rFonts w:asciiTheme="majorHAnsi" w:hAnsiTheme="majorHAnsi"/>
          <w:sz w:val="20"/>
          <w:szCs w:val="20"/>
          <w:lang w:val="es-AR"/>
        </w:rPr>
        <w:t xml:space="preserve"> [sic]</w:t>
      </w:r>
      <w:r w:rsidR="00C05E85" w:rsidRPr="00D4287E">
        <w:rPr>
          <w:rFonts w:asciiTheme="majorHAnsi" w:hAnsiTheme="majorHAnsi"/>
          <w:sz w:val="20"/>
          <w:szCs w:val="20"/>
          <w:lang w:val="es-AR"/>
        </w:rPr>
        <w:t>.</w:t>
      </w:r>
      <w:r w:rsidR="00C943B8" w:rsidRPr="00D4287E">
        <w:rPr>
          <w:rFonts w:asciiTheme="majorHAnsi" w:hAnsiTheme="majorHAnsi"/>
          <w:sz w:val="20"/>
          <w:szCs w:val="20"/>
          <w:lang w:val="es-AR"/>
        </w:rPr>
        <w:t xml:space="preserve"> </w:t>
      </w:r>
      <w:r w:rsidR="00C05E85" w:rsidRPr="00D4287E">
        <w:rPr>
          <w:rFonts w:asciiTheme="majorHAnsi" w:hAnsiTheme="majorHAnsi"/>
          <w:sz w:val="20"/>
          <w:szCs w:val="20"/>
          <w:lang w:val="es-AR"/>
        </w:rPr>
        <w:t>Conforme se indica en la petición, la presunta víctima no habría accedido a tales condicionamientos, por lo que el vicario habría procedido a revocar su certificado de idoneidad.</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9946A8" w:rsidRPr="00D4287E" w:rsidRDefault="00C943B8"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Los peticionarios explican que ante dicha decisión</w:t>
      </w:r>
      <w:r w:rsidR="00214BA5" w:rsidRPr="00D4287E">
        <w:rPr>
          <w:rFonts w:asciiTheme="majorHAnsi" w:hAnsiTheme="majorHAnsi"/>
          <w:sz w:val="20"/>
          <w:szCs w:val="20"/>
          <w:lang w:val="es-AR"/>
        </w:rPr>
        <w:t xml:space="preserve">, la presunta víctima </w:t>
      </w:r>
      <w:r w:rsidRPr="00D4287E">
        <w:rPr>
          <w:rFonts w:asciiTheme="majorHAnsi" w:hAnsiTheme="majorHAnsi"/>
          <w:sz w:val="20"/>
          <w:szCs w:val="20"/>
          <w:lang w:val="es-AR"/>
        </w:rPr>
        <w:t>interpus</w:t>
      </w:r>
      <w:r w:rsidR="00214BA5" w:rsidRPr="00D4287E">
        <w:rPr>
          <w:rFonts w:asciiTheme="majorHAnsi" w:hAnsiTheme="majorHAnsi"/>
          <w:sz w:val="20"/>
          <w:szCs w:val="20"/>
          <w:lang w:val="es-AR"/>
        </w:rPr>
        <w:t>o</w:t>
      </w:r>
      <w:r w:rsidRPr="00D4287E">
        <w:rPr>
          <w:rFonts w:asciiTheme="majorHAnsi" w:hAnsiTheme="majorHAnsi"/>
          <w:sz w:val="20"/>
          <w:szCs w:val="20"/>
          <w:lang w:val="es-AR"/>
        </w:rPr>
        <w:t xml:space="preserve"> recurso de protección ante los tribunales de justicia locales, solicitando se resguardaran </w:t>
      </w:r>
      <w:r w:rsidR="00214BA5" w:rsidRPr="00D4287E">
        <w:rPr>
          <w:rFonts w:asciiTheme="majorHAnsi" w:hAnsiTheme="majorHAnsi"/>
          <w:sz w:val="20"/>
          <w:szCs w:val="20"/>
          <w:lang w:val="es-AR"/>
        </w:rPr>
        <w:t>sus</w:t>
      </w:r>
      <w:r w:rsidRPr="00D4287E">
        <w:rPr>
          <w:rFonts w:asciiTheme="majorHAnsi" w:hAnsiTheme="majorHAnsi"/>
          <w:sz w:val="20"/>
          <w:szCs w:val="20"/>
          <w:lang w:val="es-AR"/>
        </w:rPr>
        <w:t xml:space="preserve"> derechos a la igualdad ante la ley y </w:t>
      </w:r>
      <w:r w:rsidR="007E16EF" w:rsidRPr="00D4287E">
        <w:rPr>
          <w:rFonts w:asciiTheme="majorHAnsi" w:hAnsiTheme="majorHAnsi"/>
          <w:sz w:val="20"/>
          <w:szCs w:val="20"/>
          <w:lang w:val="es-AR"/>
        </w:rPr>
        <w:t xml:space="preserve">a </w:t>
      </w:r>
      <w:r w:rsidRPr="00D4287E">
        <w:rPr>
          <w:rFonts w:asciiTheme="majorHAnsi" w:hAnsiTheme="majorHAnsi"/>
          <w:sz w:val="20"/>
          <w:szCs w:val="20"/>
          <w:lang w:val="es-AR"/>
        </w:rPr>
        <w:t>la vida privada.</w:t>
      </w:r>
      <w:r w:rsidR="00D332B2" w:rsidRPr="00D4287E">
        <w:rPr>
          <w:rFonts w:asciiTheme="majorHAnsi" w:hAnsiTheme="majorHAnsi"/>
          <w:sz w:val="20"/>
          <w:szCs w:val="20"/>
          <w:lang w:val="es-AR"/>
        </w:rPr>
        <w:t xml:space="preserve"> Sin embargo, m</w:t>
      </w:r>
      <w:r w:rsidRPr="00D4287E">
        <w:rPr>
          <w:rFonts w:asciiTheme="majorHAnsi" w:hAnsiTheme="majorHAnsi"/>
          <w:sz w:val="20"/>
          <w:szCs w:val="20"/>
          <w:lang w:val="es-AR"/>
        </w:rPr>
        <w:t>ediante sentencia de fecha 27 de noviembre de 2007, la Corte de Apelaciones de San Miguel</w:t>
      </w:r>
      <w:r w:rsidR="00D332B2" w:rsidRPr="00D4287E">
        <w:rPr>
          <w:rFonts w:asciiTheme="majorHAnsi" w:hAnsiTheme="majorHAnsi"/>
          <w:sz w:val="20"/>
          <w:szCs w:val="20"/>
          <w:lang w:val="es-AR"/>
        </w:rPr>
        <w:t xml:space="preserve"> resolvió rechazar la acción incoada. Para así decidir, dicho tribunal </w:t>
      </w:r>
      <w:r w:rsidR="00FB582A" w:rsidRPr="00D4287E">
        <w:rPr>
          <w:rFonts w:asciiTheme="majorHAnsi" w:hAnsiTheme="majorHAnsi"/>
          <w:sz w:val="20"/>
          <w:szCs w:val="20"/>
          <w:lang w:val="es-AR"/>
        </w:rPr>
        <w:t>habría considerado</w:t>
      </w:r>
      <w:r w:rsidR="00D332B2" w:rsidRPr="00D4287E">
        <w:rPr>
          <w:rFonts w:asciiTheme="majorHAnsi" w:hAnsiTheme="majorHAnsi"/>
          <w:sz w:val="20"/>
          <w:szCs w:val="20"/>
          <w:lang w:val="es-AR"/>
        </w:rPr>
        <w:t xml:space="preserve"> que la legislación aplicable faculta</w:t>
      </w:r>
      <w:r w:rsidR="00FB582A" w:rsidRPr="00D4287E">
        <w:rPr>
          <w:rFonts w:asciiTheme="majorHAnsi" w:hAnsiTheme="majorHAnsi"/>
          <w:sz w:val="20"/>
          <w:szCs w:val="20"/>
          <w:lang w:val="es-AR"/>
        </w:rPr>
        <w:t>ba</w:t>
      </w:r>
      <w:r w:rsidR="00D332B2" w:rsidRPr="00D4287E">
        <w:rPr>
          <w:rFonts w:asciiTheme="majorHAnsi" w:hAnsiTheme="majorHAnsi"/>
          <w:sz w:val="20"/>
          <w:szCs w:val="20"/>
          <w:lang w:val="es-AR"/>
        </w:rPr>
        <w:t xml:space="preserve"> al órgano religioso correspondiente </w:t>
      </w:r>
      <w:r w:rsidR="00214BA5" w:rsidRPr="00D4287E">
        <w:rPr>
          <w:rFonts w:asciiTheme="majorHAnsi" w:hAnsiTheme="majorHAnsi"/>
          <w:sz w:val="20"/>
          <w:szCs w:val="20"/>
          <w:lang w:val="es-AR"/>
        </w:rPr>
        <w:t>a</w:t>
      </w:r>
      <w:r w:rsidR="00D332B2" w:rsidRPr="00D4287E">
        <w:rPr>
          <w:rFonts w:asciiTheme="majorHAnsi" w:hAnsiTheme="majorHAnsi"/>
          <w:sz w:val="20"/>
          <w:szCs w:val="20"/>
          <w:lang w:val="es-AR"/>
        </w:rPr>
        <w:t xml:space="preserve"> </w:t>
      </w:r>
      <w:r w:rsidR="00FB582A" w:rsidRPr="00D4287E">
        <w:rPr>
          <w:rFonts w:asciiTheme="majorHAnsi" w:hAnsiTheme="majorHAnsi"/>
          <w:sz w:val="20"/>
          <w:szCs w:val="20"/>
          <w:lang w:val="es-AR"/>
        </w:rPr>
        <w:t xml:space="preserve">otorgar </w:t>
      </w:r>
      <w:r w:rsidR="00D332B2" w:rsidRPr="00D4287E">
        <w:rPr>
          <w:rFonts w:asciiTheme="majorHAnsi" w:hAnsiTheme="majorHAnsi"/>
          <w:sz w:val="20"/>
          <w:szCs w:val="20"/>
          <w:lang w:val="es-AR"/>
        </w:rPr>
        <w:t>y revo</w:t>
      </w:r>
      <w:r w:rsidR="00FB582A" w:rsidRPr="00D4287E">
        <w:rPr>
          <w:rFonts w:asciiTheme="majorHAnsi" w:hAnsiTheme="majorHAnsi"/>
          <w:sz w:val="20"/>
          <w:szCs w:val="20"/>
          <w:lang w:val="es-AR"/>
        </w:rPr>
        <w:t>car</w:t>
      </w:r>
      <w:r w:rsidR="00D332B2" w:rsidRPr="00D4287E">
        <w:rPr>
          <w:rFonts w:asciiTheme="majorHAnsi" w:hAnsiTheme="majorHAnsi"/>
          <w:sz w:val="20"/>
          <w:szCs w:val="20"/>
          <w:lang w:val="es-AR"/>
        </w:rPr>
        <w:t xml:space="preserve"> la autorización</w:t>
      </w:r>
      <w:r w:rsidR="00214BA5" w:rsidRPr="00D4287E">
        <w:rPr>
          <w:rFonts w:asciiTheme="majorHAnsi" w:hAnsiTheme="majorHAnsi"/>
          <w:sz w:val="20"/>
          <w:szCs w:val="20"/>
          <w:lang w:val="es-AR"/>
        </w:rPr>
        <w:t xml:space="preserve"> para ejercer la docencia de religión</w:t>
      </w:r>
      <w:r w:rsidR="00D332B2" w:rsidRPr="00D4287E">
        <w:rPr>
          <w:rFonts w:asciiTheme="majorHAnsi" w:hAnsiTheme="majorHAnsi"/>
          <w:sz w:val="20"/>
          <w:szCs w:val="20"/>
          <w:lang w:val="es-AR"/>
        </w:rPr>
        <w:t xml:space="preserve"> de acuerdo con sus particulares principios religiosos, morales y filosóficos</w:t>
      </w:r>
      <w:r w:rsidR="00FB582A" w:rsidRPr="00D4287E">
        <w:rPr>
          <w:rFonts w:asciiTheme="majorHAnsi" w:hAnsiTheme="majorHAnsi"/>
          <w:sz w:val="20"/>
          <w:szCs w:val="20"/>
          <w:lang w:val="es-AR"/>
        </w:rPr>
        <w:t>, respec</w:t>
      </w:r>
      <w:r w:rsidR="00214BA5" w:rsidRPr="00D4287E">
        <w:rPr>
          <w:rFonts w:asciiTheme="majorHAnsi" w:hAnsiTheme="majorHAnsi"/>
          <w:sz w:val="20"/>
          <w:szCs w:val="20"/>
          <w:lang w:val="es-AR"/>
        </w:rPr>
        <w:t>to de lo cual el Estado no tendría</w:t>
      </w:r>
      <w:r w:rsidR="00FB582A" w:rsidRPr="00D4287E">
        <w:rPr>
          <w:rFonts w:asciiTheme="majorHAnsi" w:hAnsiTheme="majorHAnsi"/>
          <w:sz w:val="20"/>
          <w:szCs w:val="20"/>
          <w:lang w:val="es-AR"/>
        </w:rPr>
        <w:t xml:space="preserve"> poder de injerencia alguna. </w:t>
      </w:r>
      <w:r w:rsidR="00214BA5" w:rsidRPr="00D4287E">
        <w:rPr>
          <w:rFonts w:asciiTheme="majorHAnsi" w:hAnsiTheme="majorHAnsi"/>
          <w:sz w:val="20"/>
          <w:szCs w:val="20"/>
          <w:lang w:val="es-AR"/>
        </w:rPr>
        <w:t>En esa misma línea</w:t>
      </w:r>
      <w:r w:rsidR="00FB582A" w:rsidRPr="00D4287E">
        <w:rPr>
          <w:rFonts w:asciiTheme="majorHAnsi" w:hAnsiTheme="majorHAnsi"/>
          <w:sz w:val="20"/>
          <w:szCs w:val="20"/>
          <w:lang w:val="es-AR"/>
        </w:rPr>
        <w:t>, habría estimado que dicha facultad descansa sobre el propio credo</w:t>
      </w:r>
      <w:r w:rsidR="00214BA5" w:rsidRPr="00D4287E">
        <w:rPr>
          <w:rFonts w:asciiTheme="majorHAnsi" w:hAnsiTheme="majorHAnsi"/>
          <w:sz w:val="20"/>
          <w:szCs w:val="20"/>
          <w:lang w:val="es-AR"/>
        </w:rPr>
        <w:t>,</w:t>
      </w:r>
      <w:r w:rsidR="00FB582A" w:rsidRPr="00D4287E">
        <w:rPr>
          <w:rFonts w:asciiTheme="majorHAnsi" w:hAnsiTheme="majorHAnsi"/>
          <w:sz w:val="20"/>
          <w:szCs w:val="20"/>
          <w:lang w:val="es-AR"/>
        </w:rPr>
        <w:t xml:space="preserve"> </w:t>
      </w:r>
      <w:r w:rsidR="00214BA5" w:rsidRPr="00D4287E">
        <w:rPr>
          <w:rFonts w:asciiTheme="majorHAnsi" w:hAnsiTheme="majorHAnsi"/>
          <w:sz w:val="20"/>
          <w:szCs w:val="20"/>
          <w:lang w:val="es-AR"/>
        </w:rPr>
        <w:t>el cual</w:t>
      </w:r>
      <w:r w:rsidR="00FB582A" w:rsidRPr="00D4287E">
        <w:rPr>
          <w:rFonts w:asciiTheme="majorHAnsi" w:hAnsiTheme="majorHAnsi"/>
          <w:sz w:val="20"/>
          <w:szCs w:val="20"/>
          <w:lang w:val="es-AR"/>
        </w:rPr>
        <w:t xml:space="preserve"> tiene amplia libertad para est</w:t>
      </w:r>
      <w:r w:rsidR="00E67E07" w:rsidRPr="00D4287E">
        <w:rPr>
          <w:rFonts w:asciiTheme="majorHAnsi" w:hAnsiTheme="majorHAnsi"/>
          <w:sz w:val="20"/>
          <w:szCs w:val="20"/>
          <w:lang w:val="es-AR"/>
        </w:rPr>
        <w:t>ablecer sus normas y principios</w:t>
      </w:r>
      <w:r w:rsidR="00B90E23" w:rsidRPr="00D4287E">
        <w:rPr>
          <w:rFonts w:asciiTheme="majorHAnsi" w:hAnsiTheme="majorHAnsi"/>
          <w:sz w:val="20"/>
          <w:szCs w:val="20"/>
          <w:lang w:val="es-AR"/>
        </w:rPr>
        <w:t>,</w:t>
      </w:r>
      <w:r w:rsidR="00E67E07" w:rsidRPr="00D4287E">
        <w:rPr>
          <w:rFonts w:asciiTheme="majorHAnsi" w:hAnsiTheme="majorHAnsi"/>
          <w:sz w:val="20"/>
          <w:szCs w:val="20"/>
          <w:lang w:val="es-AR"/>
        </w:rPr>
        <w:t xml:space="preserve"> y que subyac</w:t>
      </w:r>
      <w:r w:rsidR="00214BA5" w:rsidRPr="00D4287E">
        <w:rPr>
          <w:rFonts w:asciiTheme="majorHAnsi" w:hAnsiTheme="majorHAnsi"/>
          <w:sz w:val="20"/>
          <w:szCs w:val="20"/>
          <w:lang w:val="es-AR"/>
        </w:rPr>
        <w:t>e</w:t>
      </w:r>
      <w:r w:rsidR="00E67E07" w:rsidRPr="00D4287E">
        <w:rPr>
          <w:rFonts w:asciiTheme="majorHAnsi" w:hAnsiTheme="majorHAnsi"/>
          <w:sz w:val="20"/>
          <w:szCs w:val="20"/>
          <w:lang w:val="es-AR"/>
        </w:rPr>
        <w:t xml:space="preserve"> en la propia norma legal que quien debiera impartir un credo en las aulas debía ajustarse a dichas normas, creencias y dogmas sin que competa a los órganos del Estado inmiscuirse o cuestionarlas.</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9946A8" w:rsidRDefault="009946A8"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 xml:space="preserve">Ante el rechazo por parte de la Corte de Apelaciones de San Miguel, </w:t>
      </w:r>
      <w:r w:rsidR="00214BA5" w:rsidRPr="00D4287E">
        <w:rPr>
          <w:rFonts w:asciiTheme="majorHAnsi" w:hAnsiTheme="majorHAnsi"/>
          <w:sz w:val="20"/>
          <w:szCs w:val="20"/>
          <w:lang w:val="es-AR"/>
        </w:rPr>
        <w:t xml:space="preserve">la presunta víctima interpuso </w:t>
      </w:r>
      <w:r w:rsidRPr="00D4287E">
        <w:rPr>
          <w:rFonts w:asciiTheme="majorHAnsi" w:hAnsiTheme="majorHAnsi"/>
          <w:sz w:val="20"/>
          <w:szCs w:val="20"/>
          <w:lang w:val="es-AR"/>
        </w:rPr>
        <w:t>recurso de apelación. El día 17 de abril de 2008</w:t>
      </w:r>
      <w:r w:rsidR="00B77B1B" w:rsidRPr="00D4287E">
        <w:rPr>
          <w:rFonts w:asciiTheme="majorHAnsi" w:hAnsiTheme="majorHAnsi"/>
          <w:sz w:val="20"/>
          <w:szCs w:val="20"/>
          <w:lang w:val="es-AR"/>
        </w:rPr>
        <w:t>,</w:t>
      </w:r>
      <w:r w:rsidRPr="00D4287E">
        <w:rPr>
          <w:rFonts w:asciiTheme="majorHAnsi" w:hAnsiTheme="majorHAnsi"/>
          <w:sz w:val="20"/>
          <w:szCs w:val="20"/>
          <w:lang w:val="es-AR"/>
        </w:rPr>
        <w:t xml:space="preserve"> </w:t>
      </w:r>
      <w:r w:rsidR="007E16EF" w:rsidRPr="00D4287E">
        <w:rPr>
          <w:rFonts w:asciiTheme="majorHAnsi" w:hAnsiTheme="majorHAnsi"/>
          <w:sz w:val="20"/>
          <w:szCs w:val="20"/>
          <w:lang w:val="es-AR"/>
        </w:rPr>
        <w:t xml:space="preserve">la Corte Suprema de la República de Chile </w:t>
      </w:r>
      <w:r w:rsidRPr="00D4287E">
        <w:rPr>
          <w:rFonts w:asciiTheme="majorHAnsi" w:hAnsiTheme="majorHAnsi"/>
          <w:sz w:val="20"/>
          <w:szCs w:val="20"/>
          <w:lang w:val="es-AR"/>
        </w:rPr>
        <w:t>confirmó en todas sus partes la sentencia de la Corte de Apelaciones.</w:t>
      </w:r>
    </w:p>
    <w:p w:rsidR="009B687E" w:rsidRPr="00D4287E" w:rsidRDefault="009B687E" w:rsidP="009B68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6C5744" w:rsidRPr="00D4287E" w:rsidRDefault="002F003F"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lastRenderedPageBreak/>
        <w:t>Los peticionarios alegan que la decisión del vicario de revocar el certificado de idoneidad de la presunta víctima</w:t>
      </w:r>
      <w:r w:rsidR="0073331D" w:rsidRPr="00D4287E">
        <w:rPr>
          <w:rFonts w:asciiTheme="majorHAnsi" w:hAnsiTheme="majorHAnsi"/>
          <w:sz w:val="20"/>
          <w:szCs w:val="20"/>
          <w:lang w:val="es-AR"/>
        </w:rPr>
        <w:t>, seguido de la</w:t>
      </w:r>
      <w:r w:rsidRPr="00D4287E">
        <w:rPr>
          <w:rFonts w:asciiTheme="majorHAnsi" w:hAnsiTheme="majorHAnsi"/>
          <w:sz w:val="20"/>
          <w:szCs w:val="20"/>
          <w:lang w:val="es-AR"/>
        </w:rPr>
        <w:t xml:space="preserve"> falta de protección por parte de los tribunales nacionales</w:t>
      </w:r>
      <w:r w:rsidR="0073331D" w:rsidRPr="00D4287E">
        <w:rPr>
          <w:rFonts w:asciiTheme="majorHAnsi" w:hAnsiTheme="majorHAnsi"/>
          <w:sz w:val="20"/>
          <w:szCs w:val="20"/>
          <w:lang w:val="es-AR"/>
        </w:rPr>
        <w:t>,</w:t>
      </w:r>
      <w:r w:rsidRPr="00D4287E">
        <w:rPr>
          <w:rFonts w:asciiTheme="majorHAnsi" w:hAnsiTheme="majorHAnsi"/>
          <w:sz w:val="20"/>
          <w:szCs w:val="20"/>
          <w:lang w:val="es-AR"/>
        </w:rPr>
        <w:t xml:space="preserve"> violaron el derecho a la igualdad ante la ley</w:t>
      </w:r>
      <w:r w:rsidR="00214BA5" w:rsidRPr="00D4287E">
        <w:rPr>
          <w:rFonts w:asciiTheme="majorHAnsi" w:hAnsiTheme="majorHAnsi"/>
          <w:sz w:val="20"/>
          <w:szCs w:val="20"/>
          <w:lang w:val="es-AR"/>
        </w:rPr>
        <w:t>,</w:t>
      </w:r>
      <w:r w:rsidRPr="00D4287E">
        <w:rPr>
          <w:rFonts w:asciiTheme="majorHAnsi" w:hAnsiTheme="majorHAnsi"/>
          <w:sz w:val="20"/>
          <w:szCs w:val="20"/>
          <w:lang w:val="es-AR"/>
        </w:rPr>
        <w:t xml:space="preserve"> consagrado en el artículo 24 de la Convención Americana. Alegan que tales hechos conllevan a perpetuar una situación de constante discriminación y repudio a las personas </w:t>
      </w:r>
      <w:r w:rsidR="002011A8" w:rsidRPr="00D4287E">
        <w:rPr>
          <w:rFonts w:asciiTheme="majorHAnsi" w:hAnsiTheme="majorHAnsi"/>
          <w:sz w:val="20"/>
          <w:szCs w:val="20"/>
          <w:lang w:val="es-AR"/>
        </w:rPr>
        <w:t>lesbianas, gays, bisexuales y trans</w:t>
      </w:r>
      <w:r w:rsidR="0073331D" w:rsidRPr="00D4287E">
        <w:rPr>
          <w:rFonts w:asciiTheme="majorHAnsi" w:hAnsiTheme="majorHAnsi"/>
          <w:sz w:val="20"/>
          <w:szCs w:val="20"/>
          <w:lang w:val="es-AR"/>
        </w:rPr>
        <w:t>,</w:t>
      </w:r>
      <w:r w:rsidR="006C5744" w:rsidRPr="00D4287E">
        <w:rPr>
          <w:rFonts w:asciiTheme="majorHAnsi" w:hAnsiTheme="majorHAnsi"/>
          <w:sz w:val="20"/>
          <w:szCs w:val="20"/>
          <w:lang w:val="es-AR"/>
        </w:rPr>
        <w:t xml:space="preserve"> y favorece </w:t>
      </w:r>
      <w:r w:rsidRPr="00D4287E">
        <w:rPr>
          <w:rFonts w:asciiTheme="majorHAnsi" w:hAnsiTheme="majorHAnsi"/>
          <w:sz w:val="20"/>
          <w:szCs w:val="20"/>
          <w:lang w:val="es-AR"/>
        </w:rPr>
        <w:t>una corriente de pensamiento al interior de la iglesia católica</w:t>
      </w:r>
      <w:r w:rsidR="006C5744" w:rsidRPr="00D4287E">
        <w:rPr>
          <w:rFonts w:asciiTheme="majorHAnsi" w:hAnsiTheme="majorHAnsi"/>
          <w:sz w:val="20"/>
          <w:szCs w:val="20"/>
          <w:lang w:val="es-AR"/>
        </w:rPr>
        <w:t xml:space="preserve"> que contradice en forma directa la Ley del Estado de Chile.</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101F29" w:rsidRPr="00D4287E" w:rsidRDefault="006C5744"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Asimismo, alegan que existió una violación al artículo 11</w:t>
      </w:r>
      <w:r w:rsidR="00F044C1" w:rsidRPr="00D4287E">
        <w:rPr>
          <w:rFonts w:asciiTheme="majorHAnsi" w:hAnsiTheme="majorHAnsi"/>
          <w:sz w:val="20"/>
          <w:szCs w:val="20"/>
          <w:lang w:val="es-AR"/>
        </w:rPr>
        <w:t xml:space="preserve"> de la Convención</w:t>
      </w:r>
      <w:r w:rsidRPr="00D4287E">
        <w:rPr>
          <w:rFonts w:asciiTheme="majorHAnsi" w:hAnsiTheme="majorHAnsi"/>
          <w:sz w:val="20"/>
          <w:szCs w:val="20"/>
          <w:lang w:val="es-AR"/>
        </w:rPr>
        <w:t xml:space="preserve">, por cuanto los tribunales chilenos no pueden amparar al interior del territorio </w:t>
      </w:r>
      <w:r w:rsidR="0026059D" w:rsidRPr="00D4287E">
        <w:rPr>
          <w:rFonts w:asciiTheme="majorHAnsi" w:hAnsiTheme="majorHAnsi"/>
          <w:sz w:val="20"/>
          <w:szCs w:val="20"/>
          <w:lang w:val="es-AR"/>
        </w:rPr>
        <w:t>“</w:t>
      </w:r>
      <w:r w:rsidRPr="00D4287E">
        <w:rPr>
          <w:rFonts w:asciiTheme="majorHAnsi" w:hAnsiTheme="majorHAnsi"/>
          <w:sz w:val="20"/>
          <w:szCs w:val="20"/>
          <w:lang w:val="es-AR"/>
        </w:rPr>
        <w:t>corrientes de pensamiento que sean atentatorias de las máximas constitucionales</w:t>
      </w:r>
      <w:r w:rsidR="0026059D" w:rsidRPr="00D4287E">
        <w:rPr>
          <w:rFonts w:asciiTheme="majorHAnsi" w:hAnsiTheme="majorHAnsi"/>
          <w:sz w:val="20"/>
          <w:szCs w:val="20"/>
          <w:lang w:val="es-AR"/>
        </w:rPr>
        <w:t>”</w:t>
      </w:r>
      <w:r w:rsidRPr="00D4287E">
        <w:rPr>
          <w:rFonts w:asciiTheme="majorHAnsi" w:hAnsiTheme="majorHAnsi"/>
          <w:sz w:val="20"/>
          <w:szCs w:val="20"/>
          <w:lang w:val="es-AR"/>
        </w:rPr>
        <w:t xml:space="preserve"> y que, si bien es cierto que la Constitución ampara la libertad religiosa, ésta debe ceñirse estrictamente a la ley, </w:t>
      </w:r>
      <w:r w:rsidR="00F044C1" w:rsidRPr="00D4287E">
        <w:rPr>
          <w:rFonts w:asciiTheme="majorHAnsi" w:hAnsiTheme="majorHAnsi"/>
          <w:sz w:val="20"/>
          <w:szCs w:val="20"/>
          <w:lang w:val="es-AR"/>
        </w:rPr>
        <w:t xml:space="preserve">prohibiendo por lo tanto toda forma de discriminación e injerencia en la vida de los individuos. Asimismo, agregan que </w:t>
      </w:r>
      <w:r w:rsidR="0026059D" w:rsidRPr="00D4287E">
        <w:rPr>
          <w:rFonts w:asciiTheme="majorHAnsi" w:hAnsiTheme="majorHAnsi"/>
          <w:sz w:val="20"/>
          <w:szCs w:val="20"/>
          <w:lang w:val="es-AR"/>
        </w:rPr>
        <w:t>“</w:t>
      </w:r>
      <w:r w:rsidR="00F044C1" w:rsidRPr="00D4287E">
        <w:rPr>
          <w:rFonts w:asciiTheme="majorHAnsi" w:hAnsiTheme="majorHAnsi"/>
          <w:sz w:val="20"/>
          <w:szCs w:val="20"/>
          <w:lang w:val="es-AR"/>
        </w:rPr>
        <w:t>no es posible aplicar un tratado con desconocimiento de los principios generales del derecho o del derecho consuetudinario que lo precede o lo complementa</w:t>
      </w:r>
      <w:r w:rsidR="0026059D" w:rsidRPr="00D4287E">
        <w:rPr>
          <w:rFonts w:asciiTheme="majorHAnsi" w:hAnsiTheme="majorHAnsi"/>
          <w:sz w:val="20"/>
          <w:szCs w:val="20"/>
          <w:lang w:val="es-AR"/>
        </w:rPr>
        <w:t>, como tampoco es posible ignorar, al interpretar un tratado, las otras fuentes del derecho que pueden haberlo sucedido, aclarándolo o complementándolo”.</w:t>
      </w:r>
    </w:p>
    <w:p w:rsidR="009B2357" w:rsidRPr="00D4287E" w:rsidRDefault="009B2357" w:rsidP="00A3634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AR"/>
        </w:rPr>
      </w:pPr>
    </w:p>
    <w:p w:rsidR="00101F29" w:rsidRPr="00D4287E" w:rsidRDefault="00101F29" w:rsidP="00A36344">
      <w:pPr>
        <w:pStyle w:val="Heading1"/>
        <w:numPr>
          <w:ilvl w:val="0"/>
          <w:numId w:val="56"/>
        </w:numPr>
        <w:spacing w:before="0"/>
        <w:rPr>
          <w:color w:val="auto"/>
          <w:sz w:val="20"/>
          <w:szCs w:val="20"/>
          <w:lang w:val="es-AR"/>
        </w:rPr>
      </w:pPr>
      <w:r w:rsidRPr="00D4287E">
        <w:rPr>
          <w:color w:val="auto"/>
          <w:sz w:val="20"/>
          <w:szCs w:val="20"/>
          <w:lang w:val="es-AR"/>
        </w:rPr>
        <w:t>Posición del Estado</w:t>
      </w:r>
    </w:p>
    <w:p w:rsidR="00A36344" w:rsidRPr="00D4287E" w:rsidRDefault="00A36344" w:rsidP="00A36344">
      <w:pPr>
        <w:rPr>
          <w:lang w:val="es-AR"/>
        </w:rPr>
      </w:pPr>
    </w:p>
    <w:p w:rsidR="00101F29" w:rsidRPr="00D4287E" w:rsidRDefault="00F75995"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 xml:space="preserve">En su respuesta, el Estado señaló </w:t>
      </w:r>
      <w:r w:rsidR="009946A8" w:rsidRPr="00D4287E">
        <w:rPr>
          <w:rFonts w:asciiTheme="majorHAnsi" w:hAnsiTheme="majorHAnsi"/>
          <w:sz w:val="20"/>
          <w:szCs w:val="20"/>
          <w:lang w:val="es-AR"/>
        </w:rPr>
        <w:t xml:space="preserve">sucintamente </w:t>
      </w:r>
      <w:r w:rsidRPr="00D4287E">
        <w:rPr>
          <w:rFonts w:asciiTheme="majorHAnsi" w:hAnsiTheme="majorHAnsi"/>
          <w:sz w:val="20"/>
          <w:szCs w:val="20"/>
          <w:lang w:val="es-AR"/>
        </w:rPr>
        <w:t xml:space="preserve">que </w:t>
      </w:r>
      <w:r w:rsidR="00140393" w:rsidRPr="00D4287E">
        <w:rPr>
          <w:rFonts w:asciiTheme="majorHAnsi" w:hAnsiTheme="majorHAnsi"/>
          <w:sz w:val="20"/>
          <w:szCs w:val="20"/>
          <w:lang w:val="es-AR"/>
        </w:rPr>
        <w:t>“</w:t>
      </w:r>
      <w:r w:rsidR="00481902" w:rsidRPr="00D4287E">
        <w:rPr>
          <w:rFonts w:asciiTheme="majorHAnsi" w:hAnsiTheme="majorHAnsi"/>
          <w:sz w:val="20"/>
          <w:szCs w:val="20"/>
          <w:lang w:val="es-AR"/>
        </w:rPr>
        <w:t xml:space="preserve">sin perjuicio de las observaciones sobre el fondo que el Estado pueda formular en su oportunidad, </w:t>
      </w:r>
      <w:r w:rsidRPr="00D4287E">
        <w:rPr>
          <w:rFonts w:asciiTheme="majorHAnsi" w:hAnsiTheme="majorHAnsi"/>
          <w:sz w:val="20"/>
          <w:szCs w:val="20"/>
          <w:lang w:val="es-AR"/>
        </w:rPr>
        <w:t>no tiene reparos respe</w:t>
      </w:r>
      <w:r w:rsidR="009946A8" w:rsidRPr="00D4287E">
        <w:rPr>
          <w:rFonts w:asciiTheme="majorHAnsi" w:hAnsiTheme="majorHAnsi"/>
          <w:sz w:val="20"/>
          <w:szCs w:val="20"/>
          <w:lang w:val="es-AR"/>
        </w:rPr>
        <w:t>c</w:t>
      </w:r>
      <w:r w:rsidRPr="00D4287E">
        <w:rPr>
          <w:rFonts w:asciiTheme="majorHAnsi" w:hAnsiTheme="majorHAnsi"/>
          <w:sz w:val="20"/>
          <w:szCs w:val="20"/>
          <w:lang w:val="es-AR"/>
        </w:rPr>
        <w:t>to al cumplimiento de los requisitos de forma por parte de los peticionarios</w:t>
      </w:r>
      <w:r w:rsidR="00481902" w:rsidRPr="00D4287E">
        <w:rPr>
          <w:rFonts w:asciiTheme="majorHAnsi" w:hAnsiTheme="majorHAnsi"/>
          <w:sz w:val="20"/>
          <w:szCs w:val="20"/>
          <w:lang w:val="es-AR"/>
        </w:rPr>
        <w:t>”</w:t>
      </w:r>
      <w:r w:rsidRPr="00D4287E">
        <w:rPr>
          <w:rFonts w:asciiTheme="majorHAnsi" w:hAnsiTheme="majorHAnsi"/>
          <w:sz w:val="20"/>
          <w:szCs w:val="20"/>
          <w:lang w:val="es-AR"/>
        </w:rPr>
        <w:t>.</w:t>
      </w:r>
      <w:r w:rsidR="0026059D" w:rsidRPr="00D4287E">
        <w:rPr>
          <w:rFonts w:asciiTheme="majorHAnsi" w:hAnsiTheme="majorHAnsi"/>
          <w:sz w:val="20"/>
          <w:szCs w:val="20"/>
          <w:lang w:val="es-AR"/>
        </w:rPr>
        <w:t xml:space="preserve"> </w:t>
      </w:r>
    </w:p>
    <w:p w:rsidR="009B2357" w:rsidRPr="00D4287E" w:rsidRDefault="009B2357" w:rsidP="00A36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101F29" w:rsidRPr="00D4287E" w:rsidRDefault="00101F29" w:rsidP="00A36344">
      <w:pPr>
        <w:pStyle w:val="Heading1"/>
        <w:numPr>
          <w:ilvl w:val="0"/>
          <w:numId w:val="58"/>
        </w:numPr>
        <w:spacing w:before="0"/>
        <w:rPr>
          <w:color w:val="auto"/>
          <w:sz w:val="20"/>
          <w:szCs w:val="20"/>
          <w:lang w:val="es-AR"/>
        </w:rPr>
      </w:pPr>
      <w:r w:rsidRPr="00D4287E">
        <w:rPr>
          <w:color w:val="auto"/>
          <w:sz w:val="20"/>
          <w:szCs w:val="20"/>
          <w:lang w:val="es-AR"/>
        </w:rPr>
        <w:t xml:space="preserve">ANÁLISIS DE COMPETENCIA Y ADMISIBILIDAD </w:t>
      </w:r>
    </w:p>
    <w:p w:rsidR="00A36344" w:rsidRPr="00D4287E" w:rsidRDefault="00A36344" w:rsidP="00A36344">
      <w:pPr>
        <w:rPr>
          <w:lang w:val="es-AR"/>
        </w:rPr>
      </w:pPr>
    </w:p>
    <w:p w:rsidR="00101F29" w:rsidRPr="00D4287E" w:rsidRDefault="00101F29" w:rsidP="00A36344">
      <w:pPr>
        <w:pStyle w:val="Heading1"/>
        <w:numPr>
          <w:ilvl w:val="0"/>
          <w:numId w:val="59"/>
        </w:numPr>
        <w:spacing w:before="0"/>
        <w:ind w:left="1440" w:hanging="720"/>
        <w:rPr>
          <w:color w:val="auto"/>
          <w:sz w:val="20"/>
          <w:szCs w:val="20"/>
          <w:lang w:val="es-AR"/>
        </w:rPr>
      </w:pPr>
      <w:r w:rsidRPr="00D4287E">
        <w:rPr>
          <w:color w:val="auto"/>
          <w:sz w:val="20"/>
          <w:szCs w:val="20"/>
          <w:lang w:val="es-AR"/>
        </w:rPr>
        <w:t xml:space="preserve">Competencia </w:t>
      </w:r>
      <w:r w:rsidRPr="00D4287E">
        <w:rPr>
          <w:i/>
          <w:color w:val="auto"/>
          <w:sz w:val="20"/>
          <w:szCs w:val="20"/>
          <w:lang w:val="es-AR"/>
        </w:rPr>
        <w:t>ratione personae</w:t>
      </w:r>
      <w:r w:rsidRPr="00D4287E">
        <w:rPr>
          <w:color w:val="auto"/>
          <w:sz w:val="20"/>
          <w:szCs w:val="20"/>
          <w:lang w:val="es-AR"/>
        </w:rPr>
        <w:t xml:space="preserve">, </w:t>
      </w:r>
      <w:r w:rsidRPr="00D4287E">
        <w:rPr>
          <w:i/>
          <w:color w:val="auto"/>
          <w:sz w:val="20"/>
          <w:szCs w:val="20"/>
          <w:lang w:val="es-AR"/>
        </w:rPr>
        <w:t>ratione loci</w:t>
      </w:r>
      <w:r w:rsidRPr="00D4287E">
        <w:rPr>
          <w:color w:val="auto"/>
          <w:sz w:val="20"/>
          <w:szCs w:val="20"/>
          <w:lang w:val="es-AR"/>
        </w:rPr>
        <w:t xml:space="preserve">, </w:t>
      </w:r>
      <w:r w:rsidRPr="00D4287E">
        <w:rPr>
          <w:i/>
          <w:color w:val="auto"/>
          <w:sz w:val="20"/>
          <w:szCs w:val="20"/>
          <w:lang w:val="es-AR"/>
        </w:rPr>
        <w:t>ratione temporis</w:t>
      </w:r>
      <w:r w:rsidRPr="00D4287E">
        <w:rPr>
          <w:color w:val="auto"/>
          <w:sz w:val="20"/>
          <w:szCs w:val="20"/>
          <w:lang w:val="es-AR"/>
        </w:rPr>
        <w:t xml:space="preserve"> y </w:t>
      </w:r>
      <w:r w:rsidRPr="00D4287E">
        <w:rPr>
          <w:i/>
          <w:color w:val="auto"/>
          <w:sz w:val="20"/>
          <w:szCs w:val="20"/>
          <w:lang w:val="es-AR"/>
        </w:rPr>
        <w:t>ratione materiae</w:t>
      </w:r>
      <w:r w:rsidRPr="00D4287E">
        <w:rPr>
          <w:color w:val="auto"/>
          <w:sz w:val="20"/>
          <w:szCs w:val="20"/>
          <w:lang w:val="es-AR"/>
        </w:rPr>
        <w:t xml:space="preserve"> de la Comisión</w:t>
      </w:r>
    </w:p>
    <w:p w:rsidR="00A36344" w:rsidRPr="00D4287E" w:rsidRDefault="00A36344" w:rsidP="00A36344">
      <w:pPr>
        <w:rPr>
          <w:lang w:val="es-AR"/>
        </w:rPr>
      </w:pPr>
    </w:p>
    <w:p w:rsidR="0026059D" w:rsidRPr="00D4287E" w:rsidRDefault="00B1253E"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Los peticionarios se encuentran facultados por el artículo 44 de la Convención Americana para presentar peticiones ante la Comisión. La petición señala como presunta víctima a una persona individual, respecto de quien el Estado chileno se comprometió a respetar y garantizar los derechos consagrados en la Convención Americana. En lo concerniente al Estado, la Comisión señala que Chile es un Estado parte en la Convención Americana desde el 21 de agosto de 1990, fecha en que depositó</w:t>
      </w:r>
      <w:r w:rsidR="000A1ADA" w:rsidRPr="00D4287E">
        <w:rPr>
          <w:rFonts w:asciiTheme="majorHAnsi" w:hAnsiTheme="majorHAnsi"/>
          <w:sz w:val="20"/>
          <w:szCs w:val="20"/>
          <w:lang w:val="es-AR"/>
        </w:rPr>
        <w:t xml:space="preserve"> su instrumento de ratificación.</w:t>
      </w:r>
      <w:r w:rsidRPr="00D4287E">
        <w:rPr>
          <w:rFonts w:asciiTheme="majorHAnsi" w:hAnsiTheme="majorHAnsi"/>
          <w:sz w:val="20"/>
          <w:szCs w:val="20"/>
          <w:lang w:val="es-AR"/>
        </w:rPr>
        <w:t xml:space="preserve"> </w:t>
      </w:r>
      <w:r w:rsidR="000A1ADA" w:rsidRPr="00D4287E">
        <w:rPr>
          <w:rFonts w:asciiTheme="majorHAnsi" w:hAnsiTheme="majorHAnsi"/>
          <w:sz w:val="20"/>
          <w:szCs w:val="20"/>
          <w:lang w:val="es-AR"/>
        </w:rPr>
        <w:t>P</w:t>
      </w:r>
      <w:r w:rsidRPr="00D4287E">
        <w:rPr>
          <w:rFonts w:asciiTheme="majorHAnsi" w:hAnsiTheme="majorHAnsi"/>
          <w:sz w:val="20"/>
          <w:szCs w:val="20"/>
          <w:lang w:val="es-AR"/>
        </w:rPr>
        <w:t xml:space="preserve">or lo tanto, la Comisión tiene competencia </w:t>
      </w:r>
      <w:r w:rsidRPr="00D4287E">
        <w:rPr>
          <w:rFonts w:asciiTheme="majorHAnsi" w:hAnsiTheme="majorHAnsi"/>
          <w:i/>
          <w:sz w:val="20"/>
          <w:szCs w:val="20"/>
          <w:lang w:val="es-AR"/>
        </w:rPr>
        <w:t>ratione personae</w:t>
      </w:r>
      <w:r w:rsidRPr="00D4287E">
        <w:rPr>
          <w:rFonts w:asciiTheme="majorHAnsi" w:hAnsiTheme="majorHAnsi"/>
          <w:sz w:val="20"/>
          <w:szCs w:val="20"/>
          <w:lang w:val="es-AR"/>
        </w:rPr>
        <w:t xml:space="preserve"> para examinar la </w:t>
      </w:r>
      <w:r w:rsidR="00101F29" w:rsidRPr="00D4287E">
        <w:rPr>
          <w:rFonts w:asciiTheme="majorHAnsi" w:hAnsiTheme="majorHAnsi"/>
          <w:sz w:val="20"/>
          <w:szCs w:val="20"/>
          <w:lang w:val="es-AR"/>
        </w:rPr>
        <w:t>petición.</w:t>
      </w:r>
      <w:r w:rsidR="0026059D" w:rsidRPr="00D4287E">
        <w:rPr>
          <w:rFonts w:asciiTheme="majorHAnsi" w:hAnsiTheme="majorHAnsi"/>
          <w:sz w:val="20"/>
          <w:szCs w:val="20"/>
          <w:lang w:val="es-AR"/>
        </w:rPr>
        <w:t xml:space="preserve"> </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101F29" w:rsidRPr="00D4287E" w:rsidRDefault="00B1253E"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 xml:space="preserve">Asimismo, la Comisión tiene competencia </w:t>
      </w:r>
      <w:r w:rsidRPr="00D4287E">
        <w:rPr>
          <w:rFonts w:asciiTheme="majorHAnsi" w:hAnsiTheme="majorHAnsi"/>
          <w:i/>
          <w:sz w:val="20"/>
          <w:szCs w:val="20"/>
          <w:lang w:val="es-AR"/>
        </w:rPr>
        <w:t>ratione loci</w:t>
      </w:r>
      <w:r w:rsidRPr="00D4287E">
        <w:rPr>
          <w:rFonts w:asciiTheme="majorHAnsi" w:hAnsiTheme="majorHAnsi"/>
          <w:sz w:val="20"/>
          <w:szCs w:val="20"/>
          <w:lang w:val="es-AR"/>
        </w:rPr>
        <w:t xml:space="preserve"> para conocer la petición, por cuanto en ella se alegan violaciones de derechos protegidos en la Convención Americana que habrían tenido lugar </w:t>
      </w:r>
      <w:r w:rsidR="0026059D" w:rsidRPr="00D4287E">
        <w:rPr>
          <w:rFonts w:asciiTheme="majorHAnsi" w:hAnsiTheme="majorHAnsi"/>
          <w:sz w:val="20"/>
          <w:szCs w:val="20"/>
          <w:lang w:val="es-AR"/>
        </w:rPr>
        <w:t>bajo la jurisdicción del Estado chileno</w:t>
      </w:r>
      <w:r w:rsidRPr="00D4287E">
        <w:rPr>
          <w:rFonts w:asciiTheme="majorHAnsi" w:hAnsiTheme="majorHAnsi"/>
          <w:sz w:val="20"/>
          <w:szCs w:val="20"/>
          <w:lang w:val="es-AR"/>
        </w:rPr>
        <w:t>, Estado Parte en dicho tratado.</w:t>
      </w:r>
      <w:r w:rsidR="00101F29" w:rsidRPr="00D4287E">
        <w:rPr>
          <w:rFonts w:asciiTheme="majorHAnsi" w:hAnsiTheme="majorHAnsi"/>
          <w:sz w:val="20"/>
          <w:szCs w:val="20"/>
          <w:lang w:val="es-AR"/>
        </w:rPr>
        <w:t xml:space="preserve"> </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B1253E" w:rsidRPr="00D4287E" w:rsidRDefault="00B1253E"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 xml:space="preserve">La Comisión tiene competencia </w:t>
      </w:r>
      <w:r w:rsidRPr="00D4287E">
        <w:rPr>
          <w:rFonts w:asciiTheme="majorHAnsi" w:hAnsiTheme="majorHAnsi"/>
          <w:i/>
          <w:sz w:val="20"/>
          <w:szCs w:val="20"/>
          <w:lang w:val="es-AR"/>
        </w:rPr>
        <w:t>ratione temporis</w:t>
      </w:r>
      <w:r w:rsidR="000A1ADA" w:rsidRPr="00D4287E">
        <w:rPr>
          <w:rFonts w:asciiTheme="majorHAnsi" w:hAnsiTheme="majorHAnsi"/>
          <w:sz w:val="20"/>
          <w:szCs w:val="20"/>
          <w:lang w:val="es-AR"/>
        </w:rPr>
        <w:t>,</w:t>
      </w:r>
      <w:r w:rsidRPr="00D4287E">
        <w:rPr>
          <w:rFonts w:asciiTheme="majorHAnsi" w:hAnsiTheme="majorHAnsi"/>
          <w:sz w:val="20"/>
          <w:szCs w:val="20"/>
          <w:lang w:val="es-AR"/>
        </w:rPr>
        <w:t xml:space="preserve"> por cuanto la obligación de respetar y garantizar los derechos protegidos en la Convención Americana ya se encontraba en vigor para el Estado en la fecha en que habrían ocurrido los hechos alegados en la petición</w:t>
      </w:r>
      <w:r w:rsidR="00101F29" w:rsidRPr="00D4287E">
        <w:rPr>
          <w:rFonts w:asciiTheme="majorHAnsi" w:hAnsiTheme="majorHAnsi"/>
          <w:sz w:val="20"/>
          <w:szCs w:val="20"/>
          <w:lang w:val="es-AR"/>
        </w:rPr>
        <w:t>.</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3A1AF6" w:rsidRPr="00D4287E" w:rsidRDefault="00B1253E"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 xml:space="preserve">Finalmente, la Comisión tiene competencia </w:t>
      </w:r>
      <w:r w:rsidRPr="00D4287E">
        <w:rPr>
          <w:rFonts w:asciiTheme="majorHAnsi" w:hAnsiTheme="majorHAnsi"/>
          <w:i/>
          <w:sz w:val="20"/>
          <w:szCs w:val="20"/>
          <w:lang w:val="es-AR"/>
        </w:rPr>
        <w:t>ratione materiae</w:t>
      </w:r>
      <w:r w:rsidRPr="00D4287E">
        <w:rPr>
          <w:rFonts w:asciiTheme="majorHAnsi" w:hAnsiTheme="majorHAnsi"/>
          <w:sz w:val="20"/>
          <w:szCs w:val="20"/>
          <w:lang w:val="es-AR"/>
        </w:rPr>
        <w:t>, por cuanto en la petición se alegan posibles violaciones a derechos humanos protegidos por la Convención Americana.</w:t>
      </w:r>
    </w:p>
    <w:p w:rsidR="009B2357" w:rsidRPr="00D4287E" w:rsidRDefault="009B2357" w:rsidP="00A3634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AR"/>
        </w:rPr>
      </w:pPr>
    </w:p>
    <w:p w:rsidR="00101F29" w:rsidRPr="00D4287E" w:rsidRDefault="00101F29" w:rsidP="00A36344">
      <w:pPr>
        <w:pStyle w:val="Heading1"/>
        <w:numPr>
          <w:ilvl w:val="0"/>
          <w:numId w:val="59"/>
        </w:numPr>
        <w:spacing w:before="0"/>
        <w:ind w:left="1440" w:hanging="720"/>
        <w:rPr>
          <w:color w:val="auto"/>
          <w:sz w:val="20"/>
          <w:szCs w:val="20"/>
          <w:lang w:val="es-AR"/>
        </w:rPr>
      </w:pPr>
      <w:r w:rsidRPr="00D4287E">
        <w:rPr>
          <w:color w:val="auto"/>
          <w:sz w:val="20"/>
          <w:szCs w:val="20"/>
          <w:lang w:val="es-AR"/>
        </w:rPr>
        <w:t>Agotamiento de los recursos internos</w:t>
      </w:r>
    </w:p>
    <w:p w:rsidR="00A36344" w:rsidRPr="00D4287E" w:rsidRDefault="00A36344" w:rsidP="00A36344">
      <w:pPr>
        <w:rPr>
          <w:lang w:val="es-AR"/>
        </w:rPr>
      </w:pPr>
    </w:p>
    <w:p w:rsidR="00101F29" w:rsidRPr="00D4287E" w:rsidRDefault="00101F29"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El artículo 46</w:t>
      </w:r>
      <w:r w:rsidR="001E216D">
        <w:rPr>
          <w:rFonts w:asciiTheme="majorHAnsi" w:hAnsiTheme="majorHAnsi"/>
          <w:sz w:val="20"/>
          <w:szCs w:val="20"/>
          <w:lang w:val="es-AR"/>
        </w:rPr>
        <w:t>.</w:t>
      </w:r>
      <w:r w:rsidRPr="00D4287E">
        <w:rPr>
          <w:rFonts w:asciiTheme="majorHAnsi" w:hAnsiTheme="majorHAnsi"/>
          <w:sz w:val="20"/>
          <w:szCs w:val="20"/>
          <w:lang w:val="es-AR"/>
        </w:rPr>
        <w:t>1</w:t>
      </w:r>
      <w:r w:rsidR="001E216D">
        <w:rPr>
          <w:rFonts w:asciiTheme="majorHAnsi" w:hAnsiTheme="majorHAnsi"/>
          <w:sz w:val="20"/>
          <w:szCs w:val="20"/>
          <w:lang w:val="es-AR"/>
        </w:rPr>
        <w:t>.</w:t>
      </w:r>
      <w:r w:rsidRPr="00D4287E">
        <w:rPr>
          <w:rFonts w:asciiTheme="majorHAnsi" w:hAnsiTheme="majorHAnsi"/>
          <w:sz w:val="20"/>
          <w:szCs w:val="20"/>
          <w:lang w:val="es-AR"/>
        </w:rPr>
        <w:t>a</w:t>
      </w:r>
      <w:r w:rsidR="001E216D">
        <w:rPr>
          <w:rFonts w:asciiTheme="majorHAnsi" w:hAnsiTheme="majorHAnsi"/>
          <w:sz w:val="20"/>
          <w:szCs w:val="20"/>
          <w:lang w:val="es-AR"/>
        </w:rPr>
        <w:t>.</w:t>
      </w:r>
      <w:r w:rsidRPr="00D4287E">
        <w:rPr>
          <w:rFonts w:asciiTheme="majorHAnsi" w:hAnsiTheme="majorHAnsi"/>
          <w:sz w:val="20"/>
          <w:szCs w:val="20"/>
          <w:lang w:val="es-AR"/>
        </w:rPr>
        <w:t xml:space="preserve"> de la Convención Americana dispone que, para que sea admisible una </w:t>
      </w:r>
      <w:r w:rsidR="0071378D" w:rsidRPr="00D4287E">
        <w:rPr>
          <w:rFonts w:asciiTheme="majorHAnsi" w:hAnsiTheme="majorHAnsi"/>
          <w:sz w:val="20"/>
          <w:szCs w:val="20"/>
          <w:lang w:val="es-AR"/>
        </w:rPr>
        <w:t>petición</w:t>
      </w:r>
      <w:r w:rsidRPr="00D4287E">
        <w:rPr>
          <w:rFonts w:asciiTheme="majorHAnsi" w:hAnsiTheme="majorHAnsi"/>
          <w:sz w:val="20"/>
          <w:szCs w:val="20"/>
          <w:lang w:val="es-AR"/>
        </w:rPr>
        <w:t xml:space="preserve">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tengan la oportunidad de solucionarla antes de que sea conocida por una instancia internacional.</w:t>
      </w:r>
      <w:bookmarkStart w:id="2" w:name="HIT22"/>
      <w:bookmarkStart w:id="3" w:name="HIT23"/>
      <w:bookmarkStart w:id="4" w:name="HIT24"/>
      <w:bookmarkEnd w:id="2"/>
      <w:bookmarkEnd w:id="3"/>
      <w:bookmarkEnd w:id="4"/>
      <w:r w:rsidRPr="00D4287E">
        <w:rPr>
          <w:rFonts w:asciiTheme="majorHAnsi" w:hAnsiTheme="majorHAnsi"/>
          <w:sz w:val="20"/>
          <w:szCs w:val="20"/>
          <w:lang w:val="es-AR"/>
        </w:rPr>
        <w:t xml:space="preserve"> El requisito de </w:t>
      </w:r>
      <w:r w:rsidRPr="00D4287E">
        <w:rPr>
          <w:rFonts w:asciiTheme="majorHAnsi" w:hAnsiTheme="majorHAnsi"/>
          <w:sz w:val="20"/>
          <w:szCs w:val="20"/>
          <w:lang w:val="es-AR"/>
        </w:rPr>
        <w:lastRenderedPageBreak/>
        <w:t xml:space="preserve">agotamiento previo se aplica cuando en el sistema nacional están efectivamente disponibles recursos que son adecuados y eficaces para remediar la presunta violación a derechos humanos. </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D05847" w:rsidRPr="00D4287E" w:rsidRDefault="00101F29"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Según surge de</w:t>
      </w:r>
      <w:r w:rsidR="0071378D" w:rsidRPr="00D4287E">
        <w:rPr>
          <w:rFonts w:asciiTheme="majorHAnsi" w:hAnsiTheme="majorHAnsi"/>
          <w:sz w:val="20"/>
          <w:szCs w:val="20"/>
          <w:lang w:val="es-AR"/>
        </w:rPr>
        <w:t xml:space="preserve"> </w:t>
      </w:r>
      <w:r w:rsidRPr="00D4287E">
        <w:rPr>
          <w:rFonts w:asciiTheme="majorHAnsi" w:hAnsiTheme="majorHAnsi"/>
          <w:sz w:val="20"/>
          <w:szCs w:val="20"/>
          <w:lang w:val="es-AR"/>
        </w:rPr>
        <w:t>l</w:t>
      </w:r>
      <w:r w:rsidR="0071378D" w:rsidRPr="00D4287E">
        <w:rPr>
          <w:rFonts w:asciiTheme="majorHAnsi" w:hAnsiTheme="majorHAnsi"/>
          <w:sz w:val="20"/>
          <w:szCs w:val="20"/>
          <w:lang w:val="es-AR"/>
        </w:rPr>
        <w:t>a</w:t>
      </w:r>
      <w:r w:rsidRPr="00D4287E">
        <w:rPr>
          <w:rFonts w:asciiTheme="majorHAnsi" w:hAnsiTheme="majorHAnsi"/>
          <w:sz w:val="20"/>
          <w:szCs w:val="20"/>
          <w:lang w:val="es-AR"/>
        </w:rPr>
        <w:t xml:space="preserve"> </w:t>
      </w:r>
      <w:r w:rsidR="0071378D" w:rsidRPr="00D4287E">
        <w:rPr>
          <w:rFonts w:asciiTheme="majorHAnsi" w:hAnsiTheme="majorHAnsi"/>
          <w:sz w:val="20"/>
          <w:szCs w:val="20"/>
          <w:lang w:val="es-AR"/>
        </w:rPr>
        <w:t xml:space="preserve">petición y </w:t>
      </w:r>
      <w:r w:rsidR="000A1ADA" w:rsidRPr="00D4287E">
        <w:rPr>
          <w:rFonts w:asciiTheme="majorHAnsi" w:hAnsiTheme="majorHAnsi"/>
          <w:sz w:val="20"/>
          <w:szCs w:val="20"/>
          <w:lang w:val="es-AR"/>
        </w:rPr>
        <w:t xml:space="preserve">de </w:t>
      </w:r>
      <w:r w:rsidR="0071378D" w:rsidRPr="00D4287E">
        <w:rPr>
          <w:rFonts w:asciiTheme="majorHAnsi" w:hAnsiTheme="majorHAnsi"/>
          <w:sz w:val="20"/>
          <w:szCs w:val="20"/>
          <w:lang w:val="es-AR"/>
        </w:rPr>
        <w:t>las copias remitidas en calidad de anexo</w:t>
      </w:r>
      <w:r w:rsidRPr="00D4287E">
        <w:rPr>
          <w:rFonts w:asciiTheme="majorHAnsi" w:hAnsiTheme="majorHAnsi"/>
          <w:sz w:val="20"/>
          <w:szCs w:val="20"/>
          <w:lang w:val="es-AR"/>
        </w:rPr>
        <w:t xml:space="preserve">, </w:t>
      </w:r>
      <w:r w:rsidR="00AC594F" w:rsidRPr="00D4287E">
        <w:rPr>
          <w:rFonts w:asciiTheme="majorHAnsi" w:hAnsiTheme="majorHAnsi"/>
          <w:sz w:val="20"/>
          <w:szCs w:val="20"/>
          <w:lang w:val="es-AR"/>
        </w:rPr>
        <w:t>ante la revocación de su certificado de idoneidad por parte</w:t>
      </w:r>
      <w:r w:rsidR="0071378D" w:rsidRPr="00D4287E">
        <w:rPr>
          <w:rFonts w:asciiTheme="majorHAnsi" w:hAnsiTheme="majorHAnsi"/>
          <w:sz w:val="20"/>
          <w:szCs w:val="20"/>
          <w:lang w:val="es-AR"/>
        </w:rPr>
        <w:t xml:space="preserve"> del vicario</w:t>
      </w:r>
      <w:r w:rsidR="00AC594F" w:rsidRPr="00D4287E">
        <w:rPr>
          <w:rFonts w:asciiTheme="majorHAnsi" w:hAnsiTheme="majorHAnsi"/>
          <w:sz w:val="20"/>
          <w:szCs w:val="20"/>
          <w:lang w:val="es-AR"/>
        </w:rPr>
        <w:t>, la presunta víctima habría interpues</w:t>
      </w:r>
      <w:r w:rsidR="002011A8" w:rsidRPr="00D4287E">
        <w:rPr>
          <w:rFonts w:asciiTheme="majorHAnsi" w:hAnsiTheme="majorHAnsi"/>
          <w:sz w:val="20"/>
          <w:szCs w:val="20"/>
          <w:lang w:val="es-AR"/>
        </w:rPr>
        <w:t xml:space="preserve">to un recurso de protección </w:t>
      </w:r>
      <w:r w:rsidR="00AC594F" w:rsidRPr="00D4287E">
        <w:rPr>
          <w:rFonts w:asciiTheme="majorHAnsi" w:hAnsiTheme="majorHAnsi"/>
          <w:sz w:val="20"/>
          <w:szCs w:val="20"/>
          <w:lang w:val="es-AR"/>
        </w:rPr>
        <w:t>ante la Corte de Apelaci</w:t>
      </w:r>
      <w:r w:rsidR="003A61C4" w:rsidRPr="00D4287E">
        <w:rPr>
          <w:rFonts w:asciiTheme="majorHAnsi" w:hAnsiTheme="majorHAnsi"/>
          <w:sz w:val="20"/>
          <w:szCs w:val="20"/>
          <w:lang w:val="es-AR"/>
        </w:rPr>
        <w:t>ones de San Miguel con el objeto de que el órgano jurisdiccional protegiera sus derechos a la igualdad ante la ley y el derecho a no sufrir injerencias arbitrarias en su vida privada.</w:t>
      </w:r>
      <w:r w:rsidR="00B65319" w:rsidRPr="00D4287E">
        <w:rPr>
          <w:rFonts w:asciiTheme="majorHAnsi" w:hAnsiTheme="majorHAnsi"/>
          <w:sz w:val="20"/>
          <w:szCs w:val="20"/>
          <w:lang w:val="es-AR"/>
        </w:rPr>
        <w:t xml:space="preserve"> Dicho recurso fue rechazado por </w:t>
      </w:r>
      <w:r w:rsidR="002011A8" w:rsidRPr="00D4287E">
        <w:rPr>
          <w:rFonts w:asciiTheme="majorHAnsi" w:hAnsiTheme="majorHAnsi"/>
          <w:sz w:val="20"/>
          <w:szCs w:val="20"/>
          <w:lang w:val="es-AR"/>
        </w:rPr>
        <w:t>dicho</w:t>
      </w:r>
      <w:r w:rsidR="0071378D" w:rsidRPr="00D4287E">
        <w:rPr>
          <w:rFonts w:asciiTheme="majorHAnsi" w:hAnsiTheme="majorHAnsi"/>
          <w:sz w:val="20"/>
          <w:szCs w:val="20"/>
          <w:lang w:val="es-AR"/>
        </w:rPr>
        <w:t xml:space="preserve"> </w:t>
      </w:r>
      <w:r w:rsidR="00B65319" w:rsidRPr="00D4287E">
        <w:rPr>
          <w:rFonts w:asciiTheme="majorHAnsi" w:hAnsiTheme="majorHAnsi"/>
          <w:sz w:val="20"/>
          <w:szCs w:val="20"/>
          <w:lang w:val="es-AR"/>
        </w:rPr>
        <w:t xml:space="preserve">tribunal el día 27 de noviembre de 2007. Contra dicha sentencia, la presunta víctima </w:t>
      </w:r>
      <w:r w:rsidR="00F13D5F" w:rsidRPr="00D4287E">
        <w:rPr>
          <w:rFonts w:asciiTheme="majorHAnsi" w:hAnsiTheme="majorHAnsi"/>
          <w:sz w:val="20"/>
          <w:szCs w:val="20"/>
          <w:lang w:val="es-AR"/>
        </w:rPr>
        <w:t>habría interpuesto</w:t>
      </w:r>
      <w:r w:rsidR="00B65319" w:rsidRPr="00D4287E">
        <w:rPr>
          <w:rFonts w:asciiTheme="majorHAnsi" w:hAnsiTheme="majorHAnsi"/>
          <w:sz w:val="20"/>
          <w:szCs w:val="20"/>
          <w:lang w:val="es-AR"/>
        </w:rPr>
        <w:t xml:space="preserve"> recurso de apelación, el cual </w:t>
      </w:r>
      <w:r w:rsidR="00F13D5F" w:rsidRPr="00D4287E">
        <w:rPr>
          <w:rFonts w:asciiTheme="majorHAnsi" w:hAnsiTheme="majorHAnsi"/>
          <w:sz w:val="20"/>
          <w:szCs w:val="20"/>
          <w:lang w:val="es-AR"/>
        </w:rPr>
        <w:t>habría sido</w:t>
      </w:r>
      <w:r w:rsidR="00B65319" w:rsidRPr="00D4287E">
        <w:rPr>
          <w:rFonts w:asciiTheme="majorHAnsi" w:hAnsiTheme="majorHAnsi"/>
          <w:sz w:val="20"/>
          <w:szCs w:val="20"/>
          <w:lang w:val="es-AR"/>
        </w:rPr>
        <w:t xml:space="preserve"> resuelto por la Corte Suprema de Justicia de Chile mediante sentencia de fecha 1</w:t>
      </w:r>
      <w:r w:rsidR="005C04A8" w:rsidRPr="00D4287E">
        <w:rPr>
          <w:rFonts w:asciiTheme="majorHAnsi" w:hAnsiTheme="majorHAnsi"/>
          <w:sz w:val="20"/>
          <w:szCs w:val="20"/>
          <w:lang w:val="es-AR"/>
        </w:rPr>
        <w:t>7</w:t>
      </w:r>
      <w:r w:rsidR="00B65319" w:rsidRPr="00D4287E">
        <w:rPr>
          <w:rFonts w:asciiTheme="majorHAnsi" w:hAnsiTheme="majorHAnsi"/>
          <w:sz w:val="20"/>
          <w:szCs w:val="20"/>
          <w:lang w:val="es-AR"/>
        </w:rPr>
        <w:t xml:space="preserve"> de abril de 2008. Este último pronunciamiento </w:t>
      </w:r>
      <w:r w:rsidR="00F13D5F" w:rsidRPr="00D4287E">
        <w:rPr>
          <w:rFonts w:asciiTheme="majorHAnsi" w:hAnsiTheme="majorHAnsi"/>
          <w:sz w:val="20"/>
          <w:szCs w:val="20"/>
          <w:lang w:val="es-AR"/>
        </w:rPr>
        <w:t>habría sido</w:t>
      </w:r>
      <w:r w:rsidR="00B65319" w:rsidRPr="00D4287E">
        <w:rPr>
          <w:rFonts w:asciiTheme="majorHAnsi" w:hAnsiTheme="majorHAnsi"/>
          <w:sz w:val="20"/>
          <w:szCs w:val="20"/>
          <w:lang w:val="es-AR"/>
        </w:rPr>
        <w:t xml:space="preserve"> </w:t>
      </w:r>
      <w:r w:rsidR="009B2357" w:rsidRPr="00D4287E">
        <w:rPr>
          <w:rFonts w:asciiTheme="majorHAnsi" w:hAnsiTheme="majorHAnsi"/>
          <w:sz w:val="20"/>
          <w:szCs w:val="20"/>
          <w:lang w:val="es-AR"/>
        </w:rPr>
        <w:t xml:space="preserve">confirmado </w:t>
      </w:r>
      <w:r w:rsidR="00B65319" w:rsidRPr="00D4287E">
        <w:rPr>
          <w:rFonts w:asciiTheme="majorHAnsi" w:hAnsiTheme="majorHAnsi"/>
          <w:sz w:val="20"/>
          <w:szCs w:val="20"/>
          <w:lang w:val="es-AR"/>
        </w:rPr>
        <w:t>en todas sus partes la decisión de la Corte de Apelaciones de San Miguel.</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101F29" w:rsidRPr="00D4287E" w:rsidRDefault="00B65319"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 xml:space="preserve">La Comisión nota que </w:t>
      </w:r>
      <w:r w:rsidR="00895275" w:rsidRPr="00D4287E">
        <w:rPr>
          <w:rFonts w:asciiTheme="majorHAnsi" w:hAnsiTheme="majorHAnsi"/>
          <w:sz w:val="20"/>
          <w:szCs w:val="20"/>
          <w:lang w:val="es-AR"/>
        </w:rPr>
        <w:t xml:space="preserve">la presunta víctima agotó los recursos que el ordenamiento jurídico chileno le ofrecía para poner fin a la alegada situación de vulneración de sus derechos. </w:t>
      </w:r>
      <w:r w:rsidR="00E528A0" w:rsidRPr="00D4287E">
        <w:rPr>
          <w:rFonts w:asciiTheme="majorHAnsi" w:hAnsiTheme="majorHAnsi"/>
          <w:sz w:val="20"/>
          <w:szCs w:val="20"/>
          <w:lang w:val="es-AR"/>
        </w:rPr>
        <w:t>Adicionalmente</w:t>
      </w:r>
      <w:r w:rsidR="00895275" w:rsidRPr="00D4287E">
        <w:rPr>
          <w:rFonts w:asciiTheme="majorHAnsi" w:hAnsiTheme="majorHAnsi"/>
          <w:sz w:val="20"/>
          <w:szCs w:val="20"/>
          <w:lang w:val="es-AR"/>
        </w:rPr>
        <w:t xml:space="preserve">, la Comisión toma particularmente en cuenta que el Estado ha manifestado expresamente que no ofrece reparo </w:t>
      </w:r>
      <w:r w:rsidR="00F13D5F" w:rsidRPr="00D4287E">
        <w:rPr>
          <w:rFonts w:asciiTheme="majorHAnsi" w:hAnsiTheme="majorHAnsi"/>
          <w:sz w:val="20"/>
          <w:szCs w:val="20"/>
          <w:lang w:val="es-AR"/>
        </w:rPr>
        <w:t>respecto de los requisitos de forma</w:t>
      </w:r>
      <w:r w:rsidR="00E528A0" w:rsidRPr="00D4287E">
        <w:rPr>
          <w:rFonts w:asciiTheme="majorHAnsi" w:hAnsiTheme="majorHAnsi"/>
          <w:sz w:val="20"/>
          <w:szCs w:val="20"/>
          <w:lang w:val="es-AR"/>
        </w:rPr>
        <w:t>, por lo que corresponde dar por debidamente acreditado el agotamiento de los recursos int</w:t>
      </w:r>
      <w:r w:rsidR="001E216D">
        <w:rPr>
          <w:rFonts w:asciiTheme="majorHAnsi" w:hAnsiTheme="majorHAnsi"/>
          <w:sz w:val="20"/>
          <w:szCs w:val="20"/>
          <w:lang w:val="es-AR"/>
        </w:rPr>
        <w:t>ernos que impone el artículo 46.</w:t>
      </w:r>
      <w:r w:rsidR="00E528A0" w:rsidRPr="00D4287E">
        <w:rPr>
          <w:rFonts w:asciiTheme="majorHAnsi" w:hAnsiTheme="majorHAnsi"/>
          <w:sz w:val="20"/>
          <w:szCs w:val="20"/>
          <w:lang w:val="es-AR"/>
        </w:rPr>
        <w:t>1</w:t>
      </w:r>
      <w:r w:rsidR="001E216D">
        <w:rPr>
          <w:rFonts w:asciiTheme="majorHAnsi" w:hAnsiTheme="majorHAnsi"/>
          <w:sz w:val="20"/>
          <w:szCs w:val="20"/>
          <w:lang w:val="es-AR"/>
        </w:rPr>
        <w:t>.</w:t>
      </w:r>
      <w:r w:rsidR="00E528A0" w:rsidRPr="00D4287E">
        <w:rPr>
          <w:rFonts w:asciiTheme="majorHAnsi" w:hAnsiTheme="majorHAnsi"/>
          <w:sz w:val="20"/>
          <w:szCs w:val="20"/>
          <w:lang w:val="es-AR"/>
        </w:rPr>
        <w:t>a</w:t>
      </w:r>
      <w:r w:rsidR="001E216D">
        <w:rPr>
          <w:rFonts w:asciiTheme="majorHAnsi" w:hAnsiTheme="majorHAnsi"/>
          <w:sz w:val="20"/>
          <w:szCs w:val="20"/>
          <w:lang w:val="es-AR"/>
        </w:rPr>
        <w:t>.</w:t>
      </w:r>
      <w:r w:rsidR="00E528A0" w:rsidRPr="00D4287E">
        <w:rPr>
          <w:rFonts w:asciiTheme="majorHAnsi" w:hAnsiTheme="majorHAnsi"/>
          <w:sz w:val="20"/>
          <w:szCs w:val="20"/>
          <w:lang w:val="es-AR"/>
        </w:rPr>
        <w:t xml:space="preserve"> de la Convención Americana.</w:t>
      </w:r>
    </w:p>
    <w:p w:rsidR="009B2357" w:rsidRPr="00D4287E" w:rsidRDefault="009B2357" w:rsidP="00A3634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AR"/>
        </w:rPr>
      </w:pPr>
    </w:p>
    <w:p w:rsidR="00101F29" w:rsidRPr="00D4287E" w:rsidRDefault="00101F29" w:rsidP="00A36344">
      <w:pPr>
        <w:pStyle w:val="Heading1"/>
        <w:numPr>
          <w:ilvl w:val="0"/>
          <w:numId w:val="59"/>
        </w:numPr>
        <w:spacing w:before="0"/>
        <w:ind w:left="1440" w:hanging="720"/>
        <w:rPr>
          <w:color w:val="auto"/>
          <w:sz w:val="20"/>
          <w:szCs w:val="20"/>
          <w:lang w:val="es-AR"/>
        </w:rPr>
      </w:pPr>
      <w:r w:rsidRPr="00D4287E">
        <w:rPr>
          <w:color w:val="auto"/>
          <w:sz w:val="20"/>
          <w:szCs w:val="20"/>
          <w:lang w:val="es-AR"/>
        </w:rPr>
        <w:t>Plazo de presentación de la petición</w:t>
      </w:r>
    </w:p>
    <w:p w:rsidR="00A36344" w:rsidRPr="00D4287E" w:rsidRDefault="00A36344" w:rsidP="00A36344">
      <w:pPr>
        <w:rPr>
          <w:lang w:val="es-AR"/>
        </w:rPr>
      </w:pPr>
    </w:p>
    <w:p w:rsidR="00101F29" w:rsidRPr="00D4287E" w:rsidRDefault="001E216D"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Pr>
          <w:rFonts w:asciiTheme="majorHAnsi" w:hAnsiTheme="majorHAnsi"/>
          <w:sz w:val="20"/>
          <w:szCs w:val="20"/>
          <w:lang w:val="es-AR"/>
        </w:rPr>
        <w:t>El artículo 46.1.</w:t>
      </w:r>
      <w:r w:rsidR="00101F29" w:rsidRPr="00D4287E">
        <w:rPr>
          <w:rFonts w:asciiTheme="majorHAnsi" w:hAnsiTheme="majorHAnsi"/>
          <w:sz w:val="20"/>
          <w:szCs w:val="20"/>
          <w:lang w:val="es-AR"/>
        </w:rPr>
        <w:t>b d</w:t>
      </w:r>
      <w:r w:rsidR="00101F29" w:rsidRPr="00D4287E">
        <w:rPr>
          <w:rFonts w:asciiTheme="majorHAnsi" w:hAnsiTheme="majorHAnsi"/>
          <w:bCs/>
          <w:iCs/>
          <w:sz w:val="20"/>
          <w:szCs w:val="20"/>
          <w:lang w:val="es-AR"/>
        </w:rPr>
        <w:t>e la Convención Americana establece que para que la petición pueda ser declarada admisible, es necesario</w:t>
      </w:r>
      <w:r w:rsidR="00101F29" w:rsidRPr="00D4287E">
        <w:rPr>
          <w:rFonts w:asciiTheme="majorHAnsi" w:hAnsiTheme="majorHAnsi"/>
          <w:sz w:val="20"/>
          <w:szCs w:val="20"/>
          <w:lang w:val="es-AR"/>
        </w:rPr>
        <w:t xml:space="preserve"> que se haya presentado dentro del plazo de seis meses contados a partir de la fecha en que el interesado fue notificado de la decisión final que agotó la jurisdicción interna.</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101F29" w:rsidRPr="00D4287E" w:rsidRDefault="008B2159"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En el caso concreto,</w:t>
      </w:r>
      <w:r w:rsidR="00101F29" w:rsidRPr="00D4287E">
        <w:rPr>
          <w:rFonts w:asciiTheme="majorHAnsi" w:hAnsiTheme="majorHAnsi"/>
          <w:sz w:val="20"/>
          <w:szCs w:val="20"/>
          <w:lang w:val="es-AR"/>
        </w:rPr>
        <w:t xml:space="preserve"> la Comisión ya ha establecido que los recursos de la jurisdicción interna se agotaron con la decisión de</w:t>
      </w:r>
      <w:r w:rsidR="00891336" w:rsidRPr="00D4287E">
        <w:rPr>
          <w:rFonts w:asciiTheme="majorHAnsi" w:hAnsiTheme="majorHAnsi"/>
          <w:sz w:val="20"/>
          <w:szCs w:val="20"/>
          <w:lang w:val="es-AR"/>
        </w:rPr>
        <w:t xml:space="preserve"> la Corte Suprema </w:t>
      </w:r>
      <w:r w:rsidRPr="00D4287E">
        <w:rPr>
          <w:rFonts w:asciiTheme="majorHAnsi" w:hAnsiTheme="majorHAnsi"/>
          <w:sz w:val="20"/>
          <w:szCs w:val="20"/>
          <w:lang w:val="es-AR"/>
        </w:rPr>
        <w:t>de Justicia</w:t>
      </w:r>
      <w:r w:rsidR="00481902" w:rsidRPr="00D4287E">
        <w:rPr>
          <w:rFonts w:asciiTheme="majorHAnsi" w:hAnsiTheme="majorHAnsi"/>
          <w:sz w:val="20"/>
          <w:szCs w:val="20"/>
          <w:lang w:val="es-AR"/>
        </w:rPr>
        <w:t xml:space="preserve"> de fecha y notificación por Estado Diario el día 17 de abril de 2008 y cuyo </w:t>
      </w:r>
      <w:r w:rsidR="003B4F6E" w:rsidRPr="00D4287E">
        <w:rPr>
          <w:rFonts w:asciiTheme="majorHAnsi" w:hAnsiTheme="majorHAnsi"/>
          <w:sz w:val="20"/>
          <w:szCs w:val="20"/>
          <w:lang w:val="es-AR"/>
        </w:rPr>
        <w:t>“</w:t>
      </w:r>
      <w:r w:rsidR="00481902" w:rsidRPr="00D4287E">
        <w:rPr>
          <w:rFonts w:asciiTheme="majorHAnsi" w:hAnsiTheme="majorHAnsi"/>
          <w:sz w:val="20"/>
          <w:szCs w:val="20"/>
          <w:lang w:val="es-AR"/>
        </w:rPr>
        <w:t>cúmplase</w:t>
      </w:r>
      <w:r w:rsidR="003B4F6E" w:rsidRPr="00D4287E">
        <w:rPr>
          <w:rFonts w:asciiTheme="majorHAnsi" w:hAnsiTheme="majorHAnsi"/>
          <w:sz w:val="20"/>
          <w:szCs w:val="20"/>
          <w:lang w:val="es-AR"/>
        </w:rPr>
        <w:t>”</w:t>
      </w:r>
      <w:r w:rsidR="008073A2" w:rsidRPr="00D4287E">
        <w:rPr>
          <w:rFonts w:asciiTheme="majorHAnsi" w:hAnsiTheme="majorHAnsi"/>
          <w:sz w:val="20"/>
          <w:szCs w:val="20"/>
          <w:lang w:val="es-AR"/>
        </w:rPr>
        <w:t xml:space="preserve">, según consta en las copias de las actuaciones aportadas por los peticionarios, </w:t>
      </w:r>
      <w:r w:rsidR="00481902" w:rsidRPr="00D4287E">
        <w:rPr>
          <w:rFonts w:asciiTheme="majorHAnsi" w:hAnsiTheme="majorHAnsi"/>
          <w:sz w:val="20"/>
          <w:szCs w:val="20"/>
          <w:lang w:val="es-AR"/>
        </w:rPr>
        <w:t>fue notificado</w:t>
      </w:r>
      <w:r w:rsidRPr="00D4287E">
        <w:rPr>
          <w:rFonts w:asciiTheme="majorHAnsi" w:hAnsiTheme="majorHAnsi"/>
          <w:sz w:val="20"/>
          <w:szCs w:val="20"/>
          <w:lang w:val="es-AR"/>
        </w:rPr>
        <w:t xml:space="preserve"> </w:t>
      </w:r>
      <w:r w:rsidR="005C04A8" w:rsidRPr="00D4287E">
        <w:rPr>
          <w:rFonts w:asciiTheme="majorHAnsi" w:hAnsiTheme="majorHAnsi"/>
          <w:sz w:val="20"/>
          <w:szCs w:val="20"/>
          <w:lang w:val="es-AR"/>
        </w:rPr>
        <w:t xml:space="preserve">a la presunta víctima </w:t>
      </w:r>
      <w:r w:rsidR="00EB5732" w:rsidRPr="00D4287E">
        <w:rPr>
          <w:rFonts w:asciiTheme="majorHAnsi" w:hAnsiTheme="majorHAnsi"/>
          <w:sz w:val="20"/>
          <w:szCs w:val="20"/>
          <w:lang w:val="es-AR"/>
        </w:rPr>
        <w:t>el día 30 de abril de 2008.</w:t>
      </w:r>
      <w:r w:rsidR="00101F29" w:rsidRPr="00D4287E">
        <w:rPr>
          <w:rFonts w:asciiTheme="majorHAnsi" w:hAnsiTheme="majorHAnsi"/>
          <w:sz w:val="20"/>
          <w:szCs w:val="20"/>
          <w:lang w:val="es-AR"/>
        </w:rPr>
        <w:t xml:space="preserve"> En razón de que la petición fue recibida con fecha </w:t>
      </w:r>
      <w:r w:rsidR="00891336" w:rsidRPr="00D4287E">
        <w:rPr>
          <w:rFonts w:asciiTheme="majorHAnsi" w:hAnsiTheme="majorHAnsi"/>
          <w:sz w:val="20"/>
          <w:szCs w:val="20"/>
          <w:lang w:val="es-AR"/>
        </w:rPr>
        <w:t>28 de octubre de 2008</w:t>
      </w:r>
      <w:r w:rsidR="00101F29" w:rsidRPr="00D4287E">
        <w:rPr>
          <w:rFonts w:asciiTheme="majorHAnsi" w:hAnsiTheme="majorHAnsi"/>
          <w:sz w:val="20"/>
          <w:szCs w:val="20"/>
          <w:lang w:val="es-AR"/>
        </w:rPr>
        <w:t>, la Comisión considera satisfecho el plazo del artículo 46</w:t>
      </w:r>
      <w:r w:rsidR="001E216D">
        <w:rPr>
          <w:rFonts w:asciiTheme="majorHAnsi" w:hAnsiTheme="majorHAnsi"/>
          <w:sz w:val="20"/>
          <w:szCs w:val="20"/>
          <w:lang w:val="es-AR"/>
        </w:rPr>
        <w:t>.</w:t>
      </w:r>
      <w:r w:rsidR="00101F29" w:rsidRPr="00D4287E">
        <w:rPr>
          <w:rFonts w:asciiTheme="majorHAnsi" w:hAnsiTheme="majorHAnsi"/>
          <w:sz w:val="20"/>
          <w:szCs w:val="20"/>
          <w:lang w:val="es-AR"/>
        </w:rPr>
        <w:t>1</w:t>
      </w:r>
      <w:r w:rsidR="001E216D">
        <w:rPr>
          <w:rFonts w:asciiTheme="majorHAnsi" w:hAnsiTheme="majorHAnsi"/>
          <w:sz w:val="20"/>
          <w:szCs w:val="20"/>
          <w:lang w:val="es-AR"/>
        </w:rPr>
        <w:t>.</w:t>
      </w:r>
      <w:r w:rsidR="00101F29" w:rsidRPr="00D4287E">
        <w:rPr>
          <w:rFonts w:asciiTheme="majorHAnsi" w:hAnsiTheme="majorHAnsi"/>
          <w:sz w:val="20"/>
          <w:szCs w:val="20"/>
          <w:lang w:val="es-AR"/>
        </w:rPr>
        <w:t>b d</w:t>
      </w:r>
      <w:r w:rsidR="00101F29" w:rsidRPr="00D4287E">
        <w:rPr>
          <w:rFonts w:asciiTheme="majorHAnsi" w:hAnsiTheme="majorHAnsi"/>
          <w:bCs/>
          <w:iCs/>
          <w:sz w:val="20"/>
          <w:szCs w:val="20"/>
          <w:lang w:val="es-AR"/>
        </w:rPr>
        <w:t>e la Convención Americana.</w:t>
      </w:r>
    </w:p>
    <w:p w:rsidR="009B2357" w:rsidRPr="00D4287E" w:rsidRDefault="009B2357" w:rsidP="00A3634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AR"/>
        </w:rPr>
      </w:pPr>
    </w:p>
    <w:p w:rsidR="00101F29" w:rsidRPr="00D4287E" w:rsidRDefault="00101F29" w:rsidP="00A36344">
      <w:pPr>
        <w:pStyle w:val="Heading1"/>
        <w:numPr>
          <w:ilvl w:val="0"/>
          <w:numId w:val="59"/>
        </w:numPr>
        <w:spacing w:before="0"/>
        <w:ind w:left="1440" w:hanging="720"/>
        <w:rPr>
          <w:color w:val="auto"/>
          <w:sz w:val="20"/>
          <w:szCs w:val="20"/>
          <w:lang w:val="es-AR"/>
        </w:rPr>
      </w:pPr>
      <w:r w:rsidRPr="00D4287E">
        <w:rPr>
          <w:color w:val="auto"/>
          <w:sz w:val="20"/>
          <w:szCs w:val="20"/>
          <w:lang w:val="es-AR"/>
        </w:rPr>
        <w:t>Duplicación de procedimientos y cosa juzgada internacional</w:t>
      </w:r>
    </w:p>
    <w:p w:rsidR="00A36344" w:rsidRPr="00D4287E" w:rsidRDefault="00A36344" w:rsidP="00A36344">
      <w:pPr>
        <w:rPr>
          <w:lang w:val="es-AR"/>
        </w:rPr>
      </w:pPr>
    </w:p>
    <w:p w:rsidR="00101F29" w:rsidRPr="00D4287E" w:rsidRDefault="00101F29"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bCs/>
          <w:sz w:val="20"/>
          <w:szCs w:val="20"/>
          <w:lang w:val="es-AR"/>
        </w:rPr>
        <w:t>El artículo 46</w:t>
      </w:r>
      <w:r w:rsidR="001E216D">
        <w:rPr>
          <w:rFonts w:asciiTheme="majorHAnsi" w:hAnsiTheme="majorHAnsi"/>
          <w:bCs/>
          <w:sz w:val="20"/>
          <w:szCs w:val="20"/>
          <w:lang w:val="es-AR"/>
        </w:rPr>
        <w:t>.</w:t>
      </w:r>
      <w:r w:rsidRPr="00D4287E">
        <w:rPr>
          <w:rFonts w:asciiTheme="majorHAnsi" w:hAnsiTheme="majorHAnsi"/>
          <w:bCs/>
          <w:sz w:val="20"/>
          <w:szCs w:val="20"/>
          <w:lang w:val="es-AR"/>
        </w:rPr>
        <w:t>1</w:t>
      </w:r>
      <w:r w:rsidR="001E216D">
        <w:rPr>
          <w:rFonts w:asciiTheme="majorHAnsi" w:hAnsiTheme="majorHAnsi"/>
          <w:bCs/>
          <w:sz w:val="20"/>
          <w:szCs w:val="20"/>
          <w:lang w:val="es-AR"/>
        </w:rPr>
        <w:t>.</w:t>
      </w:r>
      <w:r w:rsidRPr="00D4287E">
        <w:rPr>
          <w:rFonts w:asciiTheme="majorHAnsi" w:hAnsiTheme="majorHAnsi"/>
          <w:bCs/>
          <w:sz w:val="20"/>
          <w:szCs w:val="20"/>
          <w:lang w:val="es-AR"/>
        </w:rPr>
        <w:t xml:space="preserve">c de la Convención dispone que la admisión de las peticiones está sujeta al requisito respecto a que la materia </w:t>
      </w:r>
      <w:r w:rsidRPr="00D4287E">
        <w:rPr>
          <w:rFonts w:asciiTheme="majorHAnsi" w:hAnsiTheme="majorHAnsi" w:cs="Arial"/>
          <w:sz w:val="20"/>
          <w:szCs w:val="20"/>
          <w:lang w:val="es-AR"/>
        </w:rPr>
        <w:t>"</w:t>
      </w:r>
      <w:r w:rsidRPr="00D4287E">
        <w:rPr>
          <w:rFonts w:asciiTheme="majorHAnsi" w:hAnsiTheme="majorHAnsi"/>
          <w:bCs/>
          <w:sz w:val="20"/>
          <w:szCs w:val="20"/>
          <w:lang w:val="es-AR"/>
        </w:rPr>
        <w:t>no esté pendiente de otro procedimiento de arreglo internacional</w:t>
      </w:r>
      <w:r w:rsidRPr="00D4287E">
        <w:rPr>
          <w:rFonts w:asciiTheme="majorHAnsi" w:hAnsiTheme="majorHAnsi" w:cs="Arial"/>
          <w:sz w:val="20"/>
          <w:szCs w:val="20"/>
          <w:lang w:val="es-AR"/>
        </w:rPr>
        <w:t>"</w:t>
      </w:r>
      <w:r w:rsidRPr="00D4287E">
        <w:rPr>
          <w:rFonts w:asciiTheme="majorHAnsi" w:hAnsiTheme="majorHAnsi"/>
          <w:bCs/>
          <w:sz w:val="20"/>
          <w:szCs w:val="20"/>
          <w:lang w:val="es-AR"/>
        </w:rPr>
        <w:t xml:space="preserve"> y en el ar</w:t>
      </w:r>
      <w:r w:rsidR="00EB5732" w:rsidRPr="00D4287E">
        <w:rPr>
          <w:rFonts w:asciiTheme="majorHAnsi" w:hAnsiTheme="majorHAnsi"/>
          <w:bCs/>
          <w:sz w:val="20"/>
          <w:szCs w:val="20"/>
          <w:lang w:val="es-AR"/>
        </w:rPr>
        <w:t>tículo 47</w:t>
      </w:r>
      <w:r w:rsidR="001E216D">
        <w:rPr>
          <w:rFonts w:asciiTheme="majorHAnsi" w:hAnsiTheme="majorHAnsi"/>
          <w:bCs/>
          <w:sz w:val="20"/>
          <w:szCs w:val="20"/>
          <w:lang w:val="es-AR"/>
        </w:rPr>
        <w:t>.</w:t>
      </w:r>
      <w:r w:rsidRPr="00D4287E">
        <w:rPr>
          <w:rFonts w:asciiTheme="majorHAnsi" w:hAnsiTheme="majorHAnsi"/>
          <w:bCs/>
          <w:sz w:val="20"/>
          <w:szCs w:val="20"/>
          <w:lang w:val="es-AR"/>
        </w:rPr>
        <w:t>d de la Convención se estipula que la Comisión no admitirá la petición que sea sustancialmente la reproducción de petición o comunicación anterior ya examinada por la Comisión o por otro organismo internacional.</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101F29" w:rsidRPr="00D4287E" w:rsidRDefault="00101F29"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D4287E">
        <w:rPr>
          <w:rFonts w:asciiTheme="majorHAnsi" w:hAnsiTheme="majorHAnsi"/>
          <w:sz w:val="20"/>
          <w:szCs w:val="20"/>
          <w:lang w:val="es-AR"/>
        </w:rPr>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w:t>
      </w:r>
      <w:r w:rsidR="001E216D">
        <w:rPr>
          <w:rFonts w:asciiTheme="majorHAnsi" w:hAnsiTheme="majorHAnsi"/>
          <w:sz w:val="20"/>
          <w:szCs w:val="20"/>
          <w:lang w:val="es-AR"/>
        </w:rPr>
        <w:t>tículos 46.</w:t>
      </w:r>
      <w:r w:rsidRPr="00D4287E">
        <w:rPr>
          <w:rFonts w:asciiTheme="majorHAnsi" w:hAnsiTheme="majorHAnsi"/>
          <w:sz w:val="20"/>
          <w:szCs w:val="20"/>
          <w:lang w:val="es-AR"/>
        </w:rPr>
        <w:t>1</w:t>
      </w:r>
      <w:r w:rsidR="001E216D">
        <w:rPr>
          <w:rFonts w:asciiTheme="majorHAnsi" w:hAnsiTheme="majorHAnsi"/>
          <w:sz w:val="20"/>
          <w:szCs w:val="20"/>
          <w:lang w:val="es-AR"/>
        </w:rPr>
        <w:t>.</w:t>
      </w:r>
      <w:r w:rsidRPr="00D4287E">
        <w:rPr>
          <w:rFonts w:asciiTheme="majorHAnsi" w:hAnsiTheme="majorHAnsi"/>
          <w:sz w:val="20"/>
          <w:szCs w:val="20"/>
          <w:lang w:val="es-AR"/>
        </w:rPr>
        <w:t>c y 47</w:t>
      </w:r>
      <w:r w:rsidR="001E216D">
        <w:rPr>
          <w:rFonts w:asciiTheme="majorHAnsi" w:hAnsiTheme="majorHAnsi"/>
          <w:sz w:val="20"/>
          <w:szCs w:val="20"/>
          <w:lang w:val="es-AR"/>
        </w:rPr>
        <w:t>.</w:t>
      </w:r>
      <w:r w:rsidRPr="00D4287E">
        <w:rPr>
          <w:rFonts w:asciiTheme="majorHAnsi" w:hAnsiTheme="majorHAnsi"/>
          <w:sz w:val="20"/>
          <w:szCs w:val="20"/>
          <w:lang w:val="es-AR"/>
        </w:rPr>
        <w:t>d de la Convención.</w:t>
      </w:r>
    </w:p>
    <w:p w:rsidR="003F28B3" w:rsidRPr="00D4287E" w:rsidRDefault="003F28B3" w:rsidP="003F28B3">
      <w:pPr>
        <w:pStyle w:val="ListParagraph"/>
        <w:rPr>
          <w:rFonts w:asciiTheme="majorHAnsi" w:hAnsiTheme="majorHAnsi"/>
          <w:color w:val="auto"/>
          <w:sz w:val="20"/>
          <w:szCs w:val="20"/>
          <w:lang w:val="es-AR"/>
        </w:rPr>
      </w:pPr>
    </w:p>
    <w:p w:rsidR="00101F29" w:rsidRPr="00D4287E" w:rsidRDefault="00101F29" w:rsidP="00A36344">
      <w:pPr>
        <w:pStyle w:val="Heading1"/>
        <w:numPr>
          <w:ilvl w:val="0"/>
          <w:numId w:val="59"/>
        </w:numPr>
        <w:spacing w:before="0"/>
        <w:ind w:left="1440" w:hanging="720"/>
        <w:rPr>
          <w:color w:val="auto"/>
          <w:sz w:val="20"/>
          <w:szCs w:val="20"/>
          <w:lang w:val="es-AR"/>
        </w:rPr>
      </w:pPr>
      <w:r w:rsidRPr="00D4287E">
        <w:rPr>
          <w:color w:val="auto"/>
          <w:sz w:val="20"/>
          <w:szCs w:val="20"/>
          <w:lang w:val="es-AR"/>
        </w:rPr>
        <w:t>Caracterización de los hechos alegados</w:t>
      </w:r>
    </w:p>
    <w:p w:rsidR="00A36344" w:rsidRPr="00D4287E" w:rsidRDefault="00A36344" w:rsidP="00A36344">
      <w:pPr>
        <w:rPr>
          <w:lang w:val="es-AR"/>
        </w:rPr>
      </w:pPr>
    </w:p>
    <w:p w:rsidR="003F28B3" w:rsidRPr="009B687E" w:rsidRDefault="00101F29" w:rsidP="00D428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lang w:val="es-AR"/>
        </w:rPr>
      </w:pPr>
      <w:r w:rsidRPr="00D4287E">
        <w:rPr>
          <w:rFonts w:asciiTheme="majorHAnsi" w:hAnsiTheme="majorHAnsi"/>
          <w:sz w:val="20"/>
          <w:szCs w:val="20"/>
          <w:lang w:val="es-AR"/>
        </w:rPr>
        <w:t xml:space="preserve">A los fines de </w:t>
      </w:r>
      <w:r w:rsidR="005C04A8" w:rsidRPr="00D4287E">
        <w:rPr>
          <w:rFonts w:asciiTheme="majorHAnsi" w:hAnsiTheme="majorHAnsi"/>
          <w:sz w:val="20"/>
          <w:szCs w:val="20"/>
          <w:lang w:val="es-AR"/>
        </w:rPr>
        <w:t xml:space="preserve">la </w:t>
      </w:r>
      <w:r w:rsidRPr="00D4287E">
        <w:rPr>
          <w:rFonts w:asciiTheme="majorHAnsi" w:hAnsiTheme="majorHAnsi"/>
          <w:sz w:val="20"/>
          <w:szCs w:val="20"/>
          <w:lang w:val="es-AR"/>
        </w:rPr>
        <w:t>admisibilidad, la Comisión debe decidir si en la petición se exponen hechos que podrían caracterizar una violació</w:t>
      </w:r>
      <w:r w:rsidR="001E216D">
        <w:rPr>
          <w:rFonts w:asciiTheme="majorHAnsi" w:hAnsiTheme="majorHAnsi"/>
          <w:sz w:val="20"/>
          <w:szCs w:val="20"/>
          <w:lang w:val="es-AR"/>
        </w:rPr>
        <w:t>n, como estipula el artículo 47.</w:t>
      </w:r>
      <w:r w:rsidRPr="00D4287E">
        <w:rPr>
          <w:rFonts w:asciiTheme="majorHAnsi" w:hAnsiTheme="majorHAnsi"/>
          <w:sz w:val="20"/>
          <w:szCs w:val="20"/>
          <w:lang w:val="es-AR"/>
        </w:rPr>
        <w:t>b</w:t>
      </w:r>
      <w:r w:rsidR="001E216D">
        <w:rPr>
          <w:rFonts w:asciiTheme="majorHAnsi" w:hAnsiTheme="majorHAnsi"/>
          <w:sz w:val="20"/>
          <w:szCs w:val="20"/>
          <w:lang w:val="es-AR"/>
        </w:rPr>
        <w:t>.</w:t>
      </w:r>
      <w:r w:rsidRPr="00D4287E">
        <w:rPr>
          <w:rFonts w:asciiTheme="majorHAnsi" w:hAnsiTheme="majorHAnsi"/>
          <w:sz w:val="20"/>
          <w:szCs w:val="20"/>
          <w:lang w:val="es-AR"/>
        </w:rPr>
        <w:t xml:space="preserve"> de la Convención Americana, si la petición es </w:t>
      </w:r>
      <w:r w:rsidRPr="00D4287E">
        <w:rPr>
          <w:rFonts w:asciiTheme="majorHAnsi" w:hAnsiTheme="majorHAnsi" w:cs="Arial"/>
          <w:sz w:val="20"/>
          <w:szCs w:val="20"/>
          <w:lang w:val="es-AR"/>
        </w:rPr>
        <w:t>“</w:t>
      </w:r>
      <w:r w:rsidRPr="00D4287E">
        <w:rPr>
          <w:rFonts w:asciiTheme="majorHAnsi" w:hAnsiTheme="majorHAnsi"/>
          <w:sz w:val="20"/>
          <w:szCs w:val="20"/>
          <w:lang w:val="es-AR"/>
        </w:rPr>
        <w:t>manifiestamente infundada</w:t>
      </w:r>
      <w:r w:rsidRPr="00D4287E">
        <w:rPr>
          <w:rFonts w:asciiTheme="majorHAnsi" w:hAnsiTheme="majorHAnsi" w:cs="Arial"/>
          <w:sz w:val="20"/>
          <w:szCs w:val="20"/>
          <w:lang w:val="es-AR"/>
        </w:rPr>
        <w:t>”</w:t>
      </w:r>
      <w:r w:rsidRPr="00D4287E">
        <w:rPr>
          <w:rFonts w:asciiTheme="majorHAnsi" w:hAnsiTheme="majorHAnsi"/>
          <w:sz w:val="20"/>
          <w:szCs w:val="20"/>
          <w:lang w:val="es-AR"/>
        </w:rPr>
        <w:t xml:space="preserve"> o si es </w:t>
      </w:r>
      <w:r w:rsidRPr="00D4287E">
        <w:rPr>
          <w:rFonts w:asciiTheme="majorHAnsi" w:hAnsiTheme="majorHAnsi" w:cs="Arial"/>
          <w:sz w:val="20"/>
          <w:szCs w:val="20"/>
          <w:lang w:val="es-AR"/>
        </w:rPr>
        <w:t>"</w:t>
      </w:r>
      <w:r w:rsidRPr="00D4287E">
        <w:rPr>
          <w:rFonts w:asciiTheme="majorHAnsi" w:hAnsiTheme="majorHAnsi"/>
          <w:sz w:val="20"/>
          <w:szCs w:val="20"/>
          <w:lang w:val="es-AR"/>
        </w:rPr>
        <w:t>evidente su total improcedencia</w:t>
      </w:r>
      <w:r w:rsidRPr="00D4287E">
        <w:rPr>
          <w:rFonts w:asciiTheme="majorHAnsi" w:hAnsiTheme="majorHAnsi" w:cs="Arial"/>
          <w:sz w:val="20"/>
          <w:szCs w:val="20"/>
          <w:lang w:val="es-AR"/>
        </w:rPr>
        <w:t>"</w:t>
      </w:r>
      <w:r w:rsidRPr="00D4287E">
        <w:rPr>
          <w:rFonts w:asciiTheme="majorHAnsi" w:hAnsiTheme="majorHAnsi"/>
          <w:sz w:val="20"/>
          <w:szCs w:val="20"/>
          <w:lang w:val="es-AR"/>
        </w:rPr>
        <w:t xml:space="preserve">, según el inciso (c) del mismo artículo. El estándar de apreciación de estos extremos es diferente del requerido para decidir sobre los méritos de una denuncia. La Comisión debe realizar una evaluación </w:t>
      </w:r>
      <w:r w:rsidRPr="00D4287E">
        <w:rPr>
          <w:rFonts w:asciiTheme="majorHAnsi" w:hAnsiTheme="majorHAnsi"/>
          <w:i/>
          <w:sz w:val="20"/>
          <w:szCs w:val="20"/>
          <w:lang w:val="es-AR"/>
        </w:rPr>
        <w:t>prima facie</w:t>
      </w:r>
      <w:r w:rsidRPr="00D4287E">
        <w:rPr>
          <w:rFonts w:asciiTheme="majorHAnsi" w:hAnsiTheme="majorHAnsi"/>
          <w:sz w:val="20"/>
          <w:szCs w:val="20"/>
          <w:lang w:val="es-AR"/>
        </w:rPr>
        <w:t xml:space="preserve"> para examinar si la denuncia fundamenta la aparente o potencial violación de un derecho garantizado por la Convención y no para establecer la existencia de una violación. Tal examen es un análisis sumario que no implica un prejuicio o un avance de opinión sobre el fondo.</w:t>
      </w:r>
    </w:p>
    <w:p w:rsidR="009B687E" w:rsidRDefault="009B687E" w:rsidP="009B68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9B687E" w:rsidRPr="00D4287E" w:rsidRDefault="009B687E" w:rsidP="009B68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lang w:val="es-AR"/>
        </w:rPr>
      </w:pPr>
    </w:p>
    <w:p w:rsidR="00866B62" w:rsidRPr="00D4287E" w:rsidRDefault="00866B62" w:rsidP="00866B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Cambria" w:hAnsiTheme="majorHAnsi" w:cs="Cambria"/>
          <w:sz w:val="20"/>
          <w:szCs w:val="20"/>
          <w:lang w:val="es-ES"/>
        </w:rPr>
      </w:pPr>
      <w:r w:rsidRPr="00D4287E">
        <w:rPr>
          <w:rFonts w:asciiTheme="majorHAnsi" w:eastAsia="Times New Roman" w:hAnsiTheme="majorHAnsi"/>
          <w:sz w:val="20"/>
          <w:szCs w:val="20"/>
          <w:bdr w:val="none" w:sz="0" w:space="0" w:color="auto"/>
          <w:lang w:val="es-ES"/>
        </w:rPr>
        <w:t>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r w:rsidRPr="00D4287E">
        <w:rPr>
          <w:rFonts w:asciiTheme="majorHAnsi" w:eastAsia="Times New Roman" w:hAnsiTheme="majorHAnsi"/>
          <w:sz w:val="20"/>
          <w:szCs w:val="20"/>
          <w:bdr w:val="none" w:sz="0" w:space="0" w:color="auto"/>
          <w:lang w:val="es-AR"/>
        </w:rPr>
        <w:t xml:space="preserve"> </w:t>
      </w:r>
    </w:p>
    <w:p w:rsidR="00D54F83" w:rsidRPr="00D4287E" w:rsidRDefault="00D54F83" w:rsidP="00D54F8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Cambria" w:hAnsiTheme="majorHAnsi" w:cs="Cambria"/>
          <w:sz w:val="20"/>
          <w:szCs w:val="20"/>
          <w:lang w:val="es-ES"/>
        </w:rPr>
      </w:pPr>
    </w:p>
    <w:p w:rsidR="00101F29" w:rsidRPr="00D4287E" w:rsidRDefault="00D54F83"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sz w:val="20"/>
          <w:szCs w:val="20"/>
          <w:lang w:val="es-AR"/>
        </w:rPr>
      </w:pPr>
      <w:r w:rsidRPr="00D4287E">
        <w:rPr>
          <w:rFonts w:asciiTheme="majorHAnsi" w:eastAsia="Cambria" w:hAnsiTheme="majorHAnsi" w:cs="Cambria"/>
          <w:sz w:val="20"/>
          <w:szCs w:val="20"/>
          <w:lang w:val="es-ES"/>
        </w:rPr>
        <w:t>En vista de los elementos de hecho y de derecho presentados por las partes y la naturaleza del asunto puesto bajo su conocimiento, la CIDH considera que los alegatos de</w:t>
      </w:r>
      <w:r w:rsidR="00D142D0" w:rsidRPr="00D4287E">
        <w:rPr>
          <w:rFonts w:asciiTheme="majorHAnsi" w:eastAsia="Cambria" w:hAnsiTheme="majorHAnsi" w:cs="Cambria"/>
          <w:sz w:val="20"/>
          <w:szCs w:val="20"/>
          <w:lang w:val="es-ES"/>
        </w:rPr>
        <w:t xml:space="preserve"> </w:t>
      </w:r>
      <w:r w:rsidRPr="00D4287E">
        <w:rPr>
          <w:rFonts w:asciiTheme="majorHAnsi" w:eastAsia="Cambria" w:hAnsiTheme="majorHAnsi" w:cs="Cambria"/>
          <w:sz w:val="20"/>
          <w:szCs w:val="20"/>
          <w:lang w:val="es-ES"/>
        </w:rPr>
        <w:t>l</w:t>
      </w:r>
      <w:r w:rsidR="00D142D0" w:rsidRPr="00D4287E">
        <w:rPr>
          <w:rFonts w:asciiTheme="majorHAnsi" w:eastAsia="Cambria" w:hAnsiTheme="majorHAnsi" w:cs="Cambria"/>
          <w:sz w:val="20"/>
          <w:szCs w:val="20"/>
          <w:lang w:val="es-ES"/>
        </w:rPr>
        <w:t>os</w:t>
      </w:r>
      <w:r w:rsidRPr="00D4287E">
        <w:rPr>
          <w:rFonts w:asciiTheme="majorHAnsi" w:eastAsia="Cambria" w:hAnsiTheme="majorHAnsi" w:cs="Cambria"/>
          <w:sz w:val="20"/>
          <w:szCs w:val="20"/>
          <w:lang w:val="es-ES"/>
        </w:rPr>
        <w:t xml:space="preserve"> peticionario</w:t>
      </w:r>
      <w:r w:rsidR="00D142D0" w:rsidRPr="00D4287E">
        <w:rPr>
          <w:rFonts w:asciiTheme="majorHAnsi" w:eastAsia="Cambria" w:hAnsiTheme="majorHAnsi" w:cs="Cambria"/>
          <w:sz w:val="20"/>
          <w:szCs w:val="20"/>
          <w:lang w:val="es-ES"/>
        </w:rPr>
        <w:t>s</w:t>
      </w:r>
      <w:r w:rsidRPr="00D4287E">
        <w:rPr>
          <w:rFonts w:asciiTheme="majorHAnsi" w:eastAsia="Cambria" w:hAnsiTheme="majorHAnsi" w:cs="Cambria"/>
          <w:sz w:val="20"/>
          <w:szCs w:val="20"/>
          <w:lang w:val="es-ES"/>
        </w:rPr>
        <w:t xml:space="preserve"> relacionados con el alegado retiro del certificado de idoneidad con base en la orientación sexual de la presunta v</w:t>
      </w:r>
      <w:r w:rsidR="00D142D0" w:rsidRPr="00D4287E">
        <w:rPr>
          <w:rFonts w:asciiTheme="majorHAnsi" w:eastAsia="Cambria" w:hAnsiTheme="majorHAnsi" w:cs="Cambria"/>
          <w:sz w:val="20"/>
          <w:szCs w:val="20"/>
          <w:lang w:val="es-ES"/>
        </w:rPr>
        <w:t>íctima</w:t>
      </w:r>
      <w:r w:rsidR="00FF228A" w:rsidRPr="00D4287E">
        <w:rPr>
          <w:rFonts w:asciiTheme="majorHAnsi" w:eastAsia="Cambria" w:hAnsiTheme="majorHAnsi" w:cs="Cambria"/>
          <w:sz w:val="20"/>
          <w:szCs w:val="20"/>
          <w:lang w:val="es-ES"/>
        </w:rPr>
        <w:t>, efectuado por autoridades religiosas</w:t>
      </w:r>
      <w:r w:rsidR="00BC7CE3" w:rsidRPr="00D4287E">
        <w:rPr>
          <w:rFonts w:asciiTheme="majorHAnsi" w:eastAsia="Cambria" w:hAnsiTheme="majorHAnsi" w:cs="Cambria"/>
          <w:sz w:val="20"/>
          <w:szCs w:val="20"/>
          <w:lang w:val="es-ES"/>
        </w:rPr>
        <w:t xml:space="preserve"> en </w:t>
      </w:r>
      <w:r w:rsidR="00FF228A" w:rsidRPr="00D4287E">
        <w:rPr>
          <w:rFonts w:asciiTheme="majorHAnsi" w:eastAsia="Cambria" w:hAnsiTheme="majorHAnsi" w:cs="Cambria"/>
          <w:sz w:val="20"/>
          <w:szCs w:val="20"/>
          <w:lang w:val="es-ES"/>
        </w:rPr>
        <w:t xml:space="preserve">uso de facultades delegadas por </w:t>
      </w:r>
      <w:r w:rsidR="006B1334" w:rsidRPr="00D4287E">
        <w:rPr>
          <w:rFonts w:asciiTheme="majorHAnsi" w:eastAsia="Cambria" w:hAnsiTheme="majorHAnsi" w:cs="Cambria"/>
          <w:sz w:val="20"/>
          <w:szCs w:val="20"/>
          <w:lang w:val="es-ES"/>
        </w:rPr>
        <w:t>el Estado mediante un decreto</w:t>
      </w:r>
      <w:r w:rsidR="00D142D0" w:rsidRPr="00D4287E">
        <w:rPr>
          <w:rFonts w:asciiTheme="majorHAnsi" w:eastAsia="Cambria" w:hAnsiTheme="majorHAnsi" w:cs="Cambria"/>
          <w:sz w:val="20"/>
          <w:szCs w:val="20"/>
          <w:lang w:val="es-ES"/>
        </w:rPr>
        <w:t xml:space="preserve">, </w:t>
      </w:r>
      <w:r w:rsidR="0081248D" w:rsidRPr="00D4287E">
        <w:rPr>
          <w:rFonts w:asciiTheme="majorHAnsi" w:hAnsiTheme="majorHAnsi"/>
          <w:iCs/>
          <w:sz w:val="20"/>
          <w:szCs w:val="20"/>
          <w:lang w:val="es-AR"/>
        </w:rPr>
        <w:t xml:space="preserve">requieren de un análisis en la etapa de fondo para evaluar su compatibilidad con los términos de </w:t>
      </w:r>
      <w:r w:rsidR="00D142D0" w:rsidRPr="00D4287E">
        <w:rPr>
          <w:rFonts w:asciiTheme="majorHAnsi" w:hAnsiTheme="majorHAnsi"/>
          <w:iCs/>
          <w:sz w:val="20"/>
          <w:szCs w:val="20"/>
          <w:lang w:val="es-AR"/>
        </w:rPr>
        <w:t>los artículos 11 y 24 de la Convención Americana, en relación con los artículos 1.1</w:t>
      </w:r>
      <w:r w:rsidR="00D142D0" w:rsidRPr="00D4287E">
        <w:rPr>
          <w:rFonts w:asciiTheme="majorHAnsi" w:hAnsiTheme="majorHAnsi"/>
          <w:sz w:val="20"/>
          <w:szCs w:val="20"/>
          <w:lang w:val="es-AR"/>
        </w:rPr>
        <w:t xml:space="preserve"> y 2 </w:t>
      </w:r>
      <w:r w:rsidR="00D142D0" w:rsidRPr="00D4287E">
        <w:rPr>
          <w:rFonts w:asciiTheme="majorHAnsi" w:hAnsiTheme="majorHAnsi"/>
          <w:iCs/>
          <w:sz w:val="20"/>
          <w:szCs w:val="20"/>
          <w:lang w:val="es-AR"/>
        </w:rPr>
        <w:t xml:space="preserve">de dicho instrumento. Asimismo, si bien los peticionarios no lo alegaron expresamente, la CIDH entiende que la supuesta </w:t>
      </w:r>
      <w:r w:rsidRPr="00D4287E">
        <w:rPr>
          <w:rFonts w:asciiTheme="majorHAnsi" w:eastAsia="Cambria" w:hAnsiTheme="majorHAnsi" w:cs="Cambria"/>
          <w:sz w:val="20"/>
          <w:szCs w:val="20"/>
          <w:lang w:val="es-ES"/>
        </w:rPr>
        <w:t xml:space="preserve">falta de protección judicial y la </w:t>
      </w:r>
      <w:r w:rsidR="0006504C" w:rsidRPr="00D4287E">
        <w:rPr>
          <w:rFonts w:asciiTheme="majorHAnsi" w:eastAsia="Cambria" w:hAnsiTheme="majorHAnsi" w:cs="Cambria"/>
          <w:sz w:val="20"/>
          <w:szCs w:val="20"/>
          <w:lang w:val="es-ES"/>
        </w:rPr>
        <w:t>supuesta</w:t>
      </w:r>
      <w:r w:rsidR="00D142D0" w:rsidRPr="00D4287E">
        <w:rPr>
          <w:rFonts w:asciiTheme="majorHAnsi" w:eastAsia="Cambria" w:hAnsiTheme="majorHAnsi" w:cs="Cambria"/>
          <w:sz w:val="20"/>
          <w:szCs w:val="20"/>
          <w:lang w:val="es-ES"/>
        </w:rPr>
        <w:t xml:space="preserve"> </w:t>
      </w:r>
      <w:r w:rsidRPr="00D4287E">
        <w:rPr>
          <w:rFonts w:asciiTheme="majorHAnsi" w:eastAsia="Cambria" w:hAnsiTheme="majorHAnsi" w:cs="Cambria"/>
          <w:sz w:val="20"/>
          <w:szCs w:val="20"/>
          <w:lang w:val="es-ES"/>
        </w:rPr>
        <w:t xml:space="preserve">omisión de garantía del debido proceso en el acceso a los recursos internos, </w:t>
      </w:r>
      <w:r w:rsidR="00D142D0" w:rsidRPr="00D4287E">
        <w:rPr>
          <w:rFonts w:asciiTheme="majorHAnsi" w:hAnsiTheme="majorHAnsi"/>
          <w:iCs/>
          <w:sz w:val="20"/>
          <w:szCs w:val="20"/>
          <w:lang w:val="es-AR"/>
        </w:rPr>
        <w:t xml:space="preserve">podría eventualmente caracterizar violaciones a los artículos </w:t>
      </w:r>
      <w:r w:rsidRPr="00D4287E">
        <w:rPr>
          <w:rFonts w:asciiTheme="majorHAnsi" w:hAnsiTheme="majorHAnsi"/>
          <w:iCs/>
          <w:sz w:val="20"/>
          <w:szCs w:val="20"/>
          <w:lang w:val="es-AR"/>
        </w:rPr>
        <w:t>8</w:t>
      </w:r>
      <w:r w:rsidR="00D142D0" w:rsidRPr="00D4287E">
        <w:rPr>
          <w:rFonts w:asciiTheme="majorHAnsi" w:hAnsiTheme="majorHAnsi"/>
          <w:iCs/>
          <w:sz w:val="20"/>
          <w:szCs w:val="20"/>
          <w:lang w:val="es-AR"/>
        </w:rPr>
        <w:t xml:space="preserve"> y </w:t>
      </w:r>
      <w:r w:rsidR="006907C2" w:rsidRPr="00D4287E">
        <w:rPr>
          <w:rFonts w:asciiTheme="majorHAnsi" w:hAnsiTheme="majorHAnsi"/>
          <w:iCs/>
          <w:sz w:val="20"/>
          <w:szCs w:val="20"/>
          <w:lang w:val="es-AR"/>
        </w:rPr>
        <w:t>25</w:t>
      </w:r>
      <w:r w:rsidR="00101F29" w:rsidRPr="00D4287E">
        <w:rPr>
          <w:rFonts w:asciiTheme="majorHAnsi" w:hAnsiTheme="majorHAnsi"/>
          <w:iCs/>
          <w:sz w:val="20"/>
          <w:szCs w:val="20"/>
          <w:lang w:val="es-AR"/>
        </w:rPr>
        <w:t xml:space="preserve"> de la Convención Americana, en relación con </w:t>
      </w:r>
      <w:r w:rsidR="00B90E23" w:rsidRPr="00D4287E">
        <w:rPr>
          <w:rFonts w:asciiTheme="majorHAnsi" w:hAnsiTheme="majorHAnsi"/>
          <w:iCs/>
          <w:sz w:val="20"/>
          <w:szCs w:val="20"/>
          <w:lang w:val="es-AR"/>
        </w:rPr>
        <w:t>los</w:t>
      </w:r>
      <w:r w:rsidR="00101F29" w:rsidRPr="00D4287E">
        <w:rPr>
          <w:rFonts w:asciiTheme="majorHAnsi" w:hAnsiTheme="majorHAnsi"/>
          <w:iCs/>
          <w:sz w:val="20"/>
          <w:szCs w:val="20"/>
          <w:lang w:val="es-AR"/>
        </w:rPr>
        <w:t xml:space="preserve"> artículo</w:t>
      </w:r>
      <w:r w:rsidR="00B90E23" w:rsidRPr="00D4287E">
        <w:rPr>
          <w:rFonts w:asciiTheme="majorHAnsi" w:hAnsiTheme="majorHAnsi"/>
          <w:iCs/>
          <w:sz w:val="20"/>
          <w:szCs w:val="20"/>
          <w:lang w:val="es-AR"/>
        </w:rPr>
        <w:t>s</w:t>
      </w:r>
      <w:r w:rsidR="00101F29" w:rsidRPr="00D4287E">
        <w:rPr>
          <w:rFonts w:asciiTheme="majorHAnsi" w:hAnsiTheme="majorHAnsi"/>
          <w:iCs/>
          <w:sz w:val="20"/>
          <w:szCs w:val="20"/>
          <w:lang w:val="es-AR"/>
        </w:rPr>
        <w:t xml:space="preserve"> 1.1</w:t>
      </w:r>
      <w:r w:rsidR="003A1AF6" w:rsidRPr="00D4287E">
        <w:rPr>
          <w:rFonts w:asciiTheme="majorHAnsi" w:hAnsiTheme="majorHAnsi"/>
          <w:sz w:val="20"/>
          <w:szCs w:val="20"/>
          <w:lang w:val="es-AR"/>
        </w:rPr>
        <w:t xml:space="preserve"> </w:t>
      </w:r>
      <w:r w:rsidR="00B90E23" w:rsidRPr="00D4287E">
        <w:rPr>
          <w:rFonts w:asciiTheme="majorHAnsi" w:hAnsiTheme="majorHAnsi"/>
          <w:sz w:val="20"/>
          <w:szCs w:val="20"/>
          <w:lang w:val="es-AR"/>
        </w:rPr>
        <w:t xml:space="preserve">y 2 </w:t>
      </w:r>
      <w:r w:rsidR="00101F29" w:rsidRPr="00D4287E">
        <w:rPr>
          <w:rFonts w:asciiTheme="majorHAnsi" w:hAnsiTheme="majorHAnsi"/>
          <w:iCs/>
          <w:sz w:val="20"/>
          <w:szCs w:val="20"/>
          <w:lang w:val="es-AR"/>
        </w:rPr>
        <w:t>de dicho instrumento.</w:t>
      </w:r>
      <w:r w:rsidR="00571CF5" w:rsidRPr="00D4287E">
        <w:rPr>
          <w:rFonts w:asciiTheme="majorHAnsi" w:hAnsiTheme="majorHAnsi"/>
          <w:iCs/>
          <w:sz w:val="20"/>
          <w:szCs w:val="20"/>
          <w:lang w:val="es-AR"/>
        </w:rPr>
        <w:t xml:space="preserve"> </w:t>
      </w:r>
    </w:p>
    <w:p w:rsidR="009B2357" w:rsidRPr="00D4287E" w:rsidRDefault="009B2357" w:rsidP="00A3634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AR"/>
        </w:rPr>
      </w:pPr>
    </w:p>
    <w:p w:rsidR="00101F29" w:rsidRPr="00D4287E" w:rsidRDefault="00101F29" w:rsidP="00A36344">
      <w:pPr>
        <w:pStyle w:val="Heading1"/>
        <w:numPr>
          <w:ilvl w:val="0"/>
          <w:numId w:val="58"/>
        </w:numPr>
        <w:spacing w:before="0"/>
        <w:rPr>
          <w:color w:val="auto"/>
          <w:sz w:val="20"/>
          <w:szCs w:val="20"/>
          <w:lang w:val="es-AR"/>
        </w:rPr>
      </w:pPr>
      <w:r w:rsidRPr="00D4287E">
        <w:rPr>
          <w:color w:val="auto"/>
          <w:sz w:val="20"/>
          <w:szCs w:val="20"/>
          <w:lang w:val="es-AR"/>
        </w:rPr>
        <w:t>CONCLUSIONES</w:t>
      </w:r>
    </w:p>
    <w:p w:rsidR="00A36344" w:rsidRPr="00D4287E" w:rsidRDefault="00A36344" w:rsidP="00A36344">
      <w:pPr>
        <w:rPr>
          <w:lang w:val="es-AR"/>
        </w:rPr>
      </w:pPr>
    </w:p>
    <w:p w:rsidR="009B2357" w:rsidRPr="00D4287E" w:rsidRDefault="00101F29" w:rsidP="00A363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lang w:val="es-AR"/>
        </w:rPr>
      </w:pPr>
      <w:r w:rsidRPr="00D4287E">
        <w:rPr>
          <w:rFonts w:asciiTheme="majorHAnsi" w:hAnsiTheme="majorHAnsi"/>
          <w:sz w:val="20"/>
          <w:szCs w:val="20"/>
          <w:lang w:val="es-AR"/>
        </w:rPr>
        <w:t>Con fundamento en las consideraciones de hecho y de derecho expuestas, y sin prejuzgar sobre el fondo de la cuestión, la Comisión Interamericana concluye que el presente reclamo satisface los requisitos de admisibilidad enunciados en los artículos 46 y 47 de la Convención Americana y en consecuencia</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lang w:val="es-AR"/>
        </w:rPr>
      </w:pPr>
    </w:p>
    <w:p w:rsidR="00CA6879" w:rsidRDefault="00101F29" w:rsidP="00CA6879">
      <w:pPr>
        <w:ind w:firstLine="720"/>
        <w:jc w:val="center"/>
        <w:rPr>
          <w:rFonts w:asciiTheme="majorHAnsi" w:hAnsiTheme="majorHAnsi"/>
          <w:b/>
          <w:sz w:val="20"/>
          <w:szCs w:val="20"/>
          <w:lang w:val="es-AR"/>
        </w:rPr>
      </w:pPr>
      <w:r w:rsidRPr="00D4287E">
        <w:rPr>
          <w:rFonts w:asciiTheme="majorHAnsi" w:hAnsiTheme="majorHAnsi"/>
          <w:b/>
          <w:sz w:val="20"/>
          <w:szCs w:val="20"/>
          <w:lang w:val="es-AR"/>
        </w:rPr>
        <w:t>LA COMISIÓN INTERAMERICANA DE DERECHOS HUMANOS,</w:t>
      </w:r>
    </w:p>
    <w:p w:rsidR="00101F29" w:rsidRPr="00D4287E" w:rsidRDefault="00101F29" w:rsidP="00CA6879">
      <w:pPr>
        <w:rPr>
          <w:rFonts w:asciiTheme="majorHAnsi" w:hAnsiTheme="majorHAnsi"/>
          <w:b/>
          <w:sz w:val="20"/>
          <w:szCs w:val="20"/>
          <w:lang w:val="es-AR"/>
        </w:rPr>
      </w:pPr>
      <w:r w:rsidRPr="00D4287E">
        <w:rPr>
          <w:rFonts w:asciiTheme="majorHAnsi" w:hAnsiTheme="majorHAnsi"/>
          <w:b/>
          <w:sz w:val="20"/>
          <w:szCs w:val="20"/>
          <w:lang w:val="es-AR"/>
        </w:rPr>
        <w:t>DECIDE:</w:t>
      </w:r>
    </w:p>
    <w:p w:rsidR="00A36344" w:rsidRPr="00D4287E" w:rsidRDefault="00A36344" w:rsidP="00A36344">
      <w:pPr>
        <w:rPr>
          <w:rFonts w:asciiTheme="majorHAnsi" w:hAnsiTheme="majorHAnsi"/>
          <w:b/>
          <w:sz w:val="20"/>
          <w:szCs w:val="20"/>
          <w:lang w:val="es-AR"/>
        </w:rPr>
      </w:pPr>
    </w:p>
    <w:p w:rsidR="00101F29" w:rsidRPr="00D4287E" w:rsidRDefault="00101F29" w:rsidP="00A3634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AR"/>
        </w:rPr>
      </w:pPr>
      <w:r w:rsidRPr="00D4287E">
        <w:rPr>
          <w:rFonts w:asciiTheme="majorHAnsi" w:hAnsiTheme="majorHAnsi"/>
          <w:sz w:val="20"/>
          <w:szCs w:val="20"/>
          <w:lang w:val="es-AR"/>
        </w:rPr>
        <w:t xml:space="preserve">Declarar admisible la petición con relación a los artículos </w:t>
      </w:r>
      <w:r w:rsidR="00DF4764" w:rsidRPr="00D4287E">
        <w:rPr>
          <w:rFonts w:asciiTheme="majorHAnsi" w:hAnsiTheme="majorHAnsi"/>
          <w:sz w:val="20"/>
          <w:szCs w:val="20"/>
          <w:lang w:val="es-AR"/>
        </w:rPr>
        <w:t xml:space="preserve">8, </w:t>
      </w:r>
      <w:r w:rsidR="00280A03" w:rsidRPr="00D4287E">
        <w:rPr>
          <w:rFonts w:asciiTheme="majorHAnsi" w:hAnsiTheme="majorHAnsi"/>
          <w:sz w:val="20"/>
          <w:szCs w:val="20"/>
          <w:lang w:val="es-AR"/>
        </w:rPr>
        <w:t xml:space="preserve">11, </w:t>
      </w:r>
      <w:r w:rsidR="00882B95" w:rsidRPr="00D4287E">
        <w:rPr>
          <w:rFonts w:asciiTheme="majorHAnsi" w:hAnsiTheme="majorHAnsi"/>
          <w:sz w:val="20"/>
          <w:szCs w:val="20"/>
          <w:lang w:val="es-AR"/>
        </w:rPr>
        <w:t>24</w:t>
      </w:r>
      <w:r w:rsidR="003A1AF6" w:rsidRPr="00D4287E">
        <w:rPr>
          <w:rFonts w:asciiTheme="majorHAnsi" w:hAnsiTheme="majorHAnsi"/>
          <w:sz w:val="20"/>
          <w:szCs w:val="20"/>
          <w:lang w:val="es-AR"/>
        </w:rPr>
        <w:t xml:space="preserve"> </w:t>
      </w:r>
      <w:r w:rsidR="00280A03" w:rsidRPr="00D4287E">
        <w:rPr>
          <w:rFonts w:asciiTheme="majorHAnsi" w:hAnsiTheme="majorHAnsi"/>
          <w:sz w:val="20"/>
          <w:szCs w:val="20"/>
          <w:lang w:val="es-AR"/>
        </w:rPr>
        <w:t>y 25</w:t>
      </w:r>
      <w:r w:rsidR="00AE7623" w:rsidRPr="00D4287E">
        <w:rPr>
          <w:rFonts w:asciiTheme="majorHAnsi" w:hAnsiTheme="majorHAnsi"/>
          <w:sz w:val="20"/>
          <w:szCs w:val="20"/>
          <w:lang w:val="es-AR"/>
        </w:rPr>
        <w:t xml:space="preserve"> </w:t>
      </w:r>
      <w:r w:rsidRPr="00D4287E">
        <w:rPr>
          <w:rFonts w:asciiTheme="majorHAnsi" w:hAnsiTheme="majorHAnsi"/>
          <w:sz w:val="20"/>
          <w:szCs w:val="20"/>
          <w:lang w:val="es-AR"/>
        </w:rPr>
        <w:t xml:space="preserve">de la Convención Americana en </w:t>
      </w:r>
      <w:r w:rsidR="005C7B47" w:rsidRPr="00D4287E">
        <w:rPr>
          <w:rFonts w:asciiTheme="majorHAnsi" w:hAnsiTheme="majorHAnsi"/>
          <w:sz w:val="20"/>
          <w:szCs w:val="20"/>
          <w:lang w:val="es-AR"/>
        </w:rPr>
        <w:t>relación</w:t>
      </w:r>
      <w:r w:rsidRPr="00D4287E">
        <w:rPr>
          <w:rFonts w:asciiTheme="majorHAnsi" w:hAnsiTheme="majorHAnsi"/>
          <w:sz w:val="20"/>
          <w:szCs w:val="20"/>
          <w:lang w:val="es-AR"/>
        </w:rPr>
        <w:t xml:space="preserve"> con las obligaciones establecidas en </w:t>
      </w:r>
      <w:r w:rsidR="00B90E23" w:rsidRPr="00D4287E">
        <w:rPr>
          <w:rFonts w:asciiTheme="majorHAnsi" w:hAnsiTheme="majorHAnsi"/>
          <w:sz w:val="20"/>
          <w:szCs w:val="20"/>
          <w:lang w:val="es-AR"/>
        </w:rPr>
        <w:t>los</w:t>
      </w:r>
      <w:r w:rsidRPr="00D4287E">
        <w:rPr>
          <w:rFonts w:asciiTheme="majorHAnsi" w:hAnsiTheme="majorHAnsi"/>
          <w:sz w:val="20"/>
          <w:szCs w:val="20"/>
          <w:lang w:val="es-AR"/>
        </w:rPr>
        <w:t xml:space="preserve"> artíc</w:t>
      </w:r>
      <w:r w:rsidR="005C7B47" w:rsidRPr="00D4287E">
        <w:rPr>
          <w:rFonts w:asciiTheme="majorHAnsi" w:hAnsiTheme="majorHAnsi"/>
          <w:sz w:val="20"/>
          <w:szCs w:val="20"/>
          <w:lang w:val="es-AR"/>
        </w:rPr>
        <w:t>ulo</w:t>
      </w:r>
      <w:r w:rsidR="00B90E23" w:rsidRPr="00D4287E">
        <w:rPr>
          <w:rFonts w:asciiTheme="majorHAnsi" w:hAnsiTheme="majorHAnsi"/>
          <w:sz w:val="20"/>
          <w:szCs w:val="20"/>
          <w:lang w:val="es-AR"/>
        </w:rPr>
        <w:t>s</w:t>
      </w:r>
      <w:r w:rsidR="005C7B47" w:rsidRPr="00D4287E">
        <w:rPr>
          <w:rFonts w:asciiTheme="majorHAnsi" w:hAnsiTheme="majorHAnsi"/>
          <w:sz w:val="20"/>
          <w:szCs w:val="20"/>
          <w:lang w:val="es-AR"/>
        </w:rPr>
        <w:t xml:space="preserve"> </w:t>
      </w:r>
      <w:r w:rsidR="00AE7623" w:rsidRPr="00D4287E">
        <w:rPr>
          <w:rFonts w:asciiTheme="majorHAnsi" w:hAnsiTheme="majorHAnsi"/>
          <w:sz w:val="20"/>
          <w:szCs w:val="20"/>
          <w:lang w:val="es-AR"/>
        </w:rPr>
        <w:t xml:space="preserve">1.1 </w:t>
      </w:r>
      <w:r w:rsidR="00B90E23" w:rsidRPr="00D4287E">
        <w:rPr>
          <w:rFonts w:asciiTheme="majorHAnsi" w:hAnsiTheme="majorHAnsi"/>
          <w:sz w:val="20"/>
          <w:szCs w:val="20"/>
          <w:lang w:val="es-AR"/>
        </w:rPr>
        <w:t xml:space="preserve">y 2 </w:t>
      </w:r>
      <w:r w:rsidR="00AE7623" w:rsidRPr="00D4287E">
        <w:rPr>
          <w:rFonts w:asciiTheme="majorHAnsi" w:hAnsiTheme="majorHAnsi"/>
          <w:sz w:val="20"/>
          <w:szCs w:val="20"/>
          <w:lang w:val="es-AR"/>
        </w:rPr>
        <w:t>del mismo instrumento</w:t>
      </w:r>
      <w:r w:rsidRPr="00D4287E">
        <w:rPr>
          <w:rFonts w:asciiTheme="majorHAnsi" w:hAnsiTheme="majorHAnsi"/>
          <w:sz w:val="20"/>
          <w:szCs w:val="20"/>
          <w:lang w:val="es-AR"/>
        </w:rPr>
        <w:t xml:space="preserve">. </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20"/>
          <w:szCs w:val="20"/>
          <w:lang w:val="es-AR"/>
        </w:rPr>
      </w:pPr>
    </w:p>
    <w:p w:rsidR="00101F29" w:rsidRPr="00D4287E" w:rsidRDefault="00101F29" w:rsidP="00A3634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AR"/>
        </w:rPr>
      </w:pPr>
      <w:r w:rsidRPr="00D4287E">
        <w:rPr>
          <w:rFonts w:asciiTheme="majorHAnsi" w:hAnsiTheme="majorHAnsi"/>
          <w:sz w:val="20"/>
          <w:szCs w:val="20"/>
          <w:lang w:val="es-AR"/>
        </w:rPr>
        <w:t>Notificar esta decisión al Estado y a los peticionarios.</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20"/>
          <w:szCs w:val="20"/>
          <w:lang w:val="es-AR"/>
        </w:rPr>
      </w:pPr>
    </w:p>
    <w:p w:rsidR="00101F29" w:rsidRPr="00D4287E" w:rsidRDefault="00101F29" w:rsidP="00A3634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AR"/>
        </w:rPr>
      </w:pPr>
      <w:r w:rsidRPr="00D4287E">
        <w:rPr>
          <w:rFonts w:asciiTheme="majorHAnsi" w:hAnsiTheme="majorHAnsi"/>
          <w:sz w:val="20"/>
          <w:szCs w:val="20"/>
          <w:lang w:val="es-AR"/>
        </w:rPr>
        <w:t>Iniciar el trámite sobre el fondo de la cuestión.</w:t>
      </w:r>
    </w:p>
    <w:p w:rsidR="00A36344" w:rsidRPr="00D4287E" w:rsidRDefault="00A36344" w:rsidP="00A3634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20"/>
          <w:szCs w:val="20"/>
          <w:lang w:val="es-AR"/>
        </w:rPr>
      </w:pPr>
    </w:p>
    <w:p w:rsidR="00101F29" w:rsidRDefault="00101F29" w:rsidP="00A3634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AR"/>
        </w:rPr>
      </w:pPr>
      <w:r w:rsidRPr="00D4287E">
        <w:rPr>
          <w:rFonts w:asciiTheme="majorHAnsi" w:hAnsiTheme="majorHAnsi"/>
          <w:sz w:val="20"/>
          <w:szCs w:val="20"/>
          <w:lang w:val="es-AR"/>
        </w:rPr>
        <w:t>Publicar esta decisión e incluirla en el Informe Anual, a ser presentado a la Asamblea General de la OEA.</w:t>
      </w:r>
    </w:p>
    <w:p w:rsidR="00D4287E" w:rsidRDefault="00D4287E" w:rsidP="00D4287E">
      <w:pPr>
        <w:pStyle w:val="ListParagraph"/>
        <w:rPr>
          <w:rFonts w:asciiTheme="majorHAnsi" w:hAnsiTheme="majorHAnsi"/>
          <w:sz w:val="20"/>
          <w:szCs w:val="20"/>
          <w:lang w:val="es-AR"/>
        </w:rPr>
      </w:pPr>
    </w:p>
    <w:p w:rsidR="00D4287E" w:rsidRPr="00804A84" w:rsidRDefault="00D4287E" w:rsidP="00D4287E">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sidR="005A3360">
        <w:rPr>
          <w:rFonts w:ascii="Cambria" w:hAnsi="Cambria" w:cs="Arial"/>
          <w:noProof/>
          <w:spacing w:val="-2"/>
          <w:sz w:val="20"/>
          <w:szCs w:val="20"/>
          <w:lang w:val="es-CL"/>
        </w:rPr>
        <w:t>21</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julio</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5</w:t>
      </w:r>
      <w:r w:rsidRPr="00804A84">
        <w:rPr>
          <w:rFonts w:ascii="Cambria" w:hAnsi="Cambria" w:cs="Arial"/>
          <w:noProof/>
          <w:spacing w:val="-2"/>
          <w:sz w:val="20"/>
          <w:szCs w:val="20"/>
          <w:lang w:val="es-CL"/>
        </w:rPr>
        <w:t xml:space="preserve">.  (Firmado):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José de Jesús Orozco Henríquez, </w:t>
      </w:r>
      <w:r w:rsidRPr="00804A84">
        <w:rPr>
          <w:rFonts w:ascii="Cambria" w:hAnsi="Cambria" w:cs="Arial"/>
          <w:noProof/>
          <w:spacing w:val="-2"/>
          <w:sz w:val="20"/>
          <w:szCs w:val="20"/>
          <w:lang w:val="es-CL"/>
        </w:rPr>
        <w:t>Segundo Vicepresidente;</w:t>
      </w:r>
      <w:r w:rsidR="005A3360">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 xml:space="preserve">Rosa María Ortiz, </w:t>
      </w:r>
      <w:r>
        <w:rPr>
          <w:rFonts w:ascii="Cambria" w:hAnsi="Cambria" w:cs="Arial"/>
          <w:noProof/>
          <w:spacing w:val="-2"/>
          <w:sz w:val="20"/>
          <w:szCs w:val="20"/>
          <w:lang w:val="es-CL"/>
        </w:rPr>
        <w:t xml:space="preserve">Tracy Robinson y </w:t>
      </w:r>
      <w:r w:rsidRPr="00804A84">
        <w:rPr>
          <w:rFonts w:ascii="Cambria" w:hAnsi="Cambria" w:cs="Arial"/>
          <w:noProof/>
          <w:spacing w:val="-2"/>
          <w:sz w:val="20"/>
          <w:szCs w:val="20"/>
          <w:lang w:val="es-CL"/>
        </w:rPr>
        <w:t>Paulo Vannuchi</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Miembros de la Comisión.</w:t>
      </w:r>
    </w:p>
    <w:p w:rsidR="00D4287E" w:rsidRPr="00804A84" w:rsidRDefault="00D4287E" w:rsidP="00D4287E">
      <w:pPr>
        <w:suppressAutoHyphens/>
        <w:ind w:firstLine="720"/>
        <w:jc w:val="both"/>
        <w:rPr>
          <w:rFonts w:ascii="Cambria" w:hAnsi="Cambria" w:cs="Arial"/>
          <w:noProof/>
          <w:spacing w:val="-2"/>
          <w:sz w:val="20"/>
          <w:szCs w:val="20"/>
          <w:lang w:val="es-CL"/>
        </w:rPr>
      </w:pPr>
    </w:p>
    <w:p w:rsidR="00D4287E" w:rsidRPr="00D4287E" w:rsidRDefault="00D4287E" w:rsidP="00D4287E">
      <w:pPr>
        <w:ind w:left="720" w:hanging="720"/>
        <w:jc w:val="center"/>
        <w:rPr>
          <w:rFonts w:ascii="Cambria" w:hAnsi="Cambria" w:cs="Arial"/>
          <w:noProof/>
          <w:spacing w:val="-2"/>
          <w:sz w:val="20"/>
          <w:szCs w:val="20"/>
          <w:lang w:val="es-CL"/>
        </w:rPr>
      </w:pPr>
    </w:p>
    <w:sectPr w:rsidR="00D4287E" w:rsidRPr="00D4287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AF" w:rsidRDefault="006D21AF">
      <w:r>
        <w:separator/>
      </w:r>
    </w:p>
  </w:endnote>
  <w:endnote w:type="continuationSeparator" w:id="0">
    <w:p w:rsidR="006D21AF" w:rsidRDefault="006D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2" w:rsidRDefault="00B07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078E2">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AF" w:rsidRPr="000F35ED" w:rsidRDefault="006D21A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D21AF" w:rsidRPr="000F35ED" w:rsidRDefault="006D21AF" w:rsidP="000F35ED">
      <w:pPr>
        <w:rPr>
          <w:rFonts w:asciiTheme="majorHAnsi" w:hAnsiTheme="majorHAnsi"/>
          <w:sz w:val="16"/>
          <w:szCs w:val="16"/>
        </w:rPr>
      </w:pPr>
      <w:r w:rsidRPr="000F35ED">
        <w:rPr>
          <w:rFonts w:asciiTheme="majorHAnsi" w:hAnsiTheme="majorHAnsi"/>
          <w:sz w:val="16"/>
          <w:szCs w:val="16"/>
        </w:rPr>
        <w:separator/>
      </w:r>
    </w:p>
    <w:p w:rsidR="006D21AF" w:rsidRPr="000F35ED" w:rsidRDefault="006D21A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6D21AF" w:rsidRPr="000F35ED" w:rsidRDefault="006D21A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CA6879" w:rsidRPr="00CA6879" w:rsidRDefault="00CA6879" w:rsidP="00CA6879">
      <w:pPr>
        <w:pStyle w:val="FootnoteText"/>
        <w:tabs>
          <w:tab w:val="left" w:pos="1080"/>
        </w:tabs>
        <w:spacing w:after="120"/>
        <w:ind w:firstLine="720"/>
        <w:jc w:val="both"/>
        <w:rPr>
          <w:rFonts w:asciiTheme="majorHAnsi" w:hAnsiTheme="majorHAnsi" w:cs="Arial"/>
          <w:sz w:val="18"/>
          <w:szCs w:val="18"/>
          <w:lang w:val="es-ES"/>
        </w:rPr>
      </w:pPr>
      <w:r w:rsidRPr="00520C3E">
        <w:rPr>
          <w:rStyle w:val="FootnoteCharacters"/>
          <w:rFonts w:asciiTheme="majorHAnsi" w:hAnsiTheme="majorHAnsi" w:cs="Arial"/>
          <w:sz w:val="18"/>
          <w:szCs w:val="18"/>
        </w:rPr>
        <w:footnoteRef/>
      </w:r>
      <w:r w:rsidRPr="00CA6879">
        <w:rPr>
          <w:rFonts w:asciiTheme="majorHAnsi" w:hAnsiTheme="majorHAnsi" w:cs="Arial"/>
          <w:sz w:val="18"/>
          <w:szCs w:val="18"/>
          <w:lang w:val="es-ES"/>
        </w:rPr>
        <w:t xml:space="preserve"> </w:t>
      </w:r>
      <w:r w:rsidRPr="00CA6879">
        <w:rPr>
          <w:rFonts w:asciiTheme="majorHAnsi" w:hAnsiTheme="majorHAnsi" w:cs="Arial"/>
          <w:sz w:val="18"/>
          <w:szCs w:val="18"/>
          <w:lang w:val="es-ES"/>
        </w:rPr>
        <w:t xml:space="preserve">  Conforme a lo dispuesto en el artículo 17(2) del Reglamento de la Comisión, el Comisionado Felipe González, de nacionalidad chilena, no participó del proceso de deliberación y aprobación del presente informe.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E29A186" wp14:editId="4E2672D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6D21AF"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2" w:rsidRDefault="00B07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6FF131A"/>
    <w:multiLevelType w:val="hybridMultilevel"/>
    <w:tmpl w:val="F0EE591A"/>
    <w:lvl w:ilvl="0" w:tplc="0B3C374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D983EE9"/>
    <w:multiLevelType w:val="hybridMultilevel"/>
    <w:tmpl w:val="1DCA43C6"/>
    <w:lvl w:ilvl="0" w:tplc="6E46FFFC">
      <w:start w:val="1"/>
      <w:numFmt w:val="decimal"/>
      <w:lvlText w:val="%1."/>
      <w:lvlJc w:val="left"/>
      <w:pPr>
        <w:tabs>
          <w:tab w:val="num" w:pos="720"/>
        </w:tabs>
        <w:ind w:left="0" w:firstLine="720"/>
      </w:pPr>
      <w:rPr>
        <w:rFonts w:asciiTheme="majorHAnsi" w:hAnsiTheme="majorHAnsi" w:hint="default"/>
        <w:b w:val="0"/>
        <w:i w:val="0"/>
        <w:sz w:val="20"/>
        <w:szCs w:val="20"/>
        <w:lang w:val="en-US"/>
      </w:rPr>
    </w:lvl>
    <w:lvl w:ilvl="1" w:tplc="1B26FCC0">
      <w:start w:val="25"/>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ED7988"/>
    <w:multiLevelType w:val="hybridMultilevel"/>
    <w:tmpl w:val="80C0AEA2"/>
    <w:lvl w:ilvl="0" w:tplc="73F637A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7F93DC0"/>
    <w:multiLevelType w:val="hybridMultilevel"/>
    <w:tmpl w:val="627EE28A"/>
    <w:lvl w:ilvl="0" w:tplc="889E8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BFE6718"/>
    <w:multiLevelType w:val="hybridMultilevel"/>
    <w:tmpl w:val="D85A70D4"/>
    <w:lvl w:ilvl="0" w:tplc="C84EFCFC">
      <w:start w:val="1"/>
      <w:numFmt w:val="decimal"/>
      <w:lvlText w:val="%1."/>
      <w:lvlJc w:val="left"/>
      <w:pPr>
        <w:tabs>
          <w:tab w:val="num" w:pos="720"/>
        </w:tabs>
        <w:ind w:left="720" w:hanging="360"/>
      </w:pPr>
      <w:rPr>
        <w:rFonts w:hint="default"/>
      </w:rPr>
    </w:lvl>
    <w:lvl w:ilvl="1" w:tplc="5EC417BC">
      <w:start w:val="1"/>
      <w:numFmt w:val="upperLetter"/>
      <w:lvlText w:val="%2."/>
      <w:lvlJc w:val="left"/>
      <w:pPr>
        <w:ind w:left="1788" w:hanging="708"/>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4FD71C5"/>
    <w:multiLevelType w:val="hybridMultilevel"/>
    <w:tmpl w:val="A68A9E18"/>
    <w:lvl w:ilvl="0" w:tplc="B12C5E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4"/>
  </w:num>
  <w:num w:numId="4">
    <w:abstractNumId w:val="20"/>
  </w:num>
  <w:num w:numId="5">
    <w:abstractNumId w:val="47"/>
  </w:num>
  <w:num w:numId="6">
    <w:abstractNumId w:val="25"/>
  </w:num>
  <w:num w:numId="7">
    <w:abstractNumId w:val="6"/>
  </w:num>
  <w:num w:numId="8">
    <w:abstractNumId w:val="16"/>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6"/>
  </w:num>
  <w:num w:numId="42">
    <w:abstractNumId w:val="48"/>
  </w:num>
  <w:num w:numId="43">
    <w:abstractNumId w:val="49"/>
  </w:num>
  <w:num w:numId="44">
    <w:abstractNumId w:val="51"/>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9"/>
  </w:num>
  <w:num w:numId="52">
    <w:abstractNumId w:val="40"/>
  </w:num>
  <w:num w:numId="53">
    <w:abstractNumId w:val="50"/>
  </w:num>
  <w:num w:numId="54">
    <w:abstractNumId w:val="44"/>
  </w:num>
  <w:num w:numId="55">
    <w:abstractNumId w:val="27"/>
  </w:num>
  <w:num w:numId="56">
    <w:abstractNumId w:val="2"/>
  </w:num>
  <w:num w:numId="57">
    <w:abstractNumId w:val="28"/>
  </w:num>
  <w:num w:numId="58">
    <w:abstractNumId w:val="52"/>
  </w:num>
  <w:num w:numId="59">
    <w:abstractNumId w:val="42"/>
  </w:num>
  <w:num w:numId="60">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187"/>
    <w:rsid w:val="00006E1F"/>
    <w:rsid w:val="000070D7"/>
    <w:rsid w:val="00016B35"/>
    <w:rsid w:val="0001788C"/>
    <w:rsid w:val="000259CB"/>
    <w:rsid w:val="00036871"/>
    <w:rsid w:val="00040C3A"/>
    <w:rsid w:val="00056DE9"/>
    <w:rsid w:val="0006504C"/>
    <w:rsid w:val="00070A51"/>
    <w:rsid w:val="000716C5"/>
    <w:rsid w:val="00075E23"/>
    <w:rsid w:val="0009344A"/>
    <w:rsid w:val="0009567C"/>
    <w:rsid w:val="000A1ADA"/>
    <w:rsid w:val="000A392E"/>
    <w:rsid w:val="000A575F"/>
    <w:rsid w:val="000D10DB"/>
    <w:rsid w:val="000E5EB5"/>
    <w:rsid w:val="000F35ED"/>
    <w:rsid w:val="00101F29"/>
    <w:rsid w:val="00107131"/>
    <w:rsid w:val="0010736F"/>
    <w:rsid w:val="00113F73"/>
    <w:rsid w:val="00117235"/>
    <w:rsid w:val="00121CC2"/>
    <w:rsid w:val="00124908"/>
    <w:rsid w:val="00133EE5"/>
    <w:rsid w:val="00140393"/>
    <w:rsid w:val="00151384"/>
    <w:rsid w:val="00164ACD"/>
    <w:rsid w:val="00167A34"/>
    <w:rsid w:val="001A7870"/>
    <w:rsid w:val="001C1B41"/>
    <w:rsid w:val="001D65EF"/>
    <w:rsid w:val="001E216D"/>
    <w:rsid w:val="001E7CCD"/>
    <w:rsid w:val="002011A8"/>
    <w:rsid w:val="0020677C"/>
    <w:rsid w:val="00214BA5"/>
    <w:rsid w:val="002250A3"/>
    <w:rsid w:val="00226643"/>
    <w:rsid w:val="00234879"/>
    <w:rsid w:val="00235217"/>
    <w:rsid w:val="00242652"/>
    <w:rsid w:val="00246D1F"/>
    <w:rsid w:val="00247403"/>
    <w:rsid w:val="00247542"/>
    <w:rsid w:val="0026059D"/>
    <w:rsid w:val="00264753"/>
    <w:rsid w:val="00266B61"/>
    <w:rsid w:val="0026712A"/>
    <w:rsid w:val="002704DB"/>
    <w:rsid w:val="00277651"/>
    <w:rsid w:val="00280A03"/>
    <w:rsid w:val="00285D4F"/>
    <w:rsid w:val="00287ADD"/>
    <w:rsid w:val="002A0AAE"/>
    <w:rsid w:val="002A5820"/>
    <w:rsid w:val="002B2146"/>
    <w:rsid w:val="002D09F3"/>
    <w:rsid w:val="002D2B26"/>
    <w:rsid w:val="002D3761"/>
    <w:rsid w:val="002D7EA2"/>
    <w:rsid w:val="002E187C"/>
    <w:rsid w:val="002F003F"/>
    <w:rsid w:val="00302733"/>
    <w:rsid w:val="00310E88"/>
    <w:rsid w:val="00314078"/>
    <w:rsid w:val="0031535D"/>
    <w:rsid w:val="00323875"/>
    <w:rsid w:val="0033169F"/>
    <w:rsid w:val="003418B6"/>
    <w:rsid w:val="00346C95"/>
    <w:rsid w:val="00356185"/>
    <w:rsid w:val="00360380"/>
    <w:rsid w:val="00365D73"/>
    <w:rsid w:val="0037519E"/>
    <w:rsid w:val="00386CF0"/>
    <w:rsid w:val="00390CDC"/>
    <w:rsid w:val="003A1AF6"/>
    <w:rsid w:val="003A61C4"/>
    <w:rsid w:val="003A6EA7"/>
    <w:rsid w:val="003B4F6E"/>
    <w:rsid w:val="003B51D7"/>
    <w:rsid w:val="003C676B"/>
    <w:rsid w:val="003D3BC2"/>
    <w:rsid w:val="003E6CA1"/>
    <w:rsid w:val="003F28B3"/>
    <w:rsid w:val="0041206B"/>
    <w:rsid w:val="004165C2"/>
    <w:rsid w:val="00441ECB"/>
    <w:rsid w:val="00467B7E"/>
    <w:rsid w:val="00470DF0"/>
    <w:rsid w:val="0047115C"/>
    <w:rsid w:val="00477592"/>
    <w:rsid w:val="00481902"/>
    <w:rsid w:val="00486F1C"/>
    <w:rsid w:val="0049419D"/>
    <w:rsid w:val="004C20D2"/>
    <w:rsid w:val="004C4B62"/>
    <w:rsid w:val="004C54C9"/>
    <w:rsid w:val="004C75F6"/>
    <w:rsid w:val="004D1F7B"/>
    <w:rsid w:val="004D6025"/>
    <w:rsid w:val="004E2649"/>
    <w:rsid w:val="004F0E2C"/>
    <w:rsid w:val="00501399"/>
    <w:rsid w:val="0050633D"/>
    <w:rsid w:val="00507BC4"/>
    <w:rsid w:val="005128E4"/>
    <w:rsid w:val="005133DB"/>
    <w:rsid w:val="005162A2"/>
    <w:rsid w:val="00525560"/>
    <w:rsid w:val="005339F1"/>
    <w:rsid w:val="005419BF"/>
    <w:rsid w:val="00544C49"/>
    <w:rsid w:val="005516A1"/>
    <w:rsid w:val="00571CF5"/>
    <w:rsid w:val="0057402A"/>
    <w:rsid w:val="005771D0"/>
    <w:rsid w:val="0059191A"/>
    <w:rsid w:val="005921FF"/>
    <w:rsid w:val="005A3360"/>
    <w:rsid w:val="005A3ECB"/>
    <w:rsid w:val="005A6D0E"/>
    <w:rsid w:val="005B52B0"/>
    <w:rsid w:val="005B6806"/>
    <w:rsid w:val="005C04A8"/>
    <w:rsid w:val="005C4225"/>
    <w:rsid w:val="005C6022"/>
    <w:rsid w:val="005C7B47"/>
    <w:rsid w:val="005F0DAD"/>
    <w:rsid w:val="005F0F33"/>
    <w:rsid w:val="00600DEB"/>
    <w:rsid w:val="00627C9F"/>
    <w:rsid w:val="006311E9"/>
    <w:rsid w:val="00632354"/>
    <w:rsid w:val="00642810"/>
    <w:rsid w:val="00652333"/>
    <w:rsid w:val="006562E0"/>
    <w:rsid w:val="0068009E"/>
    <w:rsid w:val="006907C2"/>
    <w:rsid w:val="00692219"/>
    <w:rsid w:val="006A17D2"/>
    <w:rsid w:val="006A73E6"/>
    <w:rsid w:val="006B1334"/>
    <w:rsid w:val="006B1BEC"/>
    <w:rsid w:val="006B2D5C"/>
    <w:rsid w:val="006C0E06"/>
    <w:rsid w:val="006C4EB1"/>
    <w:rsid w:val="006C5744"/>
    <w:rsid w:val="006C60B0"/>
    <w:rsid w:val="006D21AF"/>
    <w:rsid w:val="006E0166"/>
    <w:rsid w:val="006E7B34"/>
    <w:rsid w:val="006F4FC3"/>
    <w:rsid w:val="0070697F"/>
    <w:rsid w:val="0071378D"/>
    <w:rsid w:val="0072199C"/>
    <w:rsid w:val="00722C9F"/>
    <w:rsid w:val="007253B8"/>
    <w:rsid w:val="007259E9"/>
    <w:rsid w:val="007318E0"/>
    <w:rsid w:val="0073331D"/>
    <w:rsid w:val="0073741F"/>
    <w:rsid w:val="00737EED"/>
    <w:rsid w:val="00751022"/>
    <w:rsid w:val="00760722"/>
    <w:rsid w:val="0076643F"/>
    <w:rsid w:val="00777F63"/>
    <w:rsid w:val="007A5817"/>
    <w:rsid w:val="007B60E9"/>
    <w:rsid w:val="007B6CC3"/>
    <w:rsid w:val="007C3334"/>
    <w:rsid w:val="007D2B98"/>
    <w:rsid w:val="007E16EF"/>
    <w:rsid w:val="007E21BC"/>
    <w:rsid w:val="007F57B2"/>
    <w:rsid w:val="00803F1C"/>
    <w:rsid w:val="0080600E"/>
    <w:rsid w:val="008073A2"/>
    <w:rsid w:val="0081248D"/>
    <w:rsid w:val="00815DEE"/>
    <w:rsid w:val="00817612"/>
    <w:rsid w:val="008338A4"/>
    <w:rsid w:val="00837C45"/>
    <w:rsid w:val="00837E57"/>
    <w:rsid w:val="00844730"/>
    <w:rsid w:val="008457C2"/>
    <w:rsid w:val="008464A4"/>
    <w:rsid w:val="00857A82"/>
    <w:rsid w:val="00866B62"/>
    <w:rsid w:val="00873836"/>
    <w:rsid w:val="008748A7"/>
    <w:rsid w:val="00877E5B"/>
    <w:rsid w:val="00882B95"/>
    <w:rsid w:val="00885737"/>
    <w:rsid w:val="00890650"/>
    <w:rsid w:val="00891336"/>
    <w:rsid w:val="00895275"/>
    <w:rsid w:val="00897E12"/>
    <w:rsid w:val="008A7E0F"/>
    <w:rsid w:val="008B12F5"/>
    <w:rsid w:val="008B2159"/>
    <w:rsid w:val="008D768D"/>
    <w:rsid w:val="008E3759"/>
    <w:rsid w:val="008E7ED9"/>
    <w:rsid w:val="008F1912"/>
    <w:rsid w:val="0090270B"/>
    <w:rsid w:val="009041DC"/>
    <w:rsid w:val="00917B5A"/>
    <w:rsid w:val="00920706"/>
    <w:rsid w:val="00920A58"/>
    <w:rsid w:val="00920A8C"/>
    <w:rsid w:val="00925D42"/>
    <w:rsid w:val="00934A2C"/>
    <w:rsid w:val="009446CD"/>
    <w:rsid w:val="0096706E"/>
    <w:rsid w:val="00975C4E"/>
    <w:rsid w:val="00981FBA"/>
    <w:rsid w:val="009946A8"/>
    <w:rsid w:val="00997BC5"/>
    <w:rsid w:val="009A4F41"/>
    <w:rsid w:val="009B2357"/>
    <w:rsid w:val="009B381B"/>
    <w:rsid w:val="009B687E"/>
    <w:rsid w:val="009B7BAF"/>
    <w:rsid w:val="009D1753"/>
    <w:rsid w:val="009D7611"/>
    <w:rsid w:val="009E0B61"/>
    <w:rsid w:val="009E53DE"/>
    <w:rsid w:val="00A01543"/>
    <w:rsid w:val="00A040A5"/>
    <w:rsid w:val="00A139D9"/>
    <w:rsid w:val="00A1402B"/>
    <w:rsid w:val="00A328B3"/>
    <w:rsid w:val="00A3547E"/>
    <w:rsid w:val="00A36344"/>
    <w:rsid w:val="00A41BDF"/>
    <w:rsid w:val="00A45FED"/>
    <w:rsid w:val="00A50FCF"/>
    <w:rsid w:val="00A528D1"/>
    <w:rsid w:val="00A610CD"/>
    <w:rsid w:val="00A649ED"/>
    <w:rsid w:val="00A94142"/>
    <w:rsid w:val="00A9675C"/>
    <w:rsid w:val="00AA09A2"/>
    <w:rsid w:val="00AA7996"/>
    <w:rsid w:val="00AC19CB"/>
    <w:rsid w:val="00AC594F"/>
    <w:rsid w:val="00AE5488"/>
    <w:rsid w:val="00AE6F91"/>
    <w:rsid w:val="00AE7623"/>
    <w:rsid w:val="00AF5571"/>
    <w:rsid w:val="00B07341"/>
    <w:rsid w:val="00B078E2"/>
    <w:rsid w:val="00B1253E"/>
    <w:rsid w:val="00B30539"/>
    <w:rsid w:val="00B314DB"/>
    <w:rsid w:val="00B361F2"/>
    <w:rsid w:val="00B3718B"/>
    <w:rsid w:val="00B4632A"/>
    <w:rsid w:val="00B530F1"/>
    <w:rsid w:val="00B65319"/>
    <w:rsid w:val="00B77B1B"/>
    <w:rsid w:val="00B90E23"/>
    <w:rsid w:val="00B97A40"/>
    <w:rsid w:val="00BA276C"/>
    <w:rsid w:val="00BB02B9"/>
    <w:rsid w:val="00BB306F"/>
    <w:rsid w:val="00BC6D51"/>
    <w:rsid w:val="00BC7CE3"/>
    <w:rsid w:val="00BD4B89"/>
    <w:rsid w:val="00BF6FD8"/>
    <w:rsid w:val="00C03680"/>
    <w:rsid w:val="00C054DF"/>
    <w:rsid w:val="00C05E85"/>
    <w:rsid w:val="00C21762"/>
    <w:rsid w:val="00C24543"/>
    <w:rsid w:val="00C256A2"/>
    <w:rsid w:val="00C323C3"/>
    <w:rsid w:val="00C32CCB"/>
    <w:rsid w:val="00C51515"/>
    <w:rsid w:val="00C5660B"/>
    <w:rsid w:val="00C66B72"/>
    <w:rsid w:val="00C943B8"/>
    <w:rsid w:val="00C9567A"/>
    <w:rsid w:val="00CA2E1C"/>
    <w:rsid w:val="00CA6879"/>
    <w:rsid w:val="00CB212D"/>
    <w:rsid w:val="00CB2660"/>
    <w:rsid w:val="00CB7A68"/>
    <w:rsid w:val="00CC5E90"/>
    <w:rsid w:val="00CD046C"/>
    <w:rsid w:val="00CE076C"/>
    <w:rsid w:val="00CE5199"/>
    <w:rsid w:val="00CE5832"/>
    <w:rsid w:val="00CE66D5"/>
    <w:rsid w:val="00CF637A"/>
    <w:rsid w:val="00D01174"/>
    <w:rsid w:val="00D05847"/>
    <w:rsid w:val="00D059DE"/>
    <w:rsid w:val="00D13FCE"/>
    <w:rsid w:val="00D142D0"/>
    <w:rsid w:val="00D306D1"/>
    <w:rsid w:val="00D332B2"/>
    <w:rsid w:val="00D34786"/>
    <w:rsid w:val="00D37BFC"/>
    <w:rsid w:val="00D42708"/>
    <w:rsid w:val="00D4287E"/>
    <w:rsid w:val="00D435C6"/>
    <w:rsid w:val="00D47A8E"/>
    <w:rsid w:val="00D52D14"/>
    <w:rsid w:val="00D54F83"/>
    <w:rsid w:val="00D712D3"/>
    <w:rsid w:val="00D71422"/>
    <w:rsid w:val="00D72DC6"/>
    <w:rsid w:val="00D7558D"/>
    <w:rsid w:val="00D7749C"/>
    <w:rsid w:val="00D81D92"/>
    <w:rsid w:val="00DA2F2D"/>
    <w:rsid w:val="00DA7B5F"/>
    <w:rsid w:val="00DC11E7"/>
    <w:rsid w:val="00DC7023"/>
    <w:rsid w:val="00DC7629"/>
    <w:rsid w:val="00DC769A"/>
    <w:rsid w:val="00DD3D86"/>
    <w:rsid w:val="00DF1EC4"/>
    <w:rsid w:val="00DF356F"/>
    <w:rsid w:val="00DF4764"/>
    <w:rsid w:val="00E0340B"/>
    <w:rsid w:val="00E04A90"/>
    <w:rsid w:val="00E07A93"/>
    <w:rsid w:val="00E219C7"/>
    <w:rsid w:val="00E37560"/>
    <w:rsid w:val="00E43157"/>
    <w:rsid w:val="00E461CE"/>
    <w:rsid w:val="00E528A0"/>
    <w:rsid w:val="00E63128"/>
    <w:rsid w:val="00E67E07"/>
    <w:rsid w:val="00E720CA"/>
    <w:rsid w:val="00E81FE8"/>
    <w:rsid w:val="00E84EB5"/>
    <w:rsid w:val="00E85662"/>
    <w:rsid w:val="00E8789F"/>
    <w:rsid w:val="00E97B71"/>
    <w:rsid w:val="00EA3D34"/>
    <w:rsid w:val="00EB454D"/>
    <w:rsid w:val="00EB5732"/>
    <w:rsid w:val="00ED5DED"/>
    <w:rsid w:val="00ED76BE"/>
    <w:rsid w:val="00EE71BC"/>
    <w:rsid w:val="00EF619B"/>
    <w:rsid w:val="00F00B55"/>
    <w:rsid w:val="00F02AD1"/>
    <w:rsid w:val="00F044C1"/>
    <w:rsid w:val="00F13D5F"/>
    <w:rsid w:val="00F253CC"/>
    <w:rsid w:val="00F351C3"/>
    <w:rsid w:val="00F37106"/>
    <w:rsid w:val="00F519CF"/>
    <w:rsid w:val="00F56BA5"/>
    <w:rsid w:val="00F60E22"/>
    <w:rsid w:val="00F70462"/>
    <w:rsid w:val="00F75995"/>
    <w:rsid w:val="00F81395"/>
    <w:rsid w:val="00F917D1"/>
    <w:rsid w:val="00F936B9"/>
    <w:rsid w:val="00F9653B"/>
    <w:rsid w:val="00FB582A"/>
    <w:rsid w:val="00FB62CF"/>
    <w:rsid w:val="00FB69A9"/>
    <w:rsid w:val="00FD3C3B"/>
    <w:rsid w:val="00FE6B45"/>
    <w:rsid w:val="00FF228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FootnoteCharacters">
    <w:name w:val="Footnote Characters"/>
    <w:rsid w:val="005A3E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FootnoteCharacters">
    <w:name w:val="Footnote Characters"/>
    <w:rsid w:val="005A3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F7192-C983-4495-AE24-89BB0B82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2874</Words>
  <Characters>15065</Characters>
  <Application>Microsoft Office Word</Application>
  <DocSecurity>0</DocSecurity>
  <Lines>239</Lines>
  <Paragraphs>50</Paragraphs>
  <ScaleCrop>false</ScaleCrop>
  <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30/15</dc:title>
  <dc:creator/>
  <cp:lastModifiedBy/>
  <cp:revision>1</cp:revision>
  <dcterms:created xsi:type="dcterms:W3CDTF">2015-11-11T14:29:00Z</dcterms:created>
  <dcterms:modified xsi:type="dcterms:W3CDTF">2015-11-11T14:30:00Z</dcterms:modified>
</cp:coreProperties>
</file>