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32942" w:rsidRDefault="003E4073" w:rsidP="00627C9F">
      <w:pPr>
        <w:jc w:val="both"/>
        <w:rPr>
          <w:rFonts w:ascii="Cambria" w:hAnsi="Cambria" w:cs="Univers"/>
          <w:b/>
          <w:bCs/>
          <w:sz w:val="20"/>
          <w:szCs w:val="20"/>
          <w:lang w:val="es-ES_tradnl"/>
        </w:rPr>
      </w:pPr>
      <w:r>
        <w:rPr>
          <w:noProof/>
          <w:bdr w:val="none" w:sz="0" w:space="0" w:color="auto"/>
        </w:rPr>
        <mc:AlternateContent>
          <mc:Choice Requires="wps">
            <w:drawing>
              <wp:anchor distT="0" distB="0" distL="114300" distR="114300" simplePos="0" relativeHeight="251653632"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bdr w:val="none" w:sz="0" w:space="0" w:color="auto"/>
        </w:rPr>
        <mc:AlternateContent>
          <mc:Choice Requires="wps">
            <w:drawing>
              <wp:anchor distT="0" distB="0" distL="114300" distR="114300" simplePos="0" relativeHeight="251657728"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CB2660" w:rsidRDefault="003E4073" w:rsidP="00AE5488">
                            <w:r>
                              <w:rPr>
                                <w:noProof/>
                              </w:rPr>
                              <w:drawing>
                                <wp:inline distT="0" distB="0" distL="0" distR="0">
                                  <wp:extent cx="2647950" cy="508635"/>
                                  <wp:effectExtent l="0" t="0" r="0" b="571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CB2660" w:rsidRDefault="003E4073" w:rsidP="00AE5488">
                      <w:r>
                        <w:rPr>
                          <w:noProof/>
                        </w:rPr>
                        <w:drawing>
                          <wp:inline distT="0" distB="0" distL="0" distR="0">
                            <wp:extent cx="2647950" cy="508635"/>
                            <wp:effectExtent l="0" t="0" r="0" b="571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D32942" w:rsidRDefault="00040C3A" w:rsidP="00040C3A">
      <w:pPr>
        <w:tabs>
          <w:tab w:val="center" w:pos="5400"/>
        </w:tabs>
        <w:suppressAutoHyphens/>
        <w:jc w:val="both"/>
        <w:rPr>
          <w:rFonts w:ascii="Cambria" w:hAnsi="Cambria"/>
          <w:sz w:val="20"/>
          <w:szCs w:val="20"/>
          <w:lang w:val="es-ES"/>
        </w:rPr>
      </w:pPr>
    </w:p>
    <w:p w:rsidR="00040C3A" w:rsidRPr="00D32942" w:rsidRDefault="00040C3A" w:rsidP="00040C3A">
      <w:pPr>
        <w:tabs>
          <w:tab w:val="center" w:pos="5400"/>
        </w:tabs>
        <w:suppressAutoHyphens/>
        <w:jc w:val="both"/>
        <w:rPr>
          <w:rFonts w:ascii="Cambria" w:hAnsi="Cambria"/>
          <w:sz w:val="20"/>
          <w:szCs w:val="20"/>
          <w:lang w:val="es-ES"/>
        </w:rPr>
      </w:pPr>
    </w:p>
    <w:p w:rsidR="005128E4" w:rsidRPr="00D32942" w:rsidRDefault="005128E4" w:rsidP="00040C3A">
      <w:pPr>
        <w:tabs>
          <w:tab w:val="center" w:pos="5400"/>
        </w:tabs>
        <w:suppressAutoHyphens/>
        <w:rPr>
          <w:rFonts w:ascii="Cambria" w:hAnsi="Cambria"/>
          <w:sz w:val="20"/>
          <w:szCs w:val="20"/>
          <w:lang w:val="es-ES_tradnl"/>
        </w:rPr>
      </w:pPr>
    </w:p>
    <w:p w:rsidR="005128E4" w:rsidRPr="00D32942" w:rsidRDefault="005128E4" w:rsidP="00040C3A">
      <w:pPr>
        <w:tabs>
          <w:tab w:val="center" w:pos="5400"/>
        </w:tabs>
        <w:suppressAutoHyphens/>
        <w:rPr>
          <w:rFonts w:ascii="Cambria" w:hAnsi="Cambria"/>
          <w:sz w:val="20"/>
          <w:szCs w:val="20"/>
          <w:lang w:val="es-ES_tradnl"/>
        </w:rPr>
      </w:pPr>
    </w:p>
    <w:p w:rsidR="005128E4" w:rsidRPr="00D32942" w:rsidRDefault="005128E4" w:rsidP="00040C3A">
      <w:pPr>
        <w:tabs>
          <w:tab w:val="center" w:pos="5400"/>
        </w:tabs>
        <w:suppressAutoHyphens/>
        <w:rPr>
          <w:rFonts w:ascii="Cambria" w:hAnsi="Cambria"/>
          <w:sz w:val="20"/>
          <w:szCs w:val="20"/>
          <w:lang w:val="es-ES_tradnl"/>
        </w:rPr>
      </w:pPr>
    </w:p>
    <w:p w:rsidR="00040C3A" w:rsidRPr="00D32942" w:rsidRDefault="00040C3A" w:rsidP="005128E4">
      <w:pPr>
        <w:tabs>
          <w:tab w:val="center" w:pos="5400"/>
        </w:tabs>
        <w:suppressAutoHyphens/>
        <w:jc w:val="center"/>
        <w:rPr>
          <w:rFonts w:ascii="Cambria" w:hAnsi="Cambria"/>
          <w:sz w:val="20"/>
          <w:szCs w:val="20"/>
          <w:lang w:val="es-ES_tradnl"/>
        </w:rPr>
      </w:pPr>
    </w:p>
    <w:p w:rsidR="00040C3A" w:rsidRPr="00D32942" w:rsidRDefault="00040C3A" w:rsidP="005128E4">
      <w:pPr>
        <w:tabs>
          <w:tab w:val="center" w:pos="5400"/>
        </w:tabs>
        <w:suppressAutoHyphens/>
        <w:jc w:val="center"/>
        <w:rPr>
          <w:rFonts w:ascii="Cambria" w:hAnsi="Cambria"/>
          <w:sz w:val="20"/>
          <w:szCs w:val="20"/>
          <w:lang w:val="es-ES_tradnl"/>
        </w:rPr>
      </w:pPr>
    </w:p>
    <w:p w:rsidR="005B52B0" w:rsidRPr="00D32942" w:rsidRDefault="005B52B0" w:rsidP="005128E4">
      <w:pPr>
        <w:tabs>
          <w:tab w:val="center" w:pos="5400"/>
        </w:tabs>
        <w:suppressAutoHyphens/>
        <w:jc w:val="center"/>
        <w:rPr>
          <w:rFonts w:ascii="Cambria" w:hAnsi="Cambria"/>
          <w:sz w:val="20"/>
          <w:szCs w:val="20"/>
          <w:lang w:val="es-ES_tradnl"/>
        </w:rPr>
      </w:pPr>
    </w:p>
    <w:p w:rsidR="005B52B0" w:rsidRPr="00D32942" w:rsidRDefault="005B52B0" w:rsidP="005128E4">
      <w:pPr>
        <w:tabs>
          <w:tab w:val="center" w:pos="5400"/>
        </w:tabs>
        <w:suppressAutoHyphens/>
        <w:jc w:val="center"/>
        <w:rPr>
          <w:rFonts w:ascii="Cambria" w:hAnsi="Cambria"/>
          <w:sz w:val="20"/>
          <w:szCs w:val="20"/>
          <w:lang w:val="es-ES_tradnl"/>
        </w:rPr>
      </w:pPr>
    </w:p>
    <w:p w:rsidR="005B52B0" w:rsidRPr="00D32942" w:rsidRDefault="005B52B0" w:rsidP="005128E4">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3E4073" w:rsidP="00040C3A">
      <w:pPr>
        <w:tabs>
          <w:tab w:val="center" w:pos="5400"/>
        </w:tabs>
        <w:suppressAutoHyphens/>
        <w:jc w:val="center"/>
        <w:rPr>
          <w:rFonts w:ascii="Cambria" w:hAnsi="Cambria"/>
          <w:sz w:val="20"/>
          <w:szCs w:val="20"/>
          <w:lang w:val="es-ES_tradnl"/>
        </w:rPr>
      </w:pPr>
      <w:r>
        <w:rPr>
          <w:noProof/>
          <w:bdr w:val="none" w:sz="0" w:space="0" w:color="auto"/>
        </w:rPr>
        <mc:AlternateContent>
          <mc:Choice Requires="wps">
            <w:drawing>
              <wp:anchor distT="0" distB="0" distL="114300" distR="114300" simplePos="0" relativeHeight="251654656"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5B52B0" w:rsidRPr="00D32942" w:rsidRDefault="005B52B0" w:rsidP="00997BC5">
                            <w:pPr>
                              <w:spacing w:line="276" w:lineRule="auto"/>
                              <w:rPr>
                                <w:rFonts w:ascii="Cambria" w:hAnsi="Cambria" w:cs="Arial"/>
                                <w:b/>
                                <w:bCs/>
                                <w:color w:val="0D0D0D"/>
                                <w:sz w:val="36"/>
                                <w:szCs w:val="22"/>
                                <w:lang w:val="es-ES_tradnl"/>
                              </w:rPr>
                            </w:pPr>
                            <w:r w:rsidRPr="00D32942">
                              <w:rPr>
                                <w:rFonts w:ascii="Cambria" w:hAnsi="Cambria" w:cs="Arial"/>
                                <w:b/>
                                <w:bCs/>
                                <w:color w:val="0D0D0D"/>
                                <w:sz w:val="36"/>
                                <w:szCs w:val="22"/>
                                <w:lang w:val="es-ES_tradnl"/>
                              </w:rPr>
                              <w:t xml:space="preserve">INFORME </w:t>
                            </w:r>
                            <w:r w:rsidR="00477592" w:rsidRPr="00D32942">
                              <w:rPr>
                                <w:rFonts w:ascii="Cambria" w:hAnsi="Cambria" w:cs="Arial"/>
                                <w:b/>
                                <w:bCs/>
                                <w:color w:val="0D0D0D"/>
                                <w:sz w:val="36"/>
                                <w:szCs w:val="40"/>
                                <w:lang w:val="es-ES_tradnl"/>
                              </w:rPr>
                              <w:t>No.</w:t>
                            </w:r>
                            <w:r w:rsidR="00822756">
                              <w:rPr>
                                <w:rFonts w:ascii="Cambria" w:hAnsi="Cambria" w:cs="Arial"/>
                                <w:b/>
                                <w:bCs/>
                                <w:color w:val="0D0D0D"/>
                                <w:sz w:val="36"/>
                                <w:szCs w:val="22"/>
                                <w:lang w:val="es-ES_tradnl"/>
                              </w:rPr>
                              <w:t xml:space="preserve"> 32</w:t>
                            </w:r>
                            <w:r w:rsidR="003A0AC4" w:rsidRPr="00D32942">
                              <w:rPr>
                                <w:rFonts w:ascii="Cambria" w:hAnsi="Cambria" w:cs="Arial"/>
                                <w:b/>
                                <w:bCs/>
                                <w:color w:val="0D0D0D"/>
                                <w:sz w:val="36"/>
                                <w:szCs w:val="22"/>
                                <w:lang w:val="es-ES_tradnl"/>
                              </w:rPr>
                              <w:t>/15</w:t>
                            </w:r>
                          </w:p>
                          <w:p w:rsidR="005B52B0" w:rsidRPr="00D32942" w:rsidRDefault="005B52B0" w:rsidP="00997BC5">
                            <w:pPr>
                              <w:spacing w:line="276" w:lineRule="auto"/>
                              <w:rPr>
                                <w:rFonts w:ascii="Cambria" w:hAnsi="Cambria" w:cs="Arial"/>
                                <w:b/>
                                <w:color w:val="0D0D0D"/>
                                <w:sz w:val="36"/>
                                <w:szCs w:val="22"/>
                                <w:lang w:val="es-ES_tradnl"/>
                              </w:rPr>
                            </w:pPr>
                            <w:r w:rsidRPr="00D32942">
                              <w:rPr>
                                <w:rFonts w:ascii="Cambria" w:hAnsi="Cambria" w:cs="Arial"/>
                                <w:b/>
                                <w:color w:val="0D0D0D"/>
                                <w:sz w:val="36"/>
                                <w:szCs w:val="22"/>
                                <w:lang w:val="es-ES_tradnl"/>
                              </w:rPr>
                              <w:t xml:space="preserve">CASO </w:t>
                            </w:r>
                            <w:r w:rsidR="003A0AC4" w:rsidRPr="00D32942">
                              <w:rPr>
                                <w:rFonts w:ascii="Cambria" w:hAnsi="Cambria" w:cs="Arial"/>
                                <w:b/>
                                <w:color w:val="0D0D0D"/>
                                <w:sz w:val="36"/>
                                <w:szCs w:val="22"/>
                                <w:lang w:val="es-ES_tradnl"/>
                              </w:rPr>
                              <w:t>11</w:t>
                            </w:r>
                            <w:r w:rsidR="008F1912" w:rsidRPr="00D32942">
                              <w:rPr>
                                <w:rFonts w:ascii="Cambria" w:hAnsi="Cambria" w:cs="Arial"/>
                                <w:b/>
                                <w:color w:val="0D0D0D"/>
                                <w:sz w:val="36"/>
                                <w:szCs w:val="22"/>
                                <w:lang w:val="es-ES_tradnl"/>
                              </w:rPr>
                              <w:t>.</w:t>
                            </w:r>
                            <w:r w:rsidR="003A0AC4" w:rsidRPr="00D32942">
                              <w:rPr>
                                <w:rFonts w:ascii="Cambria" w:hAnsi="Cambria" w:cs="Arial"/>
                                <w:b/>
                                <w:color w:val="0D0D0D"/>
                                <w:sz w:val="36"/>
                                <w:szCs w:val="22"/>
                                <w:lang w:val="es-ES_tradnl"/>
                              </w:rPr>
                              <w:t>100</w:t>
                            </w:r>
                          </w:p>
                          <w:p w:rsidR="00CD046C" w:rsidRPr="00D32942" w:rsidRDefault="005B52B0" w:rsidP="00997BC5">
                            <w:pPr>
                              <w:spacing w:line="276" w:lineRule="auto"/>
                              <w:rPr>
                                <w:rFonts w:ascii="Cambria" w:hAnsi="Cambria" w:cs="Arial"/>
                                <w:color w:val="0D0D0D"/>
                                <w:szCs w:val="22"/>
                                <w:lang w:val="es-ES_tradnl"/>
                              </w:rPr>
                            </w:pPr>
                            <w:r w:rsidRPr="00D32942">
                              <w:rPr>
                                <w:rFonts w:ascii="Cambria" w:hAnsi="Cambria" w:cs="Arial"/>
                                <w:color w:val="0D0D0D"/>
                                <w:szCs w:val="22"/>
                                <w:lang w:val="es-ES_tradnl"/>
                              </w:rPr>
                              <w:t>INFORME DE ADMISIBILIDAD</w:t>
                            </w:r>
                          </w:p>
                          <w:p w:rsidR="008F1912" w:rsidRPr="00A54CEE" w:rsidRDefault="008F1912" w:rsidP="00997BC5">
                            <w:pPr>
                              <w:spacing w:line="276" w:lineRule="auto"/>
                              <w:rPr>
                                <w:rFonts w:ascii="Cambria" w:hAnsi="Cambria" w:cs="Arial"/>
                                <w:color w:val="0D0D0D"/>
                                <w:sz w:val="22"/>
                                <w:szCs w:val="22"/>
                                <w:lang w:val="es-ES_tradnl"/>
                              </w:rPr>
                            </w:pPr>
                            <w:bookmarkStart w:id="1" w:name="_ftnref1"/>
                          </w:p>
                          <w:p w:rsidR="00307D41" w:rsidRPr="00D32942" w:rsidRDefault="004F3AD2" w:rsidP="00997BC5">
                            <w:pPr>
                              <w:spacing w:line="276" w:lineRule="auto"/>
                              <w:rPr>
                                <w:rFonts w:ascii="Cambria" w:hAnsi="Cambria" w:cs="Arial"/>
                                <w:color w:val="0D0D0D"/>
                                <w:szCs w:val="22"/>
                                <w:lang w:val="es-ES_tradnl"/>
                              </w:rPr>
                            </w:pPr>
                            <w:r w:rsidRPr="00D32942">
                              <w:rPr>
                                <w:rFonts w:ascii="Cambria" w:hAnsi="Cambria" w:cs="Arial"/>
                                <w:color w:val="0D0D0D"/>
                                <w:szCs w:val="22"/>
                                <w:lang w:val="es-ES_tradnl"/>
                              </w:rPr>
                              <w:t>FAMILIA AYURE QUINTERO</w:t>
                            </w:r>
                          </w:p>
                          <w:bookmarkEnd w:id="1"/>
                          <w:p w:rsidR="005B52B0" w:rsidRPr="00D32942" w:rsidRDefault="003A0AC4" w:rsidP="007A5817">
                            <w:pPr>
                              <w:rPr>
                                <w:color w:val="0D0D0D"/>
                                <w:lang w:val="es-ES_tradnl"/>
                              </w:rPr>
                            </w:pPr>
                            <w:r w:rsidRPr="00D32942">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5B52B0" w:rsidRPr="00D32942" w:rsidRDefault="005B52B0" w:rsidP="00997BC5">
                      <w:pPr>
                        <w:spacing w:line="276" w:lineRule="auto"/>
                        <w:rPr>
                          <w:rFonts w:ascii="Cambria" w:hAnsi="Cambria" w:cs="Arial"/>
                          <w:b/>
                          <w:bCs/>
                          <w:color w:val="0D0D0D"/>
                          <w:sz w:val="36"/>
                          <w:szCs w:val="22"/>
                          <w:lang w:val="es-ES_tradnl"/>
                        </w:rPr>
                      </w:pPr>
                      <w:r w:rsidRPr="00D32942">
                        <w:rPr>
                          <w:rFonts w:ascii="Cambria" w:hAnsi="Cambria" w:cs="Arial"/>
                          <w:b/>
                          <w:bCs/>
                          <w:color w:val="0D0D0D"/>
                          <w:sz w:val="36"/>
                          <w:szCs w:val="22"/>
                          <w:lang w:val="es-ES_tradnl"/>
                        </w:rPr>
                        <w:t xml:space="preserve">INFORME </w:t>
                      </w:r>
                      <w:r w:rsidR="00477592" w:rsidRPr="00D32942">
                        <w:rPr>
                          <w:rFonts w:ascii="Cambria" w:hAnsi="Cambria" w:cs="Arial"/>
                          <w:b/>
                          <w:bCs/>
                          <w:color w:val="0D0D0D"/>
                          <w:sz w:val="36"/>
                          <w:szCs w:val="40"/>
                          <w:lang w:val="es-ES_tradnl"/>
                        </w:rPr>
                        <w:t>No.</w:t>
                      </w:r>
                      <w:r w:rsidR="00822756">
                        <w:rPr>
                          <w:rFonts w:ascii="Cambria" w:hAnsi="Cambria" w:cs="Arial"/>
                          <w:b/>
                          <w:bCs/>
                          <w:color w:val="0D0D0D"/>
                          <w:sz w:val="36"/>
                          <w:szCs w:val="22"/>
                          <w:lang w:val="es-ES_tradnl"/>
                        </w:rPr>
                        <w:t xml:space="preserve"> 32</w:t>
                      </w:r>
                      <w:r w:rsidR="003A0AC4" w:rsidRPr="00D32942">
                        <w:rPr>
                          <w:rFonts w:ascii="Cambria" w:hAnsi="Cambria" w:cs="Arial"/>
                          <w:b/>
                          <w:bCs/>
                          <w:color w:val="0D0D0D"/>
                          <w:sz w:val="36"/>
                          <w:szCs w:val="22"/>
                          <w:lang w:val="es-ES_tradnl"/>
                        </w:rPr>
                        <w:t>/15</w:t>
                      </w:r>
                    </w:p>
                    <w:p w:rsidR="005B52B0" w:rsidRPr="00D32942" w:rsidRDefault="005B52B0" w:rsidP="00997BC5">
                      <w:pPr>
                        <w:spacing w:line="276" w:lineRule="auto"/>
                        <w:rPr>
                          <w:rFonts w:ascii="Cambria" w:hAnsi="Cambria" w:cs="Arial"/>
                          <w:b/>
                          <w:color w:val="0D0D0D"/>
                          <w:sz w:val="36"/>
                          <w:szCs w:val="22"/>
                          <w:lang w:val="es-ES_tradnl"/>
                        </w:rPr>
                      </w:pPr>
                      <w:r w:rsidRPr="00D32942">
                        <w:rPr>
                          <w:rFonts w:ascii="Cambria" w:hAnsi="Cambria" w:cs="Arial"/>
                          <w:b/>
                          <w:color w:val="0D0D0D"/>
                          <w:sz w:val="36"/>
                          <w:szCs w:val="22"/>
                          <w:lang w:val="es-ES_tradnl"/>
                        </w:rPr>
                        <w:t xml:space="preserve">CASO </w:t>
                      </w:r>
                      <w:r w:rsidR="003A0AC4" w:rsidRPr="00D32942">
                        <w:rPr>
                          <w:rFonts w:ascii="Cambria" w:hAnsi="Cambria" w:cs="Arial"/>
                          <w:b/>
                          <w:color w:val="0D0D0D"/>
                          <w:sz w:val="36"/>
                          <w:szCs w:val="22"/>
                          <w:lang w:val="es-ES_tradnl"/>
                        </w:rPr>
                        <w:t>11</w:t>
                      </w:r>
                      <w:r w:rsidR="008F1912" w:rsidRPr="00D32942">
                        <w:rPr>
                          <w:rFonts w:ascii="Cambria" w:hAnsi="Cambria" w:cs="Arial"/>
                          <w:b/>
                          <w:color w:val="0D0D0D"/>
                          <w:sz w:val="36"/>
                          <w:szCs w:val="22"/>
                          <w:lang w:val="es-ES_tradnl"/>
                        </w:rPr>
                        <w:t>.</w:t>
                      </w:r>
                      <w:r w:rsidR="003A0AC4" w:rsidRPr="00D32942">
                        <w:rPr>
                          <w:rFonts w:ascii="Cambria" w:hAnsi="Cambria" w:cs="Arial"/>
                          <w:b/>
                          <w:color w:val="0D0D0D"/>
                          <w:sz w:val="36"/>
                          <w:szCs w:val="22"/>
                          <w:lang w:val="es-ES_tradnl"/>
                        </w:rPr>
                        <w:t>100</w:t>
                      </w:r>
                    </w:p>
                    <w:p w:rsidR="00CD046C" w:rsidRPr="00D32942" w:rsidRDefault="005B52B0" w:rsidP="00997BC5">
                      <w:pPr>
                        <w:spacing w:line="276" w:lineRule="auto"/>
                        <w:rPr>
                          <w:rFonts w:ascii="Cambria" w:hAnsi="Cambria" w:cs="Arial"/>
                          <w:color w:val="0D0D0D"/>
                          <w:szCs w:val="22"/>
                          <w:lang w:val="es-ES_tradnl"/>
                        </w:rPr>
                      </w:pPr>
                      <w:r w:rsidRPr="00D32942">
                        <w:rPr>
                          <w:rFonts w:ascii="Cambria" w:hAnsi="Cambria" w:cs="Arial"/>
                          <w:color w:val="0D0D0D"/>
                          <w:szCs w:val="22"/>
                          <w:lang w:val="es-ES_tradnl"/>
                        </w:rPr>
                        <w:t>INFORME DE ADMISIBILIDAD</w:t>
                      </w:r>
                    </w:p>
                    <w:p w:rsidR="008F1912" w:rsidRPr="00A54CEE" w:rsidRDefault="008F1912" w:rsidP="00997BC5">
                      <w:pPr>
                        <w:spacing w:line="276" w:lineRule="auto"/>
                        <w:rPr>
                          <w:rFonts w:ascii="Cambria" w:hAnsi="Cambria" w:cs="Arial"/>
                          <w:color w:val="0D0D0D"/>
                          <w:sz w:val="22"/>
                          <w:szCs w:val="22"/>
                          <w:lang w:val="es-ES_tradnl"/>
                        </w:rPr>
                      </w:pPr>
                      <w:bookmarkStart w:id="2" w:name="_ftnref1"/>
                    </w:p>
                    <w:p w:rsidR="00307D41" w:rsidRPr="00D32942" w:rsidRDefault="004F3AD2" w:rsidP="00997BC5">
                      <w:pPr>
                        <w:spacing w:line="276" w:lineRule="auto"/>
                        <w:rPr>
                          <w:rFonts w:ascii="Cambria" w:hAnsi="Cambria" w:cs="Arial"/>
                          <w:color w:val="0D0D0D"/>
                          <w:szCs w:val="22"/>
                          <w:lang w:val="es-ES_tradnl"/>
                        </w:rPr>
                      </w:pPr>
                      <w:r w:rsidRPr="00D32942">
                        <w:rPr>
                          <w:rFonts w:ascii="Cambria" w:hAnsi="Cambria" w:cs="Arial"/>
                          <w:color w:val="0D0D0D"/>
                          <w:szCs w:val="22"/>
                          <w:lang w:val="es-ES_tradnl"/>
                        </w:rPr>
                        <w:t>FAMILIA AYURE QUINTERO</w:t>
                      </w:r>
                    </w:p>
                    <w:bookmarkEnd w:id="2"/>
                    <w:p w:rsidR="005B52B0" w:rsidRPr="00D32942" w:rsidRDefault="003A0AC4" w:rsidP="007A5817">
                      <w:pPr>
                        <w:rPr>
                          <w:color w:val="0D0D0D"/>
                          <w:lang w:val="es-ES_tradnl"/>
                        </w:rPr>
                      </w:pPr>
                      <w:r w:rsidRPr="00D32942">
                        <w:rPr>
                          <w:rFonts w:ascii="Cambria" w:hAnsi="Cambria" w:cs="Arial"/>
                          <w:color w:val="0D0D0D"/>
                          <w:szCs w:val="22"/>
                          <w:lang w:val="es-ES_tradnl"/>
                        </w:rPr>
                        <w:t>COLOMBIA</w:t>
                      </w:r>
                    </w:p>
                  </w:txbxContent>
                </v:textbox>
              </v:shape>
            </w:pict>
          </mc:Fallback>
        </mc:AlternateContent>
      </w:r>
      <w:r>
        <w:rPr>
          <w:noProof/>
          <w:bdr w:val="none" w:sz="0" w:space="0" w:color="auto"/>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627C9F" w:rsidRPr="008A666B" w:rsidRDefault="00627C9F" w:rsidP="007A5817">
                            <w:pPr>
                              <w:spacing w:line="276" w:lineRule="auto"/>
                              <w:jc w:val="right"/>
                              <w:rPr>
                                <w:rFonts w:ascii="Calibri" w:hAnsi="Calibri"/>
                                <w:color w:val="FFFFFF"/>
                                <w:sz w:val="22"/>
                                <w:lang w:val="pt-BR"/>
                              </w:rPr>
                            </w:pPr>
                            <w:r w:rsidRPr="008A666B">
                              <w:rPr>
                                <w:rFonts w:ascii="Calibri" w:hAnsi="Calibri"/>
                                <w:color w:val="FFFFFF"/>
                                <w:sz w:val="22"/>
                                <w:lang w:val="pt-BR"/>
                              </w:rPr>
                              <w:t>OEA/Ser.L/V/II.15</w:t>
                            </w:r>
                            <w:r w:rsidR="00F3017C" w:rsidRPr="008A666B">
                              <w:rPr>
                                <w:rFonts w:ascii="Calibri" w:hAnsi="Calibri"/>
                                <w:color w:val="FFFFFF"/>
                                <w:sz w:val="22"/>
                                <w:lang w:val="pt-BR"/>
                              </w:rPr>
                              <w:t>5</w:t>
                            </w:r>
                          </w:p>
                          <w:p w:rsidR="00627C9F" w:rsidRPr="008A666B" w:rsidRDefault="00822756" w:rsidP="007A5817">
                            <w:pPr>
                              <w:spacing w:line="276" w:lineRule="auto"/>
                              <w:jc w:val="right"/>
                              <w:rPr>
                                <w:rFonts w:ascii="Calibri" w:hAnsi="Calibri"/>
                                <w:color w:val="FFFFFF"/>
                                <w:sz w:val="22"/>
                                <w:lang w:val="pt-BR"/>
                              </w:rPr>
                            </w:pPr>
                            <w:r w:rsidRPr="008A666B">
                              <w:rPr>
                                <w:rFonts w:ascii="Calibri" w:hAnsi="Calibri"/>
                                <w:color w:val="FFFFFF"/>
                                <w:sz w:val="22"/>
                                <w:lang w:val="pt-BR"/>
                              </w:rPr>
                              <w:t>Doc. 11</w:t>
                            </w:r>
                          </w:p>
                          <w:p w:rsidR="00627C9F" w:rsidRPr="00D32942" w:rsidRDefault="003E4073" w:rsidP="007A5817">
                            <w:pPr>
                              <w:spacing w:line="276" w:lineRule="auto"/>
                              <w:jc w:val="right"/>
                              <w:rPr>
                                <w:rFonts w:ascii="Calibri" w:hAnsi="Calibri"/>
                                <w:color w:val="FFFFFF"/>
                                <w:sz w:val="22"/>
                                <w:lang w:val="es-GT"/>
                              </w:rPr>
                            </w:pPr>
                            <w:r>
                              <w:rPr>
                                <w:rFonts w:ascii="Calibri" w:hAnsi="Calibri"/>
                                <w:color w:val="FFFFFF"/>
                                <w:sz w:val="22"/>
                                <w:lang w:val="es-GT"/>
                              </w:rPr>
                              <w:t>22</w:t>
                            </w:r>
                            <w:r w:rsidR="00627C9F" w:rsidRPr="00D32942">
                              <w:rPr>
                                <w:rFonts w:ascii="Calibri" w:hAnsi="Calibri"/>
                                <w:color w:val="FFFFFF"/>
                                <w:sz w:val="22"/>
                                <w:lang w:val="es-GT"/>
                              </w:rPr>
                              <w:t xml:space="preserve"> </w:t>
                            </w:r>
                            <w:r w:rsidR="00D81F08">
                              <w:rPr>
                                <w:rFonts w:ascii="Calibri" w:hAnsi="Calibri"/>
                                <w:color w:val="FFFFFF"/>
                                <w:sz w:val="22"/>
                                <w:lang w:val="es-GT"/>
                              </w:rPr>
                              <w:t>julio</w:t>
                            </w:r>
                            <w:r w:rsidR="00627C9F" w:rsidRPr="00D32942">
                              <w:rPr>
                                <w:rFonts w:ascii="Calibri" w:hAnsi="Calibri"/>
                                <w:color w:val="FFFFFF"/>
                                <w:sz w:val="22"/>
                                <w:lang w:val="es-GT"/>
                              </w:rPr>
                              <w:t xml:space="preserve"> 201</w:t>
                            </w:r>
                            <w:r w:rsidR="003A0AC4" w:rsidRPr="00D32942">
                              <w:rPr>
                                <w:rFonts w:ascii="Calibri" w:hAnsi="Calibri"/>
                                <w:color w:val="FFFFFF"/>
                                <w:sz w:val="22"/>
                                <w:lang w:val="es-GT"/>
                              </w:rPr>
                              <w:t>5</w:t>
                            </w:r>
                          </w:p>
                          <w:p w:rsidR="00627C9F" w:rsidRPr="00D32942" w:rsidRDefault="00E0340B" w:rsidP="007A5817">
                            <w:pPr>
                              <w:spacing w:line="276" w:lineRule="auto"/>
                              <w:jc w:val="right"/>
                              <w:rPr>
                                <w:rFonts w:ascii="Calibri" w:hAnsi="Calibri"/>
                                <w:color w:val="FFFFFF"/>
                                <w:sz w:val="22"/>
                                <w:lang w:val="es-GT"/>
                              </w:rPr>
                            </w:pPr>
                            <w:r w:rsidRPr="00D32942">
                              <w:rPr>
                                <w:rFonts w:ascii="Calibri" w:hAnsi="Calibri"/>
                                <w:color w:val="FFFFFF"/>
                                <w:sz w:val="22"/>
                                <w:lang w:val="es-GT"/>
                              </w:rPr>
                              <w:t xml:space="preserve">Original: </w:t>
                            </w:r>
                            <w:r w:rsidR="008B12F5" w:rsidRPr="00D32942">
                              <w:rPr>
                                <w:rFonts w:ascii="Calibri" w:hAnsi="Calibri"/>
                                <w:color w:val="FFFFFF"/>
                                <w:sz w:val="22"/>
                                <w:lang w:val="es-GT"/>
                              </w:rPr>
                              <w:t>e</w:t>
                            </w:r>
                            <w:r w:rsidR="00627C9F" w:rsidRPr="00D32942">
                              <w:rPr>
                                <w:rFonts w:ascii="Calibri" w:hAnsi="Calibri"/>
                                <w:color w:val="FFFFFF"/>
                                <w:sz w:val="22"/>
                                <w:lang w:val="es-GT"/>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627C9F" w:rsidRPr="00822756" w:rsidRDefault="00627C9F" w:rsidP="007A5817">
                      <w:pPr>
                        <w:spacing w:line="276" w:lineRule="auto"/>
                        <w:jc w:val="right"/>
                        <w:rPr>
                          <w:rFonts w:ascii="Calibri" w:hAnsi="Calibri"/>
                          <w:color w:val="FFFFFF"/>
                          <w:sz w:val="22"/>
                          <w:lang w:val="es-US"/>
                        </w:rPr>
                      </w:pPr>
                      <w:r w:rsidRPr="00822756">
                        <w:rPr>
                          <w:rFonts w:ascii="Calibri" w:hAnsi="Calibri"/>
                          <w:color w:val="FFFFFF"/>
                          <w:sz w:val="22"/>
                          <w:lang w:val="es-US"/>
                        </w:rPr>
                        <w:t>OEA/Ser.L/V/II.15</w:t>
                      </w:r>
                      <w:r w:rsidR="00F3017C" w:rsidRPr="00822756">
                        <w:rPr>
                          <w:rFonts w:ascii="Calibri" w:hAnsi="Calibri"/>
                          <w:color w:val="FFFFFF"/>
                          <w:sz w:val="22"/>
                          <w:lang w:val="es-US"/>
                        </w:rPr>
                        <w:t>5</w:t>
                      </w:r>
                    </w:p>
                    <w:p w:rsidR="00627C9F" w:rsidRPr="00822756" w:rsidRDefault="00822756" w:rsidP="007A5817">
                      <w:pPr>
                        <w:spacing w:line="276" w:lineRule="auto"/>
                        <w:jc w:val="right"/>
                        <w:rPr>
                          <w:rFonts w:ascii="Calibri" w:hAnsi="Calibri"/>
                          <w:color w:val="FFFFFF"/>
                          <w:sz w:val="22"/>
                          <w:lang w:val="es-US"/>
                        </w:rPr>
                      </w:pPr>
                      <w:r w:rsidRPr="00822756">
                        <w:rPr>
                          <w:rFonts w:ascii="Calibri" w:hAnsi="Calibri"/>
                          <w:color w:val="FFFFFF"/>
                          <w:sz w:val="22"/>
                          <w:lang w:val="es-US"/>
                        </w:rPr>
                        <w:t>Doc. 11</w:t>
                      </w:r>
                    </w:p>
                    <w:p w:rsidR="00627C9F" w:rsidRPr="00D32942" w:rsidRDefault="003E4073" w:rsidP="007A5817">
                      <w:pPr>
                        <w:spacing w:line="276" w:lineRule="auto"/>
                        <w:jc w:val="right"/>
                        <w:rPr>
                          <w:rFonts w:ascii="Calibri" w:hAnsi="Calibri"/>
                          <w:color w:val="FFFFFF"/>
                          <w:sz w:val="22"/>
                          <w:lang w:val="es-GT"/>
                        </w:rPr>
                      </w:pPr>
                      <w:r>
                        <w:rPr>
                          <w:rFonts w:ascii="Calibri" w:hAnsi="Calibri"/>
                          <w:color w:val="FFFFFF"/>
                          <w:sz w:val="22"/>
                          <w:lang w:val="es-GT"/>
                        </w:rPr>
                        <w:t>22</w:t>
                      </w:r>
                      <w:r w:rsidR="00627C9F" w:rsidRPr="00D32942">
                        <w:rPr>
                          <w:rFonts w:ascii="Calibri" w:hAnsi="Calibri"/>
                          <w:color w:val="FFFFFF"/>
                          <w:sz w:val="22"/>
                          <w:lang w:val="es-GT"/>
                        </w:rPr>
                        <w:t xml:space="preserve"> </w:t>
                      </w:r>
                      <w:r w:rsidR="00D81F08">
                        <w:rPr>
                          <w:rFonts w:ascii="Calibri" w:hAnsi="Calibri"/>
                          <w:color w:val="FFFFFF"/>
                          <w:sz w:val="22"/>
                          <w:lang w:val="es-GT"/>
                        </w:rPr>
                        <w:t>julio</w:t>
                      </w:r>
                      <w:r w:rsidR="00627C9F" w:rsidRPr="00D32942">
                        <w:rPr>
                          <w:rFonts w:ascii="Calibri" w:hAnsi="Calibri"/>
                          <w:color w:val="FFFFFF"/>
                          <w:sz w:val="22"/>
                          <w:lang w:val="es-GT"/>
                        </w:rPr>
                        <w:t xml:space="preserve"> 201</w:t>
                      </w:r>
                      <w:r w:rsidR="003A0AC4" w:rsidRPr="00D32942">
                        <w:rPr>
                          <w:rFonts w:ascii="Calibri" w:hAnsi="Calibri"/>
                          <w:color w:val="FFFFFF"/>
                          <w:sz w:val="22"/>
                          <w:lang w:val="es-GT"/>
                        </w:rPr>
                        <w:t>5</w:t>
                      </w:r>
                    </w:p>
                    <w:p w:rsidR="00627C9F" w:rsidRPr="00D32942" w:rsidRDefault="00E0340B" w:rsidP="007A5817">
                      <w:pPr>
                        <w:spacing w:line="276" w:lineRule="auto"/>
                        <w:jc w:val="right"/>
                        <w:rPr>
                          <w:rFonts w:ascii="Calibri" w:hAnsi="Calibri"/>
                          <w:color w:val="FFFFFF"/>
                          <w:sz w:val="22"/>
                          <w:lang w:val="es-GT"/>
                        </w:rPr>
                      </w:pPr>
                      <w:r w:rsidRPr="00D32942">
                        <w:rPr>
                          <w:rFonts w:ascii="Calibri" w:hAnsi="Calibri"/>
                          <w:color w:val="FFFFFF"/>
                          <w:sz w:val="22"/>
                          <w:lang w:val="es-GT"/>
                        </w:rPr>
                        <w:t xml:space="preserve">Original: </w:t>
                      </w:r>
                      <w:r w:rsidR="008B12F5" w:rsidRPr="00D32942">
                        <w:rPr>
                          <w:rFonts w:ascii="Calibri" w:hAnsi="Calibri"/>
                          <w:color w:val="FFFFFF"/>
                          <w:sz w:val="22"/>
                          <w:lang w:val="es-GT"/>
                        </w:rPr>
                        <w:t>e</w:t>
                      </w:r>
                      <w:r w:rsidR="00627C9F" w:rsidRPr="00D32942">
                        <w:rPr>
                          <w:rFonts w:ascii="Calibri" w:hAnsi="Calibri"/>
                          <w:color w:val="FFFFFF"/>
                          <w:sz w:val="22"/>
                          <w:lang w:val="es-GT"/>
                        </w:rPr>
                        <w:t>spañol</w:t>
                      </w:r>
                    </w:p>
                  </w:txbxContent>
                </v:textbox>
              </v:shape>
            </w:pict>
          </mc:Fallback>
        </mc:AlternateContent>
      </w: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cs="Arial"/>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5128E4" w:rsidRPr="00D32942" w:rsidRDefault="005128E4"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5128E4" w:rsidRPr="00D32942" w:rsidRDefault="005128E4" w:rsidP="00040C3A">
      <w:pPr>
        <w:tabs>
          <w:tab w:val="center" w:pos="5400"/>
        </w:tabs>
        <w:suppressAutoHyphens/>
        <w:jc w:val="center"/>
        <w:rPr>
          <w:rFonts w:ascii="Cambria" w:hAnsi="Cambria"/>
          <w:sz w:val="20"/>
          <w:szCs w:val="20"/>
          <w:lang w:val="es-ES_tradnl"/>
        </w:rPr>
      </w:pPr>
    </w:p>
    <w:p w:rsidR="005128E4" w:rsidRPr="00D32942" w:rsidRDefault="005128E4" w:rsidP="00040C3A">
      <w:pPr>
        <w:tabs>
          <w:tab w:val="center" w:pos="5400"/>
        </w:tabs>
        <w:suppressAutoHyphens/>
        <w:jc w:val="center"/>
        <w:rPr>
          <w:rFonts w:ascii="Cambria" w:hAnsi="Cambria"/>
          <w:sz w:val="20"/>
          <w:szCs w:val="20"/>
          <w:lang w:val="es-ES_tradnl"/>
        </w:rPr>
      </w:pPr>
    </w:p>
    <w:p w:rsidR="005128E4" w:rsidRPr="00D32942" w:rsidRDefault="005128E4"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040C3A" w:rsidRPr="00D32942" w:rsidRDefault="00040C3A"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3E4073" w:rsidP="00040C3A">
      <w:pPr>
        <w:tabs>
          <w:tab w:val="center" w:pos="5400"/>
        </w:tabs>
        <w:suppressAutoHyphens/>
        <w:jc w:val="center"/>
        <w:rPr>
          <w:rFonts w:ascii="Cambria" w:hAnsi="Cambria"/>
          <w:sz w:val="20"/>
          <w:szCs w:val="20"/>
          <w:lang w:val="es-ES_tradnl"/>
        </w:rPr>
      </w:pPr>
      <w:r>
        <w:rPr>
          <w:noProof/>
          <w:bdr w:val="none" w:sz="0" w:space="0" w:color="auto"/>
        </w:rPr>
        <mc:AlternateContent>
          <mc:Choice Requires="wps">
            <w:drawing>
              <wp:anchor distT="0" distB="0" distL="114300" distR="114300" simplePos="0" relativeHeight="251655680"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DD3D86" w:rsidRPr="00D32942" w:rsidRDefault="005B52B0" w:rsidP="00247403">
                            <w:pPr>
                              <w:tabs>
                                <w:tab w:val="center" w:pos="5400"/>
                              </w:tabs>
                              <w:suppressAutoHyphens/>
                              <w:spacing w:before="60"/>
                              <w:rPr>
                                <w:rFonts w:ascii="Cambria" w:hAnsi="Cambria" w:cs="Univers"/>
                                <w:color w:val="0D0D0D"/>
                                <w:sz w:val="18"/>
                                <w:szCs w:val="20"/>
                                <w:lang w:val="es-ES_tradnl"/>
                              </w:rPr>
                            </w:pPr>
                            <w:r w:rsidRPr="00D32942">
                              <w:rPr>
                                <w:rFonts w:ascii="Cambria" w:hAnsi="Cambria"/>
                                <w:color w:val="0D0D0D"/>
                                <w:sz w:val="18"/>
                                <w:szCs w:val="20"/>
                                <w:lang w:val="es-ES"/>
                              </w:rPr>
                              <w:t>Aprobado por la Comisión en su sesión N</w:t>
                            </w:r>
                            <w:r w:rsidR="000E5EB5" w:rsidRPr="00D32942">
                              <w:rPr>
                                <w:rFonts w:ascii="Cambria" w:hAnsi="Cambria"/>
                                <w:color w:val="0D0D0D"/>
                                <w:sz w:val="18"/>
                                <w:szCs w:val="20"/>
                                <w:lang w:val="es-ES"/>
                              </w:rPr>
                              <w:t>o.</w:t>
                            </w:r>
                            <w:r w:rsidR="00822756">
                              <w:rPr>
                                <w:rFonts w:ascii="Cambria" w:hAnsi="Cambria"/>
                                <w:color w:val="0D0D0D"/>
                                <w:sz w:val="18"/>
                                <w:szCs w:val="20"/>
                                <w:lang w:val="es-ES"/>
                              </w:rPr>
                              <w:t xml:space="preserve"> 2035</w:t>
                            </w:r>
                            <w:r w:rsidR="005F0DAD" w:rsidRPr="00D32942">
                              <w:rPr>
                                <w:rFonts w:ascii="Cambria" w:hAnsi="Cambria"/>
                                <w:color w:val="0D0D0D"/>
                                <w:sz w:val="18"/>
                                <w:szCs w:val="20"/>
                                <w:lang w:val="es-ES"/>
                              </w:rPr>
                              <w:t xml:space="preserve"> c</w:t>
                            </w:r>
                            <w:r w:rsidR="00B962C8" w:rsidRPr="00D32942">
                              <w:rPr>
                                <w:rFonts w:ascii="Cambria" w:hAnsi="Cambria"/>
                                <w:color w:val="0D0D0D"/>
                                <w:sz w:val="18"/>
                                <w:szCs w:val="20"/>
                                <w:lang w:val="es-ES"/>
                              </w:rPr>
                              <w:t xml:space="preserve">elebrada el </w:t>
                            </w:r>
                            <w:r w:rsidR="003E4073">
                              <w:rPr>
                                <w:rFonts w:ascii="Cambria" w:hAnsi="Cambria"/>
                                <w:color w:val="0D0D0D"/>
                                <w:sz w:val="18"/>
                                <w:szCs w:val="20"/>
                                <w:lang w:val="es-ES"/>
                              </w:rPr>
                              <w:t>22</w:t>
                            </w:r>
                            <w:r w:rsidR="00B962C8" w:rsidRPr="00D32942">
                              <w:rPr>
                                <w:rFonts w:ascii="Cambria" w:hAnsi="Cambria"/>
                                <w:color w:val="0D0D0D"/>
                                <w:sz w:val="18"/>
                                <w:szCs w:val="20"/>
                                <w:lang w:val="es-ES"/>
                              </w:rPr>
                              <w:t xml:space="preserve"> de </w:t>
                            </w:r>
                            <w:r w:rsidR="003E4073">
                              <w:rPr>
                                <w:rFonts w:ascii="Cambria" w:hAnsi="Cambria"/>
                                <w:color w:val="0D0D0D"/>
                                <w:sz w:val="18"/>
                                <w:szCs w:val="20"/>
                                <w:lang w:val="es-ES"/>
                              </w:rPr>
                              <w:t>julio</w:t>
                            </w:r>
                            <w:r w:rsidR="00B962C8" w:rsidRPr="00D32942">
                              <w:rPr>
                                <w:rFonts w:ascii="Cambria" w:hAnsi="Cambria"/>
                                <w:color w:val="0D0D0D"/>
                                <w:sz w:val="18"/>
                                <w:szCs w:val="20"/>
                                <w:lang w:val="es-ES"/>
                              </w:rPr>
                              <w:t xml:space="preserve"> de 2015</w:t>
                            </w:r>
                            <w:r w:rsidR="00E461CE" w:rsidRPr="00D32942">
                              <w:rPr>
                                <w:rFonts w:ascii="Cambria" w:hAnsi="Cambria"/>
                                <w:color w:val="0D0D0D"/>
                                <w:sz w:val="18"/>
                                <w:szCs w:val="20"/>
                                <w:lang w:val="es-ES"/>
                              </w:rPr>
                              <w:br/>
                            </w:r>
                            <w:r w:rsidR="00873836" w:rsidRPr="00D32942">
                              <w:rPr>
                                <w:rFonts w:ascii="Cambria" w:hAnsi="Cambria" w:cs="Univers"/>
                                <w:color w:val="0D0D0D"/>
                                <w:sz w:val="18"/>
                                <w:szCs w:val="20"/>
                                <w:lang w:val="es-ES_tradnl"/>
                              </w:rPr>
                              <w:t>15</w:t>
                            </w:r>
                            <w:r w:rsidR="00782EBC" w:rsidRPr="00D32942">
                              <w:rPr>
                                <w:rFonts w:ascii="Cambria" w:hAnsi="Cambria" w:cs="Univers"/>
                                <w:color w:val="0D0D0D"/>
                                <w:sz w:val="18"/>
                                <w:szCs w:val="20"/>
                                <w:lang w:val="es-ES_tradnl"/>
                              </w:rPr>
                              <w:t>5</w:t>
                            </w:r>
                            <w:r w:rsidR="00873836" w:rsidRPr="00D32942">
                              <w:rPr>
                                <w:rFonts w:ascii="Cambria" w:hAnsi="Cambria" w:cs="Univers"/>
                                <w:color w:val="0D0D0D"/>
                                <w:sz w:val="18"/>
                                <w:szCs w:val="20"/>
                                <w:lang w:val="es-ES_tradnl"/>
                              </w:rPr>
                              <w:t xml:space="preserve"> </w:t>
                            </w:r>
                            <w:r w:rsidR="00885737" w:rsidRPr="00D32942">
                              <w:rPr>
                                <w:rFonts w:ascii="Cambria" w:hAnsi="Cambria" w:cs="Univers"/>
                                <w:color w:val="0D0D0D"/>
                                <w:sz w:val="18"/>
                                <w:szCs w:val="20"/>
                                <w:lang w:val="es-ES_tradnl"/>
                              </w:rPr>
                              <w:t>p</w:t>
                            </w:r>
                            <w:r w:rsidR="00247403" w:rsidRPr="00D32942">
                              <w:rPr>
                                <w:rFonts w:ascii="Cambria" w:hAnsi="Cambria" w:cs="Univers"/>
                                <w:color w:val="0D0D0D"/>
                                <w:sz w:val="18"/>
                                <w:szCs w:val="20"/>
                                <w:lang w:val="es-ES_tradnl"/>
                              </w:rPr>
                              <w:t xml:space="preserve">eríodo ordinario de </w:t>
                            </w:r>
                            <w:r w:rsidR="00885737" w:rsidRPr="00D32942">
                              <w:rPr>
                                <w:rFonts w:ascii="Cambria" w:hAnsi="Cambria" w:cs="Univers"/>
                                <w:color w:val="0D0D0D"/>
                                <w:sz w:val="18"/>
                                <w:szCs w:val="20"/>
                                <w:lang w:val="es-ES_tradnl"/>
                              </w:rPr>
                              <w:t>s</w:t>
                            </w:r>
                            <w:r w:rsidR="00247403" w:rsidRPr="00D32942">
                              <w:rPr>
                                <w:rFonts w:ascii="Cambria" w:hAnsi="Cambria" w:cs="Univers"/>
                                <w:color w:val="0D0D0D"/>
                                <w:sz w:val="18"/>
                                <w:szCs w:val="20"/>
                                <w:lang w:val="es-ES_tradnl"/>
                              </w:rPr>
                              <w:t>esiones</w:t>
                            </w:r>
                          </w:p>
                          <w:p w:rsidR="00DD3D86" w:rsidRPr="00D32942" w:rsidRDefault="00DD3D86" w:rsidP="00247403">
                            <w:pPr>
                              <w:tabs>
                                <w:tab w:val="center" w:pos="5400"/>
                              </w:tabs>
                              <w:suppressAutoHyphens/>
                              <w:spacing w:before="60"/>
                              <w:rPr>
                                <w:rFonts w:ascii="Calibri" w:hAnsi="Calibri" w:cs="Univers"/>
                                <w:color w:val="0D0D0D"/>
                                <w:sz w:val="20"/>
                                <w:szCs w:val="20"/>
                                <w:lang w:val="es-ES"/>
                              </w:rPr>
                            </w:pPr>
                          </w:p>
                          <w:p w:rsidR="005B52B0" w:rsidRPr="00D32942"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DD3D86" w:rsidRPr="00D32942" w:rsidRDefault="005B52B0" w:rsidP="00247403">
                      <w:pPr>
                        <w:tabs>
                          <w:tab w:val="center" w:pos="5400"/>
                        </w:tabs>
                        <w:suppressAutoHyphens/>
                        <w:spacing w:before="60"/>
                        <w:rPr>
                          <w:rFonts w:ascii="Cambria" w:hAnsi="Cambria" w:cs="Univers"/>
                          <w:color w:val="0D0D0D"/>
                          <w:sz w:val="18"/>
                          <w:szCs w:val="20"/>
                          <w:lang w:val="es-ES_tradnl"/>
                        </w:rPr>
                      </w:pPr>
                      <w:r w:rsidRPr="00D32942">
                        <w:rPr>
                          <w:rFonts w:ascii="Cambria" w:hAnsi="Cambria"/>
                          <w:color w:val="0D0D0D"/>
                          <w:sz w:val="18"/>
                          <w:szCs w:val="20"/>
                          <w:lang w:val="es-ES"/>
                        </w:rPr>
                        <w:t>Aprobado por la Comisión en su sesión N</w:t>
                      </w:r>
                      <w:r w:rsidR="000E5EB5" w:rsidRPr="00D32942">
                        <w:rPr>
                          <w:rFonts w:ascii="Cambria" w:hAnsi="Cambria"/>
                          <w:color w:val="0D0D0D"/>
                          <w:sz w:val="18"/>
                          <w:szCs w:val="20"/>
                          <w:lang w:val="es-ES"/>
                        </w:rPr>
                        <w:t>o.</w:t>
                      </w:r>
                      <w:r w:rsidR="00822756">
                        <w:rPr>
                          <w:rFonts w:ascii="Cambria" w:hAnsi="Cambria"/>
                          <w:color w:val="0D0D0D"/>
                          <w:sz w:val="18"/>
                          <w:szCs w:val="20"/>
                          <w:lang w:val="es-ES"/>
                        </w:rPr>
                        <w:t xml:space="preserve"> 2035</w:t>
                      </w:r>
                      <w:r w:rsidR="005F0DAD" w:rsidRPr="00D32942">
                        <w:rPr>
                          <w:rFonts w:ascii="Cambria" w:hAnsi="Cambria"/>
                          <w:color w:val="0D0D0D"/>
                          <w:sz w:val="18"/>
                          <w:szCs w:val="20"/>
                          <w:lang w:val="es-ES"/>
                        </w:rPr>
                        <w:t xml:space="preserve"> c</w:t>
                      </w:r>
                      <w:r w:rsidR="00B962C8" w:rsidRPr="00D32942">
                        <w:rPr>
                          <w:rFonts w:ascii="Cambria" w:hAnsi="Cambria"/>
                          <w:color w:val="0D0D0D"/>
                          <w:sz w:val="18"/>
                          <w:szCs w:val="20"/>
                          <w:lang w:val="es-ES"/>
                        </w:rPr>
                        <w:t xml:space="preserve">elebrada el </w:t>
                      </w:r>
                      <w:r w:rsidR="003E4073">
                        <w:rPr>
                          <w:rFonts w:ascii="Cambria" w:hAnsi="Cambria"/>
                          <w:color w:val="0D0D0D"/>
                          <w:sz w:val="18"/>
                          <w:szCs w:val="20"/>
                          <w:lang w:val="es-ES"/>
                        </w:rPr>
                        <w:t>22</w:t>
                      </w:r>
                      <w:r w:rsidR="00B962C8" w:rsidRPr="00D32942">
                        <w:rPr>
                          <w:rFonts w:ascii="Cambria" w:hAnsi="Cambria"/>
                          <w:color w:val="0D0D0D"/>
                          <w:sz w:val="18"/>
                          <w:szCs w:val="20"/>
                          <w:lang w:val="es-ES"/>
                        </w:rPr>
                        <w:t xml:space="preserve"> de </w:t>
                      </w:r>
                      <w:r w:rsidR="003E4073">
                        <w:rPr>
                          <w:rFonts w:ascii="Cambria" w:hAnsi="Cambria"/>
                          <w:color w:val="0D0D0D"/>
                          <w:sz w:val="18"/>
                          <w:szCs w:val="20"/>
                          <w:lang w:val="es-ES"/>
                        </w:rPr>
                        <w:t>julio</w:t>
                      </w:r>
                      <w:r w:rsidR="00B962C8" w:rsidRPr="00D32942">
                        <w:rPr>
                          <w:rFonts w:ascii="Cambria" w:hAnsi="Cambria"/>
                          <w:color w:val="0D0D0D"/>
                          <w:sz w:val="18"/>
                          <w:szCs w:val="20"/>
                          <w:lang w:val="es-ES"/>
                        </w:rPr>
                        <w:t xml:space="preserve"> de 2015</w:t>
                      </w:r>
                      <w:r w:rsidR="00E461CE" w:rsidRPr="00D32942">
                        <w:rPr>
                          <w:rFonts w:ascii="Cambria" w:hAnsi="Cambria"/>
                          <w:color w:val="0D0D0D"/>
                          <w:sz w:val="18"/>
                          <w:szCs w:val="20"/>
                          <w:lang w:val="es-ES"/>
                        </w:rPr>
                        <w:br/>
                      </w:r>
                      <w:r w:rsidR="00873836" w:rsidRPr="00D32942">
                        <w:rPr>
                          <w:rFonts w:ascii="Cambria" w:hAnsi="Cambria" w:cs="Univers"/>
                          <w:color w:val="0D0D0D"/>
                          <w:sz w:val="18"/>
                          <w:szCs w:val="20"/>
                          <w:lang w:val="es-ES_tradnl"/>
                        </w:rPr>
                        <w:t>15</w:t>
                      </w:r>
                      <w:r w:rsidR="00782EBC" w:rsidRPr="00D32942">
                        <w:rPr>
                          <w:rFonts w:ascii="Cambria" w:hAnsi="Cambria" w:cs="Univers"/>
                          <w:color w:val="0D0D0D"/>
                          <w:sz w:val="18"/>
                          <w:szCs w:val="20"/>
                          <w:lang w:val="es-ES_tradnl"/>
                        </w:rPr>
                        <w:t>5</w:t>
                      </w:r>
                      <w:r w:rsidR="00873836" w:rsidRPr="00D32942">
                        <w:rPr>
                          <w:rFonts w:ascii="Cambria" w:hAnsi="Cambria" w:cs="Univers"/>
                          <w:color w:val="0D0D0D"/>
                          <w:sz w:val="18"/>
                          <w:szCs w:val="20"/>
                          <w:lang w:val="es-ES_tradnl"/>
                        </w:rPr>
                        <w:t xml:space="preserve"> </w:t>
                      </w:r>
                      <w:r w:rsidR="00885737" w:rsidRPr="00D32942">
                        <w:rPr>
                          <w:rFonts w:ascii="Cambria" w:hAnsi="Cambria" w:cs="Univers"/>
                          <w:color w:val="0D0D0D"/>
                          <w:sz w:val="18"/>
                          <w:szCs w:val="20"/>
                          <w:lang w:val="es-ES_tradnl"/>
                        </w:rPr>
                        <w:t>p</w:t>
                      </w:r>
                      <w:r w:rsidR="00247403" w:rsidRPr="00D32942">
                        <w:rPr>
                          <w:rFonts w:ascii="Cambria" w:hAnsi="Cambria" w:cs="Univers"/>
                          <w:color w:val="0D0D0D"/>
                          <w:sz w:val="18"/>
                          <w:szCs w:val="20"/>
                          <w:lang w:val="es-ES_tradnl"/>
                        </w:rPr>
                        <w:t xml:space="preserve">eríodo ordinario de </w:t>
                      </w:r>
                      <w:r w:rsidR="00885737" w:rsidRPr="00D32942">
                        <w:rPr>
                          <w:rFonts w:ascii="Cambria" w:hAnsi="Cambria" w:cs="Univers"/>
                          <w:color w:val="0D0D0D"/>
                          <w:sz w:val="18"/>
                          <w:szCs w:val="20"/>
                          <w:lang w:val="es-ES_tradnl"/>
                        </w:rPr>
                        <w:t>s</w:t>
                      </w:r>
                      <w:r w:rsidR="00247403" w:rsidRPr="00D32942">
                        <w:rPr>
                          <w:rFonts w:ascii="Cambria" w:hAnsi="Cambria" w:cs="Univers"/>
                          <w:color w:val="0D0D0D"/>
                          <w:sz w:val="18"/>
                          <w:szCs w:val="20"/>
                          <w:lang w:val="es-ES_tradnl"/>
                        </w:rPr>
                        <w:t>esiones</w:t>
                      </w:r>
                    </w:p>
                    <w:p w:rsidR="00DD3D86" w:rsidRPr="00D32942" w:rsidRDefault="00DD3D86" w:rsidP="00247403">
                      <w:pPr>
                        <w:tabs>
                          <w:tab w:val="center" w:pos="5400"/>
                        </w:tabs>
                        <w:suppressAutoHyphens/>
                        <w:spacing w:before="60"/>
                        <w:rPr>
                          <w:rFonts w:ascii="Calibri" w:hAnsi="Calibri" w:cs="Univers"/>
                          <w:color w:val="0D0D0D"/>
                          <w:sz w:val="20"/>
                          <w:szCs w:val="20"/>
                          <w:lang w:val="es-ES"/>
                        </w:rPr>
                      </w:pPr>
                    </w:p>
                    <w:p w:rsidR="005B52B0" w:rsidRPr="00D32942"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A50FCF" w:rsidP="00040C3A">
      <w:pPr>
        <w:tabs>
          <w:tab w:val="center" w:pos="5400"/>
        </w:tabs>
        <w:suppressAutoHyphens/>
        <w:jc w:val="center"/>
        <w:rPr>
          <w:rFonts w:ascii="Cambria" w:hAnsi="Cambria"/>
          <w:sz w:val="20"/>
          <w:szCs w:val="20"/>
          <w:lang w:val="es-ES_tradnl"/>
        </w:rPr>
      </w:pPr>
    </w:p>
    <w:p w:rsidR="00A50FCF" w:rsidRPr="00D32942" w:rsidRDefault="003E4073" w:rsidP="00040C3A">
      <w:pPr>
        <w:tabs>
          <w:tab w:val="center" w:pos="5400"/>
        </w:tabs>
        <w:suppressAutoHyphens/>
        <w:jc w:val="center"/>
        <w:rPr>
          <w:rFonts w:ascii="Cambria" w:hAnsi="Cambria"/>
          <w:sz w:val="20"/>
          <w:szCs w:val="20"/>
          <w:lang w:val="es-ES_tradnl"/>
        </w:rPr>
      </w:pPr>
      <w:r>
        <w:rPr>
          <w:noProof/>
          <w:bdr w:val="none" w:sz="0" w:space="0" w:color="auto"/>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113F73" w:rsidRPr="00D32942" w:rsidRDefault="00113F73" w:rsidP="00113F73">
                            <w:pPr>
                              <w:spacing w:line="276" w:lineRule="auto"/>
                              <w:rPr>
                                <w:rFonts w:ascii="Cambria" w:hAnsi="Cambria"/>
                                <w:color w:val="595959"/>
                                <w:sz w:val="18"/>
                                <w:szCs w:val="18"/>
                                <w:lang w:val="es-ES_tradnl"/>
                              </w:rPr>
                            </w:pPr>
                            <w:r w:rsidRPr="00D32942">
                              <w:rPr>
                                <w:rFonts w:ascii="Cambria" w:hAnsi="Cambria"/>
                                <w:b/>
                                <w:color w:val="595959"/>
                                <w:sz w:val="18"/>
                                <w:szCs w:val="18"/>
                                <w:lang w:val="pt-BR"/>
                              </w:rPr>
                              <w:t>Citar como:</w:t>
                            </w:r>
                            <w:r w:rsidRPr="00D32942">
                              <w:rPr>
                                <w:rFonts w:ascii="Cambria" w:hAnsi="Cambria"/>
                                <w:color w:val="595959"/>
                                <w:sz w:val="18"/>
                                <w:szCs w:val="18"/>
                                <w:lang w:val="pt-BR"/>
                              </w:rPr>
                              <w:t xml:space="preserve"> CIDH, Informe No. </w:t>
                            </w:r>
                            <w:r w:rsidR="00822756">
                              <w:rPr>
                                <w:rFonts w:ascii="Cambria" w:hAnsi="Cambria"/>
                                <w:color w:val="595959"/>
                                <w:sz w:val="18"/>
                                <w:szCs w:val="18"/>
                                <w:lang w:val="pt-BR"/>
                              </w:rPr>
                              <w:t>32/15</w:t>
                            </w:r>
                            <w:r w:rsidRPr="00822756">
                              <w:rPr>
                                <w:rFonts w:ascii="Cambria" w:hAnsi="Cambria"/>
                                <w:color w:val="595959"/>
                                <w:sz w:val="18"/>
                                <w:szCs w:val="18"/>
                                <w:lang w:val="pt-BR"/>
                              </w:rPr>
                              <w:t xml:space="preserve">, Caso </w:t>
                            </w:r>
                            <w:r w:rsidR="00065E15" w:rsidRPr="00822756">
                              <w:rPr>
                                <w:rFonts w:ascii="Cambria" w:hAnsi="Cambria"/>
                                <w:color w:val="595959"/>
                                <w:sz w:val="18"/>
                                <w:szCs w:val="18"/>
                                <w:lang w:val="pt-BR"/>
                              </w:rPr>
                              <w:t xml:space="preserve">11.100. </w:t>
                            </w:r>
                            <w:r w:rsidR="00065E15" w:rsidRPr="00D32942">
                              <w:rPr>
                                <w:rFonts w:ascii="Cambria" w:hAnsi="Cambria"/>
                                <w:color w:val="595959"/>
                                <w:sz w:val="18"/>
                                <w:szCs w:val="18"/>
                                <w:lang w:val="es-ES_tradnl"/>
                              </w:rPr>
                              <w:t>Admisibilidad</w:t>
                            </w:r>
                            <w:r w:rsidRPr="00D32942">
                              <w:rPr>
                                <w:rFonts w:ascii="Cambria" w:hAnsi="Cambria"/>
                                <w:color w:val="595959"/>
                                <w:sz w:val="18"/>
                                <w:szCs w:val="18"/>
                                <w:lang w:val="es-ES_tradnl"/>
                              </w:rPr>
                              <w:t xml:space="preserve">. </w:t>
                            </w:r>
                            <w:r w:rsidR="00D81F08">
                              <w:rPr>
                                <w:rFonts w:ascii="Cambria" w:hAnsi="Cambria"/>
                                <w:color w:val="595959"/>
                                <w:sz w:val="18"/>
                                <w:szCs w:val="18"/>
                                <w:lang w:val="es-ES_tradnl"/>
                              </w:rPr>
                              <w:t>Familia Ayure Quintero</w:t>
                            </w:r>
                            <w:r w:rsidRPr="00D32942">
                              <w:rPr>
                                <w:rFonts w:ascii="Cambria" w:hAnsi="Cambria"/>
                                <w:color w:val="595959"/>
                                <w:sz w:val="18"/>
                                <w:szCs w:val="18"/>
                                <w:lang w:val="es-ES_tradnl"/>
                              </w:rPr>
                              <w:t xml:space="preserve">. </w:t>
                            </w:r>
                            <w:r w:rsidR="00065E15" w:rsidRPr="00D32942">
                              <w:rPr>
                                <w:rFonts w:ascii="Cambria" w:hAnsi="Cambria"/>
                                <w:color w:val="595959"/>
                                <w:sz w:val="18"/>
                                <w:szCs w:val="18"/>
                                <w:lang w:val="es-ES_tradnl"/>
                              </w:rPr>
                              <w:t>Colombia</w:t>
                            </w:r>
                            <w:r w:rsidRPr="00D32942">
                              <w:rPr>
                                <w:rFonts w:ascii="Cambria" w:hAnsi="Cambria"/>
                                <w:color w:val="595959"/>
                                <w:sz w:val="18"/>
                                <w:szCs w:val="18"/>
                                <w:lang w:val="es-ES_tradnl"/>
                              </w:rPr>
                              <w:t xml:space="preserve">. </w:t>
                            </w:r>
                            <w:r w:rsidR="00D81F08">
                              <w:rPr>
                                <w:rFonts w:ascii="Cambria" w:hAnsi="Cambria"/>
                                <w:color w:val="595959"/>
                                <w:sz w:val="18"/>
                                <w:szCs w:val="18"/>
                                <w:lang w:val="es-ES"/>
                              </w:rPr>
                              <w:t>22 de julio de 2015</w:t>
                            </w:r>
                            <w:r w:rsidRPr="00D3294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113F73" w:rsidRPr="00D32942" w:rsidRDefault="00113F73" w:rsidP="00113F73">
                      <w:pPr>
                        <w:spacing w:line="276" w:lineRule="auto"/>
                        <w:rPr>
                          <w:rFonts w:ascii="Cambria" w:hAnsi="Cambria"/>
                          <w:color w:val="595959"/>
                          <w:sz w:val="18"/>
                          <w:szCs w:val="18"/>
                          <w:lang w:val="es-ES_tradnl"/>
                        </w:rPr>
                      </w:pPr>
                      <w:r w:rsidRPr="00D32942">
                        <w:rPr>
                          <w:rFonts w:ascii="Cambria" w:hAnsi="Cambria"/>
                          <w:b/>
                          <w:color w:val="595959"/>
                          <w:sz w:val="18"/>
                          <w:szCs w:val="18"/>
                          <w:lang w:val="pt-BR"/>
                        </w:rPr>
                        <w:t>Citar como:</w:t>
                      </w:r>
                      <w:r w:rsidRPr="00D32942">
                        <w:rPr>
                          <w:rFonts w:ascii="Cambria" w:hAnsi="Cambria"/>
                          <w:color w:val="595959"/>
                          <w:sz w:val="18"/>
                          <w:szCs w:val="18"/>
                          <w:lang w:val="pt-BR"/>
                        </w:rPr>
                        <w:t xml:space="preserve"> CIDH, Informe No. </w:t>
                      </w:r>
                      <w:r w:rsidR="00822756">
                        <w:rPr>
                          <w:rFonts w:ascii="Cambria" w:hAnsi="Cambria"/>
                          <w:color w:val="595959"/>
                          <w:sz w:val="18"/>
                          <w:szCs w:val="18"/>
                          <w:lang w:val="pt-BR"/>
                        </w:rPr>
                        <w:t>32/15</w:t>
                      </w:r>
                      <w:r w:rsidRPr="00822756">
                        <w:rPr>
                          <w:rFonts w:ascii="Cambria" w:hAnsi="Cambria"/>
                          <w:color w:val="595959"/>
                          <w:sz w:val="18"/>
                          <w:szCs w:val="18"/>
                          <w:lang w:val="pt-BR"/>
                        </w:rPr>
                        <w:t xml:space="preserve">, Caso </w:t>
                      </w:r>
                      <w:r w:rsidR="00065E15" w:rsidRPr="00822756">
                        <w:rPr>
                          <w:rFonts w:ascii="Cambria" w:hAnsi="Cambria"/>
                          <w:color w:val="595959"/>
                          <w:sz w:val="18"/>
                          <w:szCs w:val="18"/>
                          <w:lang w:val="pt-BR"/>
                        </w:rPr>
                        <w:t xml:space="preserve">11.100. </w:t>
                      </w:r>
                      <w:r w:rsidR="00065E15" w:rsidRPr="00D32942">
                        <w:rPr>
                          <w:rFonts w:ascii="Cambria" w:hAnsi="Cambria"/>
                          <w:color w:val="595959"/>
                          <w:sz w:val="18"/>
                          <w:szCs w:val="18"/>
                          <w:lang w:val="es-ES_tradnl"/>
                        </w:rPr>
                        <w:t>Admisibilidad</w:t>
                      </w:r>
                      <w:r w:rsidRPr="00D32942">
                        <w:rPr>
                          <w:rFonts w:ascii="Cambria" w:hAnsi="Cambria"/>
                          <w:color w:val="595959"/>
                          <w:sz w:val="18"/>
                          <w:szCs w:val="18"/>
                          <w:lang w:val="es-ES_tradnl"/>
                        </w:rPr>
                        <w:t xml:space="preserve">. </w:t>
                      </w:r>
                      <w:r w:rsidR="00D81F08">
                        <w:rPr>
                          <w:rFonts w:ascii="Cambria" w:hAnsi="Cambria"/>
                          <w:color w:val="595959"/>
                          <w:sz w:val="18"/>
                          <w:szCs w:val="18"/>
                          <w:lang w:val="es-ES_tradnl"/>
                        </w:rPr>
                        <w:t>Familia Ayure Quintero</w:t>
                      </w:r>
                      <w:r w:rsidRPr="00D32942">
                        <w:rPr>
                          <w:rFonts w:ascii="Cambria" w:hAnsi="Cambria"/>
                          <w:color w:val="595959"/>
                          <w:sz w:val="18"/>
                          <w:szCs w:val="18"/>
                          <w:lang w:val="es-ES_tradnl"/>
                        </w:rPr>
                        <w:t xml:space="preserve">. </w:t>
                      </w:r>
                      <w:r w:rsidR="00065E15" w:rsidRPr="00D32942">
                        <w:rPr>
                          <w:rFonts w:ascii="Cambria" w:hAnsi="Cambria"/>
                          <w:color w:val="595959"/>
                          <w:sz w:val="18"/>
                          <w:szCs w:val="18"/>
                          <w:lang w:val="es-ES_tradnl"/>
                        </w:rPr>
                        <w:t>Colombia</w:t>
                      </w:r>
                      <w:r w:rsidRPr="00D32942">
                        <w:rPr>
                          <w:rFonts w:ascii="Cambria" w:hAnsi="Cambria"/>
                          <w:color w:val="595959"/>
                          <w:sz w:val="18"/>
                          <w:szCs w:val="18"/>
                          <w:lang w:val="es-ES_tradnl"/>
                        </w:rPr>
                        <w:t xml:space="preserve">. </w:t>
                      </w:r>
                      <w:r w:rsidR="00D81F08">
                        <w:rPr>
                          <w:rFonts w:ascii="Cambria" w:hAnsi="Cambria"/>
                          <w:color w:val="595959"/>
                          <w:sz w:val="18"/>
                          <w:szCs w:val="18"/>
                          <w:lang w:val="es-ES"/>
                        </w:rPr>
                        <w:t>22 de julio de 2015</w:t>
                      </w:r>
                      <w:r w:rsidRPr="00D32942">
                        <w:rPr>
                          <w:rFonts w:ascii="Cambria" w:hAnsi="Cambria"/>
                          <w:color w:val="595959"/>
                          <w:sz w:val="18"/>
                          <w:szCs w:val="18"/>
                          <w:lang w:val="es-ES"/>
                        </w:rPr>
                        <w:t>.</w:t>
                      </w:r>
                    </w:p>
                  </w:txbxContent>
                </v:textbox>
              </v:shape>
            </w:pict>
          </mc:Fallback>
        </mc:AlternateContent>
      </w:r>
    </w:p>
    <w:p w:rsidR="00A50FCF" w:rsidRPr="00D32942" w:rsidRDefault="00A50FCF" w:rsidP="00040C3A">
      <w:pPr>
        <w:tabs>
          <w:tab w:val="center" w:pos="5400"/>
        </w:tabs>
        <w:suppressAutoHyphens/>
        <w:jc w:val="center"/>
        <w:rPr>
          <w:rFonts w:ascii="Cambria" w:hAnsi="Cambria"/>
          <w:sz w:val="20"/>
          <w:szCs w:val="20"/>
          <w:lang w:val="es-ES_tradnl"/>
        </w:rPr>
      </w:pPr>
    </w:p>
    <w:p w:rsidR="0090270B" w:rsidRPr="00D32942" w:rsidRDefault="003E4073" w:rsidP="005516A1">
      <w:pPr>
        <w:tabs>
          <w:tab w:val="center" w:pos="5400"/>
        </w:tabs>
        <w:suppressAutoHyphens/>
        <w:jc w:val="center"/>
        <w:rPr>
          <w:rFonts w:ascii="Cambria" w:hAnsi="Cambria"/>
          <w:b/>
          <w:sz w:val="20"/>
          <w:szCs w:val="20"/>
          <w:lang w:val="es-ES_tradnl"/>
        </w:rPr>
      </w:pPr>
      <w:r>
        <w:rPr>
          <w:noProof/>
          <w:bdr w:val="none" w:sz="0" w:space="0" w:color="auto"/>
        </w:rPr>
        <mc:AlternateContent>
          <mc:Choice Requires="wps">
            <w:drawing>
              <wp:anchor distT="0" distB="0" distL="114300" distR="114300" simplePos="0" relativeHeight="251659776"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D72DC6" w:rsidRPr="00D32942" w:rsidRDefault="003E4073" w:rsidP="00F02AD1">
                            <w:pPr>
                              <w:rPr>
                                <w:color w:val="FFFFFF"/>
                              </w:rPr>
                            </w:pPr>
                            <w:r>
                              <w:rPr>
                                <w:noProof/>
                                <w:color w:val="FFFFFF"/>
                              </w:rPr>
                              <w:drawing>
                                <wp:inline distT="0" distB="0" distL="0" distR="0">
                                  <wp:extent cx="1343660" cy="381635"/>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381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D72DC6" w:rsidRPr="00D32942" w:rsidRDefault="003E4073" w:rsidP="00F02AD1">
                      <w:pPr>
                        <w:rPr>
                          <w:color w:val="FFFFFF"/>
                        </w:rPr>
                      </w:pPr>
                      <w:r>
                        <w:rPr>
                          <w:noProof/>
                          <w:color w:val="FFFFFF"/>
                        </w:rPr>
                        <w:drawing>
                          <wp:inline distT="0" distB="0" distL="0" distR="0">
                            <wp:extent cx="1343660" cy="381635"/>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660" cy="381635"/>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D306D1" w:rsidRPr="00D32942" w:rsidRDefault="00D306D1" w:rsidP="00D306D1">
                            <w:pPr>
                              <w:jc w:val="center"/>
                              <w:rPr>
                                <w:rFonts w:ascii="Calibri" w:hAnsi="Calibri"/>
                                <w:b/>
                                <w:color w:val="FFFFFF"/>
                              </w:rPr>
                            </w:pPr>
                            <w:r w:rsidRPr="00D3294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D306D1" w:rsidRPr="00D32942" w:rsidRDefault="00D306D1" w:rsidP="00D306D1">
                      <w:pPr>
                        <w:jc w:val="center"/>
                        <w:rPr>
                          <w:rFonts w:ascii="Calibri" w:hAnsi="Calibri"/>
                          <w:b/>
                          <w:color w:val="FFFFFF"/>
                        </w:rPr>
                      </w:pPr>
                      <w:r w:rsidRPr="00D32942">
                        <w:rPr>
                          <w:rFonts w:ascii="Calibri" w:hAnsi="Calibri"/>
                          <w:b/>
                          <w:color w:val="FFFFFF"/>
                          <w:lang w:val="pt-BR"/>
                        </w:rPr>
                        <w:t>www.cidh.org</w:t>
                      </w:r>
                    </w:p>
                  </w:txbxContent>
                </v:textbox>
              </v:shape>
            </w:pict>
          </mc:Fallback>
        </mc:AlternateContent>
      </w:r>
    </w:p>
    <w:p w:rsidR="0070697F" w:rsidRPr="00D32942" w:rsidRDefault="0070697F" w:rsidP="005516A1">
      <w:pPr>
        <w:tabs>
          <w:tab w:val="center" w:pos="5400"/>
        </w:tabs>
        <w:suppressAutoHyphens/>
        <w:jc w:val="center"/>
        <w:rPr>
          <w:rFonts w:ascii="Cambria" w:hAnsi="Cambria"/>
          <w:b/>
          <w:sz w:val="20"/>
          <w:szCs w:val="20"/>
          <w:lang w:val="es-ES_tradnl"/>
        </w:rPr>
        <w:sectPr w:rsidR="0070697F" w:rsidRPr="00D32942"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F3017C" w:rsidRDefault="00307D41" w:rsidP="00722C9F">
      <w:pPr>
        <w:tabs>
          <w:tab w:val="center" w:pos="5400"/>
        </w:tabs>
        <w:suppressAutoHyphens/>
        <w:spacing w:line="276" w:lineRule="auto"/>
        <w:jc w:val="center"/>
        <w:rPr>
          <w:rFonts w:ascii="Cambria" w:hAnsi="Cambria"/>
          <w:b/>
          <w:sz w:val="18"/>
          <w:szCs w:val="18"/>
          <w:lang w:val="es-ES_tradnl"/>
        </w:rPr>
      </w:pPr>
      <w:r w:rsidRPr="00F3017C">
        <w:rPr>
          <w:rFonts w:ascii="Cambria" w:hAnsi="Cambria"/>
          <w:b/>
          <w:sz w:val="18"/>
          <w:szCs w:val="18"/>
          <w:lang w:val="es-ES_tradnl"/>
        </w:rPr>
        <w:lastRenderedPageBreak/>
        <w:t xml:space="preserve">INFORME No. </w:t>
      </w:r>
      <w:r w:rsidR="00822756">
        <w:rPr>
          <w:rFonts w:ascii="Cambria" w:hAnsi="Cambria"/>
          <w:b/>
          <w:sz w:val="18"/>
          <w:szCs w:val="18"/>
          <w:lang w:val="es-ES_tradnl"/>
        </w:rPr>
        <w:t>32</w:t>
      </w:r>
      <w:r w:rsidRPr="00F3017C">
        <w:rPr>
          <w:rFonts w:ascii="Cambria" w:hAnsi="Cambria"/>
          <w:b/>
          <w:sz w:val="18"/>
          <w:szCs w:val="18"/>
          <w:lang w:val="es-ES_tradnl"/>
        </w:rPr>
        <w:t>/15</w:t>
      </w:r>
    </w:p>
    <w:p w:rsidR="00722C9F" w:rsidRPr="00F3017C" w:rsidRDefault="00065E15" w:rsidP="00722C9F">
      <w:pPr>
        <w:tabs>
          <w:tab w:val="center" w:pos="5400"/>
        </w:tabs>
        <w:suppressAutoHyphens/>
        <w:spacing w:line="276" w:lineRule="auto"/>
        <w:jc w:val="center"/>
        <w:rPr>
          <w:rFonts w:ascii="Cambria" w:hAnsi="Cambria"/>
          <w:b/>
          <w:sz w:val="18"/>
          <w:szCs w:val="18"/>
          <w:lang w:val="es-ES_tradnl"/>
        </w:rPr>
      </w:pPr>
      <w:r w:rsidRPr="00F3017C">
        <w:rPr>
          <w:rFonts w:ascii="Cambria" w:hAnsi="Cambria"/>
          <w:b/>
          <w:sz w:val="18"/>
          <w:szCs w:val="18"/>
          <w:lang w:val="es-ES_tradnl"/>
        </w:rPr>
        <w:t>CASO 11.100</w:t>
      </w:r>
    </w:p>
    <w:p w:rsidR="00722C9F" w:rsidRPr="00F3017C" w:rsidRDefault="002327E5" w:rsidP="00722C9F">
      <w:pPr>
        <w:tabs>
          <w:tab w:val="center" w:pos="5400"/>
        </w:tabs>
        <w:suppressAutoHyphens/>
        <w:spacing w:line="276" w:lineRule="auto"/>
        <w:jc w:val="center"/>
        <w:rPr>
          <w:rFonts w:ascii="Cambria" w:hAnsi="Cambria"/>
          <w:sz w:val="18"/>
          <w:szCs w:val="18"/>
          <w:lang w:val="es-ES_tradnl"/>
        </w:rPr>
      </w:pPr>
      <w:r w:rsidRPr="00F3017C">
        <w:rPr>
          <w:rFonts w:ascii="Cambria" w:hAnsi="Cambria"/>
          <w:sz w:val="18"/>
          <w:szCs w:val="18"/>
          <w:lang w:val="es-ES_tradnl"/>
        </w:rPr>
        <w:t>INFORME DE ADMISIBILIDAD</w:t>
      </w:r>
    </w:p>
    <w:p w:rsidR="002327E5" w:rsidRPr="00F3017C" w:rsidRDefault="004F3AD2" w:rsidP="002327E5">
      <w:pPr>
        <w:tabs>
          <w:tab w:val="center" w:pos="5400"/>
        </w:tabs>
        <w:suppressAutoHyphens/>
        <w:spacing w:line="276" w:lineRule="auto"/>
        <w:jc w:val="center"/>
        <w:rPr>
          <w:rFonts w:ascii="Cambria" w:hAnsi="Cambria"/>
          <w:sz w:val="18"/>
          <w:szCs w:val="18"/>
          <w:lang w:val="es-ES_tradnl"/>
        </w:rPr>
      </w:pPr>
      <w:r w:rsidRPr="00F3017C">
        <w:rPr>
          <w:rFonts w:ascii="Cambria" w:hAnsi="Cambria"/>
          <w:sz w:val="18"/>
          <w:szCs w:val="18"/>
          <w:lang w:val="es-ES_tradnl"/>
        </w:rPr>
        <w:t>FAMILIA AYURE QUINTERO</w:t>
      </w:r>
    </w:p>
    <w:p w:rsidR="0070697F" w:rsidRPr="00F3017C" w:rsidRDefault="002327E5" w:rsidP="00722C9F">
      <w:pPr>
        <w:tabs>
          <w:tab w:val="center" w:pos="5400"/>
        </w:tabs>
        <w:suppressAutoHyphens/>
        <w:spacing w:line="276" w:lineRule="auto"/>
        <w:jc w:val="center"/>
        <w:rPr>
          <w:rFonts w:ascii="Cambria" w:hAnsi="Cambria"/>
          <w:sz w:val="18"/>
          <w:szCs w:val="18"/>
          <w:lang w:val="es-ES_tradnl"/>
        </w:rPr>
      </w:pPr>
      <w:r w:rsidRPr="00F3017C">
        <w:rPr>
          <w:rFonts w:ascii="Cambria" w:hAnsi="Cambria"/>
          <w:sz w:val="18"/>
          <w:szCs w:val="18"/>
          <w:lang w:val="es-ES_tradnl"/>
        </w:rPr>
        <w:t>COLOMBIA</w:t>
      </w:r>
    </w:p>
    <w:p w:rsidR="0070697F" w:rsidRPr="00F3017C" w:rsidRDefault="003B423D" w:rsidP="00CA29B0">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22 DE JULIO DE 2015</w:t>
      </w:r>
    </w:p>
    <w:p w:rsidR="008D768D" w:rsidRDefault="008D768D" w:rsidP="001D65EF">
      <w:pPr>
        <w:tabs>
          <w:tab w:val="center" w:pos="5400"/>
        </w:tabs>
        <w:suppressAutoHyphens/>
        <w:spacing w:line="276" w:lineRule="auto"/>
        <w:rPr>
          <w:rFonts w:ascii="Cambria" w:hAnsi="Cambria"/>
          <w:sz w:val="20"/>
          <w:szCs w:val="20"/>
          <w:lang w:val="es-ES_tradnl"/>
        </w:rPr>
      </w:pPr>
    </w:p>
    <w:p w:rsidR="00F3017C" w:rsidRPr="00D32942" w:rsidRDefault="00F3017C" w:rsidP="001D65EF">
      <w:pPr>
        <w:tabs>
          <w:tab w:val="center" w:pos="5400"/>
        </w:tabs>
        <w:suppressAutoHyphens/>
        <w:spacing w:line="276" w:lineRule="auto"/>
        <w:rPr>
          <w:rFonts w:ascii="Cambria" w:hAnsi="Cambria"/>
          <w:sz w:val="20"/>
          <w:szCs w:val="20"/>
          <w:lang w:val="es-ES_tradnl"/>
        </w:rPr>
      </w:pPr>
    </w:p>
    <w:p w:rsidR="00CA29B0" w:rsidRPr="00D32942" w:rsidRDefault="00CA29B0" w:rsidP="00F001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rPr>
          <w:rFonts w:ascii="Cambria" w:eastAsia="MS Mincho" w:hAnsi="Cambria"/>
          <w:b/>
          <w:bCs/>
          <w:kern w:val="36"/>
          <w:sz w:val="20"/>
          <w:szCs w:val="20"/>
          <w:lang w:val="es-AR"/>
        </w:rPr>
      </w:pPr>
      <w:r w:rsidRPr="00D32942">
        <w:rPr>
          <w:rFonts w:ascii="Cambria" w:eastAsia="MS Mincho" w:hAnsi="Cambria"/>
          <w:b/>
          <w:bCs/>
          <w:kern w:val="36"/>
          <w:sz w:val="20"/>
          <w:szCs w:val="20"/>
          <w:lang w:val="es-AR"/>
        </w:rPr>
        <w:t>RESUMEN</w:t>
      </w:r>
    </w:p>
    <w:p w:rsidR="001C6045" w:rsidRPr="00D32942" w:rsidRDefault="001C6045" w:rsidP="00D81F0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p>
    <w:p w:rsidR="00223533" w:rsidRPr="005B0434" w:rsidRDefault="00AD6D4C" w:rsidP="00D81F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ES_tradnl"/>
        </w:rPr>
      </w:pPr>
      <w:r w:rsidRPr="005B0434">
        <w:rPr>
          <w:rFonts w:ascii="Cambria" w:eastAsia="MS Mincho" w:hAnsi="Cambria"/>
          <w:sz w:val="20"/>
          <w:szCs w:val="20"/>
          <w:bdr w:val="none" w:sz="0" w:space="0" w:color="auto"/>
          <w:lang w:val="es-ES_tradnl"/>
        </w:rPr>
        <w:t>El 5 de enero</w:t>
      </w:r>
      <w:r w:rsidR="00FB094F" w:rsidRPr="005B0434">
        <w:rPr>
          <w:rFonts w:ascii="Cambria" w:eastAsia="MS Mincho" w:hAnsi="Cambria"/>
          <w:sz w:val="20"/>
          <w:szCs w:val="20"/>
          <w:bdr w:val="none" w:sz="0" w:space="0" w:color="auto"/>
          <w:lang w:val="es-ES_tradnl"/>
        </w:rPr>
        <w:t xml:space="preserve"> de 1993</w:t>
      </w:r>
      <w:r w:rsidR="00CA29B0" w:rsidRPr="005B0434">
        <w:rPr>
          <w:rFonts w:ascii="Cambria" w:eastAsia="MS Mincho" w:hAnsi="Cambria"/>
          <w:sz w:val="20"/>
          <w:szCs w:val="20"/>
          <w:bdr w:val="none" w:sz="0" w:space="0" w:color="auto"/>
          <w:lang w:val="es-ES_tradnl"/>
        </w:rPr>
        <w:t xml:space="preserve"> la Comisión Interamericana de Derechos Humanos (en adelante "la Comisión" o “la CIDH”) recibió</w:t>
      </w:r>
      <w:r w:rsidRPr="005B0434">
        <w:rPr>
          <w:rFonts w:ascii="Cambria" w:eastAsia="MS Mincho" w:hAnsi="Cambria"/>
          <w:sz w:val="20"/>
          <w:szCs w:val="20"/>
          <w:bdr w:val="none" w:sz="0" w:space="0" w:color="auto"/>
          <w:lang w:val="es-ES_tradnl"/>
        </w:rPr>
        <w:t xml:space="preserve"> una petición presentada por la Comisión Colombiana de Juristas y la Corporación Colectivo de Abogados “José Alvear Restrepo” (en adelante los “peticionarios</w:t>
      </w:r>
      <w:r w:rsidR="00E430ED" w:rsidRPr="005B0434">
        <w:rPr>
          <w:rFonts w:ascii="Cambria" w:eastAsia="MS Mincho" w:hAnsi="Cambria"/>
          <w:sz w:val="20"/>
          <w:szCs w:val="20"/>
          <w:bdr w:val="none" w:sz="0" w:space="0" w:color="auto"/>
          <w:lang w:val="es-ES_tradnl"/>
        </w:rPr>
        <w:t xml:space="preserve">”) </w:t>
      </w:r>
      <w:r w:rsidR="000E2219" w:rsidRPr="005B0434">
        <w:rPr>
          <w:rFonts w:ascii="Cambria" w:eastAsia="MS Mincho" w:hAnsi="Cambria"/>
          <w:sz w:val="20"/>
          <w:szCs w:val="20"/>
          <w:bdr w:val="none" w:sz="0" w:space="0" w:color="auto"/>
          <w:lang w:val="es-ES_tradnl"/>
        </w:rPr>
        <w:t>en representación de Martha Cecilia Ayure Quintero, Sandra Milena Ayure Quintero y Matilde Quintero (en adelante</w:t>
      </w:r>
      <w:r w:rsidR="009C197F" w:rsidRPr="005B0434">
        <w:rPr>
          <w:rFonts w:ascii="Cambria" w:eastAsia="MS Mincho" w:hAnsi="Cambria"/>
          <w:sz w:val="20"/>
          <w:szCs w:val="20"/>
          <w:bdr w:val="none" w:sz="0" w:space="0" w:color="auto"/>
          <w:lang w:val="es-ES_tradnl"/>
        </w:rPr>
        <w:t xml:space="preserve"> también</w:t>
      </w:r>
      <w:r w:rsidR="004F03AF">
        <w:rPr>
          <w:rFonts w:ascii="Cambria" w:eastAsia="MS Mincho" w:hAnsi="Cambria"/>
          <w:sz w:val="20"/>
          <w:szCs w:val="20"/>
          <w:bdr w:val="none" w:sz="0" w:space="0" w:color="auto"/>
          <w:lang w:val="es-ES_tradnl"/>
        </w:rPr>
        <w:t xml:space="preserve"> </w:t>
      </w:r>
      <w:r w:rsidR="000E2219" w:rsidRPr="005B0434">
        <w:rPr>
          <w:rFonts w:ascii="Cambria" w:eastAsia="MS Mincho" w:hAnsi="Cambria"/>
          <w:sz w:val="20"/>
          <w:szCs w:val="20"/>
          <w:bdr w:val="none" w:sz="0" w:space="0" w:color="auto"/>
          <w:lang w:val="es-ES_tradnl"/>
        </w:rPr>
        <w:t xml:space="preserve">las </w:t>
      </w:r>
      <w:r w:rsidR="004F03AF">
        <w:rPr>
          <w:rFonts w:ascii="Cambria" w:eastAsia="MS Mincho" w:hAnsi="Cambria"/>
          <w:sz w:val="20"/>
          <w:szCs w:val="20"/>
          <w:bdr w:val="none" w:sz="0" w:space="0" w:color="auto"/>
          <w:lang w:val="es-ES_tradnl"/>
        </w:rPr>
        <w:t>“</w:t>
      </w:r>
      <w:r w:rsidR="000E2219" w:rsidRPr="005B0434">
        <w:rPr>
          <w:rFonts w:ascii="Cambria" w:eastAsia="MS Mincho" w:hAnsi="Cambria"/>
          <w:sz w:val="20"/>
          <w:szCs w:val="20"/>
          <w:bdr w:val="none" w:sz="0" w:space="0" w:color="auto"/>
          <w:lang w:val="es-ES_tradnl"/>
        </w:rPr>
        <w:t xml:space="preserve">presuntas víctimas”), </w:t>
      </w:r>
      <w:r w:rsidR="00E430ED" w:rsidRPr="005B0434">
        <w:rPr>
          <w:rFonts w:ascii="Cambria" w:eastAsia="MS Mincho" w:hAnsi="Cambria"/>
          <w:sz w:val="20"/>
          <w:szCs w:val="20"/>
          <w:bdr w:val="none" w:sz="0" w:space="0" w:color="auto"/>
          <w:lang w:val="es-ES_tradnl"/>
        </w:rPr>
        <w:t xml:space="preserve">en la cual se alega </w:t>
      </w:r>
      <w:r w:rsidR="00223533" w:rsidRPr="005B0434">
        <w:rPr>
          <w:rFonts w:ascii="Cambria" w:eastAsia="MS Mincho" w:hAnsi="Cambria"/>
          <w:sz w:val="20"/>
          <w:szCs w:val="20"/>
          <w:bdr w:val="none" w:sz="0" w:space="0" w:color="auto"/>
          <w:lang w:val="es-ES_tradnl"/>
        </w:rPr>
        <w:t>la violación por parte de la República de Colombia (en adelante “el Estado” o “Colombia”) de los artículos 4 (derecho a la vida), 5 (derecho a la integridad personal), 8 (garantías judiciales), 11 (</w:t>
      </w:r>
      <w:r w:rsidR="005B0434" w:rsidRPr="005B0434">
        <w:rPr>
          <w:rFonts w:ascii="Cambria" w:eastAsia="MS Mincho" w:hAnsi="Cambria"/>
          <w:sz w:val="20"/>
          <w:szCs w:val="20"/>
          <w:bdr w:val="none" w:sz="0" w:space="0" w:color="auto"/>
          <w:lang w:val="es-ES_tradnl"/>
        </w:rPr>
        <w:t>protección de</w:t>
      </w:r>
      <w:r w:rsidR="00223533" w:rsidRPr="005B0434">
        <w:rPr>
          <w:rFonts w:ascii="Cambria" w:eastAsia="MS Mincho" w:hAnsi="Cambria"/>
          <w:sz w:val="20"/>
          <w:szCs w:val="20"/>
          <w:bdr w:val="none" w:sz="0" w:space="0" w:color="auto"/>
          <w:lang w:val="es-ES_tradnl"/>
        </w:rPr>
        <w:t xml:space="preserve"> la honr</w:t>
      </w:r>
      <w:r w:rsidR="005B0434" w:rsidRPr="005B0434">
        <w:rPr>
          <w:rFonts w:ascii="Cambria" w:eastAsia="MS Mincho" w:hAnsi="Cambria"/>
          <w:sz w:val="20"/>
          <w:szCs w:val="20"/>
          <w:bdr w:val="none" w:sz="0" w:space="0" w:color="auto"/>
          <w:lang w:val="es-ES_tradnl"/>
        </w:rPr>
        <w:t>a y</w:t>
      </w:r>
      <w:r w:rsidR="00223533" w:rsidRPr="005B0434">
        <w:rPr>
          <w:rFonts w:ascii="Cambria" w:eastAsia="MS Mincho" w:hAnsi="Cambria"/>
          <w:sz w:val="20"/>
          <w:szCs w:val="20"/>
          <w:bdr w:val="none" w:sz="0" w:space="0" w:color="auto"/>
          <w:lang w:val="es-ES_tradnl"/>
        </w:rPr>
        <w:t xml:space="preserve"> dignidad), 17 (protección </w:t>
      </w:r>
      <w:r w:rsidR="006D7837" w:rsidRPr="005B0434">
        <w:rPr>
          <w:rFonts w:ascii="Cambria" w:eastAsia="MS Mincho" w:hAnsi="Cambria"/>
          <w:sz w:val="20"/>
          <w:szCs w:val="20"/>
          <w:bdr w:val="none" w:sz="0" w:space="0" w:color="auto"/>
          <w:lang w:val="es-ES_tradnl"/>
        </w:rPr>
        <w:t xml:space="preserve">a </w:t>
      </w:r>
      <w:r w:rsidR="00223533" w:rsidRPr="005B0434">
        <w:rPr>
          <w:rFonts w:ascii="Cambria" w:eastAsia="MS Mincho" w:hAnsi="Cambria"/>
          <w:sz w:val="20"/>
          <w:szCs w:val="20"/>
          <w:bdr w:val="none" w:sz="0" w:space="0" w:color="auto"/>
          <w:lang w:val="es-ES_tradnl"/>
        </w:rPr>
        <w:t>la familia), 19 (derechos del niño), 21 (derecho a la propiedad privada), 22 (libertad de circulación y residencia) y 25 (protección judicial) de la Convención Americana sobre Derechos Humanos (en adelante la “Convención Americana”</w:t>
      </w:r>
      <w:r w:rsidR="006D7837" w:rsidRPr="005B0434">
        <w:rPr>
          <w:rFonts w:ascii="Cambria" w:eastAsia="MS Mincho" w:hAnsi="Cambria"/>
          <w:sz w:val="20"/>
          <w:szCs w:val="20"/>
          <w:bdr w:val="none" w:sz="0" w:space="0" w:color="auto"/>
          <w:lang w:val="es-ES_tradnl"/>
        </w:rPr>
        <w:t xml:space="preserve"> o la “Convención”</w:t>
      </w:r>
      <w:r w:rsidR="00223533" w:rsidRPr="005B0434">
        <w:rPr>
          <w:rFonts w:ascii="Cambria" w:eastAsia="MS Mincho" w:hAnsi="Cambria"/>
          <w:sz w:val="20"/>
          <w:szCs w:val="20"/>
          <w:bdr w:val="none" w:sz="0" w:space="0" w:color="auto"/>
          <w:lang w:val="es-ES_tradnl"/>
        </w:rPr>
        <w:t xml:space="preserve">), en relación con las obligaciones derivadas del artículo 1.1 de dicho tratado.  </w:t>
      </w:r>
    </w:p>
    <w:p w:rsidR="00F53208" w:rsidRPr="00D32942" w:rsidRDefault="00F53208" w:rsidP="00D81F0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MX"/>
        </w:rPr>
      </w:pPr>
    </w:p>
    <w:p w:rsidR="00E430ED" w:rsidRPr="00D32942" w:rsidRDefault="00F53208" w:rsidP="00D81F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D32942">
        <w:rPr>
          <w:rFonts w:ascii="Cambria" w:hAnsi="Cambria"/>
          <w:sz w:val="20"/>
          <w:szCs w:val="20"/>
          <w:lang w:val="es-MX"/>
        </w:rPr>
        <w:t xml:space="preserve">Los peticionarios sostienen que el 13 de mayo de 1992 miembros </w:t>
      </w:r>
      <w:r w:rsidR="00617981" w:rsidRPr="00D32942">
        <w:rPr>
          <w:rFonts w:ascii="Cambria" w:hAnsi="Cambria"/>
          <w:sz w:val="20"/>
          <w:szCs w:val="20"/>
          <w:lang w:val="es-CO"/>
        </w:rPr>
        <w:t>de</w:t>
      </w:r>
      <w:r w:rsidR="006F1429" w:rsidRPr="00D32942">
        <w:rPr>
          <w:rFonts w:ascii="Cambria" w:hAnsi="Cambria"/>
          <w:sz w:val="20"/>
          <w:szCs w:val="20"/>
          <w:lang w:val="es-CO"/>
        </w:rPr>
        <w:t xml:space="preserve"> la Brigada Móvil N. 1 del</w:t>
      </w:r>
      <w:r w:rsidR="0048528A" w:rsidRPr="00D32942">
        <w:rPr>
          <w:rFonts w:ascii="Cambria" w:hAnsi="Cambria"/>
          <w:sz w:val="20"/>
          <w:szCs w:val="20"/>
          <w:lang w:val="es-CO"/>
        </w:rPr>
        <w:t xml:space="preserve"> Ejército Nacional</w:t>
      </w:r>
      <w:r w:rsidR="00617981" w:rsidRPr="00D32942">
        <w:rPr>
          <w:rFonts w:ascii="Cambria" w:hAnsi="Cambria"/>
          <w:sz w:val="20"/>
          <w:szCs w:val="20"/>
          <w:lang w:val="es-CO"/>
        </w:rPr>
        <w:t xml:space="preserve"> </w:t>
      </w:r>
      <w:r w:rsidR="0048528A" w:rsidRPr="00D32942">
        <w:rPr>
          <w:rFonts w:ascii="Cambria" w:hAnsi="Cambria"/>
          <w:sz w:val="20"/>
          <w:szCs w:val="20"/>
          <w:lang w:val="es-CO"/>
        </w:rPr>
        <w:t xml:space="preserve">de </w:t>
      </w:r>
      <w:r w:rsidR="00E430ED" w:rsidRPr="00D32942">
        <w:rPr>
          <w:rFonts w:ascii="Cambria" w:hAnsi="Cambria"/>
          <w:sz w:val="20"/>
          <w:szCs w:val="20"/>
          <w:lang w:val="es-ES_tradnl"/>
        </w:rPr>
        <w:t xml:space="preserve">la República de Colombia </w:t>
      </w:r>
      <w:r w:rsidR="00B105A1" w:rsidRPr="00D32942">
        <w:rPr>
          <w:rFonts w:ascii="Cambria" w:hAnsi="Cambria"/>
          <w:sz w:val="20"/>
          <w:szCs w:val="20"/>
          <w:lang w:val="es-ES_tradnl"/>
        </w:rPr>
        <w:t>irrumpieron en la vivienda de la familia Ayure Quintero, ubicada en la vereda Santander Alto, jurisdicción del municipio de La Uribe (Meta) y procedieron a dis</w:t>
      </w:r>
      <w:r w:rsidR="00737202" w:rsidRPr="00D32942">
        <w:rPr>
          <w:rFonts w:ascii="Cambria" w:hAnsi="Cambria"/>
          <w:sz w:val="20"/>
          <w:szCs w:val="20"/>
          <w:lang w:val="es-ES_tradnl"/>
        </w:rPr>
        <w:t>parar indiscriminadamente</w:t>
      </w:r>
      <w:r w:rsidR="00B105A1" w:rsidRPr="00D32942">
        <w:rPr>
          <w:rFonts w:ascii="Cambria" w:hAnsi="Cambria"/>
          <w:sz w:val="20"/>
          <w:szCs w:val="20"/>
          <w:lang w:val="es-ES_tradnl"/>
        </w:rPr>
        <w:t xml:space="preserve"> contra todas las personas que allí se encontraban, dando muerte a la menor de edad </w:t>
      </w:r>
      <w:r w:rsidR="00681B6B" w:rsidRPr="00D32942">
        <w:rPr>
          <w:rFonts w:ascii="Cambria" w:hAnsi="Cambria"/>
          <w:sz w:val="20"/>
          <w:szCs w:val="20"/>
          <w:lang w:val="es-ES_tradnl"/>
        </w:rPr>
        <w:t>Martha Cecilia Ayure Quintero</w:t>
      </w:r>
      <w:r w:rsidR="003D11F1" w:rsidRPr="00D32942">
        <w:rPr>
          <w:rFonts w:ascii="Cambria" w:hAnsi="Cambria"/>
          <w:sz w:val="20"/>
          <w:szCs w:val="20"/>
          <w:lang w:val="es-ES_tradnl"/>
        </w:rPr>
        <w:t xml:space="preserve"> </w:t>
      </w:r>
      <w:r w:rsidR="00681B6B" w:rsidRPr="00D32942">
        <w:rPr>
          <w:rFonts w:ascii="Cambria" w:hAnsi="Cambria"/>
          <w:sz w:val="20"/>
          <w:szCs w:val="20"/>
          <w:lang w:val="es-ES_tradnl"/>
        </w:rPr>
        <w:t>e</w:t>
      </w:r>
      <w:r w:rsidR="00BA1533" w:rsidRPr="00D32942">
        <w:rPr>
          <w:rFonts w:ascii="Cambria" w:hAnsi="Cambria"/>
          <w:sz w:val="20"/>
          <w:szCs w:val="20"/>
          <w:lang w:val="es-ES_tradnl"/>
        </w:rPr>
        <w:t xml:space="preserve"> hirie</w:t>
      </w:r>
      <w:r w:rsidR="00681B6B" w:rsidRPr="00D32942">
        <w:rPr>
          <w:rFonts w:ascii="Cambria" w:hAnsi="Cambria"/>
          <w:sz w:val="20"/>
          <w:szCs w:val="20"/>
          <w:lang w:val="es-ES_tradnl"/>
        </w:rPr>
        <w:t>ndo</w:t>
      </w:r>
      <w:r w:rsidR="00BA1533" w:rsidRPr="00D32942">
        <w:rPr>
          <w:rFonts w:ascii="Cambria" w:hAnsi="Cambria"/>
          <w:sz w:val="20"/>
          <w:szCs w:val="20"/>
          <w:lang w:val="es-ES_tradnl"/>
        </w:rPr>
        <w:t xml:space="preserve"> </w:t>
      </w:r>
      <w:r w:rsidR="00B105A1" w:rsidRPr="00D32942">
        <w:rPr>
          <w:rFonts w:ascii="Cambria" w:hAnsi="Cambria"/>
          <w:sz w:val="20"/>
          <w:szCs w:val="20"/>
          <w:lang w:val="es-ES_tradnl"/>
        </w:rPr>
        <w:t>de gravedad</w:t>
      </w:r>
      <w:r w:rsidR="003D11F1" w:rsidRPr="00D32942">
        <w:rPr>
          <w:rFonts w:ascii="Cambria" w:hAnsi="Cambria"/>
          <w:sz w:val="20"/>
          <w:szCs w:val="20"/>
          <w:lang w:val="es-ES_tradnl"/>
        </w:rPr>
        <w:t xml:space="preserve"> </w:t>
      </w:r>
      <w:r w:rsidR="00BA1533" w:rsidRPr="00D32942">
        <w:rPr>
          <w:rFonts w:ascii="Cambria" w:hAnsi="Cambria"/>
          <w:sz w:val="20"/>
          <w:szCs w:val="20"/>
          <w:lang w:val="es-ES_tradnl"/>
        </w:rPr>
        <w:t xml:space="preserve">a </w:t>
      </w:r>
      <w:r w:rsidR="003D11F1" w:rsidRPr="00D32942">
        <w:rPr>
          <w:rFonts w:ascii="Cambria" w:hAnsi="Cambria"/>
          <w:sz w:val="20"/>
          <w:szCs w:val="20"/>
          <w:lang w:val="es-ES_tradnl"/>
        </w:rPr>
        <w:t>la niña Sandra Milena Ayure Quintero y a su madre Matilde Quintero.</w:t>
      </w:r>
    </w:p>
    <w:p w:rsidR="00681B6B" w:rsidRPr="00D32942" w:rsidRDefault="00681B6B" w:rsidP="00D81F08">
      <w:pPr>
        <w:pStyle w:val="ListParagraph"/>
        <w:ind w:left="0" w:firstLine="720"/>
        <w:jc w:val="both"/>
        <w:rPr>
          <w:sz w:val="20"/>
          <w:szCs w:val="20"/>
          <w:lang w:val="es-MX"/>
        </w:rPr>
      </w:pPr>
    </w:p>
    <w:p w:rsidR="00AE3884" w:rsidRPr="00D32942" w:rsidRDefault="00A87C71" w:rsidP="00D81F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D32942">
        <w:rPr>
          <w:rFonts w:ascii="Cambria" w:hAnsi="Cambria"/>
          <w:sz w:val="20"/>
          <w:szCs w:val="20"/>
          <w:lang w:val="es-ES"/>
        </w:rPr>
        <w:t xml:space="preserve">El Estado sostiene que </w:t>
      </w:r>
      <w:r w:rsidR="0024328F" w:rsidRPr="00D32942">
        <w:rPr>
          <w:rFonts w:ascii="Cambria" w:hAnsi="Cambria"/>
          <w:sz w:val="20"/>
          <w:szCs w:val="20"/>
          <w:lang w:val="es-ES"/>
        </w:rPr>
        <w:t>los hechos objeto de la petición fueron conocidos por autoridades competentes y sustanciados de acuerdo a las garantías del debido proceso.</w:t>
      </w:r>
      <w:r w:rsidR="0077696E" w:rsidRPr="00D32942">
        <w:rPr>
          <w:rFonts w:ascii="Cambria" w:hAnsi="Cambria"/>
          <w:sz w:val="20"/>
          <w:szCs w:val="20"/>
          <w:lang w:val="es-ES"/>
        </w:rPr>
        <w:t xml:space="preserve"> Al respecto, el Estado sostiene que la CIDH </w:t>
      </w:r>
      <w:r w:rsidRPr="00D32942">
        <w:rPr>
          <w:rFonts w:ascii="Cambria" w:hAnsi="Cambria"/>
          <w:sz w:val="20"/>
          <w:szCs w:val="20"/>
          <w:lang w:val="es-ES"/>
        </w:rPr>
        <w:t>no puede actuar como un tribunal de alzada y</w:t>
      </w:r>
      <w:r w:rsidR="00C14FBB" w:rsidRPr="00D32942">
        <w:rPr>
          <w:rFonts w:ascii="Cambria" w:hAnsi="Cambria"/>
          <w:sz w:val="20"/>
          <w:szCs w:val="20"/>
          <w:lang w:val="es-ES"/>
        </w:rPr>
        <w:t xml:space="preserve"> atendiendo al principio de </w:t>
      </w:r>
      <w:r w:rsidR="00737202" w:rsidRPr="00D32942">
        <w:rPr>
          <w:rFonts w:ascii="Cambria" w:hAnsi="Cambria"/>
          <w:sz w:val="20"/>
          <w:szCs w:val="20"/>
          <w:lang w:val="es-ES"/>
        </w:rPr>
        <w:t>subsidiariedad</w:t>
      </w:r>
      <w:r w:rsidR="00C14FBB" w:rsidRPr="00D32942">
        <w:rPr>
          <w:rFonts w:ascii="Cambria" w:hAnsi="Cambria"/>
          <w:sz w:val="20"/>
          <w:szCs w:val="20"/>
          <w:lang w:val="es-ES"/>
        </w:rPr>
        <w:t xml:space="preserve">, </w:t>
      </w:r>
      <w:r w:rsidRPr="00D32942">
        <w:rPr>
          <w:rFonts w:ascii="Cambria" w:hAnsi="Cambria"/>
          <w:sz w:val="20"/>
          <w:szCs w:val="20"/>
          <w:lang w:val="es-ES"/>
        </w:rPr>
        <w:t xml:space="preserve">no podría conocer de decisiones judiciales apegadas a derecho </w:t>
      </w:r>
      <w:r w:rsidR="00C14FBB" w:rsidRPr="00D32942">
        <w:rPr>
          <w:rFonts w:ascii="Cambria" w:hAnsi="Cambria"/>
          <w:sz w:val="20"/>
          <w:szCs w:val="20"/>
          <w:lang w:val="es-ES"/>
        </w:rPr>
        <w:t>simplemente porque</w:t>
      </w:r>
      <w:r w:rsidRPr="00D32942">
        <w:rPr>
          <w:rFonts w:ascii="Cambria" w:hAnsi="Cambria"/>
          <w:sz w:val="20"/>
          <w:szCs w:val="20"/>
          <w:lang w:val="es-ES"/>
        </w:rPr>
        <w:t xml:space="preserve"> no le resultaron favorables a la</w:t>
      </w:r>
      <w:r w:rsidR="009C197F" w:rsidRPr="00D32942">
        <w:rPr>
          <w:rFonts w:ascii="Cambria" w:hAnsi="Cambria"/>
          <w:sz w:val="20"/>
          <w:szCs w:val="20"/>
          <w:lang w:val="es-ES"/>
        </w:rPr>
        <w:t>s</w:t>
      </w:r>
      <w:r w:rsidRPr="00D32942">
        <w:rPr>
          <w:rFonts w:ascii="Cambria" w:hAnsi="Cambria"/>
          <w:sz w:val="20"/>
          <w:szCs w:val="20"/>
          <w:lang w:val="es-ES"/>
        </w:rPr>
        <w:t xml:space="preserve"> presunta</w:t>
      </w:r>
      <w:r w:rsidR="009C197F" w:rsidRPr="00D32942">
        <w:rPr>
          <w:rFonts w:ascii="Cambria" w:hAnsi="Cambria"/>
          <w:sz w:val="20"/>
          <w:szCs w:val="20"/>
          <w:lang w:val="es-ES"/>
        </w:rPr>
        <w:t>s</w:t>
      </w:r>
      <w:r w:rsidRPr="00D32942">
        <w:rPr>
          <w:rFonts w:ascii="Cambria" w:hAnsi="Cambria"/>
          <w:sz w:val="20"/>
          <w:szCs w:val="20"/>
          <w:lang w:val="es-ES"/>
        </w:rPr>
        <w:t xml:space="preserve"> víctima</w:t>
      </w:r>
      <w:r w:rsidR="009C197F" w:rsidRPr="00D32942">
        <w:rPr>
          <w:rFonts w:ascii="Cambria" w:hAnsi="Cambria"/>
          <w:sz w:val="20"/>
          <w:szCs w:val="20"/>
          <w:lang w:val="es-ES"/>
        </w:rPr>
        <w:t>s</w:t>
      </w:r>
      <w:r w:rsidRPr="00D32942">
        <w:rPr>
          <w:rFonts w:ascii="Cambria" w:hAnsi="Cambria"/>
          <w:sz w:val="20"/>
          <w:szCs w:val="20"/>
          <w:lang w:val="es-ES"/>
        </w:rPr>
        <w:t>.</w:t>
      </w:r>
    </w:p>
    <w:p w:rsidR="00AE3884" w:rsidRPr="00D32942" w:rsidRDefault="00AE3884" w:rsidP="000258E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p>
    <w:p w:rsidR="00D27277" w:rsidRPr="00D32942" w:rsidRDefault="00D27277" w:rsidP="000258E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D32942">
        <w:rPr>
          <w:rFonts w:ascii="Cambria" w:hAnsi="Cambria"/>
          <w:sz w:val="20"/>
          <w:szCs w:val="20"/>
          <w:lang w:val="es-ES"/>
        </w:rPr>
        <w:t>Sin prejuzgar sobre el fondo de la denuncia, t</w:t>
      </w:r>
      <w:r w:rsidR="00A87C71" w:rsidRPr="00D32942">
        <w:rPr>
          <w:rFonts w:ascii="Cambria" w:hAnsi="Cambria"/>
          <w:sz w:val="20"/>
          <w:szCs w:val="20"/>
          <w:lang w:val="es-ES"/>
        </w:rPr>
        <w:t>ras analizar las posiciones de las partes y el cumplimiento de los requisitos previstos en los artículos 46 y 47 de la Convención Americana, la Comisión decidió declarar la petición admisible a efectos de examinar la presunt</w:t>
      </w:r>
      <w:r w:rsidR="005D78C2" w:rsidRPr="00D32942">
        <w:rPr>
          <w:rFonts w:ascii="Cambria" w:hAnsi="Cambria"/>
          <w:sz w:val="20"/>
          <w:szCs w:val="20"/>
          <w:lang w:val="es-ES"/>
        </w:rPr>
        <w:t>a v</w:t>
      </w:r>
      <w:r w:rsidR="00321386" w:rsidRPr="00D32942">
        <w:rPr>
          <w:rFonts w:ascii="Cambria" w:hAnsi="Cambria"/>
          <w:sz w:val="20"/>
          <w:szCs w:val="20"/>
          <w:lang w:val="es-ES"/>
        </w:rPr>
        <w:t xml:space="preserve">iolación de los artículos </w:t>
      </w:r>
      <w:r w:rsidRPr="00D32942">
        <w:rPr>
          <w:rFonts w:ascii="Cambria" w:hAnsi="Cambria"/>
          <w:sz w:val="20"/>
          <w:szCs w:val="20"/>
          <w:lang w:val="es-ES_tradnl"/>
        </w:rPr>
        <w:t>4 (derecho a la vida), 5 (</w:t>
      </w:r>
      <w:r w:rsidRPr="00D32942">
        <w:rPr>
          <w:rFonts w:ascii="Cambria" w:hAnsi="Cambria"/>
          <w:bCs/>
          <w:sz w:val="20"/>
          <w:szCs w:val="20"/>
          <w:lang w:val="es-ES"/>
        </w:rPr>
        <w:t>derecho a la integridad personal</w:t>
      </w:r>
      <w:r w:rsidRPr="00D32942">
        <w:rPr>
          <w:rFonts w:ascii="Cambria" w:hAnsi="Cambria"/>
          <w:sz w:val="20"/>
          <w:szCs w:val="20"/>
          <w:lang w:val="es-ES_tradnl"/>
        </w:rPr>
        <w:t>),</w:t>
      </w:r>
      <w:r w:rsidR="00366CEC" w:rsidRPr="00D32942">
        <w:rPr>
          <w:rFonts w:ascii="Cambria" w:hAnsi="Cambria"/>
          <w:sz w:val="20"/>
          <w:szCs w:val="20"/>
          <w:lang w:val="es-ES_tradnl"/>
        </w:rPr>
        <w:t xml:space="preserve"> 7</w:t>
      </w:r>
      <w:r w:rsidR="006D7837" w:rsidRPr="00D32942">
        <w:rPr>
          <w:rFonts w:ascii="Cambria" w:hAnsi="Cambria"/>
          <w:sz w:val="20"/>
          <w:szCs w:val="20"/>
          <w:lang w:val="es-ES_tradnl"/>
        </w:rPr>
        <w:t xml:space="preserve"> </w:t>
      </w:r>
      <w:r w:rsidR="00366CEC" w:rsidRPr="00D32942">
        <w:rPr>
          <w:rFonts w:ascii="Cambria" w:hAnsi="Cambria"/>
          <w:sz w:val="20"/>
          <w:szCs w:val="20"/>
          <w:lang w:val="es-ES_tradnl"/>
        </w:rPr>
        <w:t>(libertad personal),</w:t>
      </w:r>
      <w:r w:rsidRPr="00D32942">
        <w:rPr>
          <w:rFonts w:ascii="Cambria" w:hAnsi="Cambria"/>
          <w:color w:val="FF0000"/>
          <w:sz w:val="20"/>
          <w:szCs w:val="20"/>
          <w:lang w:val="es-ES_tradnl"/>
        </w:rPr>
        <w:t xml:space="preserve"> </w:t>
      </w:r>
      <w:r w:rsidRPr="00D32942">
        <w:rPr>
          <w:rFonts w:ascii="Cambria" w:hAnsi="Cambria"/>
          <w:sz w:val="20"/>
          <w:szCs w:val="20"/>
          <w:lang w:val="es-ES_tradnl"/>
        </w:rPr>
        <w:t>8 (</w:t>
      </w:r>
      <w:r w:rsidRPr="00D32942">
        <w:rPr>
          <w:rFonts w:ascii="Cambria" w:hAnsi="Cambria"/>
          <w:bCs/>
          <w:sz w:val="20"/>
          <w:szCs w:val="20"/>
          <w:lang w:val="es-ES"/>
        </w:rPr>
        <w:t>garantías judiciales</w:t>
      </w:r>
      <w:r w:rsidR="00366CEC" w:rsidRPr="00D32942">
        <w:rPr>
          <w:rFonts w:ascii="Cambria" w:hAnsi="Cambria"/>
          <w:sz w:val="20"/>
          <w:szCs w:val="20"/>
          <w:lang w:val="es-ES_tradnl"/>
        </w:rPr>
        <w:t>)</w:t>
      </w:r>
      <w:r w:rsidRPr="00D32942">
        <w:rPr>
          <w:rFonts w:ascii="Cambria" w:hAnsi="Cambria"/>
          <w:sz w:val="20"/>
          <w:szCs w:val="20"/>
          <w:lang w:val="es-ES_tradnl"/>
        </w:rPr>
        <w:t>, 19 (</w:t>
      </w:r>
      <w:r w:rsidRPr="00D32942">
        <w:rPr>
          <w:rFonts w:ascii="Cambria" w:hAnsi="Cambria"/>
          <w:bCs/>
          <w:sz w:val="20"/>
          <w:szCs w:val="20"/>
          <w:lang w:val="es-ES"/>
        </w:rPr>
        <w:t>derechos del niño</w:t>
      </w:r>
      <w:r w:rsidRPr="00D32942">
        <w:rPr>
          <w:rFonts w:ascii="Cambria" w:hAnsi="Cambria"/>
          <w:sz w:val="20"/>
          <w:szCs w:val="20"/>
          <w:lang w:val="es-ES_tradnl"/>
        </w:rPr>
        <w:t>), 21 (</w:t>
      </w:r>
      <w:r w:rsidR="00366CEC" w:rsidRPr="00D32942">
        <w:rPr>
          <w:rFonts w:ascii="Cambria" w:hAnsi="Cambria"/>
          <w:sz w:val="20"/>
          <w:szCs w:val="20"/>
          <w:lang w:val="es-ES_tradnl"/>
        </w:rPr>
        <w:t>derecho a la propiedad privada)</w:t>
      </w:r>
      <w:r w:rsidRPr="00D32942">
        <w:rPr>
          <w:rFonts w:ascii="Cambria" w:hAnsi="Cambria"/>
          <w:sz w:val="20"/>
          <w:szCs w:val="20"/>
          <w:lang w:val="es-ES_tradnl"/>
        </w:rPr>
        <w:t xml:space="preserve"> y 25 (</w:t>
      </w:r>
      <w:r w:rsidRPr="00D32942">
        <w:rPr>
          <w:rFonts w:ascii="Cambria" w:hAnsi="Cambria"/>
          <w:bCs/>
          <w:sz w:val="20"/>
          <w:szCs w:val="20"/>
          <w:lang w:val="es-ES"/>
        </w:rPr>
        <w:t>protección judicial</w:t>
      </w:r>
      <w:r w:rsidRPr="00D32942">
        <w:rPr>
          <w:rFonts w:ascii="Cambria" w:hAnsi="Cambria"/>
          <w:sz w:val="20"/>
          <w:szCs w:val="20"/>
          <w:lang w:val="es-ES_tradnl"/>
        </w:rPr>
        <w:t xml:space="preserve">) de la Convención Americana </w:t>
      </w:r>
      <w:r w:rsidR="006D7837" w:rsidRPr="00D32942">
        <w:rPr>
          <w:rFonts w:ascii="Cambria" w:hAnsi="Cambria"/>
          <w:sz w:val="20"/>
          <w:szCs w:val="20"/>
          <w:lang w:val="es-ES_tradnl"/>
        </w:rPr>
        <w:t>en concordancia con su</w:t>
      </w:r>
      <w:r w:rsidR="002B2B80" w:rsidRPr="00D32942">
        <w:rPr>
          <w:rFonts w:ascii="Cambria" w:hAnsi="Cambria"/>
          <w:sz w:val="20"/>
          <w:szCs w:val="20"/>
          <w:lang w:val="es-ES_tradnl"/>
        </w:rPr>
        <w:t>s</w:t>
      </w:r>
      <w:r w:rsidRPr="00D32942">
        <w:rPr>
          <w:rFonts w:ascii="Cambria" w:hAnsi="Cambria"/>
          <w:sz w:val="20"/>
          <w:szCs w:val="20"/>
          <w:lang w:val="es-ES_tradnl"/>
        </w:rPr>
        <w:t xml:space="preserve"> artículo</w:t>
      </w:r>
      <w:r w:rsidR="002B2B80" w:rsidRPr="00D32942">
        <w:rPr>
          <w:rFonts w:ascii="Cambria" w:hAnsi="Cambria"/>
          <w:sz w:val="20"/>
          <w:szCs w:val="20"/>
          <w:lang w:val="es-ES_tradnl"/>
        </w:rPr>
        <w:t>s</w:t>
      </w:r>
      <w:r w:rsidRPr="00D32942">
        <w:rPr>
          <w:rFonts w:ascii="Cambria" w:hAnsi="Cambria"/>
          <w:sz w:val="20"/>
          <w:szCs w:val="20"/>
          <w:lang w:val="es-ES_tradnl"/>
        </w:rPr>
        <w:t xml:space="preserve"> 1.1</w:t>
      </w:r>
      <w:r w:rsidR="002B2B80" w:rsidRPr="00D32942">
        <w:rPr>
          <w:rFonts w:ascii="Cambria" w:hAnsi="Cambria"/>
          <w:sz w:val="20"/>
          <w:szCs w:val="20"/>
          <w:lang w:val="es-ES_tradnl"/>
        </w:rPr>
        <w:t xml:space="preserve"> y 2</w:t>
      </w:r>
      <w:r w:rsidRPr="00D32942">
        <w:rPr>
          <w:rFonts w:ascii="Cambria" w:hAnsi="Cambria"/>
          <w:sz w:val="20"/>
          <w:szCs w:val="20"/>
          <w:lang w:val="es-ES_tradnl"/>
        </w:rPr>
        <w:t xml:space="preserve">. </w:t>
      </w:r>
      <w:r w:rsidR="009D7366" w:rsidRPr="00D32942">
        <w:rPr>
          <w:rFonts w:ascii="Cambria" w:hAnsi="Cambria"/>
          <w:sz w:val="20"/>
          <w:szCs w:val="20"/>
          <w:lang w:val="es-ES_tradnl"/>
        </w:rPr>
        <w:t xml:space="preserve">Por otro lado, declara inadmisible la petición </w:t>
      </w:r>
      <w:r w:rsidR="006B07D7" w:rsidRPr="00D32942">
        <w:rPr>
          <w:rFonts w:ascii="Cambria" w:hAnsi="Cambria"/>
          <w:sz w:val="20"/>
          <w:szCs w:val="20"/>
          <w:lang w:val="es-ES_tradnl"/>
        </w:rPr>
        <w:t>relativa</w:t>
      </w:r>
      <w:r w:rsidR="009D7366" w:rsidRPr="00D32942">
        <w:rPr>
          <w:rFonts w:ascii="Cambria" w:hAnsi="Cambria"/>
          <w:sz w:val="20"/>
          <w:szCs w:val="20"/>
          <w:lang w:val="es-ES_tradnl"/>
        </w:rPr>
        <w:t xml:space="preserve"> </w:t>
      </w:r>
      <w:r w:rsidR="000C7567" w:rsidRPr="00D32942">
        <w:rPr>
          <w:rFonts w:ascii="Cambria" w:hAnsi="Cambria"/>
          <w:sz w:val="20"/>
          <w:szCs w:val="20"/>
          <w:lang w:val="es-ES_tradnl"/>
        </w:rPr>
        <w:t xml:space="preserve">a </w:t>
      </w:r>
      <w:r w:rsidR="009D7366" w:rsidRPr="00D32942">
        <w:rPr>
          <w:rFonts w:ascii="Cambria" w:hAnsi="Cambria"/>
          <w:sz w:val="20"/>
          <w:szCs w:val="20"/>
          <w:lang w:val="es-ES_tradnl"/>
        </w:rPr>
        <w:t>los artículos 11 (protección de la honra y la dignidad)</w:t>
      </w:r>
      <w:r w:rsidR="002B2B80" w:rsidRPr="00D32942">
        <w:rPr>
          <w:rFonts w:ascii="Cambria" w:hAnsi="Cambria"/>
          <w:sz w:val="20"/>
          <w:szCs w:val="20"/>
          <w:lang w:val="es-ES_tradnl"/>
        </w:rPr>
        <w:t>, 17 (protección a la familia)</w:t>
      </w:r>
      <w:r w:rsidR="009D7366" w:rsidRPr="00D32942">
        <w:rPr>
          <w:rFonts w:ascii="Cambria" w:hAnsi="Cambria"/>
          <w:sz w:val="20"/>
          <w:szCs w:val="20"/>
          <w:lang w:val="es-ES_tradnl"/>
        </w:rPr>
        <w:t xml:space="preserve"> y 22 (circulación y residencia) de la Convención. </w:t>
      </w:r>
      <w:r w:rsidRPr="00D32942">
        <w:rPr>
          <w:rFonts w:ascii="Cambria" w:hAnsi="Cambria"/>
          <w:sz w:val="20"/>
          <w:szCs w:val="20"/>
          <w:lang w:val="es-ES"/>
        </w:rPr>
        <w:t xml:space="preserve">Asimismo </w:t>
      </w:r>
      <w:r w:rsidR="009D7366" w:rsidRPr="00D32942">
        <w:rPr>
          <w:rFonts w:ascii="Cambria" w:hAnsi="Cambria"/>
          <w:sz w:val="20"/>
          <w:szCs w:val="20"/>
          <w:lang w:val="es-ES"/>
        </w:rPr>
        <w:t xml:space="preserve">la CIDH </w:t>
      </w:r>
      <w:r w:rsidRPr="00D32942">
        <w:rPr>
          <w:rFonts w:ascii="Cambria" w:hAnsi="Cambria"/>
          <w:sz w:val="20"/>
          <w:szCs w:val="20"/>
          <w:lang w:val="es-ES"/>
        </w:rPr>
        <w:t>decidió notificar el informe a las partes y ordenar su publicación en el informe anual para la Asamblea General de la OEA.</w:t>
      </w:r>
      <w:r w:rsidRPr="00D32942" w:rsidDel="00D27277">
        <w:rPr>
          <w:rFonts w:ascii="Cambria" w:hAnsi="Cambria"/>
          <w:sz w:val="20"/>
          <w:szCs w:val="20"/>
          <w:lang w:val="es-MX"/>
        </w:rPr>
        <w:t xml:space="preserve"> </w:t>
      </w:r>
    </w:p>
    <w:p w:rsidR="00D27277" w:rsidRPr="00D32942" w:rsidRDefault="00D27277" w:rsidP="000258E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lang w:val="es-ES_tradnl"/>
        </w:rPr>
      </w:pPr>
    </w:p>
    <w:p w:rsidR="00CA29B0" w:rsidRPr="00D32942" w:rsidRDefault="00CA29B0" w:rsidP="00F001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b/>
          <w:sz w:val="20"/>
          <w:szCs w:val="20"/>
          <w:lang w:val="es-ES"/>
        </w:rPr>
      </w:pPr>
      <w:r w:rsidRPr="00D32942">
        <w:rPr>
          <w:rFonts w:ascii="Cambria" w:hAnsi="Cambria"/>
          <w:b/>
          <w:sz w:val="20"/>
          <w:szCs w:val="20"/>
          <w:lang w:val="es-ES"/>
        </w:rPr>
        <w:t>TRÁMITE ANTE LA COMISIÓN</w:t>
      </w:r>
    </w:p>
    <w:p w:rsidR="000D5BFB" w:rsidRPr="00D32942" w:rsidRDefault="000D5BFB" w:rsidP="00F0018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b/>
          <w:sz w:val="20"/>
          <w:szCs w:val="20"/>
          <w:lang w:val="es-ES"/>
        </w:rPr>
      </w:pPr>
    </w:p>
    <w:p w:rsidR="00402290" w:rsidRPr="00D32942" w:rsidRDefault="00FB094F" w:rsidP="00402290">
      <w:pPr>
        <w:pStyle w:val="ListParagraph"/>
        <w:numPr>
          <w:ilvl w:val="0"/>
          <w:numId w:val="56"/>
        </w:numPr>
        <w:tabs>
          <w:tab w:val="center" w:pos="4680"/>
          <w:tab w:val="left" w:pos="6511"/>
        </w:tabs>
        <w:ind w:left="0" w:firstLine="720"/>
        <w:jc w:val="both"/>
        <w:rPr>
          <w:rFonts w:eastAsia="Arial Unicode MS" w:cs="Times New Roman"/>
          <w:color w:val="auto"/>
          <w:sz w:val="20"/>
          <w:szCs w:val="20"/>
          <w:lang w:val="es-ES" w:eastAsia="en-US"/>
        </w:rPr>
      </w:pPr>
      <w:r w:rsidRPr="00D32942">
        <w:rPr>
          <w:rFonts w:eastAsia="Arial Unicode MS" w:cs="Times New Roman"/>
          <w:color w:val="auto"/>
          <w:sz w:val="20"/>
          <w:szCs w:val="20"/>
          <w:lang w:val="es-ES" w:eastAsia="en-US"/>
        </w:rPr>
        <w:t>El 5 de enero</w:t>
      </w:r>
      <w:r w:rsidR="002C25B4" w:rsidRPr="00D32942">
        <w:rPr>
          <w:rFonts w:eastAsia="Arial Unicode MS" w:cs="Times New Roman"/>
          <w:color w:val="auto"/>
          <w:sz w:val="20"/>
          <w:szCs w:val="20"/>
          <w:lang w:val="es-ES" w:eastAsia="en-US"/>
        </w:rPr>
        <w:t xml:space="preserve"> de</w:t>
      </w:r>
      <w:r w:rsidRPr="00D32942">
        <w:rPr>
          <w:rFonts w:eastAsia="Arial Unicode MS" w:cs="Times New Roman"/>
          <w:color w:val="auto"/>
          <w:sz w:val="20"/>
          <w:szCs w:val="20"/>
          <w:lang w:val="es-ES" w:eastAsia="en-US"/>
        </w:rPr>
        <w:t xml:space="preserve"> 1993</w:t>
      </w:r>
      <w:r w:rsidR="00150728" w:rsidRPr="00D32942">
        <w:rPr>
          <w:rFonts w:eastAsia="Arial Unicode MS" w:cs="Times New Roman"/>
          <w:color w:val="auto"/>
          <w:sz w:val="20"/>
          <w:szCs w:val="20"/>
          <w:lang w:val="es-ES" w:eastAsia="en-US"/>
        </w:rPr>
        <w:t xml:space="preserve"> la Comisión </w:t>
      </w:r>
      <w:r w:rsidR="00356F7E" w:rsidRPr="00D32942">
        <w:rPr>
          <w:rFonts w:eastAsia="Arial Unicode MS" w:cs="Times New Roman"/>
          <w:color w:val="auto"/>
          <w:sz w:val="20"/>
          <w:szCs w:val="20"/>
          <w:lang w:val="es-ES" w:eastAsia="en-US"/>
        </w:rPr>
        <w:t>recibió la petición y la registró bajo el número</w:t>
      </w:r>
      <w:r w:rsidR="00877BDA" w:rsidRPr="00D32942">
        <w:rPr>
          <w:rFonts w:eastAsia="Arial Unicode MS" w:cs="Times New Roman"/>
          <w:color w:val="auto"/>
          <w:sz w:val="20"/>
          <w:szCs w:val="20"/>
          <w:lang w:val="es-ES" w:eastAsia="en-US"/>
        </w:rPr>
        <w:t xml:space="preserve"> </w:t>
      </w:r>
      <w:r w:rsidR="00356F7E" w:rsidRPr="00D32942">
        <w:rPr>
          <w:rFonts w:eastAsia="Arial Unicode MS" w:cs="Times New Roman"/>
          <w:color w:val="auto"/>
          <w:sz w:val="20"/>
          <w:szCs w:val="20"/>
          <w:lang w:val="es-ES" w:eastAsia="en-US"/>
        </w:rPr>
        <w:t xml:space="preserve">11.100. </w:t>
      </w:r>
      <w:r w:rsidR="00096F06" w:rsidRPr="00D32942">
        <w:rPr>
          <w:rFonts w:eastAsia="Arial Unicode MS" w:cs="Times New Roman"/>
          <w:color w:val="auto"/>
          <w:sz w:val="20"/>
          <w:szCs w:val="20"/>
          <w:lang w:val="es-ES" w:eastAsia="en-US"/>
        </w:rPr>
        <w:t>El</w:t>
      </w:r>
      <w:r w:rsidR="00356F7E" w:rsidRPr="00D32942">
        <w:rPr>
          <w:rFonts w:eastAsia="Arial Unicode MS" w:cs="Times New Roman"/>
          <w:color w:val="auto"/>
          <w:sz w:val="20"/>
          <w:szCs w:val="20"/>
          <w:lang w:val="es-ES" w:eastAsia="en-US"/>
        </w:rPr>
        <w:t xml:space="preserve"> 21 de enero </w:t>
      </w:r>
      <w:r w:rsidR="002C25B4" w:rsidRPr="00D32942">
        <w:rPr>
          <w:rFonts w:eastAsia="Arial Unicode MS" w:cs="Times New Roman"/>
          <w:color w:val="auto"/>
          <w:sz w:val="20"/>
          <w:szCs w:val="20"/>
          <w:lang w:val="es-ES" w:eastAsia="en-US"/>
        </w:rPr>
        <w:t xml:space="preserve">de </w:t>
      </w:r>
      <w:r w:rsidR="00883D56" w:rsidRPr="00D32942">
        <w:rPr>
          <w:rFonts w:eastAsia="Arial Unicode MS" w:cs="Times New Roman"/>
          <w:color w:val="auto"/>
          <w:sz w:val="20"/>
          <w:szCs w:val="20"/>
          <w:lang w:val="es-ES" w:eastAsia="en-US"/>
        </w:rPr>
        <w:t>1993</w:t>
      </w:r>
      <w:r w:rsidR="00356F7E" w:rsidRPr="00D32942">
        <w:rPr>
          <w:rFonts w:eastAsia="Arial Unicode MS" w:cs="Times New Roman"/>
          <w:color w:val="auto"/>
          <w:sz w:val="20"/>
          <w:szCs w:val="20"/>
          <w:lang w:val="es-ES" w:eastAsia="en-US"/>
        </w:rPr>
        <w:t xml:space="preserve"> </w:t>
      </w:r>
      <w:r w:rsidR="00096F06" w:rsidRPr="00D32942">
        <w:rPr>
          <w:rFonts w:eastAsia="Arial Unicode MS" w:cs="Times New Roman"/>
          <w:color w:val="auto"/>
          <w:sz w:val="20"/>
          <w:szCs w:val="20"/>
          <w:lang w:val="es-ES" w:eastAsia="en-US"/>
        </w:rPr>
        <w:t>se</w:t>
      </w:r>
      <w:r w:rsidR="00356F7E" w:rsidRPr="00D32942">
        <w:rPr>
          <w:rFonts w:eastAsia="Arial Unicode MS" w:cs="Times New Roman"/>
          <w:color w:val="auto"/>
          <w:sz w:val="20"/>
          <w:szCs w:val="20"/>
          <w:lang w:val="es-ES" w:eastAsia="en-US"/>
        </w:rPr>
        <w:t xml:space="preserve"> tra</w:t>
      </w:r>
      <w:r w:rsidR="004F03AF" w:rsidRPr="00D32942">
        <w:rPr>
          <w:rFonts w:eastAsia="Arial Unicode MS" w:cs="Times New Roman"/>
          <w:color w:val="auto"/>
          <w:sz w:val="20"/>
          <w:szCs w:val="20"/>
          <w:lang w:val="es-ES" w:eastAsia="en-US"/>
        </w:rPr>
        <w:t>sladaron</w:t>
      </w:r>
      <w:r w:rsidR="00356F7E" w:rsidRPr="00D32942">
        <w:rPr>
          <w:rFonts w:eastAsia="Arial Unicode MS" w:cs="Times New Roman"/>
          <w:color w:val="auto"/>
          <w:sz w:val="20"/>
          <w:szCs w:val="20"/>
          <w:lang w:val="es-ES" w:eastAsia="en-US"/>
        </w:rPr>
        <w:t xml:space="preserve"> al Estado las partes pertinentes de la petición</w:t>
      </w:r>
      <w:r w:rsidR="00096F06" w:rsidRPr="00D32942">
        <w:rPr>
          <w:rFonts w:eastAsia="Arial Unicode MS" w:cs="Times New Roman"/>
          <w:color w:val="auto"/>
          <w:sz w:val="20"/>
          <w:szCs w:val="20"/>
          <w:lang w:val="es-ES" w:eastAsia="en-US"/>
        </w:rPr>
        <w:t xml:space="preserve">, </w:t>
      </w:r>
      <w:r w:rsidR="004F03AF" w:rsidRPr="00D32942">
        <w:rPr>
          <w:rFonts w:eastAsia="Arial Unicode MS" w:cs="Times New Roman"/>
          <w:color w:val="auto"/>
          <w:sz w:val="20"/>
          <w:szCs w:val="20"/>
          <w:lang w:val="es-ES" w:eastAsia="en-US"/>
        </w:rPr>
        <w:t>para sus observaciones</w:t>
      </w:r>
      <w:r w:rsidR="00096F06" w:rsidRPr="00D32942">
        <w:rPr>
          <w:rFonts w:eastAsia="Arial Unicode MS" w:cs="Times New Roman"/>
          <w:color w:val="auto"/>
          <w:sz w:val="20"/>
          <w:szCs w:val="20"/>
          <w:lang w:val="es-ES" w:eastAsia="en-US"/>
        </w:rPr>
        <w:t xml:space="preserve">. </w:t>
      </w:r>
      <w:r w:rsidR="00570DC6" w:rsidRPr="00D32942">
        <w:rPr>
          <w:rFonts w:eastAsia="Arial Unicode MS" w:cs="Times New Roman"/>
          <w:color w:val="auto"/>
          <w:sz w:val="20"/>
          <w:szCs w:val="20"/>
          <w:lang w:val="es-ES" w:eastAsia="en-US"/>
        </w:rPr>
        <w:t>El Estado present</w:t>
      </w:r>
      <w:r w:rsidR="00DF3BF8" w:rsidRPr="00D32942">
        <w:rPr>
          <w:rFonts w:eastAsia="Arial Unicode MS" w:cs="Times New Roman"/>
          <w:color w:val="auto"/>
          <w:sz w:val="20"/>
          <w:szCs w:val="20"/>
          <w:lang w:val="es-ES" w:eastAsia="en-US"/>
        </w:rPr>
        <w:t>ó</w:t>
      </w:r>
      <w:r w:rsidR="00570DC6" w:rsidRPr="00D32942">
        <w:rPr>
          <w:rFonts w:eastAsia="Arial Unicode MS" w:cs="Times New Roman"/>
          <w:color w:val="auto"/>
          <w:sz w:val="20"/>
          <w:szCs w:val="20"/>
          <w:lang w:val="es-ES" w:eastAsia="en-US"/>
        </w:rPr>
        <w:t xml:space="preserve"> sus observaciones  el</w:t>
      </w:r>
      <w:r w:rsidR="00096F06" w:rsidRPr="00D32942">
        <w:rPr>
          <w:rFonts w:eastAsia="Arial Unicode MS" w:cs="Times New Roman"/>
          <w:color w:val="auto"/>
          <w:sz w:val="20"/>
          <w:szCs w:val="20"/>
          <w:lang w:val="es-ES" w:eastAsia="en-US"/>
        </w:rPr>
        <w:t xml:space="preserve"> 2</w:t>
      </w:r>
      <w:r w:rsidR="00F87BAA" w:rsidRPr="00D32942">
        <w:rPr>
          <w:rFonts w:eastAsia="Arial Unicode MS" w:cs="Times New Roman"/>
          <w:color w:val="auto"/>
          <w:sz w:val="20"/>
          <w:szCs w:val="20"/>
          <w:lang w:val="es-ES" w:eastAsia="en-US"/>
        </w:rPr>
        <w:t xml:space="preserve"> d</w:t>
      </w:r>
      <w:r w:rsidR="00096F06" w:rsidRPr="00D32942">
        <w:rPr>
          <w:rFonts w:eastAsia="Arial Unicode MS" w:cs="Times New Roman"/>
          <w:color w:val="auto"/>
          <w:sz w:val="20"/>
          <w:szCs w:val="20"/>
          <w:lang w:val="es-ES" w:eastAsia="en-US"/>
        </w:rPr>
        <w:t xml:space="preserve">e </w:t>
      </w:r>
      <w:r w:rsidR="00F87BAA" w:rsidRPr="00D32942">
        <w:rPr>
          <w:rFonts w:eastAsia="Arial Unicode MS" w:cs="Times New Roman"/>
          <w:color w:val="auto"/>
          <w:sz w:val="20"/>
          <w:szCs w:val="20"/>
          <w:lang w:val="es-ES" w:eastAsia="en-US"/>
        </w:rPr>
        <w:t>marzo</w:t>
      </w:r>
      <w:r w:rsidR="00096F06" w:rsidRPr="00D32942">
        <w:rPr>
          <w:rFonts w:eastAsia="Arial Unicode MS" w:cs="Times New Roman"/>
          <w:color w:val="auto"/>
          <w:sz w:val="20"/>
          <w:szCs w:val="20"/>
          <w:lang w:val="es-ES" w:eastAsia="en-US"/>
        </w:rPr>
        <w:t xml:space="preserve"> </w:t>
      </w:r>
      <w:r w:rsidR="002C25B4" w:rsidRPr="00D32942">
        <w:rPr>
          <w:rFonts w:eastAsia="Arial Unicode MS" w:cs="Times New Roman"/>
          <w:color w:val="auto"/>
          <w:sz w:val="20"/>
          <w:szCs w:val="20"/>
          <w:lang w:val="es-ES" w:eastAsia="en-US"/>
        </w:rPr>
        <w:t xml:space="preserve">de </w:t>
      </w:r>
      <w:r w:rsidR="00096F06" w:rsidRPr="00D32942">
        <w:rPr>
          <w:rFonts w:eastAsia="Arial Unicode MS" w:cs="Times New Roman"/>
          <w:color w:val="auto"/>
          <w:sz w:val="20"/>
          <w:szCs w:val="20"/>
          <w:lang w:val="es-ES" w:eastAsia="en-US"/>
        </w:rPr>
        <w:t>1994,</w:t>
      </w:r>
      <w:r w:rsidR="00570DC6" w:rsidRPr="00D32942">
        <w:rPr>
          <w:rFonts w:eastAsia="Arial Unicode MS" w:cs="Times New Roman"/>
          <w:color w:val="auto"/>
          <w:sz w:val="20"/>
          <w:szCs w:val="20"/>
          <w:lang w:val="es-ES" w:eastAsia="en-US"/>
        </w:rPr>
        <w:t xml:space="preserve"> 10 de agost</w:t>
      </w:r>
      <w:r w:rsidR="00177689" w:rsidRPr="00D32942">
        <w:rPr>
          <w:rFonts w:eastAsia="Arial Unicode MS" w:cs="Times New Roman"/>
          <w:color w:val="auto"/>
          <w:sz w:val="20"/>
          <w:szCs w:val="20"/>
          <w:lang w:val="es-ES" w:eastAsia="en-US"/>
        </w:rPr>
        <w:t>o de 1994, 27 de junio de 1995,</w:t>
      </w:r>
      <w:r w:rsidR="00570DC6" w:rsidRPr="00D32942">
        <w:rPr>
          <w:rFonts w:eastAsia="Arial Unicode MS" w:cs="Times New Roman"/>
          <w:color w:val="auto"/>
          <w:sz w:val="20"/>
          <w:szCs w:val="20"/>
          <w:lang w:val="es-ES" w:eastAsia="en-US"/>
        </w:rPr>
        <w:t xml:space="preserve"> 23 de enero de </w:t>
      </w:r>
      <w:r w:rsidR="00ED2321" w:rsidRPr="00D32942">
        <w:rPr>
          <w:rFonts w:eastAsia="Arial Unicode MS" w:cs="Times New Roman"/>
          <w:color w:val="auto"/>
          <w:sz w:val="20"/>
          <w:szCs w:val="20"/>
          <w:lang w:val="es-ES" w:eastAsia="en-US"/>
        </w:rPr>
        <w:t>1996,</w:t>
      </w:r>
      <w:r w:rsidR="00570DC6" w:rsidRPr="00D32942">
        <w:rPr>
          <w:rFonts w:eastAsia="Arial Unicode MS" w:cs="Times New Roman"/>
          <w:color w:val="auto"/>
          <w:sz w:val="20"/>
          <w:szCs w:val="20"/>
          <w:lang w:val="es-ES" w:eastAsia="en-US"/>
        </w:rPr>
        <w:t xml:space="preserve"> </w:t>
      </w:r>
      <w:r w:rsidR="00ED2321" w:rsidRPr="00D32942">
        <w:rPr>
          <w:sz w:val="20"/>
          <w:szCs w:val="20"/>
          <w:lang w:val="es-ES"/>
        </w:rPr>
        <w:t>10 de octubre de 1996, 20 noviembre de 1996, 29 de enero de 1997, 18 de junio de 1997, 14 de septiembre de 1998 y 16 de noviembre de 2001.</w:t>
      </w:r>
      <w:r w:rsidR="00402290" w:rsidRPr="00D32942">
        <w:rPr>
          <w:sz w:val="20"/>
          <w:szCs w:val="20"/>
          <w:lang w:val="es-ES"/>
        </w:rPr>
        <w:t xml:space="preserve"> </w:t>
      </w:r>
      <w:r w:rsidR="00570DC6" w:rsidRPr="00D32942">
        <w:rPr>
          <w:rFonts w:eastAsia="Arial Unicode MS" w:cs="Times New Roman"/>
          <w:color w:val="auto"/>
          <w:sz w:val="20"/>
          <w:szCs w:val="20"/>
          <w:lang w:val="es-ES" w:eastAsia="en-US"/>
        </w:rPr>
        <w:t>Dichas comunicaciones fueron debidamente t</w:t>
      </w:r>
      <w:r w:rsidR="00402290" w:rsidRPr="00D32942">
        <w:rPr>
          <w:rFonts w:eastAsia="Arial Unicode MS" w:cs="Times New Roman"/>
          <w:color w:val="auto"/>
          <w:sz w:val="20"/>
          <w:szCs w:val="20"/>
          <w:lang w:val="es-ES" w:eastAsia="en-US"/>
        </w:rPr>
        <w:t>rasladadas a los peticionarios.</w:t>
      </w:r>
    </w:p>
    <w:p w:rsidR="00402290" w:rsidRPr="00D32942" w:rsidRDefault="00402290" w:rsidP="00402290">
      <w:pPr>
        <w:tabs>
          <w:tab w:val="center" w:pos="4680"/>
          <w:tab w:val="left" w:pos="6511"/>
        </w:tabs>
        <w:jc w:val="both"/>
        <w:rPr>
          <w:rFonts w:ascii="Cambria" w:hAnsi="Cambria"/>
          <w:sz w:val="20"/>
          <w:szCs w:val="20"/>
          <w:lang w:val="es-ES"/>
        </w:rPr>
      </w:pPr>
    </w:p>
    <w:p w:rsidR="0098110D" w:rsidRPr="00D32942" w:rsidRDefault="00177689" w:rsidP="00402290">
      <w:pPr>
        <w:pStyle w:val="ListParagraph"/>
        <w:numPr>
          <w:ilvl w:val="0"/>
          <w:numId w:val="56"/>
        </w:numPr>
        <w:tabs>
          <w:tab w:val="center" w:pos="4680"/>
          <w:tab w:val="left" w:pos="6511"/>
        </w:tabs>
        <w:ind w:left="0" w:firstLine="720"/>
        <w:jc w:val="both"/>
        <w:rPr>
          <w:rFonts w:eastAsia="Arial Unicode MS" w:cs="Times New Roman"/>
          <w:color w:val="auto"/>
          <w:sz w:val="20"/>
          <w:szCs w:val="20"/>
          <w:lang w:val="es-ES" w:eastAsia="en-US"/>
        </w:rPr>
      </w:pPr>
      <w:r w:rsidRPr="00D32942">
        <w:rPr>
          <w:rFonts w:eastAsia="Arial Unicode MS" w:cs="Times New Roman"/>
          <w:color w:val="auto"/>
          <w:sz w:val="20"/>
          <w:szCs w:val="20"/>
          <w:lang w:val="es-ES" w:eastAsia="en-US"/>
        </w:rPr>
        <w:lastRenderedPageBreak/>
        <w:t>Los peticionarios presentaron</w:t>
      </w:r>
      <w:r w:rsidR="00402290" w:rsidRPr="00D32942">
        <w:rPr>
          <w:rFonts w:eastAsia="Arial Unicode MS" w:cs="Times New Roman"/>
          <w:color w:val="auto"/>
          <w:sz w:val="20"/>
          <w:szCs w:val="20"/>
          <w:lang w:val="es-ES" w:eastAsia="en-US"/>
        </w:rPr>
        <w:t xml:space="preserve"> información </w:t>
      </w:r>
      <w:r w:rsidRPr="00D32942">
        <w:rPr>
          <w:rFonts w:eastAsia="Arial Unicode MS" w:cs="Times New Roman"/>
          <w:color w:val="auto"/>
          <w:sz w:val="20"/>
          <w:szCs w:val="20"/>
          <w:lang w:val="es-ES" w:eastAsia="en-US"/>
        </w:rPr>
        <w:t>actualizada y observaciones</w:t>
      </w:r>
      <w:r w:rsidR="00402290" w:rsidRPr="00D32942">
        <w:rPr>
          <w:rFonts w:eastAsia="Arial Unicode MS" w:cs="Times New Roman"/>
          <w:color w:val="auto"/>
          <w:sz w:val="20"/>
          <w:szCs w:val="20"/>
          <w:lang w:val="es-ES" w:eastAsia="en-US"/>
        </w:rPr>
        <w:t xml:space="preserve"> el </w:t>
      </w:r>
      <w:r w:rsidR="00570DC6" w:rsidRPr="00D32942">
        <w:rPr>
          <w:rFonts w:eastAsia="Arial Unicode MS" w:cs="Times New Roman"/>
          <w:color w:val="auto"/>
          <w:sz w:val="20"/>
          <w:szCs w:val="20"/>
          <w:lang w:val="es-ES" w:eastAsia="en-US"/>
        </w:rPr>
        <w:t>17 de marzo de 1993, 5 de julio de 1994, 9 de febrero de 1995, 14 de septiembr</w:t>
      </w:r>
      <w:r w:rsidR="00E05E10" w:rsidRPr="00D32942">
        <w:rPr>
          <w:rFonts w:eastAsia="Arial Unicode MS" w:cs="Times New Roman"/>
          <w:color w:val="auto"/>
          <w:sz w:val="20"/>
          <w:szCs w:val="20"/>
          <w:lang w:val="es-ES" w:eastAsia="en-US"/>
        </w:rPr>
        <w:t>e de 1995, 15 de abril de 1996,</w:t>
      </w:r>
      <w:r w:rsidR="00570DC6" w:rsidRPr="00D32942">
        <w:rPr>
          <w:rFonts w:eastAsia="Arial Unicode MS" w:cs="Times New Roman"/>
          <w:color w:val="auto"/>
          <w:sz w:val="20"/>
          <w:szCs w:val="20"/>
          <w:lang w:val="es-ES" w:eastAsia="en-US"/>
        </w:rPr>
        <w:t xml:space="preserve"> 8 de octubre de 1996</w:t>
      </w:r>
      <w:r w:rsidR="00B612B2" w:rsidRPr="00D32942">
        <w:rPr>
          <w:rFonts w:eastAsia="Arial Unicode MS" w:cs="Times New Roman"/>
          <w:color w:val="auto"/>
          <w:sz w:val="20"/>
          <w:szCs w:val="20"/>
          <w:lang w:val="es-ES" w:eastAsia="en-US"/>
        </w:rPr>
        <w:t xml:space="preserve"> durante la audiencia celebrada el mismo día (93º período ordinario de sesiones)</w:t>
      </w:r>
      <w:r w:rsidR="00402290" w:rsidRPr="00D32942">
        <w:rPr>
          <w:rFonts w:eastAsia="Arial Unicode MS" w:cs="Times New Roman"/>
          <w:color w:val="auto"/>
          <w:sz w:val="20"/>
          <w:szCs w:val="20"/>
          <w:lang w:val="es-ES" w:eastAsia="en-US"/>
        </w:rPr>
        <w:t xml:space="preserve">, </w:t>
      </w:r>
      <w:r w:rsidR="001E78C7" w:rsidRPr="00D32942">
        <w:rPr>
          <w:rFonts w:eastAsia="Arial Unicode MS" w:cs="Times New Roman"/>
          <w:color w:val="auto"/>
          <w:sz w:val="20"/>
          <w:szCs w:val="20"/>
          <w:lang w:val="es-ES" w:eastAsia="en-US"/>
        </w:rPr>
        <w:t>1</w:t>
      </w:r>
      <w:r w:rsidR="001744F1" w:rsidRPr="00D32942">
        <w:rPr>
          <w:rFonts w:eastAsia="Arial Unicode MS" w:cs="Times New Roman"/>
          <w:color w:val="auto"/>
          <w:sz w:val="20"/>
          <w:szCs w:val="20"/>
          <w:lang w:val="es-ES" w:eastAsia="en-US"/>
        </w:rPr>
        <w:t>2</w:t>
      </w:r>
      <w:r w:rsidR="0098110D" w:rsidRPr="00D32942">
        <w:rPr>
          <w:rFonts w:eastAsia="Arial Unicode MS" w:cs="Times New Roman"/>
          <w:color w:val="auto"/>
          <w:sz w:val="20"/>
          <w:szCs w:val="20"/>
          <w:lang w:val="es-ES" w:eastAsia="en-US"/>
        </w:rPr>
        <w:t xml:space="preserve"> </w:t>
      </w:r>
      <w:r w:rsidR="00A91F89" w:rsidRPr="00D32942">
        <w:rPr>
          <w:rFonts w:eastAsia="Arial Unicode MS" w:cs="Times New Roman"/>
          <w:color w:val="auto"/>
          <w:sz w:val="20"/>
          <w:szCs w:val="20"/>
          <w:lang w:val="es-ES" w:eastAsia="en-US"/>
        </w:rPr>
        <w:t xml:space="preserve">de </w:t>
      </w:r>
      <w:r w:rsidR="0098110D" w:rsidRPr="00D32942">
        <w:rPr>
          <w:rFonts w:eastAsia="Arial Unicode MS" w:cs="Times New Roman"/>
          <w:color w:val="auto"/>
          <w:sz w:val="20"/>
          <w:szCs w:val="20"/>
          <w:lang w:val="es-ES" w:eastAsia="en-US"/>
        </w:rPr>
        <w:t xml:space="preserve">noviembre </w:t>
      </w:r>
      <w:r w:rsidR="002C25B4" w:rsidRPr="00D32942">
        <w:rPr>
          <w:rFonts w:eastAsia="Arial Unicode MS" w:cs="Times New Roman"/>
          <w:color w:val="auto"/>
          <w:sz w:val="20"/>
          <w:szCs w:val="20"/>
          <w:lang w:val="es-ES" w:eastAsia="en-US"/>
        </w:rPr>
        <w:t xml:space="preserve">de </w:t>
      </w:r>
      <w:r w:rsidR="0098110D" w:rsidRPr="00D32942">
        <w:rPr>
          <w:rFonts w:eastAsia="Arial Unicode MS" w:cs="Times New Roman"/>
          <w:color w:val="auto"/>
          <w:sz w:val="20"/>
          <w:szCs w:val="20"/>
          <w:lang w:val="es-ES" w:eastAsia="en-US"/>
        </w:rPr>
        <w:t xml:space="preserve">1996, </w:t>
      </w:r>
      <w:r w:rsidR="00846303" w:rsidRPr="00D32942">
        <w:rPr>
          <w:rFonts w:eastAsia="Arial Unicode MS" w:cs="Times New Roman"/>
          <w:color w:val="auto"/>
          <w:sz w:val="20"/>
          <w:szCs w:val="20"/>
          <w:lang w:val="es-ES" w:eastAsia="en-US"/>
        </w:rPr>
        <w:t>3</w:t>
      </w:r>
      <w:r w:rsidR="001E78C7" w:rsidRPr="00D32942">
        <w:rPr>
          <w:rFonts w:eastAsia="Arial Unicode MS" w:cs="Times New Roman"/>
          <w:color w:val="auto"/>
          <w:sz w:val="20"/>
          <w:szCs w:val="20"/>
          <w:lang w:val="es-ES" w:eastAsia="en-US"/>
        </w:rPr>
        <w:t xml:space="preserve"> de marzo </w:t>
      </w:r>
      <w:r w:rsidR="002C25B4" w:rsidRPr="00D32942">
        <w:rPr>
          <w:rFonts w:eastAsia="Arial Unicode MS" w:cs="Times New Roman"/>
          <w:color w:val="auto"/>
          <w:sz w:val="20"/>
          <w:szCs w:val="20"/>
          <w:lang w:val="es-ES" w:eastAsia="en-US"/>
        </w:rPr>
        <w:t xml:space="preserve">de </w:t>
      </w:r>
      <w:r w:rsidR="001E78C7" w:rsidRPr="00D32942">
        <w:rPr>
          <w:rFonts w:eastAsia="Arial Unicode MS" w:cs="Times New Roman"/>
          <w:color w:val="auto"/>
          <w:sz w:val="20"/>
          <w:szCs w:val="20"/>
          <w:lang w:val="es-ES" w:eastAsia="en-US"/>
        </w:rPr>
        <w:t xml:space="preserve">1997, 13 </w:t>
      </w:r>
      <w:r w:rsidR="00A91F89" w:rsidRPr="00D32942">
        <w:rPr>
          <w:rFonts w:eastAsia="Arial Unicode MS" w:cs="Times New Roman"/>
          <w:color w:val="auto"/>
          <w:sz w:val="20"/>
          <w:szCs w:val="20"/>
          <w:lang w:val="es-ES" w:eastAsia="en-US"/>
        </w:rPr>
        <w:t xml:space="preserve">de </w:t>
      </w:r>
      <w:r w:rsidR="001E78C7" w:rsidRPr="00D32942">
        <w:rPr>
          <w:rFonts w:eastAsia="Arial Unicode MS" w:cs="Times New Roman"/>
          <w:color w:val="auto"/>
          <w:sz w:val="20"/>
          <w:szCs w:val="20"/>
          <w:lang w:val="es-ES" w:eastAsia="en-US"/>
        </w:rPr>
        <w:t xml:space="preserve">agosto </w:t>
      </w:r>
      <w:r w:rsidR="002C25B4" w:rsidRPr="00D32942">
        <w:rPr>
          <w:rFonts w:eastAsia="Arial Unicode MS" w:cs="Times New Roman"/>
          <w:color w:val="auto"/>
          <w:sz w:val="20"/>
          <w:szCs w:val="20"/>
          <w:lang w:val="es-ES" w:eastAsia="en-US"/>
        </w:rPr>
        <w:t xml:space="preserve">de </w:t>
      </w:r>
      <w:r w:rsidR="001E78C7" w:rsidRPr="00D32942">
        <w:rPr>
          <w:rFonts w:eastAsia="Arial Unicode MS" w:cs="Times New Roman"/>
          <w:color w:val="auto"/>
          <w:sz w:val="20"/>
          <w:szCs w:val="20"/>
          <w:lang w:val="es-ES" w:eastAsia="en-US"/>
        </w:rPr>
        <w:t xml:space="preserve">1997, </w:t>
      </w:r>
      <w:r w:rsidR="00282BE0" w:rsidRPr="00D32942">
        <w:rPr>
          <w:rFonts w:eastAsia="Arial Unicode MS" w:cs="Times New Roman"/>
          <w:color w:val="auto"/>
          <w:sz w:val="20"/>
          <w:szCs w:val="20"/>
          <w:lang w:val="es-ES" w:eastAsia="en-US"/>
        </w:rPr>
        <w:t xml:space="preserve">7 de octubre </w:t>
      </w:r>
      <w:r w:rsidR="002C25B4" w:rsidRPr="00D32942">
        <w:rPr>
          <w:rFonts w:eastAsia="Arial Unicode MS" w:cs="Times New Roman"/>
          <w:color w:val="auto"/>
          <w:sz w:val="20"/>
          <w:szCs w:val="20"/>
          <w:lang w:val="es-ES" w:eastAsia="en-US"/>
        </w:rPr>
        <w:t xml:space="preserve">de </w:t>
      </w:r>
      <w:r w:rsidR="00282BE0" w:rsidRPr="00D32942">
        <w:rPr>
          <w:rFonts w:eastAsia="Arial Unicode MS" w:cs="Times New Roman"/>
          <w:color w:val="auto"/>
          <w:sz w:val="20"/>
          <w:szCs w:val="20"/>
          <w:lang w:val="es-ES" w:eastAsia="en-US"/>
        </w:rPr>
        <w:t>1997 durante la audiencia celebrada el mismo día</w:t>
      </w:r>
      <w:r w:rsidR="00B612B2" w:rsidRPr="00D32942">
        <w:rPr>
          <w:rFonts w:eastAsia="Arial Unicode MS" w:cs="Times New Roman"/>
          <w:color w:val="auto"/>
          <w:sz w:val="20"/>
          <w:szCs w:val="20"/>
          <w:lang w:val="es-ES" w:eastAsia="en-US"/>
        </w:rPr>
        <w:t xml:space="preserve"> (97º periodo ordinario de sesiones)</w:t>
      </w:r>
      <w:r w:rsidR="00A91F89" w:rsidRPr="00D32942">
        <w:rPr>
          <w:rFonts w:eastAsia="Arial Unicode MS" w:cs="Times New Roman"/>
          <w:color w:val="auto"/>
          <w:sz w:val="20"/>
          <w:szCs w:val="20"/>
          <w:lang w:val="es-ES" w:eastAsia="en-US"/>
        </w:rPr>
        <w:t xml:space="preserve">, </w:t>
      </w:r>
      <w:r w:rsidR="00D11DC7" w:rsidRPr="00D32942">
        <w:rPr>
          <w:rFonts w:eastAsia="Arial Unicode MS" w:cs="Times New Roman"/>
          <w:color w:val="auto"/>
          <w:sz w:val="20"/>
          <w:szCs w:val="20"/>
          <w:lang w:val="es-ES" w:eastAsia="en-US"/>
        </w:rPr>
        <w:t xml:space="preserve">28 </w:t>
      </w:r>
      <w:r w:rsidR="00A91F89" w:rsidRPr="00D32942">
        <w:rPr>
          <w:rFonts w:eastAsia="Arial Unicode MS" w:cs="Times New Roman"/>
          <w:color w:val="auto"/>
          <w:sz w:val="20"/>
          <w:szCs w:val="20"/>
          <w:lang w:val="es-ES" w:eastAsia="en-US"/>
        </w:rPr>
        <w:t xml:space="preserve">de agosto </w:t>
      </w:r>
      <w:r w:rsidR="002C25B4" w:rsidRPr="00D32942">
        <w:rPr>
          <w:rFonts w:eastAsia="Arial Unicode MS" w:cs="Times New Roman"/>
          <w:color w:val="auto"/>
          <w:sz w:val="20"/>
          <w:szCs w:val="20"/>
          <w:lang w:val="es-ES" w:eastAsia="en-US"/>
        </w:rPr>
        <w:t xml:space="preserve">de </w:t>
      </w:r>
      <w:r w:rsidR="00E05E10" w:rsidRPr="00D32942">
        <w:rPr>
          <w:rFonts w:eastAsia="Arial Unicode MS" w:cs="Times New Roman"/>
          <w:color w:val="auto"/>
          <w:sz w:val="20"/>
          <w:szCs w:val="20"/>
          <w:lang w:val="es-ES" w:eastAsia="en-US"/>
        </w:rPr>
        <w:t>2001 y</w:t>
      </w:r>
      <w:r w:rsidR="00A91F89" w:rsidRPr="00D32942">
        <w:rPr>
          <w:rFonts w:eastAsia="Arial Unicode MS" w:cs="Times New Roman"/>
          <w:color w:val="auto"/>
          <w:sz w:val="20"/>
          <w:szCs w:val="20"/>
          <w:lang w:val="es-ES" w:eastAsia="en-US"/>
        </w:rPr>
        <w:t xml:space="preserve"> </w:t>
      </w:r>
      <w:r w:rsidR="00D83EC6" w:rsidRPr="00D32942">
        <w:rPr>
          <w:rFonts w:eastAsia="Arial Unicode MS" w:cs="Times New Roman"/>
          <w:color w:val="auto"/>
          <w:sz w:val="20"/>
          <w:szCs w:val="20"/>
          <w:lang w:val="es-ES" w:eastAsia="en-US"/>
        </w:rPr>
        <w:t xml:space="preserve">21 marzo </w:t>
      </w:r>
      <w:r w:rsidR="002C25B4" w:rsidRPr="00D32942">
        <w:rPr>
          <w:rFonts w:eastAsia="Arial Unicode MS" w:cs="Times New Roman"/>
          <w:color w:val="auto"/>
          <w:sz w:val="20"/>
          <w:szCs w:val="20"/>
          <w:lang w:val="es-ES" w:eastAsia="en-US"/>
        </w:rPr>
        <w:t xml:space="preserve">de </w:t>
      </w:r>
      <w:r w:rsidR="00D83EC6" w:rsidRPr="00D32942">
        <w:rPr>
          <w:rFonts w:eastAsia="Arial Unicode MS" w:cs="Times New Roman"/>
          <w:color w:val="auto"/>
          <w:sz w:val="20"/>
          <w:szCs w:val="20"/>
          <w:lang w:val="es-ES" w:eastAsia="en-US"/>
        </w:rPr>
        <w:t>2002</w:t>
      </w:r>
      <w:r w:rsidR="00402290" w:rsidRPr="00D32942">
        <w:rPr>
          <w:rFonts w:eastAsia="Arial Unicode MS" w:cs="Times New Roman"/>
          <w:color w:val="auto"/>
          <w:sz w:val="20"/>
          <w:szCs w:val="20"/>
          <w:lang w:val="es-ES" w:eastAsia="en-US"/>
        </w:rPr>
        <w:t>, misma</w:t>
      </w:r>
      <w:r w:rsidR="00E05E10" w:rsidRPr="00D32942">
        <w:rPr>
          <w:rFonts w:eastAsia="Arial Unicode MS" w:cs="Times New Roman"/>
          <w:color w:val="auto"/>
          <w:sz w:val="20"/>
          <w:szCs w:val="20"/>
          <w:lang w:val="es-ES" w:eastAsia="en-US"/>
        </w:rPr>
        <w:t>s</w:t>
      </w:r>
      <w:r w:rsidR="00402290" w:rsidRPr="00D32942">
        <w:rPr>
          <w:rFonts w:eastAsia="Arial Unicode MS" w:cs="Times New Roman"/>
          <w:color w:val="auto"/>
          <w:sz w:val="20"/>
          <w:szCs w:val="20"/>
          <w:lang w:val="es-ES" w:eastAsia="en-US"/>
        </w:rPr>
        <w:t xml:space="preserve"> que fue</w:t>
      </w:r>
      <w:r w:rsidR="00E05E10" w:rsidRPr="00D32942">
        <w:rPr>
          <w:rFonts w:eastAsia="Arial Unicode MS" w:cs="Times New Roman"/>
          <w:color w:val="auto"/>
          <w:sz w:val="20"/>
          <w:szCs w:val="20"/>
          <w:lang w:val="es-ES" w:eastAsia="en-US"/>
        </w:rPr>
        <w:t>ron</w:t>
      </w:r>
      <w:r w:rsidR="00402290" w:rsidRPr="00D32942">
        <w:rPr>
          <w:rFonts w:eastAsia="Arial Unicode MS" w:cs="Times New Roman"/>
          <w:color w:val="auto"/>
          <w:sz w:val="20"/>
          <w:szCs w:val="20"/>
          <w:lang w:val="es-ES" w:eastAsia="en-US"/>
        </w:rPr>
        <w:t xml:space="preserve"> debidamente trasladada</w:t>
      </w:r>
      <w:r w:rsidR="00E05E10" w:rsidRPr="00D32942">
        <w:rPr>
          <w:rFonts w:eastAsia="Arial Unicode MS" w:cs="Times New Roman"/>
          <w:color w:val="auto"/>
          <w:sz w:val="20"/>
          <w:szCs w:val="20"/>
          <w:lang w:val="es-ES" w:eastAsia="en-US"/>
        </w:rPr>
        <w:t>s</w:t>
      </w:r>
      <w:r w:rsidR="00402290" w:rsidRPr="00D32942">
        <w:rPr>
          <w:rFonts w:eastAsia="Arial Unicode MS" w:cs="Times New Roman"/>
          <w:color w:val="auto"/>
          <w:sz w:val="20"/>
          <w:szCs w:val="20"/>
          <w:lang w:val="es-ES" w:eastAsia="en-US"/>
        </w:rPr>
        <w:t xml:space="preserve"> al Estado. Mediante comunicación de</w:t>
      </w:r>
      <w:r w:rsidR="00ED2321" w:rsidRPr="00D32942">
        <w:rPr>
          <w:rFonts w:eastAsia="Arial Unicode MS" w:cs="Times New Roman"/>
          <w:color w:val="auto"/>
          <w:sz w:val="20"/>
          <w:szCs w:val="20"/>
          <w:lang w:val="es-ES" w:eastAsia="en-US"/>
        </w:rPr>
        <w:t xml:space="preserve"> 12 de enero 2007 los peticionarios solicitaron que la CIDH concediera </w:t>
      </w:r>
      <w:r w:rsidR="00402290" w:rsidRPr="00D32942">
        <w:rPr>
          <w:rFonts w:eastAsia="Arial Unicode MS" w:cs="Times New Roman"/>
          <w:color w:val="auto"/>
          <w:sz w:val="20"/>
          <w:szCs w:val="20"/>
          <w:lang w:val="es-ES" w:eastAsia="en-US"/>
        </w:rPr>
        <w:t>una reunión de trabajo con el fin de tratar asuntos relacionados con la situación denunciada.</w:t>
      </w:r>
    </w:p>
    <w:p w:rsidR="00D83EC6" w:rsidRPr="00D32942" w:rsidRDefault="00D83EC6" w:rsidP="00F0018C">
      <w:pPr>
        <w:pStyle w:val="ListParagraph"/>
        <w:jc w:val="both"/>
        <w:rPr>
          <w:rFonts w:eastAsia="Arial Unicode MS" w:cs="Times New Roman"/>
          <w:color w:val="auto"/>
          <w:sz w:val="20"/>
          <w:szCs w:val="20"/>
          <w:lang w:val="es-ES" w:eastAsia="en-US"/>
        </w:rPr>
      </w:pPr>
    </w:p>
    <w:p w:rsidR="00047008" w:rsidRPr="00D32942" w:rsidRDefault="00047008" w:rsidP="00F0018C">
      <w:pPr>
        <w:pStyle w:val="ListParagraph"/>
        <w:numPr>
          <w:ilvl w:val="0"/>
          <w:numId w:val="56"/>
        </w:numPr>
        <w:tabs>
          <w:tab w:val="center" w:pos="4680"/>
          <w:tab w:val="left" w:pos="6511"/>
        </w:tabs>
        <w:ind w:left="0" w:firstLine="720"/>
        <w:jc w:val="both"/>
        <w:rPr>
          <w:sz w:val="20"/>
          <w:szCs w:val="20"/>
          <w:lang w:val="es-ES"/>
        </w:rPr>
      </w:pPr>
      <w:r w:rsidRPr="00D32942">
        <w:rPr>
          <w:rFonts w:eastAsia="Arial Unicode MS" w:cs="Times New Roman"/>
          <w:color w:val="auto"/>
          <w:sz w:val="20"/>
          <w:szCs w:val="20"/>
          <w:lang w:val="es-ES" w:eastAsia="en-US"/>
        </w:rPr>
        <w:t xml:space="preserve">El 5 de </w:t>
      </w:r>
      <w:r w:rsidR="006A30E8" w:rsidRPr="00D32942">
        <w:rPr>
          <w:rFonts w:eastAsia="Arial Unicode MS" w:cs="Times New Roman"/>
          <w:color w:val="auto"/>
          <w:sz w:val="20"/>
          <w:szCs w:val="20"/>
          <w:lang w:val="es-ES" w:eastAsia="en-US"/>
        </w:rPr>
        <w:t xml:space="preserve">febrero 2007 </w:t>
      </w:r>
      <w:r w:rsidRPr="00D32942">
        <w:rPr>
          <w:rFonts w:eastAsia="Arial Unicode MS" w:cs="Times New Roman"/>
          <w:color w:val="auto"/>
          <w:sz w:val="20"/>
          <w:szCs w:val="20"/>
          <w:lang w:val="es-ES" w:eastAsia="en-US"/>
        </w:rPr>
        <w:t>l</w:t>
      </w:r>
      <w:r w:rsidR="00D83EC6" w:rsidRPr="00D32942">
        <w:rPr>
          <w:rFonts w:eastAsia="Arial Unicode MS" w:cs="Times New Roman"/>
          <w:color w:val="auto"/>
          <w:sz w:val="20"/>
          <w:szCs w:val="20"/>
          <w:lang w:val="es-ES" w:eastAsia="en-US"/>
        </w:rPr>
        <w:t xml:space="preserve">a </w:t>
      </w:r>
      <w:r w:rsidR="00B85DEB" w:rsidRPr="00D32942">
        <w:rPr>
          <w:rFonts w:eastAsia="Arial Unicode MS" w:cs="Times New Roman"/>
          <w:color w:val="auto"/>
          <w:sz w:val="20"/>
          <w:szCs w:val="20"/>
          <w:lang w:val="es-ES" w:eastAsia="en-US"/>
        </w:rPr>
        <w:t>C</w:t>
      </w:r>
      <w:r w:rsidR="00D83EC6" w:rsidRPr="00D32942">
        <w:rPr>
          <w:rFonts w:eastAsia="Arial Unicode MS" w:cs="Times New Roman"/>
          <w:color w:val="auto"/>
          <w:sz w:val="20"/>
          <w:szCs w:val="20"/>
          <w:lang w:val="es-ES" w:eastAsia="en-US"/>
        </w:rPr>
        <w:t xml:space="preserve">omisión </w:t>
      </w:r>
      <w:r w:rsidR="00782C2E" w:rsidRPr="00D32942">
        <w:rPr>
          <w:rFonts w:eastAsia="Arial Unicode MS" w:cs="Times New Roman"/>
          <w:color w:val="auto"/>
          <w:sz w:val="20"/>
          <w:szCs w:val="20"/>
          <w:lang w:val="es-ES" w:eastAsia="en-US"/>
        </w:rPr>
        <w:t>convoc</w:t>
      </w:r>
      <w:r w:rsidR="00874A41" w:rsidRPr="00D32942">
        <w:rPr>
          <w:rFonts w:eastAsia="Arial Unicode MS" w:cs="Times New Roman"/>
          <w:color w:val="auto"/>
          <w:sz w:val="20"/>
          <w:szCs w:val="20"/>
          <w:lang w:val="es-ES" w:eastAsia="en-US"/>
        </w:rPr>
        <w:t>ó</w:t>
      </w:r>
      <w:r w:rsidR="00782C2E" w:rsidRPr="00D32942">
        <w:rPr>
          <w:rFonts w:eastAsia="Arial Unicode MS" w:cs="Times New Roman"/>
          <w:color w:val="auto"/>
          <w:sz w:val="20"/>
          <w:szCs w:val="20"/>
          <w:lang w:val="es-ES" w:eastAsia="en-US"/>
        </w:rPr>
        <w:t xml:space="preserve"> a las partes a </w:t>
      </w:r>
      <w:r w:rsidR="006A30E8" w:rsidRPr="00D32942">
        <w:rPr>
          <w:rFonts w:eastAsia="Arial Unicode MS" w:cs="Times New Roman"/>
          <w:color w:val="auto"/>
          <w:sz w:val="20"/>
          <w:szCs w:val="20"/>
          <w:lang w:val="es-ES" w:eastAsia="en-US"/>
        </w:rPr>
        <w:t xml:space="preserve">una </w:t>
      </w:r>
      <w:r w:rsidR="00782C2E" w:rsidRPr="00D32942">
        <w:rPr>
          <w:rFonts w:eastAsia="Arial Unicode MS" w:cs="Times New Roman"/>
          <w:color w:val="auto"/>
          <w:sz w:val="20"/>
          <w:szCs w:val="20"/>
          <w:lang w:val="es-ES" w:eastAsia="en-US"/>
        </w:rPr>
        <w:t>reunión</w:t>
      </w:r>
      <w:r w:rsidR="00D83EC6" w:rsidRPr="00D32942">
        <w:rPr>
          <w:rFonts w:eastAsia="Arial Unicode MS" w:cs="Times New Roman"/>
          <w:color w:val="auto"/>
          <w:sz w:val="20"/>
          <w:szCs w:val="20"/>
          <w:lang w:val="es-ES" w:eastAsia="en-US"/>
        </w:rPr>
        <w:t xml:space="preserve"> de trabajo</w:t>
      </w:r>
      <w:r w:rsidR="006A30E8" w:rsidRPr="00D32942">
        <w:rPr>
          <w:rFonts w:eastAsia="Arial Unicode MS" w:cs="Times New Roman"/>
          <w:color w:val="auto"/>
          <w:sz w:val="20"/>
          <w:szCs w:val="20"/>
          <w:lang w:val="es-ES" w:eastAsia="en-US"/>
        </w:rPr>
        <w:t xml:space="preserve"> que se llevó a cabo el 5 de marzo del mismo año</w:t>
      </w:r>
      <w:r w:rsidR="006271C8" w:rsidRPr="00D32942">
        <w:rPr>
          <w:rFonts w:eastAsia="Arial Unicode MS" w:cs="Times New Roman"/>
          <w:color w:val="auto"/>
          <w:sz w:val="20"/>
          <w:szCs w:val="20"/>
          <w:lang w:val="es-ES" w:eastAsia="en-US"/>
        </w:rPr>
        <w:t>,</w:t>
      </w:r>
      <w:r w:rsidR="006A30E8" w:rsidRPr="00D32942">
        <w:rPr>
          <w:rFonts w:eastAsia="Arial Unicode MS" w:cs="Times New Roman"/>
          <w:color w:val="auto"/>
          <w:sz w:val="20"/>
          <w:szCs w:val="20"/>
          <w:lang w:val="es-ES" w:eastAsia="en-US"/>
        </w:rPr>
        <w:t xml:space="preserve"> en el marco del 127º periodo ordinario de sesiones</w:t>
      </w:r>
      <w:r w:rsidR="00B85DEB" w:rsidRPr="00D32942">
        <w:rPr>
          <w:rFonts w:eastAsia="Arial Unicode MS" w:cs="Times New Roman"/>
          <w:color w:val="auto"/>
          <w:sz w:val="20"/>
          <w:szCs w:val="20"/>
          <w:lang w:val="es-ES" w:eastAsia="en-US"/>
        </w:rPr>
        <w:t>.</w:t>
      </w:r>
      <w:r w:rsidR="00E919A4" w:rsidRPr="00D32942">
        <w:rPr>
          <w:rFonts w:eastAsia="Arial Unicode MS" w:cs="Times New Roman"/>
          <w:color w:val="auto"/>
          <w:sz w:val="20"/>
          <w:szCs w:val="20"/>
          <w:lang w:val="es-ES" w:eastAsia="en-US"/>
        </w:rPr>
        <w:t xml:space="preserve"> El 23 de abril de 2007 el </w:t>
      </w:r>
      <w:r w:rsidR="00546B47" w:rsidRPr="00D32942">
        <w:rPr>
          <w:rFonts w:eastAsia="Arial Unicode MS" w:cs="Times New Roman"/>
          <w:color w:val="auto"/>
          <w:sz w:val="20"/>
          <w:szCs w:val="20"/>
          <w:lang w:val="es-ES" w:eastAsia="en-US"/>
        </w:rPr>
        <w:t>Estado aportó información adicional</w:t>
      </w:r>
      <w:r w:rsidR="00E05E10" w:rsidRPr="00D32942">
        <w:rPr>
          <w:rFonts w:eastAsia="Arial Unicode MS" w:cs="Times New Roman"/>
          <w:color w:val="auto"/>
          <w:sz w:val="20"/>
          <w:szCs w:val="20"/>
          <w:lang w:val="es-ES" w:eastAsia="en-US"/>
        </w:rPr>
        <w:t>,</w:t>
      </w:r>
      <w:r w:rsidR="00546B47" w:rsidRPr="00D32942">
        <w:rPr>
          <w:rFonts w:eastAsia="Arial Unicode MS" w:cs="Times New Roman"/>
          <w:color w:val="auto"/>
          <w:sz w:val="20"/>
          <w:szCs w:val="20"/>
          <w:lang w:val="es-ES" w:eastAsia="en-US"/>
        </w:rPr>
        <w:t xml:space="preserve"> el</w:t>
      </w:r>
      <w:r w:rsidR="006271C8" w:rsidRPr="00D32942">
        <w:rPr>
          <w:sz w:val="20"/>
          <w:szCs w:val="20"/>
          <w:lang w:val="es-ES"/>
        </w:rPr>
        <w:t xml:space="preserve"> 28 de junio de 2007 informó que el </w:t>
      </w:r>
      <w:r w:rsidR="00A431A6" w:rsidRPr="00D32942">
        <w:rPr>
          <w:sz w:val="20"/>
          <w:szCs w:val="20"/>
          <w:lang w:val="es-ES"/>
        </w:rPr>
        <w:t xml:space="preserve">13 de junio </w:t>
      </w:r>
      <w:r w:rsidR="002C25B4" w:rsidRPr="00D32942">
        <w:rPr>
          <w:sz w:val="20"/>
          <w:szCs w:val="20"/>
          <w:lang w:val="es-ES"/>
        </w:rPr>
        <w:t>de</w:t>
      </w:r>
      <w:r w:rsidR="006271C8" w:rsidRPr="00D32942">
        <w:rPr>
          <w:sz w:val="20"/>
          <w:szCs w:val="20"/>
          <w:lang w:val="es-ES"/>
        </w:rPr>
        <w:t>l mismo año se suscribió entre las partes</w:t>
      </w:r>
      <w:r w:rsidR="002C25B4" w:rsidRPr="00D32942">
        <w:rPr>
          <w:sz w:val="20"/>
          <w:szCs w:val="20"/>
          <w:lang w:val="es-ES"/>
        </w:rPr>
        <w:t xml:space="preserve"> </w:t>
      </w:r>
      <w:r w:rsidR="00A431A6" w:rsidRPr="00D32942">
        <w:rPr>
          <w:sz w:val="20"/>
          <w:szCs w:val="20"/>
          <w:lang w:val="es-ES"/>
        </w:rPr>
        <w:t xml:space="preserve">un </w:t>
      </w:r>
      <w:r w:rsidR="006271C8" w:rsidRPr="00D32942">
        <w:rPr>
          <w:sz w:val="20"/>
          <w:szCs w:val="20"/>
          <w:lang w:val="es-ES"/>
        </w:rPr>
        <w:t>“A</w:t>
      </w:r>
      <w:r w:rsidR="00A431A6" w:rsidRPr="00D32942">
        <w:rPr>
          <w:sz w:val="20"/>
          <w:szCs w:val="20"/>
          <w:lang w:val="es-ES"/>
        </w:rPr>
        <w:t>cta de entendimiento para la constitución de un grupo exploratorio de</w:t>
      </w:r>
      <w:r w:rsidR="00582CF3" w:rsidRPr="00D32942">
        <w:rPr>
          <w:sz w:val="20"/>
          <w:szCs w:val="20"/>
          <w:lang w:val="es-ES"/>
        </w:rPr>
        <w:t xml:space="preserve"> búsqueda de solución amistosa</w:t>
      </w:r>
      <w:r w:rsidR="006271C8" w:rsidRPr="00D32942">
        <w:rPr>
          <w:sz w:val="20"/>
          <w:szCs w:val="20"/>
          <w:lang w:val="es-ES"/>
        </w:rPr>
        <w:t>”</w:t>
      </w:r>
      <w:r w:rsidR="00546B47" w:rsidRPr="00D32942">
        <w:rPr>
          <w:sz w:val="20"/>
          <w:szCs w:val="20"/>
          <w:lang w:val="es-ES"/>
        </w:rPr>
        <w:t xml:space="preserve"> y </w:t>
      </w:r>
      <w:r w:rsidR="00A053AF" w:rsidRPr="00D32942">
        <w:rPr>
          <w:sz w:val="20"/>
          <w:szCs w:val="20"/>
          <w:lang w:val="es-ES"/>
        </w:rPr>
        <w:t>el 20 de agosto de 2007</w:t>
      </w:r>
      <w:r w:rsidR="00E05E10" w:rsidRPr="00D32942">
        <w:rPr>
          <w:sz w:val="20"/>
          <w:szCs w:val="20"/>
          <w:lang w:val="es-ES"/>
        </w:rPr>
        <w:t xml:space="preserve"> </w:t>
      </w:r>
      <w:r w:rsidR="003722C6" w:rsidRPr="00D32942">
        <w:rPr>
          <w:sz w:val="20"/>
          <w:szCs w:val="20"/>
          <w:lang w:val="es-ES"/>
        </w:rPr>
        <w:t xml:space="preserve">aportó </w:t>
      </w:r>
      <w:r w:rsidR="00E05E10" w:rsidRPr="00D32942">
        <w:rPr>
          <w:sz w:val="20"/>
          <w:szCs w:val="20"/>
          <w:lang w:val="es-ES"/>
        </w:rPr>
        <w:t>nuevas observaciones</w:t>
      </w:r>
      <w:r w:rsidR="00E919A4" w:rsidRPr="00D32942">
        <w:rPr>
          <w:sz w:val="20"/>
          <w:szCs w:val="20"/>
          <w:lang w:val="es-ES"/>
        </w:rPr>
        <w:t xml:space="preserve">, mismas que fueron trasladadas a los peticionarios. </w:t>
      </w:r>
      <w:r w:rsidR="00B04E4B" w:rsidRPr="00D32942">
        <w:rPr>
          <w:sz w:val="20"/>
          <w:szCs w:val="20"/>
          <w:lang w:val="es-ES"/>
        </w:rPr>
        <w:t>Mediante comunicación del</w:t>
      </w:r>
      <w:r w:rsidR="00582CF3" w:rsidRPr="00D32942">
        <w:rPr>
          <w:sz w:val="20"/>
          <w:szCs w:val="20"/>
          <w:lang w:val="es-ES"/>
        </w:rPr>
        <w:t xml:space="preserve"> 16 de abril </w:t>
      </w:r>
      <w:r w:rsidR="002C25B4" w:rsidRPr="00D32942">
        <w:rPr>
          <w:sz w:val="20"/>
          <w:szCs w:val="20"/>
          <w:lang w:val="es-ES"/>
        </w:rPr>
        <w:t xml:space="preserve">de </w:t>
      </w:r>
      <w:r w:rsidR="00582CF3" w:rsidRPr="00D32942">
        <w:rPr>
          <w:sz w:val="20"/>
          <w:szCs w:val="20"/>
          <w:lang w:val="es-ES"/>
        </w:rPr>
        <w:t xml:space="preserve">2009 la </w:t>
      </w:r>
      <w:r w:rsidR="00B66082" w:rsidRPr="00D32942">
        <w:rPr>
          <w:sz w:val="20"/>
          <w:szCs w:val="20"/>
          <w:lang w:val="es-ES"/>
        </w:rPr>
        <w:t>Comisión</w:t>
      </w:r>
      <w:r w:rsidR="00D471D9" w:rsidRPr="00D32942">
        <w:rPr>
          <w:sz w:val="20"/>
          <w:szCs w:val="20"/>
          <w:lang w:val="es-ES"/>
        </w:rPr>
        <w:t xml:space="preserve"> solicitó</w:t>
      </w:r>
      <w:r w:rsidR="00582CF3" w:rsidRPr="00D32942">
        <w:rPr>
          <w:sz w:val="20"/>
          <w:szCs w:val="20"/>
          <w:lang w:val="es-ES"/>
        </w:rPr>
        <w:t xml:space="preserve"> </w:t>
      </w:r>
      <w:r w:rsidR="00D471D9" w:rsidRPr="00D32942">
        <w:rPr>
          <w:sz w:val="20"/>
          <w:szCs w:val="20"/>
          <w:lang w:val="es-ES"/>
        </w:rPr>
        <w:t xml:space="preserve">a las partes presentar </w:t>
      </w:r>
      <w:r w:rsidR="00582CF3" w:rsidRPr="00D32942">
        <w:rPr>
          <w:sz w:val="20"/>
          <w:szCs w:val="20"/>
          <w:lang w:val="es-ES"/>
        </w:rPr>
        <w:t>información sobre el proceso de búsqueda de solución amistosa</w:t>
      </w:r>
      <w:r w:rsidR="00D471D9" w:rsidRPr="00D32942">
        <w:rPr>
          <w:sz w:val="20"/>
          <w:szCs w:val="20"/>
          <w:lang w:val="es-ES"/>
        </w:rPr>
        <w:t xml:space="preserve">. La respuesta del Estado se recibió el </w:t>
      </w:r>
      <w:r w:rsidR="003722C6" w:rsidRPr="00D32942">
        <w:rPr>
          <w:rFonts w:eastAsia="Arial Unicode MS" w:cs="Times New Roman"/>
          <w:color w:val="auto"/>
          <w:sz w:val="20"/>
          <w:szCs w:val="20"/>
          <w:lang w:val="es-ES" w:eastAsia="en-US"/>
        </w:rPr>
        <w:t>26</w:t>
      </w:r>
      <w:r w:rsidR="00D471D9" w:rsidRPr="00D32942">
        <w:rPr>
          <w:rFonts w:eastAsia="Arial Unicode MS" w:cs="Times New Roman"/>
          <w:color w:val="auto"/>
          <w:sz w:val="20"/>
          <w:szCs w:val="20"/>
          <w:lang w:val="es-ES" w:eastAsia="en-US"/>
        </w:rPr>
        <w:t xml:space="preserve"> de mayo</w:t>
      </w:r>
      <w:r w:rsidR="002C25B4" w:rsidRPr="00D32942">
        <w:rPr>
          <w:rFonts w:eastAsia="Arial Unicode MS" w:cs="Times New Roman"/>
          <w:color w:val="auto"/>
          <w:sz w:val="20"/>
          <w:szCs w:val="20"/>
          <w:lang w:val="es-ES" w:eastAsia="en-US"/>
        </w:rPr>
        <w:t xml:space="preserve"> de</w:t>
      </w:r>
      <w:r w:rsidR="00D471D9" w:rsidRPr="00D32942">
        <w:rPr>
          <w:rFonts w:eastAsia="Arial Unicode MS" w:cs="Times New Roman"/>
          <w:color w:val="auto"/>
          <w:sz w:val="20"/>
          <w:szCs w:val="20"/>
          <w:lang w:val="es-ES" w:eastAsia="en-US"/>
        </w:rPr>
        <w:t xml:space="preserve"> 2009</w:t>
      </w:r>
      <w:r w:rsidR="00D471D9" w:rsidRPr="00D32942">
        <w:rPr>
          <w:sz w:val="20"/>
          <w:szCs w:val="20"/>
          <w:lang w:val="es-ES"/>
        </w:rPr>
        <w:t>, la cual fue trasladada a los peticionarios para sus observaciones.</w:t>
      </w:r>
    </w:p>
    <w:p w:rsidR="00047008" w:rsidRPr="00D32942" w:rsidRDefault="00047008" w:rsidP="00F0018C">
      <w:pPr>
        <w:pStyle w:val="ListParagraph"/>
        <w:jc w:val="both"/>
        <w:rPr>
          <w:sz w:val="20"/>
          <w:szCs w:val="20"/>
          <w:lang w:val="es-ES"/>
        </w:rPr>
      </w:pPr>
    </w:p>
    <w:p w:rsidR="000109E2" w:rsidRPr="00D32942" w:rsidRDefault="008F598F" w:rsidP="00023A3B">
      <w:pPr>
        <w:pStyle w:val="ListParagraph"/>
        <w:numPr>
          <w:ilvl w:val="0"/>
          <w:numId w:val="56"/>
        </w:numPr>
        <w:tabs>
          <w:tab w:val="center" w:pos="4680"/>
          <w:tab w:val="left" w:pos="6511"/>
        </w:tabs>
        <w:ind w:left="0" w:firstLine="720"/>
        <w:jc w:val="both"/>
        <w:rPr>
          <w:sz w:val="20"/>
          <w:szCs w:val="20"/>
          <w:lang w:val="es-ES"/>
        </w:rPr>
      </w:pPr>
      <w:r w:rsidRPr="00D32942">
        <w:rPr>
          <w:sz w:val="20"/>
          <w:szCs w:val="20"/>
          <w:lang w:val="es-ES"/>
        </w:rPr>
        <w:t>Con comunicación de</w:t>
      </w:r>
      <w:r w:rsidR="00A431A6" w:rsidRPr="00D32942">
        <w:rPr>
          <w:sz w:val="20"/>
          <w:szCs w:val="20"/>
          <w:lang w:val="es-ES"/>
        </w:rPr>
        <w:t xml:space="preserve">l 1 de febrero </w:t>
      </w:r>
      <w:r w:rsidR="002C25B4" w:rsidRPr="00D32942">
        <w:rPr>
          <w:sz w:val="20"/>
          <w:szCs w:val="20"/>
          <w:lang w:val="es-ES"/>
        </w:rPr>
        <w:t xml:space="preserve">de </w:t>
      </w:r>
      <w:r w:rsidR="00A431A6" w:rsidRPr="00D32942">
        <w:rPr>
          <w:sz w:val="20"/>
          <w:szCs w:val="20"/>
          <w:lang w:val="es-ES"/>
        </w:rPr>
        <w:t>2012</w:t>
      </w:r>
      <w:r w:rsidRPr="00D32942">
        <w:rPr>
          <w:sz w:val="20"/>
          <w:szCs w:val="20"/>
          <w:lang w:val="es-ES"/>
        </w:rPr>
        <w:t>,</w:t>
      </w:r>
      <w:r w:rsidR="00A431A6" w:rsidRPr="00D32942">
        <w:rPr>
          <w:sz w:val="20"/>
          <w:szCs w:val="20"/>
          <w:lang w:val="es-ES"/>
        </w:rPr>
        <w:t xml:space="preserve"> los peticionari</w:t>
      </w:r>
      <w:r w:rsidR="00E919A4" w:rsidRPr="00D32942">
        <w:rPr>
          <w:sz w:val="20"/>
          <w:szCs w:val="20"/>
          <w:lang w:val="es-ES"/>
        </w:rPr>
        <w:t>os solicitaron dar por terminada</w:t>
      </w:r>
      <w:r w:rsidR="00A431A6" w:rsidRPr="00D32942">
        <w:rPr>
          <w:sz w:val="20"/>
          <w:szCs w:val="20"/>
          <w:lang w:val="es-ES"/>
        </w:rPr>
        <w:t xml:space="preserve"> </w:t>
      </w:r>
      <w:r w:rsidR="00AA6EB2" w:rsidRPr="00D32942">
        <w:rPr>
          <w:sz w:val="20"/>
          <w:szCs w:val="20"/>
          <w:lang w:val="es-ES"/>
        </w:rPr>
        <w:t>la</w:t>
      </w:r>
      <w:r w:rsidR="00A431A6" w:rsidRPr="00D32942">
        <w:rPr>
          <w:sz w:val="20"/>
          <w:szCs w:val="20"/>
          <w:lang w:val="es-ES"/>
        </w:rPr>
        <w:t xml:space="preserve"> búsqueda de solución amistosa y continuar con el trámite del procedimiento. El </w:t>
      </w:r>
      <w:r w:rsidR="00684AA4" w:rsidRPr="00D32942">
        <w:rPr>
          <w:sz w:val="20"/>
          <w:szCs w:val="20"/>
          <w:lang w:val="es-ES"/>
        </w:rPr>
        <w:t>6</w:t>
      </w:r>
      <w:r w:rsidR="0098110D" w:rsidRPr="00D32942">
        <w:rPr>
          <w:sz w:val="20"/>
          <w:szCs w:val="20"/>
          <w:lang w:val="es-ES"/>
        </w:rPr>
        <w:t xml:space="preserve"> de febrero </w:t>
      </w:r>
      <w:r w:rsidR="002C25B4" w:rsidRPr="00D32942">
        <w:rPr>
          <w:sz w:val="20"/>
          <w:szCs w:val="20"/>
          <w:lang w:val="es-ES"/>
        </w:rPr>
        <w:t xml:space="preserve">de </w:t>
      </w:r>
      <w:r w:rsidR="0098110D" w:rsidRPr="00D32942">
        <w:rPr>
          <w:sz w:val="20"/>
          <w:szCs w:val="20"/>
          <w:lang w:val="es-ES"/>
        </w:rPr>
        <w:t>2012</w:t>
      </w:r>
      <w:r w:rsidR="00A431A6" w:rsidRPr="00D32942">
        <w:rPr>
          <w:sz w:val="20"/>
          <w:szCs w:val="20"/>
          <w:lang w:val="es-ES"/>
        </w:rPr>
        <w:t xml:space="preserve"> la </w:t>
      </w:r>
      <w:r w:rsidR="00CD5E72" w:rsidRPr="00D32942">
        <w:rPr>
          <w:sz w:val="20"/>
          <w:szCs w:val="20"/>
          <w:lang w:val="es-ES"/>
        </w:rPr>
        <w:t>Comisión inform</w:t>
      </w:r>
      <w:r w:rsidR="00874A41" w:rsidRPr="00D32942">
        <w:rPr>
          <w:sz w:val="20"/>
          <w:szCs w:val="20"/>
          <w:lang w:val="es-ES"/>
        </w:rPr>
        <w:t>ó</w:t>
      </w:r>
      <w:r w:rsidR="00CD5E72" w:rsidRPr="00D32942">
        <w:rPr>
          <w:sz w:val="20"/>
          <w:szCs w:val="20"/>
          <w:lang w:val="es-ES"/>
        </w:rPr>
        <w:t xml:space="preserve"> a las partes</w:t>
      </w:r>
      <w:r w:rsidR="00A431A6" w:rsidRPr="00D32942">
        <w:rPr>
          <w:sz w:val="20"/>
          <w:szCs w:val="20"/>
          <w:lang w:val="es-ES"/>
        </w:rPr>
        <w:t xml:space="preserve"> que</w:t>
      </w:r>
      <w:r w:rsidR="00CD5E72" w:rsidRPr="00D32942">
        <w:rPr>
          <w:sz w:val="20"/>
          <w:szCs w:val="20"/>
          <w:lang w:val="es-ES"/>
        </w:rPr>
        <w:t>,</w:t>
      </w:r>
      <w:r w:rsidR="00A431A6" w:rsidRPr="00D32942">
        <w:rPr>
          <w:sz w:val="20"/>
          <w:szCs w:val="20"/>
          <w:lang w:val="es-ES"/>
        </w:rPr>
        <w:t xml:space="preserve"> </w:t>
      </w:r>
      <w:r w:rsidR="00C14FBB" w:rsidRPr="00D32942">
        <w:rPr>
          <w:sz w:val="20"/>
          <w:szCs w:val="20"/>
          <w:lang w:val="es-ES"/>
        </w:rPr>
        <w:t>d</w:t>
      </w:r>
      <w:r w:rsidR="00A431A6" w:rsidRPr="00D32942">
        <w:rPr>
          <w:sz w:val="20"/>
          <w:szCs w:val="20"/>
          <w:lang w:val="es-ES"/>
        </w:rPr>
        <w:t>e conformidad con el artículo 40 del Reglamento, daba por concluida su intervención en el procedimien</w:t>
      </w:r>
      <w:r w:rsidR="00CD5E72" w:rsidRPr="00D32942">
        <w:rPr>
          <w:sz w:val="20"/>
          <w:szCs w:val="20"/>
          <w:lang w:val="es-ES"/>
        </w:rPr>
        <w:t xml:space="preserve">to de solución amistosa y </w:t>
      </w:r>
      <w:r w:rsidR="00874A41" w:rsidRPr="00D32942">
        <w:rPr>
          <w:sz w:val="20"/>
          <w:szCs w:val="20"/>
          <w:lang w:val="es-ES"/>
        </w:rPr>
        <w:t>decidía</w:t>
      </w:r>
      <w:r w:rsidR="00A431A6" w:rsidRPr="00D32942">
        <w:rPr>
          <w:sz w:val="20"/>
          <w:szCs w:val="20"/>
          <w:lang w:val="es-ES"/>
        </w:rPr>
        <w:t xml:space="preserve"> seguir</w:t>
      </w:r>
      <w:r w:rsidR="000109E2" w:rsidRPr="00D32942">
        <w:rPr>
          <w:sz w:val="20"/>
          <w:szCs w:val="20"/>
          <w:lang w:val="es-ES"/>
        </w:rPr>
        <w:t xml:space="preserve"> con el trámite de la petición, solicitando </w:t>
      </w:r>
      <w:r w:rsidR="00CC434C" w:rsidRPr="00D32942">
        <w:rPr>
          <w:sz w:val="20"/>
          <w:szCs w:val="20"/>
          <w:lang w:val="es-ES"/>
        </w:rPr>
        <w:t xml:space="preserve">información actualizada </w:t>
      </w:r>
      <w:r w:rsidR="000109E2" w:rsidRPr="00D32942">
        <w:rPr>
          <w:sz w:val="20"/>
          <w:szCs w:val="20"/>
          <w:lang w:val="es-ES"/>
        </w:rPr>
        <w:t>a los peticionarios sobre el presente asunto.</w:t>
      </w:r>
      <w:r w:rsidR="00023A3B" w:rsidRPr="00D32942">
        <w:rPr>
          <w:sz w:val="20"/>
          <w:szCs w:val="20"/>
          <w:lang w:val="es-ES"/>
        </w:rPr>
        <w:t xml:space="preserve"> </w:t>
      </w:r>
      <w:r w:rsidR="000109E2" w:rsidRPr="00D32942">
        <w:rPr>
          <w:sz w:val="20"/>
          <w:szCs w:val="20"/>
          <w:lang w:val="es-ES"/>
        </w:rPr>
        <w:t xml:space="preserve">El </w:t>
      </w:r>
      <w:r w:rsidR="00C646C3" w:rsidRPr="00D32942">
        <w:rPr>
          <w:sz w:val="20"/>
          <w:szCs w:val="20"/>
          <w:lang w:val="es-ES"/>
        </w:rPr>
        <w:t>22 de enero</w:t>
      </w:r>
      <w:r w:rsidR="000109E2" w:rsidRPr="00D32942">
        <w:rPr>
          <w:sz w:val="20"/>
          <w:szCs w:val="20"/>
          <w:lang w:val="es-ES"/>
        </w:rPr>
        <w:t xml:space="preserve"> </w:t>
      </w:r>
      <w:r w:rsidR="002C25B4" w:rsidRPr="00D32942">
        <w:rPr>
          <w:sz w:val="20"/>
          <w:szCs w:val="20"/>
          <w:lang w:val="es-ES"/>
        </w:rPr>
        <w:t xml:space="preserve">de </w:t>
      </w:r>
      <w:r w:rsidR="000109E2" w:rsidRPr="00D32942">
        <w:rPr>
          <w:sz w:val="20"/>
          <w:szCs w:val="20"/>
          <w:lang w:val="es-ES"/>
        </w:rPr>
        <w:t>2013</w:t>
      </w:r>
      <w:r w:rsidR="00C646C3" w:rsidRPr="00D32942">
        <w:rPr>
          <w:sz w:val="20"/>
          <w:szCs w:val="20"/>
          <w:lang w:val="es-ES"/>
        </w:rPr>
        <w:t xml:space="preserve">, </w:t>
      </w:r>
      <w:r w:rsidR="000109E2" w:rsidRPr="00D32942">
        <w:rPr>
          <w:sz w:val="20"/>
          <w:szCs w:val="20"/>
          <w:lang w:val="es-ES"/>
        </w:rPr>
        <w:t>los peticionarios presentar</w:t>
      </w:r>
      <w:r w:rsidR="000241A2" w:rsidRPr="00D32942">
        <w:rPr>
          <w:sz w:val="20"/>
          <w:szCs w:val="20"/>
          <w:lang w:val="es-ES"/>
        </w:rPr>
        <w:t>on su respuesta que fue trasladada</w:t>
      </w:r>
      <w:r w:rsidR="000109E2" w:rsidRPr="00D32942">
        <w:rPr>
          <w:sz w:val="20"/>
          <w:szCs w:val="20"/>
          <w:lang w:val="es-ES"/>
        </w:rPr>
        <w:t xml:space="preserve"> al Es</w:t>
      </w:r>
      <w:r w:rsidR="00C646C3" w:rsidRPr="00D32942">
        <w:rPr>
          <w:sz w:val="20"/>
          <w:szCs w:val="20"/>
          <w:lang w:val="es-ES"/>
        </w:rPr>
        <w:t xml:space="preserve">tado para sus observaciones. El </w:t>
      </w:r>
      <w:r w:rsidR="00EF7440" w:rsidRPr="00D32942">
        <w:rPr>
          <w:sz w:val="20"/>
          <w:szCs w:val="20"/>
          <w:lang w:val="es-ES"/>
        </w:rPr>
        <w:t>21</w:t>
      </w:r>
      <w:r w:rsidR="0041567D" w:rsidRPr="00D32942">
        <w:rPr>
          <w:sz w:val="20"/>
          <w:szCs w:val="20"/>
          <w:lang w:val="es-ES"/>
        </w:rPr>
        <w:t xml:space="preserve"> de febrero </w:t>
      </w:r>
      <w:r w:rsidR="002C25B4" w:rsidRPr="00D32942">
        <w:rPr>
          <w:sz w:val="20"/>
          <w:szCs w:val="20"/>
          <w:lang w:val="es-ES"/>
        </w:rPr>
        <w:t xml:space="preserve">de </w:t>
      </w:r>
      <w:r w:rsidR="0041567D" w:rsidRPr="00D32942">
        <w:rPr>
          <w:sz w:val="20"/>
          <w:szCs w:val="20"/>
          <w:lang w:val="es-ES"/>
        </w:rPr>
        <w:t>201</w:t>
      </w:r>
      <w:r w:rsidR="00C646C3" w:rsidRPr="00D32942">
        <w:rPr>
          <w:sz w:val="20"/>
          <w:szCs w:val="20"/>
          <w:lang w:val="es-ES"/>
        </w:rPr>
        <w:t xml:space="preserve">4 el Estado </w:t>
      </w:r>
      <w:r w:rsidR="0041567D" w:rsidRPr="00D32942">
        <w:rPr>
          <w:sz w:val="20"/>
          <w:szCs w:val="20"/>
          <w:lang w:val="es-ES"/>
        </w:rPr>
        <w:t>envi</w:t>
      </w:r>
      <w:r w:rsidR="00C646C3" w:rsidRPr="00D32942">
        <w:rPr>
          <w:sz w:val="20"/>
          <w:szCs w:val="20"/>
          <w:lang w:val="es-ES"/>
        </w:rPr>
        <w:t>ó su respuesta, la cual fue trasladada</w:t>
      </w:r>
      <w:r w:rsidR="000109E2" w:rsidRPr="00D32942">
        <w:rPr>
          <w:sz w:val="20"/>
          <w:szCs w:val="20"/>
          <w:lang w:val="es-ES"/>
        </w:rPr>
        <w:t xml:space="preserve"> a los peticionarios para su conocimiento.</w:t>
      </w:r>
    </w:p>
    <w:p w:rsidR="000109E2" w:rsidRPr="00D32942" w:rsidRDefault="000109E2" w:rsidP="00F0018C">
      <w:pPr>
        <w:tabs>
          <w:tab w:val="center" w:pos="4680"/>
          <w:tab w:val="left" w:pos="6511"/>
        </w:tabs>
        <w:jc w:val="both"/>
        <w:rPr>
          <w:rFonts w:ascii="Cambria" w:hAnsi="Cambria"/>
          <w:sz w:val="20"/>
          <w:szCs w:val="20"/>
          <w:lang w:val="es-ES"/>
        </w:rPr>
      </w:pPr>
    </w:p>
    <w:p w:rsidR="006F1429" w:rsidRPr="00D32942" w:rsidRDefault="006F1429" w:rsidP="00F0018C">
      <w:pPr>
        <w:keepNext/>
        <w:keepLines/>
        <w:ind w:left="720"/>
        <w:jc w:val="both"/>
        <w:rPr>
          <w:rFonts w:ascii="Cambria" w:eastAsia="Times New Roman" w:hAnsi="Cambria"/>
          <w:b/>
          <w:bCs/>
          <w:sz w:val="20"/>
          <w:szCs w:val="20"/>
          <w:lang w:val="es-ES"/>
        </w:rPr>
      </w:pPr>
      <w:r w:rsidRPr="00D32942">
        <w:rPr>
          <w:rFonts w:ascii="Cambria" w:eastAsia="Times New Roman" w:hAnsi="Cambria"/>
          <w:b/>
          <w:bCs/>
          <w:sz w:val="20"/>
          <w:szCs w:val="20"/>
          <w:lang w:val="es-ES"/>
        </w:rPr>
        <w:t>III.</w:t>
      </w:r>
      <w:r w:rsidRPr="00D32942">
        <w:rPr>
          <w:rFonts w:ascii="Cambria" w:eastAsia="Times New Roman" w:hAnsi="Cambria"/>
          <w:b/>
          <w:bCs/>
          <w:sz w:val="20"/>
          <w:szCs w:val="20"/>
          <w:lang w:val="es-ES"/>
        </w:rPr>
        <w:tab/>
        <w:t>POSICIONES DE LAS PARTES</w:t>
      </w:r>
    </w:p>
    <w:p w:rsidR="006F1429" w:rsidRPr="00D32942" w:rsidRDefault="006F1429" w:rsidP="00F0018C">
      <w:pPr>
        <w:jc w:val="both"/>
        <w:rPr>
          <w:rFonts w:ascii="Cambria" w:hAnsi="Cambria"/>
          <w:sz w:val="20"/>
          <w:szCs w:val="20"/>
          <w:lang w:val="es-ES"/>
        </w:rPr>
      </w:pPr>
    </w:p>
    <w:p w:rsidR="00EF7440" w:rsidRPr="00D32942" w:rsidRDefault="006F1429" w:rsidP="00873C09">
      <w:pPr>
        <w:pStyle w:val="ListParagraph"/>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hanging="720"/>
        <w:jc w:val="both"/>
        <w:rPr>
          <w:rFonts w:eastAsia="Times New Roman" w:cs="Arial"/>
          <w:b/>
          <w:bCs/>
          <w:iCs/>
          <w:sz w:val="20"/>
          <w:szCs w:val="20"/>
          <w:bdr w:val="none" w:sz="0" w:space="0" w:color="auto"/>
          <w:lang w:val="es-ES"/>
        </w:rPr>
      </w:pPr>
      <w:r w:rsidRPr="00D32942">
        <w:rPr>
          <w:rFonts w:eastAsia="Times New Roman" w:cs="Arial"/>
          <w:b/>
          <w:bCs/>
          <w:iCs/>
          <w:sz w:val="20"/>
          <w:szCs w:val="20"/>
          <w:bdr w:val="none" w:sz="0" w:space="0" w:color="auto"/>
          <w:lang w:val="es-ES"/>
        </w:rPr>
        <w:t>Posición de los peticionarios</w:t>
      </w:r>
    </w:p>
    <w:p w:rsidR="00764C1E" w:rsidRPr="00D32942" w:rsidRDefault="00764C1E" w:rsidP="00711A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sz w:val="20"/>
          <w:szCs w:val="20"/>
          <w:lang w:val="es-ES"/>
        </w:rPr>
      </w:pPr>
    </w:p>
    <w:p w:rsidR="003B0D95" w:rsidRPr="00D32942" w:rsidRDefault="00902C12" w:rsidP="00711A3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 xml:space="preserve">Como antecedentes, los peticionarios señalan que los hechos del presente caso se enmarcan en una serie de violaciones cometidas por miembros del ejército </w:t>
      </w:r>
      <w:r w:rsidR="006451DA" w:rsidRPr="00D32942">
        <w:rPr>
          <w:sz w:val="20"/>
          <w:szCs w:val="20"/>
          <w:lang w:val="es-ES"/>
        </w:rPr>
        <w:t>contra</w:t>
      </w:r>
      <w:r w:rsidRPr="00D32942">
        <w:rPr>
          <w:sz w:val="20"/>
          <w:szCs w:val="20"/>
          <w:lang w:val="es-ES"/>
        </w:rPr>
        <w:t xml:space="preserve"> los habitantes del municipio de La Uribe (Meta) debido al fuerte respaldo de esta región a la organización política Unión Patriótica. Alegan que desde su formación, los miembros de la Unión Patriótica fueron víctimas de persecución y exterminio sistemáticos</w:t>
      </w:r>
      <w:r w:rsidR="006451DA" w:rsidRPr="00D32942">
        <w:rPr>
          <w:sz w:val="20"/>
          <w:szCs w:val="20"/>
          <w:lang w:val="es-ES"/>
        </w:rPr>
        <w:t>. In</w:t>
      </w:r>
      <w:r w:rsidR="00596C00" w:rsidRPr="00D32942">
        <w:rPr>
          <w:sz w:val="20"/>
          <w:szCs w:val="20"/>
          <w:lang w:val="es-ES"/>
        </w:rPr>
        <w:t>forman</w:t>
      </w:r>
      <w:r w:rsidR="006451DA" w:rsidRPr="00D32942">
        <w:rPr>
          <w:sz w:val="20"/>
          <w:szCs w:val="20"/>
          <w:lang w:val="es-ES"/>
        </w:rPr>
        <w:t xml:space="preserve"> que en este contexto </w:t>
      </w:r>
      <w:r w:rsidRPr="00D32942">
        <w:rPr>
          <w:sz w:val="20"/>
          <w:szCs w:val="20"/>
          <w:lang w:val="es-ES"/>
        </w:rPr>
        <w:t xml:space="preserve">los habitantes del municipio de La Uribe fueron repetidamente </w:t>
      </w:r>
      <w:r w:rsidR="00596C00" w:rsidRPr="00D32942">
        <w:rPr>
          <w:sz w:val="20"/>
          <w:szCs w:val="20"/>
          <w:lang w:val="es-ES"/>
        </w:rPr>
        <w:t>victimas</w:t>
      </w:r>
      <w:r w:rsidRPr="00D32942">
        <w:rPr>
          <w:sz w:val="20"/>
          <w:szCs w:val="20"/>
          <w:lang w:val="es-ES"/>
        </w:rPr>
        <w:t xml:space="preserve"> de detenciones arbitrarias, desapariciones forzadas, malos tratos, así como actos de pillaje y amenazas por parte de la Brigada Móvil No. 1 del Ejército Nacional.</w:t>
      </w:r>
    </w:p>
    <w:p w:rsidR="00902C12" w:rsidRPr="00D32942" w:rsidRDefault="00902C12" w:rsidP="00711A3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szCs w:val="20"/>
          <w:lang w:val="es-ES"/>
        </w:rPr>
      </w:pPr>
    </w:p>
    <w:p w:rsidR="0060016F" w:rsidRPr="00D32942" w:rsidRDefault="00902C12" w:rsidP="00711A3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Sobre los hechos ocurridos el</w:t>
      </w:r>
      <w:r w:rsidR="00315AF2" w:rsidRPr="00D32942">
        <w:rPr>
          <w:sz w:val="20"/>
          <w:szCs w:val="20"/>
          <w:lang w:val="es-ES"/>
        </w:rPr>
        <w:t xml:space="preserve"> 13 de mayo de 1992</w:t>
      </w:r>
      <w:r w:rsidRPr="00D32942">
        <w:rPr>
          <w:sz w:val="20"/>
          <w:szCs w:val="20"/>
          <w:lang w:val="es-ES"/>
        </w:rPr>
        <w:t>, indican que</w:t>
      </w:r>
      <w:r w:rsidR="00342E04" w:rsidRPr="00D32942">
        <w:rPr>
          <w:sz w:val="20"/>
          <w:szCs w:val="20"/>
          <w:lang w:val="es-ES"/>
        </w:rPr>
        <w:t xml:space="preserve"> a las 4.00 p.m. </w:t>
      </w:r>
      <w:r w:rsidR="00315AF2" w:rsidRPr="00D32942">
        <w:rPr>
          <w:sz w:val="20"/>
          <w:szCs w:val="20"/>
          <w:lang w:val="es-ES"/>
        </w:rPr>
        <w:t xml:space="preserve">mientras  </w:t>
      </w:r>
      <w:r w:rsidR="00342E04" w:rsidRPr="00D32942">
        <w:rPr>
          <w:sz w:val="20"/>
          <w:szCs w:val="20"/>
          <w:lang w:val="es-ES"/>
        </w:rPr>
        <w:t xml:space="preserve">la señora Matilde Quintero Ayure de 42 años de edad se encontraba al interior de su vivienda con sus hijas Graciela de 13 años, Sandra Milena de 12 años, Martha Cecilia de </w:t>
      </w:r>
      <w:r w:rsidR="005F31EA" w:rsidRPr="00D32942">
        <w:rPr>
          <w:sz w:val="20"/>
          <w:szCs w:val="20"/>
          <w:lang w:val="es-ES"/>
        </w:rPr>
        <w:t xml:space="preserve">11 </w:t>
      </w:r>
      <w:r w:rsidR="00342E04" w:rsidRPr="00D32942">
        <w:rPr>
          <w:sz w:val="20"/>
          <w:szCs w:val="20"/>
          <w:lang w:val="es-ES"/>
        </w:rPr>
        <w:t>años, Yaneth de 9 años, Bell</w:t>
      </w:r>
      <w:r w:rsidR="0031040D" w:rsidRPr="00D32942">
        <w:rPr>
          <w:sz w:val="20"/>
          <w:szCs w:val="20"/>
          <w:lang w:val="es-ES"/>
        </w:rPr>
        <w:t>anid de 8 años y su nieta Ismen</w:t>
      </w:r>
      <w:r w:rsidR="00342E04" w:rsidRPr="00D32942">
        <w:rPr>
          <w:sz w:val="20"/>
          <w:szCs w:val="20"/>
          <w:lang w:val="es-ES"/>
        </w:rPr>
        <w:t xml:space="preserve">ia de 2 </w:t>
      </w:r>
      <w:r w:rsidR="00AE3884" w:rsidRPr="00D32942">
        <w:rPr>
          <w:sz w:val="20"/>
          <w:szCs w:val="20"/>
          <w:lang w:val="es-ES"/>
        </w:rPr>
        <w:t>años,</w:t>
      </w:r>
      <w:r w:rsidR="00315AF2" w:rsidRPr="00D32942">
        <w:rPr>
          <w:sz w:val="20"/>
          <w:szCs w:val="20"/>
          <w:lang w:val="es-ES"/>
        </w:rPr>
        <w:t xml:space="preserve"> se presentaron en la vivienda dos </w:t>
      </w:r>
      <w:r w:rsidR="00C75F85" w:rsidRPr="00D32942">
        <w:rPr>
          <w:sz w:val="20"/>
          <w:szCs w:val="20"/>
          <w:lang w:val="es-ES"/>
        </w:rPr>
        <w:t xml:space="preserve">presuntos </w:t>
      </w:r>
      <w:r w:rsidR="00342E04" w:rsidRPr="00D32942">
        <w:rPr>
          <w:sz w:val="20"/>
          <w:szCs w:val="20"/>
          <w:lang w:val="es-ES"/>
        </w:rPr>
        <w:t xml:space="preserve">guerrilleros </w:t>
      </w:r>
      <w:r w:rsidR="00C75F85" w:rsidRPr="00D32942">
        <w:rPr>
          <w:sz w:val="20"/>
          <w:szCs w:val="20"/>
          <w:lang w:val="es-ES"/>
        </w:rPr>
        <w:t>armados</w:t>
      </w:r>
      <w:r w:rsidR="00342E04" w:rsidRPr="00D32942">
        <w:rPr>
          <w:sz w:val="20"/>
          <w:szCs w:val="20"/>
          <w:lang w:val="es-ES"/>
        </w:rPr>
        <w:t xml:space="preserve"> solicita</w:t>
      </w:r>
      <w:r w:rsidR="00C75F85" w:rsidRPr="00D32942">
        <w:rPr>
          <w:sz w:val="20"/>
          <w:szCs w:val="20"/>
          <w:lang w:val="es-ES"/>
        </w:rPr>
        <w:t>ndo</w:t>
      </w:r>
      <w:r w:rsidR="00342E04" w:rsidRPr="00D32942">
        <w:rPr>
          <w:sz w:val="20"/>
          <w:szCs w:val="20"/>
          <w:lang w:val="es-ES"/>
        </w:rPr>
        <w:t xml:space="preserve"> comida</w:t>
      </w:r>
      <w:r w:rsidR="001E142C" w:rsidRPr="00D32942">
        <w:rPr>
          <w:sz w:val="20"/>
          <w:szCs w:val="20"/>
          <w:lang w:val="es-ES"/>
        </w:rPr>
        <w:t>,</w:t>
      </w:r>
      <w:r w:rsidR="00315AF2" w:rsidRPr="00D32942">
        <w:rPr>
          <w:sz w:val="20"/>
          <w:szCs w:val="20"/>
          <w:lang w:val="es-ES"/>
        </w:rPr>
        <w:t xml:space="preserve"> a lo cual accedió Matilde Quintero, ingresando dichas personas a</w:t>
      </w:r>
      <w:r w:rsidR="0060016F" w:rsidRPr="00D32942">
        <w:rPr>
          <w:sz w:val="20"/>
          <w:szCs w:val="20"/>
          <w:lang w:val="es-ES"/>
        </w:rPr>
        <w:t xml:space="preserve"> su domicilio</w:t>
      </w:r>
      <w:r w:rsidR="00030FC7" w:rsidRPr="00D32942">
        <w:rPr>
          <w:sz w:val="20"/>
          <w:szCs w:val="20"/>
          <w:lang w:val="es-ES"/>
        </w:rPr>
        <w:t>.</w:t>
      </w:r>
      <w:r w:rsidR="00315AF2" w:rsidRPr="00D32942">
        <w:rPr>
          <w:sz w:val="20"/>
          <w:szCs w:val="20"/>
          <w:lang w:val="es-ES"/>
        </w:rPr>
        <w:t xml:space="preserve"> L</w:t>
      </w:r>
      <w:r w:rsidR="00DF4181" w:rsidRPr="00D32942">
        <w:rPr>
          <w:sz w:val="20"/>
          <w:szCs w:val="20"/>
          <w:lang w:val="es-ES"/>
        </w:rPr>
        <w:t>os</w:t>
      </w:r>
      <w:r w:rsidR="00315AF2" w:rsidRPr="00D32942">
        <w:rPr>
          <w:sz w:val="20"/>
          <w:szCs w:val="20"/>
          <w:lang w:val="es-ES"/>
        </w:rPr>
        <w:t xml:space="preserve"> peticionari</w:t>
      </w:r>
      <w:r w:rsidR="00DF4181" w:rsidRPr="00D32942">
        <w:rPr>
          <w:sz w:val="20"/>
          <w:szCs w:val="20"/>
          <w:lang w:val="es-ES"/>
        </w:rPr>
        <w:t>os</w:t>
      </w:r>
      <w:r w:rsidR="00315AF2" w:rsidRPr="00D32942">
        <w:rPr>
          <w:sz w:val="20"/>
          <w:szCs w:val="20"/>
          <w:lang w:val="es-ES"/>
        </w:rPr>
        <w:t xml:space="preserve"> indica</w:t>
      </w:r>
      <w:r w:rsidR="00DF4181" w:rsidRPr="00D32942">
        <w:rPr>
          <w:sz w:val="20"/>
          <w:szCs w:val="20"/>
          <w:lang w:val="es-ES"/>
        </w:rPr>
        <w:t>n</w:t>
      </w:r>
      <w:r w:rsidR="00315AF2" w:rsidRPr="00D32942">
        <w:rPr>
          <w:sz w:val="20"/>
          <w:szCs w:val="20"/>
          <w:lang w:val="es-ES"/>
        </w:rPr>
        <w:t xml:space="preserve"> que </w:t>
      </w:r>
      <w:r w:rsidR="00C75F85" w:rsidRPr="00D32942">
        <w:rPr>
          <w:sz w:val="20"/>
          <w:szCs w:val="20"/>
          <w:lang w:val="es-ES"/>
        </w:rPr>
        <w:t>l</w:t>
      </w:r>
      <w:r w:rsidR="00342E04" w:rsidRPr="00D32942">
        <w:rPr>
          <w:sz w:val="20"/>
          <w:szCs w:val="20"/>
          <w:lang w:val="es-ES"/>
        </w:rPr>
        <w:t>uego de comer,</w:t>
      </w:r>
      <w:r w:rsidR="00B473B2" w:rsidRPr="00D32942">
        <w:rPr>
          <w:sz w:val="20"/>
          <w:szCs w:val="20"/>
          <w:lang w:val="es-ES"/>
        </w:rPr>
        <w:t xml:space="preserve"> </w:t>
      </w:r>
      <w:r w:rsidR="00A9272E" w:rsidRPr="00D32942">
        <w:rPr>
          <w:sz w:val="20"/>
          <w:szCs w:val="20"/>
          <w:lang w:val="es-ES"/>
        </w:rPr>
        <w:t>cerca de</w:t>
      </w:r>
      <w:r w:rsidR="00B473B2" w:rsidRPr="00D32942">
        <w:rPr>
          <w:sz w:val="20"/>
          <w:szCs w:val="20"/>
          <w:lang w:val="es-ES"/>
        </w:rPr>
        <w:t xml:space="preserve"> las 5.15 p.m.</w:t>
      </w:r>
      <w:r w:rsidR="00342E04" w:rsidRPr="00D32942">
        <w:rPr>
          <w:sz w:val="20"/>
          <w:szCs w:val="20"/>
          <w:lang w:val="es-ES"/>
        </w:rPr>
        <w:t xml:space="preserve"> </w:t>
      </w:r>
      <w:r w:rsidR="0060016F" w:rsidRPr="00D32942">
        <w:rPr>
          <w:sz w:val="20"/>
          <w:szCs w:val="20"/>
          <w:lang w:val="es-ES"/>
        </w:rPr>
        <w:t xml:space="preserve">un grupo de soldados </w:t>
      </w:r>
      <w:r w:rsidR="00342E04" w:rsidRPr="00D32942">
        <w:rPr>
          <w:sz w:val="20"/>
          <w:szCs w:val="20"/>
          <w:lang w:val="es-ES"/>
        </w:rPr>
        <w:t xml:space="preserve">de las compañías "armazón", "mulato" y "roblé" adscritos </w:t>
      </w:r>
      <w:r w:rsidR="00C75F85" w:rsidRPr="00D32942">
        <w:rPr>
          <w:sz w:val="20"/>
          <w:szCs w:val="20"/>
          <w:lang w:val="es-ES"/>
        </w:rPr>
        <w:t>a la Brigada Móvil N</w:t>
      </w:r>
      <w:r w:rsidR="00342E04" w:rsidRPr="00D32942">
        <w:rPr>
          <w:sz w:val="20"/>
          <w:szCs w:val="20"/>
          <w:lang w:val="es-ES"/>
        </w:rPr>
        <w:t>.</w:t>
      </w:r>
      <w:r w:rsidR="00C75F85" w:rsidRPr="00D32942">
        <w:rPr>
          <w:sz w:val="20"/>
          <w:szCs w:val="20"/>
          <w:lang w:val="es-ES"/>
        </w:rPr>
        <w:t xml:space="preserve"> </w:t>
      </w:r>
      <w:r w:rsidR="00342E04" w:rsidRPr="00D32942">
        <w:rPr>
          <w:sz w:val="20"/>
          <w:szCs w:val="20"/>
          <w:lang w:val="es-ES"/>
        </w:rPr>
        <w:t>1</w:t>
      </w:r>
      <w:r w:rsidR="00C75F85" w:rsidRPr="00D32942">
        <w:rPr>
          <w:rStyle w:val="FootnoteReference"/>
          <w:sz w:val="20"/>
          <w:szCs w:val="20"/>
          <w:lang w:val="es-ES"/>
        </w:rPr>
        <w:footnoteReference w:id="2"/>
      </w:r>
      <w:r w:rsidR="00342E04" w:rsidRPr="00D32942">
        <w:rPr>
          <w:sz w:val="20"/>
          <w:szCs w:val="20"/>
          <w:lang w:val="es-ES"/>
        </w:rPr>
        <w:t xml:space="preserve"> que se encontraban patrullando por el sector, </w:t>
      </w:r>
      <w:r w:rsidR="002F0393" w:rsidRPr="00D32942">
        <w:rPr>
          <w:sz w:val="20"/>
          <w:szCs w:val="20"/>
          <w:lang w:val="es-ES"/>
        </w:rPr>
        <w:t>rodearon</w:t>
      </w:r>
      <w:r w:rsidR="0060016F" w:rsidRPr="00D32942">
        <w:rPr>
          <w:sz w:val="20"/>
          <w:szCs w:val="20"/>
          <w:lang w:val="es-ES"/>
        </w:rPr>
        <w:t xml:space="preserve"> sigilosamente la vivienda y abrieron fue</w:t>
      </w:r>
      <w:r w:rsidR="000B0394" w:rsidRPr="00D32942">
        <w:rPr>
          <w:sz w:val="20"/>
          <w:szCs w:val="20"/>
          <w:lang w:val="es-ES"/>
        </w:rPr>
        <w:t>go</w:t>
      </w:r>
      <w:r w:rsidR="0060016F" w:rsidRPr="00D32942">
        <w:rPr>
          <w:sz w:val="20"/>
          <w:szCs w:val="20"/>
          <w:lang w:val="es-ES"/>
        </w:rPr>
        <w:t xml:space="preserve"> de manera indiscriminada contra todos los ocupantes de la casa. </w:t>
      </w:r>
    </w:p>
    <w:p w:rsidR="00F0018C" w:rsidRPr="00D32942" w:rsidRDefault="00F0018C" w:rsidP="00AE3884">
      <w:pPr>
        <w:jc w:val="both"/>
        <w:rPr>
          <w:rFonts w:ascii="Cambria" w:hAnsi="Cambria"/>
          <w:sz w:val="20"/>
          <w:szCs w:val="20"/>
          <w:lang w:val="es-ES"/>
        </w:rPr>
      </w:pPr>
    </w:p>
    <w:p w:rsidR="00F0018C" w:rsidRPr="00D32942" w:rsidRDefault="00000567" w:rsidP="00F001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lastRenderedPageBreak/>
        <w:t xml:space="preserve">Alegan que, a consecuencia de los disparos, murieron la </w:t>
      </w:r>
      <w:r w:rsidR="00A07231" w:rsidRPr="00D32942">
        <w:rPr>
          <w:sz w:val="20"/>
          <w:szCs w:val="20"/>
          <w:lang w:val="es-ES"/>
        </w:rPr>
        <w:t>niña</w:t>
      </w:r>
      <w:r w:rsidRPr="00D32942">
        <w:rPr>
          <w:sz w:val="20"/>
          <w:szCs w:val="20"/>
          <w:lang w:val="es-ES"/>
        </w:rPr>
        <w:t xml:space="preserve"> Martha Cecilia Ayure Quintero</w:t>
      </w:r>
      <w:r w:rsidR="00093B0D" w:rsidRPr="00D32942">
        <w:rPr>
          <w:sz w:val="20"/>
          <w:szCs w:val="20"/>
          <w:lang w:val="es-ES"/>
        </w:rPr>
        <w:t xml:space="preserve"> </w:t>
      </w:r>
      <w:r w:rsidR="009864E0" w:rsidRPr="00D32942">
        <w:rPr>
          <w:sz w:val="20"/>
          <w:szCs w:val="20"/>
          <w:lang w:val="es-ES"/>
        </w:rPr>
        <w:t>“</w:t>
      </w:r>
      <w:r w:rsidR="00713218" w:rsidRPr="00D32942">
        <w:rPr>
          <w:sz w:val="20"/>
          <w:szCs w:val="20"/>
          <w:lang w:val="es-ES"/>
        </w:rPr>
        <w:t>quien estaba claramente identifica</w:t>
      </w:r>
      <w:r w:rsidR="009864E0" w:rsidRPr="00D32942">
        <w:rPr>
          <w:sz w:val="20"/>
          <w:szCs w:val="20"/>
          <w:lang w:val="es-ES"/>
        </w:rPr>
        <w:t xml:space="preserve">da como civil, vestida con una </w:t>
      </w:r>
      <w:r w:rsidR="00713218" w:rsidRPr="00D32942">
        <w:rPr>
          <w:sz w:val="20"/>
          <w:szCs w:val="20"/>
          <w:lang w:val="es-ES"/>
        </w:rPr>
        <w:t>blusa azul con florecitas blancas, short verde"</w:t>
      </w:r>
      <w:r w:rsidRPr="00D32942">
        <w:rPr>
          <w:sz w:val="20"/>
          <w:szCs w:val="20"/>
          <w:lang w:val="es-ES"/>
        </w:rPr>
        <w:t xml:space="preserve">, </w:t>
      </w:r>
      <w:r w:rsidR="009864E0" w:rsidRPr="00D32942">
        <w:rPr>
          <w:sz w:val="20"/>
          <w:szCs w:val="20"/>
          <w:lang w:val="es-ES"/>
        </w:rPr>
        <w:t xml:space="preserve">y </w:t>
      </w:r>
      <w:r w:rsidRPr="00D32942">
        <w:rPr>
          <w:sz w:val="20"/>
          <w:szCs w:val="20"/>
          <w:lang w:val="es-ES"/>
        </w:rPr>
        <w:t>los dos presuntos guerrilleros Marcos</w:t>
      </w:r>
      <w:r w:rsidR="00713218" w:rsidRPr="00D32942">
        <w:rPr>
          <w:sz w:val="20"/>
          <w:szCs w:val="20"/>
          <w:lang w:val="es-ES"/>
        </w:rPr>
        <w:t xml:space="preserve"> </w:t>
      </w:r>
      <w:r w:rsidR="009864E0" w:rsidRPr="00D32942">
        <w:rPr>
          <w:sz w:val="20"/>
          <w:szCs w:val="20"/>
          <w:lang w:val="es-ES"/>
        </w:rPr>
        <w:t>Bonilla Vasallo y Moisés García;</w:t>
      </w:r>
      <w:r w:rsidRPr="00D32942">
        <w:rPr>
          <w:sz w:val="20"/>
          <w:szCs w:val="20"/>
          <w:lang w:val="es-ES"/>
        </w:rPr>
        <w:t xml:space="preserve"> </w:t>
      </w:r>
      <w:r w:rsidR="00713218" w:rsidRPr="00D32942">
        <w:rPr>
          <w:sz w:val="20"/>
          <w:szCs w:val="20"/>
          <w:lang w:val="es-ES"/>
        </w:rPr>
        <w:t xml:space="preserve">y resultaron gravemente heridas Matilde Quintero y </w:t>
      </w:r>
      <w:r w:rsidR="00A07231" w:rsidRPr="00D32942">
        <w:rPr>
          <w:sz w:val="20"/>
          <w:szCs w:val="20"/>
          <w:lang w:val="es-ES"/>
        </w:rPr>
        <w:t>su hija</w:t>
      </w:r>
      <w:r w:rsidR="00713218" w:rsidRPr="00D32942">
        <w:rPr>
          <w:sz w:val="20"/>
          <w:szCs w:val="20"/>
          <w:lang w:val="es-ES"/>
        </w:rPr>
        <w:t xml:space="preserve"> Sandra Milena Ayure. Además </w:t>
      </w:r>
      <w:r w:rsidR="00C42C40">
        <w:rPr>
          <w:sz w:val="20"/>
          <w:szCs w:val="20"/>
          <w:lang w:val="es-ES"/>
        </w:rPr>
        <w:t xml:space="preserve">de lo anterior, </w:t>
      </w:r>
      <w:r w:rsidR="00315AF2" w:rsidRPr="00D32942">
        <w:rPr>
          <w:sz w:val="20"/>
          <w:szCs w:val="20"/>
          <w:lang w:val="es-ES"/>
        </w:rPr>
        <w:t xml:space="preserve">el grupo de soldados habría </w:t>
      </w:r>
      <w:r w:rsidR="00713218" w:rsidRPr="00D32942">
        <w:rPr>
          <w:sz w:val="20"/>
          <w:szCs w:val="20"/>
          <w:lang w:val="es-ES"/>
        </w:rPr>
        <w:t>causa</w:t>
      </w:r>
      <w:r w:rsidR="00315AF2" w:rsidRPr="00D32942">
        <w:rPr>
          <w:sz w:val="20"/>
          <w:szCs w:val="20"/>
          <w:lang w:val="es-ES"/>
        </w:rPr>
        <w:t>d</w:t>
      </w:r>
      <w:r w:rsidR="00713218" w:rsidRPr="00D32942">
        <w:rPr>
          <w:sz w:val="20"/>
          <w:szCs w:val="20"/>
          <w:lang w:val="es-ES"/>
        </w:rPr>
        <w:t>o daños materiales a la vivienda, muebles, enseres y animales propiedad de la familia Ayure Quintero, entre los que se cuentan tres vacas hembras, un toro reproductor, 15 ovejas, 70 gallinas, cobijas, va</w:t>
      </w:r>
      <w:r w:rsidR="00AF2A4A" w:rsidRPr="00D32942">
        <w:rPr>
          <w:sz w:val="20"/>
          <w:szCs w:val="20"/>
          <w:lang w:val="es-ES"/>
        </w:rPr>
        <w:t>jillas, herramientas de trabajo, 50 cargas de arroz y 60 cargas de maíz.</w:t>
      </w:r>
    </w:p>
    <w:p w:rsidR="00B03D53" w:rsidRPr="00D32942" w:rsidRDefault="00B03D53" w:rsidP="00B03D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F0018C" w:rsidRPr="00D32942" w:rsidRDefault="008E06EE" w:rsidP="00B473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Expresan que</w:t>
      </w:r>
      <w:r w:rsidR="00365FE3" w:rsidRPr="00D32942">
        <w:rPr>
          <w:sz w:val="20"/>
          <w:szCs w:val="20"/>
          <w:lang w:val="es-ES"/>
        </w:rPr>
        <w:t>,</w:t>
      </w:r>
      <w:r w:rsidRPr="00D32942">
        <w:rPr>
          <w:sz w:val="20"/>
          <w:szCs w:val="20"/>
          <w:lang w:val="es-ES"/>
        </w:rPr>
        <w:t xml:space="preserve"> a las 6.00 p.m. aproximadamente</w:t>
      </w:r>
      <w:r w:rsidR="00A9272E" w:rsidRPr="00D32942">
        <w:rPr>
          <w:sz w:val="20"/>
          <w:szCs w:val="20"/>
          <w:lang w:val="es-ES"/>
        </w:rPr>
        <w:t>,</w:t>
      </w:r>
      <w:r w:rsidR="00315AF2" w:rsidRPr="00D32942">
        <w:rPr>
          <w:sz w:val="20"/>
          <w:szCs w:val="20"/>
          <w:lang w:val="es-ES"/>
        </w:rPr>
        <w:t xml:space="preserve"> un helicóptero del Ejército Nacional habría </w:t>
      </w:r>
      <w:r w:rsidR="009864E0" w:rsidRPr="00D32942">
        <w:rPr>
          <w:sz w:val="20"/>
          <w:szCs w:val="20"/>
          <w:lang w:val="es-ES"/>
        </w:rPr>
        <w:t>traslada</w:t>
      </w:r>
      <w:r w:rsidR="00315AF2" w:rsidRPr="00D32942">
        <w:rPr>
          <w:sz w:val="20"/>
          <w:szCs w:val="20"/>
          <w:lang w:val="es-ES"/>
        </w:rPr>
        <w:t>d</w:t>
      </w:r>
      <w:r w:rsidR="009864E0" w:rsidRPr="00D32942">
        <w:rPr>
          <w:sz w:val="20"/>
          <w:szCs w:val="20"/>
          <w:lang w:val="es-ES"/>
        </w:rPr>
        <w:t xml:space="preserve">o </w:t>
      </w:r>
      <w:r w:rsidR="00315AF2" w:rsidRPr="00D32942">
        <w:rPr>
          <w:sz w:val="20"/>
          <w:szCs w:val="20"/>
          <w:lang w:val="es-ES"/>
        </w:rPr>
        <w:t xml:space="preserve">a </w:t>
      </w:r>
      <w:r w:rsidR="009864E0" w:rsidRPr="00D32942">
        <w:rPr>
          <w:sz w:val="20"/>
          <w:szCs w:val="20"/>
          <w:lang w:val="es-ES"/>
        </w:rPr>
        <w:t>l</w:t>
      </w:r>
      <w:r w:rsidRPr="00D32942">
        <w:rPr>
          <w:sz w:val="20"/>
          <w:szCs w:val="20"/>
          <w:lang w:val="es-ES"/>
        </w:rPr>
        <w:t xml:space="preserve">a señora Matilde Quintero y la niña Sandra Milena Ayure </w:t>
      </w:r>
      <w:r w:rsidR="007E4F3D" w:rsidRPr="00D32942">
        <w:rPr>
          <w:sz w:val="20"/>
          <w:szCs w:val="20"/>
          <w:lang w:val="es-ES"/>
        </w:rPr>
        <w:t>a</w:t>
      </w:r>
      <w:r w:rsidR="005F70E3" w:rsidRPr="00D32942">
        <w:rPr>
          <w:sz w:val="20"/>
          <w:szCs w:val="20"/>
          <w:lang w:val="es-ES"/>
        </w:rPr>
        <w:t>l</w:t>
      </w:r>
      <w:r w:rsidR="007E4F3D" w:rsidRPr="00D32942">
        <w:rPr>
          <w:sz w:val="20"/>
          <w:szCs w:val="20"/>
          <w:lang w:val="es-ES"/>
        </w:rPr>
        <w:t xml:space="preserve"> </w:t>
      </w:r>
      <w:r w:rsidR="005F70E3" w:rsidRPr="00D32942">
        <w:rPr>
          <w:sz w:val="20"/>
          <w:szCs w:val="20"/>
          <w:lang w:val="es-ES"/>
        </w:rPr>
        <w:t xml:space="preserve">Hospital Militar Central de </w:t>
      </w:r>
      <w:r w:rsidR="007E4F3D" w:rsidRPr="00D32942">
        <w:rPr>
          <w:sz w:val="20"/>
          <w:szCs w:val="20"/>
          <w:lang w:val="es-ES"/>
        </w:rPr>
        <w:t>la ciudad de Bogotá</w:t>
      </w:r>
      <w:r w:rsidR="00AE3884" w:rsidRPr="00D32942">
        <w:rPr>
          <w:sz w:val="20"/>
          <w:szCs w:val="20"/>
          <w:lang w:val="es-ES"/>
        </w:rPr>
        <w:t xml:space="preserve">, dejando el cuerpo sin vida de Martha Cecilia en la </w:t>
      </w:r>
      <w:r w:rsidR="00A9272E" w:rsidRPr="00D32942">
        <w:rPr>
          <w:sz w:val="20"/>
          <w:szCs w:val="20"/>
          <w:lang w:val="es-ES"/>
        </w:rPr>
        <w:t>habitación</w:t>
      </w:r>
      <w:r w:rsidR="005F70E3" w:rsidRPr="00D32942">
        <w:rPr>
          <w:sz w:val="20"/>
          <w:szCs w:val="20"/>
          <w:lang w:val="es-ES"/>
        </w:rPr>
        <w:t>.</w:t>
      </w:r>
      <w:r w:rsidR="00057773" w:rsidRPr="00D32942">
        <w:rPr>
          <w:sz w:val="20"/>
          <w:szCs w:val="20"/>
          <w:lang w:val="es-ES"/>
        </w:rPr>
        <w:t xml:space="preserve"> Indican que</w:t>
      </w:r>
      <w:r w:rsidR="000B0394" w:rsidRPr="00D32942">
        <w:rPr>
          <w:sz w:val="20"/>
          <w:szCs w:val="20"/>
          <w:lang w:val="es-ES"/>
        </w:rPr>
        <w:t xml:space="preserve"> </w:t>
      </w:r>
      <w:r w:rsidR="00365FE3" w:rsidRPr="00D32942">
        <w:rPr>
          <w:sz w:val="20"/>
          <w:szCs w:val="20"/>
          <w:lang w:val="es-ES"/>
        </w:rPr>
        <w:t>el padre de las menores</w:t>
      </w:r>
      <w:r w:rsidR="00DC155A" w:rsidRPr="00D32942">
        <w:rPr>
          <w:sz w:val="20"/>
          <w:szCs w:val="20"/>
          <w:lang w:val="es-ES"/>
        </w:rPr>
        <w:t>,</w:t>
      </w:r>
      <w:r w:rsidR="00365FE3" w:rsidRPr="00D32942">
        <w:rPr>
          <w:sz w:val="20"/>
          <w:szCs w:val="20"/>
          <w:lang w:val="es-ES"/>
        </w:rPr>
        <w:t xml:space="preserve"> señor Eusebio Ayure, se encontraba en una finca cercana a la vivienda</w:t>
      </w:r>
      <w:r w:rsidR="007E4F3D" w:rsidRPr="00D32942">
        <w:rPr>
          <w:sz w:val="20"/>
          <w:szCs w:val="20"/>
          <w:lang w:val="es-ES"/>
        </w:rPr>
        <w:t xml:space="preserve"> y al</w:t>
      </w:r>
      <w:r w:rsidR="00365FE3" w:rsidRPr="00D32942">
        <w:rPr>
          <w:sz w:val="20"/>
          <w:szCs w:val="20"/>
          <w:lang w:val="es-ES"/>
        </w:rPr>
        <w:t xml:space="preserve"> escuchar los d</w:t>
      </w:r>
      <w:r w:rsidR="009864E0" w:rsidRPr="00D32942">
        <w:rPr>
          <w:sz w:val="20"/>
          <w:szCs w:val="20"/>
          <w:lang w:val="es-ES"/>
        </w:rPr>
        <w:t>isparos se dirigi</w:t>
      </w:r>
      <w:r w:rsidR="00057773" w:rsidRPr="00D32942">
        <w:rPr>
          <w:sz w:val="20"/>
          <w:szCs w:val="20"/>
          <w:lang w:val="es-ES"/>
        </w:rPr>
        <w:t>ó</w:t>
      </w:r>
      <w:r w:rsidR="009864E0" w:rsidRPr="00D32942">
        <w:rPr>
          <w:sz w:val="20"/>
          <w:szCs w:val="20"/>
          <w:lang w:val="es-ES"/>
        </w:rPr>
        <w:t xml:space="preserve"> a la casa</w:t>
      </w:r>
      <w:r w:rsidR="00365FE3" w:rsidRPr="00D32942">
        <w:rPr>
          <w:sz w:val="20"/>
          <w:szCs w:val="20"/>
          <w:lang w:val="es-ES"/>
        </w:rPr>
        <w:t xml:space="preserve"> pero fue</w:t>
      </w:r>
      <w:r w:rsidR="00057773" w:rsidRPr="00D32942">
        <w:rPr>
          <w:sz w:val="20"/>
          <w:szCs w:val="20"/>
          <w:lang w:val="es-ES"/>
        </w:rPr>
        <w:t xml:space="preserve"> impedido</w:t>
      </w:r>
      <w:r w:rsidR="00365FE3" w:rsidRPr="00D32942">
        <w:rPr>
          <w:sz w:val="20"/>
          <w:szCs w:val="20"/>
          <w:lang w:val="es-ES"/>
        </w:rPr>
        <w:t xml:space="preserve"> de avanzar por miembros de la Brigada Móvil No. 1, quienes l</w:t>
      </w:r>
      <w:r w:rsidR="00057773" w:rsidRPr="00D32942">
        <w:rPr>
          <w:sz w:val="20"/>
          <w:szCs w:val="20"/>
          <w:lang w:val="es-ES"/>
        </w:rPr>
        <w:t>o</w:t>
      </w:r>
      <w:r w:rsidR="00365FE3" w:rsidRPr="00D32942">
        <w:rPr>
          <w:sz w:val="20"/>
          <w:szCs w:val="20"/>
          <w:lang w:val="es-ES"/>
        </w:rPr>
        <w:t xml:space="preserve"> interrog</w:t>
      </w:r>
      <w:r w:rsidR="00057773" w:rsidRPr="00D32942">
        <w:rPr>
          <w:sz w:val="20"/>
          <w:szCs w:val="20"/>
          <w:lang w:val="es-ES"/>
        </w:rPr>
        <w:t>aron sobre sus actividades y le</w:t>
      </w:r>
      <w:r w:rsidR="00365FE3" w:rsidRPr="00D32942">
        <w:rPr>
          <w:sz w:val="20"/>
          <w:szCs w:val="20"/>
          <w:lang w:val="es-ES"/>
        </w:rPr>
        <w:t xml:space="preserve"> aseguraron que su familia se encontraba sana y salva en la cabecera municipal</w:t>
      </w:r>
      <w:r w:rsidR="009864E0" w:rsidRPr="00D32942">
        <w:rPr>
          <w:sz w:val="20"/>
          <w:szCs w:val="20"/>
          <w:lang w:val="es-ES"/>
        </w:rPr>
        <w:t>.</w:t>
      </w:r>
    </w:p>
    <w:p w:rsidR="00F0018C" w:rsidRPr="00D32942" w:rsidRDefault="00F0018C" w:rsidP="00F0018C">
      <w:pPr>
        <w:pStyle w:val="ListParagraph"/>
        <w:jc w:val="both"/>
        <w:rPr>
          <w:sz w:val="20"/>
          <w:szCs w:val="20"/>
          <w:lang w:val="es-ES"/>
        </w:rPr>
      </w:pPr>
    </w:p>
    <w:p w:rsidR="00C9586D" w:rsidRPr="00D32942" w:rsidRDefault="00DC155A" w:rsidP="00373CB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Indican que el señor Eu</w:t>
      </w:r>
      <w:r w:rsidR="005F70E3" w:rsidRPr="00D32942">
        <w:rPr>
          <w:sz w:val="20"/>
          <w:szCs w:val="20"/>
          <w:lang w:val="es-ES"/>
        </w:rPr>
        <w:t>sebio Ayure</w:t>
      </w:r>
      <w:r w:rsidRPr="00D32942">
        <w:rPr>
          <w:sz w:val="20"/>
          <w:szCs w:val="20"/>
          <w:lang w:val="es-ES"/>
        </w:rPr>
        <w:t xml:space="preserve"> se enteró por los medios de comunicación sobre la muerte</w:t>
      </w:r>
      <w:r w:rsidR="000139C3" w:rsidRPr="00D32942">
        <w:rPr>
          <w:sz w:val="20"/>
          <w:szCs w:val="20"/>
          <w:lang w:val="es-ES"/>
        </w:rPr>
        <w:t xml:space="preserve"> </w:t>
      </w:r>
      <w:r w:rsidRPr="00D32942">
        <w:rPr>
          <w:sz w:val="20"/>
          <w:szCs w:val="20"/>
          <w:lang w:val="es-ES"/>
        </w:rPr>
        <w:t>de su hija Martha Cecilia y las heridas de su esposa e hija, ya que</w:t>
      </w:r>
      <w:r w:rsidR="009F2A7F" w:rsidRPr="00D32942">
        <w:rPr>
          <w:sz w:val="20"/>
          <w:szCs w:val="20"/>
          <w:lang w:val="es-ES"/>
        </w:rPr>
        <w:t xml:space="preserve"> estas</w:t>
      </w:r>
      <w:r w:rsidRPr="00D32942">
        <w:rPr>
          <w:sz w:val="20"/>
          <w:szCs w:val="20"/>
          <w:lang w:val="es-ES"/>
        </w:rPr>
        <w:t xml:space="preserve"> </w:t>
      </w:r>
      <w:r w:rsidR="009F2A7F" w:rsidRPr="00D32942">
        <w:rPr>
          <w:sz w:val="20"/>
          <w:szCs w:val="20"/>
          <w:lang w:val="es-ES"/>
        </w:rPr>
        <w:t xml:space="preserve">se encontraban incomunicadas en el </w:t>
      </w:r>
      <w:r w:rsidR="002A681F" w:rsidRPr="00D32942">
        <w:rPr>
          <w:sz w:val="20"/>
          <w:szCs w:val="20"/>
          <w:lang w:val="es-ES"/>
        </w:rPr>
        <w:t>Hospital</w:t>
      </w:r>
      <w:r w:rsidR="00F41A7A" w:rsidRPr="00D32942">
        <w:rPr>
          <w:sz w:val="20"/>
          <w:szCs w:val="20"/>
          <w:lang w:val="es-ES"/>
        </w:rPr>
        <w:t xml:space="preserve"> </w:t>
      </w:r>
      <w:r w:rsidR="002A681F" w:rsidRPr="00D32942">
        <w:rPr>
          <w:sz w:val="20"/>
          <w:szCs w:val="20"/>
          <w:lang w:val="es-ES"/>
        </w:rPr>
        <w:t xml:space="preserve">Central </w:t>
      </w:r>
      <w:r w:rsidR="009F2A7F" w:rsidRPr="00D32942">
        <w:rPr>
          <w:sz w:val="20"/>
          <w:szCs w:val="20"/>
          <w:lang w:val="es-ES"/>
        </w:rPr>
        <w:t xml:space="preserve">de Bogotá. </w:t>
      </w:r>
      <w:r w:rsidR="007E2015" w:rsidRPr="00D32942">
        <w:rPr>
          <w:sz w:val="20"/>
          <w:szCs w:val="20"/>
          <w:lang w:val="es-ES"/>
        </w:rPr>
        <w:t>Alegan que e</w:t>
      </w:r>
      <w:r w:rsidR="002A681F" w:rsidRPr="00D32942">
        <w:rPr>
          <w:sz w:val="20"/>
          <w:szCs w:val="20"/>
          <w:lang w:val="es-ES"/>
        </w:rPr>
        <w:t xml:space="preserve">n los siguientes días </w:t>
      </w:r>
      <w:r w:rsidR="009F2A7F" w:rsidRPr="00D32942">
        <w:rPr>
          <w:sz w:val="20"/>
          <w:szCs w:val="20"/>
          <w:lang w:val="es-ES"/>
        </w:rPr>
        <w:t xml:space="preserve">el </w:t>
      </w:r>
      <w:r w:rsidR="00F841FB" w:rsidRPr="00D32942">
        <w:rPr>
          <w:sz w:val="20"/>
          <w:szCs w:val="20"/>
          <w:lang w:val="es-ES"/>
        </w:rPr>
        <w:t xml:space="preserve">señor </w:t>
      </w:r>
      <w:r w:rsidRPr="00D32942">
        <w:rPr>
          <w:sz w:val="20"/>
          <w:szCs w:val="20"/>
          <w:lang w:val="es-ES"/>
        </w:rPr>
        <w:t>Ayure</w:t>
      </w:r>
      <w:r w:rsidR="009F2A7F" w:rsidRPr="00D32942">
        <w:rPr>
          <w:sz w:val="20"/>
          <w:szCs w:val="20"/>
          <w:lang w:val="es-ES"/>
        </w:rPr>
        <w:t xml:space="preserve"> </w:t>
      </w:r>
      <w:r w:rsidRPr="00D32942">
        <w:rPr>
          <w:sz w:val="20"/>
          <w:szCs w:val="20"/>
          <w:lang w:val="es-ES"/>
        </w:rPr>
        <w:t xml:space="preserve">intentó infructuosamente comunicarse con </w:t>
      </w:r>
      <w:r w:rsidR="00315AF2" w:rsidRPr="00D32942">
        <w:rPr>
          <w:sz w:val="20"/>
          <w:szCs w:val="20"/>
          <w:lang w:val="es-ES"/>
        </w:rPr>
        <w:t>su familia</w:t>
      </w:r>
      <w:r w:rsidRPr="00D32942">
        <w:rPr>
          <w:sz w:val="20"/>
          <w:szCs w:val="20"/>
          <w:lang w:val="es-ES"/>
        </w:rPr>
        <w:t>,</w:t>
      </w:r>
      <w:r w:rsidR="002A681F" w:rsidRPr="00D32942">
        <w:rPr>
          <w:sz w:val="20"/>
          <w:szCs w:val="20"/>
          <w:lang w:val="es-ES"/>
        </w:rPr>
        <w:t xml:space="preserve"> pero en dicho hospital le decían que allí no estaban </w:t>
      </w:r>
      <w:r w:rsidR="00F41A7A" w:rsidRPr="00D32942">
        <w:rPr>
          <w:sz w:val="20"/>
          <w:szCs w:val="20"/>
          <w:lang w:val="es-ES"/>
        </w:rPr>
        <w:t>interna</w:t>
      </w:r>
      <w:r w:rsidR="002A681F" w:rsidRPr="00D32942">
        <w:rPr>
          <w:sz w:val="20"/>
          <w:szCs w:val="20"/>
          <w:lang w:val="es-ES"/>
        </w:rPr>
        <w:t xml:space="preserve">das. Ante esta situación, </w:t>
      </w:r>
      <w:r w:rsidR="007E2015" w:rsidRPr="00D32942">
        <w:rPr>
          <w:sz w:val="20"/>
          <w:szCs w:val="20"/>
          <w:lang w:val="es-ES"/>
        </w:rPr>
        <w:t xml:space="preserve">el 28 de mayo de 1992 </w:t>
      </w:r>
      <w:r w:rsidR="002A681F" w:rsidRPr="00D32942">
        <w:rPr>
          <w:sz w:val="20"/>
          <w:szCs w:val="20"/>
          <w:lang w:val="es-ES"/>
        </w:rPr>
        <w:t>presentó queja ante la Procuraduría General de la nación, entidad que efectuó una visita el mismo día, verificando que Matilde Quintero y Sandra Milena Ayure</w:t>
      </w:r>
      <w:r w:rsidR="007E2015" w:rsidRPr="00D32942">
        <w:rPr>
          <w:sz w:val="20"/>
          <w:szCs w:val="20"/>
          <w:lang w:val="es-ES"/>
        </w:rPr>
        <w:t xml:space="preserve"> efectivamente</w:t>
      </w:r>
      <w:r w:rsidR="001F05D8" w:rsidRPr="00D32942">
        <w:rPr>
          <w:sz w:val="20"/>
          <w:szCs w:val="20"/>
          <w:lang w:val="es-ES"/>
        </w:rPr>
        <w:t xml:space="preserve"> se encontraban en es</w:t>
      </w:r>
      <w:r w:rsidR="002A681F" w:rsidRPr="00D32942">
        <w:rPr>
          <w:sz w:val="20"/>
          <w:szCs w:val="20"/>
          <w:lang w:val="es-ES"/>
        </w:rPr>
        <w:t xml:space="preserve">e </w:t>
      </w:r>
      <w:r w:rsidR="007E2015" w:rsidRPr="00D32942">
        <w:rPr>
          <w:sz w:val="20"/>
          <w:szCs w:val="20"/>
          <w:lang w:val="es-ES"/>
        </w:rPr>
        <w:t xml:space="preserve">centro hospitalario. </w:t>
      </w:r>
      <w:r w:rsidR="00A13DA0" w:rsidRPr="00D32942">
        <w:rPr>
          <w:sz w:val="20"/>
          <w:szCs w:val="20"/>
          <w:lang w:val="es-ES"/>
        </w:rPr>
        <w:t>Al mismo tiempo e</w:t>
      </w:r>
      <w:r w:rsidR="007E2015" w:rsidRPr="00D32942">
        <w:rPr>
          <w:sz w:val="20"/>
          <w:szCs w:val="20"/>
          <w:lang w:val="es-ES"/>
        </w:rPr>
        <w:t>l señor Ayure</w:t>
      </w:r>
      <w:r w:rsidR="002A681F" w:rsidRPr="00D32942">
        <w:rPr>
          <w:sz w:val="20"/>
          <w:szCs w:val="20"/>
          <w:lang w:val="es-ES"/>
        </w:rPr>
        <w:t xml:space="preserve"> </w:t>
      </w:r>
      <w:r w:rsidR="007E2015" w:rsidRPr="00D32942">
        <w:rPr>
          <w:sz w:val="20"/>
          <w:szCs w:val="20"/>
          <w:lang w:val="es-ES"/>
        </w:rPr>
        <w:t xml:space="preserve">también </w:t>
      </w:r>
      <w:r w:rsidR="002A681F" w:rsidRPr="00D32942">
        <w:rPr>
          <w:sz w:val="20"/>
          <w:szCs w:val="20"/>
          <w:lang w:val="es-ES"/>
        </w:rPr>
        <w:t xml:space="preserve">presentó una petición de hábeas corpus </w:t>
      </w:r>
      <w:r w:rsidR="007E2015" w:rsidRPr="00D32942">
        <w:rPr>
          <w:sz w:val="20"/>
          <w:szCs w:val="20"/>
          <w:lang w:val="es-ES"/>
        </w:rPr>
        <w:t>para encontrar a las familiares</w:t>
      </w:r>
      <w:r w:rsidR="00A13DA0" w:rsidRPr="00D32942">
        <w:rPr>
          <w:sz w:val="20"/>
          <w:szCs w:val="20"/>
          <w:lang w:val="es-ES"/>
        </w:rPr>
        <w:t>, con la intervención d</w:t>
      </w:r>
      <w:r w:rsidR="002A681F" w:rsidRPr="00D32942">
        <w:rPr>
          <w:sz w:val="20"/>
          <w:szCs w:val="20"/>
          <w:lang w:val="es-ES"/>
        </w:rPr>
        <w:t>el Comité Internacional de la Cruz Roja, con resultados positivos.</w:t>
      </w:r>
    </w:p>
    <w:p w:rsidR="00C9586D" w:rsidRPr="00D32942" w:rsidRDefault="00C9586D" w:rsidP="00C9586D">
      <w:pPr>
        <w:pStyle w:val="ListParagraph"/>
        <w:rPr>
          <w:sz w:val="20"/>
          <w:szCs w:val="20"/>
          <w:lang w:val="es-ES"/>
        </w:rPr>
      </w:pPr>
    </w:p>
    <w:p w:rsidR="00E64D61" w:rsidRPr="00D32942" w:rsidRDefault="00A07231" w:rsidP="00373CB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Además i</w:t>
      </w:r>
      <w:r w:rsidR="00DC155A" w:rsidRPr="00D32942">
        <w:rPr>
          <w:sz w:val="20"/>
          <w:szCs w:val="20"/>
          <w:lang w:val="es-ES"/>
        </w:rPr>
        <w:t xml:space="preserve">ndican que las niñas Graciela, Janeth e Ismenia </w:t>
      </w:r>
      <w:r w:rsidR="00DF04DC" w:rsidRPr="00D32942">
        <w:rPr>
          <w:sz w:val="20"/>
          <w:szCs w:val="20"/>
          <w:lang w:val="es-ES"/>
        </w:rPr>
        <w:t>permanecieron retenidas en el Bat</w:t>
      </w:r>
      <w:r w:rsidR="002B2B80" w:rsidRPr="00D32942">
        <w:rPr>
          <w:sz w:val="20"/>
          <w:szCs w:val="20"/>
          <w:lang w:val="es-ES"/>
        </w:rPr>
        <w:t>allón 21 Vargas durante 13 días</w:t>
      </w:r>
      <w:r w:rsidR="00DF04DC" w:rsidRPr="00D32942">
        <w:rPr>
          <w:sz w:val="20"/>
          <w:szCs w:val="20"/>
          <w:lang w:val="es-ES"/>
        </w:rPr>
        <w:t xml:space="preserve"> </w:t>
      </w:r>
      <w:r w:rsidR="002B2B80" w:rsidRPr="00D32942">
        <w:rPr>
          <w:sz w:val="20"/>
          <w:szCs w:val="20"/>
          <w:lang w:val="es-ES"/>
        </w:rPr>
        <w:t>-</w:t>
      </w:r>
      <w:r w:rsidR="00D06CA7" w:rsidRPr="00D32942">
        <w:rPr>
          <w:sz w:val="20"/>
          <w:szCs w:val="20"/>
          <w:lang w:val="es-ES"/>
        </w:rPr>
        <w:t>sin que para ello se contara con la autorización de la madre</w:t>
      </w:r>
      <w:r w:rsidR="002B2B80" w:rsidRPr="00D32942">
        <w:rPr>
          <w:sz w:val="20"/>
          <w:szCs w:val="20"/>
          <w:lang w:val="es-ES"/>
        </w:rPr>
        <w:t>-</w:t>
      </w:r>
      <w:r w:rsidR="00D06CA7" w:rsidRPr="00D32942">
        <w:rPr>
          <w:sz w:val="20"/>
          <w:szCs w:val="20"/>
          <w:lang w:val="es-ES"/>
        </w:rPr>
        <w:t xml:space="preserve"> y </w:t>
      </w:r>
      <w:r w:rsidR="001F05D8" w:rsidRPr="00D32942">
        <w:rPr>
          <w:sz w:val="20"/>
          <w:szCs w:val="20"/>
          <w:lang w:val="es-ES"/>
        </w:rPr>
        <w:t xml:space="preserve">solo </w:t>
      </w:r>
      <w:r w:rsidR="00D06CA7" w:rsidRPr="00D32942">
        <w:rPr>
          <w:sz w:val="20"/>
          <w:szCs w:val="20"/>
          <w:lang w:val="es-ES"/>
        </w:rPr>
        <w:t xml:space="preserve">el </w:t>
      </w:r>
      <w:r w:rsidR="00DC155A" w:rsidRPr="00D32942">
        <w:rPr>
          <w:sz w:val="20"/>
          <w:szCs w:val="20"/>
          <w:lang w:val="es-ES"/>
        </w:rPr>
        <w:t>26 de mayo de 1992</w:t>
      </w:r>
      <w:r w:rsidR="00D06CA7" w:rsidRPr="00D32942">
        <w:rPr>
          <w:sz w:val="20"/>
          <w:szCs w:val="20"/>
          <w:lang w:val="es-ES"/>
        </w:rPr>
        <w:t xml:space="preserve"> fueron trasladadas al Hogar Infantil Rafael Uribe, en La Uribe, departamento de Meta.</w:t>
      </w:r>
      <w:r w:rsidR="00ED3831" w:rsidRPr="00D32942">
        <w:rPr>
          <w:sz w:val="20"/>
          <w:szCs w:val="20"/>
          <w:lang w:val="es-ES"/>
        </w:rPr>
        <w:t xml:space="preserve"> </w:t>
      </w:r>
      <w:r w:rsidR="00E64D61" w:rsidRPr="00D32942">
        <w:rPr>
          <w:sz w:val="20"/>
          <w:szCs w:val="20"/>
          <w:lang w:val="es-ES"/>
        </w:rPr>
        <w:t>Argumentan que el día de los hechos Eusebio Ayure solicitó</w:t>
      </w:r>
      <w:r w:rsidR="002B2B80" w:rsidRPr="00D32942">
        <w:rPr>
          <w:sz w:val="20"/>
          <w:szCs w:val="20"/>
          <w:lang w:val="es-ES"/>
        </w:rPr>
        <w:t xml:space="preserve"> </w:t>
      </w:r>
      <w:r w:rsidR="001F05D8" w:rsidRPr="00D32942">
        <w:rPr>
          <w:sz w:val="20"/>
          <w:szCs w:val="20"/>
          <w:lang w:val="es-ES"/>
        </w:rPr>
        <w:t>reuni</w:t>
      </w:r>
      <w:r w:rsidR="002B2B80" w:rsidRPr="00D32942">
        <w:rPr>
          <w:sz w:val="20"/>
          <w:szCs w:val="20"/>
          <w:lang w:val="es-ES"/>
        </w:rPr>
        <w:t xml:space="preserve">rse con </w:t>
      </w:r>
      <w:r w:rsidR="00D06CA7" w:rsidRPr="00D32942">
        <w:rPr>
          <w:sz w:val="20"/>
          <w:szCs w:val="20"/>
          <w:lang w:val="es-ES"/>
        </w:rPr>
        <w:t>sus hijas y que</w:t>
      </w:r>
      <w:r w:rsidR="00E64D61" w:rsidRPr="00D32942">
        <w:rPr>
          <w:sz w:val="20"/>
          <w:szCs w:val="20"/>
          <w:lang w:val="es-ES"/>
        </w:rPr>
        <w:t xml:space="preserve"> el 16 de junio envió a una religiosa para que, </w:t>
      </w:r>
      <w:r w:rsidR="001F05D8" w:rsidRPr="00D32942">
        <w:rPr>
          <w:sz w:val="20"/>
          <w:szCs w:val="20"/>
          <w:lang w:val="es-ES"/>
        </w:rPr>
        <w:t>a través de su intermediario,</w:t>
      </w:r>
      <w:r w:rsidR="00E64D61" w:rsidRPr="00D32942">
        <w:rPr>
          <w:sz w:val="20"/>
          <w:szCs w:val="20"/>
          <w:lang w:val="es-ES"/>
        </w:rPr>
        <w:t xml:space="preserve"> le entregaran las niñas</w:t>
      </w:r>
      <w:r w:rsidR="00455EF9" w:rsidRPr="00D32942">
        <w:rPr>
          <w:sz w:val="20"/>
          <w:szCs w:val="20"/>
          <w:lang w:val="es-ES"/>
        </w:rPr>
        <w:t xml:space="preserve">, pero </w:t>
      </w:r>
      <w:r w:rsidR="0056136F" w:rsidRPr="00D32942">
        <w:rPr>
          <w:sz w:val="20"/>
          <w:szCs w:val="20"/>
          <w:lang w:val="es-ES"/>
        </w:rPr>
        <w:t>no obtuvo resultados</w:t>
      </w:r>
      <w:r w:rsidR="00E64D61" w:rsidRPr="00D32942">
        <w:rPr>
          <w:sz w:val="20"/>
          <w:szCs w:val="20"/>
          <w:lang w:val="es-ES"/>
        </w:rPr>
        <w:t>. El 3 de junio de 1992, el señor Ayure pidió ayuda al director regional del Instituto Colombiano de Bienestar Familiar (ICBF) para que las niñas pudieran reunirse con el resto de la familia en Bogotá.</w:t>
      </w:r>
      <w:r w:rsidR="00D06CA7" w:rsidRPr="00D32942">
        <w:rPr>
          <w:sz w:val="20"/>
          <w:szCs w:val="20"/>
          <w:lang w:val="es-ES"/>
        </w:rPr>
        <w:t xml:space="preserve"> </w:t>
      </w:r>
      <w:r w:rsidR="00455EF9" w:rsidRPr="00D32942">
        <w:rPr>
          <w:sz w:val="20"/>
          <w:szCs w:val="20"/>
          <w:lang w:val="es-ES"/>
        </w:rPr>
        <w:t>Indican que, finalmente, el 10 de junio de 1992</w:t>
      </w:r>
      <w:r w:rsidR="00D06CA7" w:rsidRPr="00D32942">
        <w:rPr>
          <w:sz w:val="20"/>
          <w:szCs w:val="20"/>
          <w:lang w:val="es-ES"/>
        </w:rPr>
        <w:t xml:space="preserve"> unas religiosas </w:t>
      </w:r>
      <w:r w:rsidR="004F3AD2" w:rsidRPr="00D32942">
        <w:rPr>
          <w:sz w:val="20"/>
          <w:szCs w:val="20"/>
          <w:lang w:val="es-ES"/>
        </w:rPr>
        <w:t>llevaron</w:t>
      </w:r>
      <w:r w:rsidR="00455EF9" w:rsidRPr="00D32942">
        <w:rPr>
          <w:sz w:val="20"/>
          <w:szCs w:val="20"/>
          <w:lang w:val="es-ES"/>
        </w:rPr>
        <w:t xml:space="preserve"> las niñas Graciela y Janeth a Bogotá</w:t>
      </w:r>
      <w:r w:rsidR="00D06CA7" w:rsidRPr="00D32942">
        <w:rPr>
          <w:sz w:val="20"/>
          <w:szCs w:val="20"/>
          <w:lang w:val="es-ES"/>
        </w:rPr>
        <w:t xml:space="preserve"> </w:t>
      </w:r>
      <w:r w:rsidR="00455EF9" w:rsidRPr="00D32942">
        <w:rPr>
          <w:sz w:val="20"/>
          <w:szCs w:val="20"/>
          <w:lang w:val="es-ES"/>
        </w:rPr>
        <w:t>donde</w:t>
      </w:r>
      <w:r w:rsidR="00D07DCC" w:rsidRPr="00D32942">
        <w:rPr>
          <w:sz w:val="20"/>
          <w:szCs w:val="20"/>
          <w:lang w:val="es-ES"/>
        </w:rPr>
        <w:t xml:space="preserve"> fueron entregadas a</w:t>
      </w:r>
      <w:r w:rsidR="00455EF9" w:rsidRPr="00D32942">
        <w:rPr>
          <w:sz w:val="20"/>
          <w:szCs w:val="20"/>
          <w:lang w:val="es-ES"/>
        </w:rPr>
        <w:t xml:space="preserve"> lo</w:t>
      </w:r>
      <w:r w:rsidR="007E2015" w:rsidRPr="00D32942">
        <w:rPr>
          <w:sz w:val="20"/>
          <w:szCs w:val="20"/>
          <w:lang w:val="es-ES"/>
        </w:rPr>
        <w:t>s padres;</w:t>
      </w:r>
      <w:r w:rsidR="004F3AD2" w:rsidRPr="00D32942">
        <w:rPr>
          <w:sz w:val="20"/>
          <w:szCs w:val="20"/>
          <w:lang w:val="es-ES"/>
        </w:rPr>
        <w:t xml:space="preserve"> Ismenia fue entregada a su padre biológico el señor Emilio Orjuela Téllez.</w:t>
      </w:r>
    </w:p>
    <w:p w:rsidR="00F0018C" w:rsidRPr="00D32942" w:rsidRDefault="00F0018C" w:rsidP="004F3AD2">
      <w:pPr>
        <w:jc w:val="both"/>
        <w:rPr>
          <w:rFonts w:ascii="Cambria" w:hAnsi="Cambria"/>
          <w:sz w:val="20"/>
          <w:szCs w:val="20"/>
          <w:lang w:val="es-ES"/>
        </w:rPr>
      </w:pPr>
    </w:p>
    <w:p w:rsidR="00023A3B" w:rsidRPr="00D32942" w:rsidRDefault="000513EB" w:rsidP="004534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Los peticionarios indican que</w:t>
      </w:r>
      <w:r w:rsidR="00482991" w:rsidRPr="00D32942">
        <w:rPr>
          <w:sz w:val="20"/>
          <w:szCs w:val="20"/>
          <w:lang w:val="es-ES"/>
        </w:rPr>
        <w:t xml:space="preserve"> además de la muerte</w:t>
      </w:r>
      <w:r w:rsidR="0045340E" w:rsidRPr="00D32942">
        <w:rPr>
          <w:sz w:val="20"/>
          <w:szCs w:val="20"/>
          <w:lang w:val="es-ES"/>
        </w:rPr>
        <w:t xml:space="preserve"> de </w:t>
      </w:r>
      <w:r w:rsidR="000A364C" w:rsidRPr="00D32942">
        <w:rPr>
          <w:sz w:val="20"/>
          <w:szCs w:val="20"/>
          <w:lang w:val="es-ES"/>
        </w:rPr>
        <w:t>Martha Cecilia Ayure Quintero</w:t>
      </w:r>
      <w:r w:rsidR="0045340E" w:rsidRPr="00D32942">
        <w:rPr>
          <w:sz w:val="20"/>
          <w:szCs w:val="20"/>
          <w:lang w:val="es-ES"/>
        </w:rPr>
        <w:t>, los disparos con arma de fuego de los elementos m</w:t>
      </w:r>
      <w:r w:rsidR="00570FBD" w:rsidRPr="00D32942">
        <w:rPr>
          <w:sz w:val="20"/>
          <w:szCs w:val="20"/>
          <w:lang w:val="es-ES"/>
        </w:rPr>
        <w:t>ilitares ocasionaron lesiones a</w:t>
      </w:r>
      <w:r w:rsidR="0045340E" w:rsidRPr="00D32942">
        <w:rPr>
          <w:sz w:val="20"/>
          <w:szCs w:val="20"/>
          <w:lang w:val="es-ES"/>
        </w:rPr>
        <w:t xml:space="preserve"> la menor de edad </w:t>
      </w:r>
      <w:r w:rsidR="006609A4" w:rsidRPr="00D32942">
        <w:rPr>
          <w:sz w:val="20"/>
          <w:szCs w:val="20"/>
          <w:lang w:val="es-ES"/>
        </w:rPr>
        <w:t>Sandr</w:t>
      </w:r>
      <w:r w:rsidR="00375870" w:rsidRPr="00D32942">
        <w:rPr>
          <w:sz w:val="20"/>
          <w:szCs w:val="20"/>
          <w:lang w:val="es-ES"/>
        </w:rPr>
        <w:t xml:space="preserve">a Milena Ayure Quintero </w:t>
      </w:r>
      <w:r w:rsidR="0045340E" w:rsidRPr="00D32942">
        <w:rPr>
          <w:sz w:val="20"/>
          <w:szCs w:val="20"/>
          <w:lang w:val="es-ES"/>
        </w:rPr>
        <w:t>quien</w:t>
      </w:r>
      <w:r w:rsidR="005C2A4B" w:rsidRPr="00D32942">
        <w:rPr>
          <w:sz w:val="20"/>
          <w:szCs w:val="20"/>
          <w:lang w:val="es-ES"/>
        </w:rPr>
        <w:t>,</w:t>
      </w:r>
      <w:r w:rsidR="0045340E" w:rsidRPr="00D32942">
        <w:rPr>
          <w:sz w:val="20"/>
          <w:szCs w:val="20"/>
          <w:lang w:val="es-ES"/>
        </w:rPr>
        <w:t xml:space="preserve"> como consecuencia de ello</w:t>
      </w:r>
      <w:r w:rsidR="005C2A4B" w:rsidRPr="00D32942">
        <w:rPr>
          <w:sz w:val="20"/>
          <w:szCs w:val="20"/>
          <w:lang w:val="es-ES"/>
        </w:rPr>
        <w:t>,</w:t>
      </w:r>
      <w:r w:rsidR="0045340E" w:rsidRPr="00D32942">
        <w:rPr>
          <w:sz w:val="20"/>
          <w:szCs w:val="20"/>
          <w:lang w:val="es-ES"/>
        </w:rPr>
        <w:t xml:space="preserve"> </w:t>
      </w:r>
      <w:r w:rsidR="00E74F4B" w:rsidRPr="00D32942">
        <w:rPr>
          <w:sz w:val="20"/>
          <w:szCs w:val="20"/>
          <w:lang w:val="es-ES"/>
        </w:rPr>
        <w:t>habría quedado con</w:t>
      </w:r>
      <w:r w:rsidR="00E42E4D" w:rsidRPr="00D32942">
        <w:rPr>
          <w:sz w:val="20"/>
          <w:szCs w:val="20"/>
          <w:lang w:val="es-ES"/>
        </w:rPr>
        <w:t xml:space="preserve"> </w:t>
      </w:r>
      <w:r w:rsidR="006609A4" w:rsidRPr="00D32942">
        <w:rPr>
          <w:sz w:val="20"/>
          <w:szCs w:val="20"/>
          <w:lang w:val="es-ES"/>
        </w:rPr>
        <w:t xml:space="preserve">una </w:t>
      </w:r>
      <w:r w:rsidR="00375870" w:rsidRPr="00D32942">
        <w:rPr>
          <w:sz w:val="20"/>
          <w:szCs w:val="20"/>
          <w:lang w:val="es-ES"/>
        </w:rPr>
        <w:t>discapacidad</w:t>
      </w:r>
      <w:r w:rsidR="00DB078F" w:rsidRPr="00D32942">
        <w:rPr>
          <w:sz w:val="20"/>
          <w:szCs w:val="20"/>
          <w:lang w:val="es-ES"/>
        </w:rPr>
        <w:t xml:space="preserve"> </w:t>
      </w:r>
      <w:r w:rsidR="006609A4" w:rsidRPr="00D32942">
        <w:rPr>
          <w:sz w:val="20"/>
          <w:szCs w:val="20"/>
          <w:lang w:val="es-ES"/>
        </w:rPr>
        <w:t>permanente</w:t>
      </w:r>
      <w:r w:rsidR="005A10AC" w:rsidRPr="00D32942">
        <w:rPr>
          <w:sz w:val="20"/>
          <w:szCs w:val="20"/>
          <w:lang w:val="es-ES"/>
        </w:rPr>
        <w:t xml:space="preserve"> dada </w:t>
      </w:r>
      <w:r w:rsidR="00455F4E" w:rsidRPr="00D32942">
        <w:rPr>
          <w:sz w:val="20"/>
          <w:szCs w:val="20"/>
          <w:lang w:val="es-ES"/>
        </w:rPr>
        <w:t>la</w:t>
      </w:r>
      <w:r w:rsidR="005A10AC" w:rsidRPr="00D32942">
        <w:rPr>
          <w:sz w:val="20"/>
          <w:szCs w:val="20"/>
          <w:lang w:val="es-ES"/>
        </w:rPr>
        <w:t xml:space="preserve"> imposibilidad de mover </w:t>
      </w:r>
      <w:r w:rsidR="0045340E" w:rsidRPr="00D32942">
        <w:rPr>
          <w:sz w:val="20"/>
          <w:szCs w:val="20"/>
          <w:lang w:val="es-ES"/>
        </w:rPr>
        <w:t>su</w:t>
      </w:r>
      <w:r w:rsidR="005A10AC" w:rsidRPr="00D32942">
        <w:rPr>
          <w:sz w:val="20"/>
          <w:szCs w:val="20"/>
          <w:lang w:val="es-ES"/>
        </w:rPr>
        <w:t xml:space="preserve"> pierna</w:t>
      </w:r>
      <w:r w:rsidR="00BD31F4" w:rsidRPr="00D32942">
        <w:rPr>
          <w:sz w:val="20"/>
          <w:szCs w:val="20"/>
          <w:lang w:val="es-ES"/>
        </w:rPr>
        <w:t xml:space="preserve"> derecha</w:t>
      </w:r>
      <w:r w:rsidR="005A10AC" w:rsidRPr="00D32942">
        <w:rPr>
          <w:sz w:val="20"/>
          <w:szCs w:val="20"/>
          <w:lang w:val="es-ES"/>
        </w:rPr>
        <w:t>,</w:t>
      </w:r>
      <w:r w:rsidR="00CB0AD0" w:rsidRPr="00D32942">
        <w:rPr>
          <w:sz w:val="20"/>
          <w:szCs w:val="20"/>
          <w:lang w:val="es-ES"/>
        </w:rPr>
        <w:t xml:space="preserve"> </w:t>
      </w:r>
      <w:r w:rsidR="006609A4" w:rsidRPr="00D32942">
        <w:rPr>
          <w:sz w:val="20"/>
          <w:szCs w:val="20"/>
          <w:lang w:val="es-ES"/>
        </w:rPr>
        <w:t>con consecuen</w:t>
      </w:r>
      <w:r w:rsidR="00DB078F" w:rsidRPr="00D32942">
        <w:rPr>
          <w:sz w:val="20"/>
          <w:szCs w:val="20"/>
          <w:lang w:val="es-ES"/>
        </w:rPr>
        <w:t xml:space="preserve">te </w:t>
      </w:r>
      <w:r w:rsidR="005A10AC" w:rsidRPr="00D32942">
        <w:rPr>
          <w:sz w:val="20"/>
          <w:szCs w:val="20"/>
          <w:lang w:val="es-ES"/>
        </w:rPr>
        <w:t>pérdida</w:t>
      </w:r>
      <w:r w:rsidR="00E860DD" w:rsidRPr="00D32942">
        <w:rPr>
          <w:sz w:val="20"/>
          <w:szCs w:val="20"/>
          <w:lang w:val="es-ES"/>
        </w:rPr>
        <w:t xml:space="preserve"> de la capacidad laboral del 45%</w:t>
      </w:r>
      <w:r w:rsidR="00E42E4D" w:rsidRPr="00D32942">
        <w:rPr>
          <w:sz w:val="20"/>
          <w:szCs w:val="20"/>
          <w:lang w:val="es-ES"/>
        </w:rPr>
        <w:t>;</w:t>
      </w:r>
      <w:r w:rsidR="00C0665F" w:rsidRPr="00D32942">
        <w:rPr>
          <w:sz w:val="20"/>
          <w:szCs w:val="20"/>
          <w:lang w:val="es-ES"/>
        </w:rPr>
        <w:t xml:space="preserve"> </w:t>
      </w:r>
      <w:r w:rsidR="0045340E" w:rsidRPr="00D32942">
        <w:rPr>
          <w:sz w:val="20"/>
          <w:szCs w:val="20"/>
          <w:lang w:val="es-ES"/>
        </w:rPr>
        <w:t xml:space="preserve">a su vez, </w:t>
      </w:r>
      <w:r w:rsidR="00C0665F" w:rsidRPr="00D32942">
        <w:rPr>
          <w:sz w:val="20"/>
          <w:szCs w:val="20"/>
          <w:lang w:val="es-ES"/>
        </w:rPr>
        <w:t>l</w:t>
      </w:r>
      <w:r w:rsidR="005A10AC" w:rsidRPr="00D32942">
        <w:rPr>
          <w:sz w:val="20"/>
          <w:szCs w:val="20"/>
          <w:lang w:val="es-ES"/>
        </w:rPr>
        <w:t xml:space="preserve">a señora Matilde Quintero Valdés </w:t>
      </w:r>
      <w:r w:rsidR="00E74F4B" w:rsidRPr="00D32942">
        <w:rPr>
          <w:sz w:val="20"/>
          <w:szCs w:val="20"/>
          <w:lang w:val="es-ES"/>
        </w:rPr>
        <w:t>habría adquirido</w:t>
      </w:r>
      <w:r w:rsidR="00BD31F4" w:rsidRPr="00D32942">
        <w:rPr>
          <w:sz w:val="20"/>
          <w:szCs w:val="20"/>
          <w:lang w:val="es-ES"/>
        </w:rPr>
        <w:t xml:space="preserve"> una discapacidad permanente a</w:t>
      </w:r>
      <w:r w:rsidR="00DB078F" w:rsidRPr="00D32942">
        <w:rPr>
          <w:sz w:val="20"/>
          <w:szCs w:val="20"/>
          <w:lang w:val="es-ES"/>
        </w:rPr>
        <w:t xml:space="preserve"> causa de</w:t>
      </w:r>
      <w:r w:rsidR="00BD31F4" w:rsidRPr="00D32942">
        <w:rPr>
          <w:sz w:val="20"/>
          <w:szCs w:val="20"/>
          <w:lang w:val="es-ES"/>
        </w:rPr>
        <w:t xml:space="preserve"> las lesiones sufridas </w:t>
      </w:r>
      <w:r w:rsidR="00FF03DC" w:rsidRPr="00D32942">
        <w:rPr>
          <w:sz w:val="20"/>
          <w:szCs w:val="20"/>
          <w:lang w:val="es-ES"/>
        </w:rPr>
        <w:t>en</w:t>
      </w:r>
      <w:r w:rsidR="00BD31F4" w:rsidRPr="00D32942">
        <w:rPr>
          <w:sz w:val="20"/>
          <w:szCs w:val="20"/>
          <w:lang w:val="es-ES"/>
        </w:rPr>
        <w:t xml:space="preserve"> la mano izquierda, con consecuente disminución de su capacidad laboral del 25%.</w:t>
      </w:r>
      <w:r w:rsidR="00023A3B" w:rsidRPr="00D32942">
        <w:rPr>
          <w:color w:val="FF0000"/>
          <w:sz w:val="20"/>
          <w:szCs w:val="20"/>
          <w:lang w:val="es-ES"/>
        </w:rPr>
        <w:t xml:space="preserve"> </w:t>
      </w:r>
    </w:p>
    <w:p w:rsidR="00023A3B" w:rsidRPr="00D32942" w:rsidRDefault="00023A3B" w:rsidP="005273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F0018C" w:rsidRPr="00D32942" w:rsidRDefault="00D53EE5" w:rsidP="0078026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color w:val="auto"/>
          <w:sz w:val="20"/>
          <w:szCs w:val="20"/>
          <w:lang w:val="es-ES"/>
        </w:rPr>
        <w:t xml:space="preserve">Los peticionarios </w:t>
      </w:r>
      <w:r w:rsidR="00995486" w:rsidRPr="00D32942">
        <w:rPr>
          <w:color w:val="auto"/>
          <w:sz w:val="20"/>
          <w:szCs w:val="20"/>
          <w:lang w:val="es-ES"/>
        </w:rPr>
        <w:t xml:space="preserve">también </w:t>
      </w:r>
      <w:r w:rsidR="005F70E3" w:rsidRPr="00D32942">
        <w:rPr>
          <w:color w:val="auto"/>
          <w:sz w:val="20"/>
          <w:szCs w:val="20"/>
          <w:lang w:val="es-ES"/>
        </w:rPr>
        <w:t>alega</w:t>
      </w:r>
      <w:r w:rsidR="00FF03DC" w:rsidRPr="00D32942">
        <w:rPr>
          <w:color w:val="auto"/>
          <w:sz w:val="20"/>
          <w:szCs w:val="20"/>
          <w:lang w:val="es-ES"/>
        </w:rPr>
        <w:t xml:space="preserve">n </w:t>
      </w:r>
      <w:r w:rsidR="004C4FCD" w:rsidRPr="00D32942">
        <w:rPr>
          <w:color w:val="auto"/>
          <w:sz w:val="20"/>
          <w:szCs w:val="20"/>
          <w:lang w:val="es-ES"/>
        </w:rPr>
        <w:t xml:space="preserve">que </w:t>
      </w:r>
      <w:r w:rsidR="003E2BCC" w:rsidRPr="00D32942">
        <w:rPr>
          <w:color w:val="auto"/>
          <w:sz w:val="20"/>
          <w:szCs w:val="20"/>
          <w:lang w:val="es-ES"/>
        </w:rPr>
        <w:t xml:space="preserve">el </w:t>
      </w:r>
      <w:r w:rsidR="008F0872" w:rsidRPr="00D32942">
        <w:rPr>
          <w:color w:val="auto"/>
          <w:sz w:val="20"/>
          <w:szCs w:val="20"/>
          <w:lang w:val="es-ES"/>
        </w:rPr>
        <w:t xml:space="preserve">ejército nacional habría ocultado el cadáver </w:t>
      </w:r>
      <w:r w:rsidR="003E2BCC" w:rsidRPr="00D32942">
        <w:rPr>
          <w:color w:val="auto"/>
          <w:sz w:val="20"/>
          <w:szCs w:val="20"/>
          <w:lang w:val="es-ES"/>
        </w:rPr>
        <w:t xml:space="preserve">de la niña Martha Cecilia </w:t>
      </w:r>
      <w:r w:rsidR="0078026A" w:rsidRPr="00D32942">
        <w:rPr>
          <w:color w:val="auto"/>
          <w:sz w:val="20"/>
          <w:szCs w:val="20"/>
          <w:lang w:val="es-ES"/>
        </w:rPr>
        <w:t xml:space="preserve">Ayure Quintero </w:t>
      </w:r>
      <w:r w:rsidR="003E2BCC" w:rsidRPr="00D32942">
        <w:rPr>
          <w:color w:val="auto"/>
          <w:sz w:val="20"/>
          <w:szCs w:val="20"/>
          <w:lang w:val="es-ES"/>
        </w:rPr>
        <w:t>por</w:t>
      </w:r>
      <w:r w:rsidR="004C4FCD" w:rsidRPr="00D32942">
        <w:rPr>
          <w:color w:val="auto"/>
          <w:sz w:val="20"/>
          <w:szCs w:val="20"/>
          <w:lang w:val="es-ES"/>
        </w:rPr>
        <w:t xml:space="preserve"> casi</w:t>
      </w:r>
      <w:r w:rsidR="003E2BCC" w:rsidRPr="00D32942">
        <w:rPr>
          <w:color w:val="auto"/>
          <w:sz w:val="20"/>
          <w:szCs w:val="20"/>
          <w:lang w:val="es-ES"/>
        </w:rPr>
        <w:t xml:space="preserve"> cinco </w:t>
      </w:r>
      <w:r w:rsidR="001B1478" w:rsidRPr="00D32942">
        <w:rPr>
          <w:color w:val="auto"/>
          <w:sz w:val="20"/>
          <w:szCs w:val="20"/>
          <w:lang w:val="es-ES"/>
        </w:rPr>
        <w:t>años</w:t>
      </w:r>
      <w:r w:rsidR="003E2BCC" w:rsidRPr="00D32942">
        <w:rPr>
          <w:color w:val="auto"/>
          <w:sz w:val="20"/>
          <w:szCs w:val="20"/>
          <w:lang w:val="es-ES"/>
        </w:rPr>
        <w:t xml:space="preserve">. </w:t>
      </w:r>
      <w:r w:rsidR="00DB6B56" w:rsidRPr="00D32942">
        <w:rPr>
          <w:color w:val="auto"/>
          <w:sz w:val="20"/>
          <w:szCs w:val="20"/>
          <w:lang w:val="es-ES"/>
        </w:rPr>
        <w:t>Señalan que e</w:t>
      </w:r>
      <w:r w:rsidR="003E2BCC" w:rsidRPr="00D32942">
        <w:rPr>
          <w:color w:val="auto"/>
          <w:sz w:val="20"/>
          <w:szCs w:val="20"/>
          <w:lang w:val="es-ES"/>
        </w:rPr>
        <w:t xml:space="preserve">l levantamiento del cadáver fue practicado por los </w:t>
      </w:r>
      <w:r w:rsidR="001B1478" w:rsidRPr="00D32942">
        <w:rPr>
          <w:color w:val="auto"/>
          <w:sz w:val="20"/>
          <w:szCs w:val="20"/>
          <w:lang w:val="es-ES"/>
        </w:rPr>
        <w:t>miembros</w:t>
      </w:r>
      <w:r w:rsidR="008F0872" w:rsidRPr="00D32942">
        <w:rPr>
          <w:color w:val="auto"/>
          <w:sz w:val="20"/>
          <w:szCs w:val="20"/>
          <w:lang w:val="es-ES"/>
        </w:rPr>
        <w:t xml:space="preserve"> del ejército</w:t>
      </w:r>
      <w:r w:rsidR="001B1478" w:rsidRPr="00D32942">
        <w:rPr>
          <w:color w:val="auto"/>
          <w:sz w:val="20"/>
          <w:szCs w:val="20"/>
          <w:lang w:val="es-ES"/>
        </w:rPr>
        <w:t xml:space="preserve"> </w:t>
      </w:r>
      <w:r w:rsidR="008F0872" w:rsidRPr="00D32942">
        <w:rPr>
          <w:color w:val="auto"/>
          <w:sz w:val="20"/>
          <w:szCs w:val="20"/>
          <w:lang w:val="es-ES"/>
        </w:rPr>
        <w:t>n</w:t>
      </w:r>
      <w:r w:rsidR="003E2BCC" w:rsidRPr="00D32942">
        <w:rPr>
          <w:color w:val="auto"/>
          <w:sz w:val="20"/>
          <w:szCs w:val="20"/>
          <w:lang w:val="es-ES"/>
        </w:rPr>
        <w:t>acional que</w:t>
      </w:r>
      <w:r w:rsidR="001B1478" w:rsidRPr="00D32942">
        <w:rPr>
          <w:color w:val="auto"/>
          <w:sz w:val="20"/>
          <w:szCs w:val="20"/>
          <w:lang w:val="es-ES"/>
        </w:rPr>
        <w:t xml:space="preserve"> participaron en el operativo, </w:t>
      </w:r>
      <w:r w:rsidR="003E2BCC" w:rsidRPr="00D32942">
        <w:rPr>
          <w:color w:val="auto"/>
          <w:sz w:val="20"/>
          <w:szCs w:val="20"/>
          <w:lang w:val="es-ES"/>
        </w:rPr>
        <w:t xml:space="preserve">y no por la </w:t>
      </w:r>
      <w:r w:rsidR="001B1478" w:rsidRPr="00D32942">
        <w:rPr>
          <w:color w:val="auto"/>
          <w:sz w:val="20"/>
          <w:szCs w:val="20"/>
          <w:lang w:val="es-ES"/>
        </w:rPr>
        <w:t>Policía</w:t>
      </w:r>
      <w:r w:rsidR="003E2BCC" w:rsidRPr="00D32942">
        <w:rPr>
          <w:color w:val="auto"/>
          <w:sz w:val="20"/>
          <w:szCs w:val="20"/>
          <w:lang w:val="es-ES"/>
        </w:rPr>
        <w:t xml:space="preserve"> Judicial como </w:t>
      </w:r>
      <w:r w:rsidR="00455EF9" w:rsidRPr="00D32942">
        <w:rPr>
          <w:color w:val="auto"/>
          <w:sz w:val="20"/>
          <w:szCs w:val="20"/>
          <w:lang w:val="es-ES"/>
        </w:rPr>
        <w:t>correspond</w:t>
      </w:r>
      <w:r w:rsidR="00DB6B56" w:rsidRPr="00D32942">
        <w:rPr>
          <w:color w:val="auto"/>
          <w:sz w:val="20"/>
          <w:szCs w:val="20"/>
          <w:lang w:val="es-ES"/>
        </w:rPr>
        <w:t>ía</w:t>
      </w:r>
      <w:r w:rsidR="003E2BCC" w:rsidRPr="00D32942">
        <w:rPr>
          <w:color w:val="auto"/>
          <w:sz w:val="20"/>
          <w:szCs w:val="20"/>
          <w:lang w:val="es-ES"/>
        </w:rPr>
        <w:t xml:space="preserve">; y el lugar de inhumación </w:t>
      </w:r>
      <w:r w:rsidR="00EF30AC" w:rsidRPr="00D32942">
        <w:rPr>
          <w:color w:val="auto"/>
          <w:sz w:val="20"/>
          <w:szCs w:val="20"/>
          <w:lang w:val="es-ES"/>
        </w:rPr>
        <w:t>fue mantenido secreto</w:t>
      </w:r>
      <w:r w:rsidR="003E2BCC" w:rsidRPr="00D32942">
        <w:rPr>
          <w:color w:val="auto"/>
          <w:sz w:val="20"/>
          <w:szCs w:val="20"/>
          <w:lang w:val="es-ES"/>
        </w:rPr>
        <w:t xml:space="preserve">. </w:t>
      </w:r>
      <w:r w:rsidR="00DB6B56" w:rsidRPr="00D32942">
        <w:rPr>
          <w:sz w:val="20"/>
          <w:szCs w:val="20"/>
          <w:lang w:val="es-ES"/>
        </w:rPr>
        <w:t xml:space="preserve">Agregan que </w:t>
      </w:r>
      <w:r w:rsidR="0078026A" w:rsidRPr="00D32942">
        <w:rPr>
          <w:sz w:val="20"/>
          <w:szCs w:val="20"/>
          <w:lang w:val="es-ES"/>
        </w:rPr>
        <w:t xml:space="preserve">en julio de 1996, en el cementerio de Granada se exhumó un cadáver en el sitio en el que -según información obtenida por la fiscalía- habría sido enterrada la menor Martha Cecilia, pero se encontraron los restos óseos de una niña de un año, los cuales no correspondían a los de la menor Ayure. Indican que </w:t>
      </w:r>
      <w:r w:rsidR="00DB6B56" w:rsidRPr="00D32942">
        <w:rPr>
          <w:sz w:val="20"/>
          <w:szCs w:val="20"/>
          <w:lang w:val="es-ES"/>
        </w:rPr>
        <w:t>s</w:t>
      </w:r>
      <w:r w:rsidR="001B1478" w:rsidRPr="00D32942">
        <w:rPr>
          <w:sz w:val="20"/>
          <w:szCs w:val="20"/>
          <w:lang w:val="es-ES"/>
        </w:rPr>
        <w:t xml:space="preserve">egún compromiso adquirido por el Director Nacional de Fiscalías </w:t>
      </w:r>
      <w:r w:rsidR="004C4FCD" w:rsidRPr="00D32942">
        <w:rPr>
          <w:sz w:val="20"/>
          <w:szCs w:val="20"/>
          <w:lang w:val="es-ES"/>
        </w:rPr>
        <w:t xml:space="preserve">ante la CIDH en la </w:t>
      </w:r>
      <w:r w:rsidR="00F57EA9" w:rsidRPr="00D32942">
        <w:rPr>
          <w:sz w:val="20"/>
          <w:szCs w:val="20"/>
          <w:lang w:val="es-ES"/>
        </w:rPr>
        <w:t>audiencia</w:t>
      </w:r>
      <w:r w:rsidR="004C4FCD" w:rsidRPr="00D32942">
        <w:rPr>
          <w:sz w:val="20"/>
          <w:szCs w:val="20"/>
          <w:lang w:val="es-ES"/>
        </w:rPr>
        <w:t xml:space="preserve"> del</w:t>
      </w:r>
      <w:r w:rsidR="001B1478" w:rsidRPr="00D32942">
        <w:rPr>
          <w:sz w:val="20"/>
          <w:szCs w:val="20"/>
          <w:lang w:val="es-ES"/>
        </w:rPr>
        <w:t xml:space="preserve"> 8 de octubre de 1996, se adelantaron </w:t>
      </w:r>
      <w:r w:rsidR="00ED3831" w:rsidRPr="00D32942">
        <w:rPr>
          <w:sz w:val="20"/>
          <w:szCs w:val="20"/>
          <w:lang w:val="es-ES"/>
        </w:rPr>
        <w:t>nuevas</w:t>
      </w:r>
      <w:r w:rsidR="001B1478" w:rsidRPr="00D32942">
        <w:rPr>
          <w:sz w:val="20"/>
          <w:szCs w:val="20"/>
          <w:lang w:val="es-ES"/>
        </w:rPr>
        <w:t xml:space="preserve"> diligencias para ubicar los restos óseos de la niña. </w:t>
      </w:r>
      <w:r w:rsidR="00ED3831" w:rsidRPr="00D32942">
        <w:rPr>
          <w:sz w:val="20"/>
          <w:szCs w:val="20"/>
          <w:lang w:val="es-ES"/>
        </w:rPr>
        <w:t>F</w:t>
      </w:r>
      <w:r w:rsidR="005232A2" w:rsidRPr="00D32942">
        <w:rPr>
          <w:sz w:val="20"/>
          <w:szCs w:val="20"/>
          <w:lang w:val="es-ES"/>
        </w:rPr>
        <w:t xml:space="preserve">inalmente, </w:t>
      </w:r>
      <w:r w:rsidR="00F25F51" w:rsidRPr="00D32942">
        <w:rPr>
          <w:sz w:val="20"/>
          <w:szCs w:val="20"/>
          <w:lang w:val="es-ES"/>
        </w:rPr>
        <w:t>el 16 de diciembre de 1996</w:t>
      </w:r>
      <w:r w:rsidR="001B1478" w:rsidRPr="00D32942">
        <w:rPr>
          <w:sz w:val="20"/>
          <w:szCs w:val="20"/>
          <w:lang w:val="es-ES"/>
        </w:rPr>
        <w:t>,</w:t>
      </w:r>
      <w:r w:rsidR="00023A3B" w:rsidRPr="00D32942">
        <w:rPr>
          <w:sz w:val="20"/>
          <w:szCs w:val="20"/>
          <w:lang w:val="es-ES"/>
        </w:rPr>
        <w:t xml:space="preserve"> con el acompañamiento de la Cruz Roja Internacional</w:t>
      </w:r>
      <w:r w:rsidR="00F25F51" w:rsidRPr="00D32942">
        <w:rPr>
          <w:sz w:val="20"/>
          <w:szCs w:val="20"/>
          <w:lang w:val="es-ES"/>
        </w:rPr>
        <w:t>,</w:t>
      </w:r>
      <w:r w:rsidR="00023A3B" w:rsidRPr="00D32942">
        <w:rPr>
          <w:sz w:val="20"/>
          <w:szCs w:val="20"/>
          <w:lang w:val="es-ES"/>
        </w:rPr>
        <w:t xml:space="preserve"> se produjo la entrega </w:t>
      </w:r>
      <w:r w:rsidR="009530B3" w:rsidRPr="00D32942">
        <w:rPr>
          <w:sz w:val="20"/>
          <w:szCs w:val="20"/>
          <w:lang w:val="es-ES"/>
        </w:rPr>
        <w:t xml:space="preserve">a la familia Ayure Quintero, </w:t>
      </w:r>
      <w:r w:rsidR="00023A3B" w:rsidRPr="00D32942">
        <w:rPr>
          <w:sz w:val="20"/>
          <w:szCs w:val="20"/>
          <w:lang w:val="es-ES"/>
        </w:rPr>
        <w:t>de "seis bolsas" con</w:t>
      </w:r>
      <w:r w:rsidR="005F70E3" w:rsidRPr="00D32942">
        <w:rPr>
          <w:sz w:val="20"/>
          <w:szCs w:val="20"/>
          <w:lang w:val="es-ES"/>
        </w:rPr>
        <w:t xml:space="preserve"> los restos </w:t>
      </w:r>
      <w:r w:rsidR="001B1478" w:rsidRPr="00D32942">
        <w:rPr>
          <w:sz w:val="20"/>
          <w:szCs w:val="20"/>
          <w:lang w:val="es-ES"/>
        </w:rPr>
        <w:t>de su hija menor Martha Cecilia</w:t>
      </w:r>
      <w:r w:rsidR="005F70E3" w:rsidRPr="00D32942">
        <w:rPr>
          <w:sz w:val="20"/>
          <w:szCs w:val="20"/>
          <w:lang w:val="es-ES"/>
        </w:rPr>
        <w:t>.</w:t>
      </w:r>
      <w:r w:rsidR="004443BD" w:rsidRPr="00D32942">
        <w:rPr>
          <w:sz w:val="20"/>
          <w:szCs w:val="20"/>
          <w:lang w:val="es-ES"/>
        </w:rPr>
        <w:t xml:space="preserve"> </w:t>
      </w:r>
      <w:r w:rsidR="005F70E3" w:rsidRPr="00D32942">
        <w:rPr>
          <w:sz w:val="20"/>
          <w:szCs w:val="20"/>
          <w:lang w:val="es-ES"/>
        </w:rPr>
        <w:t>Señalan que p</w:t>
      </w:r>
      <w:r w:rsidR="00023A3B" w:rsidRPr="00D32942">
        <w:rPr>
          <w:sz w:val="20"/>
          <w:szCs w:val="20"/>
          <w:lang w:val="es-ES"/>
        </w:rPr>
        <w:t>ara la familia, la entrega del cadáver de la niña en bolsas y costales</w:t>
      </w:r>
      <w:r w:rsidR="00791760" w:rsidRPr="00D32942">
        <w:rPr>
          <w:sz w:val="20"/>
          <w:szCs w:val="20"/>
          <w:lang w:val="es-ES"/>
        </w:rPr>
        <w:t>,</w:t>
      </w:r>
      <w:r w:rsidR="00023A3B" w:rsidRPr="00D32942">
        <w:rPr>
          <w:sz w:val="20"/>
          <w:szCs w:val="20"/>
          <w:lang w:val="es-ES"/>
        </w:rPr>
        <w:t xml:space="preserve"> fue considerada una afrenta a su dignidad.</w:t>
      </w:r>
    </w:p>
    <w:p w:rsidR="00F0018C" w:rsidRPr="00D32942" w:rsidRDefault="00F0018C" w:rsidP="00373CB8">
      <w:pPr>
        <w:pStyle w:val="ListParagraph"/>
        <w:ind w:firstLine="720"/>
        <w:jc w:val="both"/>
        <w:rPr>
          <w:sz w:val="20"/>
          <w:szCs w:val="20"/>
          <w:lang w:val="es-ES"/>
        </w:rPr>
      </w:pPr>
    </w:p>
    <w:p w:rsidR="00D3621E" w:rsidRPr="00D32942" w:rsidRDefault="00403DA5" w:rsidP="00B735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lastRenderedPageBreak/>
        <w:t xml:space="preserve">Los peticionarios señalan que a raíz de los hechos se habrían iniciado investigaciones en la jurisdicción militar, en la </w:t>
      </w:r>
      <w:r w:rsidR="002F0393" w:rsidRPr="00D32942">
        <w:rPr>
          <w:sz w:val="20"/>
          <w:szCs w:val="20"/>
          <w:lang w:val="es-ES"/>
        </w:rPr>
        <w:t>vía</w:t>
      </w:r>
      <w:r w:rsidR="006443FE" w:rsidRPr="00D32942">
        <w:rPr>
          <w:sz w:val="20"/>
          <w:szCs w:val="20"/>
          <w:lang w:val="es-ES"/>
        </w:rPr>
        <w:t xml:space="preserve"> penal,</w:t>
      </w:r>
      <w:r w:rsidRPr="00D32942">
        <w:rPr>
          <w:sz w:val="20"/>
          <w:szCs w:val="20"/>
          <w:lang w:val="es-ES"/>
        </w:rPr>
        <w:t xml:space="preserve"> en la </w:t>
      </w:r>
      <w:r w:rsidR="002F0393" w:rsidRPr="00D32942">
        <w:rPr>
          <w:sz w:val="20"/>
          <w:szCs w:val="20"/>
          <w:lang w:val="es-ES"/>
        </w:rPr>
        <w:t>vía</w:t>
      </w:r>
      <w:r w:rsidR="00015A9A" w:rsidRPr="00D32942">
        <w:rPr>
          <w:sz w:val="20"/>
          <w:szCs w:val="20"/>
          <w:lang w:val="es-ES"/>
        </w:rPr>
        <w:t xml:space="preserve"> contenciosa</w:t>
      </w:r>
      <w:r w:rsidR="006443FE" w:rsidRPr="00D32942">
        <w:rPr>
          <w:sz w:val="20"/>
          <w:szCs w:val="20"/>
          <w:lang w:val="es-ES"/>
        </w:rPr>
        <w:t xml:space="preserve"> administrativa</w:t>
      </w:r>
      <w:r w:rsidR="00015A9A" w:rsidRPr="00D32942">
        <w:rPr>
          <w:sz w:val="20"/>
          <w:szCs w:val="20"/>
          <w:lang w:val="es-ES"/>
        </w:rPr>
        <w:t xml:space="preserve"> y en la </w:t>
      </w:r>
      <w:r w:rsidR="002F0393" w:rsidRPr="00D32942">
        <w:rPr>
          <w:sz w:val="20"/>
          <w:szCs w:val="20"/>
          <w:lang w:val="es-ES"/>
        </w:rPr>
        <w:t>vía</w:t>
      </w:r>
      <w:r w:rsidR="00015A9A" w:rsidRPr="00D32942">
        <w:rPr>
          <w:sz w:val="20"/>
          <w:szCs w:val="20"/>
          <w:lang w:val="es-ES"/>
        </w:rPr>
        <w:t xml:space="preserve"> </w:t>
      </w:r>
      <w:r w:rsidRPr="00D32942">
        <w:rPr>
          <w:sz w:val="20"/>
          <w:szCs w:val="20"/>
          <w:lang w:val="es-ES"/>
        </w:rPr>
        <w:t xml:space="preserve">disciplinaria. </w:t>
      </w:r>
      <w:r w:rsidR="00AA1DDC" w:rsidRPr="00D32942">
        <w:rPr>
          <w:sz w:val="20"/>
          <w:szCs w:val="20"/>
          <w:lang w:val="es-ES"/>
        </w:rPr>
        <w:t xml:space="preserve">Con respecto a las investigaciones </w:t>
      </w:r>
      <w:r w:rsidRPr="00D32942">
        <w:rPr>
          <w:sz w:val="20"/>
          <w:szCs w:val="20"/>
          <w:lang w:val="es-ES"/>
        </w:rPr>
        <w:t xml:space="preserve">en el fuero penal militar, los peticionarios señalan que </w:t>
      </w:r>
      <w:r w:rsidR="00D958C7" w:rsidRPr="00D32942">
        <w:rPr>
          <w:sz w:val="20"/>
          <w:szCs w:val="20"/>
          <w:lang w:val="es-ES"/>
        </w:rPr>
        <w:t>el 13 de mayo 1992</w:t>
      </w:r>
      <w:r w:rsidRPr="00D32942">
        <w:rPr>
          <w:sz w:val="20"/>
          <w:szCs w:val="20"/>
          <w:lang w:val="es-ES"/>
        </w:rPr>
        <w:t xml:space="preserve"> </w:t>
      </w:r>
      <w:r w:rsidR="00E91223" w:rsidRPr="00D32942">
        <w:rPr>
          <w:sz w:val="20"/>
          <w:szCs w:val="20"/>
          <w:lang w:val="es-ES"/>
        </w:rPr>
        <w:t>el Juzgado 119 de Instrucción Penal Militar de la ciudad de</w:t>
      </w:r>
      <w:r w:rsidR="00DB078F" w:rsidRPr="00D32942">
        <w:rPr>
          <w:sz w:val="20"/>
          <w:szCs w:val="20"/>
          <w:lang w:val="es-ES"/>
        </w:rPr>
        <w:t xml:space="preserve"> </w:t>
      </w:r>
      <w:r w:rsidR="00E91223" w:rsidRPr="00D32942">
        <w:rPr>
          <w:sz w:val="20"/>
          <w:szCs w:val="20"/>
          <w:lang w:val="es-ES"/>
        </w:rPr>
        <w:t>Gr</w:t>
      </w:r>
      <w:r w:rsidR="00DB078F" w:rsidRPr="00D32942">
        <w:rPr>
          <w:sz w:val="20"/>
          <w:szCs w:val="20"/>
          <w:lang w:val="es-ES"/>
        </w:rPr>
        <w:t xml:space="preserve">anada (Meta) inició </w:t>
      </w:r>
      <w:r w:rsidR="00E91223" w:rsidRPr="00D32942">
        <w:rPr>
          <w:sz w:val="20"/>
          <w:szCs w:val="20"/>
          <w:lang w:val="es-ES"/>
        </w:rPr>
        <w:t>la investigación</w:t>
      </w:r>
      <w:r w:rsidR="00DB078F" w:rsidRPr="00D32942">
        <w:rPr>
          <w:sz w:val="20"/>
          <w:szCs w:val="20"/>
          <w:lang w:val="es-ES"/>
        </w:rPr>
        <w:t xml:space="preserve"> </w:t>
      </w:r>
      <w:r w:rsidR="00DF2250" w:rsidRPr="00D32942">
        <w:rPr>
          <w:sz w:val="20"/>
          <w:szCs w:val="20"/>
          <w:lang w:val="es-ES"/>
        </w:rPr>
        <w:t>preliminar por los hechos y tan solo un mes más tarde</w:t>
      </w:r>
      <w:r w:rsidR="00D3621E" w:rsidRPr="00D32942">
        <w:rPr>
          <w:sz w:val="20"/>
          <w:szCs w:val="20"/>
          <w:lang w:val="es-ES"/>
        </w:rPr>
        <w:t>, e</w:t>
      </w:r>
      <w:r w:rsidR="00DB078F" w:rsidRPr="00D32942">
        <w:rPr>
          <w:sz w:val="20"/>
          <w:szCs w:val="20"/>
          <w:lang w:val="es-ES"/>
        </w:rPr>
        <w:t>l</w:t>
      </w:r>
      <w:r w:rsidR="00E91223" w:rsidRPr="00D32942">
        <w:rPr>
          <w:sz w:val="20"/>
          <w:szCs w:val="20"/>
          <w:lang w:val="es-ES"/>
        </w:rPr>
        <w:t xml:space="preserve"> 11 de junio 1992, se abstuvo de</w:t>
      </w:r>
      <w:r w:rsidR="00DB078F" w:rsidRPr="00D32942">
        <w:rPr>
          <w:sz w:val="20"/>
          <w:szCs w:val="20"/>
          <w:lang w:val="es-ES"/>
        </w:rPr>
        <w:t xml:space="preserve"> </w:t>
      </w:r>
      <w:r w:rsidR="00E91223" w:rsidRPr="00D32942">
        <w:rPr>
          <w:sz w:val="20"/>
          <w:szCs w:val="20"/>
          <w:lang w:val="es-ES"/>
        </w:rPr>
        <w:t xml:space="preserve">iniciar investigación penal </w:t>
      </w:r>
      <w:r w:rsidR="006B1BF9" w:rsidRPr="00D32942">
        <w:rPr>
          <w:sz w:val="20"/>
          <w:szCs w:val="20"/>
          <w:lang w:val="es-ES"/>
        </w:rPr>
        <w:t xml:space="preserve">argumentando que los militares accionaron sus armas para responder al fuego de los guerrilleros, y </w:t>
      </w:r>
      <w:r w:rsidR="007F2863" w:rsidRPr="00D32942">
        <w:rPr>
          <w:sz w:val="20"/>
          <w:szCs w:val="20"/>
          <w:lang w:val="es-ES"/>
        </w:rPr>
        <w:t>así</w:t>
      </w:r>
      <w:r w:rsidR="006B1BF9" w:rsidRPr="00D32942">
        <w:rPr>
          <w:sz w:val="20"/>
          <w:szCs w:val="20"/>
          <w:lang w:val="es-ES"/>
        </w:rPr>
        <w:t xml:space="preserve"> lograr defender sus vidas de injusta agresión,</w:t>
      </w:r>
      <w:r w:rsidR="007F2863" w:rsidRPr="00D32942">
        <w:rPr>
          <w:sz w:val="20"/>
          <w:szCs w:val="20"/>
          <w:lang w:val="es-ES"/>
        </w:rPr>
        <w:t xml:space="preserve"> siendo </w:t>
      </w:r>
      <w:r w:rsidR="00FF03DC" w:rsidRPr="00D32942">
        <w:rPr>
          <w:sz w:val="20"/>
          <w:szCs w:val="20"/>
          <w:lang w:val="es-ES"/>
        </w:rPr>
        <w:t xml:space="preserve">por ello un ataque </w:t>
      </w:r>
      <w:r w:rsidR="007F2863" w:rsidRPr="00D32942">
        <w:rPr>
          <w:sz w:val="20"/>
          <w:szCs w:val="20"/>
          <w:lang w:val="es-ES"/>
        </w:rPr>
        <w:t xml:space="preserve">proporcional </w:t>
      </w:r>
      <w:r w:rsidR="00FF03DC" w:rsidRPr="00D32942">
        <w:rPr>
          <w:sz w:val="20"/>
          <w:szCs w:val="20"/>
          <w:lang w:val="es-ES"/>
        </w:rPr>
        <w:t>a la amenaza sufrida.</w:t>
      </w:r>
    </w:p>
    <w:p w:rsidR="002C1959" w:rsidRPr="00D32942" w:rsidRDefault="002C1959" w:rsidP="002C1959">
      <w:pPr>
        <w:pStyle w:val="ListParagraph"/>
        <w:rPr>
          <w:sz w:val="20"/>
          <w:szCs w:val="20"/>
          <w:lang w:val="es-ES"/>
        </w:rPr>
      </w:pPr>
    </w:p>
    <w:p w:rsidR="002C1959" w:rsidRPr="00D32942" w:rsidRDefault="00015A9A" w:rsidP="002C19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 xml:space="preserve">Indican que paralelamente </w:t>
      </w:r>
      <w:r w:rsidR="00DD40F7" w:rsidRPr="00D32942">
        <w:rPr>
          <w:sz w:val="20"/>
          <w:szCs w:val="20"/>
          <w:lang w:val="es-ES"/>
        </w:rPr>
        <w:t xml:space="preserve">fue </w:t>
      </w:r>
      <w:r w:rsidR="00FF03DC" w:rsidRPr="00D32942">
        <w:rPr>
          <w:sz w:val="20"/>
          <w:szCs w:val="20"/>
          <w:lang w:val="es-ES"/>
        </w:rPr>
        <w:t xml:space="preserve">iniciado </w:t>
      </w:r>
      <w:r w:rsidR="00DD40F7" w:rsidRPr="00D32942">
        <w:rPr>
          <w:sz w:val="20"/>
          <w:szCs w:val="20"/>
          <w:lang w:val="es-ES"/>
        </w:rPr>
        <w:t xml:space="preserve">un proceso en el marco de la jurisdicción ordinaria como consecuencia de la denuncia interpuesta </w:t>
      </w:r>
      <w:r w:rsidR="00DF2250" w:rsidRPr="00D32942">
        <w:rPr>
          <w:sz w:val="20"/>
          <w:szCs w:val="20"/>
          <w:lang w:val="es-ES"/>
        </w:rPr>
        <w:t>en</w:t>
      </w:r>
      <w:r w:rsidR="00DD40F7" w:rsidRPr="00D32942">
        <w:rPr>
          <w:sz w:val="20"/>
          <w:szCs w:val="20"/>
          <w:lang w:val="es-ES"/>
        </w:rPr>
        <w:t xml:space="preserve"> mayo de 1992 por</w:t>
      </w:r>
      <w:r w:rsidR="00D958C7" w:rsidRPr="00D32942">
        <w:rPr>
          <w:sz w:val="20"/>
          <w:szCs w:val="20"/>
          <w:lang w:val="es-ES"/>
        </w:rPr>
        <w:t xml:space="preserve"> soldados del Ejército Nacional</w:t>
      </w:r>
      <w:r w:rsidR="00DD40F7" w:rsidRPr="00D32942">
        <w:rPr>
          <w:sz w:val="20"/>
          <w:szCs w:val="20"/>
          <w:lang w:val="es-ES"/>
        </w:rPr>
        <w:t>,</w:t>
      </w:r>
      <w:r w:rsidR="00D958C7" w:rsidRPr="00D32942">
        <w:rPr>
          <w:sz w:val="20"/>
          <w:szCs w:val="20"/>
          <w:lang w:val="es-ES"/>
        </w:rPr>
        <w:t xml:space="preserve"> alegando lesiones personales producto de fuego cruzado entre ellos y los guerrilleros durante la incursión en la casa de la familia Ayure</w:t>
      </w:r>
      <w:r w:rsidR="008C0A6C">
        <w:rPr>
          <w:sz w:val="20"/>
          <w:szCs w:val="20"/>
          <w:lang w:val="es-ES"/>
        </w:rPr>
        <w:t xml:space="preserve"> Quintero</w:t>
      </w:r>
      <w:r w:rsidR="00D958C7" w:rsidRPr="00D32942">
        <w:rPr>
          <w:sz w:val="20"/>
          <w:szCs w:val="20"/>
          <w:lang w:val="es-ES"/>
        </w:rPr>
        <w:t xml:space="preserve">. </w:t>
      </w:r>
      <w:r w:rsidR="00FF03DC" w:rsidRPr="00D32942">
        <w:rPr>
          <w:sz w:val="20"/>
          <w:szCs w:val="20"/>
          <w:lang w:val="es-ES"/>
        </w:rPr>
        <w:t>No obstante, e</w:t>
      </w:r>
      <w:r w:rsidR="00D958C7" w:rsidRPr="00D32942">
        <w:rPr>
          <w:sz w:val="20"/>
          <w:szCs w:val="20"/>
          <w:lang w:val="es-ES"/>
        </w:rPr>
        <w:t xml:space="preserve">l 20 de diciembre de 1996 la Fiscalía Regional Oriente se abstuvo de abrir investigación </w:t>
      </w:r>
      <w:r w:rsidR="002C1959" w:rsidRPr="00D32942">
        <w:rPr>
          <w:sz w:val="20"/>
          <w:szCs w:val="20"/>
          <w:lang w:val="es-ES"/>
        </w:rPr>
        <w:t xml:space="preserve">en tanto las lesiones alegadas </w:t>
      </w:r>
      <w:r w:rsidR="00D94CBC" w:rsidRPr="00D32942">
        <w:rPr>
          <w:sz w:val="20"/>
          <w:szCs w:val="20"/>
          <w:lang w:val="es-ES"/>
        </w:rPr>
        <w:t xml:space="preserve">por los miembros del Ejército </w:t>
      </w:r>
      <w:r w:rsidR="002C1959" w:rsidRPr="00D32942">
        <w:rPr>
          <w:sz w:val="20"/>
          <w:szCs w:val="20"/>
          <w:lang w:val="es-ES"/>
        </w:rPr>
        <w:t xml:space="preserve">se produjeron </w:t>
      </w:r>
      <w:r w:rsidR="00D958C7" w:rsidRPr="00D32942">
        <w:rPr>
          <w:sz w:val="20"/>
          <w:szCs w:val="20"/>
          <w:lang w:val="es-ES"/>
        </w:rPr>
        <w:t>por</w:t>
      </w:r>
      <w:r w:rsidR="002C1959" w:rsidRPr="00D32942">
        <w:rPr>
          <w:sz w:val="20"/>
          <w:szCs w:val="20"/>
          <w:lang w:val="es-ES"/>
        </w:rPr>
        <w:t xml:space="preserve"> arma cortante y</w:t>
      </w:r>
      <w:r w:rsidR="00D958C7" w:rsidRPr="00D32942">
        <w:rPr>
          <w:sz w:val="20"/>
          <w:szCs w:val="20"/>
          <w:lang w:val="es-ES"/>
        </w:rPr>
        <w:t xml:space="preserve"> no</w:t>
      </w:r>
      <w:r w:rsidR="002C1959" w:rsidRPr="00D32942">
        <w:rPr>
          <w:sz w:val="20"/>
          <w:szCs w:val="20"/>
          <w:lang w:val="es-ES"/>
        </w:rPr>
        <w:t xml:space="preserve"> como consecuencia de un enfrentamiento armado.</w:t>
      </w:r>
      <w:r w:rsidR="00D958C7" w:rsidRPr="00D32942">
        <w:rPr>
          <w:sz w:val="20"/>
          <w:szCs w:val="20"/>
          <w:lang w:val="es-ES"/>
        </w:rPr>
        <w:t xml:space="preserve"> </w:t>
      </w:r>
      <w:r w:rsidR="00934849" w:rsidRPr="00D32942">
        <w:rPr>
          <w:sz w:val="20"/>
          <w:szCs w:val="20"/>
          <w:lang w:val="es-ES"/>
        </w:rPr>
        <w:t>L</w:t>
      </w:r>
      <w:r w:rsidR="002C1959" w:rsidRPr="00D32942">
        <w:rPr>
          <w:sz w:val="20"/>
          <w:szCs w:val="20"/>
          <w:lang w:val="es-ES"/>
        </w:rPr>
        <w:t xml:space="preserve">a Fiscalía Regional Oriente remitió a la jurisdicción penal militar lo referente a la muerte de Marta Cecilia Ayure y las lesiones de Matilde Quintero y </w:t>
      </w:r>
      <w:r w:rsidR="00D94CBC" w:rsidRPr="00D32942">
        <w:rPr>
          <w:sz w:val="20"/>
          <w:szCs w:val="20"/>
          <w:lang w:val="es-ES"/>
        </w:rPr>
        <w:t xml:space="preserve">de </w:t>
      </w:r>
      <w:r w:rsidR="002C1959" w:rsidRPr="00D32942">
        <w:rPr>
          <w:sz w:val="20"/>
          <w:szCs w:val="20"/>
          <w:lang w:val="es-ES"/>
        </w:rPr>
        <w:t>Sandra Milena Ayure.</w:t>
      </w:r>
    </w:p>
    <w:p w:rsidR="002C1959" w:rsidRPr="00D32942" w:rsidRDefault="002C1959" w:rsidP="002C19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
        </w:rPr>
      </w:pPr>
    </w:p>
    <w:p w:rsidR="00507BCD" w:rsidRPr="00D32942" w:rsidRDefault="002C1959" w:rsidP="00785B7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Señalan que e</w:t>
      </w:r>
      <w:r w:rsidR="004D1002" w:rsidRPr="00D32942">
        <w:rPr>
          <w:sz w:val="20"/>
          <w:szCs w:val="20"/>
          <w:lang w:val="es-ES"/>
        </w:rPr>
        <w:t>n octubre de 1996 el</w:t>
      </w:r>
      <w:r w:rsidRPr="00D32942">
        <w:rPr>
          <w:sz w:val="20"/>
          <w:szCs w:val="20"/>
          <w:lang w:val="es-ES"/>
        </w:rPr>
        <w:t xml:space="preserve"> Juzgado 47 de Instrucción Penal Militar reabrió la investigación preliminar y en diciembre</w:t>
      </w:r>
      <w:r w:rsidR="004D1002" w:rsidRPr="00D32942">
        <w:rPr>
          <w:sz w:val="20"/>
          <w:szCs w:val="20"/>
          <w:lang w:val="es-ES"/>
        </w:rPr>
        <w:t xml:space="preserve"> de</w:t>
      </w:r>
      <w:r w:rsidRPr="00D32942">
        <w:rPr>
          <w:sz w:val="20"/>
          <w:szCs w:val="20"/>
          <w:lang w:val="es-ES"/>
        </w:rPr>
        <w:t xml:space="preserve"> 1997 ordenó que cesara todo procedimiento. </w:t>
      </w:r>
      <w:r w:rsidR="00923E42" w:rsidRPr="00D32942">
        <w:rPr>
          <w:sz w:val="20"/>
          <w:szCs w:val="20"/>
          <w:lang w:val="es-ES"/>
        </w:rPr>
        <w:t>Luego de que se substanciaran diversas instancias</w:t>
      </w:r>
      <w:r w:rsidR="005C2A4B" w:rsidRPr="00D32942">
        <w:rPr>
          <w:sz w:val="20"/>
          <w:szCs w:val="20"/>
          <w:lang w:val="es-ES"/>
        </w:rPr>
        <w:t>,</w:t>
      </w:r>
      <w:r w:rsidRPr="00D32942">
        <w:rPr>
          <w:sz w:val="20"/>
          <w:szCs w:val="20"/>
          <w:lang w:val="es-ES"/>
        </w:rPr>
        <w:t xml:space="preserve"> </w:t>
      </w:r>
      <w:r w:rsidR="005C2A4B" w:rsidRPr="00D32942">
        <w:rPr>
          <w:sz w:val="20"/>
          <w:szCs w:val="20"/>
          <w:lang w:val="es-ES"/>
        </w:rPr>
        <w:t>en junio de 2003, diez años después de ocurridos los hechos,</w:t>
      </w:r>
      <w:r w:rsidRPr="00D32942">
        <w:rPr>
          <w:sz w:val="20"/>
          <w:szCs w:val="20"/>
          <w:lang w:val="es-ES"/>
        </w:rPr>
        <w:t xml:space="preserve"> la Fiscalía 28 Penal Militar calificó nuevamente el mérito del sumario y decretó la cesación de</w:t>
      </w:r>
      <w:r w:rsidR="00DF0A7C" w:rsidRPr="00D32942">
        <w:rPr>
          <w:sz w:val="20"/>
          <w:szCs w:val="20"/>
          <w:lang w:val="es-ES"/>
        </w:rPr>
        <w:t>l</w:t>
      </w:r>
      <w:r w:rsidRPr="00D32942">
        <w:rPr>
          <w:sz w:val="20"/>
          <w:szCs w:val="20"/>
          <w:lang w:val="es-ES"/>
        </w:rPr>
        <w:t xml:space="preserve"> procedimiento a favor de los implicados en razón de que operaba la prescripción de la acción penal.</w:t>
      </w:r>
      <w:r w:rsidRPr="00D32942">
        <w:rPr>
          <w:sz w:val="20"/>
          <w:szCs w:val="20"/>
          <w:lang w:val="es-PE"/>
        </w:rPr>
        <w:t xml:space="preserve"> </w:t>
      </w:r>
      <w:r w:rsidR="00DF2250" w:rsidRPr="00D32942">
        <w:rPr>
          <w:sz w:val="20"/>
          <w:szCs w:val="20"/>
          <w:lang w:val="es-PE"/>
        </w:rPr>
        <w:t>Informan</w:t>
      </w:r>
      <w:r w:rsidRPr="00D32942">
        <w:rPr>
          <w:sz w:val="20"/>
          <w:szCs w:val="20"/>
          <w:lang w:val="es-PE"/>
        </w:rPr>
        <w:t xml:space="preserve"> que interpusieron recurso de apelación contra dicha decisión y que ésta fue confirmada por el Tribunal Superior Militar </w:t>
      </w:r>
      <w:r w:rsidRPr="00D32942">
        <w:rPr>
          <w:sz w:val="20"/>
          <w:szCs w:val="20"/>
          <w:lang w:val="es-ES"/>
        </w:rPr>
        <w:t>en septiembre de 2003.</w:t>
      </w:r>
      <w:r w:rsidR="00785B75" w:rsidRPr="00D32942">
        <w:rPr>
          <w:sz w:val="20"/>
          <w:szCs w:val="20"/>
          <w:lang w:val="es-ES"/>
        </w:rPr>
        <w:t xml:space="preserve"> </w:t>
      </w:r>
      <w:r w:rsidR="00934849" w:rsidRPr="00D32942">
        <w:rPr>
          <w:sz w:val="20"/>
          <w:szCs w:val="20"/>
          <w:lang w:val="es-ES"/>
        </w:rPr>
        <w:t>I</w:t>
      </w:r>
      <w:r w:rsidR="00DD40F7" w:rsidRPr="00D32942">
        <w:rPr>
          <w:sz w:val="20"/>
          <w:szCs w:val="20"/>
          <w:lang w:val="es-ES"/>
        </w:rPr>
        <w:t xml:space="preserve">ndican que </w:t>
      </w:r>
      <w:r w:rsidR="003257BE" w:rsidRPr="00D32942">
        <w:rPr>
          <w:sz w:val="20"/>
          <w:szCs w:val="20"/>
          <w:lang w:val="es-ES"/>
        </w:rPr>
        <w:t>la Procuraduría 16 Penal Judicial II en calidad de</w:t>
      </w:r>
      <w:r w:rsidR="00CD2F9C" w:rsidRPr="00D32942">
        <w:rPr>
          <w:sz w:val="20"/>
          <w:szCs w:val="20"/>
          <w:lang w:val="es-ES"/>
        </w:rPr>
        <w:t xml:space="preserve"> </w:t>
      </w:r>
      <w:r w:rsidR="003257BE" w:rsidRPr="00D32942">
        <w:rPr>
          <w:sz w:val="20"/>
          <w:szCs w:val="20"/>
          <w:lang w:val="es-ES"/>
        </w:rPr>
        <w:t xml:space="preserve">Ministerio Público en el proceso penal, interpuso acción de tutela contra </w:t>
      </w:r>
      <w:r w:rsidR="00934849" w:rsidRPr="00D32942">
        <w:rPr>
          <w:sz w:val="20"/>
          <w:szCs w:val="20"/>
          <w:lang w:val="es-ES"/>
        </w:rPr>
        <w:t>dicha</w:t>
      </w:r>
      <w:r w:rsidR="003257BE" w:rsidRPr="00D32942">
        <w:rPr>
          <w:sz w:val="20"/>
          <w:szCs w:val="20"/>
          <w:lang w:val="es-ES"/>
        </w:rPr>
        <w:t xml:space="preserve"> </w:t>
      </w:r>
      <w:r w:rsidR="00057773" w:rsidRPr="00D32942">
        <w:rPr>
          <w:sz w:val="20"/>
          <w:szCs w:val="20"/>
          <w:lang w:val="es-ES"/>
        </w:rPr>
        <w:t xml:space="preserve">decisión </w:t>
      </w:r>
      <w:r w:rsidR="007F20AD" w:rsidRPr="00D32942">
        <w:rPr>
          <w:sz w:val="20"/>
          <w:szCs w:val="20"/>
          <w:lang w:val="es-ES"/>
        </w:rPr>
        <w:t>y e</w:t>
      </w:r>
      <w:r w:rsidR="00DE755E" w:rsidRPr="00D32942">
        <w:rPr>
          <w:sz w:val="20"/>
          <w:szCs w:val="20"/>
          <w:lang w:val="es-ES"/>
        </w:rPr>
        <w:t>l 20 de noviembre de 2007</w:t>
      </w:r>
      <w:r w:rsidR="003257BE" w:rsidRPr="00D32942">
        <w:rPr>
          <w:sz w:val="20"/>
          <w:szCs w:val="20"/>
          <w:lang w:val="es-ES"/>
        </w:rPr>
        <w:t xml:space="preserve"> la sala de Casación penal de la Corte Suprema de Justicia negó la prote</w:t>
      </w:r>
      <w:r w:rsidR="005669FA" w:rsidRPr="00D32942">
        <w:rPr>
          <w:sz w:val="20"/>
          <w:szCs w:val="20"/>
          <w:lang w:val="es-ES"/>
        </w:rPr>
        <w:t xml:space="preserve">cción de los derechos invocados. </w:t>
      </w:r>
      <w:r w:rsidR="00057773" w:rsidRPr="00D32942">
        <w:rPr>
          <w:sz w:val="20"/>
          <w:szCs w:val="20"/>
          <w:lang w:val="es-ES"/>
        </w:rPr>
        <w:t>S</w:t>
      </w:r>
      <w:r w:rsidR="00DF0A7C" w:rsidRPr="00D32942">
        <w:rPr>
          <w:sz w:val="20"/>
          <w:szCs w:val="20"/>
          <w:lang w:val="es-ES"/>
        </w:rPr>
        <w:t>eñalan que</w:t>
      </w:r>
      <w:r w:rsidR="005669FA" w:rsidRPr="00D32942">
        <w:rPr>
          <w:sz w:val="20"/>
          <w:szCs w:val="20"/>
          <w:lang w:val="es-ES"/>
        </w:rPr>
        <w:t xml:space="preserve"> en febrero</w:t>
      </w:r>
      <w:r w:rsidR="00DF0A7C" w:rsidRPr="00D32942">
        <w:rPr>
          <w:sz w:val="20"/>
          <w:szCs w:val="20"/>
          <w:lang w:val="es-ES"/>
        </w:rPr>
        <w:t xml:space="preserve"> de 2008</w:t>
      </w:r>
      <w:r w:rsidR="003257BE" w:rsidRPr="00D32942">
        <w:rPr>
          <w:sz w:val="20"/>
          <w:szCs w:val="20"/>
          <w:lang w:val="es-ES"/>
        </w:rPr>
        <w:t xml:space="preserve"> el Ministerio Público presentó una solicitud de selección del</w:t>
      </w:r>
      <w:r w:rsidR="00CD2F9C" w:rsidRPr="00D32942">
        <w:rPr>
          <w:sz w:val="20"/>
          <w:szCs w:val="20"/>
          <w:lang w:val="es-ES"/>
        </w:rPr>
        <w:t xml:space="preserve"> </w:t>
      </w:r>
      <w:r w:rsidR="003257BE" w:rsidRPr="00D32942">
        <w:rPr>
          <w:sz w:val="20"/>
          <w:szCs w:val="20"/>
          <w:lang w:val="es-ES"/>
        </w:rPr>
        <w:t>expedi</w:t>
      </w:r>
      <w:r w:rsidR="007F20AD" w:rsidRPr="00D32942">
        <w:rPr>
          <w:sz w:val="20"/>
          <w:szCs w:val="20"/>
          <w:lang w:val="es-ES"/>
        </w:rPr>
        <w:t xml:space="preserve">ente a la Corte Constitucional. </w:t>
      </w:r>
      <w:r w:rsidR="00DF0A7C" w:rsidRPr="00D32942">
        <w:rPr>
          <w:sz w:val="20"/>
          <w:szCs w:val="20"/>
          <w:lang w:val="es-ES"/>
        </w:rPr>
        <w:t>Resaltan que</w:t>
      </w:r>
      <w:r w:rsidR="007F20AD" w:rsidRPr="00D32942">
        <w:rPr>
          <w:sz w:val="20"/>
          <w:szCs w:val="20"/>
          <w:lang w:val="es-ES"/>
        </w:rPr>
        <w:t xml:space="preserve"> dos veces</w:t>
      </w:r>
      <w:r w:rsidR="00B4430D" w:rsidRPr="00D32942">
        <w:rPr>
          <w:sz w:val="20"/>
          <w:szCs w:val="20"/>
          <w:lang w:val="es-ES"/>
        </w:rPr>
        <w:t xml:space="preserve"> la Corte Constitucional declaró la nulidad </w:t>
      </w:r>
      <w:r w:rsidR="0094666B" w:rsidRPr="00D32942">
        <w:rPr>
          <w:sz w:val="20"/>
          <w:szCs w:val="20"/>
          <w:lang w:val="es-ES"/>
        </w:rPr>
        <w:t>de todo el procedimiento por</w:t>
      </w:r>
      <w:r w:rsidR="00B4430D" w:rsidRPr="00D32942">
        <w:rPr>
          <w:sz w:val="20"/>
          <w:szCs w:val="20"/>
          <w:lang w:val="es-ES"/>
        </w:rPr>
        <w:t xml:space="preserve"> falta de notificación de los miembros de la Fuerza Pública implica</w:t>
      </w:r>
      <w:r w:rsidR="0094666B" w:rsidRPr="00D32942">
        <w:rPr>
          <w:sz w:val="20"/>
          <w:szCs w:val="20"/>
          <w:lang w:val="es-ES"/>
        </w:rPr>
        <w:t>dos</w:t>
      </w:r>
      <w:r w:rsidR="007F20AD" w:rsidRPr="00D32942">
        <w:rPr>
          <w:sz w:val="20"/>
          <w:szCs w:val="20"/>
          <w:lang w:val="es-ES"/>
        </w:rPr>
        <w:t xml:space="preserve"> y finalmente, e</w:t>
      </w:r>
      <w:r w:rsidR="00671A25" w:rsidRPr="00D32942">
        <w:rPr>
          <w:sz w:val="20"/>
          <w:szCs w:val="20"/>
          <w:lang w:val="es-ES"/>
        </w:rPr>
        <w:t>n mayo de 2009</w:t>
      </w:r>
      <w:r w:rsidR="007F20AD" w:rsidRPr="00D32942">
        <w:rPr>
          <w:sz w:val="20"/>
          <w:szCs w:val="20"/>
          <w:lang w:val="es-ES"/>
        </w:rPr>
        <w:t>,</w:t>
      </w:r>
      <w:r w:rsidR="00671A25" w:rsidRPr="00D32942">
        <w:rPr>
          <w:sz w:val="20"/>
          <w:szCs w:val="20"/>
          <w:lang w:val="es-ES"/>
        </w:rPr>
        <w:t xml:space="preserve"> l</w:t>
      </w:r>
      <w:r w:rsidR="00B4430D" w:rsidRPr="00D32942">
        <w:rPr>
          <w:sz w:val="20"/>
          <w:szCs w:val="20"/>
          <w:lang w:val="es-ES"/>
        </w:rPr>
        <w:t xml:space="preserve">a Sala de Casación Penal </w:t>
      </w:r>
      <w:r w:rsidR="00E613CF" w:rsidRPr="00D32942">
        <w:rPr>
          <w:sz w:val="20"/>
          <w:szCs w:val="20"/>
          <w:lang w:val="es-ES"/>
        </w:rPr>
        <w:t>emitió un nuevo fallo negando la protección invocada</w:t>
      </w:r>
      <w:r w:rsidR="007F20AD" w:rsidRPr="00D32942">
        <w:rPr>
          <w:sz w:val="20"/>
          <w:szCs w:val="20"/>
          <w:lang w:val="es-ES"/>
        </w:rPr>
        <w:t>.</w:t>
      </w:r>
      <w:r w:rsidR="00DF0A7C" w:rsidRPr="00D32942">
        <w:rPr>
          <w:sz w:val="20"/>
          <w:szCs w:val="20"/>
          <w:lang w:val="es-ES"/>
        </w:rPr>
        <w:t xml:space="preserve"> Indican que n</w:t>
      </w:r>
      <w:r w:rsidR="00E613CF" w:rsidRPr="00D32942">
        <w:rPr>
          <w:sz w:val="20"/>
          <w:szCs w:val="20"/>
          <w:lang w:val="es-ES"/>
        </w:rPr>
        <w:t>o se presentó recurso contra dicha providencia y no fue revisada por la Corte Constitucional.</w:t>
      </w:r>
    </w:p>
    <w:p w:rsidR="00507BCD" w:rsidRPr="00D32942" w:rsidRDefault="00507BCD" w:rsidP="00507BCD">
      <w:pPr>
        <w:pStyle w:val="ListParagraph"/>
        <w:rPr>
          <w:sz w:val="20"/>
          <w:szCs w:val="20"/>
          <w:lang w:val="es-ES"/>
        </w:rPr>
      </w:pPr>
    </w:p>
    <w:p w:rsidR="00873C09" w:rsidRPr="00D32942" w:rsidRDefault="00341C00" w:rsidP="00AD0BE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sz w:val="20"/>
          <w:szCs w:val="20"/>
          <w:lang w:val="es-ES"/>
        </w:rPr>
      </w:pPr>
      <w:r w:rsidRPr="00D32942">
        <w:rPr>
          <w:sz w:val="20"/>
          <w:szCs w:val="20"/>
          <w:lang w:val="es-ES"/>
        </w:rPr>
        <w:t>Con respecto a la acción contenciosa administrativa, l</w:t>
      </w:r>
      <w:r w:rsidR="00E81299" w:rsidRPr="00D32942">
        <w:rPr>
          <w:sz w:val="20"/>
          <w:szCs w:val="20"/>
          <w:lang w:val="es-ES"/>
        </w:rPr>
        <w:t xml:space="preserve">os peticionarios argumentan que </w:t>
      </w:r>
      <w:r w:rsidR="002A54CF" w:rsidRPr="00D32942">
        <w:rPr>
          <w:sz w:val="20"/>
          <w:szCs w:val="20"/>
          <w:lang w:val="es-ES"/>
        </w:rPr>
        <w:t>el 19 de septiembre de 2000 el Tribunal Administrativo de</w:t>
      </w:r>
      <w:r w:rsidR="00403DA5" w:rsidRPr="00D32942">
        <w:rPr>
          <w:sz w:val="20"/>
          <w:szCs w:val="20"/>
          <w:lang w:val="es-ES"/>
        </w:rPr>
        <w:t>l</w:t>
      </w:r>
      <w:r w:rsidR="002A54CF" w:rsidRPr="00D32942">
        <w:rPr>
          <w:sz w:val="20"/>
          <w:szCs w:val="20"/>
          <w:lang w:val="es-ES"/>
        </w:rPr>
        <w:t xml:space="preserve"> Meta </w:t>
      </w:r>
      <w:r w:rsidR="00726EA2" w:rsidRPr="00D32942">
        <w:rPr>
          <w:sz w:val="20"/>
          <w:szCs w:val="20"/>
          <w:lang w:val="es-ES"/>
        </w:rPr>
        <w:t xml:space="preserve">determinó la responsabilidad de la Nación colombiana, por lo que se le condenó a pagar una indemnización de 1000 gramos de oro respectivamente a cada uno de los padres, y </w:t>
      </w:r>
      <w:r w:rsidR="00962B5A" w:rsidRPr="00D32942">
        <w:rPr>
          <w:sz w:val="20"/>
          <w:szCs w:val="20"/>
          <w:lang w:val="es-ES"/>
        </w:rPr>
        <w:t>5</w:t>
      </w:r>
      <w:r w:rsidR="00726EA2" w:rsidRPr="00D32942">
        <w:rPr>
          <w:sz w:val="20"/>
          <w:szCs w:val="20"/>
          <w:lang w:val="es-ES"/>
        </w:rPr>
        <w:t xml:space="preserve">00 gramos de oro a cada hermano y hermana </w:t>
      </w:r>
      <w:r w:rsidR="00962B5A" w:rsidRPr="00D32942">
        <w:rPr>
          <w:sz w:val="20"/>
          <w:szCs w:val="20"/>
          <w:lang w:val="es-ES"/>
        </w:rPr>
        <w:t>de Martha Cecilia Ayure Quintero</w:t>
      </w:r>
      <w:r w:rsidR="00726EA2" w:rsidRPr="00D32942">
        <w:rPr>
          <w:sz w:val="20"/>
          <w:szCs w:val="20"/>
          <w:lang w:val="es-ES"/>
        </w:rPr>
        <w:t xml:space="preserve">. </w:t>
      </w:r>
      <w:r w:rsidR="007659A2" w:rsidRPr="00D32942">
        <w:rPr>
          <w:sz w:val="20"/>
          <w:szCs w:val="20"/>
          <w:lang w:val="es-ES"/>
        </w:rPr>
        <w:t>Además</w:t>
      </w:r>
      <w:r w:rsidR="00962B5A" w:rsidRPr="00D32942">
        <w:rPr>
          <w:sz w:val="20"/>
          <w:szCs w:val="20"/>
          <w:lang w:val="es-ES"/>
        </w:rPr>
        <w:t xml:space="preserve">, estableció el reconocimiento de 300 gramos </w:t>
      </w:r>
      <w:r w:rsidR="00403DA5" w:rsidRPr="00D32942">
        <w:rPr>
          <w:sz w:val="20"/>
          <w:szCs w:val="20"/>
          <w:lang w:val="es-ES"/>
        </w:rPr>
        <w:t xml:space="preserve">de </w:t>
      </w:r>
      <w:r w:rsidR="00962B5A" w:rsidRPr="00D32942">
        <w:rPr>
          <w:sz w:val="20"/>
          <w:szCs w:val="20"/>
          <w:lang w:val="es-ES"/>
        </w:rPr>
        <w:t>oro a favor de Matilde Quintero y Sandra Milena Ayure por las lesiones sufridas.</w:t>
      </w:r>
      <w:r w:rsidR="00AD0BE0" w:rsidRPr="00D32942">
        <w:rPr>
          <w:sz w:val="20"/>
          <w:szCs w:val="20"/>
          <w:lang w:val="es-ES"/>
        </w:rPr>
        <w:t xml:space="preserve"> </w:t>
      </w:r>
      <w:r w:rsidR="007659A2" w:rsidRPr="00D32942">
        <w:rPr>
          <w:sz w:val="20"/>
          <w:szCs w:val="20"/>
          <w:lang w:val="es-ES"/>
        </w:rPr>
        <w:t xml:space="preserve">Asimismo el </w:t>
      </w:r>
      <w:r w:rsidR="00962B5A" w:rsidRPr="00D32942">
        <w:rPr>
          <w:sz w:val="20"/>
          <w:szCs w:val="20"/>
          <w:lang w:val="es-ES"/>
        </w:rPr>
        <w:t xml:space="preserve">Tribunal ordenó la condena en abstracto por los perjuicios materiales causados </w:t>
      </w:r>
      <w:r w:rsidR="007F20AD" w:rsidRPr="00D32942">
        <w:rPr>
          <w:sz w:val="20"/>
          <w:szCs w:val="20"/>
          <w:lang w:val="es-ES"/>
        </w:rPr>
        <w:t>y e</w:t>
      </w:r>
      <w:r w:rsidR="00962B5A" w:rsidRPr="00D32942">
        <w:rPr>
          <w:sz w:val="20"/>
          <w:szCs w:val="20"/>
          <w:lang w:val="es-ES"/>
        </w:rPr>
        <w:t xml:space="preserve">l 22 de noviembre de 2005 </w:t>
      </w:r>
      <w:r w:rsidR="00507BCD" w:rsidRPr="00D32942">
        <w:rPr>
          <w:sz w:val="20"/>
          <w:szCs w:val="20"/>
          <w:lang w:val="es-ES"/>
        </w:rPr>
        <w:t xml:space="preserve">reconoció el daño emergente representado en la lesión de los bienes de la familia </w:t>
      </w:r>
      <w:r w:rsidR="00711DF3">
        <w:rPr>
          <w:sz w:val="20"/>
          <w:szCs w:val="20"/>
          <w:lang w:val="es-ES"/>
        </w:rPr>
        <w:t xml:space="preserve">Ayure Quintero por un total de </w:t>
      </w:r>
      <w:r w:rsidR="00507BCD" w:rsidRPr="00D32942">
        <w:rPr>
          <w:sz w:val="20"/>
          <w:szCs w:val="20"/>
          <w:lang w:val="es-ES"/>
        </w:rPr>
        <w:t>45.299.404</w:t>
      </w:r>
      <w:r w:rsidR="00711DF3">
        <w:rPr>
          <w:sz w:val="20"/>
          <w:szCs w:val="20"/>
          <w:lang w:val="es-ES"/>
        </w:rPr>
        <w:t xml:space="preserve"> pesos (aproximadamente 20.000 US$ para la época de los hechos)</w:t>
      </w:r>
      <w:r w:rsidR="00507BCD" w:rsidRPr="00D32942">
        <w:rPr>
          <w:sz w:val="20"/>
          <w:szCs w:val="20"/>
          <w:lang w:val="es-ES"/>
        </w:rPr>
        <w:t xml:space="preserve">. El </w:t>
      </w:r>
      <w:r w:rsidR="005153A3" w:rsidRPr="00D32942">
        <w:rPr>
          <w:sz w:val="20"/>
          <w:szCs w:val="20"/>
          <w:lang w:val="es-ES"/>
        </w:rPr>
        <w:t>25 de abril de 2007</w:t>
      </w:r>
      <w:r w:rsidR="007F354F" w:rsidRPr="00D32942">
        <w:rPr>
          <w:sz w:val="20"/>
          <w:szCs w:val="20"/>
          <w:lang w:val="es-ES"/>
        </w:rPr>
        <w:t xml:space="preserve"> el Ministerio de Defensa nacional</w:t>
      </w:r>
      <w:r w:rsidR="007659A2" w:rsidRPr="00D32942">
        <w:rPr>
          <w:sz w:val="20"/>
          <w:szCs w:val="20"/>
          <w:lang w:val="es-ES"/>
        </w:rPr>
        <w:t xml:space="preserve"> procedió a la </w:t>
      </w:r>
      <w:r w:rsidR="007F354F" w:rsidRPr="00D32942">
        <w:rPr>
          <w:sz w:val="20"/>
          <w:szCs w:val="20"/>
          <w:lang w:val="es-ES"/>
        </w:rPr>
        <w:t>liquidación de los perjuicios ordenados.</w:t>
      </w:r>
    </w:p>
    <w:p w:rsidR="00873C09" w:rsidRPr="00D32942" w:rsidRDefault="00873C09" w:rsidP="00373CB8">
      <w:pPr>
        <w:pStyle w:val="ListParagraph"/>
        <w:ind w:firstLine="720"/>
        <w:rPr>
          <w:sz w:val="20"/>
          <w:szCs w:val="20"/>
          <w:lang w:val="es-ES"/>
        </w:rPr>
      </w:pPr>
    </w:p>
    <w:p w:rsidR="00982F1C" w:rsidRPr="00D32942" w:rsidRDefault="00015A9A" w:rsidP="00982F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
        </w:rPr>
        <w:t>Con respecto al proceso disciplinario</w:t>
      </w:r>
      <w:r w:rsidR="00A00A09" w:rsidRPr="00D32942">
        <w:rPr>
          <w:color w:val="auto"/>
          <w:sz w:val="20"/>
          <w:szCs w:val="20"/>
          <w:lang w:val="es-ES"/>
        </w:rPr>
        <w:t>, los peticionarios indican que</w:t>
      </w:r>
      <w:r w:rsidR="005153A3" w:rsidRPr="00D32942">
        <w:rPr>
          <w:color w:val="auto"/>
          <w:sz w:val="20"/>
          <w:szCs w:val="20"/>
          <w:lang w:val="es-ES"/>
        </w:rPr>
        <w:t xml:space="preserve"> </w:t>
      </w:r>
      <w:r w:rsidR="00873C09" w:rsidRPr="00D32942">
        <w:rPr>
          <w:color w:val="auto"/>
          <w:sz w:val="20"/>
          <w:szCs w:val="20"/>
          <w:lang w:val="es-ES"/>
        </w:rPr>
        <w:t xml:space="preserve">el 28 de mayo de 1992 la Procuraduría Delegada para las Fuerzas Militares inició una indagación preliminar </w:t>
      </w:r>
      <w:r w:rsidR="00EF0AB1" w:rsidRPr="00D32942">
        <w:rPr>
          <w:color w:val="auto"/>
          <w:sz w:val="20"/>
          <w:szCs w:val="20"/>
          <w:lang w:val="es-ES"/>
        </w:rPr>
        <w:t xml:space="preserve">entre </w:t>
      </w:r>
      <w:r w:rsidR="00B65883" w:rsidRPr="00D32942">
        <w:rPr>
          <w:color w:val="auto"/>
          <w:sz w:val="20"/>
          <w:szCs w:val="20"/>
          <w:lang w:val="es-ES"/>
        </w:rPr>
        <w:t>otras cosas</w:t>
      </w:r>
      <w:r w:rsidR="00507BCD" w:rsidRPr="00D32942">
        <w:rPr>
          <w:color w:val="auto"/>
          <w:sz w:val="20"/>
          <w:szCs w:val="20"/>
          <w:lang w:val="es-ES"/>
        </w:rPr>
        <w:t xml:space="preserve"> por</w:t>
      </w:r>
      <w:r w:rsidR="00873C09" w:rsidRPr="00D32942">
        <w:rPr>
          <w:color w:val="auto"/>
          <w:sz w:val="20"/>
          <w:szCs w:val="20"/>
          <w:lang w:val="es-ES"/>
        </w:rPr>
        <w:t xml:space="preserve"> las lesiones personales causadas a Sandra Milena Ayure y Matilde Quintero, y la retención ilegal de las menores Graciela, Janeth e Ismenia. El 21 de julio de 1993, la Procuraduría decidió abstenerse de iniciar investigación argumentando ausencia de pruebas para activar su competencia. El 9 de agosto de 1995, la Procuraduría reabrió la investigación y sin practicar pruebas adicionales archivó nuevamente la investigación el 23 de febrero de 1996.</w:t>
      </w:r>
    </w:p>
    <w:p w:rsidR="00982F1C" w:rsidRPr="00D32942" w:rsidRDefault="00982F1C" w:rsidP="00982F1C">
      <w:pPr>
        <w:pStyle w:val="ListParagraph"/>
        <w:rPr>
          <w:rFonts w:cs="Arial"/>
          <w:color w:val="auto"/>
          <w:sz w:val="20"/>
          <w:szCs w:val="20"/>
          <w:lang w:val="es-PE"/>
        </w:rPr>
      </w:pPr>
    </w:p>
    <w:p w:rsidR="00600255" w:rsidRPr="00D32942" w:rsidRDefault="00015A9A" w:rsidP="00E4459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
        </w:rPr>
        <w:t xml:space="preserve">Los peticionarios </w:t>
      </w:r>
      <w:r w:rsidR="007A017E" w:rsidRPr="00D32942">
        <w:rPr>
          <w:color w:val="auto"/>
          <w:sz w:val="20"/>
          <w:szCs w:val="20"/>
          <w:lang w:val="es-ES"/>
        </w:rPr>
        <w:t>argumentan,</w:t>
      </w:r>
      <w:r w:rsidRPr="00D32942">
        <w:rPr>
          <w:color w:val="auto"/>
          <w:sz w:val="20"/>
          <w:szCs w:val="20"/>
          <w:lang w:val="es-ES"/>
        </w:rPr>
        <w:t xml:space="preserve"> con respecto </w:t>
      </w:r>
      <w:r w:rsidR="005153A3" w:rsidRPr="00D32942">
        <w:rPr>
          <w:color w:val="auto"/>
          <w:sz w:val="20"/>
          <w:szCs w:val="20"/>
          <w:lang w:val="es-ES"/>
        </w:rPr>
        <w:t xml:space="preserve"> al requisito del previo agotamiento de los recursos internos establecido en el artículo 46.1 de la Convención Americana, que el proceso seguido ante la jurisdicción penal militar no constituye un recurso eficaz para el desarrollo de una investigación de v</w:t>
      </w:r>
      <w:r w:rsidR="00A5386F" w:rsidRPr="00D32942">
        <w:rPr>
          <w:color w:val="auto"/>
          <w:sz w:val="20"/>
          <w:szCs w:val="20"/>
          <w:lang w:val="es-ES"/>
        </w:rPr>
        <w:t>iolaciones de derechos humanos.</w:t>
      </w:r>
      <w:r w:rsidR="005153A3" w:rsidRPr="00D32942">
        <w:rPr>
          <w:color w:val="auto"/>
          <w:sz w:val="20"/>
          <w:szCs w:val="20"/>
          <w:lang w:val="es-ES"/>
        </w:rPr>
        <w:t xml:space="preserve"> Al respecto, consideran que dicha investigación es un desacato a las </w:t>
      </w:r>
      <w:r w:rsidR="005153A3" w:rsidRPr="00D32942">
        <w:rPr>
          <w:color w:val="auto"/>
          <w:sz w:val="20"/>
          <w:szCs w:val="20"/>
          <w:lang w:val="es-ES"/>
        </w:rPr>
        <w:lastRenderedPageBreak/>
        <w:t xml:space="preserve">recomendaciones de la </w:t>
      </w:r>
      <w:r w:rsidR="008536A7" w:rsidRPr="00D32942">
        <w:rPr>
          <w:color w:val="auto"/>
          <w:sz w:val="20"/>
          <w:szCs w:val="20"/>
          <w:lang w:val="es-ES"/>
        </w:rPr>
        <w:t>Corte Interamericana que ha precisado</w:t>
      </w:r>
      <w:r w:rsidR="00AE165F" w:rsidRPr="00D32942">
        <w:rPr>
          <w:color w:val="auto"/>
          <w:sz w:val="20"/>
          <w:szCs w:val="20"/>
          <w:lang w:val="es-ES"/>
        </w:rPr>
        <w:t xml:space="preserve"> que </w:t>
      </w:r>
      <w:r w:rsidR="001514E0" w:rsidRPr="00D32942">
        <w:rPr>
          <w:color w:val="auto"/>
          <w:sz w:val="20"/>
          <w:szCs w:val="20"/>
          <w:lang w:val="es-ES"/>
        </w:rPr>
        <w:t>la j</w:t>
      </w:r>
      <w:r w:rsidR="00AE165F" w:rsidRPr="00D32942">
        <w:rPr>
          <w:color w:val="auto"/>
          <w:sz w:val="20"/>
          <w:szCs w:val="20"/>
          <w:lang w:val="es-ES"/>
        </w:rPr>
        <w:t xml:space="preserve">urisdicción penal militar </w:t>
      </w:r>
      <w:r w:rsidR="001514E0" w:rsidRPr="00D32942">
        <w:rPr>
          <w:color w:val="auto"/>
          <w:sz w:val="20"/>
          <w:szCs w:val="20"/>
          <w:lang w:val="es-ES"/>
        </w:rPr>
        <w:t>sólo debe juzgar a militares por la comisión de delitos o faltas que por su propia naturaleza atenten contra bienes jurídicos propios del orden militar</w:t>
      </w:r>
      <w:r w:rsidR="005153A3" w:rsidRPr="00D32942">
        <w:rPr>
          <w:color w:val="auto"/>
          <w:sz w:val="20"/>
          <w:szCs w:val="20"/>
          <w:lang w:val="es-ES"/>
        </w:rPr>
        <w:t>. Asimismo, alegan que la investigación penal mil</w:t>
      </w:r>
      <w:r w:rsidR="00682AD5" w:rsidRPr="00D32942">
        <w:rPr>
          <w:color w:val="auto"/>
          <w:sz w:val="20"/>
          <w:szCs w:val="20"/>
          <w:lang w:val="es-ES"/>
        </w:rPr>
        <w:t>itar ha favorecido</w:t>
      </w:r>
      <w:r w:rsidR="005153A3" w:rsidRPr="00D32942">
        <w:rPr>
          <w:color w:val="auto"/>
          <w:sz w:val="20"/>
          <w:szCs w:val="20"/>
          <w:lang w:val="es-ES"/>
        </w:rPr>
        <w:t xml:space="preserve"> la impunidad en lugar de establecer la responsabilidad de los hechos</w:t>
      </w:r>
      <w:r w:rsidR="00FF03DC" w:rsidRPr="00D32942">
        <w:rPr>
          <w:color w:val="auto"/>
          <w:sz w:val="20"/>
          <w:szCs w:val="20"/>
          <w:lang w:val="es-ES"/>
        </w:rPr>
        <w:t>.</w:t>
      </w:r>
      <w:r w:rsidR="00982F1C" w:rsidRPr="00D32942">
        <w:rPr>
          <w:color w:val="auto"/>
          <w:sz w:val="20"/>
          <w:szCs w:val="20"/>
          <w:lang w:val="es-ES"/>
        </w:rPr>
        <w:t xml:space="preserve"> </w:t>
      </w:r>
      <w:r w:rsidR="00682AD5" w:rsidRPr="00D32942">
        <w:rPr>
          <w:color w:val="auto"/>
          <w:sz w:val="20"/>
          <w:szCs w:val="20"/>
          <w:lang w:val="es-ES"/>
        </w:rPr>
        <w:t>Los peticionarios sostienen qu</w:t>
      </w:r>
      <w:r w:rsidR="00982F1C" w:rsidRPr="00D32942">
        <w:rPr>
          <w:color w:val="auto"/>
          <w:sz w:val="20"/>
          <w:szCs w:val="20"/>
          <w:lang w:val="es-ES"/>
        </w:rPr>
        <w:t>e</w:t>
      </w:r>
      <w:r w:rsidR="001514E0" w:rsidRPr="00D32942">
        <w:rPr>
          <w:color w:val="auto"/>
          <w:sz w:val="20"/>
          <w:szCs w:val="20"/>
          <w:lang w:val="es-ES"/>
        </w:rPr>
        <w:t xml:space="preserve"> existiría un retardo injustificado ya que </w:t>
      </w:r>
      <w:r w:rsidRPr="00D32942">
        <w:rPr>
          <w:color w:val="auto"/>
          <w:sz w:val="20"/>
          <w:szCs w:val="20"/>
          <w:lang w:val="es-ES"/>
        </w:rPr>
        <w:t>transcurridos</w:t>
      </w:r>
      <w:r w:rsidR="00C56858" w:rsidRPr="00D32942">
        <w:rPr>
          <w:color w:val="auto"/>
          <w:sz w:val="20"/>
          <w:szCs w:val="20"/>
          <w:lang w:val="es-ES"/>
        </w:rPr>
        <w:t xml:space="preserve"> más de</w:t>
      </w:r>
      <w:r w:rsidRPr="00D32942">
        <w:rPr>
          <w:color w:val="auto"/>
          <w:sz w:val="20"/>
          <w:szCs w:val="20"/>
          <w:lang w:val="es-ES"/>
        </w:rPr>
        <w:t xml:space="preserve"> </w:t>
      </w:r>
      <w:r w:rsidR="001514E0" w:rsidRPr="00D32942">
        <w:rPr>
          <w:color w:val="auto"/>
          <w:sz w:val="20"/>
          <w:szCs w:val="20"/>
          <w:lang w:val="es-ES"/>
        </w:rPr>
        <w:t>20 años de</w:t>
      </w:r>
      <w:r w:rsidRPr="00D32942">
        <w:rPr>
          <w:color w:val="auto"/>
          <w:sz w:val="20"/>
          <w:szCs w:val="20"/>
          <w:lang w:val="es-ES"/>
        </w:rPr>
        <w:t>sde</w:t>
      </w:r>
      <w:r w:rsidR="00FF03DC" w:rsidRPr="00D32942">
        <w:rPr>
          <w:color w:val="auto"/>
          <w:sz w:val="20"/>
          <w:szCs w:val="20"/>
          <w:lang w:val="es-ES"/>
        </w:rPr>
        <w:t xml:space="preserve"> </w:t>
      </w:r>
      <w:r w:rsidR="001514E0" w:rsidRPr="00D32942">
        <w:rPr>
          <w:color w:val="auto"/>
          <w:sz w:val="20"/>
          <w:szCs w:val="20"/>
          <w:lang w:val="es-ES"/>
        </w:rPr>
        <w:t>los hechos,</w:t>
      </w:r>
      <w:r w:rsidR="00794420" w:rsidRPr="00794420">
        <w:rPr>
          <w:rFonts w:eastAsia="Arial Unicode MS" w:cs="Times New Roman"/>
          <w:color w:val="auto"/>
          <w:sz w:val="20"/>
          <w:szCs w:val="20"/>
          <w:lang w:val="es-ES" w:eastAsia="en-US"/>
        </w:rPr>
        <w:t xml:space="preserve"> </w:t>
      </w:r>
      <w:r w:rsidR="00794420" w:rsidRPr="00D32942">
        <w:rPr>
          <w:color w:val="auto"/>
          <w:sz w:val="20"/>
          <w:szCs w:val="20"/>
          <w:lang w:val="es-ES"/>
        </w:rPr>
        <w:t>no hay ningún agente estatal condenado y</w:t>
      </w:r>
      <w:r w:rsidR="001514E0" w:rsidRPr="00D32942">
        <w:rPr>
          <w:color w:val="auto"/>
          <w:sz w:val="20"/>
          <w:szCs w:val="20"/>
          <w:lang w:val="es-ES"/>
        </w:rPr>
        <w:t xml:space="preserve"> no se ha conducido ninguna investigación ante la jurisdicción ordinaria</w:t>
      </w:r>
      <w:r w:rsidR="00794420" w:rsidRPr="00D32942">
        <w:rPr>
          <w:color w:val="auto"/>
          <w:sz w:val="20"/>
          <w:szCs w:val="20"/>
          <w:lang w:val="es-ES"/>
        </w:rPr>
        <w:t xml:space="preserve">. </w:t>
      </w:r>
      <w:r w:rsidR="00737EDD" w:rsidRPr="00D32942">
        <w:rPr>
          <w:color w:val="auto"/>
          <w:sz w:val="20"/>
          <w:szCs w:val="20"/>
          <w:lang w:val="es-ES"/>
        </w:rPr>
        <w:t>Además</w:t>
      </w:r>
      <w:r w:rsidR="00794420" w:rsidRPr="00D32942">
        <w:rPr>
          <w:color w:val="auto"/>
          <w:sz w:val="20"/>
          <w:szCs w:val="20"/>
          <w:lang w:val="es-ES"/>
        </w:rPr>
        <w:t xml:space="preserve"> señalan que</w:t>
      </w:r>
      <w:r w:rsidR="00982F1C" w:rsidRPr="00D32942">
        <w:rPr>
          <w:color w:val="auto"/>
          <w:sz w:val="20"/>
          <w:szCs w:val="20"/>
          <w:lang w:val="es-ES"/>
        </w:rPr>
        <w:t xml:space="preserve"> no se podría declarar la prescripción de la acción penal por la ejecución de la niña Martha Cecilia Ayure y las lesiones causadas contra su hermanita y su madre ya que estas constituyen graves violaciones a los derechos humanos.</w:t>
      </w:r>
      <w:r w:rsidR="00A5386F" w:rsidRPr="00D32942">
        <w:rPr>
          <w:color w:val="auto"/>
          <w:sz w:val="20"/>
          <w:szCs w:val="20"/>
          <w:lang w:val="es-ES"/>
        </w:rPr>
        <w:t xml:space="preserve"> </w:t>
      </w:r>
      <w:r w:rsidR="005153A3" w:rsidRPr="00D32942">
        <w:rPr>
          <w:color w:val="auto"/>
          <w:sz w:val="20"/>
          <w:szCs w:val="20"/>
          <w:lang w:val="es-ES"/>
        </w:rPr>
        <w:t>En este sentido, alegan que aplican las excepciones al agotamiento de recursos internos por falta de idoneidad del fuero penal militar, de acuerdo a l</w:t>
      </w:r>
      <w:r w:rsidR="001514E0" w:rsidRPr="00D32942">
        <w:rPr>
          <w:color w:val="auto"/>
          <w:sz w:val="20"/>
          <w:szCs w:val="20"/>
          <w:lang w:val="es-ES"/>
        </w:rPr>
        <w:t>os incisos b) y c</w:t>
      </w:r>
      <w:r w:rsidR="005153A3" w:rsidRPr="00D32942">
        <w:rPr>
          <w:color w:val="auto"/>
          <w:sz w:val="20"/>
          <w:szCs w:val="20"/>
          <w:lang w:val="es-ES"/>
        </w:rPr>
        <w:t>) del artículo 46.2 de la Convención Americana.</w:t>
      </w:r>
    </w:p>
    <w:p w:rsidR="009521B3" w:rsidRPr="00D32942" w:rsidRDefault="009521B3" w:rsidP="009521B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
        </w:rPr>
      </w:pPr>
    </w:p>
    <w:p w:rsidR="009B7FEA" w:rsidRPr="00D32942" w:rsidRDefault="003A6913" w:rsidP="00E740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65"/>
        <w:jc w:val="both"/>
        <w:rPr>
          <w:b/>
          <w:sz w:val="20"/>
          <w:szCs w:val="20"/>
          <w:lang w:val="es-ES"/>
        </w:rPr>
      </w:pPr>
      <w:r w:rsidRPr="00D32942">
        <w:rPr>
          <w:b/>
          <w:sz w:val="20"/>
          <w:szCs w:val="20"/>
          <w:lang w:val="es-ES"/>
        </w:rPr>
        <w:t>Posición del Estado</w:t>
      </w:r>
    </w:p>
    <w:p w:rsidR="009B7FEA" w:rsidRPr="00D32942" w:rsidRDefault="009B7FEA" w:rsidP="004B11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b/>
          <w:sz w:val="20"/>
          <w:szCs w:val="20"/>
          <w:lang w:val="es-ES"/>
        </w:rPr>
      </w:pPr>
    </w:p>
    <w:p w:rsidR="00962B14" w:rsidRPr="00D32942" w:rsidRDefault="00AE5F1D" w:rsidP="00962B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_tradnl"/>
        </w:rPr>
        <w:t xml:space="preserve">El Estado sostiene que por los hechos alegados se surtieron de manera diligente procesos a nivel interno ante la jurisdicción penal militar, </w:t>
      </w:r>
      <w:r w:rsidR="00015A9A" w:rsidRPr="00D32942">
        <w:rPr>
          <w:color w:val="auto"/>
          <w:sz w:val="20"/>
          <w:szCs w:val="20"/>
          <w:lang w:val="es-ES_tradnl"/>
        </w:rPr>
        <w:t>contenciosa</w:t>
      </w:r>
      <w:r w:rsidRPr="00D32942">
        <w:rPr>
          <w:color w:val="auto"/>
          <w:sz w:val="20"/>
          <w:szCs w:val="20"/>
          <w:lang w:val="es-ES_tradnl"/>
        </w:rPr>
        <w:t xml:space="preserve"> administrativa y disciplinaria.</w:t>
      </w:r>
      <w:r w:rsidRPr="00D32942">
        <w:rPr>
          <w:color w:val="auto"/>
          <w:sz w:val="20"/>
          <w:szCs w:val="20"/>
          <w:lang w:val="es-ES"/>
        </w:rPr>
        <w:t xml:space="preserve"> Asimismo, </w:t>
      </w:r>
      <w:r w:rsidR="00962B14" w:rsidRPr="00D32942">
        <w:rPr>
          <w:color w:val="auto"/>
          <w:sz w:val="20"/>
          <w:szCs w:val="20"/>
          <w:lang w:val="es-ES"/>
        </w:rPr>
        <w:t xml:space="preserve">afirma que </w:t>
      </w:r>
      <w:r w:rsidRPr="00D32942">
        <w:rPr>
          <w:color w:val="auto"/>
          <w:sz w:val="20"/>
          <w:szCs w:val="20"/>
          <w:lang w:val="es-ES"/>
        </w:rPr>
        <w:t xml:space="preserve">también </w:t>
      </w:r>
      <w:r w:rsidR="00962B14" w:rsidRPr="00D32942">
        <w:rPr>
          <w:color w:val="auto"/>
          <w:sz w:val="20"/>
          <w:szCs w:val="20"/>
          <w:lang w:val="es-ES"/>
        </w:rPr>
        <w:t>implementó</w:t>
      </w:r>
      <w:r w:rsidR="00971C49" w:rsidRPr="00D32942">
        <w:rPr>
          <w:color w:val="auto"/>
          <w:sz w:val="20"/>
          <w:szCs w:val="20"/>
          <w:lang w:val="es-ES"/>
        </w:rPr>
        <w:t xml:space="preserve"> </w:t>
      </w:r>
      <w:r w:rsidR="00962B14" w:rsidRPr="00D32942">
        <w:rPr>
          <w:color w:val="auto"/>
          <w:sz w:val="20"/>
          <w:szCs w:val="20"/>
          <w:lang w:val="es-ES"/>
        </w:rPr>
        <w:t xml:space="preserve">una serie de acciones adicionales para lograr la reparación integral de las víctimas en el marco del proceso de búsqueda de una solución amistosa, </w:t>
      </w:r>
      <w:r w:rsidR="00971C49" w:rsidRPr="00D32942">
        <w:rPr>
          <w:color w:val="auto"/>
          <w:sz w:val="20"/>
          <w:szCs w:val="20"/>
          <w:lang w:val="es-ES"/>
        </w:rPr>
        <w:t>adoptando</w:t>
      </w:r>
      <w:r w:rsidR="00962B14" w:rsidRPr="00D32942">
        <w:rPr>
          <w:color w:val="auto"/>
          <w:sz w:val="20"/>
          <w:szCs w:val="20"/>
          <w:lang w:val="es-ES"/>
        </w:rPr>
        <w:t xml:space="preserve"> diversas medidas de carácter judicial y otras medidas destinadas a lograr una adecuada atención médica y psicosocial.</w:t>
      </w:r>
    </w:p>
    <w:p w:rsidR="00962B14" w:rsidRPr="00D32942" w:rsidRDefault="00962B14" w:rsidP="00962B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126590" w:rsidRPr="00D32942" w:rsidRDefault="00DF703E" w:rsidP="00AE5F1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PE"/>
        </w:rPr>
        <w:t xml:space="preserve">Indica que </w:t>
      </w:r>
      <w:r w:rsidR="00C56858" w:rsidRPr="00D32942">
        <w:rPr>
          <w:color w:val="auto"/>
          <w:sz w:val="20"/>
          <w:szCs w:val="20"/>
          <w:lang w:val="es-PE"/>
        </w:rPr>
        <w:t>en virtud de</w:t>
      </w:r>
      <w:r w:rsidR="00E81299" w:rsidRPr="00D32942">
        <w:rPr>
          <w:color w:val="auto"/>
          <w:sz w:val="20"/>
          <w:szCs w:val="20"/>
          <w:lang w:val="es-PE"/>
        </w:rPr>
        <w:t xml:space="preserve"> </w:t>
      </w:r>
      <w:r w:rsidR="00C56858" w:rsidRPr="00D32942">
        <w:rPr>
          <w:color w:val="auto"/>
          <w:sz w:val="20"/>
          <w:szCs w:val="20"/>
          <w:lang w:val="es-PE"/>
        </w:rPr>
        <w:t>la acción contenciosa</w:t>
      </w:r>
      <w:r w:rsidRPr="00D32942">
        <w:rPr>
          <w:color w:val="auto"/>
          <w:sz w:val="20"/>
          <w:szCs w:val="20"/>
          <w:lang w:val="es-PE"/>
        </w:rPr>
        <w:t xml:space="preserve"> administrativa interpuesta por los peticionarios</w:t>
      </w:r>
      <w:r w:rsidR="00C56858" w:rsidRPr="00D32942">
        <w:rPr>
          <w:color w:val="auto"/>
          <w:sz w:val="20"/>
          <w:szCs w:val="20"/>
          <w:lang w:val="es-PE"/>
        </w:rPr>
        <w:t>,</w:t>
      </w:r>
      <w:r w:rsidRPr="00D32942">
        <w:rPr>
          <w:color w:val="auto"/>
          <w:sz w:val="20"/>
          <w:szCs w:val="20"/>
          <w:lang w:val="es-PE"/>
        </w:rPr>
        <w:t xml:space="preserve"> el Tribunal Contencioso Administrativo de</w:t>
      </w:r>
      <w:r w:rsidR="00FF03DC" w:rsidRPr="00D32942">
        <w:rPr>
          <w:color w:val="auto"/>
          <w:sz w:val="20"/>
          <w:szCs w:val="20"/>
          <w:lang w:val="es-PE"/>
        </w:rPr>
        <w:t>l</w:t>
      </w:r>
      <w:r w:rsidRPr="00D32942">
        <w:rPr>
          <w:color w:val="auto"/>
          <w:sz w:val="20"/>
          <w:szCs w:val="20"/>
          <w:lang w:val="es-PE"/>
        </w:rPr>
        <w:t xml:space="preserve"> Meta declaró a la Nación responsable por encontrarse probados los presupuestos de falla de servicio y reconoció perjuicios morales para los padres y </w:t>
      </w:r>
      <w:r w:rsidR="00971C49" w:rsidRPr="00D32942">
        <w:rPr>
          <w:color w:val="auto"/>
          <w:sz w:val="20"/>
          <w:szCs w:val="20"/>
          <w:lang w:val="es-PE"/>
        </w:rPr>
        <w:t>hermanos de la presunta víctima, condenando</w:t>
      </w:r>
      <w:r w:rsidR="006D0BE4" w:rsidRPr="00D32942">
        <w:rPr>
          <w:color w:val="auto"/>
          <w:sz w:val="20"/>
          <w:szCs w:val="20"/>
          <w:lang w:val="es-PE"/>
        </w:rPr>
        <w:t xml:space="preserve"> </w:t>
      </w:r>
      <w:r w:rsidR="00A00A09" w:rsidRPr="00D32942">
        <w:rPr>
          <w:color w:val="auto"/>
          <w:sz w:val="20"/>
          <w:szCs w:val="20"/>
          <w:lang w:val="es-PE"/>
        </w:rPr>
        <w:t>e</w:t>
      </w:r>
      <w:r w:rsidR="006D0BE4" w:rsidRPr="00D32942">
        <w:rPr>
          <w:color w:val="auto"/>
          <w:sz w:val="20"/>
          <w:szCs w:val="20"/>
          <w:lang w:val="es-PE"/>
        </w:rPr>
        <w:t xml:space="preserve">l pago de los </w:t>
      </w:r>
      <w:r w:rsidR="00971C49" w:rsidRPr="00D32942">
        <w:rPr>
          <w:color w:val="auto"/>
          <w:sz w:val="20"/>
          <w:szCs w:val="20"/>
          <w:lang w:val="es-PE"/>
        </w:rPr>
        <w:t>perjuicios materiales.</w:t>
      </w:r>
      <w:r w:rsidRPr="00D32942">
        <w:rPr>
          <w:color w:val="auto"/>
          <w:sz w:val="20"/>
          <w:szCs w:val="20"/>
          <w:lang w:val="es-PE"/>
        </w:rPr>
        <w:t xml:space="preserve"> Indica que en cumplimiento de dicha decisión </w:t>
      </w:r>
      <w:r w:rsidR="0051140E" w:rsidRPr="00D32942">
        <w:rPr>
          <w:color w:val="auto"/>
          <w:sz w:val="20"/>
          <w:szCs w:val="20"/>
          <w:lang w:val="es-ES"/>
        </w:rPr>
        <w:t>e</w:t>
      </w:r>
      <w:r w:rsidR="009B7FEA" w:rsidRPr="00D32942">
        <w:rPr>
          <w:color w:val="auto"/>
          <w:sz w:val="20"/>
          <w:szCs w:val="20"/>
          <w:lang w:val="es-ES"/>
        </w:rPr>
        <w:t>l 9 de mayo de 2007, la Dirección de</w:t>
      </w:r>
      <w:r w:rsidR="00FF03DC" w:rsidRPr="00D32942">
        <w:rPr>
          <w:color w:val="auto"/>
          <w:sz w:val="20"/>
          <w:szCs w:val="20"/>
          <w:lang w:val="es-ES"/>
        </w:rPr>
        <w:t>l</w:t>
      </w:r>
      <w:r w:rsidR="009B7FEA" w:rsidRPr="00D32942">
        <w:rPr>
          <w:color w:val="auto"/>
          <w:sz w:val="20"/>
          <w:szCs w:val="20"/>
          <w:lang w:val="es-ES"/>
        </w:rPr>
        <w:t xml:space="preserve"> Tesoro Nacional, mediante transferencia electrónica, consignó los montos debidos por concepto de reparación.</w:t>
      </w:r>
    </w:p>
    <w:p w:rsidR="00126590" w:rsidRPr="00D32942" w:rsidRDefault="00126590" w:rsidP="00126590">
      <w:pPr>
        <w:pStyle w:val="ListParagraph"/>
        <w:rPr>
          <w:color w:val="auto"/>
          <w:sz w:val="20"/>
          <w:szCs w:val="20"/>
          <w:lang w:val="es-ES"/>
        </w:rPr>
      </w:pPr>
    </w:p>
    <w:p w:rsidR="006F6BF3" w:rsidRPr="00D32942" w:rsidRDefault="007743AD" w:rsidP="001265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b/>
          <w:color w:val="auto"/>
          <w:sz w:val="20"/>
          <w:szCs w:val="20"/>
          <w:lang w:val="es-ES"/>
        </w:rPr>
      </w:pPr>
      <w:r w:rsidRPr="00D32942">
        <w:rPr>
          <w:color w:val="auto"/>
          <w:sz w:val="20"/>
          <w:szCs w:val="20"/>
          <w:lang w:val="es-ES"/>
        </w:rPr>
        <w:t xml:space="preserve">Respecto al desarrollo de los procesos penal ordinario y </w:t>
      </w:r>
      <w:r w:rsidR="00992B12" w:rsidRPr="00D32942">
        <w:rPr>
          <w:color w:val="auto"/>
          <w:sz w:val="20"/>
          <w:szCs w:val="20"/>
          <w:lang w:val="es-ES"/>
        </w:rPr>
        <w:t xml:space="preserve">del </w:t>
      </w:r>
      <w:r w:rsidRPr="00D32942">
        <w:rPr>
          <w:color w:val="auto"/>
          <w:sz w:val="20"/>
          <w:szCs w:val="20"/>
          <w:lang w:val="es-ES"/>
        </w:rPr>
        <w:t>penal militar</w:t>
      </w:r>
      <w:r w:rsidR="00FF03DC" w:rsidRPr="00D32942">
        <w:rPr>
          <w:color w:val="auto"/>
          <w:sz w:val="20"/>
          <w:szCs w:val="20"/>
          <w:lang w:val="es-ES"/>
        </w:rPr>
        <w:t>,</w:t>
      </w:r>
      <w:r w:rsidRPr="00D32942">
        <w:rPr>
          <w:color w:val="auto"/>
          <w:sz w:val="20"/>
          <w:szCs w:val="20"/>
          <w:lang w:val="es-ES"/>
        </w:rPr>
        <w:t xml:space="preserve"> </w:t>
      </w:r>
      <w:r w:rsidR="00992B12" w:rsidRPr="00D32942">
        <w:rPr>
          <w:color w:val="auto"/>
          <w:sz w:val="20"/>
          <w:szCs w:val="20"/>
          <w:lang w:val="es-ES"/>
        </w:rPr>
        <w:t xml:space="preserve">el Estado </w:t>
      </w:r>
      <w:r w:rsidRPr="00D32942">
        <w:rPr>
          <w:color w:val="auto"/>
          <w:sz w:val="20"/>
          <w:szCs w:val="20"/>
          <w:lang w:val="es-ES"/>
        </w:rPr>
        <w:t>a</w:t>
      </w:r>
      <w:r w:rsidR="00CA0605" w:rsidRPr="00D32942">
        <w:rPr>
          <w:color w:val="auto"/>
          <w:sz w:val="20"/>
          <w:szCs w:val="20"/>
          <w:lang w:val="es-ES"/>
        </w:rPr>
        <w:t>lega</w:t>
      </w:r>
      <w:r w:rsidR="00126590" w:rsidRPr="00D32942">
        <w:rPr>
          <w:color w:val="auto"/>
          <w:sz w:val="20"/>
          <w:szCs w:val="20"/>
          <w:lang w:val="es-ES"/>
        </w:rPr>
        <w:t xml:space="preserve"> que los hechos </w:t>
      </w:r>
      <w:r w:rsidR="00071714" w:rsidRPr="00D32942">
        <w:rPr>
          <w:color w:val="auto"/>
          <w:sz w:val="20"/>
          <w:szCs w:val="20"/>
          <w:lang w:val="es-ES"/>
        </w:rPr>
        <w:t xml:space="preserve">del caso </w:t>
      </w:r>
      <w:r w:rsidR="00126590" w:rsidRPr="00D32942">
        <w:rPr>
          <w:color w:val="auto"/>
          <w:sz w:val="20"/>
          <w:szCs w:val="20"/>
          <w:lang w:val="es-ES"/>
        </w:rPr>
        <w:t xml:space="preserve">ya fueron conocidos por las autoridades competentes </w:t>
      </w:r>
      <w:r w:rsidR="00FF03DC" w:rsidRPr="00D32942">
        <w:rPr>
          <w:color w:val="auto"/>
          <w:sz w:val="20"/>
          <w:szCs w:val="20"/>
          <w:lang w:val="es-ES"/>
        </w:rPr>
        <w:t>a</w:t>
      </w:r>
      <w:r w:rsidR="00126590" w:rsidRPr="00D32942">
        <w:rPr>
          <w:color w:val="auto"/>
          <w:sz w:val="20"/>
          <w:szCs w:val="20"/>
          <w:lang w:val="es-ES"/>
        </w:rPr>
        <w:t xml:space="preserve"> nivel interno y</w:t>
      </w:r>
      <w:r w:rsidR="00EF0AB1" w:rsidRPr="00D32942">
        <w:rPr>
          <w:color w:val="auto"/>
          <w:sz w:val="20"/>
          <w:szCs w:val="20"/>
          <w:lang w:val="es-ES"/>
        </w:rPr>
        <w:t xml:space="preserve"> </w:t>
      </w:r>
      <w:r w:rsidR="00FF03DC" w:rsidRPr="00D32942">
        <w:rPr>
          <w:color w:val="auto"/>
          <w:sz w:val="20"/>
          <w:szCs w:val="20"/>
          <w:lang w:val="es-ES"/>
        </w:rPr>
        <w:t>que por ello</w:t>
      </w:r>
      <w:r w:rsidR="00EF0AB1" w:rsidRPr="00D32942">
        <w:rPr>
          <w:color w:val="auto"/>
          <w:sz w:val="20"/>
          <w:szCs w:val="20"/>
          <w:lang w:val="es-ES"/>
        </w:rPr>
        <w:t xml:space="preserve"> </w:t>
      </w:r>
      <w:r w:rsidR="000B3373" w:rsidRPr="00D32942">
        <w:rPr>
          <w:color w:val="auto"/>
          <w:sz w:val="20"/>
          <w:szCs w:val="20"/>
          <w:lang w:val="es-ES"/>
        </w:rPr>
        <w:t>cumplió</w:t>
      </w:r>
      <w:r w:rsidR="00EF0AB1" w:rsidRPr="00D32942">
        <w:rPr>
          <w:color w:val="auto"/>
          <w:sz w:val="20"/>
          <w:szCs w:val="20"/>
          <w:lang w:val="es-ES"/>
        </w:rPr>
        <w:t xml:space="preserve"> con sus obligaciones al disponer de jueces </w:t>
      </w:r>
      <w:r w:rsidR="000B3373" w:rsidRPr="00D32942">
        <w:rPr>
          <w:color w:val="auto"/>
          <w:sz w:val="20"/>
          <w:szCs w:val="20"/>
          <w:lang w:val="es-ES"/>
        </w:rPr>
        <w:t>competentes</w:t>
      </w:r>
      <w:r w:rsidR="008A3EA1" w:rsidRPr="00D32942">
        <w:rPr>
          <w:color w:val="auto"/>
          <w:sz w:val="20"/>
          <w:szCs w:val="20"/>
          <w:lang w:val="es-ES"/>
        </w:rPr>
        <w:t>, independientes</w:t>
      </w:r>
      <w:r w:rsidR="00EF0AB1" w:rsidRPr="00D32942">
        <w:rPr>
          <w:color w:val="auto"/>
          <w:sz w:val="20"/>
          <w:szCs w:val="20"/>
          <w:lang w:val="es-ES"/>
        </w:rPr>
        <w:t xml:space="preserve"> e imparciales </w:t>
      </w:r>
      <w:r w:rsidR="000B3373" w:rsidRPr="00D32942">
        <w:rPr>
          <w:color w:val="auto"/>
          <w:sz w:val="20"/>
          <w:szCs w:val="20"/>
          <w:lang w:val="es-ES"/>
        </w:rPr>
        <w:t>que sustanciaran las investigaciones y decidieran diligentem</w:t>
      </w:r>
      <w:r w:rsidR="00126590" w:rsidRPr="00D32942">
        <w:rPr>
          <w:color w:val="auto"/>
          <w:sz w:val="20"/>
          <w:szCs w:val="20"/>
          <w:lang w:val="es-ES"/>
        </w:rPr>
        <w:t xml:space="preserve">ente los recursos interpuestos </w:t>
      </w:r>
      <w:r w:rsidR="000B3373" w:rsidRPr="00D32942">
        <w:rPr>
          <w:color w:val="auto"/>
          <w:sz w:val="20"/>
          <w:szCs w:val="20"/>
          <w:lang w:val="es-ES"/>
        </w:rPr>
        <w:t xml:space="preserve">en cumplimiento de las </w:t>
      </w:r>
      <w:r w:rsidR="003A6913" w:rsidRPr="00D32942">
        <w:rPr>
          <w:color w:val="auto"/>
          <w:sz w:val="20"/>
          <w:szCs w:val="20"/>
          <w:lang w:val="es-ES"/>
        </w:rPr>
        <w:t>garantías</w:t>
      </w:r>
      <w:r w:rsidR="001331BD" w:rsidRPr="00D32942">
        <w:rPr>
          <w:color w:val="auto"/>
          <w:sz w:val="20"/>
          <w:szCs w:val="20"/>
          <w:lang w:val="es-ES"/>
        </w:rPr>
        <w:t xml:space="preserve"> del debido proceso</w:t>
      </w:r>
      <w:r w:rsidR="00CA0605" w:rsidRPr="00D32942">
        <w:rPr>
          <w:color w:val="auto"/>
          <w:sz w:val="20"/>
          <w:szCs w:val="20"/>
          <w:lang w:val="es-ES"/>
        </w:rPr>
        <w:t>.</w:t>
      </w:r>
    </w:p>
    <w:p w:rsidR="006F6BF3" w:rsidRPr="00D32942" w:rsidRDefault="006F6BF3" w:rsidP="00126590">
      <w:pPr>
        <w:pStyle w:val="ListParagraph"/>
        <w:jc w:val="both"/>
        <w:rPr>
          <w:color w:val="auto"/>
          <w:sz w:val="20"/>
          <w:szCs w:val="20"/>
          <w:lang w:val="es-ES"/>
        </w:rPr>
      </w:pPr>
    </w:p>
    <w:p w:rsidR="00190020" w:rsidRPr="00D32942" w:rsidRDefault="00C16AA9" w:rsidP="00876D4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
        </w:rPr>
        <w:t>El</w:t>
      </w:r>
      <w:r w:rsidR="005A5CDD" w:rsidRPr="00D32942">
        <w:rPr>
          <w:color w:val="auto"/>
          <w:sz w:val="20"/>
          <w:szCs w:val="20"/>
          <w:lang w:val="es-ES"/>
        </w:rPr>
        <w:t xml:space="preserve"> Estado </w:t>
      </w:r>
      <w:r w:rsidRPr="00D32942">
        <w:rPr>
          <w:color w:val="auto"/>
          <w:sz w:val="20"/>
          <w:szCs w:val="20"/>
          <w:lang w:val="es-ES"/>
        </w:rPr>
        <w:t xml:space="preserve">indica que </w:t>
      </w:r>
      <w:r w:rsidR="005A5CDD" w:rsidRPr="00D32942">
        <w:rPr>
          <w:color w:val="auto"/>
          <w:sz w:val="20"/>
          <w:szCs w:val="20"/>
          <w:lang w:val="es-ES"/>
        </w:rPr>
        <w:t>particip</w:t>
      </w:r>
      <w:r w:rsidRPr="00D32942">
        <w:rPr>
          <w:color w:val="auto"/>
          <w:sz w:val="20"/>
          <w:szCs w:val="20"/>
          <w:lang w:val="es-ES"/>
        </w:rPr>
        <w:t>ó</w:t>
      </w:r>
      <w:r w:rsidR="005A5CDD" w:rsidRPr="00D32942">
        <w:rPr>
          <w:color w:val="auto"/>
          <w:sz w:val="20"/>
          <w:szCs w:val="20"/>
          <w:lang w:val="es-ES"/>
        </w:rPr>
        <w:t xml:space="preserve"> </w:t>
      </w:r>
      <w:r w:rsidRPr="00D32942">
        <w:rPr>
          <w:color w:val="auto"/>
          <w:sz w:val="20"/>
          <w:szCs w:val="20"/>
          <w:lang w:val="es-ES"/>
        </w:rPr>
        <w:t>activamente en el proceso de búsqueda</w:t>
      </w:r>
      <w:r w:rsidR="005A5CDD" w:rsidRPr="00D32942">
        <w:rPr>
          <w:color w:val="auto"/>
          <w:sz w:val="20"/>
          <w:szCs w:val="20"/>
          <w:lang w:val="es-ES"/>
        </w:rPr>
        <w:t xml:space="preserve"> de </w:t>
      </w:r>
      <w:r w:rsidR="00FF03DC" w:rsidRPr="00D32942">
        <w:rPr>
          <w:color w:val="auto"/>
          <w:sz w:val="20"/>
          <w:szCs w:val="20"/>
          <w:lang w:val="es-ES"/>
        </w:rPr>
        <w:t xml:space="preserve">una </w:t>
      </w:r>
      <w:r w:rsidR="005A5CDD" w:rsidRPr="00D32942">
        <w:rPr>
          <w:color w:val="auto"/>
          <w:sz w:val="20"/>
          <w:szCs w:val="20"/>
          <w:lang w:val="es-ES"/>
        </w:rPr>
        <w:t xml:space="preserve">solución amistosa </w:t>
      </w:r>
      <w:r w:rsidR="00071714" w:rsidRPr="00D32942">
        <w:rPr>
          <w:color w:val="auto"/>
          <w:sz w:val="20"/>
          <w:szCs w:val="20"/>
          <w:lang w:val="es-ES"/>
        </w:rPr>
        <w:t>incluso poniend</w:t>
      </w:r>
      <w:r w:rsidR="005A5CDD" w:rsidRPr="00D32942">
        <w:rPr>
          <w:color w:val="auto"/>
          <w:sz w:val="20"/>
          <w:szCs w:val="20"/>
          <w:lang w:val="es-ES"/>
        </w:rPr>
        <w:t xml:space="preserve">o en marcha </w:t>
      </w:r>
      <w:r w:rsidR="005A5CDD" w:rsidRPr="00D32942">
        <w:rPr>
          <w:i/>
          <w:color w:val="auto"/>
          <w:sz w:val="20"/>
          <w:szCs w:val="20"/>
          <w:lang w:val="es-ES"/>
        </w:rPr>
        <w:t>motu proprio</w:t>
      </w:r>
      <w:r w:rsidR="005A5CDD" w:rsidRPr="00D32942">
        <w:rPr>
          <w:color w:val="auto"/>
          <w:sz w:val="20"/>
          <w:szCs w:val="20"/>
          <w:lang w:val="es-ES"/>
        </w:rPr>
        <w:t xml:space="preserve"> algunos recursos. </w:t>
      </w:r>
      <w:r w:rsidR="00EF5FC3" w:rsidRPr="00D32942">
        <w:rPr>
          <w:color w:val="auto"/>
          <w:sz w:val="20"/>
          <w:szCs w:val="20"/>
          <w:lang w:val="es-ES"/>
        </w:rPr>
        <w:t>En es</w:t>
      </w:r>
      <w:r w:rsidR="00071714" w:rsidRPr="00D32942">
        <w:rPr>
          <w:color w:val="auto"/>
          <w:sz w:val="20"/>
          <w:szCs w:val="20"/>
          <w:lang w:val="es-ES"/>
        </w:rPr>
        <w:t>t</w:t>
      </w:r>
      <w:r w:rsidR="00EF5FC3" w:rsidRPr="00D32942">
        <w:rPr>
          <w:color w:val="auto"/>
          <w:sz w:val="20"/>
          <w:szCs w:val="20"/>
          <w:lang w:val="es-ES"/>
        </w:rPr>
        <w:t xml:space="preserve">e sentido </w:t>
      </w:r>
      <w:r w:rsidR="00FF03DC" w:rsidRPr="00D32942">
        <w:rPr>
          <w:color w:val="auto"/>
          <w:sz w:val="20"/>
          <w:szCs w:val="20"/>
          <w:lang w:val="es-ES"/>
        </w:rPr>
        <w:t>refiere a la</w:t>
      </w:r>
      <w:r w:rsidR="00F57EA9" w:rsidRPr="00D32942">
        <w:rPr>
          <w:color w:val="auto"/>
          <w:sz w:val="20"/>
          <w:szCs w:val="20"/>
          <w:lang w:val="es-ES"/>
        </w:rPr>
        <w:t xml:space="preserve"> elaboración </w:t>
      </w:r>
      <w:r w:rsidR="008F6422" w:rsidRPr="00D32942">
        <w:rPr>
          <w:color w:val="auto"/>
          <w:sz w:val="20"/>
          <w:szCs w:val="20"/>
          <w:lang w:val="es-ES"/>
        </w:rPr>
        <w:t>e</w:t>
      </w:r>
      <w:r w:rsidR="005A5CDD" w:rsidRPr="00D32942">
        <w:rPr>
          <w:color w:val="auto"/>
          <w:sz w:val="20"/>
          <w:szCs w:val="20"/>
          <w:lang w:val="es-ES"/>
        </w:rPr>
        <w:t xml:space="preserve"> interposició</w:t>
      </w:r>
      <w:r w:rsidR="006E6488" w:rsidRPr="00D32942">
        <w:rPr>
          <w:color w:val="auto"/>
          <w:sz w:val="20"/>
          <w:szCs w:val="20"/>
          <w:lang w:val="es-ES"/>
        </w:rPr>
        <w:t>n de l</w:t>
      </w:r>
      <w:r w:rsidR="005A5CDD" w:rsidRPr="00D32942">
        <w:rPr>
          <w:color w:val="auto"/>
          <w:sz w:val="20"/>
          <w:szCs w:val="20"/>
          <w:lang w:val="es-ES"/>
        </w:rPr>
        <w:t>a acción de tutela ante la Corte Suprema de</w:t>
      </w:r>
      <w:r w:rsidR="00876D42" w:rsidRPr="00D32942">
        <w:rPr>
          <w:color w:val="auto"/>
          <w:sz w:val="20"/>
          <w:szCs w:val="20"/>
          <w:lang w:val="es-ES"/>
        </w:rPr>
        <w:t xml:space="preserve"> Justicia po</w:t>
      </w:r>
      <w:r w:rsidR="006E6488" w:rsidRPr="00D32942">
        <w:rPr>
          <w:color w:val="auto"/>
          <w:sz w:val="20"/>
          <w:szCs w:val="20"/>
          <w:lang w:val="es-ES"/>
        </w:rPr>
        <w:t>r parte de l</w:t>
      </w:r>
      <w:r w:rsidR="005A5CDD" w:rsidRPr="00D32942">
        <w:rPr>
          <w:color w:val="auto"/>
          <w:sz w:val="20"/>
          <w:szCs w:val="20"/>
          <w:lang w:val="es-ES"/>
        </w:rPr>
        <w:t xml:space="preserve">a </w:t>
      </w:r>
      <w:r w:rsidR="006E6488" w:rsidRPr="00D32942">
        <w:rPr>
          <w:color w:val="auto"/>
          <w:sz w:val="20"/>
          <w:szCs w:val="20"/>
          <w:lang w:val="es-ES"/>
        </w:rPr>
        <w:t>Procuraduría</w:t>
      </w:r>
      <w:r w:rsidR="005A5CDD" w:rsidRPr="00D32942">
        <w:rPr>
          <w:color w:val="auto"/>
          <w:sz w:val="20"/>
          <w:szCs w:val="20"/>
          <w:lang w:val="es-ES"/>
        </w:rPr>
        <w:t>, con el</w:t>
      </w:r>
      <w:r w:rsidR="006E6488" w:rsidRPr="00D32942">
        <w:rPr>
          <w:color w:val="auto"/>
          <w:sz w:val="20"/>
          <w:szCs w:val="20"/>
          <w:lang w:val="es-ES"/>
        </w:rPr>
        <w:t xml:space="preserve"> fin de que l</w:t>
      </w:r>
      <w:r w:rsidR="005A5CDD" w:rsidRPr="00D32942">
        <w:rPr>
          <w:color w:val="auto"/>
          <w:sz w:val="20"/>
          <w:szCs w:val="20"/>
          <w:lang w:val="es-ES"/>
        </w:rPr>
        <w:t>a investigación de l</w:t>
      </w:r>
      <w:r w:rsidR="006E6488" w:rsidRPr="00D32942">
        <w:rPr>
          <w:color w:val="auto"/>
          <w:sz w:val="20"/>
          <w:szCs w:val="20"/>
          <w:lang w:val="es-ES"/>
        </w:rPr>
        <w:t>os hechos se llevara a cabo en l</w:t>
      </w:r>
      <w:r w:rsidR="005A5CDD" w:rsidRPr="00D32942">
        <w:rPr>
          <w:color w:val="auto"/>
          <w:sz w:val="20"/>
          <w:szCs w:val="20"/>
          <w:lang w:val="es-ES"/>
        </w:rPr>
        <w:t xml:space="preserve">a jurisdicción ordinaria, junto con la implementación de todas las medidas que estuvieron al alcance del Estado para lograr tal fin, agotando todos los recursos </w:t>
      </w:r>
      <w:r w:rsidR="00EF5FC3" w:rsidRPr="00D32942">
        <w:rPr>
          <w:color w:val="auto"/>
          <w:sz w:val="20"/>
          <w:szCs w:val="20"/>
          <w:lang w:val="es-ES"/>
        </w:rPr>
        <w:t>ordinarios</w:t>
      </w:r>
      <w:r w:rsidR="005A5CDD" w:rsidRPr="00D32942">
        <w:rPr>
          <w:color w:val="auto"/>
          <w:sz w:val="20"/>
          <w:szCs w:val="20"/>
          <w:lang w:val="es-ES"/>
        </w:rPr>
        <w:t xml:space="preserve"> y extraordinarios disponibles en el ordenamiento </w:t>
      </w:r>
      <w:r w:rsidR="00EF5FC3" w:rsidRPr="00D32942">
        <w:rPr>
          <w:color w:val="auto"/>
          <w:sz w:val="20"/>
          <w:szCs w:val="20"/>
          <w:lang w:val="es-ES"/>
        </w:rPr>
        <w:t>jurídico.</w:t>
      </w:r>
      <w:r w:rsidR="00DC6CD7" w:rsidRPr="00D32942">
        <w:rPr>
          <w:color w:val="auto"/>
          <w:sz w:val="20"/>
          <w:szCs w:val="20"/>
          <w:lang w:val="es-ES"/>
        </w:rPr>
        <w:t xml:space="preserve"> </w:t>
      </w:r>
      <w:r w:rsidR="00190020" w:rsidRPr="00D32942">
        <w:rPr>
          <w:color w:val="auto"/>
          <w:sz w:val="20"/>
          <w:szCs w:val="20"/>
          <w:lang w:val="es-ES"/>
        </w:rPr>
        <w:t xml:space="preserve">El Estado resalta que </w:t>
      </w:r>
      <w:r w:rsidR="00126590" w:rsidRPr="00D32942">
        <w:rPr>
          <w:color w:val="auto"/>
          <w:sz w:val="20"/>
          <w:szCs w:val="20"/>
          <w:lang w:val="es-ES"/>
        </w:rPr>
        <w:t>envió</w:t>
      </w:r>
      <w:r w:rsidR="00190020" w:rsidRPr="00D32942">
        <w:rPr>
          <w:color w:val="auto"/>
          <w:sz w:val="20"/>
          <w:szCs w:val="20"/>
          <w:lang w:val="es-ES"/>
        </w:rPr>
        <w:t xml:space="preserve"> </w:t>
      </w:r>
      <w:r w:rsidR="000F0386" w:rsidRPr="00D32942">
        <w:rPr>
          <w:color w:val="auto"/>
          <w:sz w:val="20"/>
          <w:szCs w:val="20"/>
          <w:lang w:val="es-ES"/>
        </w:rPr>
        <w:t>varias</w:t>
      </w:r>
      <w:r w:rsidR="00190020" w:rsidRPr="00D32942">
        <w:rPr>
          <w:color w:val="auto"/>
          <w:sz w:val="20"/>
          <w:szCs w:val="20"/>
          <w:lang w:val="es-ES"/>
        </w:rPr>
        <w:t xml:space="preserve"> comunicaciones a los peticionarios </w:t>
      </w:r>
      <w:r w:rsidR="000F0386" w:rsidRPr="00D32942">
        <w:rPr>
          <w:color w:val="auto"/>
          <w:sz w:val="20"/>
          <w:szCs w:val="20"/>
          <w:lang w:val="es-ES"/>
        </w:rPr>
        <w:t xml:space="preserve">en noviembre 2007 y abril 2008 </w:t>
      </w:r>
      <w:r w:rsidR="00190020" w:rsidRPr="00D32942">
        <w:rPr>
          <w:color w:val="auto"/>
          <w:sz w:val="20"/>
          <w:szCs w:val="20"/>
          <w:lang w:val="es-ES"/>
        </w:rPr>
        <w:t xml:space="preserve">con el fin </w:t>
      </w:r>
      <w:r w:rsidR="00876D42" w:rsidRPr="00D32942">
        <w:rPr>
          <w:color w:val="auto"/>
          <w:sz w:val="20"/>
          <w:szCs w:val="20"/>
          <w:lang w:val="es-ES"/>
        </w:rPr>
        <w:t xml:space="preserve">de </w:t>
      </w:r>
      <w:r w:rsidR="00190020" w:rsidRPr="00D32942">
        <w:rPr>
          <w:color w:val="auto"/>
          <w:sz w:val="20"/>
          <w:szCs w:val="20"/>
          <w:lang w:val="es-ES"/>
        </w:rPr>
        <w:t>que</w:t>
      </w:r>
      <w:r w:rsidR="000F0386" w:rsidRPr="00D32942">
        <w:rPr>
          <w:color w:val="auto"/>
          <w:sz w:val="20"/>
          <w:szCs w:val="20"/>
          <w:lang w:val="es-ES"/>
        </w:rPr>
        <w:t xml:space="preserve"> estos</w:t>
      </w:r>
      <w:r w:rsidR="00190020" w:rsidRPr="00D32942">
        <w:rPr>
          <w:color w:val="auto"/>
          <w:sz w:val="20"/>
          <w:szCs w:val="20"/>
          <w:lang w:val="es-ES"/>
        </w:rPr>
        <w:t xml:space="preserve"> </w:t>
      </w:r>
      <w:r w:rsidR="00126590" w:rsidRPr="00D32942">
        <w:rPr>
          <w:color w:val="auto"/>
          <w:sz w:val="20"/>
          <w:szCs w:val="20"/>
          <w:lang w:val="es-ES"/>
        </w:rPr>
        <w:t>coadyuvaran</w:t>
      </w:r>
      <w:r w:rsidR="00190020" w:rsidRPr="00D32942">
        <w:rPr>
          <w:color w:val="auto"/>
          <w:sz w:val="20"/>
          <w:szCs w:val="20"/>
          <w:lang w:val="es-ES"/>
        </w:rPr>
        <w:t xml:space="preserve"> </w:t>
      </w:r>
      <w:r w:rsidR="00126590" w:rsidRPr="00D32942">
        <w:rPr>
          <w:color w:val="auto"/>
          <w:sz w:val="20"/>
          <w:szCs w:val="20"/>
          <w:lang w:val="es-ES"/>
        </w:rPr>
        <w:t xml:space="preserve">con su participación </w:t>
      </w:r>
      <w:r w:rsidR="00876D42" w:rsidRPr="00D32942">
        <w:rPr>
          <w:color w:val="auto"/>
          <w:sz w:val="20"/>
          <w:szCs w:val="20"/>
          <w:lang w:val="es-ES"/>
        </w:rPr>
        <w:t>dentro del proceso</w:t>
      </w:r>
      <w:r w:rsidR="000F0386" w:rsidRPr="00D32942">
        <w:rPr>
          <w:color w:val="auto"/>
          <w:sz w:val="20"/>
          <w:szCs w:val="20"/>
          <w:lang w:val="es-ES"/>
        </w:rPr>
        <w:t>, pero</w:t>
      </w:r>
      <w:r w:rsidR="00126590" w:rsidRPr="00D32942">
        <w:rPr>
          <w:color w:val="auto"/>
          <w:sz w:val="20"/>
          <w:szCs w:val="20"/>
          <w:lang w:val="es-ES"/>
        </w:rPr>
        <w:t xml:space="preserve"> </w:t>
      </w:r>
      <w:r w:rsidR="000F0386" w:rsidRPr="00D32942">
        <w:rPr>
          <w:color w:val="auto"/>
          <w:sz w:val="20"/>
          <w:szCs w:val="20"/>
          <w:lang w:val="es-ES"/>
        </w:rPr>
        <w:t>fueron desatendida</w:t>
      </w:r>
      <w:r w:rsidR="00126590" w:rsidRPr="00D32942">
        <w:rPr>
          <w:color w:val="auto"/>
          <w:sz w:val="20"/>
          <w:szCs w:val="20"/>
          <w:lang w:val="es-ES"/>
        </w:rPr>
        <w:t>s.</w:t>
      </w:r>
    </w:p>
    <w:p w:rsidR="006F6BF3" w:rsidRPr="00D32942" w:rsidRDefault="006F6BF3" w:rsidP="006F6BF3">
      <w:pPr>
        <w:pStyle w:val="ListParagraph"/>
        <w:rPr>
          <w:color w:val="auto"/>
          <w:sz w:val="20"/>
          <w:szCs w:val="20"/>
          <w:lang w:val="es-ES"/>
        </w:rPr>
      </w:pPr>
    </w:p>
    <w:p w:rsidR="00190020" w:rsidRPr="00D32942" w:rsidRDefault="00876D42" w:rsidP="00CB0A78">
      <w:pPr>
        <w:pStyle w:val="ListParagraph"/>
        <w:numPr>
          <w:ilvl w:val="0"/>
          <w:numId w:val="56"/>
        </w:numP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
        </w:rPr>
        <w:t>El Estado a</w:t>
      </w:r>
      <w:r w:rsidR="00EF5FC3" w:rsidRPr="00D32942">
        <w:rPr>
          <w:color w:val="auto"/>
          <w:sz w:val="20"/>
          <w:szCs w:val="20"/>
          <w:lang w:val="es-ES"/>
        </w:rPr>
        <w:t>grega</w:t>
      </w:r>
      <w:r w:rsidR="00B344CA" w:rsidRPr="00D32942">
        <w:rPr>
          <w:color w:val="auto"/>
          <w:sz w:val="20"/>
          <w:szCs w:val="20"/>
          <w:lang w:val="es-ES"/>
        </w:rPr>
        <w:t xml:space="preserve"> que impulsó</w:t>
      </w:r>
      <w:r w:rsidR="005A5CDD" w:rsidRPr="00D32942">
        <w:rPr>
          <w:color w:val="auto"/>
          <w:sz w:val="20"/>
          <w:szCs w:val="20"/>
          <w:lang w:val="es-ES"/>
        </w:rPr>
        <w:t xml:space="preserve"> la iniciación del procedimiento disciplinario en contra de las autoridades judiciales que conocieron los hechos e</w:t>
      </w:r>
      <w:r w:rsidR="00B344CA" w:rsidRPr="00D32942">
        <w:rPr>
          <w:color w:val="auto"/>
          <w:sz w:val="20"/>
          <w:szCs w:val="20"/>
          <w:lang w:val="es-ES"/>
        </w:rPr>
        <w:t>n l</w:t>
      </w:r>
      <w:r w:rsidR="00C56858" w:rsidRPr="00D32942">
        <w:rPr>
          <w:color w:val="auto"/>
          <w:sz w:val="20"/>
          <w:szCs w:val="20"/>
          <w:lang w:val="es-ES"/>
        </w:rPr>
        <w:t>a jurisdicción penal militar</w:t>
      </w:r>
      <w:r w:rsidR="005A5CDD" w:rsidRPr="00D32942">
        <w:rPr>
          <w:color w:val="auto"/>
          <w:sz w:val="20"/>
          <w:szCs w:val="20"/>
          <w:lang w:val="es-ES"/>
        </w:rPr>
        <w:t xml:space="preserve"> para establecer si se</w:t>
      </w:r>
      <w:r w:rsidR="00B344CA" w:rsidRPr="00D32942">
        <w:rPr>
          <w:color w:val="auto"/>
          <w:sz w:val="20"/>
          <w:szCs w:val="20"/>
          <w:lang w:val="es-ES"/>
        </w:rPr>
        <w:t xml:space="preserve"> cometieron irregularidades en l</w:t>
      </w:r>
      <w:r w:rsidR="005A5CDD" w:rsidRPr="00D32942">
        <w:rPr>
          <w:color w:val="auto"/>
          <w:sz w:val="20"/>
          <w:szCs w:val="20"/>
          <w:lang w:val="es-ES"/>
        </w:rPr>
        <w:t xml:space="preserve">a sustanciación de la misma, y si en tal medida </w:t>
      </w:r>
      <w:r w:rsidR="00B344CA" w:rsidRPr="00D32942">
        <w:rPr>
          <w:color w:val="auto"/>
          <w:sz w:val="20"/>
          <w:szCs w:val="20"/>
          <w:lang w:val="es-ES"/>
        </w:rPr>
        <w:t>existía</w:t>
      </w:r>
      <w:r w:rsidR="006F6BF3" w:rsidRPr="00D32942">
        <w:rPr>
          <w:color w:val="auto"/>
          <w:sz w:val="20"/>
          <w:szCs w:val="20"/>
          <w:lang w:val="es-ES"/>
        </w:rPr>
        <w:t xml:space="preserve"> responsabilidad disciplinaria. </w:t>
      </w:r>
      <w:r w:rsidR="00C56858" w:rsidRPr="00D32942">
        <w:rPr>
          <w:color w:val="auto"/>
          <w:sz w:val="20"/>
          <w:szCs w:val="20"/>
          <w:lang w:val="es-ES"/>
        </w:rPr>
        <w:t xml:space="preserve">Señala que, </w:t>
      </w:r>
      <w:r w:rsidR="000A364C" w:rsidRPr="00D32942">
        <w:rPr>
          <w:color w:val="auto"/>
          <w:sz w:val="20"/>
          <w:szCs w:val="20"/>
          <w:lang w:val="es-ES"/>
        </w:rPr>
        <w:t>s</w:t>
      </w:r>
      <w:r w:rsidR="00CB0A78" w:rsidRPr="00D32942">
        <w:rPr>
          <w:color w:val="auto"/>
          <w:sz w:val="20"/>
          <w:szCs w:val="20"/>
          <w:lang w:val="es-ES"/>
        </w:rPr>
        <w:t>in embargo, luego de que las autoridades llevaran a cabo el análisis respectivo a través de los procedimientos establecidos en la normatividad interna se concluyó, con decisión del 12 de junio de 2008, que no se presentaron actuaciones que configuraran responsabilidad disciplinaria.</w:t>
      </w:r>
    </w:p>
    <w:p w:rsidR="00190020" w:rsidRPr="00D32942" w:rsidRDefault="00190020" w:rsidP="00190020">
      <w:pPr>
        <w:pStyle w:val="ListParagraph"/>
        <w:rPr>
          <w:color w:val="auto"/>
          <w:sz w:val="20"/>
          <w:szCs w:val="20"/>
          <w:lang w:val="es-ES"/>
        </w:rPr>
      </w:pPr>
    </w:p>
    <w:p w:rsidR="006E17C2" w:rsidRPr="00D32942" w:rsidRDefault="00190020" w:rsidP="005114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
        </w:rPr>
        <w:t xml:space="preserve">El Estado </w:t>
      </w:r>
      <w:r w:rsidR="00B708AD" w:rsidRPr="00D32942">
        <w:rPr>
          <w:color w:val="auto"/>
          <w:sz w:val="20"/>
          <w:szCs w:val="20"/>
          <w:lang w:val="es-ES"/>
        </w:rPr>
        <w:t>indica</w:t>
      </w:r>
      <w:r w:rsidRPr="00D32942">
        <w:rPr>
          <w:color w:val="auto"/>
          <w:sz w:val="20"/>
          <w:szCs w:val="20"/>
          <w:lang w:val="es-ES"/>
        </w:rPr>
        <w:t xml:space="preserve"> que t</w:t>
      </w:r>
      <w:r w:rsidR="00B344CA" w:rsidRPr="00D32942">
        <w:rPr>
          <w:color w:val="auto"/>
          <w:sz w:val="20"/>
          <w:szCs w:val="20"/>
          <w:lang w:val="es-ES"/>
        </w:rPr>
        <w:t>ambién adelant</w:t>
      </w:r>
      <w:r w:rsidRPr="00D32942">
        <w:rPr>
          <w:color w:val="auto"/>
          <w:sz w:val="20"/>
          <w:szCs w:val="20"/>
          <w:lang w:val="es-ES"/>
        </w:rPr>
        <w:t>ó</w:t>
      </w:r>
      <w:r w:rsidR="00B344CA" w:rsidRPr="00D32942">
        <w:rPr>
          <w:color w:val="auto"/>
          <w:sz w:val="20"/>
          <w:szCs w:val="20"/>
          <w:lang w:val="es-ES"/>
        </w:rPr>
        <w:t xml:space="preserve"> diversas gestiones para posibilitar l</w:t>
      </w:r>
      <w:r w:rsidR="005A5CDD" w:rsidRPr="00D32942">
        <w:rPr>
          <w:color w:val="auto"/>
          <w:sz w:val="20"/>
          <w:szCs w:val="20"/>
          <w:lang w:val="es-ES"/>
        </w:rPr>
        <w:t xml:space="preserve">a prestación de atención </w:t>
      </w:r>
      <w:r w:rsidR="00B344CA" w:rsidRPr="00D32942">
        <w:rPr>
          <w:color w:val="auto"/>
          <w:sz w:val="20"/>
          <w:szCs w:val="20"/>
          <w:lang w:val="es-ES"/>
        </w:rPr>
        <w:t xml:space="preserve">médica adecuada a </w:t>
      </w:r>
      <w:r w:rsidR="005A5CDD" w:rsidRPr="00D32942">
        <w:rPr>
          <w:color w:val="auto"/>
          <w:sz w:val="20"/>
          <w:szCs w:val="20"/>
          <w:lang w:val="es-ES"/>
        </w:rPr>
        <w:t>Sandra Milena Ayure Quintero</w:t>
      </w:r>
      <w:r w:rsidR="006E17C2" w:rsidRPr="00D32942">
        <w:rPr>
          <w:color w:val="auto"/>
          <w:sz w:val="20"/>
          <w:szCs w:val="20"/>
          <w:lang w:val="es-ES"/>
        </w:rPr>
        <w:t>. Señala que el 14 de</w:t>
      </w:r>
      <w:r w:rsidR="00D8274A" w:rsidRPr="00D32942">
        <w:rPr>
          <w:color w:val="auto"/>
          <w:sz w:val="20"/>
          <w:szCs w:val="20"/>
          <w:lang w:val="es-ES"/>
        </w:rPr>
        <w:t xml:space="preserve"> mayo de 2008</w:t>
      </w:r>
      <w:r w:rsidR="006E17C2" w:rsidRPr="00D32942">
        <w:rPr>
          <w:color w:val="auto"/>
          <w:sz w:val="20"/>
          <w:szCs w:val="20"/>
          <w:lang w:val="es-ES"/>
        </w:rPr>
        <w:t xml:space="preserve"> los peticionarios solicit</w:t>
      </w:r>
      <w:r w:rsidR="00F2601C" w:rsidRPr="00D32942">
        <w:rPr>
          <w:color w:val="auto"/>
          <w:sz w:val="20"/>
          <w:szCs w:val="20"/>
          <w:lang w:val="es-ES"/>
        </w:rPr>
        <w:t>aron</w:t>
      </w:r>
      <w:r w:rsidR="006E17C2" w:rsidRPr="00D32942">
        <w:rPr>
          <w:color w:val="auto"/>
          <w:sz w:val="20"/>
          <w:szCs w:val="20"/>
          <w:lang w:val="es-ES"/>
        </w:rPr>
        <w:t xml:space="preserve"> medidas de </w:t>
      </w:r>
      <w:r w:rsidR="00F2601C" w:rsidRPr="00D32942">
        <w:rPr>
          <w:color w:val="auto"/>
          <w:sz w:val="20"/>
          <w:szCs w:val="20"/>
          <w:lang w:val="es-ES"/>
        </w:rPr>
        <w:t>atención</w:t>
      </w:r>
      <w:r w:rsidR="006E17C2" w:rsidRPr="00D32942">
        <w:rPr>
          <w:color w:val="auto"/>
          <w:sz w:val="20"/>
          <w:szCs w:val="20"/>
          <w:lang w:val="es-ES"/>
        </w:rPr>
        <w:t xml:space="preserve"> </w:t>
      </w:r>
      <w:r w:rsidR="00F2601C" w:rsidRPr="00D32942">
        <w:rPr>
          <w:color w:val="auto"/>
          <w:sz w:val="20"/>
          <w:szCs w:val="20"/>
          <w:lang w:val="es-ES"/>
        </w:rPr>
        <w:t>médica</w:t>
      </w:r>
      <w:r w:rsidR="006E17C2" w:rsidRPr="00D32942">
        <w:rPr>
          <w:color w:val="auto"/>
          <w:sz w:val="20"/>
          <w:szCs w:val="20"/>
          <w:lang w:val="es-ES"/>
        </w:rPr>
        <w:t xml:space="preserve"> urgente para</w:t>
      </w:r>
      <w:r w:rsidR="002B3FED" w:rsidRPr="00D32942">
        <w:rPr>
          <w:color w:val="auto"/>
          <w:sz w:val="20"/>
          <w:szCs w:val="20"/>
          <w:lang w:val="es-ES"/>
        </w:rPr>
        <w:t xml:space="preserve"> esta,</w:t>
      </w:r>
      <w:r w:rsidR="006E17C2" w:rsidRPr="00D32942">
        <w:rPr>
          <w:color w:val="auto"/>
          <w:sz w:val="20"/>
          <w:szCs w:val="20"/>
          <w:lang w:val="es-ES"/>
        </w:rPr>
        <w:t xml:space="preserve"> dadas las complicaciones de salud que estaba </w:t>
      </w:r>
      <w:r w:rsidR="000F3F03" w:rsidRPr="00D32942">
        <w:rPr>
          <w:color w:val="auto"/>
          <w:sz w:val="20"/>
          <w:szCs w:val="20"/>
          <w:lang w:val="es-ES"/>
        </w:rPr>
        <w:t>teniendo</w:t>
      </w:r>
      <w:r w:rsidR="00B61B83" w:rsidRPr="00D32942">
        <w:rPr>
          <w:color w:val="auto"/>
          <w:sz w:val="20"/>
          <w:szCs w:val="20"/>
          <w:lang w:val="es-ES"/>
        </w:rPr>
        <w:t xml:space="preserve"> relacionadas con los </w:t>
      </w:r>
      <w:r w:rsidR="005F213F" w:rsidRPr="00D32942">
        <w:rPr>
          <w:color w:val="auto"/>
          <w:sz w:val="20"/>
          <w:szCs w:val="20"/>
          <w:lang w:val="es-ES"/>
        </w:rPr>
        <w:t>daños</w:t>
      </w:r>
      <w:r w:rsidR="00B61B83" w:rsidRPr="00D32942">
        <w:rPr>
          <w:color w:val="auto"/>
          <w:sz w:val="20"/>
          <w:szCs w:val="20"/>
          <w:lang w:val="es-ES"/>
        </w:rPr>
        <w:t xml:space="preserve"> sufridos</w:t>
      </w:r>
      <w:r w:rsidR="002B3FED" w:rsidRPr="00D32942">
        <w:rPr>
          <w:color w:val="auto"/>
          <w:sz w:val="20"/>
          <w:szCs w:val="20"/>
          <w:lang w:val="es-ES"/>
        </w:rPr>
        <w:t xml:space="preserve">. </w:t>
      </w:r>
      <w:r w:rsidR="00D8274A" w:rsidRPr="00D32942">
        <w:rPr>
          <w:color w:val="auto"/>
          <w:sz w:val="20"/>
          <w:szCs w:val="20"/>
          <w:lang w:val="es-ES"/>
        </w:rPr>
        <w:t>Indic</w:t>
      </w:r>
      <w:r w:rsidR="00B61B83" w:rsidRPr="00D32942">
        <w:rPr>
          <w:color w:val="auto"/>
          <w:sz w:val="20"/>
          <w:szCs w:val="20"/>
          <w:lang w:val="es-ES"/>
        </w:rPr>
        <w:t>a que</w:t>
      </w:r>
      <w:r w:rsidR="0051140E" w:rsidRPr="00D32942">
        <w:rPr>
          <w:color w:val="auto"/>
          <w:sz w:val="20"/>
          <w:szCs w:val="20"/>
          <w:lang w:val="es-ES"/>
        </w:rPr>
        <w:t xml:space="preserve"> gracias a la labor del</w:t>
      </w:r>
      <w:r w:rsidR="006E17C2" w:rsidRPr="00D32942">
        <w:rPr>
          <w:color w:val="auto"/>
          <w:sz w:val="20"/>
          <w:szCs w:val="20"/>
          <w:lang w:val="es-ES"/>
        </w:rPr>
        <w:t xml:space="preserve"> Ministerio de </w:t>
      </w:r>
      <w:r w:rsidR="00F2601C" w:rsidRPr="00D32942">
        <w:rPr>
          <w:color w:val="auto"/>
          <w:sz w:val="20"/>
          <w:szCs w:val="20"/>
          <w:lang w:val="es-ES"/>
        </w:rPr>
        <w:t>l</w:t>
      </w:r>
      <w:r w:rsidR="006E17C2" w:rsidRPr="00D32942">
        <w:rPr>
          <w:color w:val="auto"/>
          <w:sz w:val="20"/>
          <w:szCs w:val="20"/>
          <w:lang w:val="es-ES"/>
        </w:rPr>
        <w:t xml:space="preserve">a </w:t>
      </w:r>
      <w:r w:rsidR="00F2601C" w:rsidRPr="00D32942">
        <w:rPr>
          <w:color w:val="auto"/>
          <w:sz w:val="20"/>
          <w:szCs w:val="20"/>
          <w:lang w:val="es-ES"/>
        </w:rPr>
        <w:t>Protección</w:t>
      </w:r>
      <w:r w:rsidR="0051140E" w:rsidRPr="00D32942">
        <w:rPr>
          <w:color w:val="auto"/>
          <w:sz w:val="20"/>
          <w:szCs w:val="20"/>
          <w:lang w:val="es-ES"/>
        </w:rPr>
        <w:t xml:space="preserve"> Social,</w:t>
      </w:r>
      <w:r w:rsidR="00F2601C" w:rsidRPr="00D32942">
        <w:rPr>
          <w:color w:val="auto"/>
          <w:sz w:val="20"/>
          <w:szCs w:val="20"/>
          <w:lang w:val="es-ES"/>
        </w:rPr>
        <w:t xml:space="preserve"> </w:t>
      </w:r>
      <w:r w:rsidR="006E17C2" w:rsidRPr="00D32942">
        <w:rPr>
          <w:color w:val="auto"/>
          <w:sz w:val="20"/>
          <w:szCs w:val="20"/>
          <w:lang w:val="es-ES"/>
        </w:rPr>
        <w:t xml:space="preserve">Sandra </w:t>
      </w:r>
      <w:r w:rsidR="00F2601C" w:rsidRPr="00D32942">
        <w:rPr>
          <w:color w:val="auto"/>
          <w:sz w:val="20"/>
          <w:szCs w:val="20"/>
          <w:lang w:val="es-ES"/>
        </w:rPr>
        <w:t xml:space="preserve">Milena </w:t>
      </w:r>
      <w:r w:rsidR="006E17C2" w:rsidRPr="00D32942">
        <w:rPr>
          <w:color w:val="auto"/>
          <w:sz w:val="20"/>
          <w:szCs w:val="20"/>
          <w:lang w:val="es-ES"/>
        </w:rPr>
        <w:t>fue atendida el 27 de mayo de 2008 en el Hospital Central de Granada</w:t>
      </w:r>
      <w:r w:rsidR="005F213F" w:rsidRPr="00D32942">
        <w:rPr>
          <w:color w:val="auto"/>
          <w:sz w:val="20"/>
          <w:szCs w:val="20"/>
          <w:lang w:val="es-ES"/>
        </w:rPr>
        <w:t xml:space="preserve"> y </w:t>
      </w:r>
      <w:r w:rsidR="006E17C2" w:rsidRPr="00D32942">
        <w:rPr>
          <w:color w:val="auto"/>
          <w:sz w:val="20"/>
          <w:szCs w:val="20"/>
          <w:lang w:val="es-ES"/>
        </w:rPr>
        <w:t xml:space="preserve">una junta </w:t>
      </w:r>
      <w:r w:rsidR="00F2601C" w:rsidRPr="00D32942">
        <w:rPr>
          <w:color w:val="auto"/>
          <w:sz w:val="20"/>
          <w:szCs w:val="20"/>
          <w:lang w:val="es-ES"/>
        </w:rPr>
        <w:t>médica estableció</w:t>
      </w:r>
      <w:r w:rsidR="006E17C2" w:rsidRPr="00D32942">
        <w:rPr>
          <w:color w:val="auto"/>
          <w:sz w:val="20"/>
          <w:szCs w:val="20"/>
          <w:lang w:val="es-ES"/>
        </w:rPr>
        <w:t xml:space="preserve"> </w:t>
      </w:r>
      <w:r w:rsidR="00630730" w:rsidRPr="00D32942">
        <w:rPr>
          <w:color w:val="auto"/>
          <w:sz w:val="20"/>
          <w:szCs w:val="20"/>
          <w:lang w:val="es-ES"/>
        </w:rPr>
        <w:t>realizar algunos estudios</w:t>
      </w:r>
      <w:r w:rsidR="0051140E" w:rsidRPr="00D32942">
        <w:rPr>
          <w:color w:val="auto"/>
          <w:sz w:val="20"/>
          <w:szCs w:val="20"/>
          <w:lang w:val="es-ES"/>
        </w:rPr>
        <w:t>. Informa que</w:t>
      </w:r>
      <w:r w:rsidR="00785B75" w:rsidRPr="00D32942">
        <w:rPr>
          <w:color w:val="auto"/>
          <w:sz w:val="20"/>
          <w:szCs w:val="20"/>
          <w:lang w:val="es-ES"/>
        </w:rPr>
        <w:t>,</w:t>
      </w:r>
      <w:r w:rsidR="0051140E" w:rsidRPr="00D32942">
        <w:rPr>
          <w:color w:val="auto"/>
          <w:sz w:val="20"/>
          <w:szCs w:val="20"/>
          <w:lang w:val="es-ES"/>
        </w:rPr>
        <w:t xml:space="preserve"> sin</w:t>
      </w:r>
      <w:r w:rsidR="006E17C2" w:rsidRPr="00D32942">
        <w:rPr>
          <w:color w:val="auto"/>
          <w:sz w:val="20"/>
          <w:szCs w:val="20"/>
          <w:lang w:val="es-ES"/>
        </w:rPr>
        <w:t xml:space="preserve"> embargo</w:t>
      </w:r>
      <w:r w:rsidR="00785B75" w:rsidRPr="00D32942">
        <w:rPr>
          <w:color w:val="auto"/>
          <w:sz w:val="20"/>
          <w:szCs w:val="20"/>
          <w:lang w:val="es-ES"/>
        </w:rPr>
        <w:t>,</w:t>
      </w:r>
      <w:r w:rsidR="006E17C2" w:rsidRPr="00D32942">
        <w:rPr>
          <w:color w:val="auto"/>
          <w:sz w:val="20"/>
          <w:szCs w:val="20"/>
          <w:lang w:val="es-ES"/>
        </w:rPr>
        <w:t xml:space="preserve"> se </w:t>
      </w:r>
      <w:r w:rsidR="002B3FED" w:rsidRPr="00D32942">
        <w:rPr>
          <w:color w:val="auto"/>
          <w:sz w:val="20"/>
          <w:szCs w:val="20"/>
          <w:lang w:val="es-ES"/>
        </w:rPr>
        <w:t>perdió</w:t>
      </w:r>
      <w:r w:rsidR="006E17C2" w:rsidRPr="00D32942">
        <w:rPr>
          <w:color w:val="auto"/>
          <w:sz w:val="20"/>
          <w:szCs w:val="20"/>
          <w:lang w:val="es-ES"/>
        </w:rPr>
        <w:t xml:space="preserve"> contact</w:t>
      </w:r>
      <w:r w:rsidR="00E81299" w:rsidRPr="00D32942">
        <w:rPr>
          <w:color w:val="auto"/>
          <w:sz w:val="20"/>
          <w:szCs w:val="20"/>
          <w:lang w:val="es-ES"/>
        </w:rPr>
        <w:t>o</w:t>
      </w:r>
      <w:r w:rsidR="006E17C2" w:rsidRPr="00D32942">
        <w:rPr>
          <w:color w:val="auto"/>
          <w:sz w:val="20"/>
          <w:szCs w:val="20"/>
          <w:lang w:val="es-ES"/>
        </w:rPr>
        <w:t xml:space="preserve"> con </w:t>
      </w:r>
      <w:r w:rsidR="00630730" w:rsidRPr="00D32942">
        <w:rPr>
          <w:color w:val="auto"/>
          <w:sz w:val="20"/>
          <w:szCs w:val="20"/>
          <w:lang w:val="es-ES"/>
        </w:rPr>
        <w:t>la señora</w:t>
      </w:r>
      <w:r w:rsidR="0051140E" w:rsidRPr="00D32942">
        <w:rPr>
          <w:color w:val="auto"/>
          <w:sz w:val="20"/>
          <w:szCs w:val="20"/>
          <w:lang w:val="es-ES"/>
        </w:rPr>
        <w:t xml:space="preserve"> </w:t>
      </w:r>
      <w:r w:rsidR="0051140E" w:rsidRPr="00D32942">
        <w:rPr>
          <w:color w:val="auto"/>
          <w:sz w:val="20"/>
          <w:szCs w:val="20"/>
          <w:lang w:val="es-ES"/>
        </w:rPr>
        <w:lastRenderedPageBreak/>
        <w:t xml:space="preserve">y solo </w:t>
      </w:r>
      <w:r w:rsidR="006261DA" w:rsidRPr="00D32942">
        <w:rPr>
          <w:color w:val="auto"/>
          <w:sz w:val="20"/>
          <w:szCs w:val="20"/>
          <w:lang w:val="es-ES"/>
        </w:rPr>
        <w:t>un año más tarde</w:t>
      </w:r>
      <w:r w:rsidR="00F2601C" w:rsidRPr="00D32942">
        <w:rPr>
          <w:color w:val="auto"/>
          <w:sz w:val="20"/>
          <w:szCs w:val="20"/>
          <w:lang w:val="es-ES"/>
        </w:rPr>
        <w:t xml:space="preserve"> </w:t>
      </w:r>
      <w:r w:rsidR="00876D42" w:rsidRPr="00D32942">
        <w:rPr>
          <w:color w:val="auto"/>
          <w:sz w:val="20"/>
          <w:szCs w:val="20"/>
          <w:lang w:val="es-ES"/>
        </w:rPr>
        <w:t xml:space="preserve">los peticionarios </w:t>
      </w:r>
      <w:r w:rsidR="00F2601C" w:rsidRPr="00D32942">
        <w:rPr>
          <w:color w:val="auto"/>
          <w:sz w:val="20"/>
          <w:szCs w:val="20"/>
          <w:lang w:val="es-ES"/>
        </w:rPr>
        <w:t xml:space="preserve">informaron </w:t>
      </w:r>
      <w:r w:rsidR="002B3FED" w:rsidRPr="00D32942">
        <w:rPr>
          <w:color w:val="auto"/>
          <w:sz w:val="20"/>
          <w:szCs w:val="20"/>
          <w:lang w:val="es-ES"/>
        </w:rPr>
        <w:t xml:space="preserve">sobre un nuevo número </w:t>
      </w:r>
      <w:r w:rsidR="00A00A09" w:rsidRPr="00D32942">
        <w:rPr>
          <w:color w:val="auto"/>
          <w:sz w:val="20"/>
          <w:szCs w:val="20"/>
          <w:lang w:val="es-ES"/>
        </w:rPr>
        <w:t>telefónico de</w:t>
      </w:r>
      <w:r w:rsidR="002B3FED" w:rsidRPr="00D32942">
        <w:rPr>
          <w:color w:val="auto"/>
          <w:sz w:val="20"/>
          <w:szCs w:val="20"/>
          <w:lang w:val="es-ES"/>
        </w:rPr>
        <w:t xml:space="preserve"> </w:t>
      </w:r>
      <w:r w:rsidR="00D8274A" w:rsidRPr="00D32942">
        <w:rPr>
          <w:color w:val="auto"/>
          <w:sz w:val="20"/>
          <w:szCs w:val="20"/>
          <w:lang w:val="es-ES"/>
        </w:rPr>
        <w:t>Sandra Milena</w:t>
      </w:r>
      <w:r w:rsidR="000A364C" w:rsidRPr="00D32942">
        <w:rPr>
          <w:color w:val="auto"/>
          <w:sz w:val="20"/>
          <w:szCs w:val="20"/>
          <w:lang w:val="es-ES"/>
        </w:rPr>
        <w:t xml:space="preserve"> Ayure Quintero</w:t>
      </w:r>
      <w:r w:rsidR="0051140E" w:rsidRPr="00D32942">
        <w:rPr>
          <w:color w:val="auto"/>
          <w:sz w:val="20"/>
          <w:szCs w:val="20"/>
          <w:lang w:val="es-ES"/>
        </w:rPr>
        <w:t xml:space="preserve">. Señala que </w:t>
      </w:r>
      <w:r w:rsidR="006261DA" w:rsidRPr="00D32942">
        <w:rPr>
          <w:color w:val="auto"/>
          <w:sz w:val="20"/>
          <w:szCs w:val="20"/>
          <w:lang w:val="es-ES"/>
        </w:rPr>
        <w:t xml:space="preserve">según requerido por la señora, </w:t>
      </w:r>
      <w:r w:rsidR="002B3FED" w:rsidRPr="00D32942">
        <w:rPr>
          <w:color w:val="auto"/>
          <w:sz w:val="20"/>
          <w:szCs w:val="20"/>
          <w:lang w:val="es-ES"/>
        </w:rPr>
        <w:t>se realizar</w:t>
      </w:r>
      <w:r w:rsidR="00E322A8" w:rsidRPr="00D32942">
        <w:rPr>
          <w:color w:val="auto"/>
          <w:sz w:val="20"/>
          <w:szCs w:val="20"/>
          <w:lang w:val="es-ES"/>
        </w:rPr>
        <w:t>á</w:t>
      </w:r>
      <w:r w:rsidR="002B3FED" w:rsidRPr="00D32942">
        <w:rPr>
          <w:color w:val="auto"/>
          <w:sz w:val="20"/>
          <w:szCs w:val="20"/>
          <w:lang w:val="es-ES"/>
        </w:rPr>
        <w:t xml:space="preserve"> una nueva </w:t>
      </w:r>
      <w:r w:rsidR="00DC6CD7" w:rsidRPr="00D32942">
        <w:rPr>
          <w:color w:val="auto"/>
          <w:sz w:val="20"/>
          <w:szCs w:val="20"/>
          <w:lang w:val="es-ES"/>
        </w:rPr>
        <w:t>valoración</w:t>
      </w:r>
      <w:r w:rsidR="00F2601C" w:rsidRPr="00D32942">
        <w:rPr>
          <w:color w:val="auto"/>
          <w:sz w:val="20"/>
          <w:szCs w:val="20"/>
          <w:lang w:val="es-ES"/>
        </w:rPr>
        <w:t xml:space="preserve"> p</w:t>
      </w:r>
      <w:r w:rsidR="008F6422" w:rsidRPr="00D32942">
        <w:rPr>
          <w:color w:val="auto"/>
          <w:sz w:val="20"/>
          <w:szCs w:val="20"/>
          <w:lang w:val="es-ES"/>
        </w:rPr>
        <w:t>o</w:t>
      </w:r>
      <w:r w:rsidR="00F2601C" w:rsidRPr="00D32942">
        <w:rPr>
          <w:color w:val="auto"/>
          <w:sz w:val="20"/>
          <w:szCs w:val="20"/>
          <w:lang w:val="es-ES"/>
        </w:rPr>
        <w:t>r parte de un e</w:t>
      </w:r>
      <w:r w:rsidR="002B3FED" w:rsidRPr="00D32942">
        <w:rPr>
          <w:color w:val="auto"/>
          <w:sz w:val="20"/>
          <w:szCs w:val="20"/>
          <w:lang w:val="es-ES"/>
        </w:rPr>
        <w:t xml:space="preserve">specialista </w:t>
      </w:r>
      <w:r w:rsidR="00E322A8" w:rsidRPr="00D32942">
        <w:rPr>
          <w:color w:val="auto"/>
          <w:sz w:val="20"/>
          <w:szCs w:val="20"/>
          <w:lang w:val="es-ES"/>
        </w:rPr>
        <w:t xml:space="preserve"> </w:t>
      </w:r>
      <w:r w:rsidR="002B3FED" w:rsidRPr="00D32942">
        <w:rPr>
          <w:color w:val="auto"/>
          <w:sz w:val="20"/>
          <w:szCs w:val="20"/>
          <w:lang w:val="es-ES"/>
        </w:rPr>
        <w:t>en l</w:t>
      </w:r>
      <w:r w:rsidR="009538C2" w:rsidRPr="00D32942">
        <w:rPr>
          <w:color w:val="auto"/>
          <w:sz w:val="20"/>
          <w:szCs w:val="20"/>
          <w:lang w:val="es-ES"/>
        </w:rPr>
        <w:t>a ciudad</w:t>
      </w:r>
      <w:r w:rsidR="0037693C" w:rsidRPr="00D32942">
        <w:rPr>
          <w:color w:val="auto"/>
          <w:sz w:val="20"/>
          <w:szCs w:val="20"/>
          <w:lang w:val="es-ES"/>
        </w:rPr>
        <w:t xml:space="preserve"> de</w:t>
      </w:r>
      <w:r w:rsidR="00F2601C" w:rsidRPr="00D32942">
        <w:rPr>
          <w:color w:val="auto"/>
          <w:sz w:val="20"/>
          <w:szCs w:val="20"/>
          <w:lang w:val="es-ES"/>
        </w:rPr>
        <w:t xml:space="preserve"> </w:t>
      </w:r>
      <w:r w:rsidR="002B3FED" w:rsidRPr="00D32942">
        <w:rPr>
          <w:color w:val="auto"/>
          <w:sz w:val="20"/>
          <w:szCs w:val="20"/>
          <w:lang w:val="es-ES"/>
        </w:rPr>
        <w:t>Bogotá</w:t>
      </w:r>
      <w:r w:rsidR="00E322A8" w:rsidRPr="00D32942">
        <w:rPr>
          <w:color w:val="auto"/>
          <w:sz w:val="20"/>
          <w:szCs w:val="20"/>
          <w:lang w:val="es-ES"/>
        </w:rPr>
        <w:t xml:space="preserve"> por lo que</w:t>
      </w:r>
      <w:r w:rsidR="00B708AD" w:rsidRPr="00D32942">
        <w:rPr>
          <w:color w:val="auto"/>
          <w:sz w:val="20"/>
          <w:szCs w:val="20"/>
          <w:lang w:val="es-ES"/>
        </w:rPr>
        <w:t xml:space="preserve"> </w:t>
      </w:r>
      <w:r w:rsidR="00F2601C" w:rsidRPr="00D32942">
        <w:rPr>
          <w:color w:val="auto"/>
          <w:sz w:val="20"/>
          <w:szCs w:val="20"/>
          <w:lang w:val="es-ES"/>
        </w:rPr>
        <w:t xml:space="preserve">se adelantaron diversas acciones para cubrir </w:t>
      </w:r>
      <w:r w:rsidR="00DC6CD7" w:rsidRPr="00D32942">
        <w:rPr>
          <w:color w:val="auto"/>
          <w:sz w:val="20"/>
          <w:szCs w:val="20"/>
          <w:lang w:val="es-ES"/>
        </w:rPr>
        <w:t>los costo</w:t>
      </w:r>
      <w:r w:rsidR="00F2601C" w:rsidRPr="00D32942">
        <w:rPr>
          <w:color w:val="auto"/>
          <w:sz w:val="20"/>
          <w:szCs w:val="20"/>
          <w:lang w:val="es-ES"/>
        </w:rPr>
        <w:t xml:space="preserve">s de desplazamiento y </w:t>
      </w:r>
      <w:r w:rsidR="002B3FED" w:rsidRPr="00D32942">
        <w:rPr>
          <w:color w:val="auto"/>
          <w:sz w:val="20"/>
          <w:szCs w:val="20"/>
          <w:lang w:val="es-ES"/>
        </w:rPr>
        <w:t>estadía de l</w:t>
      </w:r>
      <w:r w:rsidR="00F2601C" w:rsidRPr="00D32942">
        <w:rPr>
          <w:color w:val="auto"/>
          <w:sz w:val="20"/>
          <w:szCs w:val="20"/>
          <w:lang w:val="es-ES"/>
        </w:rPr>
        <w:t xml:space="preserve">a </w:t>
      </w:r>
      <w:r w:rsidR="00DC6CD7" w:rsidRPr="00D32942">
        <w:rPr>
          <w:color w:val="auto"/>
          <w:sz w:val="20"/>
          <w:szCs w:val="20"/>
          <w:lang w:val="es-ES"/>
        </w:rPr>
        <w:t>señora Sandra Milena Ayure</w:t>
      </w:r>
      <w:r w:rsidR="00E322A8" w:rsidRPr="00D32942">
        <w:rPr>
          <w:color w:val="auto"/>
          <w:sz w:val="20"/>
          <w:szCs w:val="20"/>
          <w:lang w:val="es-ES"/>
        </w:rPr>
        <w:t xml:space="preserve"> Quintero</w:t>
      </w:r>
      <w:r w:rsidR="002B3FED" w:rsidRPr="00D32942">
        <w:rPr>
          <w:color w:val="auto"/>
          <w:sz w:val="20"/>
          <w:szCs w:val="20"/>
          <w:lang w:val="es-ES"/>
        </w:rPr>
        <w:t xml:space="preserve"> a l</w:t>
      </w:r>
      <w:r w:rsidR="00F2601C" w:rsidRPr="00D32942">
        <w:rPr>
          <w:color w:val="auto"/>
          <w:sz w:val="20"/>
          <w:szCs w:val="20"/>
          <w:lang w:val="es-ES"/>
        </w:rPr>
        <w:t xml:space="preserve">a ciudad de </w:t>
      </w:r>
      <w:r w:rsidR="002B3FED" w:rsidRPr="00D32942">
        <w:rPr>
          <w:color w:val="auto"/>
          <w:sz w:val="20"/>
          <w:szCs w:val="20"/>
          <w:lang w:val="es-ES"/>
        </w:rPr>
        <w:t>Bogotá</w:t>
      </w:r>
      <w:r w:rsidR="00F2601C" w:rsidRPr="00D32942">
        <w:rPr>
          <w:color w:val="auto"/>
          <w:sz w:val="20"/>
          <w:szCs w:val="20"/>
          <w:lang w:val="es-ES"/>
        </w:rPr>
        <w:t>.</w:t>
      </w:r>
    </w:p>
    <w:p w:rsidR="006E17C2" w:rsidRPr="00D32942" w:rsidRDefault="006E17C2" w:rsidP="006E17C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jc w:val="both"/>
        <w:rPr>
          <w:rFonts w:ascii="Cambria" w:hAnsi="Cambria"/>
          <w:sz w:val="20"/>
          <w:szCs w:val="20"/>
          <w:u w:color="000000"/>
          <w:lang w:val="es-ES"/>
        </w:rPr>
      </w:pPr>
    </w:p>
    <w:p w:rsidR="00716784" w:rsidRPr="00D32942" w:rsidRDefault="00942617" w:rsidP="00716784">
      <w:pPr>
        <w:pStyle w:val="ListParagraph"/>
        <w:numPr>
          <w:ilvl w:val="0"/>
          <w:numId w:val="56"/>
        </w:numPr>
        <w:tabs>
          <w:tab w:val="clear" w:pos="1440"/>
          <w:tab w:val="num" w:pos="0"/>
        </w:tabs>
        <w:autoSpaceDE w:val="0"/>
        <w:autoSpaceDN w:val="0"/>
        <w:adjustRightInd w:val="0"/>
        <w:ind w:left="0" w:firstLine="720"/>
        <w:jc w:val="both"/>
        <w:rPr>
          <w:color w:val="auto"/>
          <w:sz w:val="20"/>
          <w:szCs w:val="20"/>
          <w:lang w:val="es-ES"/>
        </w:rPr>
      </w:pPr>
      <w:r w:rsidRPr="00D32942">
        <w:rPr>
          <w:color w:val="auto"/>
          <w:sz w:val="20"/>
          <w:szCs w:val="20"/>
          <w:lang w:val="es-ES"/>
        </w:rPr>
        <w:t xml:space="preserve">Respecto a la </w:t>
      </w:r>
      <w:r w:rsidR="005A5CDD" w:rsidRPr="00D32942">
        <w:rPr>
          <w:color w:val="auto"/>
          <w:sz w:val="20"/>
          <w:szCs w:val="20"/>
          <w:lang w:val="es-ES"/>
        </w:rPr>
        <w:t xml:space="preserve">prestación de atención psicosocial a las </w:t>
      </w:r>
      <w:r w:rsidR="00B344CA" w:rsidRPr="00D32942">
        <w:rPr>
          <w:color w:val="auto"/>
          <w:sz w:val="20"/>
          <w:szCs w:val="20"/>
          <w:lang w:val="es-ES"/>
        </w:rPr>
        <w:t>víctimas</w:t>
      </w:r>
      <w:r w:rsidR="00E322A8" w:rsidRPr="00D32942">
        <w:rPr>
          <w:color w:val="auto"/>
          <w:sz w:val="20"/>
          <w:szCs w:val="20"/>
          <w:lang w:val="es-ES"/>
        </w:rPr>
        <w:t>,</w:t>
      </w:r>
      <w:r w:rsidR="00371F12" w:rsidRPr="00D32942">
        <w:rPr>
          <w:color w:val="auto"/>
          <w:sz w:val="20"/>
          <w:szCs w:val="20"/>
          <w:lang w:val="es-ES"/>
        </w:rPr>
        <w:t xml:space="preserve"> </w:t>
      </w:r>
      <w:r w:rsidRPr="00D32942">
        <w:rPr>
          <w:color w:val="auto"/>
          <w:sz w:val="20"/>
          <w:szCs w:val="20"/>
          <w:lang w:val="es-ES"/>
        </w:rPr>
        <w:t>indica que a pesar de que las sesiones del grupo exploratorio</w:t>
      </w:r>
      <w:r w:rsidR="00876D42" w:rsidRPr="00D32942">
        <w:rPr>
          <w:color w:val="auto"/>
          <w:sz w:val="20"/>
          <w:szCs w:val="20"/>
          <w:lang w:val="es-ES"/>
        </w:rPr>
        <w:t xml:space="preserve"> habían</w:t>
      </w:r>
      <w:r w:rsidRPr="00D32942">
        <w:rPr>
          <w:color w:val="auto"/>
          <w:sz w:val="20"/>
          <w:szCs w:val="20"/>
          <w:lang w:val="es-ES"/>
        </w:rPr>
        <w:t xml:space="preserve"> conclu</w:t>
      </w:r>
      <w:r w:rsidR="00876D42" w:rsidRPr="00D32942">
        <w:rPr>
          <w:color w:val="auto"/>
          <w:sz w:val="20"/>
          <w:szCs w:val="20"/>
          <w:lang w:val="es-ES"/>
        </w:rPr>
        <w:t>ido</w:t>
      </w:r>
      <w:r w:rsidRPr="00D32942">
        <w:rPr>
          <w:color w:val="auto"/>
          <w:sz w:val="20"/>
          <w:szCs w:val="20"/>
          <w:lang w:val="es-ES"/>
        </w:rPr>
        <w:t>, el Estado siguió realizando gestiones para que una entidad independiente realizara el peritaje</w:t>
      </w:r>
      <w:r w:rsidR="00E322A8" w:rsidRPr="00D32942">
        <w:rPr>
          <w:color w:val="auto"/>
          <w:sz w:val="20"/>
          <w:szCs w:val="20"/>
          <w:lang w:val="es-ES"/>
        </w:rPr>
        <w:t>, como</w:t>
      </w:r>
      <w:r w:rsidRPr="00D32942">
        <w:rPr>
          <w:color w:val="auto"/>
          <w:sz w:val="20"/>
          <w:szCs w:val="20"/>
          <w:lang w:val="es-ES"/>
        </w:rPr>
        <w:t xml:space="preserve"> solicitado por los peticionarios</w:t>
      </w:r>
      <w:r w:rsidR="00E34BD6" w:rsidRPr="00D32942">
        <w:rPr>
          <w:color w:val="auto"/>
          <w:sz w:val="20"/>
          <w:szCs w:val="20"/>
          <w:lang w:val="es-ES"/>
        </w:rPr>
        <w:t xml:space="preserve">. </w:t>
      </w:r>
      <w:r w:rsidR="00E42B00" w:rsidRPr="00D32942">
        <w:rPr>
          <w:color w:val="auto"/>
          <w:sz w:val="20"/>
          <w:szCs w:val="20"/>
          <w:lang w:val="es-ES"/>
        </w:rPr>
        <w:t>En este sentido</w:t>
      </w:r>
      <w:r w:rsidR="0037693C" w:rsidRPr="00D32942">
        <w:rPr>
          <w:color w:val="auto"/>
          <w:sz w:val="20"/>
          <w:szCs w:val="20"/>
          <w:lang w:val="es-ES"/>
        </w:rPr>
        <w:t xml:space="preserve"> señala que</w:t>
      </w:r>
      <w:r w:rsidR="00E42B00" w:rsidRPr="00D32942">
        <w:rPr>
          <w:color w:val="auto"/>
          <w:sz w:val="20"/>
          <w:szCs w:val="20"/>
          <w:lang w:val="es-ES"/>
        </w:rPr>
        <w:t xml:space="preserve"> fueron enviadas comunicaciones a los </w:t>
      </w:r>
      <w:r w:rsidR="00E34BD6" w:rsidRPr="00D32942">
        <w:rPr>
          <w:color w:val="auto"/>
          <w:sz w:val="20"/>
          <w:szCs w:val="20"/>
          <w:lang w:val="es-ES"/>
        </w:rPr>
        <w:t>peticionarios</w:t>
      </w:r>
      <w:r w:rsidR="00E42B00" w:rsidRPr="00D32942">
        <w:rPr>
          <w:color w:val="auto"/>
          <w:sz w:val="20"/>
          <w:szCs w:val="20"/>
          <w:lang w:val="es-ES"/>
        </w:rPr>
        <w:t xml:space="preserve"> en fecha 14 de febrero y 14 de abril 200</w:t>
      </w:r>
      <w:r w:rsidR="009538C2" w:rsidRPr="00D32942">
        <w:rPr>
          <w:color w:val="auto"/>
          <w:sz w:val="20"/>
          <w:szCs w:val="20"/>
          <w:lang w:val="es-ES"/>
        </w:rPr>
        <w:t>8 que nunca fueron contestadas</w:t>
      </w:r>
      <w:r w:rsidR="00971C49" w:rsidRPr="00D32942">
        <w:rPr>
          <w:color w:val="auto"/>
          <w:sz w:val="20"/>
          <w:szCs w:val="20"/>
          <w:lang w:val="es-ES"/>
        </w:rPr>
        <w:t>. Indica</w:t>
      </w:r>
      <w:r w:rsidR="00AA6B86" w:rsidRPr="00D32942">
        <w:rPr>
          <w:color w:val="auto"/>
          <w:sz w:val="20"/>
          <w:szCs w:val="20"/>
          <w:lang w:val="es-ES"/>
        </w:rPr>
        <w:t xml:space="preserve"> que </w:t>
      </w:r>
      <w:r w:rsidR="0037693C" w:rsidRPr="00D32942">
        <w:rPr>
          <w:color w:val="auto"/>
          <w:sz w:val="20"/>
          <w:szCs w:val="20"/>
          <w:lang w:val="es-ES"/>
        </w:rPr>
        <w:t>f</w:t>
      </w:r>
      <w:r w:rsidR="00E42B00" w:rsidRPr="00D32942">
        <w:rPr>
          <w:color w:val="auto"/>
          <w:sz w:val="20"/>
          <w:szCs w:val="20"/>
          <w:lang w:val="es-ES"/>
        </w:rPr>
        <w:t>inalmente</w:t>
      </w:r>
      <w:r w:rsidR="00E34BD6" w:rsidRPr="00D32942">
        <w:rPr>
          <w:color w:val="auto"/>
          <w:sz w:val="20"/>
          <w:szCs w:val="20"/>
          <w:lang w:val="es-ES"/>
        </w:rPr>
        <w:t xml:space="preserve"> </w:t>
      </w:r>
      <w:r w:rsidR="00E42B00" w:rsidRPr="00D32942">
        <w:rPr>
          <w:color w:val="auto"/>
          <w:sz w:val="20"/>
          <w:szCs w:val="20"/>
          <w:lang w:val="es-ES"/>
        </w:rPr>
        <w:t xml:space="preserve">el 7 de julio 2009 se </w:t>
      </w:r>
      <w:r w:rsidR="00E34BD6" w:rsidRPr="00D32942">
        <w:rPr>
          <w:color w:val="auto"/>
          <w:sz w:val="20"/>
          <w:szCs w:val="20"/>
          <w:lang w:val="es-ES"/>
        </w:rPr>
        <w:t>llevó</w:t>
      </w:r>
      <w:r w:rsidR="00E42B00" w:rsidRPr="00D32942">
        <w:rPr>
          <w:color w:val="auto"/>
          <w:sz w:val="20"/>
          <w:szCs w:val="20"/>
          <w:lang w:val="es-ES"/>
        </w:rPr>
        <w:t xml:space="preserve"> a cabo una reunión con </w:t>
      </w:r>
      <w:r w:rsidR="00E34BD6" w:rsidRPr="00D32942">
        <w:rPr>
          <w:color w:val="auto"/>
          <w:sz w:val="20"/>
          <w:szCs w:val="20"/>
          <w:lang w:val="es-ES"/>
        </w:rPr>
        <w:t>la participación de</w:t>
      </w:r>
      <w:r w:rsidR="00371F12" w:rsidRPr="00D32942">
        <w:rPr>
          <w:color w:val="auto"/>
          <w:sz w:val="20"/>
          <w:szCs w:val="20"/>
          <w:lang w:val="es-ES"/>
        </w:rPr>
        <w:t>l</w:t>
      </w:r>
      <w:r w:rsidR="00E34BD6" w:rsidRPr="00D32942">
        <w:rPr>
          <w:color w:val="auto"/>
          <w:sz w:val="20"/>
          <w:szCs w:val="20"/>
          <w:lang w:val="es-ES"/>
        </w:rPr>
        <w:t xml:space="preserve"> </w:t>
      </w:r>
      <w:r w:rsidR="00371F12" w:rsidRPr="00D32942">
        <w:rPr>
          <w:color w:val="auto"/>
          <w:sz w:val="20"/>
          <w:szCs w:val="20"/>
          <w:lang w:val="es-ES"/>
        </w:rPr>
        <w:t>E</w:t>
      </w:r>
      <w:r w:rsidR="00E34BD6" w:rsidRPr="00D32942">
        <w:rPr>
          <w:color w:val="auto"/>
          <w:sz w:val="20"/>
          <w:szCs w:val="20"/>
          <w:lang w:val="es-ES"/>
        </w:rPr>
        <w:t xml:space="preserve">stado y de los peticionarios con </w:t>
      </w:r>
      <w:r w:rsidR="00E42B00" w:rsidRPr="00D32942">
        <w:rPr>
          <w:color w:val="auto"/>
          <w:sz w:val="20"/>
          <w:szCs w:val="20"/>
          <w:lang w:val="es-ES"/>
        </w:rPr>
        <w:t xml:space="preserve">el objetivo de </w:t>
      </w:r>
      <w:r w:rsidR="00E34BD6" w:rsidRPr="00D32942">
        <w:rPr>
          <w:color w:val="auto"/>
          <w:sz w:val="20"/>
          <w:szCs w:val="20"/>
          <w:lang w:val="es-ES"/>
        </w:rPr>
        <w:t xml:space="preserve">presentar </w:t>
      </w:r>
      <w:r w:rsidR="00716784" w:rsidRPr="00D32942">
        <w:rPr>
          <w:color w:val="auto"/>
          <w:sz w:val="20"/>
          <w:szCs w:val="20"/>
          <w:lang w:val="es-ES"/>
        </w:rPr>
        <w:t xml:space="preserve">la propuesta de valoración psicosocial que realizaría </w:t>
      </w:r>
      <w:r w:rsidR="008D1E51" w:rsidRPr="00D32942">
        <w:rPr>
          <w:color w:val="auto"/>
          <w:sz w:val="20"/>
          <w:szCs w:val="20"/>
          <w:lang w:val="es-ES"/>
        </w:rPr>
        <w:t xml:space="preserve">el </w:t>
      </w:r>
      <w:r w:rsidR="008D1E51" w:rsidRPr="00D32942">
        <w:rPr>
          <w:sz w:val="20"/>
          <w:szCs w:val="20"/>
          <w:lang w:val="es-ES"/>
        </w:rPr>
        <w:t>Grupo de Psicología de la Universidad de los Andes</w:t>
      </w:r>
      <w:r w:rsidR="00971C49" w:rsidRPr="00D32942">
        <w:rPr>
          <w:color w:val="auto"/>
          <w:sz w:val="20"/>
          <w:szCs w:val="20"/>
          <w:lang w:val="es-ES"/>
        </w:rPr>
        <w:t>,</w:t>
      </w:r>
      <w:r w:rsidR="00716784" w:rsidRPr="00D32942">
        <w:rPr>
          <w:color w:val="auto"/>
          <w:sz w:val="20"/>
          <w:szCs w:val="20"/>
          <w:lang w:val="es-ES"/>
        </w:rPr>
        <w:t xml:space="preserve"> y con el propósito de establecer </w:t>
      </w:r>
      <w:r w:rsidR="0042129B" w:rsidRPr="00D32942">
        <w:rPr>
          <w:color w:val="auto"/>
          <w:sz w:val="20"/>
          <w:szCs w:val="20"/>
          <w:lang w:val="es-ES"/>
        </w:rPr>
        <w:t xml:space="preserve">eventuales </w:t>
      </w:r>
      <w:r w:rsidR="00716784" w:rsidRPr="00D32942">
        <w:rPr>
          <w:color w:val="auto"/>
          <w:sz w:val="20"/>
          <w:szCs w:val="20"/>
          <w:lang w:val="es-ES"/>
        </w:rPr>
        <w:t>medidas adicionales de reparación.</w:t>
      </w:r>
    </w:p>
    <w:p w:rsidR="00942617" w:rsidRPr="00D32942" w:rsidRDefault="00942617" w:rsidP="00E34BD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auto"/>
          <w:sz w:val="20"/>
          <w:szCs w:val="20"/>
          <w:lang w:val="es-ES"/>
        </w:rPr>
      </w:pPr>
    </w:p>
    <w:p w:rsidR="00FA20E8" w:rsidRPr="00D32942" w:rsidRDefault="006F6BF3" w:rsidP="00FA20E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b/>
          <w:color w:val="auto"/>
          <w:sz w:val="20"/>
          <w:szCs w:val="20"/>
          <w:lang w:val="es-ES"/>
        </w:rPr>
      </w:pPr>
      <w:r w:rsidRPr="00D32942">
        <w:rPr>
          <w:color w:val="auto"/>
          <w:sz w:val="20"/>
          <w:szCs w:val="20"/>
          <w:lang w:val="es-ES"/>
        </w:rPr>
        <w:t>El Estado resalta que, a pesar de su buena voluntad y de todas las gestiones que desarrolló en el marco del proceso de búsqueda de solución amistos</w:t>
      </w:r>
      <w:r w:rsidR="00F2484B" w:rsidRPr="00D32942">
        <w:rPr>
          <w:color w:val="auto"/>
          <w:sz w:val="20"/>
          <w:szCs w:val="20"/>
          <w:lang w:val="es-ES"/>
        </w:rPr>
        <w:t xml:space="preserve">a, reiteradamente se enfrentó a </w:t>
      </w:r>
      <w:r w:rsidRPr="00D32942">
        <w:rPr>
          <w:color w:val="auto"/>
          <w:sz w:val="20"/>
          <w:szCs w:val="20"/>
          <w:lang w:val="es-ES"/>
        </w:rPr>
        <w:t>la falta de interés de los peticionarios en la implementación de los acuerdos alcanzados en el marco del Grupo Exploratorio</w:t>
      </w:r>
      <w:r w:rsidR="00F2484B" w:rsidRPr="00D32942">
        <w:rPr>
          <w:color w:val="auto"/>
          <w:sz w:val="20"/>
          <w:szCs w:val="20"/>
          <w:lang w:val="es-ES"/>
        </w:rPr>
        <w:t>.</w:t>
      </w:r>
      <w:r w:rsidRPr="00D32942">
        <w:rPr>
          <w:color w:val="auto"/>
          <w:sz w:val="20"/>
          <w:szCs w:val="20"/>
          <w:lang w:val="es-ES"/>
        </w:rPr>
        <w:t xml:space="preserve"> Esta preocupación fue manifestada a la Comisión </w:t>
      </w:r>
      <w:r w:rsidR="00F278D5" w:rsidRPr="00D32942">
        <w:rPr>
          <w:color w:val="auto"/>
          <w:sz w:val="20"/>
          <w:szCs w:val="20"/>
          <w:lang w:val="es-ES"/>
        </w:rPr>
        <w:t>en varias oportunidades</w:t>
      </w:r>
      <w:r w:rsidRPr="00D32942">
        <w:rPr>
          <w:color w:val="auto"/>
          <w:sz w:val="20"/>
          <w:szCs w:val="20"/>
          <w:lang w:val="es-ES"/>
        </w:rPr>
        <w:t>.</w:t>
      </w:r>
    </w:p>
    <w:p w:rsidR="00FA20E8" w:rsidRPr="00D32942" w:rsidRDefault="00FA20E8" w:rsidP="00FA20E8">
      <w:pPr>
        <w:pStyle w:val="ListParagraph"/>
        <w:rPr>
          <w:color w:val="auto"/>
          <w:sz w:val="20"/>
          <w:szCs w:val="20"/>
          <w:lang w:val="es-ES"/>
        </w:rPr>
      </w:pPr>
    </w:p>
    <w:p w:rsidR="00FA20E8" w:rsidRPr="00D32942" w:rsidRDefault="00FA20E8" w:rsidP="00FA20E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autoSpaceDE w:val="0"/>
        <w:autoSpaceDN w:val="0"/>
        <w:adjustRightInd w:val="0"/>
        <w:ind w:left="0" w:firstLine="720"/>
        <w:jc w:val="both"/>
        <w:rPr>
          <w:b/>
          <w:color w:val="auto"/>
          <w:sz w:val="20"/>
          <w:szCs w:val="20"/>
          <w:lang w:val="es-ES"/>
        </w:rPr>
      </w:pPr>
      <w:r w:rsidRPr="00D32942">
        <w:rPr>
          <w:color w:val="auto"/>
          <w:sz w:val="20"/>
          <w:szCs w:val="20"/>
          <w:lang w:val="es-ES"/>
        </w:rPr>
        <w:t>El Estado alega que la existencia de un fallo adverso a los intereses de las presuntas víctimas no constituye una violación a los derechos conten</w:t>
      </w:r>
      <w:r w:rsidR="00F278D5" w:rsidRPr="00D32942">
        <w:rPr>
          <w:color w:val="auto"/>
          <w:sz w:val="20"/>
          <w:szCs w:val="20"/>
          <w:lang w:val="es-ES"/>
        </w:rPr>
        <w:t>idos en la Convención Americana;</w:t>
      </w:r>
      <w:r w:rsidRPr="00D32942">
        <w:rPr>
          <w:color w:val="auto"/>
          <w:sz w:val="20"/>
          <w:szCs w:val="20"/>
          <w:lang w:val="es-ES"/>
        </w:rPr>
        <w:t xml:space="preserve"> que los recursos activados en la jurisdicción interna fueron adecuados, efectivos e idóneos; y que los fallos fueron debidamente sustentados y no pueden s</w:t>
      </w:r>
      <w:r w:rsidR="00AA6B86" w:rsidRPr="00D32942">
        <w:rPr>
          <w:color w:val="auto"/>
          <w:sz w:val="20"/>
          <w:szCs w:val="20"/>
          <w:lang w:val="es-ES"/>
        </w:rPr>
        <w:t>er declarados como arbitrarios.</w:t>
      </w:r>
      <w:r w:rsidRPr="00D32942">
        <w:rPr>
          <w:color w:val="auto"/>
          <w:sz w:val="20"/>
          <w:szCs w:val="20"/>
          <w:lang w:val="es-ES"/>
        </w:rPr>
        <w:t xml:space="preserve"> En vista de lo expuesto, el Estado afirma que los hechos alegados han sido materia de fallos internos dictados en tres jurisdicciones diferentes y autónoma</w:t>
      </w:r>
      <w:r w:rsidR="00AA6B86" w:rsidRPr="00D32942">
        <w:rPr>
          <w:color w:val="auto"/>
          <w:sz w:val="20"/>
          <w:szCs w:val="20"/>
          <w:lang w:val="es-ES"/>
        </w:rPr>
        <w:t>s, de acuerdo al debido proceso</w:t>
      </w:r>
      <w:r w:rsidR="00946BBC" w:rsidRPr="00D32942">
        <w:rPr>
          <w:color w:val="auto"/>
          <w:sz w:val="20"/>
          <w:szCs w:val="20"/>
          <w:lang w:val="es-ES"/>
        </w:rPr>
        <w:t>,</w:t>
      </w:r>
      <w:r w:rsidRPr="00D32942">
        <w:rPr>
          <w:color w:val="auto"/>
          <w:sz w:val="20"/>
          <w:szCs w:val="20"/>
          <w:lang w:val="es-ES"/>
        </w:rPr>
        <w:t xml:space="preserve"> por lo que la Comisión no puede actuar como tribunal de cuarta instancia.  </w:t>
      </w:r>
    </w:p>
    <w:p w:rsidR="008A3EA1" w:rsidRPr="00D32942" w:rsidRDefault="008A3EA1" w:rsidP="00EF7440">
      <w:pPr>
        <w:tabs>
          <w:tab w:val="center" w:pos="4680"/>
          <w:tab w:val="left" w:pos="6511"/>
        </w:tabs>
        <w:jc w:val="both"/>
        <w:rPr>
          <w:rFonts w:ascii="Cambria" w:hAnsi="Cambria"/>
          <w:sz w:val="20"/>
          <w:szCs w:val="20"/>
          <w:lang w:val="es-ES"/>
        </w:rPr>
      </w:pPr>
    </w:p>
    <w:p w:rsidR="00F440CF" w:rsidRPr="00D32942" w:rsidRDefault="0073310A" w:rsidP="0073310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b/>
          <w:sz w:val="20"/>
          <w:szCs w:val="20"/>
          <w:bdr w:val="none" w:sz="0" w:space="0" w:color="auto"/>
          <w:lang w:val="es-ES_tradnl"/>
        </w:rPr>
      </w:pPr>
      <w:r w:rsidRPr="00D32942">
        <w:rPr>
          <w:rFonts w:ascii="Cambria" w:hAnsi="Cambria"/>
          <w:b/>
          <w:sz w:val="20"/>
          <w:szCs w:val="20"/>
          <w:bdr w:val="none" w:sz="0" w:space="0" w:color="auto"/>
          <w:lang w:val="es-ES_tradnl"/>
        </w:rPr>
        <w:t>IV</w:t>
      </w:r>
      <w:r w:rsidR="00F3017C">
        <w:rPr>
          <w:rFonts w:ascii="Cambria" w:hAnsi="Cambria"/>
          <w:b/>
          <w:sz w:val="20"/>
          <w:szCs w:val="20"/>
          <w:bdr w:val="none" w:sz="0" w:space="0" w:color="auto"/>
          <w:lang w:val="es-ES_tradnl"/>
        </w:rPr>
        <w:t>.</w:t>
      </w:r>
      <w:r w:rsidR="00F3017C">
        <w:rPr>
          <w:rFonts w:ascii="Cambria" w:hAnsi="Cambria"/>
          <w:b/>
          <w:sz w:val="20"/>
          <w:szCs w:val="20"/>
          <w:bdr w:val="none" w:sz="0" w:space="0" w:color="auto"/>
          <w:lang w:val="es-ES_tradnl"/>
        </w:rPr>
        <w:tab/>
      </w:r>
      <w:r w:rsidR="00F440CF" w:rsidRPr="00D32942">
        <w:rPr>
          <w:rFonts w:ascii="Cambria" w:hAnsi="Cambria"/>
          <w:b/>
          <w:sz w:val="20"/>
          <w:szCs w:val="20"/>
          <w:bdr w:val="none" w:sz="0" w:space="0" w:color="auto"/>
          <w:lang w:val="es-ES_tradnl"/>
        </w:rPr>
        <w:t xml:space="preserve">ANÁLISIS </w:t>
      </w:r>
      <w:r w:rsidR="00EB27D6" w:rsidRPr="00D32942">
        <w:rPr>
          <w:rFonts w:ascii="Cambria" w:hAnsi="Cambria"/>
          <w:b/>
          <w:sz w:val="20"/>
          <w:szCs w:val="20"/>
          <w:bdr w:val="none" w:sz="0" w:space="0" w:color="auto"/>
          <w:lang w:val="es-ES_tradnl"/>
        </w:rPr>
        <w:t>LEGAL</w:t>
      </w:r>
    </w:p>
    <w:p w:rsidR="00F440CF" w:rsidRPr="00D32942" w:rsidRDefault="00F440CF" w:rsidP="00F440CF">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hAnsi="Cambria" w:cs="Arial"/>
          <w:b/>
          <w:sz w:val="20"/>
          <w:szCs w:val="20"/>
          <w:bdr w:val="none" w:sz="0" w:space="0" w:color="auto"/>
          <w:lang w:val="es-ES_tradnl"/>
        </w:rPr>
      </w:pPr>
    </w:p>
    <w:p w:rsidR="00F440CF" w:rsidRPr="00D32942" w:rsidRDefault="00F440CF" w:rsidP="00E7402E">
      <w:pPr>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hAnsi="Cambria" w:cs="Arial"/>
          <w:b/>
          <w:sz w:val="20"/>
          <w:szCs w:val="20"/>
          <w:bdr w:val="none" w:sz="0" w:space="0" w:color="auto"/>
          <w:lang w:val="es-ES_tradnl"/>
        </w:rPr>
      </w:pPr>
      <w:r w:rsidRPr="00D32942">
        <w:rPr>
          <w:rFonts w:ascii="Cambria" w:hAnsi="Cambria" w:cs="Arial"/>
          <w:b/>
          <w:sz w:val="20"/>
          <w:szCs w:val="20"/>
          <w:bdr w:val="none" w:sz="0" w:space="0" w:color="auto"/>
          <w:lang w:val="es-ES_tradnl"/>
        </w:rPr>
        <w:t>Competencia</w:t>
      </w:r>
    </w:p>
    <w:p w:rsidR="00F440CF" w:rsidRPr="00D32942" w:rsidRDefault="00F440CF" w:rsidP="00F440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lang w:val="es-ES_tradnl"/>
        </w:rPr>
      </w:pPr>
    </w:p>
    <w:p w:rsidR="000615D0" w:rsidRPr="00D32942" w:rsidRDefault="000615D0" w:rsidP="000615D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sz w:val="20"/>
          <w:szCs w:val="20"/>
          <w:bdr w:val="none" w:sz="0" w:space="0" w:color="auto"/>
          <w:lang w:val="es-ES_tradnl"/>
        </w:rPr>
      </w:pPr>
      <w:r w:rsidRPr="00D32942">
        <w:rPr>
          <w:sz w:val="20"/>
          <w:szCs w:val="20"/>
          <w:lang w:val="es-ES"/>
        </w:rPr>
        <w:t>Los</w:t>
      </w:r>
      <w:r w:rsidR="00F440CF" w:rsidRPr="00D32942">
        <w:rPr>
          <w:sz w:val="20"/>
          <w:szCs w:val="20"/>
          <w:lang w:val="es-ES"/>
        </w:rPr>
        <w:t xml:space="preserve"> peticionario</w:t>
      </w:r>
      <w:r w:rsidRPr="00D32942">
        <w:rPr>
          <w:sz w:val="20"/>
          <w:szCs w:val="20"/>
          <w:lang w:val="es-ES"/>
        </w:rPr>
        <w:t>s</w:t>
      </w:r>
      <w:r w:rsidR="00F440CF" w:rsidRPr="00D32942">
        <w:rPr>
          <w:sz w:val="20"/>
          <w:szCs w:val="20"/>
          <w:lang w:val="es-ES"/>
        </w:rPr>
        <w:t xml:space="preserve"> se encuentra</w:t>
      </w:r>
      <w:r w:rsidRPr="00D32942">
        <w:rPr>
          <w:sz w:val="20"/>
          <w:szCs w:val="20"/>
          <w:lang w:val="es-ES"/>
        </w:rPr>
        <w:t>n</w:t>
      </w:r>
      <w:r w:rsidR="00F440CF" w:rsidRPr="00D32942">
        <w:rPr>
          <w:sz w:val="20"/>
          <w:szCs w:val="20"/>
          <w:lang w:val="es-ES"/>
        </w:rPr>
        <w:t xml:space="preserve"> facultado</w:t>
      </w:r>
      <w:r w:rsidRPr="00D32942">
        <w:rPr>
          <w:sz w:val="20"/>
          <w:szCs w:val="20"/>
          <w:lang w:val="es-ES"/>
        </w:rPr>
        <w:t>s</w:t>
      </w:r>
      <w:r w:rsidR="00F440CF" w:rsidRPr="00D32942">
        <w:rPr>
          <w:sz w:val="20"/>
          <w:szCs w:val="20"/>
          <w:lang w:val="es-ES"/>
        </w:rPr>
        <w:t>, en principio, por el artículo 44 de la Convención Americana para presentar peticiones ante la Comisión. La petición identifica como presunta</w:t>
      </w:r>
      <w:r w:rsidRPr="00D32942">
        <w:rPr>
          <w:sz w:val="20"/>
          <w:szCs w:val="20"/>
          <w:lang w:val="es-ES"/>
        </w:rPr>
        <w:t>s</w:t>
      </w:r>
      <w:r w:rsidR="00F440CF" w:rsidRPr="00D32942">
        <w:rPr>
          <w:sz w:val="20"/>
          <w:szCs w:val="20"/>
          <w:lang w:val="es-ES"/>
        </w:rPr>
        <w:t xml:space="preserve"> víctima</w:t>
      </w:r>
      <w:r w:rsidRPr="00D32942">
        <w:rPr>
          <w:sz w:val="20"/>
          <w:szCs w:val="20"/>
          <w:lang w:val="es-ES"/>
        </w:rPr>
        <w:t>s</w:t>
      </w:r>
      <w:r w:rsidR="00F440CF" w:rsidRPr="00D32942">
        <w:rPr>
          <w:sz w:val="20"/>
          <w:szCs w:val="20"/>
          <w:lang w:val="es-ES"/>
        </w:rPr>
        <w:t xml:space="preserve"> a persona</w:t>
      </w:r>
      <w:r w:rsidRPr="00D32942">
        <w:rPr>
          <w:sz w:val="20"/>
          <w:szCs w:val="20"/>
          <w:lang w:val="es-ES"/>
        </w:rPr>
        <w:t>s</w:t>
      </w:r>
      <w:r w:rsidR="00F440CF" w:rsidRPr="00D32942">
        <w:rPr>
          <w:sz w:val="20"/>
          <w:szCs w:val="20"/>
          <w:lang w:val="es-ES"/>
        </w:rPr>
        <w:t xml:space="preserve"> individual</w:t>
      </w:r>
      <w:r w:rsidRPr="00D32942">
        <w:rPr>
          <w:sz w:val="20"/>
          <w:szCs w:val="20"/>
          <w:lang w:val="es-ES"/>
        </w:rPr>
        <w:t>es</w:t>
      </w:r>
      <w:r w:rsidR="00F440CF" w:rsidRPr="00D32942">
        <w:rPr>
          <w:sz w:val="20"/>
          <w:szCs w:val="20"/>
          <w:lang w:val="es-ES"/>
        </w:rPr>
        <w:t xml:space="preserve"> respecto de quien el Estado colombiano se comprometió a respetar y garantizar los derechos consagrados en la Convención Americana. En lo concerniente al Estado, la Comisión observa que Colombia es un Estado parte en la Convención Americana desde el 31 de julio de 1973, fecha en que depositó su instrumento de ratificación</w:t>
      </w:r>
      <w:r w:rsidR="00F440CF" w:rsidRPr="00D32942">
        <w:rPr>
          <w:sz w:val="20"/>
          <w:szCs w:val="20"/>
          <w:bdr w:val="none" w:sz="0" w:space="0" w:color="auto"/>
          <w:lang w:val="es-ES_tradnl"/>
        </w:rPr>
        <w:t xml:space="preserve">. Por lo tanto, la Comisión tiene competencia </w:t>
      </w:r>
      <w:r w:rsidR="00F440CF" w:rsidRPr="00D32942">
        <w:rPr>
          <w:i/>
          <w:sz w:val="20"/>
          <w:szCs w:val="20"/>
          <w:bdr w:val="none" w:sz="0" w:space="0" w:color="auto"/>
          <w:lang w:val="es-ES_tradnl"/>
        </w:rPr>
        <w:t>ratione personae</w:t>
      </w:r>
      <w:r w:rsidR="00F440CF" w:rsidRPr="00D32942">
        <w:rPr>
          <w:sz w:val="20"/>
          <w:szCs w:val="20"/>
          <w:bdr w:val="none" w:sz="0" w:space="0" w:color="auto"/>
          <w:lang w:val="es-ES_tradnl"/>
        </w:rPr>
        <w:t xml:space="preserve"> para examinar la petición. Asimismo, la Comisión tiene competencia </w:t>
      </w:r>
      <w:r w:rsidR="00F440CF" w:rsidRPr="00D32942">
        <w:rPr>
          <w:i/>
          <w:sz w:val="20"/>
          <w:szCs w:val="20"/>
          <w:bdr w:val="none" w:sz="0" w:space="0" w:color="auto"/>
          <w:lang w:val="es-ES_tradnl"/>
        </w:rPr>
        <w:t>ratione loci</w:t>
      </w:r>
      <w:r w:rsidR="00F440CF" w:rsidRPr="00D32942">
        <w:rPr>
          <w:sz w:val="20"/>
          <w:szCs w:val="20"/>
          <w:bdr w:val="none" w:sz="0" w:space="0" w:color="auto"/>
          <w:lang w:val="es-ES_tradnl"/>
        </w:rPr>
        <w:t xml:space="preserve"> para conocer la petición, por cuanto en ella se alegan violaciones de derechos protegidos en la Convención Americana que habrían tenido lugar dentro del territorio de Colombia, Estado parte en dicho tratado. </w:t>
      </w:r>
    </w:p>
    <w:p w:rsidR="000615D0" w:rsidRPr="00D32942" w:rsidRDefault="000615D0" w:rsidP="000615D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bdr w:val="none" w:sz="0" w:space="0" w:color="auto"/>
          <w:lang w:val="es-ES_tradnl"/>
        </w:rPr>
      </w:pPr>
    </w:p>
    <w:p w:rsidR="00880AFA" w:rsidRPr="00D32942" w:rsidRDefault="00F440CF" w:rsidP="00A36E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sz w:val="20"/>
          <w:szCs w:val="20"/>
          <w:bdr w:val="none" w:sz="0" w:space="0" w:color="auto"/>
          <w:lang w:val="es-ES_tradnl"/>
        </w:rPr>
      </w:pPr>
      <w:r w:rsidRPr="00D32942">
        <w:rPr>
          <w:sz w:val="20"/>
          <w:szCs w:val="20"/>
          <w:bdr w:val="none" w:sz="0" w:space="0" w:color="auto"/>
          <w:lang w:val="es-ES_tradnl"/>
        </w:rPr>
        <w:t xml:space="preserve">La Comisión tiene competencia </w:t>
      </w:r>
      <w:r w:rsidRPr="00D32942">
        <w:rPr>
          <w:i/>
          <w:sz w:val="20"/>
          <w:szCs w:val="20"/>
          <w:bdr w:val="none" w:sz="0" w:space="0" w:color="auto"/>
          <w:lang w:val="es-ES_tradnl"/>
        </w:rPr>
        <w:t>ratione temporis</w:t>
      </w:r>
      <w:r w:rsidRPr="00D32942">
        <w:rPr>
          <w:sz w:val="20"/>
          <w:szCs w:val="20"/>
          <w:bdr w:val="none" w:sz="0" w:space="0" w:color="auto"/>
          <w:lang w:val="es-ES_tradnl"/>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D32942">
        <w:rPr>
          <w:i/>
          <w:sz w:val="20"/>
          <w:szCs w:val="20"/>
          <w:bdr w:val="none" w:sz="0" w:space="0" w:color="auto"/>
          <w:lang w:val="es-ES_tradnl"/>
        </w:rPr>
        <w:t>ratione materiae</w:t>
      </w:r>
      <w:r w:rsidRPr="00D32942">
        <w:rPr>
          <w:sz w:val="20"/>
          <w:szCs w:val="20"/>
          <w:bdr w:val="none" w:sz="0" w:space="0" w:color="auto"/>
          <w:lang w:val="es-ES_tradnl"/>
        </w:rPr>
        <w:t>, porque en la petición se denuncian posibles violaciones a derechos humanos protegidos por la Convención Americana.</w:t>
      </w:r>
    </w:p>
    <w:p w:rsidR="0016402A" w:rsidRPr="00D32942" w:rsidRDefault="0016402A" w:rsidP="00EF7440">
      <w:pPr>
        <w:tabs>
          <w:tab w:val="center" w:pos="4680"/>
          <w:tab w:val="left" w:pos="6511"/>
        </w:tabs>
        <w:jc w:val="both"/>
        <w:rPr>
          <w:rFonts w:ascii="Cambria" w:hAnsi="Cambria"/>
          <w:sz w:val="20"/>
          <w:szCs w:val="20"/>
          <w:lang w:val="es-ES"/>
        </w:rPr>
      </w:pPr>
    </w:p>
    <w:p w:rsidR="009076AC" w:rsidRPr="00D32942" w:rsidRDefault="009076AC" w:rsidP="00EB27D6">
      <w:pPr>
        <w:pStyle w:val="ListParagraph"/>
        <w:numPr>
          <w:ilvl w:val="0"/>
          <w:numId w:val="59"/>
        </w:numPr>
        <w:jc w:val="both"/>
        <w:rPr>
          <w:b/>
          <w:sz w:val="20"/>
          <w:szCs w:val="20"/>
          <w:lang w:val="es-ES"/>
        </w:rPr>
      </w:pPr>
      <w:r w:rsidRPr="00D32942">
        <w:rPr>
          <w:b/>
          <w:bCs/>
          <w:sz w:val="20"/>
          <w:szCs w:val="20"/>
          <w:lang w:val="es-ES"/>
        </w:rPr>
        <w:t>Requisitos de admisibilidad</w:t>
      </w:r>
    </w:p>
    <w:p w:rsidR="009076AC" w:rsidRPr="00D32942" w:rsidRDefault="009076AC" w:rsidP="009076AC">
      <w:pPr>
        <w:ind w:left="1800"/>
        <w:jc w:val="both"/>
        <w:rPr>
          <w:rFonts w:ascii="Cambria" w:eastAsia="Cambria" w:hAnsi="Cambria" w:cs="Cambria"/>
          <w:b/>
          <w:sz w:val="20"/>
          <w:szCs w:val="20"/>
          <w:u w:color="000000"/>
          <w:lang w:val="es-ES" w:eastAsia="es-ES"/>
        </w:rPr>
      </w:pPr>
    </w:p>
    <w:p w:rsidR="009076AC" w:rsidRPr="00D32942" w:rsidRDefault="009076AC" w:rsidP="0023432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Cambria" w:eastAsia="MS Mincho" w:hAnsi="Cambria"/>
          <w:b/>
          <w:bCs/>
          <w:sz w:val="20"/>
          <w:szCs w:val="20"/>
          <w:bdr w:val="none" w:sz="0" w:space="0" w:color="auto"/>
          <w:lang w:val="es-ES"/>
        </w:rPr>
      </w:pPr>
      <w:r w:rsidRPr="00D32942">
        <w:rPr>
          <w:rFonts w:ascii="Cambria" w:eastAsia="MS Mincho" w:hAnsi="Cambria"/>
          <w:b/>
          <w:bCs/>
          <w:sz w:val="20"/>
          <w:szCs w:val="20"/>
          <w:bdr w:val="none" w:sz="0" w:space="0" w:color="auto"/>
          <w:lang w:val="es-ES"/>
        </w:rPr>
        <w:t>Agotamiento de los recursos internos</w:t>
      </w:r>
    </w:p>
    <w:p w:rsidR="009076AC" w:rsidRPr="00D32942" w:rsidRDefault="009076AC" w:rsidP="009076AC">
      <w:pPr>
        <w:rPr>
          <w:rFonts w:ascii="Cambria" w:eastAsia="Cambria" w:hAnsi="Cambria" w:cs="Cambria"/>
          <w:color w:val="000000"/>
          <w:sz w:val="20"/>
          <w:szCs w:val="20"/>
          <w:u w:color="000000"/>
          <w:lang w:val="es-ES" w:eastAsia="es-ES"/>
        </w:rPr>
      </w:pPr>
    </w:p>
    <w:p w:rsidR="00FF17D5" w:rsidRPr="00D32942" w:rsidRDefault="009076AC" w:rsidP="00FF17D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sz w:val="20"/>
          <w:szCs w:val="20"/>
          <w:lang w:val="es-ES"/>
        </w:rPr>
      </w:pPr>
      <w:r w:rsidRPr="00D32942">
        <w:rPr>
          <w:sz w:val="20"/>
          <w:szCs w:val="20"/>
          <w:lang w:val="es-ES"/>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w:t>
      </w:r>
      <w:r w:rsidRPr="00D32942">
        <w:rPr>
          <w:sz w:val="20"/>
          <w:szCs w:val="20"/>
          <w:lang w:val="es-ES"/>
        </w:rPr>
        <w:lastRenderedPageBreak/>
        <w:t xml:space="preserve">nacionales conozcan sobre la supuesta violación de un derecho protegido y, de ser apropiado, la solucionen antes de que sea conocida por una instancia internacional. 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w:t>
      </w:r>
      <w:r w:rsidR="001701BA" w:rsidRPr="001701BA">
        <w:rPr>
          <w:sz w:val="20"/>
          <w:szCs w:val="20"/>
          <w:lang w:val="es-ES"/>
        </w:rPr>
        <w:t xml:space="preserve">mencionados recursos. </w:t>
      </w:r>
      <w:r w:rsidRPr="001701BA">
        <w:rPr>
          <w:sz w:val="20"/>
          <w:szCs w:val="20"/>
          <w:lang w:val="es-ES"/>
        </w:rPr>
        <w:t>Estos supuestos</w:t>
      </w:r>
      <w:r w:rsidRPr="00D32942">
        <w:rPr>
          <w:sz w:val="20"/>
          <w:szCs w:val="20"/>
          <w:lang w:val="es-ES"/>
        </w:rPr>
        <w:t xml:space="preserve"> no se refieren sólo a la existencia formal de tales recursos, sino también que estos sean adecuados y efectivos.</w:t>
      </w:r>
    </w:p>
    <w:p w:rsidR="00FF17D5" w:rsidRPr="00D32942" w:rsidRDefault="00FF17D5" w:rsidP="00FF17D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rsidR="00FF17D5" w:rsidRPr="00D32942" w:rsidRDefault="00FF17D5" w:rsidP="00FF17D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sz w:val="20"/>
          <w:szCs w:val="20"/>
          <w:lang w:val="es-ES"/>
        </w:rPr>
      </w:pPr>
      <w:r w:rsidRPr="00D32942">
        <w:rPr>
          <w:rFonts w:eastAsia="Times New Roman"/>
          <w:sz w:val="20"/>
          <w:szCs w:val="20"/>
          <w:bdr w:val="none" w:sz="0" w:space="0" w:color="auto"/>
          <w:lang w:val="es-ES"/>
        </w:rPr>
        <w:t xml:space="preserve">La Comisión observa que en vista de que el presente reclamo involucra la </w:t>
      </w:r>
      <w:r w:rsidR="00F278D5" w:rsidRPr="00D32942">
        <w:rPr>
          <w:rFonts w:eastAsia="Times New Roman"/>
          <w:sz w:val="20"/>
          <w:szCs w:val="20"/>
          <w:bdr w:val="none" w:sz="0" w:space="0" w:color="auto"/>
          <w:lang w:val="es-ES"/>
        </w:rPr>
        <w:t>alegada</w:t>
      </w:r>
      <w:r w:rsidRPr="00D32942">
        <w:rPr>
          <w:rFonts w:eastAsia="Times New Roman"/>
          <w:sz w:val="20"/>
          <w:szCs w:val="20"/>
          <w:bdr w:val="none" w:sz="0" w:space="0" w:color="auto"/>
          <w:lang w:val="es-ES"/>
        </w:rPr>
        <w:t xml:space="preserve"> responsabilidad de agentes del Estado </w:t>
      </w:r>
      <w:r w:rsidR="00371F12" w:rsidRPr="00D32942">
        <w:rPr>
          <w:rFonts w:eastAsia="Times New Roman"/>
          <w:sz w:val="20"/>
          <w:szCs w:val="20"/>
          <w:bdr w:val="none" w:sz="0" w:space="0" w:color="auto"/>
          <w:lang w:val="es-ES"/>
        </w:rPr>
        <w:t>por</w:t>
      </w:r>
      <w:r w:rsidRPr="00D32942">
        <w:rPr>
          <w:rFonts w:eastAsia="Times New Roman"/>
          <w:sz w:val="20"/>
          <w:szCs w:val="20"/>
          <w:bdr w:val="none" w:sz="0" w:space="0" w:color="auto"/>
          <w:lang w:val="es-ES"/>
        </w:rPr>
        <w:t xml:space="preserve"> la </w:t>
      </w:r>
      <w:r w:rsidR="00F278D5" w:rsidRPr="00D32942">
        <w:rPr>
          <w:rFonts w:eastAsia="Times New Roman"/>
          <w:sz w:val="20"/>
          <w:szCs w:val="20"/>
          <w:bdr w:val="none" w:sz="0" w:space="0" w:color="auto"/>
          <w:lang w:val="es-ES"/>
        </w:rPr>
        <w:t>presunta</w:t>
      </w:r>
      <w:r w:rsidRPr="00D32942">
        <w:rPr>
          <w:rFonts w:eastAsia="Times New Roman"/>
          <w:sz w:val="20"/>
          <w:szCs w:val="20"/>
          <w:bdr w:val="none" w:sz="0" w:space="0" w:color="auto"/>
          <w:lang w:val="es-ES"/>
        </w:rPr>
        <w:t xml:space="preserve"> ejecución de una civil, gra</w:t>
      </w:r>
      <w:r w:rsidR="00AC689C" w:rsidRPr="00D32942">
        <w:rPr>
          <w:rFonts w:eastAsia="Times New Roman"/>
          <w:sz w:val="20"/>
          <w:szCs w:val="20"/>
          <w:bdr w:val="none" w:sz="0" w:space="0" w:color="auto"/>
          <w:lang w:val="es-ES"/>
        </w:rPr>
        <w:t>ves lesiones y retención de otra</w:t>
      </w:r>
      <w:r w:rsidRPr="00D32942">
        <w:rPr>
          <w:rFonts w:eastAsia="Times New Roman"/>
          <w:sz w:val="20"/>
          <w:szCs w:val="20"/>
          <w:bdr w:val="none" w:sz="0" w:space="0" w:color="auto"/>
          <w:lang w:val="es-ES"/>
        </w:rPr>
        <w:t>s civiles, el recurso idóneo para esclarecer los hechos es una investigación penal en la justicia ordinaria a fin de establecer la responsabilidad penal de los agentes del Estado involucrados</w:t>
      </w:r>
      <w:r w:rsidRPr="00D32942">
        <w:rPr>
          <w:rFonts w:eastAsia="Times New Roman"/>
          <w:sz w:val="20"/>
          <w:szCs w:val="20"/>
          <w:bdr w:val="none" w:sz="0" w:space="0" w:color="auto"/>
          <w:vertAlign w:val="superscript"/>
          <w:lang w:val="es-ES"/>
        </w:rPr>
        <w:footnoteReference w:id="3"/>
      </w:r>
      <w:r w:rsidRPr="00D32942">
        <w:rPr>
          <w:rFonts w:eastAsia="Times New Roman"/>
          <w:sz w:val="20"/>
          <w:szCs w:val="20"/>
          <w:bdr w:val="none" w:sz="0" w:space="0" w:color="auto"/>
          <w:lang w:val="es-ES"/>
        </w:rPr>
        <w:t xml:space="preserve">. </w:t>
      </w:r>
      <w:r w:rsidRPr="00D32942">
        <w:rPr>
          <w:rFonts w:eastAsia="Times New Roman"/>
          <w:sz w:val="20"/>
          <w:szCs w:val="20"/>
          <w:bdr w:val="none" w:sz="0" w:space="0" w:color="auto"/>
          <w:lang w:val="es-AR"/>
        </w:rPr>
        <w:t>La Comisión observa además que los presuntos hechos relacionados con la muerte de Martha Cecilia Ayure se traducen en la legislación interna en conductas delictivas perseguibles de oficio cuya investigación y juzgamiento deben ser impulsadas por el propio Estado.</w:t>
      </w:r>
    </w:p>
    <w:p w:rsidR="00FF17D5" w:rsidRPr="00D32942" w:rsidRDefault="00FF17D5" w:rsidP="00FF17D5">
      <w:pPr>
        <w:pStyle w:val="ListParagraph"/>
        <w:rPr>
          <w:rFonts w:eastAsia="Times New Roman"/>
          <w:sz w:val="20"/>
          <w:szCs w:val="20"/>
          <w:bdr w:val="none" w:sz="0" w:space="0" w:color="auto"/>
          <w:lang w:val="es-ES"/>
        </w:rPr>
      </w:pPr>
    </w:p>
    <w:p w:rsidR="00FF17D5" w:rsidRPr="00D32942" w:rsidRDefault="00FF17D5" w:rsidP="00FF17D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sz w:val="20"/>
          <w:szCs w:val="20"/>
          <w:lang w:val="es-ES"/>
        </w:rPr>
      </w:pPr>
      <w:r w:rsidRPr="00D32942">
        <w:rPr>
          <w:rFonts w:eastAsia="Times New Roman"/>
          <w:sz w:val="20"/>
          <w:szCs w:val="20"/>
          <w:bdr w:val="none" w:sz="0" w:space="0" w:color="auto"/>
          <w:lang w:val="es-ES"/>
        </w:rPr>
        <w:t>En la presente petición e</w:t>
      </w:r>
      <w:r w:rsidRPr="00D32942">
        <w:rPr>
          <w:rFonts w:eastAsia="Times New Roman"/>
          <w:sz w:val="20"/>
          <w:szCs w:val="20"/>
          <w:bdr w:val="none" w:sz="0" w:space="0" w:color="auto"/>
          <w:lang w:val="es-ES_tradnl"/>
        </w:rPr>
        <w:t xml:space="preserve">l Estado no alega falta de agotamiento de los recursos internos y sostiene que por los hechos alegados se surtieron de manera diligente procesos a nivel interno ante la jurisdicción penal militar, </w:t>
      </w:r>
      <w:r w:rsidR="00371F12" w:rsidRPr="00D32942">
        <w:rPr>
          <w:rFonts w:eastAsia="Times New Roman"/>
          <w:sz w:val="20"/>
          <w:szCs w:val="20"/>
          <w:bdr w:val="none" w:sz="0" w:space="0" w:color="auto"/>
          <w:lang w:val="es-ES_tradnl"/>
        </w:rPr>
        <w:t>contenciosa</w:t>
      </w:r>
      <w:r w:rsidRPr="00D32942">
        <w:rPr>
          <w:rFonts w:eastAsia="Times New Roman"/>
          <w:sz w:val="20"/>
          <w:szCs w:val="20"/>
          <w:bdr w:val="none" w:sz="0" w:space="0" w:color="auto"/>
          <w:lang w:val="es-ES_tradnl"/>
        </w:rPr>
        <w:t xml:space="preserve"> administrativa y disciplinaria</w:t>
      </w:r>
      <w:r w:rsidR="00C45236">
        <w:rPr>
          <w:rFonts w:eastAsia="Times New Roman" w:cs="Arial"/>
          <w:sz w:val="20"/>
          <w:szCs w:val="20"/>
          <w:bdr w:val="none" w:sz="0" w:space="0" w:color="auto"/>
          <w:lang w:val="es-PE"/>
        </w:rPr>
        <w:t xml:space="preserve">. </w:t>
      </w:r>
      <w:r w:rsidRPr="00D32942">
        <w:rPr>
          <w:rFonts w:eastAsia="Times New Roman" w:cs="Arial"/>
          <w:sz w:val="20"/>
          <w:szCs w:val="20"/>
          <w:bdr w:val="none" w:sz="0" w:space="0" w:color="auto"/>
          <w:lang w:val="es-PE"/>
        </w:rPr>
        <w:t>Por su parte, los peticionarios alegan que aplica</w:t>
      </w:r>
      <w:r w:rsidR="00F278D5" w:rsidRPr="00D32942">
        <w:rPr>
          <w:rFonts w:eastAsia="Times New Roman" w:cs="Arial"/>
          <w:sz w:val="20"/>
          <w:szCs w:val="20"/>
          <w:bdr w:val="none" w:sz="0" w:space="0" w:color="auto"/>
          <w:lang w:val="es-PE"/>
        </w:rPr>
        <w:t>n</w:t>
      </w:r>
      <w:r w:rsidRPr="00D32942">
        <w:rPr>
          <w:rFonts w:eastAsia="Times New Roman" w:cs="Arial"/>
          <w:sz w:val="20"/>
          <w:szCs w:val="20"/>
          <w:bdr w:val="none" w:sz="0" w:space="0" w:color="auto"/>
          <w:lang w:val="es-PE"/>
        </w:rPr>
        <w:t xml:space="preserve"> la</w:t>
      </w:r>
      <w:r w:rsidR="00F278D5" w:rsidRPr="00D32942">
        <w:rPr>
          <w:rFonts w:eastAsia="Times New Roman" w:cs="Arial"/>
          <w:sz w:val="20"/>
          <w:szCs w:val="20"/>
          <w:bdr w:val="none" w:sz="0" w:space="0" w:color="auto"/>
          <w:lang w:val="es-PE"/>
        </w:rPr>
        <w:t>s</w:t>
      </w:r>
      <w:r w:rsidRPr="00D32942">
        <w:rPr>
          <w:rFonts w:eastAsia="Times New Roman" w:cs="Arial"/>
          <w:sz w:val="20"/>
          <w:szCs w:val="20"/>
          <w:bdr w:val="none" w:sz="0" w:space="0" w:color="auto"/>
          <w:lang w:val="es-PE"/>
        </w:rPr>
        <w:t xml:space="preserve"> </w:t>
      </w:r>
      <w:r w:rsidR="00F278D5" w:rsidRPr="00D32942">
        <w:rPr>
          <w:rFonts w:eastAsia="Times New Roman" w:cs="Arial"/>
          <w:sz w:val="20"/>
          <w:szCs w:val="20"/>
          <w:bdr w:val="none" w:sz="0" w:space="0" w:color="auto"/>
          <w:lang w:val="es-PE"/>
        </w:rPr>
        <w:t>excepciones</w:t>
      </w:r>
      <w:r w:rsidRPr="00D32942">
        <w:rPr>
          <w:rFonts w:eastAsia="Times New Roman" w:cs="Arial"/>
          <w:sz w:val="20"/>
          <w:szCs w:val="20"/>
          <w:bdr w:val="none" w:sz="0" w:space="0" w:color="auto"/>
          <w:lang w:val="es-PE"/>
        </w:rPr>
        <w:t xml:space="preserve"> contemplada</w:t>
      </w:r>
      <w:r w:rsidR="00F278D5" w:rsidRPr="00D32942">
        <w:rPr>
          <w:rFonts w:eastAsia="Times New Roman" w:cs="Arial"/>
          <w:sz w:val="20"/>
          <w:szCs w:val="20"/>
          <w:bdr w:val="none" w:sz="0" w:space="0" w:color="auto"/>
          <w:lang w:val="es-PE"/>
        </w:rPr>
        <w:t>s</w:t>
      </w:r>
      <w:r w:rsidRPr="00D32942">
        <w:rPr>
          <w:rFonts w:eastAsia="Times New Roman" w:cs="Arial"/>
          <w:sz w:val="20"/>
          <w:szCs w:val="20"/>
          <w:bdr w:val="none" w:sz="0" w:space="0" w:color="auto"/>
          <w:lang w:val="es-PE"/>
        </w:rPr>
        <w:t xml:space="preserve"> en el artículo 46.2. b) y c) de la Convención Americana, debido a que la investigación de los hechos se realizó ante la jurisdicción penal militar y que no constituye un recurso eficaz</w:t>
      </w:r>
      <w:r w:rsidR="00747676" w:rsidRPr="00D32942">
        <w:rPr>
          <w:rFonts w:eastAsia="Times New Roman" w:cs="Arial"/>
          <w:sz w:val="20"/>
          <w:szCs w:val="20"/>
          <w:bdr w:val="none" w:sz="0" w:space="0" w:color="auto"/>
          <w:lang w:val="es-PE"/>
        </w:rPr>
        <w:t xml:space="preserve"> y hubo un retardo injustificado</w:t>
      </w:r>
      <w:r w:rsidRPr="00D32942">
        <w:rPr>
          <w:rFonts w:eastAsia="Times New Roman" w:cs="Arial"/>
          <w:sz w:val="20"/>
          <w:szCs w:val="20"/>
          <w:bdr w:val="none" w:sz="0" w:space="0" w:color="auto"/>
          <w:lang w:val="es-PE"/>
        </w:rPr>
        <w:t>.</w:t>
      </w:r>
    </w:p>
    <w:p w:rsidR="00FF17D5" w:rsidRPr="00D32942" w:rsidRDefault="00FF17D5" w:rsidP="00FF17D5">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p>
    <w:p w:rsidR="00747676" w:rsidRPr="00D32942" w:rsidRDefault="00006693" w:rsidP="007476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D32942">
        <w:rPr>
          <w:rFonts w:ascii="Cambria" w:hAnsi="Cambria"/>
          <w:sz w:val="20"/>
          <w:szCs w:val="20"/>
          <w:lang w:val="es-ES"/>
        </w:rPr>
        <w:t>Según lo informado por ambas partes ante la CIDH, l</w:t>
      </w:r>
      <w:r w:rsidR="005D0F02" w:rsidRPr="00D32942">
        <w:rPr>
          <w:rFonts w:ascii="Cambria" w:hAnsi="Cambria"/>
          <w:sz w:val="20"/>
          <w:szCs w:val="20"/>
          <w:lang w:val="es-ES"/>
        </w:rPr>
        <w:t>a</w:t>
      </w:r>
      <w:r w:rsidR="00747676" w:rsidRPr="00D32942">
        <w:rPr>
          <w:rFonts w:ascii="Cambria" w:hAnsi="Cambria"/>
          <w:sz w:val="20"/>
          <w:szCs w:val="20"/>
          <w:lang w:val="es-ES"/>
        </w:rPr>
        <w:t xml:space="preserve"> investigación </w:t>
      </w:r>
      <w:r w:rsidRPr="00D32942">
        <w:rPr>
          <w:rFonts w:ascii="Cambria" w:hAnsi="Cambria"/>
          <w:sz w:val="20"/>
          <w:szCs w:val="20"/>
          <w:lang w:val="es-ES"/>
        </w:rPr>
        <w:t xml:space="preserve">en torno a los hechos del presente caso </w:t>
      </w:r>
      <w:r w:rsidR="00747676" w:rsidRPr="00D32942">
        <w:rPr>
          <w:rFonts w:ascii="Cambria" w:hAnsi="Cambria"/>
          <w:sz w:val="20"/>
          <w:szCs w:val="20"/>
          <w:lang w:val="es-ES"/>
        </w:rPr>
        <w:t>estuvo radicada en la jurisdicción militar en dos periodos. El primero desde el 13 de mayo de 1992 hasta el 11 de junio de ese año, cuando el Juzgado 119 Penal Militar se a</w:t>
      </w:r>
      <w:r w:rsidR="00946275" w:rsidRPr="00D32942">
        <w:rPr>
          <w:rFonts w:ascii="Cambria" w:hAnsi="Cambria"/>
          <w:sz w:val="20"/>
          <w:szCs w:val="20"/>
          <w:lang w:val="es-ES"/>
        </w:rPr>
        <w:t>bstuvo de iniciar investigación; y</w:t>
      </w:r>
      <w:r w:rsidRPr="00D32942">
        <w:rPr>
          <w:rFonts w:ascii="Cambria" w:hAnsi="Cambria"/>
          <w:sz w:val="20"/>
          <w:szCs w:val="20"/>
          <w:lang w:val="es-ES"/>
        </w:rPr>
        <w:t xml:space="preserve"> </w:t>
      </w:r>
      <w:r w:rsidR="00747676" w:rsidRPr="00D32942">
        <w:rPr>
          <w:rFonts w:ascii="Cambria" w:hAnsi="Cambria"/>
          <w:sz w:val="20"/>
          <w:szCs w:val="20"/>
          <w:lang w:val="es-ES"/>
        </w:rPr>
        <w:t xml:space="preserve">el segundo periodo desde el 22 de mayo de 1996 hasta junio de 2003 cuando la fiscalía 28 Penal Militar </w:t>
      </w:r>
      <w:r w:rsidR="00946275" w:rsidRPr="00D32942">
        <w:rPr>
          <w:rFonts w:ascii="Cambria" w:hAnsi="Cambria"/>
          <w:sz w:val="20"/>
          <w:szCs w:val="20"/>
          <w:lang w:val="es-ES"/>
        </w:rPr>
        <w:t>declaró</w:t>
      </w:r>
      <w:r w:rsidR="00747676" w:rsidRPr="00D32942">
        <w:rPr>
          <w:rFonts w:ascii="Cambria" w:hAnsi="Cambria"/>
          <w:sz w:val="20"/>
          <w:szCs w:val="20"/>
          <w:lang w:val="es-ES"/>
        </w:rPr>
        <w:t xml:space="preserve"> prescrita la acción penal. Contra esa </w:t>
      </w:r>
      <w:r w:rsidR="005D0F02" w:rsidRPr="00D32942">
        <w:rPr>
          <w:rFonts w:ascii="Cambria" w:hAnsi="Cambria"/>
          <w:sz w:val="20"/>
          <w:szCs w:val="20"/>
          <w:lang w:val="es-ES"/>
        </w:rPr>
        <w:t>providencia se interpuso acción</w:t>
      </w:r>
      <w:r w:rsidR="00747676" w:rsidRPr="00D32942">
        <w:rPr>
          <w:rFonts w:ascii="Cambria" w:hAnsi="Cambria"/>
          <w:sz w:val="20"/>
          <w:szCs w:val="20"/>
          <w:lang w:val="es-ES"/>
        </w:rPr>
        <w:t xml:space="preserve"> constitucional de tutela en noviembre de 2007 y en mayo 2009 la Sala de Casación penal de la Corte Suprema de Justicia </w:t>
      </w:r>
      <w:r w:rsidR="005D0F02" w:rsidRPr="00D32942">
        <w:rPr>
          <w:rFonts w:ascii="Cambria" w:hAnsi="Cambria"/>
          <w:sz w:val="20"/>
          <w:szCs w:val="20"/>
          <w:lang w:val="es-ES"/>
        </w:rPr>
        <w:t>declaró sin lugar el</w:t>
      </w:r>
      <w:r w:rsidR="00F278D5" w:rsidRPr="00D32942">
        <w:rPr>
          <w:rFonts w:ascii="Cambria" w:hAnsi="Cambria"/>
          <w:sz w:val="20"/>
          <w:szCs w:val="20"/>
          <w:lang w:val="es-ES"/>
        </w:rPr>
        <w:t xml:space="preserve"> recurso</w:t>
      </w:r>
      <w:r w:rsidR="00747676" w:rsidRPr="00D32942">
        <w:rPr>
          <w:rFonts w:ascii="Cambria" w:hAnsi="Cambria"/>
          <w:sz w:val="20"/>
          <w:szCs w:val="20"/>
          <w:lang w:val="es-ES"/>
        </w:rPr>
        <w:t>.</w:t>
      </w:r>
    </w:p>
    <w:p w:rsidR="00747676" w:rsidRPr="00D32942" w:rsidRDefault="00747676" w:rsidP="00747676">
      <w:pPr>
        <w:pStyle w:val="ListParagraph"/>
        <w:rPr>
          <w:rFonts w:eastAsia="Times New Roman"/>
          <w:sz w:val="20"/>
          <w:szCs w:val="20"/>
          <w:bdr w:val="none" w:sz="0" w:space="0" w:color="auto"/>
          <w:lang w:val="es-ES"/>
        </w:rPr>
      </w:pPr>
    </w:p>
    <w:p w:rsidR="00FF17D5" w:rsidRPr="00D32942" w:rsidRDefault="00747676" w:rsidP="00E445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rFonts w:ascii="Cambria" w:hAnsi="Cambria"/>
          <w:sz w:val="20"/>
          <w:szCs w:val="20"/>
          <w:lang w:val="es-ES"/>
        </w:rPr>
      </w:pPr>
      <w:r w:rsidRPr="00D32942">
        <w:rPr>
          <w:rFonts w:ascii="Cambria" w:eastAsia="Times New Roman" w:hAnsi="Cambria"/>
          <w:sz w:val="20"/>
          <w:szCs w:val="20"/>
          <w:bdr w:val="none" w:sz="0" w:space="0" w:color="auto"/>
          <w:lang w:val="es-AR"/>
        </w:rPr>
        <w:t>Al respecto, la Comisión se ha pronunciado en forma reiterada en el sentido de que las jurisdicciones especiales, como la militar, no constituyen un foro apropiado y por lo tanto no brindan un recurso adecuado para investigar, juzgar y sancionar posibles violaciones a los derechos humanos consagrados en la Convención Americana, tales como el derecho a la vida, presuntamente cometidas por</w:t>
      </w:r>
      <w:r w:rsidR="000C3D95" w:rsidRPr="00D32942">
        <w:rPr>
          <w:rFonts w:ascii="Cambria" w:eastAsia="Times New Roman" w:hAnsi="Cambria"/>
          <w:sz w:val="20"/>
          <w:szCs w:val="20"/>
          <w:bdr w:val="none" w:sz="0" w:space="0" w:color="auto"/>
          <w:lang w:val="es-AR"/>
        </w:rPr>
        <w:t xml:space="preserve"> </w:t>
      </w:r>
      <w:r w:rsidRPr="00D32942">
        <w:rPr>
          <w:rFonts w:ascii="Cambria" w:eastAsia="Times New Roman" w:hAnsi="Cambria"/>
          <w:sz w:val="20"/>
          <w:szCs w:val="20"/>
          <w:bdr w:val="none" w:sz="0" w:space="0" w:color="auto"/>
          <w:lang w:val="es-AR"/>
        </w:rPr>
        <w:t>miembros de la Fuerza Pública</w:t>
      </w:r>
      <w:r w:rsidRPr="00D32942">
        <w:rPr>
          <w:rFonts w:ascii="Cambria" w:eastAsia="Times New Roman" w:hAnsi="Cambria"/>
          <w:sz w:val="20"/>
          <w:szCs w:val="20"/>
          <w:bdr w:val="none" w:sz="0" w:space="0" w:color="auto"/>
          <w:vertAlign w:val="superscript"/>
          <w:lang w:val="es-AR"/>
        </w:rPr>
        <w:footnoteReference w:id="4"/>
      </w:r>
      <w:r w:rsidR="00630730" w:rsidRPr="00D32942">
        <w:rPr>
          <w:rFonts w:ascii="Cambria" w:eastAsia="Times New Roman" w:hAnsi="Cambria"/>
          <w:sz w:val="20"/>
          <w:szCs w:val="20"/>
          <w:bdr w:val="none" w:sz="0" w:space="0" w:color="auto"/>
          <w:lang w:val="es-AR"/>
        </w:rPr>
        <w:t>.</w:t>
      </w:r>
      <w:r w:rsidRPr="00D32942">
        <w:rPr>
          <w:rFonts w:ascii="Cambria" w:eastAsia="Times New Roman" w:hAnsi="Cambria"/>
          <w:sz w:val="20"/>
          <w:szCs w:val="20"/>
          <w:bdr w:val="none" w:sz="0" w:space="0" w:color="auto"/>
          <w:lang w:val="es-AR"/>
        </w:rPr>
        <w:t xml:space="preserve"> </w:t>
      </w:r>
      <w:r w:rsidRPr="00D32942">
        <w:rPr>
          <w:rFonts w:ascii="Cambria" w:eastAsia="Times New Roman" w:hAnsi="Cambria"/>
          <w:color w:val="000000"/>
          <w:sz w:val="20"/>
          <w:szCs w:val="20"/>
          <w:bdr w:val="none" w:sz="0" w:space="0" w:color="auto"/>
          <w:lang w:val="es-ES_tradnl"/>
        </w:rPr>
        <w:t>El mismo razonamiento ha sido aplicado sistemáticamente por otros órganos internacionales relevantes de derechos humanos</w:t>
      </w:r>
      <w:r w:rsidRPr="00D32942">
        <w:rPr>
          <w:rFonts w:ascii="Cambria" w:eastAsia="Times New Roman" w:hAnsi="Cambria"/>
          <w:color w:val="000000"/>
          <w:sz w:val="20"/>
          <w:szCs w:val="20"/>
          <w:bdr w:val="none" w:sz="0" w:space="0" w:color="auto"/>
          <w:vertAlign w:val="superscript"/>
          <w:lang w:val="es-ES_tradnl"/>
        </w:rPr>
        <w:footnoteReference w:id="5"/>
      </w:r>
      <w:r w:rsidRPr="00D32942">
        <w:rPr>
          <w:rFonts w:ascii="Cambria" w:eastAsia="Times New Roman" w:hAnsi="Cambria"/>
          <w:color w:val="000000"/>
          <w:sz w:val="20"/>
          <w:szCs w:val="20"/>
          <w:bdr w:val="none" w:sz="0" w:space="0" w:color="auto"/>
          <w:lang w:val="es-ES_tradnl"/>
        </w:rPr>
        <w:t>.</w:t>
      </w:r>
    </w:p>
    <w:p w:rsidR="00D02FC7" w:rsidRPr="00D32942" w:rsidRDefault="00D02FC7" w:rsidP="00D02F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1930E2" w:rsidRPr="00D32942" w:rsidRDefault="00747676" w:rsidP="001930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eastAsia="Times New Roman"/>
          <w:sz w:val="20"/>
          <w:szCs w:val="20"/>
          <w:bdr w:val="none" w:sz="0" w:space="0" w:color="auto"/>
          <w:lang w:val="es-ES_tradnl"/>
        </w:rPr>
      </w:pPr>
      <w:r w:rsidRPr="00D32942">
        <w:rPr>
          <w:rFonts w:eastAsia="Times New Roman"/>
          <w:sz w:val="20"/>
          <w:szCs w:val="20"/>
          <w:bdr w:val="none" w:sz="0" w:space="0" w:color="auto"/>
          <w:lang w:val="es-ES_tradnl"/>
        </w:rPr>
        <w:t xml:space="preserve">La Comisión nota que transcurridos más de veinte años desde su ocurrencia, los hechos </w:t>
      </w:r>
      <w:r w:rsidR="00E262E5" w:rsidRPr="00D32942">
        <w:rPr>
          <w:rFonts w:eastAsia="Times New Roman"/>
          <w:sz w:val="20"/>
          <w:szCs w:val="20"/>
          <w:bdr w:val="none" w:sz="0" w:space="0" w:color="auto"/>
          <w:lang w:val="es-ES_tradnl"/>
        </w:rPr>
        <w:t xml:space="preserve">materia de la presente petición y las correspondientes responsabilidades </w:t>
      </w:r>
      <w:r w:rsidRPr="00D32942">
        <w:rPr>
          <w:rFonts w:eastAsia="Times New Roman"/>
          <w:sz w:val="20"/>
          <w:szCs w:val="20"/>
          <w:bdr w:val="none" w:sz="0" w:space="0" w:color="auto"/>
          <w:lang w:val="es-ES_tradnl"/>
        </w:rPr>
        <w:t xml:space="preserve">aún no han sido </w:t>
      </w:r>
      <w:r w:rsidR="00E262E5" w:rsidRPr="00D32942">
        <w:rPr>
          <w:rFonts w:eastAsia="Times New Roman"/>
          <w:sz w:val="20"/>
          <w:szCs w:val="20"/>
          <w:bdr w:val="none" w:sz="0" w:space="0" w:color="auto"/>
          <w:lang w:val="es-ES_tradnl"/>
        </w:rPr>
        <w:t xml:space="preserve">esclarecidos con una investigación en la </w:t>
      </w:r>
      <w:r w:rsidR="002B4AB8" w:rsidRPr="00D32942">
        <w:rPr>
          <w:rFonts w:eastAsia="Times New Roman"/>
          <w:sz w:val="20"/>
          <w:szCs w:val="20"/>
          <w:bdr w:val="none" w:sz="0" w:space="0" w:color="auto"/>
          <w:lang w:val="es-ES_tradnl"/>
        </w:rPr>
        <w:t>jurisdicción ordinaria</w:t>
      </w:r>
      <w:r w:rsidRPr="00D32942">
        <w:rPr>
          <w:rFonts w:eastAsia="Times New Roman"/>
          <w:sz w:val="20"/>
          <w:szCs w:val="20"/>
          <w:bdr w:val="none" w:sz="0" w:space="0" w:color="auto"/>
          <w:lang w:val="es-ES_tradnl"/>
        </w:rPr>
        <w:t>.</w:t>
      </w:r>
      <w:r w:rsidRPr="00D32942">
        <w:rPr>
          <w:rFonts w:eastAsia="Times New Roman"/>
          <w:sz w:val="20"/>
          <w:szCs w:val="20"/>
          <w:bdr w:val="none" w:sz="0" w:space="0" w:color="auto"/>
          <w:lang w:val="es-AR"/>
        </w:rPr>
        <w:t xml:space="preserve"> </w:t>
      </w:r>
      <w:r w:rsidRPr="00D32942">
        <w:rPr>
          <w:rFonts w:eastAsia="Times New Roman"/>
          <w:sz w:val="20"/>
          <w:szCs w:val="20"/>
          <w:bdr w:val="none" w:sz="0" w:space="0" w:color="auto"/>
          <w:lang w:val="es-ES_tradnl"/>
        </w:rPr>
        <w:t xml:space="preserve">En vista de lo anterior, el reclamo se enmarca dentro de la excepción al agotamiento de los recursos internos prevista en el artículo 46.2.b) de la Convención Americana que establece que dicha excepción se aplica cuando “… no se haya permitido al presunto lesionado en sus </w:t>
      </w:r>
      <w:r w:rsidRPr="00D32942">
        <w:rPr>
          <w:rFonts w:eastAsia="Times New Roman"/>
          <w:sz w:val="20"/>
          <w:szCs w:val="20"/>
          <w:bdr w:val="none" w:sz="0" w:space="0" w:color="auto"/>
          <w:lang w:val="es-ES_tradnl"/>
        </w:rPr>
        <w:lastRenderedPageBreak/>
        <w:t>derechos el acceso a los recursos de la jurisdicción interna, o ha</w:t>
      </w:r>
      <w:r w:rsidR="00C93146" w:rsidRPr="00D32942">
        <w:rPr>
          <w:rFonts w:eastAsia="Times New Roman"/>
          <w:sz w:val="20"/>
          <w:szCs w:val="20"/>
          <w:bdr w:val="none" w:sz="0" w:space="0" w:color="auto"/>
          <w:lang w:val="es-ES_tradnl"/>
        </w:rPr>
        <w:t>ya sido impedido de agotarlos”.</w:t>
      </w:r>
      <w:r w:rsidRPr="00D32942">
        <w:rPr>
          <w:rFonts w:eastAsia="Times New Roman"/>
          <w:sz w:val="20"/>
          <w:szCs w:val="20"/>
          <w:bdr w:val="none" w:sz="0" w:space="0" w:color="auto"/>
          <w:lang w:val="es-ES_tradnl"/>
        </w:rPr>
        <w:t xml:space="preserve"> </w:t>
      </w:r>
      <w:r w:rsidRPr="00D32942">
        <w:rPr>
          <w:rFonts w:eastAsia="Times New Roman"/>
          <w:sz w:val="20"/>
          <w:szCs w:val="20"/>
          <w:bdr w:val="none" w:sz="0" w:space="0" w:color="auto"/>
          <w:lang w:val="es-PE"/>
        </w:rPr>
        <w:t>La Comisión observa</w:t>
      </w:r>
      <w:r w:rsidRPr="00D32942">
        <w:rPr>
          <w:rFonts w:eastAsia="Times New Roman"/>
          <w:sz w:val="20"/>
          <w:szCs w:val="20"/>
          <w:bdr w:val="none" w:sz="0" w:space="0" w:color="auto"/>
          <w:lang w:val="es-AR"/>
        </w:rPr>
        <w:t xml:space="preserve"> además un retardo injustificado en los términos de su artículo 46.2.c) y </w:t>
      </w:r>
      <w:r w:rsidRPr="00D32942">
        <w:rPr>
          <w:rFonts w:eastAsia="Times New Roman"/>
          <w:sz w:val="20"/>
          <w:szCs w:val="20"/>
          <w:bdr w:val="none" w:sz="0" w:space="0" w:color="auto"/>
          <w:lang w:val="es-ES_tradnl"/>
        </w:rPr>
        <w:t xml:space="preserve">consecuentemente, </w:t>
      </w:r>
      <w:r w:rsidRPr="00D32942">
        <w:rPr>
          <w:rFonts w:eastAsia="Times New Roman"/>
          <w:sz w:val="20"/>
          <w:szCs w:val="20"/>
          <w:bdr w:val="none" w:sz="0" w:space="0" w:color="auto"/>
          <w:lang w:val="es-ES"/>
        </w:rPr>
        <w:t>el previo agotamiento de los recursos internos no resulta exigible.</w:t>
      </w:r>
    </w:p>
    <w:p w:rsidR="001930E2" w:rsidRPr="00D32942" w:rsidRDefault="001930E2" w:rsidP="001930E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lang w:val="es-ES_tradnl"/>
        </w:rPr>
      </w:pPr>
    </w:p>
    <w:p w:rsidR="00316579" w:rsidRPr="00D32942" w:rsidRDefault="00316579" w:rsidP="001930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eastAsia="Times New Roman"/>
          <w:sz w:val="20"/>
          <w:szCs w:val="20"/>
          <w:bdr w:val="none" w:sz="0" w:space="0" w:color="auto"/>
          <w:lang w:val="es-ES_tradnl"/>
        </w:rPr>
      </w:pPr>
      <w:r w:rsidRPr="00D32942">
        <w:rPr>
          <w:rFonts w:eastAsia="Times New Roman"/>
          <w:sz w:val="20"/>
          <w:szCs w:val="20"/>
          <w:bdr w:val="none" w:sz="0" w:space="0" w:color="auto"/>
          <w:lang w:val="es-AR"/>
        </w:rPr>
        <w:t xml:space="preserve">Respecto a </w:t>
      </w:r>
      <w:r w:rsidRPr="00D32942">
        <w:rPr>
          <w:rFonts w:eastAsia="Times New Roman" w:cs="Arial"/>
          <w:sz w:val="20"/>
          <w:szCs w:val="20"/>
          <w:bdr w:val="none" w:sz="0" w:space="0" w:color="auto"/>
          <w:lang w:val="es-PE"/>
        </w:rPr>
        <w:t xml:space="preserve">la indagación preliminar disciplinaria iniciada por </w:t>
      </w:r>
      <w:r w:rsidRPr="00D32942">
        <w:rPr>
          <w:sz w:val="20"/>
          <w:szCs w:val="20"/>
          <w:lang w:val="es-ES"/>
        </w:rPr>
        <w:t>la Procuraduría Delegada para Fuerzas Militares que culmin</w:t>
      </w:r>
      <w:r w:rsidR="00630730" w:rsidRPr="00D32942">
        <w:rPr>
          <w:sz w:val="20"/>
          <w:szCs w:val="20"/>
          <w:lang w:val="es-ES"/>
        </w:rPr>
        <w:t>ó</w:t>
      </w:r>
      <w:r w:rsidRPr="00D32942">
        <w:rPr>
          <w:sz w:val="20"/>
          <w:szCs w:val="20"/>
          <w:lang w:val="es-ES"/>
        </w:rPr>
        <w:t xml:space="preserve"> </w:t>
      </w:r>
      <w:r w:rsidR="001930E2" w:rsidRPr="00D32942">
        <w:rPr>
          <w:sz w:val="20"/>
          <w:szCs w:val="20"/>
          <w:lang w:val="es-ES"/>
        </w:rPr>
        <w:t xml:space="preserve">con auto inhibitorio en el 1993 y se archivó definitivamente en el 1996, </w:t>
      </w:r>
      <w:r w:rsidRPr="00D32942">
        <w:rPr>
          <w:rFonts w:eastAsia="Times New Roman" w:cs="Arial"/>
          <w:sz w:val="20"/>
          <w:szCs w:val="20"/>
          <w:bdr w:val="none" w:sz="0" w:space="0" w:color="auto"/>
          <w:lang w:val="es-PE"/>
        </w:rPr>
        <w:t>cabe señalar que l</w:t>
      </w:r>
      <w:r w:rsidRPr="00D32942">
        <w:rPr>
          <w:rFonts w:eastAsia="Times New Roman"/>
          <w:sz w:val="20"/>
          <w:szCs w:val="20"/>
          <w:bdr w:val="none" w:sz="0" w:space="0" w:color="auto"/>
          <w:lang w:val="es-AR"/>
        </w:rPr>
        <w:t>a Comisión ha establecido con anterioridad que la jurisdicción disciplinaria no constituye una vía suficiente para juzgar, sancionar y reparar las consecuencias de violaciones a los derechos humanos</w:t>
      </w:r>
      <w:r w:rsidRPr="00D32942">
        <w:rPr>
          <w:rFonts w:eastAsia="Times New Roman"/>
          <w:sz w:val="20"/>
          <w:szCs w:val="20"/>
          <w:bdr w:val="none" w:sz="0" w:space="0" w:color="auto"/>
          <w:vertAlign w:val="superscript"/>
          <w:lang w:val="es-AR"/>
        </w:rPr>
        <w:footnoteReference w:id="6"/>
      </w:r>
      <w:r w:rsidR="00B52A54">
        <w:rPr>
          <w:rFonts w:eastAsia="Times New Roman"/>
          <w:sz w:val="20"/>
          <w:szCs w:val="20"/>
          <w:bdr w:val="none" w:sz="0" w:space="0" w:color="auto"/>
          <w:lang w:val="es-AR"/>
        </w:rPr>
        <w:t>.</w:t>
      </w:r>
    </w:p>
    <w:p w:rsidR="00FF17D5" w:rsidRPr="00D32942" w:rsidRDefault="00FF17D5" w:rsidP="001930E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firstLine="720"/>
        <w:jc w:val="both"/>
        <w:rPr>
          <w:rFonts w:ascii="Cambria" w:hAnsi="Cambria"/>
          <w:sz w:val="20"/>
          <w:szCs w:val="20"/>
          <w:lang w:val="es-ES"/>
        </w:rPr>
      </w:pPr>
    </w:p>
    <w:p w:rsidR="001930E2" w:rsidRPr="00D32942" w:rsidRDefault="001930E2" w:rsidP="00C16E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eastAsia="Times New Roman"/>
          <w:sz w:val="20"/>
          <w:szCs w:val="20"/>
          <w:bdr w:val="none" w:sz="0" w:space="0" w:color="auto"/>
          <w:lang w:val="es-ES"/>
        </w:rPr>
      </w:pPr>
      <w:r w:rsidRPr="00D32942">
        <w:rPr>
          <w:rFonts w:eastAsia="Times New Roman" w:cs="Arial"/>
          <w:sz w:val="20"/>
          <w:szCs w:val="20"/>
          <w:bdr w:val="none" w:sz="0" w:space="0" w:color="auto"/>
          <w:lang w:val="es-PE"/>
        </w:rPr>
        <w:t>En relación al recurso contencioso administrativo agotado ante el Tribunal Contencioso Administrativo de</w:t>
      </w:r>
      <w:r w:rsidR="00CB4A14" w:rsidRPr="00D32942">
        <w:rPr>
          <w:rFonts w:eastAsia="Times New Roman" w:cs="Arial"/>
          <w:sz w:val="20"/>
          <w:szCs w:val="20"/>
          <w:bdr w:val="none" w:sz="0" w:space="0" w:color="auto"/>
          <w:lang w:val="es-PE"/>
        </w:rPr>
        <w:t>l</w:t>
      </w:r>
      <w:r w:rsidRPr="00D32942">
        <w:rPr>
          <w:rFonts w:eastAsia="Times New Roman" w:cs="Arial"/>
          <w:sz w:val="20"/>
          <w:szCs w:val="20"/>
          <w:bdr w:val="none" w:sz="0" w:space="0" w:color="auto"/>
          <w:lang w:val="es-PE"/>
        </w:rPr>
        <w:t xml:space="preserve"> Meta mediante el cual se declaró a la Nación responsable por falla de servicio cabe señalar que </w:t>
      </w:r>
      <w:r w:rsidRPr="00D32942">
        <w:rPr>
          <w:rFonts w:eastAsia="Times New Roman"/>
          <w:sz w:val="20"/>
          <w:szCs w:val="20"/>
          <w:bdr w:val="none" w:sz="0" w:space="0" w:color="auto"/>
          <w:lang w:val="es-ES_tradnl"/>
        </w:rPr>
        <w:t>éste</w:t>
      </w:r>
      <w:r w:rsidRPr="00D32942">
        <w:rPr>
          <w:rFonts w:eastAsia="Times New Roman"/>
          <w:sz w:val="20"/>
          <w:szCs w:val="20"/>
          <w:bdr w:val="none" w:sz="0" w:space="0" w:color="auto"/>
          <w:lang w:val="es-AR"/>
        </w:rPr>
        <w:t xml:space="preserve"> constituye un mecanismo que procuró la supervisión de la actividad administrativa del Estado, y que únicamente permitió obtener una indemnización por daños y perjuicios causados</w:t>
      </w:r>
      <w:r w:rsidRPr="00D32942">
        <w:rPr>
          <w:sz w:val="20"/>
          <w:szCs w:val="20"/>
          <w:bdr w:val="none" w:sz="0" w:space="0" w:color="auto"/>
          <w:vertAlign w:val="superscript"/>
          <w:lang w:val="es-AR"/>
        </w:rPr>
        <w:footnoteReference w:id="7"/>
      </w:r>
      <w:r w:rsidR="00C16EDB" w:rsidRPr="00D32942">
        <w:rPr>
          <w:rFonts w:eastAsia="Times New Roman"/>
          <w:sz w:val="20"/>
          <w:szCs w:val="20"/>
          <w:bdr w:val="none" w:sz="0" w:space="0" w:color="auto"/>
          <w:lang w:val="es-AR"/>
        </w:rPr>
        <w:t xml:space="preserve">. </w:t>
      </w:r>
      <w:r w:rsidRPr="00D32942">
        <w:rPr>
          <w:rFonts w:eastAsia="Times New Roman"/>
          <w:sz w:val="20"/>
          <w:szCs w:val="20"/>
          <w:bdr w:val="none" w:sz="0" w:space="0" w:color="auto"/>
          <w:lang w:val="es-AR"/>
        </w:rPr>
        <w:t>En este sentido, la Comisión ha sostenido anteriormente que las decisiones emitidas en los órdenes disciplinario y contencioso administrativo no son los recursos idóneos a los efectos del requerimiento de agotamiento p</w:t>
      </w:r>
      <w:r w:rsidR="00F80E86" w:rsidRPr="00D32942">
        <w:rPr>
          <w:rFonts w:eastAsia="Times New Roman"/>
          <w:sz w:val="20"/>
          <w:szCs w:val="20"/>
          <w:bdr w:val="none" w:sz="0" w:space="0" w:color="auto"/>
          <w:lang w:val="es-AR"/>
        </w:rPr>
        <w:t>revio de los recursos internos.</w:t>
      </w:r>
      <w:r w:rsidRPr="00D32942">
        <w:rPr>
          <w:rFonts w:eastAsia="Times New Roman"/>
          <w:sz w:val="20"/>
          <w:szCs w:val="20"/>
          <w:bdr w:val="none" w:sz="0" w:space="0" w:color="auto"/>
          <w:lang w:val="es-AR"/>
        </w:rPr>
        <w:t xml:space="preserve"> En el presente caso, las pretensiones de los peticionarios se relacionan con la investigación, procesamiento y sanción penal de los responsables, cuestiones que no corresponden a dichas jurisdicciones. Consecuentemente, en un caso como el presente</w:t>
      </w:r>
      <w:r w:rsidR="00BD3A6F" w:rsidRPr="00D32942">
        <w:rPr>
          <w:rFonts w:eastAsia="Times New Roman"/>
          <w:sz w:val="20"/>
          <w:szCs w:val="20"/>
          <w:bdr w:val="none" w:sz="0" w:space="0" w:color="auto"/>
          <w:lang w:val="es-AR"/>
        </w:rPr>
        <w:t>,</w:t>
      </w:r>
      <w:r w:rsidRPr="00D32942">
        <w:rPr>
          <w:rFonts w:eastAsia="Times New Roman"/>
          <w:sz w:val="20"/>
          <w:szCs w:val="20"/>
          <w:bdr w:val="none" w:sz="0" w:space="0" w:color="auto"/>
          <w:lang w:val="es-AR"/>
        </w:rPr>
        <w:t xml:space="preserve"> estos recursos </w:t>
      </w:r>
      <w:r w:rsidR="001C42C8" w:rsidRPr="00D32942">
        <w:rPr>
          <w:rFonts w:eastAsia="Times New Roman"/>
          <w:sz w:val="20"/>
          <w:szCs w:val="20"/>
          <w:bdr w:val="none" w:sz="0" w:space="0" w:color="auto"/>
          <w:lang w:val="es-AR"/>
        </w:rPr>
        <w:t xml:space="preserve">no son los recursos idóneos a efecto del cumplimiento de </w:t>
      </w:r>
      <w:r w:rsidR="00C16EDB" w:rsidRPr="00D32942">
        <w:rPr>
          <w:rFonts w:eastAsia="Times New Roman"/>
          <w:sz w:val="20"/>
          <w:szCs w:val="20"/>
          <w:bdr w:val="none" w:sz="0" w:space="0" w:color="auto"/>
          <w:lang w:val="es-AR"/>
        </w:rPr>
        <w:t>la regla del previo agotamiento</w:t>
      </w:r>
      <w:r w:rsidRPr="00D32942">
        <w:rPr>
          <w:sz w:val="20"/>
          <w:szCs w:val="20"/>
          <w:bdr w:val="none" w:sz="0" w:space="0" w:color="auto"/>
          <w:vertAlign w:val="superscript"/>
          <w:lang w:val="es-AR"/>
        </w:rPr>
        <w:footnoteReference w:id="8"/>
      </w:r>
      <w:r w:rsidRPr="00D32942">
        <w:rPr>
          <w:rFonts w:eastAsia="Times New Roman"/>
          <w:sz w:val="20"/>
          <w:szCs w:val="20"/>
          <w:bdr w:val="none" w:sz="0" w:space="0" w:color="auto"/>
          <w:lang w:val="es-AR"/>
        </w:rPr>
        <w:t>.</w:t>
      </w:r>
    </w:p>
    <w:p w:rsidR="001930E2" w:rsidRPr="00D32942" w:rsidRDefault="001930E2" w:rsidP="001930E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lang w:val="es-ES"/>
        </w:rPr>
      </w:pPr>
    </w:p>
    <w:p w:rsidR="001930E2" w:rsidRPr="00D32942" w:rsidRDefault="001930E2" w:rsidP="001930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eastAsia="Times New Roman"/>
          <w:sz w:val="20"/>
          <w:szCs w:val="20"/>
          <w:bdr w:val="none" w:sz="0" w:space="0" w:color="auto"/>
          <w:lang w:val="es-AR"/>
        </w:rPr>
      </w:pPr>
      <w:r w:rsidRPr="00D32942">
        <w:rPr>
          <w:rFonts w:eastAsia="Times New Roman" w:cs="Arial"/>
          <w:sz w:val="20"/>
          <w:szCs w:val="20"/>
          <w:bdr w:val="none" w:sz="0" w:space="0" w:color="auto"/>
          <w:lang w:val="es-PE"/>
        </w:rPr>
        <w:t>La invocación de las excepciones a la regla de agotamiento de los recursos internos</w:t>
      </w:r>
      <w:r w:rsidRPr="00D32942">
        <w:rPr>
          <w:rFonts w:eastAsia="Times New Roman"/>
          <w:sz w:val="20"/>
          <w:szCs w:val="20"/>
          <w:bdr w:val="none" w:sz="0" w:space="0" w:color="auto"/>
          <w:lang w:val="es-AR"/>
        </w:rPr>
        <w:t xml:space="preserve"> previstas en el artículo 46.2 de la Convención se encuentra estrechamente ligada a la determinación de posibles violaciones a ciertos derechos en ella consagrados, tales como las garant</w:t>
      </w:r>
      <w:r w:rsidR="00263B21" w:rsidRPr="00D32942">
        <w:rPr>
          <w:rFonts w:eastAsia="Times New Roman"/>
          <w:sz w:val="20"/>
          <w:szCs w:val="20"/>
          <w:bdr w:val="none" w:sz="0" w:space="0" w:color="auto"/>
          <w:lang w:val="es-AR"/>
        </w:rPr>
        <w:t>ías y la protección judiciales.</w:t>
      </w:r>
      <w:r w:rsidRPr="00D32942">
        <w:rPr>
          <w:rFonts w:eastAsia="Times New Roman"/>
          <w:sz w:val="20"/>
          <w:szCs w:val="20"/>
          <w:bdr w:val="none" w:sz="0" w:space="0" w:color="auto"/>
          <w:lang w:val="es-AR"/>
        </w:rPr>
        <w:t xml:space="preserve"> Sin embargo, el artículo 46.2, por su naturaleza y objeto, es una norma con contenido autónomo </w:t>
      </w:r>
      <w:r w:rsidRPr="00D32942">
        <w:rPr>
          <w:rFonts w:eastAsia="Times New Roman"/>
          <w:i/>
          <w:sz w:val="20"/>
          <w:szCs w:val="20"/>
          <w:bdr w:val="none" w:sz="0" w:space="0" w:color="auto"/>
          <w:lang w:val="es-AR"/>
        </w:rPr>
        <w:t>vis à vis</w:t>
      </w:r>
      <w:r w:rsidRPr="00D32942">
        <w:rPr>
          <w:rFonts w:eastAsia="Times New Roman"/>
          <w:sz w:val="20"/>
          <w:szCs w:val="20"/>
          <w:bdr w:val="none" w:sz="0" w:space="0" w:color="auto"/>
          <w:lang w:val="es-AR"/>
        </w:rPr>
        <w:t xml:space="preserve"> las normas sustantivas de la Convención Americana. En consecuencia,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Americana. Cabe aclarar que las causas y los efectos que impidieron el agotamiento de los recursos internos serán analizados en el informe que adopte la Comisión sobre el fondo de la controversia, a fin de constatar si configuran violaciones a la Convención Americana.</w:t>
      </w:r>
    </w:p>
    <w:p w:rsidR="009076AC" w:rsidRPr="00D32942" w:rsidRDefault="009076AC" w:rsidP="001930E2">
      <w:pPr>
        <w:rPr>
          <w:rFonts w:ascii="Cambria" w:eastAsia="Cambria" w:hAnsi="Cambria" w:cs="Cambria"/>
          <w:bCs/>
          <w:color w:val="000000"/>
          <w:sz w:val="20"/>
          <w:szCs w:val="20"/>
          <w:u w:color="000000"/>
          <w:lang w:val="es-ES" w:eastAsia="es-ES"/>
        </w:rPr>
      </w:pPr>
    </w:p>
    <w:p w:rsidR="009076AC" w:rsidRPr="00D32942" w:rsidRDefault="009076AC" w:rsidP="005F213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MS Mincho"/>
          <w:b/>
          <w:bCs/>
          <w:sz w:val="20"/>
          <w:szCs w:val="20"/>
          <w:bdr w:val="none" w:sz="0" w:space="0" w:color="auto"/>
          <w:lang w:val="es-ES"/>
        </w:rPr>
      </w:pPr>
      <w:r w:rsidRPr="00D32942">
        <w:rPr>
          <w:rFonts w:eastAsia="MS Mincho"/>
          <w:b/>
          <w:bCs/>
          <w:sz w:val="20"/>
          <w:szCs w:val="20"/>
          <w:bdr w:val="none" w:sz="0" w:space="0" w:color="auto"/>
          <w:lang w:val="es-ES"/>
        </w:rPr>
        <w:t>Plazo de presentación de la petición</w:t>
      </w:r>
    </w:p>
    <w:p w:rsidR="00D13926" w:rsidRPr="00D32942" w:rsidRDefault="00D13926" w:rsidP="007259F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
          <w:bCs/>
          <w:sz w:val="20"/>
          <w:szCs w:val="20"/>
          <w:bdr w:val="none" w:sz="0" w:space="0" w:color="auto"/>
          <w:lang w:val="es-ES"/>
        </w:rPr>
      </w:pPr>
    </w:p>
    <w:p w:rsidR="00D13926" w:rsidRPr="00D32942" w:rsidRDefault="00D13926" w:rsidP="007259F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sz w:val="20"/>
          <w:szCs w:val="20"/>
          <w:lang w:val="es-ES_tradnl"/>
        </w:rPr>
      </w:pPr>
      <w:r w:rsidRPr="00D32942">
        <w:rPr>
          <w:sz w:val="20"/>
          <w:szCs w:val="20"/>
          <w:lang w:val="es-ES_tradnl"/>
        </w:rPr>
        <w:t>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las excepciones al agotamiento de los recursos internos conforme al 46.2.c) de la Convención Americana.  Al respecto,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D13926" w:rsidRPr="00D32942" w:rsidRDefault="00D13926" w:rsidP="007259F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sz w:val="20"/>
          <w:szCs w:val="20"/>
          <w:lang w:val="es-ES_tradnl"/>
        </w:rPr>
      </w:pPr>
    </w:p>
    <w:p w:rsidR="009076AC" w:rsidRPr="00D32942" w:rsidRDefault="00D13926" w:rsidP="007259F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sz w:val="20"/>
          <w:szCs w:val="20"/>
          <w:lang w:val="es-ES_tradnl"/>
        </w:rPr>
      </w:pPr>
      <w:r w:rsidRPr="00D32942">
        <w:rPr>
          <w:sz w:val="20"/>
          <w:szCs w:val="20"/>
          <w:lang w:val="es-AR"/>
        </w:rPr>
        <w:t>En el presente caso, la petición fue recibida el 5 de enero de 1993, los presuntos hechos materia del reclamo se iniciaron el 13 de mayo de 1992 y sus efectos en términos de la alegada falta en la ad</w:t>
      </w:r>
      <w:r w:rsidR="00F80E86" w:rsidRPr="00D32942">
        <w:rPr>
          <w:sz w:val="20"/>
          <w:szCs w:val="20"/>
          <w:lang w:val="es-AR"/>
        </w:rPr>
        <w:t>ministración de justicia se extenderían</w:t>
      </w:r>
      <w:r w:rsidRPr="00D32942">
        <w:rPr>
          <w:sz w:val="20"/>
          <w:szCs w:val="20"/>
          <w:lang w:val="es-AR"/>
        </w:rPr>
        <w:t xml:space="preserve"> hasta el presente. Por lo tanto, en vista del contexto y las </w:t>
      </w:r>
      <w:r w:rsidRPr="00D32942">
        <w:rPr>
          <w:sz w:val="20"/>
          <w:szCs w:val="20"/>
          <w:lang w:val="es-AR"/>
        </w:rPr>
        <w:lastRenderedPageBreak/>
        <w:t>características del presente caso, la Comisión considera que la petición fue presentada dentro de un plazo razonable y que debe darse por satisfecho el requisito de admisibilidad referente al plazo de presentación</w:t>
      </w:r>
      <w:r w:rsidR="009076AC" w:rsidRPr="00D32942">
        <w:rPr>
          <w:bCs/>
          <w:sz w:val="20"/>
          <w:szCs w:val="20"/>
          <w:lang w:val="es-ES"/>
        </w:rPr>
        <w:t>.</w:t>
      </w:r>
    </w:p>
    <w:p w:rsidR="009076AC" w:rsidRPr="00D32942" w:rsidRDefault="009076AC" w:rsidP="007259F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Cs/>
          <w:sz w:val="20"/>
          <w:szCs w:val="20"/>
          <w:lang w:val="es-ES"/>
        </w:rPr>
      </w:pPr>
    </w:p>
    <w:p w:rsidR="009076AC" w:rsidRPr="00D32942" w:rsidRDefault="009076AC" w:rsidP="005F213F">
      <w:pPr>
        <w:pStyle w:val="ListParagraph"/>
        <w:numPr>
          <w:ilvl w:val="0"/>
          <w:numId w:val="60"/>
        </w:numPr>
        <w:tabs>
          <w:tab w:val="left" w:pos="1440"/>
        </w:tabs>
        <w:ind w:hanging="720"/>
        <w:jc w:val="both"/>
        <w:rPr>
          <w:b/>
          <w:sz w:val="20"/>
          <w:szCs w:val="20"/>
          <w:lang w:val="es-ES"/>
        </w:rPr>
      </w:pPr>
      <w:r w:rsidRPr="00D32942">
        <w:rPr>
          <w:b/>
          <w:bCs/>
          <w:sz w:val="20"/>
          <w:szCs w:val="20"/>
          <w:lang w:val="es-ES"/>
        </w:rPr>
        <w:t>Duplicación de procedimientos y cosa juzgada internacional</w:t>
      </w:r>
    </w:p>
    <w:p w:rsidR="009076AC" w:rsidRPr="00D32942" w:rsidRDefault="009076AC" w:rsidP="0034638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rsidR="009076AC" w:rsidRPr="00D32942" w:rsidRDefault="00D5273A" w:rsidP="003463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D32942">
        <w:rPr>
          <w:sz w:val="20"/>
          <w:szCs w:val="20"/>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D5273A" w:rsidRPr="00D32942" w:rsidRDefault="00D5273A" w:rsidP="0034638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p>
    <w:p w:rsidR="009076AC" w:rsidRPr="00D32942" w:rsidRDefault="009076AC" w:rsidP="0034638B">
      <w:pPr>
        <w:pStyle w:val="ListParagraph"/>
        <w:numPr>
          <w:ilvl w:val="0"/>
          <w:numId w:val="60"/>
        </w:numPr>
        <w:ind w:left="0" w:firstLine="720"/>
        <w:jc w:val="both"/>
        <w:rPr>
          <w:b/>
          <w:bCs/>
          <w:sz w:val="20"/>
          <w:szCs w:val="20"/>
          <w:lang w:val="es-ES"/>
        </w:rPr>
      </w:pPr>
      <w:r w:rsidRPr="00D32942">
        <w:rPr>
          <w:b/>
          <w:bCs/>
          <w:sz w:val="20"/>
          <w:szCs w:val="20"/>
          <w:lang w:val="es-ES"/>
        </w:rPr>
        <w:t xml:space="preserve">Caracterización de los hechos alegados </w:t>
      </w:r>
    </w:p>
    <w:p w:rsidR="00FF4FEC" w:rsidRPr="00862E71" w:rsidRDefault="00FF4FEC" w:rsidP="0034638B">
      <w:pPr>
        <w:tabs>
          <w:tab w:val="left" w:pos="0"/>
        </w:tabs>
        <w:ind w:firstLine="720"/>
        <w:jc w:val="both"/>
        <w:rPr>
          <w:lang w:val="es-PE"/>
        </w:rPr>
      </w:pPr>
    </w:p>
    <w:p w:rsidR="001349AB" w:rsidRPr="00D32942" w:rsidRDefault="001349AB" w:rsidP="0034638B">
      <w:pPr>
        <w:pStyle w:val="ListParagraph"/>
        <w:numPr>
          <w:ilvl w:val="0"/>
          <w:numId w:val="56"/>
        </w:numPr>
        <w:tabs>
          <w:tab w:val="num" w:pos="0"/>
          <w:tab w:val="center" w:pos="1440"/>
          <w:tab w:val="left" w:pos="6511"/>
        </w:tabs>
        <w:ind w:left="0" w:firstLine="720"/>
        <w:jc w:val="both"/>
        <w:rPr>
          <w:sz w:val="20"/>
          <w:szCs w:val="20"/>
          <w:lang w:val="es-ES"/>
        </w:rPr>
      </w:pPr>
      <w:r w:rsidRPr="00D32942">
        <w:rPr>
          <w:sz w:val="20"/>
          <w:szCs w:val="20"/>
          <w:lang w:val="es-ES"/>
        </w:rPr>
        <w:t xml:space="preserve">A los efectos de la admisibilidad, la Comisión debe decidir si los hechos alegados pueden caracterizar una violación de derechos, según lo previsto en el artículo 47.b de la Convención Americana, o si la petición es “manifiestamente infundada” o es “evidente su total improcedencia”, conforme al inciso c) de dicho artículo. </w:t>
      </w:r>
    </w:p>
    <w:p w:rsidR="00CA385F" w:rsidRPr="00D32942" w:rsidRDefault="00CA385F" w:rsidP="0034638B">
      <w:pPr>
        <w:pStyle w:val="ListParagraph"/>
        <w:tabs>
          <w:tab w:val="center" w:pos="1440"/>
          <w:tab w:val="left" w:pos="6511"/>
        </w:tabs>
        <w:ind w:left="0" w:firstLine="720"/>
        <w:jc w:val="both"/>
        <w:rPr>
          <w:sz w:val="20"/>
          <w:szCs w:val="20"/>
          <w:lang w:val="es-ES"/>
        </w:rPr>
      </w:pPr>
    </w:p>
    <w:p w:rsidR="001349AB" w:rsidRPr="00D32942" w:rsidRDefault="001349AB" w:rsidP="0034638B">
      <w:pPr>
        <w:pStyle w:val="ListParagraph"/>
        <w:numPr>
          <w:ilvl w:val="0"/>
          <w:numId w:val="56"/>
        </w:numPr>
        <w:tabs>
          <w:tab w:val="num" w:pos="0"/>
          <w:tab w:val="center" w:pos="1440"/>
          <w:tab w:val="left" w:pos="6511"/>
        </w:tabs>
        <w:ind w:left="0" w:firstLine="720"/>
        <w:jc w:val="both"/>
        <w:rPr>
          <w:sz w:val="20"/>
          <w:szCs w:val="20"/>
          <w:lang w:val="es-ES"/>
        </w:rPr>
      </w:pPr>
      <w:r w:rsidRPr="00D32942">
        <w:rPr>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1349AB" w:rsidRPr="00D32942" w:rsidRDefault="001349AB" w:rsidP="0034638B">
      <w:pPr>
        <w:pStyle w:val="ListParagraph"/>
        <w:tabs>
          <w:tab w:val="center" w:pos="1440"/>
          <w:tab w:val="left" w:pos="6511"/>
        </w:tabs>
        <w:ind w:left="0" w:firstLine="720"/>
        <w:jc w:val="both"/>
        <w:rPr>
          <w:sz w:val="20"/>
          <w:szCs w:val="20"/>
          <w:lang w:val="es-ES"/>
        </w:rPr>
      </w:pPr>
    </w:p>
    <w:p w:rsidR="001349AB" w:rsidRPr="004B2F20" w:rsidRDefault="001349AB" w:rsidP="0034638B">
      <w:pPr>
        <w:pStyle w:val="ListParagraph"/>
        <w:numPr>
          <w:ilvl w:val="0"/>
          <w:numId w:val="56"/>
        </w:numPr>
        <w:tabs>
          <w:tab w:val="num" w:pos="0"/>
          <w:tab w:val="center" w:pos="1440"/>
          <w:tab w:val="left" w:pos="6511"/>
        </w:tabs>
        <w:ind w:left="0" w:firstLine="720"/>
        <w:jc w:val="both"/>
        <w:rPr>
          <w:sz w:val="20"/>
          <w:szCs w:val="20"/>
          <w:lang w:val="es-ES"/>
        </w:rPr>
      </w:pPr>
      <w:r w:rsidRPr="001349AB">
        <w:rPr>
          <w:sz w:val="20"/>
          <w:szCs w:val="20"/>
          <w:lang w:val="es-ES"/>
        </w:rPr>
        <w:t>En vista de los elementos de hecho y de derecho presentados por las partes y la naturaleza del asunto puesto bajo su conocimiento, la</w:t>
      </w:r>
      <w:r w:rsidRPr="00BE72A6">
        <w:rPr>
          <w:color w:val="auto"/>
          <w:sz w:val="20"/>
          <w:szCs w:val="20"/>
          <w:lang w:val="es-ES"/>
        </w:rPr>
        <w:t xml:space="preserve"> CIDH considera que los reclamos de los peticionarios </w:t>
      </w:r>
      <w:r w:rsidR="00D97CD0" w:rsidRPr="00BE72A6">
        <w:rPr>
          <w:color w:val="auto"/>
          <w:sz w:val="20"/>
          <w:szCs w:val="20"/>
          <w:lang w:val="es-ES"/>
        </w:rPr>
        <w:t xml:space="preserve">relativos al presunto </w:t>
      </w:r>
      <w:r w:rsidR="00EE4318" w:rsidRPr="00BE72A6">
        <w:rPr>
          <w:color w:val="auto"/>
          <w:sz w:val="20"/>
          <w:szCs w:val="20"/>
          <w:lang w:val="es-ES"/>
        </w:rPr>
        <w:t>involucramiento de</w:t>
      </w:r>
      <w:r w:rsidR="00D97CD0" w:rsidRPr="00BE72A6">
        <w:rPr>
          <w:color w:val="auto"/>
          <w:sz w:val="20"/>
          <w:szCs w:val="20"/>
          <w:lang w:val="es-ES"/>
        </w:rPr>
        <w:t xml:space="preserve"> agentes del Estado en la muerte de Martha Cecilia </w:t>
      </w:r>
      <w:r w:rsidRPr="00BE72A6">
        <w:rPr>
          <w:color w:val="auto"/>
          <w:sz w:val="20"/>
          <w:szCs w:val="20"/>
          <w:lang w:val="es-ES"/>
        </w:rPr>
        <w:t xml:space="preserve">podrían caracterizar </w:t>
      </w:r>
      <w:r w:rsidR="00D97CD0" w:rsidRPr="00BE72A6">
        <w:rPr>
          <w:color w:val="auto"/>
          <w:sz w:val="20"/>
          <w:szCs w:val="20"/>
          <w:lang w:val="es-ES"/>
        </w:rPr>
        <w:t>posibles violaciones al derecho</w:t>
      </w:r>
      <w:r w:rsidRPr="00BE72A6">
        <w:rPr>
          <w:color w:val="auto"/>
          <w:sz w:val="20"/>
          <w:szCs w:val="20"/>
          <w:lang w:val="es-ES"/>
        </w:rPr>
        <w:t xml:space="preserve"> a la vida,</w:t>
      </w:r>
      <w:r w:rsidR="00D97CD0" w:rsidRPr="00BE72A6">
        <w:rPr>
          <w:color w:val="auto"/>
          <w:sz w:val="20"/>
          <w:szCs w:val="20"/>
          <w:lang w:val="es-ES"/>
        </w:rPr>
        <w:t xml:space="preserve"> así como al derecho a la </w:t>
      </w:r>
      <w:r w:rsidRPr="00BE72A6">
        <w:rPr>
          <w:color w:val="auto"/>
          <w:sz w:val="20"/>
          <w:szCs w:val="20"/>
          <w:lang w:val="es-ES"/>
        </w:rPr>
        <w:t xml:space="preserve">protección especial como niña </w:t>
      </w:r>
      <w:r w:rsidR="00D97CD0" w:rsidRPr="00BE72A6">
        <w:rPr>
          <w:color w:val="auto"/>
          <w:sz w:val="20"/>
          <w:szCs w:val="20"/>
          <w:lang w:val="es-ES"/>
        </w:rPr>
        <w:t>c</w:t>
      </w:r>
      <w:r w:rsidR="00A04B55">
        <w:rPr>
          <w:color w:val="auto"/>
          <w:sz w:val="20"/>
          <w:szCs w:val="20"/>
          <w:lang w:val="es-ES"/>
        </w:rPr>
        <w:t>onsagrados en los artículos 4</w:t>
      </w:r>
      <w:r w:rsidR="00D97CD0" w:rsidRPr="00BE72A6">
        <w:rPr>
          <w:color w:val="auto"/>
          <w:sz w:val="20"/>
          <w:szCs w:val="20"/>
          <w:lang w:val="es-ES"/>
        </w:rPr>
        <w:t xml:space="preserve"> y 19 </w:t>
      </w:r>
      <w:r w:rsidR="006D1163" w:rsidRPr="00BE72A6">
        <w:rPr>
          <w:color w:val="auto"/>
          <w:sz w:val="20"/>
          <w:szCs w:val="20"/>
          <w:lang w:val="es-ES"/>
        </w:rPr>
        <w:t>en concordancia con el artículo 1.1 de la Convención Americana, en perjuicio de Martha Cecilia Ayure Quintero.</w:t>
      </w:r>
    </w:p>
    <w:p w:rsidR="004B2F20" w:rsidRPr="004B2F20" w:rsidRDefault="004B2F20" w:rsidP="004B2F20">
      <w:pPr>
        <w:pStyle w:val="ListParagraph"/>
        <w:rPr>
          <w:sz w:val="20"/>
          <w:szCs w:val="20"/>
          <w:lang w:val="es-ES"/>
        </w:rPr>
      </w:pPr>
    </w:p>
    <w:p w:rsidR="00482254" w:rsidRPr="00CD7C19" w:rsidRDefault="004B2F20" w:rsidP="00CD7C19">
      <w:pPr>
        <w:pStyle w:val="ListParagraph"/>
        <w:numPr>
          <w:ilvl w:val="0"/>
          <w:numId w:val="56"/>
        </w:numPr>
        <w:tabs>
          <w:tab w:val="num" w:pos="0"/>
          <w:tab w:val="center" w:pos="1440"/>
          <w:tab w:val="left" w:pos="6511"/>
        </w:tabs>
        <w:ind w:left="0" w:firstLine="720"/>
        <w:jc w:val="both"/>
        <w:rPr>
          <w:b/>
          <w:bCs/>
          <w:sz w:val="20"/>
          <w:szCs w:val="20"/>
          <w:lang w:val="es-ES"/>
        </w:rPr>
      </w:pPr>
      <w:r>
        <w:rPr>
          <w:sz w:val="20"/>
          <w:szCs w:val="20"/>
          <w:lang w:val="es-ES"/>
        </w:rPr>
        <w:t>Asimismo, se podría caracterizar la violación al derecho a la integridad personal consagrado en el artículo 5</w:t>
      </w:r>
      <w:r w:rsidR="007F20AD">
        <w:rPr>
          <w:sz w:val="20"/>
          <w:szCs w:val="20"/>
          <w:lang w:val="es-ES"/>
        </w:rPr>
        <w:t xml:space="preserve"> de la Convención Americana</w:t>
      </w:r>
      <w:r>
        <w:rPr>
          <w:sz w:val="20"/>
          <w:szCs w:val="20"/>
          <w:lang w:val="es-ES"/>
        </w:rPr>
        <w:t xml:space="preserve"> en perjuicio de Matilde</w:t>
      </w:r>
      <w:r w:rsidR="007F20AD">
        <w:rPr>
          <w:sz w:val="20"/>
          <w:szCs w:val="20"/>
          <w:lang w:val="es-ES"/>
        </w:rPr>
        <w:t xml:space="preserve"> Quintero;</w:t>
      </w:r>
      <w:r>
        <w:rPr>
          <w:sz w:val="20"/>
          <w:szCs w:val="20"/>
          <w:lang w:val="es-ES"/>
        </w:rPr>
        <w:t xml:space="preserve"> y de los artículos 5 y 19</w:t>
      </w:r>
      <w:r w:rsidR="007F20AD">
        <w:rPr>
          <w:sz w:val="20"/>
          <w:szCs w:val="20"/>
          <w:lang w:val="es-ES"/>
        </w:rPr>
        <w:t xml:space="preserve"> </w:t>
      </w:r>
      <w:r w:rsidR="001331BD" w:rsidRPr="001331BD">
        <w:rPr>
          <w:sz w:val="20"/>
          <w:szCs w:val="20"/>
          <w:lang w:val="es-ES_tradnl"/>
        </w:rPr>
        <w:t>en relación con el artículo 1.1</w:t>
      </w:r>
      <w:r w:rsidR="001331BD">
        <w:rPr>
          <w:sz w:val="20"/>
          <w:szCs w:val="20"/>
          <w:lang w:val="es-ES_tradnl"/>
        </w:rPr>
        <w:t xml:space="preserve"> </w:t>
      </w:r>
      <w:r w:rsidR="007F20AD">
        <w:rPr>
          <w:sz w:val="20"/>
          <w:szCs w:val="20"/>
          <w:lang w:val="es-ES"/>
        </w:rPr>
        <w:t>del mismo instrumento</w:t>
      </w:r>
      <w:r>
        <w:rPr>
          <w:sz w:val="20"/>
          <w:szCs w:val="20"/>
          <w:lang w:val="es-ES"/>
        </w:rPr>
        <w:t xml:space="preserve"> en perjuicio de Sandra Milena Ayure. Adicionalmente</w:t>
      </w:r>
      <w:r w:rsidR="00482254" w:rsidRPr="004B2F20">
        <w:rPr>
          <w:sz w:val="20"/>
          <w:szCs w:val="20"/>
          <w:lang w:val="es-ES"/>
        </w:rPr>
        <w:t xml:space="preserve">, de comprobarse los reclamos respecto </w:t>
      </w:r>
      <w:r w:rsidR="00CD7C19" w:rsidRPr="004B2F20">
        <w:rPr>
          <w:sz w:val="20"/>
          <w:szCs w:val="20"/>
          <w:lang w:val="es-ES"/>
        </w:rPr>
        <w:t xml:space="preserve">a la falta de debida diligencia </w:t>
      </w:r>
      <w:r w:rsidR="00C524A1">
        <w:rPr>
          <w:sz w:val="20"/>
          <w:szCs w:val="20"/>
          <w:lang w:val="es-ES"/>
        </w:rPr>
        <w:t>en la</w:t>
      </w:r>
      <w:r w:rsidR="00C524A1" w:rsidRPr="004B2F20">
        <w:rPr>
          <w:sz w:val="20"/>
          <w:szCs w:val="20"/>
          <w:lang w:val="es-ES"/>
        </w:rPr>
        <w:t xml:space="preserve"> investigación, sanción y juzgamient</w:t>
      </w:r>
      <w:r w:rsidR="00C524A1">
        <w:rPr>
          <w:sz w:val="20"/>
          <w:szCs w:val="20"/>
          <w:lang w:val="es-ES"/>
        </w:rPr>
        <w:t xml:space="preserve">o de los presuntos responsables; </w:t>
      </w:r>
      <w:r w:rsidR="008000AF">
        <w:rPr>
          <w:sz w:val="20"/>
          <w:szCs w:val="20"/>
          <w:lang w:val="es-ES"/>
        </w:rPr>
        <w:t>en</w:t>
      </w:r>
      <w:r w:rsidR="00CD7C19" w:rsidRPr="004B2F20">
        <w:rPr>
          <w:sz w:val="20"/>
          <w:szCs w:val="20"/>
          <w:lang w:val="es-ES"/>
        </w:rPr>
        <w:t xml:space="preserve"> la</w:t>
      </w:r>
      <w:r w:rsidR="00CD7C19">
        <w:rPr>
          <w:sz w:val="20"/>
          <w:szCs w:val="20"/>
          <w:lang w:val="es-ES"/>
        </w:rPr>
        <w:t xml:space="preserve"> ubicación y entrega de los restos de Martha Cecilia</w:t>
      </w:r>
      <w:r w:rsidR="00D32942">
        <w:rPr>
          <w:sz w:val="20"/>
          <w:szCs w:val="20"/>
          <w:lang w:val="es-ES"/>
        </w:rPr>
        <w:t>;</w:t>
      </w:r>
      <w:r w:rsidR="00085168">
        <w:rPr>
          <w:sz w:val="20"/>
          <w:szCs w:val="20"/>
          <w:lang w:val="es-ES"/>
        </w:rPr>
        <w:t xml:space="preserve"> y</w:t>
      </w:r>
      <w:r w:rsidR="00CD7C19">
        <w:rPr>
          <w:sz w:val="20"/>
          <w:szCs w:val="20"/>
          <w:lang w:val="es-ES"/>
        </w:rPr>
        <w:t xml:space="preserve"> respecto</w:t>
      </w:r>
      <w:r w:rsidR="00E8671F">
        <w:rPr>
          <w:sz w:val="20"/>
          <w:szCs w:val="20"/>
          <w:lang w:val="es-ES"/>
        </w:rPr>
        <w:t xml:space="preserve"> </w:t>
      </w:r>
      <w:r w:rsidR="00664B37">
        <w:rPr>
          <w:sz w:val="20"/>
          <w:szCs w:val="20"/>
          <w:lang w:val="es-ES"/>
        </w:rPr>
        <w:t>al</w:t>
      </w:r>
      <w:r w:rsidR="00E8671F">
        <w:rPr>
          <w:sz w:val="20"/>
          <w:szCs w:val="20"/>
          <w:lang w:val="es-ES"/>
        </w:rPr>
        <w:t xml:space="preserve"> </w:t>
      </w:r>
      <w:r w:rsidR="00FF3068">
        <w:rPr>
          <w:sz w:val="20"/>
          <w:szCs w:val="20"/>
          <w:lang w:val="es-ES"/>
        </w:rPr>
        <w:t>co</w:t>
      </w:r>
      <w:r w:rsidR="00664B37">
        <w:rPr>
          <w:sz w:val="20"/>
          <w:szCs w:val="20"/>
          <w:lang w:val="es-ES"/>
        </w:rPr>
        <w:t>nocimiento del caso por</w:t>
      </w:r>
      <w:r w:rsidR="008000AF">
        <w:rPr>
          <w:sz w:val="20"/>
          <w:szCs w:val="20"/>
          <w:lang w:val="es-ES"/>
        </w:rPr>
        <w:t xml:space="preserve"> la</w:t>
      </w:r>
      <w:r w:rsidR="00E8671F">
        <w:rPr>
          <w:sz w:val="20"/>
          <w:szCs w:val="20"/>
          <w:lang w:val="es-ES"/>
        </w:rPr>
        <w:t xml:space="preserve"> </w:t>
      </w:r>
      <w:r w:rsidR="00AD7AFC" w:rsidRPr="00AD7AFC">
        <w:rPr>
          <w:sz w:val="20"/>
          <w:szCs w:val="20"/>
          <w:lang w:val="es-ES"/>
        </w:rPr>
        <w:t>j</w:t>
      </w:r>
      <w:r w:rsidR="00CD7C19">
        <w:rPr>
          <w:sz w:val="20"/>
          <w:szCs w:val="20"/>
          <w:lang w:val="es-ES"/>
        </w:rPr>
        <w:t xml:space="preserve">urisdicción militar </w:t>
      </w:r>
      <w:r w:rsidR="00664B37">
        <w:rPr>
          <w:sz w:val="20"/>
          <w:szCs w:val="20"/>
          <w:lang w:val="es-ES"/>
        </w:rPr>
        <w:t>podrían configurarse</w:t>
      </w:r>
      <w:r w:rsidR="008E5342" w:rsidRPr="00CD7C19">
        <w:rPr>
          <w:sz w:val="20"/>
          <w:szCs w:val="20"/>
          <w:lang w:val="es-ES"/>
        </w:rPr>
        <w:t xml:space="preserve"> violaciones a los artículos</w:t>
      </w:r>
      <w:r w:rsidR="00482254" w:rsidRPr="00CD7C19">
        <w:rPr>
          <w:sz w:val="20"/>
          <w:szCs w:val="20"/>
          <w:lang w:val="es-ES"/>
        </w:rPr>
        <w:t xml:space="preserve"> 8 y 25 de la Convención Americana en relación con su</w:t>
      </w:r>
      <w:r w:rsidR="00E8671F">
        <w:rPr>
          <w:sz w:val="20"/>
          <w:szCs w:val="20"/>
          <w:lang w:val="es-ES"/>
        </w:rPr>
        <w:t>s</w:t>
      </w:r>
      <w:r w:rsidR="00482254" w:rsidRPr="00CD7C19">
        <w:rPr>
          <w:sz w:val="20"/>
          <w:szCs w:val="20"/>
          <w:lang w:val="es-ES"/>
        </w:rPr>
        <w:t xml:space="preserve"> artículo</w:t>
      </w:r>
      <w:r w:rsidR="00E8671F">
        <w:rPr>
          <w:sz w:val="20"/>
          <w:szCs w:val="20"/>
          <w:lang w:val="es-ES"/>
        </w:rPr>
        <w:t>s</w:t>
      </w:r>
      <w:r w:rsidR="00482254" w:rsidRPr="00CD7C19">
        <w:rPr>
          <w:sz w:val="20"/>
          <w:szCs w:val="20"/>
          <w:lang w:val="es-ES"/>
        </w:rPr>
        <w:t xml:space="preserve"> 1.1 </w:t>
      </w:r>
      <w:r w:rsidR="00E8671F">
        <w:rPr>
          <w:sz w:val="20"/>
          <w:szCs w:val="20"/>
          <w:lang w:val="es-ES"/>
        </w:rPr>
        <w:t xml:space="preserve">y 2 </w:t>
      </w:r>
      <w:r w:rsidR="00482254" w:rsidRPr="00CD7C19">
        <w:rPr>
          <w:sz w:val="20"/>
          <w:szCs w:val="20"/>
          <w:lang w:val="es-ES"/>
        </w:rPr>
        <w:t xml:space="preserve">en perjuicio de </w:t>
      </w:r>
      <w:r w:rsidR="007F20AD" w:rsidRPr="00CD7C19">
        <w:rPr>
          <w:sz w:val="20"/>
          <w:szCs w:val="20"/>
          <w:lang w:val="es-ES"/>
        </w:rPr>
        <w:t>las mismas</w:t>
      </w:r>
      <w:r w:rsidR="00482254" w:rsidRPr="00CD7C19">
        <w:rPr>
          <w:sz w:val="20"/>
          <w:szCs w:val="20"/>
          <w:lang w:val="es-ES"/>
        </w:rPr>
        <w:t>.</w:t>
      </w:r>
    </w:p>
    <w:p w:rsidR="001349AB" w:rsidRPr="001349AB" w:rsidRDefault="001349AB" w:rsidP="001349AB">
      <w:pPr>
        <w:pStyle w:val="ListParagraph"/>
        <w:tabs>
          <w:tab w:val="center" w:pos="1440"/>
          <w:tab w:val="left" w:pos="6511"/>
        </w:tabs>
        <w:jc w:val="both"/>
        <w:rPr>
          <w:sz w:val="20"/>
          <w:szCs w:val="20"/>
          <w:lang w:val="es-ES"/>
        </w:rPr>
      </w:pPr>
    </w:p>
    <w:p w:rsidR="00F9225B" w:rsidRPr="00AC7486" w:rsidRDefault="00482254" w:rsidP="00AC7486">
      <w:pPr>
        <w:pStyle w:val="ListParagraph"/>
        <w:numPr>
          <w:ilvl w:val="0"/>
          <w:numId w:val="56"/>
        </w:numPr>
        <w:tabs>
          <w:tab w:val="num" w:pos="0"/>
          <w:tab w:val="center" w:pos="1440"/>
          <w:tab w:val="left" w:pos="6511"/>
        </w:tabs>
        <w:ind w:left="0" w:firstLine="720"/>
        <w:jc w:val="both"/>
        <w:rPr>
          <w:sz w:val="20"/>
          <w:szCs w:val="20"/>
          <w:lang w:val="es-ES"/>
        </w:rPr>
      </w:pPr>
      <w:r>
        <w:rPr>
          <w:color w:val="auto"/>
          <w:sz w:val="20"/>
          <w:szCs w:val="20"/>
          <w:lang w:val="es-ES"/>
        </w:rPr>
        <w:t>Por otro lado,</w:t>
      </w:r>
      <w:r w:rsidR="00F9225B" w:rsidRPr="006E5B49">
        <w:rPr>
          <w:color w:val="auto"/>
          <w:sz w:val="20"/>
          <w:szCs w:val="20"/>
          <w:lang w:val="es-ES"/>
        </w:rPr>
        <w:t xml:space="preserve"> los alegatos relacionados con la separación arbitraria de las tres niñas</w:t>
      </w:r>
      <w:r w:rsidR="00CA385F">
        <w:rPr>
          <w:color w:val="auto"/>
          <w:sz w:val="20"/>
          <w:szCs w:val="20"/>
          <w:lang w:val="es-ES"/>
        </w:rPr>
        <w:t xml:space="preserve"> de la familia</w:t>
      </w:r>
      <w:r w:rsidR="00F9225B" w:rsidRPr="006E5B49">
        <w:rPr>
          <w:color w:val="auto"/>
          <w:sz w:val="20"/>
          <w:szCs w:val="20"/>
          <w:lang w:val="es-ES"/>
        </w:rPr>
        <w:t xml:space="preserve"> y su internamiento en una instalación militar</w:t>
      </w:r>
      <w:r w:rsidR="001349AB" w:rsidRPr="006E5B49">
        <w:rPr>
          <w:color w:val="auto"/>
          <w:sz w:val="20"/>
          <w:szCs w:val="20"/>
          <w:lang w:val="es-ES"/>
        </w:rPr>
        <w:t xml:space="preserve"> podrían caracterizar posib</w:t>
      </w:r>
      <w:r w:rsidR="00F9225B" w:rsidRPr="006E5B49">
        <w:rPr>
          <w:color w:val="auto"/>
          <w:sz w:val="20"/>
          <w:szCs w:val="20"/>
          <w:lang w:val="es-ES"/>
        </w:rPr>
        <w:t>les violaciones de</w:t>
      </w:r>
      <w:r w:rsidR="006E5B49" w:rsidRPr="006E5B49">
        <w:rPr>
          <w:color w:val="auto"/>
          <w:sz w:val="20"/>
          <w:szCs w:val="20"/>
          <w:lang w:val="es-ES"/>
        </w:rPr>
        <w:t xml:space="preserve"> </w:t>
      </w:r>
      <w:r w:rsidR="00F9225B" w:rsidRPr="006E5B49">
        <w:rPr>
          <w:color w:val="auto"/>
          <w:sz w:val="20"/>
          <w:szCs w:val="20"/>
          <w:lang w:val="es-ES"/>
        </w:rPr>
        <w:t>l</w:t>
      </w:r>
      <w:r w:rsidR="006E5B49" w:rsidRPr="006E5B49">
        <w:rPr>
          <w:color w:val="auto"/>
          <w:sz w:val="20"/>
          <w:szCs w:val="20"/>
          <w:lang w:val="es-ES"/>
        </w:rPr>
        <w:t>os</w:t>
      </w:r>
      <w:r w:rsidR="00F9225B" w:rsidRPr="006E5B49">
        <w:rPr>
          <w:color w:val="auto"/>
          <w:sz w:val="20"/>
          <w:szCs w:val="20"/>
          <w:lang w:val="es-ES"/>
        </w:rPr>
        <w:t xml:space="preserve"> artículo</w:t>
      </w:r>
      <w:r w:rsidR="006E5B49" w:rsidRPr="006E5B49">
        <w:rPr>
          <w:color w:val="auto"/>
          <w:sz w:val="20"/>
          <w:szCs w:val="20"/>
          <w:lang w:val="es-ES"/>
        </w:rPr>
        <w:t>s</w:t>
      </w:r>
      <w:r w:rsidR="00F9225B" w:rsidRPr="006E5B49">
        <w:rPr>
          <w:color w:val="auto"/>
          <w:sz w:val="20"/>
          <w:szCs w:val="20"/>
          <w:lang w:val="es-ES"/>
        </w:rPr>
        <w:t xml:space="preserve"> </w:t>
      </w:r>
      <w:r w:rsidR="009D56BB">
        <w:rPr>
          <w:color w:val="auto"/>
          <w:sz w:val="20"/>
          <w:szCs w:val="20"/>
          <w:lang w:val="es-ES"/>
        </w:rPr>
        <w:t xml:space="preserve">5 </w:t>
      </w:r>
      <w:r w:rsidR="001349AB" w:rsidRPr="006E5B49">
        <w:rPr>
          <w:color w:val="auto"/>
          <w:sz w:val="20"/>
          <w:szCs w:val="20"/>
          <w:lang w:val="es-ES"/>
        </w:rPr>
        <w:t xml:space="preserve">y 19 </w:t>
      </w:r>
      <w:r w:rsidR="00F9225B" w:rsidRPr="006E5B49">
        <w:rPr>
          <w:color w:val="auto"/>
          <w:sz w:val="20"/>
          <w:szCs w:val="20"/>
          <w:lang w:val="es-ES"/>
        </w:rPr>
        <w:t>en concordancia con el artículo 1.1 de la Convención</w:t>
      </w:r>
      <w:r w:rsidR="006E5B49" w:rsidRPr="006E5B49">
        <w:rPr>
          <w:color w:val="auto"/>
          <w:sz w:val="20"/>
          <w:szCs w:val="20"/>
          <w:lang w:val="es-ES"/>
        </w:rPr>
        <w:t xml:space="preserve"> Americana en perjuicio de Yaneth,</w:t>
      </w:r>
      <w:r w:rsidR="0062161D">
        <w:rPr>
          <w:color w:val="auto"/>
          <w:sz w:val="20"/>
          <w:szCs w:val="20"/>
          <w:lang w:val="es-ES"/>
        </w:rPr>
        <w:t xml:space="preserve"> Ismenia Ayure y Graciela Ayure; y del artículo 5 de la convención </w:t>
      </w:r>
      <w:r w:rsidR="0062161D" w:rsidRPr="0062161D">
        <w:rPr>
          <w:color w:val="auto"/>
          <w:sz w:val="20"/>
          <w:szCs w:val="20"/>
          <w:lang w:val="es-ES"/>
        </w:rPr>
        <w:t xml:space="preserve">en relación a su artículo 1.1 </w:t>
      </w:r>
      <w:r w:rsidR="0062161D">
        <w:rPr>
          <w:color w:val="auto"/>
          <w:sz w:val="20"/>
          <w:szCs w:val="20"/>
          <w:lang w:val="es-ES"/>
        </w:rPr>
        <w:t>en perjuicio de los familiares quienes desconocían su paradero.</w:t>
      </w:r>
      <w:r w:rsidR="00AC7486" w:rsidRPr="00AC7486">
        <w:rPr>
          <w:sz w:val="20"/>
          <w:szCs w:val="20"/>
          <w:lang w:val="es-ES"/>
        </w:rPr>
        <w:t xml:space="preserve"> </w:t>
      </w:r>
      <w:r w:rsidR="00DF66C9" w:rsidRPr="00AB25F4">
        <w:rPr>
          <w:sz w:val="20"/>
          <w:szCs w:val="20"/>
          <w:lang w:val="es-ES"/>
        </w:rPr>
        <w:t>Asimismo, la Comisión observa que los alegatos expuestos podrían caracterizar violaciones al derecho a la libertad personal</w:t>
      </w:r>
      <w:r w:rsidR="00DF66C9">
        <w:rPr>
          <w:sz w:val="20"/>
          <w:szCs w:val="20"/>
          <w:lang w:val="es-ES"/>
        </w:rPr>
        <w:t>, por lo tanto</w:t>
      </w:r>
      <w:r w:rsidR="00DF66C9" w:rsidRPr="00AB25F4">
        <w:rPr>
          <w:sz w:val="20"/>
          <w:szCs w:val="20"/>
          <w:lang w:val="es-ES"/>
        </w:rPr>
        <w:t xml:space="preserve"> también considerará en la etapa de fondo la presunta violación del artículo 7 de la Convención, en relación </w:t>
      </w:r>
      <w:r w:rsidR="00AF2D34">
        <w:rPr>
          <w:sz w:val="20"/>
          <w:szCs w:val="20"/>
          <w:lang w:val="es-ES"/>
        </w:rPr>
        <w:t>con</w:t>
      </w:r>
      <w:r w:rsidR="00DF66C9" w:rsidRPr="00AB25F4">
        <w:rPr>
          <w:sz w:val="20"/>
          <w:szCs w:val="20"/>
          <w:lang w:val="es-ES"/>
        </w:rPr>
        <w:t xml:space="preserve"> su artículo 1.</w:t>
      </w:r>
      <w:r w:rsidR="00BD0CA8">
        <w:rPr>
          <w:sz w:val="20"/>
          <w:szCs w:val="20"/>
          <w:lang w:val="es-ES"/>
        </w:rPr>
        <w:t>1.</w:t>
      </w:r>
    </w:p>
    <w:p w:rsidR="00BE72A6" w:rsidRPr="00BE72A6" w:rsidRDefault="00BE72A6" w:rsidP="00BE72A6">
      <w:pPr>
        <w:pStyle w:val="ListParagraph"/>
        <w:rPr>
          <w:sz w:val="20"/>
          <w:szCs w:val="20"/>
          <w:lang w:val="es-ES"/>
        </w:rPr>
      </w:pPr>
    </w:p>
    <w:p w:rsidR="006D1163" w:rsidRPr="008E5342" w:rsidRDefault="00BE72A6" w:rsidP="00CA385F">
      <w:pPr>
        <w:pStyle w:val="ListParagraph"/>
        <w:numPr>
          <w:ilvl w:val="0"/>
          <w:numId w:val="56"/>
        </w:numPr>
        <w:tabs>
          <w:tab w:val="num" w:pos="0"/>
          <w:tab w:val="center" w:pos="1440"/>
          <w:tab w:val="left" w:pos="6511"/>
        </w:tabs>
        <w:ind w:left="0" w:firstLine="720"/>
        <w:jc w:val="both"/>
        <w:rPr>
          <w:sz w:val="20"/>
          <w:szCs w:val="20"/>
          <w:lang w:val="es-ES"/>
        </w:rPr>
      </w:pPr>
      <w:r w:rsidRPr="00482254">
        <w:rPr>
          <w:sz w:val="20"/>
          <w:lang w:val="es-ES"/>
        </w:rPr>
        <w:t xml:space="preserve">Adicionalmente la CIDH considera que los efectos que habrían padecido los familiares </w:t>
      </w:r>
      <w:r w:rsidR="000A3E15" w:rsidRPr="00482254">
        <w:rPr>
          <w:sz w:val="20"/>
          <w:lang w:val="es-ES"/>
        </w:rPr>
        <w:t xml:space="preserve">por la muerte </w:t>
      </w:r>
      <w:r w:rsidRPr="00482254">
        <w:rPr>
          <w:sz w:val="20"/>
          <w:lang w:val="es-ES"/>
        </w:rPr>
        <w:t>de la niña Martha Cecilia Ayure</w:t>
      </w:r>
      <w:r w:rsidR="008D3512">
        <w:rPr>
          <w:sz w:val="20"/>
          <w:lang w:val="es-ES"/>
        </w:rPr>
        <w:t>;</w:t>
      </w:r>
      <w:r w:rsidR="00FF3068">
        <w:rPr>
          <w:sz w:val="20"/>
          <w:lang w:val="es-ES"/>
        </w:rPr>
        <w:t xml:space="preserve"> el alegado ocultamiento de su</w:t>
      </w:r>
      <w:r w:rsidR="00793EDF">
        <w:rPr>
          <w:sz w:val="20"/>
          <w:lang w:val="es-ES"/>
        </w:rPr>
        <w:t xml:space="preserve"> cadáver por </w:t>
      </w:r>
      <w:r w:rsidR="00EF2192">
        <w:rPr>
          <w:sz w:val="20"/>
          <w:lang w:val="es-ES"/>
        </w:rPr>
        <w:t>casi</w:t>
      </w:r>
      <w:r w:rsidR="00793EDF">
        <w:rPr>
          <w:sz w:val="20"/>
          <w:lang w:val="es-ES"/>
        </w:rPr>
        <w:t xml:space="preserve"> 5 años;</w:t>
      </w:r>
      <w:r w:rsidRPr="00482254">
        <w:rPr>
          <w:sz w:val="20"/>
          <w:lang w:val="es-ES"/>
        </w:rPr>
        <w:t xml:space="preserve"> </w:t>
      </w:r>
      <w:r w:rsidR="00793EDF">
        <w:rPr>
          <w:sz w:val="20"/>
          <w:lang w:val="es-ES"/>
        </w:rPr>
        <w:t>el hecho</w:t>
      </w:r>
      <w:r w:rsidRPr="00482254">
        <w:rPr>
          <w:sz w:val="20"/>
          <w:lang w:val="es-ES"/>
        </w:rPr>
        <w:t xml:space="preserve"> que Matilde Quintero y Sandra Milena</w:t>
      </w:r>
      <w:r w:rsidR="00AD7AFC">
        <w:rPr>
          <w:sz w:val="20"/>
          <w:lang w:val="es-ES"/>
        </w:rPr>
        <w:t xml:space="preserve"> Ayure</w:t>
      </w:r>
      <w:r w:rsidRPr="00482254">
        <w:rPr>
          <w:sz w:val="20"/>
          <w:lang w:val="es-ES"/>
        </w:rPr>
        <w:t xml:space="preserve"> habrían adquirido una</w:t>
      </w:r>
      <w:r w:rsidR="008D3512">
        <w:rPr>
          <w:sz w:val="20"/>
          <w:lang w:val="es-ES"/>
        </w:rPr>
        <w:t xml:space="preserve"> discapacidad física permanente;</w:t>
      </w:r>
      <w:r w:rsidRPr="00482254">
        <w:rPr>
          <w:sz w:val="20"/>
          <w:lang w:val="es-ES"/>
        </w:rPr>
        <w:t xml:space="preserve"> </w:t>
      </w:r>
      <w:r w:rsidR="00793EDF">
        <w:rPr>
          <w:sz w:val="20"/>
          <w:lang w:val="es-ES"/>
        </w:rPr>
        <w:t xml:space="preserve">y </w:t>
      </w:r>
      <w:r w:rsidRPr="00482254">
        <w:rPr>
          <w:sz w:val="20"/>
          <w:lang w:val="es-ES"/>
        </w:rPr>
        <w:t>la</w:t>
      </w:r>
      <w:r w:rsidR="00F3211C">
        <w:rPr>
          <w:sz w:val="20"/>
          <w:lang w:val="es-ES"/>
        </w:rPr>
        <w:t xml:space="preserve"> alegada denegación de justicia</w:t>
      </w:r>
      <w:r w:rsidRPr="00482254">
        <w:rPr>
          <w:sz w:val="20"/>
          <w:lang w:val="es-ES"/>
        </w:rPr>
        <w:t xml:space="preserve"> podrían caracterizar una posible violación de</w:t>
      </w:r>
      <w:r w:rsidR="001331BD">
        <w:rPr>
          <w:sz w:val="20"/>
          <w:lang w:val="es-ES"/>
        </w:rPr>
        <w:t xml:space="preserve"> </w:t>
      </w:r>
      <w:r w:rsidRPr="00482254">
        <w:rPr>
          <w:sz w:val="20"/>
          <w:lang w:val="es-ES"/>
        </w:rPr>
        <w:t>l</w:t>
      </w:r>
      <w:r w:rsidR="001331BD">
        <w:rPr>
          <w:sz w:val="20"/>
          <w:lang w:val="es-ES"/>
        </w:rPr>
        <w:t>os</w:t>
      </w:r>
      <w:r w:rsidRPr="00482254">
        <w:rPr>
          <w:sz w:val="20"/>
          <w:lang w:val="es-ES"/>
        </w:rPr>
        <w:t xml:space="preserve"> artículo</w:t>
      </w:r>
      <w:r w:rsidR="001331BD">
        <w:rPr>
          <w:sz w:val="20"/>
          <w:lang w:val="es-ES"/>
        </w:rPr>
        <w:t>s</w:t>
      </w:r>
      <w:r w:rsidRPr="00482254">
        <w:rPr>
          <w:sz w:val="20"/>
          <w:lang w:val="es-ES"/>
        </w:rPr>
        <w:t xml:space="preserve"> 5</w:t>
      </w:r>
      <w:r w:rsidR="001331BD">
        <w:rPr>
          <w:sz w:val="20"/>
          <w:lang w:val="es-ES"/>
        </w:rPr>
        <w:t>, 8 y 25</w:t>
      </w:r>
      <w:r w:rsidRPr="00482254">
        <w:rPr>
          <w:sz w:val="20"/>
          <w:lang w:val="es-ES"/>
        </w:rPr>
        <w:t xml:space="preserve"> de la Convención Americana, en relación con su artículo 1.1.</w:t>
      </w:r>
      <w:r w:rsidR="00CA385F" w:rsidRPr="00CA385F">
        <w:rPr>
          <w:sz w:val="20"/>
          <w:szCs w:val="20"/>
          <w:lang w:val="es-ES"/>
        </w:rPr>
        <w:t xml:space="preserve"> </w:t>
      </w:r>
      <w:r w:rsidR="00CA385F">
        <w:rPr>
          <w:sz w:val="20"/>
          <w:szCs w:val="20"/>
          <w:lang w:val="es-ES"/>
        </w:rPr>
        <w:t xml:space="preserve">Asimismo, los alegatos podrían caracterizar posible violación del artículo </w:t>
      </w:r>
      <w:r w:rsidR="00CA385F" w:rsidRPr="001349AB">
        <w:rPr>
          <w:sz w:val="20"/>
          <w:szCs w:val="20"/>
          <w:lang w:val="es-ES"/>
        </w:rPr>
        <w:t xml:space="preserve">21 de la Convención, en relación a su artículo 1.1, en perjuicio de </w:t>
      </w:r>
      <w:r w:rsidR="00CA385F">
        <w:rPr>
          <w:sz w:val="20"/>
          <w:szCs w:val="20"/>
          <w:lang w:val="es-ES"/>
        </w:rPr>
        <w:t>los famil</w:t>
      </w:r>
      <w:r w:rsidR="00F3211C">
        <w:rPr>
          <w:sz w:val="20"/>
          <w:szCs w:val="20"/>
          <w:lang w:val="es-ES"/>
        </w:rPr>
        <w:t>iares de las presuntas víctimas,</w:t>
      </w:r>
      <w:r w:rsidR="00CA385F" w:rsidRPr="001349AB">
        <w:rPr>
          <w:sz w:val="20"/>
          <w:szCs w:val="20"/>
          <w:lang w:val="es-ES"/>
        </w:rPr>
        <w:t xml:space="preserve"> cuyas pertenencias habrían sido destruid</w:t>
      </w:r>
      <w:r w:rsidR="008E5342">
        <w:rPr>
          <w:sz w:val="20"/>
          <w:szCs w:val="20"/>
          <w:lang w:val="es-ES"/>
        </w:rPr>
        <w:t>as.</w:t>
      </w:r>
    </w:p>
    <w:p w:rsidR="00BB576D" w:rsidRPr="00BB576D" w:rsidRDefault="00BB576D" w:rsidP="00BB576D">
      <w:pPr>
        <w:pStyle w:val="ListParagraph"/>
        <w:rPr>
          <w:sz w:val="20"/>
          <w:szCs w:val="20"/>
          <w:lang w:val="es-ES"/>
        </w:rPr>
      </w:pPr>
    </w:p>
    <w:p w:rsidR="001349AB" w:rsidRDefault="00BB576D" w:rsidP="001349AB">
      <w:pPr>
        <w:pStyle w:val="ListParagraph"/>
        <w:numPr>
          <w:ilvl w:val="0"/>
          <w:numId w:val="56"/>
        </w:numPr>
        <w:tabs>
          <w:tab w:val="num" w:pos="0"/>
          <w:tab w:val="center" w:pos="1440"/>
          <w:tab w:val="left" w:pos="6511"/>
        </w:tabs>
        <w:ind w:left="0" w:firstLine="720"/>
        <w:jc w:val="both"/>
        <w:rPr>
          <w:sz w:val="20"/>
          <w:szCs w:val="20"/>
          <w:lang w:val="es-ES"/>
        </w:rPr>
      </w:pPr>
      <w:r>
        <w:rPr>
          <w:sz w:val="20"/>
          <w:szCs w:val="20"/>
          <w:lang w:val="es-ES"/>
        </w:rPr>
        <w:lastRenderedPageBreak/>
        <w:t>Por otra parte, l</w:t>
      </w:r>
      <w:r w:rsidR="001349AB" w:rsidRPr="001349AB">
        <w:rPr>
          <w:sz w:val="20"/>
          <w:szCs w:val="20"/>
          <w:lang w:val="es-ES"/>
        </w:rPr>
        <w:t>a CIDH observa que con respecto a la</w:t>
      </w:r>
      <w:r w:rsidR="00056E40">
        <w:rPr>
          <w:sz w:val="20"/>
          <w:szCs w:val="20"/>
          <w:lang w:val="es-ES"/>
        </w:rPr>
        <w:t>s</w:t>
      </w:r>
      <w:r w:rsidR="001349AB" w:rsidRPr="001349AB">
        <w:rPr>
          <w:sz w:val="20"/>
          <w:szCs w:val="20"/>
          <w:lang w:val="es-ES"/>
        </w:rPr>
        <w:t xml:space="preserve"> alegada</w:t>
      </w:r>
      <w:r w:rsidR="00056E40">
        <w:rPr>
          <w:sz w:val="20"/>
          <w:szCs w:val="20"/>
          <w:lang w:val="es-ES"/>
        </w:rPr>
        <w:t>s</w:t>
      </w:r>
      <w:r w:rsidR="001349AB" w:rsidRPr="001349AB">
        <w:rPr>
          <w:sz w:val="20"/>
          <w:szCs w:val="20"/>
          <w:lang w:val="es-ES"/>
        </w:rPr>
        <w:t xml:space="preserve"> </w:t>
      </w:r>
      <w:r w:rsidR="00056E40" w:rsidRPr="001349AB">
        <w:rPr>
          <w:sz w:val="20"/>
          <w:szCs w:val="20"/>
          <w:lang w:val="es-ES"/>
        </w:rPr>
        <w:t>violacion</w:t>
      </w:r>
      <w:r w:rsidR="00056E40">
        <w:rPr>
          <w:sz w:val="20"/>
          <w:szCs w:val="20"/>
          <w:lang w:val="es-ES"/>
        </w:rPr>
        <w:t>es</w:t>
      </w:r>
      <w:r w:rsidR="003D1FA6">
        <w:rPr>
          <w:sz w:val="20"/>
          <w:szCs w:val="20"/>
          <w:lang w:val="es-ES"/>
        </w:rPr>
        <w:t xml:space="preserve"> de los artículos 11</w:t>
      </w:r>
      <w:r w:rsidR="009D56BB">
        <w:rPr>
          <w:sz w:val="20"/>
          <w:szCs w:val="20"/>
          <w:lang w:val="es-ES"/>
        </w:rPr>
        <w:t>, 17</w:t>
      </w:r>
      <w:r w:rsidR="003D1FA6">
        <w:rPr>
          <w:sz w:val="20"/>
          <w:szCs w:val="20"/>
          <w:lang w:val="es-ES"/>
        </w:rPr>
        <w:t xml:space="preserve"> y 22</w:t>
      </w:r>
      <w:r w:rsidR="001349AB" w:rsidRPr="001349AB">
        <w:rPr>
          <w:sz w:val="20"/>
          <w:szCs w:val="20"/>
          <w:lang w:val="es-ES"/>
        </w:rPr>
        <w:t xml:space="preserve"> el peticionario no ha brindado elementos suficientes que podrían caracterizar una posible violación a estos artículos.</w:t>
      </w:r>
    </w:p>
    <w:p w:rsidR="00B404E5" w:rsidRPr="00D32942" w:rsidRDefault="00B404E5" w:rsidP="00B404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iCs/>
          <w:sz w:val="20"/>
          <w:szCs w:val="20"/>
          <w:bdr w:val="none" w:sz="0" w:space="0" w:color="auto"/>
          <w:lang w:val="es-ES"/>
        </w:rPr>
      </w:pPr>
    </w:p>
    <w:p w:rsidR="00B404E5" w:rsidRPr="00D32942" w:rsidRDefault="00B404E5" w:rsidP="0073310A">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eastAsia="MS Mincho" w:hAnsi="Cambria"/>
          <w:b/>
          <w:bCs/>
          <w:kern w:val="36"/>
          <w:sz w:val="20"/>
          <w:szCs w:val="20"/>
          <w:bdr w:val="none" w:sz="0" w:space="0" w:color="auto"/>
          <w:lang w:val="es-ES_tradnl"/>
        </w:rPr>
      </w:pPr>
      <w:r w:rsidRPr="00D32942">
        <w:rPr>
          <w:rFonts w:ascii="Cambria" w:eastAsia="MS Mincho" w:hAnsi="Cambria"/>
          <w:b/>
          <w:bCs/>
          <w:kern w:val="36"/>
          <w:sz w:val="20"/>
          <w:szCs w:val="20"/>
          <w:bdr w:val="none" w:sz="0" w:space="0" w:color="auto"/>
          <w:lang w:val="es-ES_tradnl"/>
        </w:rPr>
        <w:t>V.</w:t>
      </w:r>
      <w:r w:rsidRPr="00D32942">
        <w:rPr>
          <w:rFonts w:ascii="Cambria" w:eastAsia="MS Mincho" w:hAnsi="Cambria"/>
          <w:b/>
          <w:bCs/>
          <w:kern w:val="36"/>
          <w:sz w:val="20"/>
          <w:szCs w:val="20"/>
          <w:bdr w:val="none" w:sz="0" w:space="0" w:color="auto"/>
          <w:lang w:val="es-ES_tradnl"/>
        </w:rPr>
        <w:tab/>
        <w:t>CONCLUSIONES</w:t>
      </w:r>
    </w:p>
    <w:p w:rsidR="008A7A93" w:rsidRPr="00D32942" w:rsidRDefault="008A7A93" w:rsidP="008A7A9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eastAsia="MS Mincho" w:hAnsi="Cambria"/>
          <w:b/>
          <w:bCs/>
          <w:kern w:val="36"/>
          <w:sz w:val="20"/>
          <w:szCs w:val="20"/>
          <w:bdr w:val="none" w:sz="0" w:space="0" w:color="auto"/>
          <w:lang w:val="es-ES_tradnl"/>
        </w:rPr>
      </w:pPr>
    </w:p>
    <w:p w:rsidR="00B404E5" w:rsidRPr="00D32942" w:rsidRDefault="00B404E5" w:rsidP="008A7A9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eastAsia="MS Mincho" w:cs="Arial"/>
          <w:iCs/>
          <w:sz w:val="20"/>
          <w:szCs w:val="20"/>
          <w:bdr w:val="none" w:sz="0" w:space="0" w:color="auto"/>
          <w:lang w:val="es-ES_tradnl"/>
        </w:rPr>
      </w:pPr>
      <w:r w:rsidRPr="00D32942">
        <w:rPr>
          <w:rFonts w:eastAsia="MS Mincho"/>
          <w:sz w:val="20"/>
          <w:szCs w:val="20"/>
          <w:bdr w:val="none" w:sz="0" w:space="0" w:color="auto"/>
          <w:lang w:val="es-ES_tradnl"/>
        </w:rPr>
        <w:t>Con fundamento en las consideraciones de hecho y de derecho expuestas, y sin prejuzgar sobre el fondo de la cuestión, la Comisión Interamericana concluye que el presente caso satisface los requisitos de admisibilidad enunciados en los artículos 46 y 47 de la Convención Americana y en consecuencia</w:t>
      </w:r>
    </w:p>
    <w:p w:rsidR="00B404E5" w:rsidRPr="00D32942" w:rsidRDefault="00B404E5" w:rsidP="008A7A9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sz w:val="20"/>
          <w:szCs w:val="20"/>
          <w:bdr w:val="none" w:sz="0" w:space="0" w:color="auto"/>
          <w:lang w:val="es-ES_tradnl"/>
        </w:rPr>
      </w:pPr>
    </w:p>
    <w:p w:rsidR="003B423D" w:rsidRDefault="00B404E5" w:rsidP="003B423D">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MS Mincho" w:hAnsi="Cambria"/>
          <w:b/>
          <w:sz w:val="20"/>
          <w:szCs w:val="20"/>
          <w:bdr w:val="none" w:sz="0" w:space="0" w:color="auto"/>
          <w:lang w:val="es-ES_tradnl"/>
        </w:rPr>
      </w:pPr>
      <w:r w:rsidRPr="00D32942">
        <w:rPr>
          <w:rFonts w:ascii="Cambria" w:eastAsia="MS Mincho" w:hAnsi="Cambria"/>
          <w:b/>
          <w:sz w:val="20"/>
          <w:szCs w:val="20"/>
          <w:bdr w:val="none" w:sz="0" w:space="0" w:color="auto"/>
          <w:lang w:val="es-ES_tradnl"/>
        </w:rPr>
        <w:t>LA COMISIÓN INTERAMERICANA DE DERECHOS HUMANOS,</w:t>
      </w:r>
    </w:p>
    <w:p w:rsidR="00B404E5" w:rsidRPr="00D32942" w:rsidRDefault="00B404E5" w:rsidP="003B42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_tradnl"/>
        </w:rPr>
      </w:pPr>
      <w:r w:rsidRPr="00D32942">
        <w:rPr>
          <w:rFonts w:ascii="Cambria" w:eastAsia="MS Mincho" w:hAnsi="Cambria"/>
          <w:b/>
          <w:sz w:val="20"/>
          <w:szCs w:val="20"/>
          <w:bdr w:val="none" w:sz="0" w:space="0" w:color="auto"/>
          <w:lang w:val="es-ES_tradnl"/>
        </w:rPr>
        <w:t>DECIDE:</w:t>
      </w:r>
    </w:p>
    <w:p w:rsidR="00B404E5" w:rsidRPr="00D32942" w:rsidRDefault="00B404E5" w:rsidP="00253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b/>
          <w:sz w:val="20"/>
          <w:szCs w:val="20"/>
          <w:bdr w:val="none" w:sz="0" w:space="0" w:color="auto"/>
          <w:lang w:val="es-ES_tradnl"/>
        </w:rPr>
      </w:pPr>
    </w:p>
    <w:p w:rsidR="00B404E5" w:rsidRPr="00D32942" w:rsidRDefault="00B404E5" w:rsidP="00253B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bdr w:val="none" w:sz="0" w:space="0" w:color="auto"/>
          <w:lang w:val="es-ES_tradnl"/>
        </w:rPr>
      </w:pPr>
      <w:r w:rsidRPr="00D32942">
        <w:rPr>
          <w:rFonts w:ascii="Cambria" w:eastAsia="MS Mincho" w:hAnsi="Cambria"/>
          <w:sz w:val="20"/>
          <w:szCs w:val="20"/>
          <w:bdr w:val="none" w:sz="0" w:space="0" w:color="auto"/>
          <w:lang w:val="es-ES_tradnl"/>
        </w:rPr>
        <w:t xml:space="preserve">Declarar admisible la petición </w:t>
      </w:r>
      <w:r w:rsidR="00DB7A90" w:rsidRPr="00D32942">
        <w:rPr>
          <w:rFonts w:ascii="Cambria" w:eastAsia="MS Mincho" w:hAnsi="Cambria"/>
          <w:sz w:val="20"/>
          <w:szCs w:val="20"/>
          <w:bdr w:val="none" w:sz="0" w:space="0" w:color="auto"/>
          <w:lang w:val="es-ES_tradnl"/>
        </w:rPr>
        <w:t>con relación a los artículos 4, 5</w:t>
      </w:r>
      <w:r w:rsidRPr="00D32942">
        <w:rPr>
          <w:rFonts w:ascii="Cambria" w:eastAsia="MS Mincho" w:hAnsi="Cambria"/>
          <w:sz w:val="20"/>
          <w:szCs w:val="20"/>
          <w:bdr w:val="none" w:sz="0" w:space="0" w:color="auto"/>
          <w:lang w:val="es-ES_tradnl"/>
        </w:rPr>
        <w:t>,</w:t>
      </w:r>
      <w:r w:rsidR="001349AB" w:rsidRPr="00D32942">
        <w:rPr>
          <w:rFonts w:ascii="Cambria" w:eastAsia="MS Mincho" w:hAnsi="Cambria"/>
          <w:sz w:val="20"/>
          <w:szCs w:val="20"/>
          <w:bdr w:val="none" w:sz="0" w:space="0" w:color="auto"/>
          <w:lang w:val="es-ES_tradnl"/>
        </w:rPr>
        <w:t xml:space="preserve"> 7,</w:t>
      </w:r>
      <w:r w:rsidRPr="00D32942">
        <w:rPr>
          <w:rFonts w:ascii="Cambria" w:eastAsia="MS Mincho" w:hAnsi="Cambria"/>
          <w:sz w:val="20"/>
          <w:szCs w:val="20"/>
          <w:bdr w:val="none" w:sz="0" w:space="0" w:color="auto"/>
          <w:lang w:val="es-ES_tradnl"/>
        </w:rPr>
        <w:t xml:space="preserve"> 8</w:t>
      </w:r>
      <w:r w:rsidR="00C208C0" w:rsidRPr="00D32942">
        <w:rPr>
          <w:rFonts w:ascii="Cambria" w:eastAsia="MS Mincho" w:hAnsi="Cambria"/>
          <w:sz w:val="20"/>
          <w:szCs w:val="20"/>
          <w:bdr w:val="none" w:sz="0" w:space="0" w:color="auto"/>
          <w:lang w:val="es-ES_tradnl"/>
        </w:rPr>
        <w:t>,</w:t>
      </w:r>
      <w:r w:rsidR="001349AB" w:rsidRPr="00D32942">
        <w:rPr>
          <w:rFonts w:ascii="Cambria" w:eastAsia="MS Mincho" w:hAnsi="Cambria"/>
          <w:sz w:val="20"/>
          <w:szCs w:val="20"/>
          <w:bdr w:val="none" w:sz="0" w:space="0" w:color="auto"/>
          <w:lang w:val="es-ES_tradnl"/>
        </w:rPr>
        <w:t xml:space="preserve"> 19, 21 </w:t>
      </w:r>
      <w:r w:rsidRPr="00D32942">
        <w:rPr>
          <w:rFonts w:ascii="Cambria" w:eastAsia="MS Mincho" w:hAnsi="Cambria"/>
          <w:sz w:val="20"/>
          <w:szCs w:val="20"/>
          <w:bdr w:val="none" w:sz="0" w:space="0" w:color="auto"/>
          <w:lang w:val="es-ES_tradnl"/>
        </w:rPr>
        <w:t>y 25 de la Convención Americana en conexión con las obligaciones establecidas en los artículos 1.1</w:t>
      </w:r>
      <w:r w:rsidR="005E2D55" w:rsidRPr="00D32942">
        <w:rPr>
          <w:rFonts w:ascii="Cambria" w:eastAsia="MS Mincho" w:hAnsi="Cambria"/>
          <w:sz w:val="20"/>
          <w:szCs w:val="20"/>
          <w:bdr w:val="none" w:sz="0" w:space="0" w:color="auto"/>
          <w:lang w:val="es-ES_tradnl"/>
        </w:rPr>
        <w:t xml:space="preserve"> y 2</w:t>
      </w:r>
      <w:r w:rsidRPr="00D32942">
        <w:rPr>
          <w:rFonts w:ascii="Cambria" w:eastAsia="MS Mincho" w:hAnsi="Cambria"/>
          <w:sz w:val="20"/>
          <w:szCs w:val="20"/>
          <w:bdr w:val="none" w:sz="0" w:space="0" w:color="auto"/>
          <w:lang w:val="es-ES_tradnl"/>
        </w:rPr>
        <w:t xml:space="preserve"> del mismo instrumento.</w:t>
      </w:r>
    </w:p>
    <w:p w:rsidR="008C3402" w:rsidRPr="00D32942" w:rsidRDefault="008C3402" w:rsidP="00253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sz w:val="20"/>
          <w:szCs w:val="20"/>
          <w:bdr w:val="none" w:sz="0" w:space="0" w:color="auto"/>
          <w:lang w:val="es-ES_tradnl"/>
        </w:rPr>
      </w:pPr>
    </w:p>
    <w:p w:rsidR="008C3402" w:rsidRPr="00D32942" w:rsidRDefault="008C3402" w:rsidP="00253B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bdr w:val="none" w:sz="0" w:space="0" w:color="auto"/>
          <w:lang w:val="es-ES_tradnl"/>
        </w:rPr>
      </w:pPr>
      <w:r w:rsidRPr="00D32942">
        <w:rPr>
          <w:rFonts w:ascii="Cambria" w:eastAsia="MS Mincho" w:hAnsi="Cambria"/>
          <w:sz w:val="20"/>
          <w:szCs w:val="20"/>
          <w:bdr w:val="none" w:sz="0" w:space="0" w:color="auto"/>
          <w:lang w:val="es-ES"/>
        </w:rPr>
        <w:t xml:space="preserve">Declarar inadmisible la presente petición con relación a posibles violaciones a los artículos </w:t>
      </w:r>
      <w:r w:rsidR="00056E40" w:rsidRPr="00D32942">
        <w:rPr>
          <w:rFonts w:ascii="Cambria" w:eastAsia="MS Mincho" w:hAnsi="Cambria"/>
          <w:sz w:val="20"/>
          <w:szCs w:val="20"/>
          <w:bdr w:val="none" w:sz="0" w:space="0" w:color="auto"/>
          <w:lang w:val="es-ES"/>
        </w:rPr>
        <w:t>11</w:t>
      </w:r>
      <w:r w:rsidR="00C208C0" w:rsidRPr="00D32942">
        <w:rPr>
          <w:rFonts w:ascii="Cambria" w:eastAsia="MS Mincho" w:hAnsi="Cambria"/>
          <w:sz w:val="20"/>
          <w:szCs w:val="20"/>
          <w:bdr w:val="none" w:sz="0" w:space="0" w:color="auto"/>
          <w:lang w:val="es-ES"/>
        </w:rPr>
        <w:t>, 17</w:t>
      </w:r>
      <w:r w:rsidR="00056E40" w:rsidRPr="00D32942">
        <w:rPr>
          <w:rFonts w:ascii="Cambria" w:eastAsia="MS Mincho" w:hAnsi="Cambria"/>
          <w:sz w:val="20"/>
          <w:szCs w:val="20"/>
          <w:bdr w:val="none" w:sz="0" w:space="0" w:color="auto"/>
          <w:lang w:val="es-ES"/>
        </w:rPr>
        <w:t xml:space="preserve"> y 22</w:t>
      </w:r>
      <w:r w:rsidRPr="00D32942">
        <w:rPr>
          <w:rFonts w:ascii="Cambria" w:eastAsia="MS Mincho" w:hAnsi="Cambria"/>
          <w:sz w:val="20"/>
          <w:szCs w:val="20"/>
          <w:bdr w:val="none" w:sz="0" w:space="0" w:color="auto"/>
          <w:lang w:val="es-ES"/>
        </w:rPr>
        <w:t xml:space="preserve"> de la Convención Americana.</w:t>
      </w:r>
    </w:p>
    <w:p w:rsidR="00B404E5" w:rsidRPr="00D32942" w:rsidRDefault="00B404E5" w:rsidP="00253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sz w:val="20"/>
          <w:szCs w:val="20"/>
          <w:bdr w:val="none" w:sz="0" w:space="0" w:color="auto"/>
          <w:lang w:val="es-ES_tradnl"/>
        </w:rPr>
      </w:pPr>
      <w:r w:rsidRPr="00D32942">
        <w:rPr>
          <w:rFonts w:ascii="Cambria" w:eastAsia="MS Mincho" w:hAnsi="Cambria"/>
          <w:sz w:val="20"/>
          <w:szCs w:val="20"/>
          <w:bdr w:val="none" w:sz="0" w:space="0" w:color="auto"/>
          <w:lang w:val="es-ES_tradnl"/>
        </w:rPr>
        <w:t xml:space="preserve"> </w:t>
      </w:r>
    </w:p>
    <w:p w:rsidR="00B404E5" w:rsidRPr="00D32942" w:rsidRDefault="00B404E5" w:rsidP="00253B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bdr w:val="none" w:sz="0" w:space="0" w:color="auto"/>
          <w:lang w:val="es-ES_tradnl"/>
        </w:rPr>
      </w:pPr>
      <w:r w:rsidRPr="00D32942">
        <w:rPr>
          <w:rFonts w:ascii="Cambria" w:eastAsia="MS Mincho" w:hAnsi="Cambria"/>
          <w:sz w:val="20"/>
          <w:szCs w:val="20"/>
          <w:bdr w:val="none" w:sz="0" w:space="0" w:color="auto"/>
          <w:lang w:val="es-ES_tradnl"/>
        </w:rPr>
        <w:t>Notificar esta decisión al Estado y a los peticionarios.</w:t>
      </w:r>
    </w:p>
    <w:p w:rsidR="00B404E5" w:rsidRPr="00D32942" w:rsidRDefault="00B404E5" w:rsidP="00253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sz w:val="20"/>
          <w:szCs w:val="20"/>
          <w:bdr w:val="none" w:sz="0" w:space="0" w:color="auto"/>
          <w:lang w:val="es-ES_tradnl"/>
        </w:rPr>
      </w:pPr>
    </w:p>
    <w:p w:rsidR="00B404E5" w:rsidRPr="00D32942" w:rsidRDefault="00B404E5" w:rsidP="00253B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bdr w:val="none" w:sz="0" w:space="0" w:color="auto"/>
          <w:lang w:val="es-ES_tradnl"/>
        </w:rPr>
      </w:pPr>
      <w:r w:rsidRPr="00D32942">
        <w:rPr>
          <w:rFonts w:ascii="Cambria" w:eastAsia="MS Mincho" w:hAnsi="Cambria"/>
          <w:sz w:val="20"/>
          <w:szCs w:val="20"/>
          <w:bdr w:val="none" w:sz="0" w:space="0" w:color="auto"/>
          <w:lang w:val="es-ES_tradnl"/>
        </w:rPr>
        <w:t>Iniciar el trámite sobre el fondo de la cuestión.</w:t>
      </w:r>
    </w:p>
    <w:p w:rsidR="00B404E5" w:rsidRPr="00D32942" w:rsidRDefault="00B404E5" w:rsidP="00253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sz w:val="20"/>
          <w:szCs w:val="20"/>
          <w:bdr w:val="none" w:sz="0" w:space="0" w:color="auto"/>
          <w:lang w:val="es-ES_tradnl"/>
        </w:rPr>
      </w:pPr>
    </w:p>
    <w:p w:rsidR="00B404E5" w:rsidRDefault="00B404E5" w:rsidP="00253B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bdr w:val="none" w:sz="0" w:space="0" w:color="auto"/>
          <w:lang w:val="es-ES_tradnl"/>
        </w:rPr>
      </w:pPr>
      <w:r w:rsidRPr="00D32942">
        <w:rPr>
          <w:rFonts w:ascii="Cambria" w:eastAsia="MS Mincho" w:hAnsi="Cambria"/>
          <w:sz w:val="20"/>
          <w:szCs w:val="20"/>
          <w:bdr w:val="none" w:sz="0" w:space="0" w:color="auto"/>
          <w:lang w:val="es-ES_tradnl"/>
        </w:rPr>
        <w:t>Publicar esta decisión e incluirla en el Informe Anual, a ser presentado a la Asamblea General de la OEA.</w:t>
      </w:r>
    </w:p>
    <w:p w:rsidR="00D84C4B" w:rsidRDefault="00D84C4B" w:rsidP="00253B5B">
      <w:pPr>
        <w:pStyle w:val="ListParagraph"/>
        <w:ind w:left="0" w:firstLine="720"/>
        <w:jc w:val="both"/>
        <w:rPr>
          <w:rFonts w:eastAsia="MS Mincho"/>
          <w:sz w:val="20"/>
          <w:szCs w:val="20"/>
          <w:bdr w:val="none" w:sz="0" w:space="0" w:color="auto"/>
          <w:lang w:val="es-ES_tradnl"/>
        </w:rPr>
      </w:pPr>
    </w:p>
    <w:p w:rsidR="002D0F73" w:rsidRPr="002D0F73" w:rsidRDefault="008301E4" w:rsidP="002D0F73">
      <w:pPr>
        <w:ind w:firstLine="720"/>
        <w:jc w:val="both"/>
        <w:rPr>
          <w:rFonts w:ascii="Cambria" w:hAnsi="Cambria"/>
          <w:spacing w:val="-2"/>
          <w:sz w:val="20"/>
          <w:szCs w:val="20"/>
          <w:lang w:val="es-CL"/>
        </w:rPr>
      </w:pPr>
      <w:r>
        <w:rPr>
          <w:rFonts w:ascii="Cambria" w:hAnsi="Cambria"/>
          <w:spacing w:val="-2"/>
          <w:sz w:val="20"/>
          <w:szCs w:val="20"/>
          <w:lang w:val="es-CL"/>
        </w:rPr>
        <w:t>Dado y firmado en la ciudad de Washington, D.C., a los 22 días del mes de julio de 2015.</w:t>
      </w:r>
      <w:r w:rsidR="002D0F73">
        <w:rPr>
          <w:rFonts w:ascii="Cambria" w:hAnsi="Cambria"/>
          <w:spacing w:val="-2"/>
          <w:sz w:val="20"/>
          <w:szCs w:val="20"/>
          <w:lang w:val="es-CL"/>
        </w:rPr>
        <w:t xml:space="preserve"> </w:t>
      </w:r>
      <w:r w:rsidR="002D0F73" w:rsidRPr="00804A84">
        <w:rPr>
          <w:rFonts w:ascii="Cambria" w:hAnsi="Cambria" w:cs="Arial"/>
          <w:noProof/>
          <w:spacing w:val="-2"/>
          <w:sz w:val="20"/>
          <w:szCs w:val="20"/>
          <w:lang w:val="es-CL"/>
        </w:rPr>
        <w:t xml:space="preserve">(Firmado): </w:t>
      </w:r>
      <w:r w:rsidR="002D0F73">
        <w:rPr>
          <w:rFonts w:ascii="Cambria" w:hAnsi="Cambria" w:cs="Arial"/>
          <w:noProof/>
          <w:spacing w:val="-2"/>
          <w:sz w:val="20"/>
          <w:szCs w:val="20"/>
          <w:lang w:val="es-CL"/>
        </w:rPr>
        <w:t>Rose-Marie Belle Antoine</w:t>
      </w:r>
      <w:r w:rsidR="002D0F73" w:rsidRPr="00804A84">
        <w:rPr>
          <w:rFonts w:ascii="Cambria" w:hAnsi="Cambria" w:cs="Arial"/>
          <w:noProof/>
          <w:spacing w:val="-2"/>
          <w:sz w:val="20"/>
          <w:szCs w:val="20"/>
          <w:lang w:val="es-CL"/>
        </w:rPr>
        <w:t>, Presidenta;</w:t>
      </w:r>
      <w:r w:rsidR="002D0F73">
        <w:rPr>
          <w:rFonts w:ascii="Cambria" w:hAnsi="Cambria" w:cs="Arial"/>
          <w:noProof/>
          <w:spacing w:val="-2"/>
          <w:sz w:val="20"/>
          <w:szCs w:val="20"/>
          <w:lang w:val="es-CL"/>
        </w:rPr>
        <w:t xml:space="preserve"> James L. Cavallaro, Primer Vicepresidente;</w:t>
      </w:r>
      <w:r w:rsidR="002D0F73" w:rsidRPr="00804A84">
        <w:rPr>
          <w:rFonts w:ascii="Cambria" w:hAnsi="Cambria" w:cs="Arial"/>
          <w:noProof/>
          <w:spacing w:val="-2"/>
          <w:sz w:val="20"/>
          <w:szCs w:val="20"/>
          <w:lang w:val="es-CL"/>
        </w:rPr>
        <w:t xml:space="preserve"> </w:t>
      </w:r>
      <w:r w:rsidR="002D0F73">
        <w:rPr>
          <w:rFonts w:ascii="Cambria" w:hAnsi="Cambria" w:cs="Arial"/>
          <w:noProof/>
          <w:spacing w:val="-2"/>
          <w:sz w:val="20"/>
          <w:szCs w:val="20"/>
          <w:lang w:val="es-CL"/>
        </w:rPr>
        <w:t xml:space="preserve">José de Jesús Orozco Henríquez, </w:t>
      </w:r>
      <w:r w:rsidR="002D0F73" w:rsidRPr="00804A84">
        <w:rPr>
          <w:rFonts w:ascii="Cambria" w:hAnsi="Cambria" w:cs="Arial"/>
          <w:noProof/>
          <w:spacing w:val="-2"/>
          <w:sz w:val="20"/>
          <w:szCs w:val="20"/>
          <w:lang w:val="es-CL"/>
        </w:rPr>
        <w:t xml:space="preserve">Segundo Vicepresidente; </w:t>
      </w:r>
      <w:r w:rsidR="002D0F73">
        <w:rPr>
          <w:rFonts w:ascii="Cambria" w:hAnsi="Cambria" w:cs="Arial"/>
          <w:noProof/>
          <w:spacing w:val="-2"/>
          <w:sz w:val="20"/>
          <w:szCs w:val="20"/>
          <w:lang w:val="es-CL"/>
        </w:rPr>
        <w:t>Felipe González</w:t>
      </w:r>
      <w:r w:rsidR="002D0F73" w:rsidRPr="00804A84">
        <w:rPr>
          <w:rFonts w:ascii="Cambria" w:hAnsi="Cambria" w:cs="Arial"/>
          <w:noProof/>
          <w:spacing w:val="-2"/>
          <w:sz w:val="20"/>
          <w:szCs w:val="20"/>
          <w:lang w:val="es-CL"/>
        </w:rPr>
        <w:t xml:space="preserve">, Rosa María Ortiz, </w:t>
      </w:r>
      <w:r w:rsidR="002D0F73">
        <w:rPr>
          <w:rFonts w:ascii="Cambria" w:hAnsi="Cambria" w:cs="Arial"/>
          <w:noProof/>
          <w:spacing w:val="-2"/>
          <w:sz w:val="20"/>
          <w:szCs w:val="20"/>
          <w:lang w:val="es-CL"/>
        </w:rPr>
        <w:t xml:space="preserve">Tracy Robinson y </w:t>
      </w:r>
      <w:r w:rsidR="002D0F73" w:rsidRPr="00804A84">
        <w:rPr>
          <w:rFonts w:ascii="Cambria" w:hAnsi="Cambria" w:cs="Arial"/>
          <w:noProof/>
          <w:spacing w:val="-2"/>
          <w:sz w:val="20"/>
          <w:szCs w:val="20"/>
          <w:lang w:val="es-CL"/>
        </w:rPr>
        <w:t>Paulo Vannuchi</w:t>
      </w:r>
      <w:r w:rsidR="002D0F73">
        <w:rPr>
          <w:rFonts w:ascii="Cambria" w:hAnsi="Cambria" w:cs="Arial"/>
          <w:noProof/>
          <w:spacing w:val="-2"/>
          <w:sz w:val="20"/>
          <w:szCs w:val="20"/>
          <w:lang w:val="es-CL"/>
        </w:rPr>
        <w:t xml:space="preserve">, </w:t>
      </w:r>
      <w:r w:rsidR="002D0F73" w:rsidRPr="00804A84">
        <w:rPr>
          <w:rFonts w:ascii="Cambria" w:hAnsi="Cambria" w:cs="Arial"/>
          <w:noProof/>
          <w:spacing w:val="-2"/>
          <w:sz w:val="20"/>
          <w:szCs w:val="20"/>
          <w:lang w:val="es-CL"/>
        </w:rPr>
        <w:t>Miembros de la Comisión.</w:t>
      </w:r>
    </w:p>
    <w:p w:rsidR="002D0F73" w:rsidRPr="00804A84" w:rsidRDefault="002D0F73" w:rsidP="002D0F73">
      <w:pPr>
        <w:suppressAutoHyphens/>
        <w:ind w:firstLine="720"/>
        <w:jc w:val="both"/>
        <w:rPr>
          <w:rFonts w:ascii="Cambria" w:hAnsi="Cambria" w:cs="Arial"/>
          <w:noProof/>
          <w:spacing w:val="-2"/>
          <w:sz w:val="20"/>
          <w:szCs w:val="20"/>
          <w:lang w:val="es-CL"/>
        </w:rPr>
      </w:pPr>
    </w:p>
    <w:p w:rsidR="00D84C4B" w:rsidRPr="00D32942" w:rsidRDefault="00D84C4B" w:rsidP="008965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bdr w:val="none" w:sz="0" w:space="0" w:color="auto"/>
          <w:lang w:val="es-ES_tradnl"/>
        </w:rPr>
      </w:pPr>
    </w:p>
    <w:sectPr w:rsidR="00D84C4B" w:rsidRPr="00D3294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5E" w:rsidRDefault="00A0115E">
      <w:r>
        <w:separator/>
      </w:r>
    </w:p>
  </w:endnote>
  <w:endnote w:type="continuationSeparator" w:id="0">
    <w:p w:rsidR="00A0115E" w:rsidRDefault="00A0115E">
      <w:r>
        <w:continuationSeparator/>
      </w:r>
    </w:p>
  </w:endnote>
  <w:endnote w:type="continuationNotice" w:id="1">
    <w:p w:rsidR="00A0115E" w:rsidRDefault="00A01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7C" w:rsidRDefault="00A94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94A7C">
      <w:rPr>
        <w:noProof/>
        <w:sz w:val="16"/>
        <w:szCs w:val="22"/>
      </w:rPr>
      <w:t>1</w:t>
    </w:r>
    <w:r w:rsidRPr="00934A2C">
      <w:rPr>
        <w:noProof/>
        <w:sz w:val="16"/>
        <w:szCs w:val="22"/>
      </w:rPr>
      <w:fldChar w:fldCharType="end"/>
    </w: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5E" w:rsidRPr="00D32942" w:rsidRDefault="00A0115E">
      <w:pPr>
        <w:rPr>
          <w:rFonts w:ascii="Cambria" w:hAnsi="Cambria"/>
          <w:sz w:val="16"/>
          <w:szCs w:val="16"/>
        </w:rPr>
      </w:pPr>
      <w:r w:rsidRPr="00D32942">
        <w:rPr>
          <w:rFonts w:ascii="Cambria" w:hAnsi="Cambria"/>
          <w:sz w:val="16"/>
          <w:szCs w:val="16"/>
        </w:rPr>
        <w:separator/>
      </w:r>
    </w:p>
  </w:footnote>
  <w:footnote w:type="continuationSeparator" w:id="0">
    <w:p w:rsidR="00A0115E" w:rsidRPr="00D32942" w:rsidRDefault="00A0115E" w:rsidP="000F35ED">
      <w:pPr>
        <w:rPr>
          <w:rFonts w:ascii="Cambria" w:hAnsi="Cambria"/>
          <w:sz w:val="16"/>
          <w:szCs w:val="16"/>
        </w:rPr>
      </w:pPr>
      <w:r w:rsidRPr="00D32942">
        <w:rPr>
          <w:rFonts w:ascii="Cambria" w:hAnsi="Cambria"/>
          <w:sz w:val="16"/>
          <w:szCs w:val="16"/>
        </w:rPr>
        <w:separator/>
      </w:r>
    </w:p>
    <w:p w:rsidR="00A0115E" w:rsidRPr="00D32942" w:rsidRDefault="00A0115E" w:rsidP="000F35ED">
      <w:pPr>
        <w:pStyle w:val="Footer"/>
        <w:rPr>
          <w:sz w:val="16"/>
          <w:szCs w:val="16"/>
        </w:rPr>
      </w:pPr>
      <w:r w:rsidRPr="00D32942">
        <w:rPr>
          <w:sz w:val="16"/>
          <w:szCs w:val="16"/>
        </w:rPr>
        <w:t>[… continuación]</w:t>
      </w:r>
    </w:p>
  </w:footnote>
  <w:footnote w:type="continuationNotice" w:id="1">
    <w:p w:rsidR="00A0115E" w:rsidRPr="00D32942" w:rsidRDefault="00A0115E" w:rsidP="000F35ED">
      <w:pPr>
        <w:jc w:val="right"/>
        <w:rPr>
          <w:rFonts w:ascii="Cambria" w:hAnsi="Cambria"/>
          <w:sz w:val="16"/>
          <w:szCs w:val="16"/>
          <w:lang w:val="es-ES"/>
        </w:rPr>
      </w:pPr>
      <w:r w:rsidRPr="00D32942">
        <w:rPr>
          <w:rFonts w:ascii="Cambria" w:hAnsi="Cambria"/>
          <w:sz w:val="16"/>
          <w:szCs w:val="16"/>
          <w:lang w:val="es-ES"/>
        </w:rPr>
        <w:t>[continúa…]</w:t>
      </w:r>
    </w:p>
  </w:footnote>
  <w:footnote w:id="2">
    <w:p w:rsidR="00C75F85" w:rsidRPr="0084400A" w:rsidRDefault="00C75F85" w:rsidP="0031040D">
      <w:pPr>
        <w:pStyle w:val="FootnoteText"/>
        <w:spacing w:after="120"/>
        <w:ind w:firstLine="720"/>
        <w:jc w:val="both"/>
        <w:rPr>
          <w:rFonts w:ascii="Cambria" w:hAnsi="Cambria"/>
          <w:sz w:val="16"/>
          <w:szCs w:val="16"/>
          <w:lang w:val="es-ES"/>
        </w:rPr>
      </w:pPr>
      <w:r w:rsidRPr="0084400A">
        <w:rPr>
          <w:rStyle w:val="FootnoteReference"/>
          <w:rFonts w:ascii="Cambria" w:hAnsi="Cambria"/>
          <w:sz w:val="16"/>
          <w:szCs w:val="16"/>
        </w:rPr>
        <w:footnoteRef/>
      </w:r>
      <w:r w:rsidRPr="0084400A">
        <w:rPr>
          <w:rFonts w:ascii="Cambria" w:hAnsi="Cambria"/>
          <w:sz w:val="16"/>
          <w:szCs w:val="16"/>
          <w:lang w:val="es-ES"/>
        </w:rPr>
        <w:t xml:space="preserve"> </w:t>
      </w:r>
      <w:r w:rsidR="00C2589A" w:rsidRPr="0084400A">
        <w:rPr>
          <w:rFonts w:ascii="Cambria" w:hAnsi="Cambria"/>
          <w:sz w:val="16"/>
          <w:szCs w:val="16"/>
          <w:lang w:val="es-ES"/>
        </w:rPr>
        <w:t>Los peticionarios indican como presuntos autores de la violación el Teniente del Ejército Nacional William Arturo Arias Prada, Orgánico del Batallón de Contraguerrilla N. 22 de la Brigada Móvil N. 1; el Subteniente del Ejército Nacional William de Jesús Núñez Parra, Orgánico del Batallón de Contraguerrilla N. 22 de la Brigada Móvil N. 1 y al Soldado Carlos Hernando Maldonado Rondón, Orgánico del Batallón de Contraguerrilla N. 8 Quimbayas de la Brigada Móvil N. 1.</w:t>
      </w:r>
    </w:p>
  </w:footnote>
  <w:footnote w:id="3">
    <w:p w:rsidR="00FF17D5" w:rsidRPr="0084400A" w:rsidRDefault="00FF17D5" w:rsidP="0031040D">
      <w:pPr>
        <w:pStyle w:val="FootnoteText"/>
        <w:spacing w:after="120"/>
        <w:ind w:firstLine="720"/>
        <w:jc w:val="both"/>
        <w:rPr>
          <w:rFonts w:ascii="Cambria" w:hAnsi="Cambria"/>
          <w:sz w:val="16"/>
          <w:szCs w:val="16"/>
          <w:lang w:val="es-ES_tradnl"/>
        </w:rPr>
      </w:pPr>
      <w:r w:rsidRPr="0084400A">
        <w:rPr>
          <w:rFonts w:ascii="Cambria" w:hAnsi="Cambria"/>
          <w:bCs/>
          <w:sz w:val="16"/>
          <w:szCs w:val="16"/>
          <w:vertAlign w:val="superscript"/>
          <w:lang w:val="es-AR"/>
        </w:rPr>
        <w:footnoteRef/>
      </w:r>
      <w:r w:rsidRPr="0084400A">
        <w:rPr>
          <w:rFonts w:ascii="Cambria" w:hAnsi="Cambria"/>
          <w:bCs/>
          <w:sz w:val="16"/>
          <w:szCs w:val="16"/>
          <w:lang w:val="es-AR"/>
        </w:rPr>
        <w:t xml:space="preserve"> CIDH, Informe No. 8/11, </w:t>
      </w:r>
      <w:r w:rsidRPr="0084400A">
        <w:rPr>
          <w:rFonts w:ascii="Cambria" w:hAnsi="Cambria"/>
          <w:bCs/>
          <w:i/>
          <w:sz w:val="16"/>
          <w:szCs w:val="16"/>
          <w:lang w:val="es-AR"/>
        </w:rPr>
        <w:t>Anibal Aguas Acosta</w:t>
      </w:r>
      <w:r w:rsidRPr="0084400A">
        <w:rPr>
          <w:rFonts w:ascii="Cambria" w:hAnsi="Cambria"/>
          <w:bCs/>
          <w:sz w:val="16"/>
          <w:szCs w:val="16"/>
          <w:lang w:val="es-AR"/>
        </w:rPr>
        <w:t>, 22 de marzo de 2011, párr. 30.</w:t>
      </w:r>
    </w:p>
  </w:footnote>
  <w:footnote w:id="4">
    <w:p w:rsidR="00747676" w:rsidRPr="0084400A" w:rsidRDefault="00747676" w:rsidP="0031040D">
      <w:pPr>
        <w:pStyle w:val="FootnoteText"/>
        <w:spacing w:after="120"/>
        <w:ind w:firstLine="720"/>
        <w:jc w:val="both"/>
        <w:rPr>
          <w:rFonts w:ascii="Cambria" w:hAnsi="Cambria"/>
          <w:sz w:val="16"/>
          <w:szCs w:val="16"/>
          <w:lang w:val="es-ES_tradnl"/>
        </w:rPr>
      </w:pPr>
      <w:r w:rsidRPr="0084400A">
        <w:rPr>
          <w:rStyle w:val="FootnoteReference"/>
          <w:rFonts w:ascii="Cambria" w:hAnsi="Cambria"/>
          <w:sz w:val="16"/>
          <w:szCs w:val="16"/>
        </w:rPr>
        <w:footnoteRef/>
      </w:r>
      <w:r w:rsidRPr="0084400A">
        <w:rPr>
          <w:rFonts w:ascii="Cambria" w:hAnsi="Cambria"/>
          <w:sz w:val="16"/>
          <w:szCs w:val="16"/>
          <w:lang w:val="es-ES"/>
        </w:rPr>
        <w:t xml:space="preserve"> CIDH, Informe No. 64/01, Petición 11.712, </w:t>
      </w:r>
      <w:r w:rsidRPr="0084400A">
        <w:rPr>
          <w:rFonts w:ascii="Cambria" w:hAnsi="Cambria"/>
          <w:i/>
          <w:sz w:val="16"/>
          <w:szCs w:val="16"/>
          <w:lang w:val="es-ES"/>
        </w:rPr>
        <w:t>Leonel de Jesús Isaza Echeverry y otro</w:t>
      </w:r>
      <w:r w:rsidRPr="0084400A">
        <w:rPr>
          <w:rFonts w:ascii="Cambria" w:hAnsi="Cambria"/>
          <w:sz w:val="16"/>
          <w:szCs w:val="16"/>
          <w:lang w:val="es-ES"/>
        </w:rPr>
        <w:t xml:space="preserve">, Colombia, 6 de abril de 2001, párr. 22. Véase también, Corte I.D.H., </w:t>
      </w:r>
      <w:r w:rsidRPr="0084400A">
        <w:rPr>
          <w:rFonts w:ascii="Cambria" w:hAnsi="Cambria"/>
          <w:i/>
          <w:sz w:val="16"/>
          <w:szCs w:val="16"/>
          <w:lang w:val="es-ES"/>
        </w:rPr>
        <w:t>Caso Durand y Ugarte.</w:t>
      </w:r>
      <w:r w:rsidRPr="0084400A">
        <w:rPr>
          <w:rFonts w:ascii="Cambria" w:hAnsi="Cambria"/>
          <w:sz w:val="16"/>
          <w:szCs w:val="16"/>
          <w:lang w:val="es-ES"/>
        </w:rPr>
        <w:t xml:space="preserve"> Sentencia del 16 de agosto de 2000, Serie C No. 68, párr. 117; </w:t>
      </w:r>
      <w:r w:rsidRPr="0084400A">
        <w:rPr>
          <w:rFonts w:ascii="Cambria" w:hAnsi="Cambria"/>
          <w:i/>
          <w:sz w:val="16"/>
          <w:szCs w:val="16"/>
          <w:lang w:val="es-ES"/>
        </w:rPr>
        <w:t>Caso Cesti Hurtado</w:t>
      </w:r>
      <w:r w:rsidRPr="0084400A">
        <w:rPr>
          <w:rFonts w:ascii="Cambria" w:hAnsi="Cambria"/>
          <w:sz w:val="16"/>
          <w:szCs w:val="16"/>
          <w:lang w:val="es-ES"/>
        </w:rPr>
        <w:t xml:space="preserve">. Sentencia del 29 de septiembre de 1999, Serie C No. 65, párr. 151.  Ver también CIDH, </w:t>
      </w:r>
      <w:r w:rsidRPr="0084400A">
        <w:rPr>
          <w:rFonts w:ascii="Cambria" w:hAnsi="Cambria"/>
          <w:i/>
          <w:sz w:val="16"/>
          <w:szCs w:val="16"/>
          <w:lang w:val="es-ES"/>
        </w:rPr>
        <w:t>Informe sobre la situación de los derechos humanos en Chile</w:t>
      </w:r>
      <w:r w:rsidRPr="0084400A">
        <w:rPr>
          <w:rFonts w:ascii="Cambria" w:hAnsi="Cambria"/>
          <w:sz w:val="16"/>
          <w:szCs w:val="16"/>
          <w:lang w:val="es-ES"/>
        </w:rPr>
        <w:t xml:space="preserve">, 27 de septiembre de 1985, pág. 199. 200. OEA/Ser.L/V/II.66 doc. 17; CIDH, Informe Anual 1996, 14 marzo 1997, pág. 688.  CIDH, </w:t>
      </w:r>
      <w:r w:rsidRPr="0084400A">
        <w:rPr>
          <w:rFonts w:ascii="Cambria" w:hAnsi="Cambria"/>
          <w:i/>
          <w:sz w:val="16"/>
          <w:szCs w:val="16"/>
          <w:lang w:val="es-ES"/>
        </w:rPr>
        <w:t>Informe sobre la situación de los derechos humanos en Ecuador,</w:t>
      </w:r>
      <w:r w:rsidRPr="0084400A">
        <w:rPr>
          <w:rFonts w:ascii="Cambria" w:hAnsi="Cambria"/>
          <w:sz w:val="16"/>
          <w:szCs w:val="16"/>
          <w:lang w:val="es-ES"/>
        </w:rPr>
        <w:t xml:space="preserve"> 24 de abril de 1997, pág. 36. CIDH, </w:t>
      </w:r>
      <w:r w:rsidRPr="0084400A">
        <w:rPr>
          <w:rFonts w:ascii="Cambria" w:hAnsi="Cambria"/>
          <w:i/>
          <w:sz w:val="16"/>
          <w:szCs w:val="16"/>
          <w:lang w:val="es-ES"/>
        </w:rPr>
        <w:t>Informe sobre la situación de los derechos humanos en Brasil</w:t>
      </w:r>
      <w:r w:rsidRPr="0084400A">
        <w:rPr>
          <w:rFonts w:ascii="Cambria" w:hAnsi="Cambria"/>
          <w:sz w:val="16"/>
          <w:szCs w:val="16"/>
          <w:lang w:val="es-ES"/>
        </w:rPr>
        <w:t>, 29 de septiembre de 1997, pág. 50.</w:t>
      </w:r>
    </w:p>
  </w:footnote>
  <w:footnote w:id="5">
    <w:p w:rsidR="00747676" w:rsidRPr="0084400A" w:rsidRDefault="00747676" w:rsidP="0031040D">
      <w:pPr>
        <w:pStyle w:val="FootnoteText"/>
        <w:spacing w:after="120"/>
        <w:ind w:firstLine="720"/>
        <w:jc w:val="both"/>
        <w:rPr>
          <w:rFonts w:ascii="Cambria" w:hAnsi="Cambria"/>
          <w:sz w:val="16"/>
          <w:szCs w:val="16"/>
          <w:lang w:val="es-ES"/>
        </w:rPr>
      </w:pPr>
      <w:r w:rsidRPr="0084400A">
        <w:rPr>
          <w:rStyle w:val="FootnoteReference"/>
          <w:rFonts w:ascii="Cambria" w:hAnsi="Cambria"/>
          <w:sz w:val="16"/>
          <w:szCs w:val="16"/>
        </w:rPr>
        <w:footnoteRef/>
      </w:r>
      <w:r w:rsidRPr="0084400A">
        <w:rPr>
          <w:rFonts w:ascii="Cambria" w:hAnsi="Cambria"/>
          <w:sz w:val="16"/>
          <w:szCs w:val="16"/>
          <w:lang w:val="es-ES"/>
        </w:rPr>
        <w:t xml:space="preserve"> Ver ONU Doc. E/CN.4/Sub.2/2000/44, </w:t>
      </w:r>
      <w:r w:rsidRPr="0084400A">
        <w:rPr>
          <w:rFonts w:ascii="Cambria" w:hAnsi="Cambria"/>
          <w:i/>
          <w:iCs/>
          <w:sz w:val="16"/>
          <w:szCs w:val="16"/>
          <w:lang w:val="es-ES"/>
        </w:rPr>
        <w:t>Administración de justicia por los tribunales militares y otras jurisdicciones de excepción</w:t>
      </w:r>
      <w:r w:rsidRPr="0084400A">
        <w:rPr>
          <w:rFonts w:ascii="Cambria" w:hAnsi="Cambria"/>
          <w:sz w:val="16"/>
          <w:szCs w:val="16"/>
          <w:lang w:val="es-ES"/>
        </w:rPr>
        <w:t xml:space="preserve">, 15 de agosto de 2000, párr. 30; y </w:t>
      </w:r>
      <w:r w:rsidRPr="0084400A">
        <w:rPr>
          <w:rFonts w:ascii="Cambria" w:hAnsi="Cambria"/>
          <w:i/>
          <w:iCs/>
          <w:sz w:val="16"/>
          <w:szCs w:val="16"/>
          <w:lang w:val="es-ES"/>
        </w:rPr>
        <w:t>1995 Informe, Relator Especial sobre la Tortura</w:t>
      </w:r>
      <w:r w:rsidRPr="0084400A">
        <w:rPr>
          <w:rFonts w:ascii="Cambria" w:hAnsi="Cambria"/>
          <w:sz w:val="16"/>
          <w:szCs w:val="16"/>
          <w:lang w:val="es-ES"/>
        </w:rPr>
        <w:t>.  ONU Doc. E/CN.4/1995/34, 2 de enero de 1995, párr. 76(g).</w:t>
      </w:r>
    </w:p>
  </w:footnote>
  <w:footnote w:id="6">
    <w:p w:rsidR="00316579" w:rsidRPr="0084400A" w:rsidRDefault="00316579" w:rsidP="0031040D">
      <w:pPr>
        <w:pStyle w:val="FootnoteText"/>
        <w:spacing w:after="120"/>
        <w:ind w:firstLine="720"/>
        <w:jc w:val="both"/>
        <w:rPr>
          <w:rFonts w:ascii="Cambria" w:hAnsi="Cambria"/>
          <w:sz w:val="16"/>
          <w:szCs w:val="16"/>
          <w:lang w:val="es-ES_tradnl"/>
        </w:rPr>
      </w:pPr>
      <w:r w:rsidRPr="0084400A">
        <w:rPr>
          <w:rFonts w:ascii="Cambria" w:hAnsi="Cambria"/>
          <w:sz w:val="16"/>
          <w:szCs w:val="16"/>
          <w:vertAlign w:val="superscript"/>
          <w:lang w:val="es-ES"/>
        </w:rPr>
        <w:footnoteRef/>
      </w:r>
      <w:r w:rsidRPr="0084400A">
        <w:rPr>
          <w:rFonts w:ascii="Cambria" w:hAnsi="Cambria"/>
          <w:sz w:val="16"/>
          <w:szCs w:val="16"/>
          <w:lang w:val="es-ES"/>
        </w:rPr>
        <w:t xml:space="preserve"> CIDH. Informe No. 72/09 Herson Javier Caro (Javier Apache) y familia, 5 de agosto de 2009, párr. 28.</w:t>
      </w:r>
    </w:p>
  </w:footnote>
  <w:footnote w:id="7">
    <w:p w:rsidR="001930E2" w:rsidRPr="0084400A" w:rsidRDefault="001930E2" w:rsidP="0031040D">
      <w:pPr>
        <w:pStyle w:val="FootnoteText"/>
        <w:spacing w:after="120"/>
        <w:ind w:firstLine="720"/>
        <w:jc w:val="both"/>
        <w:rPr>
          <w:rFonts w:ascii="Cambria" w:hAnsi="Cambria"/>
          <w:sz w:val="16"/>
          <w:szCs w:val="16"/>
          <w:lang w:val="es-ES_tradnl"/>
        </w:rPr>
      </w:pPr>
      <w:r w:rsidRPr="0084400A">
        <w:rPr>
          <w:rFonts w:ascii="Cambria" w:hAnsi="Cambria"/>
          <w:sz w:val="16"/>
          <w:szCs w:val="16"/>
          <w:vertAlign w:val="superscript"/>
          <w:lang w:val="es-ES"/>
        </w:rPr>
        <w:footnoteRef/>
      </w:r>
      <w:r w:rsidRPr="0084400A">
        <w:rPr>
          <w:rFonts w:ascii="Cambria" w:hAnsi="Cambria"/>
          <w:sz w:val="16"/>
          <w:szCs w:val="16"/>
          <w:lang w:val="es-ES"/>
        </w:rPr>
        <w:t xml:space="preserve"> CIDH. Informe No. 72/09 Herson Javier Caro (Javier Apache) y familia, 5 de agosto de 2009, párr. 28.</w:t>
      </w:r>
    </w:p>
  </w:footnote>
  <w:footnote w:id="8">
    <w:p w:rsidR="001930E2" w:rsidRPr="0084400A" w:rsidRDefault="001930E2" w:rsidP="0031040D">
      <w:pPr>
        <w:pStyle w:val="FootnoteText"/>
        <w:spacing w:after="120"/>
        <w:ind w:firstLine="720"/>
        <w:jc w:val="both"/>
        <w:rPr>
          <w:rFonts w:ascii="Cambria" w:hAnsi="Cambria"/>
          <w:sz w:val="16"/>
          <w:szCs w:val="16"/>
          <w:lang w:val="es-ES"/>
        </w:rPr>
      </w:pPr>
      <w:r w:rsidRPr="0084400A">
        <w:rPr>
          <w:rFonts w:ascii="Cambria" w:hAnsi="Cambria"/>
          <w:sz w:val="16"/>
          <w:szCs w:val="16"/>
          <w:vertAlign w:val="superscript"/>
          <w:lang w:val="pt-BR"/>
        </w:rPr>
        <w:footnoteRef/>
      </w:r>
      <w:r w:rsidRPr="0084400A">
        <w:rPr>
          <w:rFonts w:ascii="Cambria" w:hAnsi="Cambria"/>
          <w:sz w:val="16"/>
          <w:szCs w:val="16"/>
          <w:lang w:val="es-ES_tradnl"/>
        </w:rPr>
        <w:t xml:space="preserve"> CIDH. Informe No. 74/07 </w:t>
      </w:r>
      <w:r w:rsidRPr="0084400A">
        <w:rPr>
          <w:rFonts w:ascii="Cambria" w:hAnsi="Cambria"/>
          <w:i/>
          <w:sz w:val="16"/>
          <w:szCs w:val="16"/>
          <w:lang w:val="es-ES_tradnl"/>
        </w:rPr>
        <w:t>José Antonio Romero Cruz, Rolando Ordoñez Álvarez y Norberto Hernández</w:t>
      </w:r>
      <w:r w:rsidRPr="0084400A">
        <w:rPr>
          <w:rFonts w:ascii="Cambria" w:hAnsi="Cambria"/>
          <w:sz w:val="16"/>
          <w:szCs w:val="16"/>
          <w:lang w:val="es-ES_tradnl"/>
        </w:rPr>
        <w:t xml:space="preserve">, 15 de octubre de 2007, párr. </w:t>
      </w:r>
      <w:r w:rsidRPr="0084400A">
        <w:rPr>
          <w:rFonts w:ascii="Cambria" w:hAnsi="Cambria"/>
          <w:sz w:val="16"/>
          <w:szCs w:val="16"/>
          <w:lang w:val="es-ES"/>
        </w:rPr>
        <w:t>34 e Informe No. 72/09 Herson Javier Caro (Javier Apache) y familia, 5 de agosto de 2009,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644CD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3E4073" w:rsidP="00A50FCF">
    <w:pPr>
      <w:pStyle w:val="Header"/>
      <w:tabs>
        <w:tab w:val="clear" w:pos="4320"/>
        <w:tab w:val="clear" w:pos="8640"/>
      </w:tabs>
      <w:jc w:val="center"/>
      <w:rPr>
        <w:sz w:val="22"/>
        <w:szCs w:val="22"/>
      </w:rPr>
    </w:pPr>
    <w:r>
      <w:rPr>
        <w:noProof/>
        <w:sz w:val="22"/>
        <w:szCs w:val="22"/>
      </w:rPr>
      <w:drawing>
        <wp:inline distT="0" distB="0" distL="0" distR="0" wp14:anchorId="1640541E" wp14:editId="3CE7C416">
          <wp:extent cx="1971675" cy="95250"/>
          <wp:effectExtent l="0" t="0" r="9525"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5250"/>
                  </a:xfrm>
                  <a:prstGeom prst="rect">
                    <a:avLst/>
                  </a:prstGeom>
                  <a:noFill/>
                  <a:ln>
                    <a:noFill/>
                  </a:ln>
                </pic:spPr>
              </pic:pic>
            </a:graphicData>
          </a:graphic>
        </wp:inline>
      </w:drawing>
    </w:r>
  </w:p>
  <w:p w:rsidR="00040C3A" w:rsidRPr="00EC7D62" w:rsidRDefault="00A0115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7C" w:rsidRDefault="00A94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0EA8BEB0"/>
    <w:lvl w:ilvl="0" w:tplc="3168EE74">
      <w:start w:val="1"/>
      <w:numFmt w:val="upperRoman"/>
      <w:lvlText w:val="%1."/>
      <w:lvlJc w:val="left"/>
      <w:pPr>
        <w:tabs>
          <w:tab w:val="num" w:pos="1440"/>
        </w:tabs>
        <w:ind w:left="1440" w:hanging="720"/>
      </w:pPr>
      <w:rPr>
        <w:rFonts w:cs="Times New Roman" w:hint="default"/>
      </w:rPr>
    </w:lvl>
    <w:lvl w:ilvl="1" w:tplc="1ED2B1E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444248B"/>
    <w:multiLevelType w:val="hybridMultilevel"/>
    <w:tmpl w:val="23EC9934"/>
    <w:lvl w:ilvl="0" w:tplc="8306F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5A6042A"/>
    <w:multiLevelType w:val="hybridMultilevel"/>
    <w:tmpl w:val="9FAABF02"/>
    <w:lvl w:ilvl="0" w:tplc="9198DDF2">
      <w:start w:val="1"/>
      <w:numFmt w:val="upperLetter"/>
      <w:lvlText w:val="%1."/>
      <w:lvlJc w:val="left"/>
      <w:pPr>
        <w:tabs>
          <w:tab w:val="num" w:pos="1440"/>
        </w:tabs>
        <w:ind w:left="1440" w:hanging="720"/>
      </w:pPr>
      <w:rPr>
        <w:rFonts w:cs="Times New Roman" w:hint="default"/>
      </w:rPr>
    </w:lvl>
    <w:lvl w:ilvl="1" w:tplc="44641CD6">
      <w:start w:val="2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2A00423"/>
    <w:multiLevelType w:val="hybridMultilevel"/>
    <w:tmpl w:val="67800EAE"/>
    <w:lvl w:ilvl="0" w:tplc="4B881238">
      <w:start w:val="2"/>
      <w:numFmt w:val="upperLetter"/>
      <w:lvlText w:val="%1."/>
      <w:lvlJc w:val="left"/>
      <w:pPr>
        <w:ind w:left="1485" w:hanging="360"/>
      </w:pPr>
      <w:rPr>
        <w:rFonts w:hint="default"/>
        <w:sz w:val="2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D57636"/>
    <w:multiLevelType w:val="hybridMultilevel"/>
    <w:tmpl w:val="3FA0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4C23710"/>
    <w:multiLevelType w:val="hybridMultilevel"/>
    <w:tmpl w:val="74D4616A"/>
    <w:lvl w:ilvl="0" w:tplc="2B525DB0">
      <w:start w:val="1"/>
      <w:numFmt w:val="decimal"/>
      <w:lvlText w:val="%1."/>
      <w:lvlJc w:val="left"/>
      <w:pPr>
        <w:tabs>
          <w:tab w:val="num" w:pos="1440"/>
        </w:tabs>
        <w:ind w:left="1440" w:hanging="360"/>
      </w:pPr>
      <w:rPr>
        <w:rFonts w:ascii="Cambria" w:hAnsi="Cambria" w:hint="default"/>
        <w:b w:val="0"/>
        <w:color w:val="auto"/>
        <w:sz w:val="20"/>
        <w:szCs w:val="20"/>
      </w:rPr>
    </w:lvl>
    <w:lvl w:ilvl="1" w:tplc="8DBE5F52">
      <w:start w:val="1"/>
      <w:numFmt w:val="upperLetter"/>
      <w:lvlText w:val="%2."/>
      <w:lvlJc w:val="left"/>
      <w:pPr>
        <w:tabs>
          <w:tab w:val="num" w:pos="1440"/>
        </w:tabs>
        <w:ind w:left="1440" w:hanging="360"/>
      </w:pPr>
      <w:rPr>
        <w:rFonts w:ascii="Cambria" w:hAnsi="Cambria"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C5307DB"/>
    <w:multiLevelType w:val="hybridMultilevel"/>
    <w:tmpl w:val="868623F0"/>
    <w:lvl w:ilvl="0" w:tplc="1210341C">
      <w:start w:val="1"/>
      <w:numFmt w:val="decimal"/>
      <w:lvlText w:val="%1."/>
      <w:lvlJc w:val="left"/>
      <w:pPr>
        <w:tabs>
          <w:tab w:val="num" w:pos="1440"/>
        </w:tabs>
        <w:ind w:left="1440" w:hanging="360"/>
      </w:pPr>
      <w:rPr>
        <w:b/>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49"/>
  </w:num>
  <w:num w:numId="6">
    <w:abstractNumId w:val="27"/>
  </w:num>
  <w:num w:numId="7">
    <w:abstractNumId w:val="7"/>
  </w:num>
  <w:num w:numId="8">
    <w:abstractNumId w:val="18"/>
  </w:num>
  <w:num w:numId="9">
    <w:abstractNumId w:val="43"/>
  </w:num>
  <w:num w:numId="10">
    <w:abstractNumId w:val="0"/>
  </w:num>
  <w:num w:numId="11">
    <w:abstractNumId w:val="37"/>
  </w:num>
  <w:num w:numId="12">
    <w:abstractNumId w:val="38"/>
  </w:num>
  <w:num w:numId="13">
    <w:abstractNumId w:val="45"/>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1"/>
  </w:num>
  <w:num w:numId="53">
    <w:abstractNumId w:val="53"/>
  </w:num>
  <w:num w:numId="54">
    <w:abstractNumId w:val="46"/>
  </w:num>
  <w:num w:numId="55">
    <w:abstractNumId w:val="6"/>
  </w:num>
  <w:num w:numId="56">
    <w:abstractNumId w:val="48"/>
  </w:num>
  <w:num w:numId="57">
    <w:abstractNumId w:val="42"/>
  </w:num>
  <w:num w:numId="58">
    <w:abstractNumId w:val="2"/>
  </w:num>
  <w:num w:numId="59">
    <w:abstractNumId w:val="15"/>
  </w:num>
  <w:num w:numId="60">
    <w:abstractNumId w:val="51"/>
  </w:num>
  <w:num w:numId="61">
    <w:abstractNumId w:val="44"/>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567"/>
    <w:rsid w:val="00000CDA"/>
    <w:rsid w:val="000051D2"/>
    <w:rsid w:val="000065B1"/>
    <w:rsid w:val="00006693"/>
    <w:rsid w:val="00006E1F"/>
    <w:rsid w:val="000070D7"/>
    <w:rsid w:val="000109E2"/>
    <w:rsid w:val="00012D82"/>
    <w:rsid w:val="000139C3"/>
    <w:rsid w:val="00014D49"/>
    <w:rsid w:val="00015A9A"/>
    <w:rsid w:val="0001788C"/>
    <w:rsid w:val="00023A3B"/>
    <w:rsid w:val="000241A2"/>
    <w:rsid w:val="000258E9"/>
    <w:rsid w:val="00030FC7"/>
    <w:rsid w:val="000343FF"/>
    <w:rsid w:val="00040C3A"/>
    <w:rsid w:val="00047008"/>
    <w:rsid w:val="000513EB"/>
    <w:rsid w:val="00056E40"/>
    <w:rsid w:val="00057773"/>
    <w:rsid w:val="000615D0"/>
    <w:rsid w:val="00065E15"/>
    <w:rsid w:val="000716C5"/>
    <w:rsid w:val="00071714"/>
    <w:rsid w:val="00075E23"/>
    <w:rsid w:val="00085168"/>
    <w:rsid w:val="0009133A"/>
    <w:rsid w:val="0009344A"/>
    <w:rsid w:val="00093B0D"/>
    <w:rsid w:val="00096F06"/>
    <w:rsid w:val="00097D78"/>
    <w:rsid w:val="000A364C"/>
    <w:rsid w:val="000A392E"/>
    <w:rsid w:val="000A3E15"/>
    <w:rsid w:val="000A575F"/>
    <w:rsid w:val="000B0394"/>
    <w:rsid w:val="000B0E32"/>
    <w:rsid w:val="000B3373"/>
    <w:rsid w:val="000C0056"/>
    <w:rsid w:val="000C3D95"/>
    <w:rsid w:val="000C4294"/>
    <w:rsid w:val="000C7567"/>
    <w:rsid w:val="000D10DB"/>
    <w:rsid w:val="000D5BFB"/>
    <w:rsid w:val="000D6E64"/>
    <w:rsid w:val="000E2219"/>
    <w:rsid w:val="000E5EB5"/>
    <w:rsid w:val="000F0386"/>
    <w:rsid w:val="000F35ED"/>
    <w:rsid w:val="000F3F03"/>
    <w:rsid w:val="000F58D4"/>
    <w:rsid w:val="00100E4C"/>
    <w:rsid w:val="00102042"/>
    <w:rsid w:val="00107131"/>
    <w:rsid w:val="0010736F"/>
    <w:rsid w:val="00113F73"/>
    <w:rsid w:val="00121CC2"/>
    <w:rsid w:val="00126590"/>
    <w:rsid w:val="001331BD"/>
    <w:rsid w:val="00133EE5"/>
    <w:rsid w:val="001349AB"/>
    <w:rsid w:val="00146DEA"/>
    <w:rsid w:val="00150728"/>
    <w:rsid w:val="001514E0"/>
    <w:rsid w:val="00151D7C"/>
    <w:rsid w:val="00152271"/>
    <w:rsid w:val="0016402A"/>
    <w:rsid w:val="00167A34"/>
    <w:rsid w:val="001701BA"/>
    <w:rsid w:val="001744F1"/>
    <w:rsid w:val="00177689"/>
    <w:rsid w:val="00190020"/>
    <w:rsid w:val="001930E2"/>
    <w:rsid w:val="001A58DB"/>
    <w:rsid w:val="001A7870"/>
    <w:rsid w:val="001B1478"/>
    <w:rsid w:val="001B4538"/>
    <w:rsid w:val="001B684E"/>
    <w:rsid w:val="001C1B41"/>
    <w:rsid w:val="001C42C8"/>
    <w:rsid w:val="001C6045"/>
    <w:rsid w:val="001C671C"/>
    <w:rsid w:val="001C7648"/>
    <w:rsid w:val="001D65EF"/>
    <w:rsid w:val="001E142C"/>
    <w:rsid w:val="001E2D31"/>
    <w:rsid w:val="001E78C7"/>
    <w:rsid w:val="001F05D8"/>
    <w:rsid w:val="001F6860"/>
    <w:rsid w:val="001F7607"/>
    <w:rsid w:val="00200C8A"/>
    <w:rsid w:val="00205C59"/>
    <w:rsid w:val="00214BD3"/>
    <w:rsid w:val="0021632B"/>
    <w:rsid w:val="00223533"/>
    <w:rsid w:val="0022442E"/>
    <w:rsid w:val="002250A3"/>
    <w:rsid w:val="0022561E"/>
    <w:rsid w:val="002327E5"/>
    <w:rsid w:val="00234320"/>
    <w:rsid w:val="00235217"/>
    <w:rsid w:val="0024328F"/>
    <w:rsid w:val="00246D1F"/>
    <w:rsid w:val="00247403"/>
    <w:rsid w:val="00247542"/>
    <w:rsid w:val="00253B5B"/>
    <w:rsid w:val="00262BE3"/>
    <w:rsid w:val="00263B21"/>
    <w:rsid w:val="0026403C"/>
    <w:rsid w:val="00264F78"/>
    <w:rsid w:val="00266B61"/>
    <w:rsid w:val="00266F72"/>
    <w:rsid w:val="0026712A"/>
    <w:rsid w:val="002704DB"/>
    <w:rsid w:val="0027220A"/>
    <w:rsid w:val="00282BE0"/>
    <w:rsid w:val="00296D87"/>
    <w:rsid w:val="002A0AAE"/>
    <w:rsid w:val="002A54CF"/>
    <w:rsid w:val="002A5820"/>
    <w:rsid w:val="002A681F"/>
    <w:rsid w:val="002B0115"/>
    <w:rsid w:val="002B2B80"/>
    <w:rsid w:val="002B3FED"/>
    <w:rsid w:val="002B4AB8"/>
    <w:rsid w:val="002C1959"/>
    <w:rsid w:val="002C25B4"/>
    <w:rsid w:val="002C4D57"/>
    <w:rsid w:val="002D0F73"/>
    <w:rsid w:val="002D2B26"/>
    <w:rsid w:val="002D3F5A"/>
    <w:rsid w:val="002D7D28"/>
    <w:rsid w:val="002D7EA2"/>
    <w:rsid w:val="002E187C"/>
    <w:rsid w:val="002E34D1"/>
    <w:rsid w:val="002F0393"/>
    <w:rsid w:val="002F0DA0"/>
    <w:rsid w:val="002F1462"/>
    <w:rsid w:val="00302733"/>
    <w:rsid w:val="00306DDD"/>
    <w:rsid w:val="00307D41"/>
    <w:rsid w:val="0031040D"/>
    <w:rsid w:val="00314078"/>
    <w:rsid w:val="0031535D"/>
    <w:rsid w:val="00315AF2"/>
    <w:rsid w:val="00316579"/>
    <w:rsid w:val="00321386"/>
    <w:rsid w:val="003257BE"/>
    <w:rsid w:val="0033169F"/>
    <w:rsid w:val="003327A5"/>
    <w:rsid w:val="00341C00"/>
    <w:rsid w:val="00342E04"/>
    <w:rsid w:val="0034638B"/>
    <w:rsid w:val="00346C95"/>
    <w:rsid w:val="00356185"/>
    <w:rsid w:val="003562DE"/>
    <w:rsid w:val="00356F7E"/>
    <w:rsid w:val="00360380"/>
    <w:rsid w:val="00360B37"/>
    <w:rsid w:val="00365FE3"/>
    <w:rsid w:val="003665C2"/>
    <w:rsid w:val="00366CEC"/>
    <w:rsid w:val="0037045F"/>
    <w:rsid w:val="00371F12"/>
    <w:rsid w:val="003722C6"/>
    <w:rsid w:val="00373CB8"/>
    <w:rsid w:val="0037519E"/>
    <w:rsid w:val="00375870"/>
    <w:rsid w:val="0037693C"/>
    <w:rsid w:val="003773A4"/>
    <w:rsid w:val="0038393C"/>
    <w:rsid w:val="00385EB5"/>
    <w:rsid w:val="00386CF0"/>
    <w:rsid w:val="00392E00"/>
    <w:rsid w:val="0039700C"/>
    <w:rsid w:val="003A0AC4"/>
    <w:rsid w:val="003A33EF"/>
    <w:rsid w:val="003A6913"/>
    <w:rsid w:val="003B0D95"/>
    <w:rsid w:val="003B423D"/>
    <w:rsid w:val="003B502D"/>
    <w:rsid w:val="003B7B82"/>
    <w:rsid w:val="003C676B"/>
    <w:rsid w:val="003C70E3"/>
    <w:rsid w:val="003D11F1"/>
    <w:rsid w:val="003D1FA6"/>
    <w:rsid w:val="003D3BC2"/>
    <w:rsid w:val="003E2BCC"/>
    <w:rsid w:val="003E4073"/>
    <w:rsid w:val="003E6CA1"/>
    <w:rsid w:val="004013B3"/>
    <w:rsid w:val="00402290"/>
    <w:rsid w:val="00403DA5"/>
    <w:rsid w:val="004127BA"/>
    <w:rsid w:val="00414848"/>
    <w:rsid w:val="0041567D"/>
    <w:rsid w:val="004165C2"/>
    <w:rsid w:val="004167C1"/>
    <w:rsid w:val="0042129B"/>
    <w:rsid w:val="00424D30"/>
    <w:rsid w:val="00425128"/>
    <w:rsid w:val="00436403"/>
    <w:rsid w:val="00441ECB"/>
    <w:rsid w:val="00444044"/>
    <w:rsid w:val="004443BD"/>
    <w:rsid w:val="0045340E"/>
    <w:rsid w:val="00455192"/>
    <w:rsid w:val="00455EF9"/>
    <w:rsid w:val="00455F4E"/>
    <w:rsid w:val="00467B7E"/>
    <w:rsid w:val="00477592"/>
    <w:rsid w:val="00482254"/>
    <w:rsid w:val="00482991"/>
    <w:rsid w:val="0048528A"/>
    <w:rsid w:val="00486F1C"/>
    <w:rsid w:val="00492A42"/>
    <w:rsid w:val="0049419D"/>
    <w:rsid w:val="004A00A1"/>
    <w:rsid w:val="004B113E"/>
    <w:rsid w:val="004B2F20"/>
    <w:rsid w:val="004B5503"/>
    <w:rsid w:val="004C20D2"/>
    <w:rsid w:val="004C4B62"/>
    <w:rsid w:val="004C4FCD"/>
    <w:rsid w:val="004C54C9"/>
    <w:rsid w:val="004D05C2"/>
    <w:rsid w:val="004D1002"/>
    <w:rsid w:val="004D6025"/>
    <w:rsid w:val="004E2649"/>
    <w:rsid w:val="004E4559"/>
    <w:rsid w:val="004E64AF"/>
    <w:rsid w:val="004E73D5"/>
    <w:rsid w:val="004F03AF"/>
    <w:rsid w:val="004F3AD2"/>
    <w:rsid w:val="004F627F"/>
    <w:rsid w:val="00501399"/>
    <w:rsid w:val="0050633D"/>
    <w:rsid w:val="00507BC4"/>
    <w:rsid w:val="00507BCD"/>
    <w:rsid w:val="00507E69"/>
    <w:rsid w:val="0051140E"/>
    <w:rsid w:val="005128E4"/>
    <w:rsid w:val="005133DB"/>
    <w:rsid w:val="00513CB9"/>
    <w:rsid w:val="005153A3"/>
    <w:rsid w:val="00517B6E"/>
    <w:rsid w:val="005232A2"/>
    <w:rsid w:val="00525560"/>
    <w:rsid w:val="0052730F"/>
    <w:rsid w:val="005316F1"/>
    <w:rsid w:val="00535576"/>
    <w:rsid w:val="00541B91"/>
    <w:rsid w:val="00544C49"/>
    <w:rsid w:val="00546B47"/>
    <w:rsid w:val="005516A1"/>
    <w:rsid w:val="00551C29"/>
    <w:rsid w:val="0055609E"/>
    <w:rsid w:val="0056025A"/>
    <w:rsid w:val="0056136F"/>
    <w:rsid w:val="00562486"/>
    <w:rsid w:val="005669FA"/>
    <w:rsid w:val="0056760A"/>
    <w:rsid w:val="00570DC6"/>
    <w:rsid w:val="00570FBD"/>
    <w:rsid w:val="0057402A"/>
    <w:rsid w:val="005771D0"/>
    <w:rsid w:val="00582CF3"/>
    <w:rsid w:val="0058442B"/>
    <w:rsid w:val="005908DE"/>
    <w:rsid w:val="0059191A"/>
    <w:rsid w:val="005921FF"/>
    <w:rsid w:val="00595A7C"/>
    <w:rsid w:val="00596C00"/>
    <w:rsid w:val="005A0476"/>
    <w:rsid w:val="005A10AC"/>
    <w:rsid w:val="005A4E36"/>
    <w:rsid w:val="005A5CDD"/>
    <w:rsid w:val="005A6D0E"/>
    <w:rsid w:val="005A7AA4"/>
    <w:rsid w:val="005B0434"/>
    <w:rsid w:val="005B08E2"/>
    <w:rsid w:val="005B52B0"/>
    <w:rsid w:val="005B6806"/>
    <w:rsid w:val="005C2A4B"/>
    <w:rsid w:val="005C4225"/>
    <w:rsid w:val="005C5DCD"/>
    <w:rsid w:val="005D0F02"/>
    <w:rsid w:val="005D78C2"/>
    <w:rsid w:val="005E2D55"/>
    <w:rsid w:val="005E4CB1"/>
    <w:rsid w:val="005E63E9"/>
    <w:rsid w:val="005E6C49"/>
    <w:rsid w:val="005F0DAD"/>
    <w:rsid w:val="005F0F33"/>
    <w:rsid w:val="005F213F"/>
    <w:rsid w:val="005F31EA"/>
    <w:rsid w:val="005F70E3"/>
    <w:rsid w:val="0060016F"/>
    <w:rsid w:val="00600255"/>
    <w:rsid w:val="00600DEB"/>
    <w:rsid w:val="00617981"/>
    <w:rsid w:val="0062161D"/>
    <w:rsid w:val="006261DA"/>
    <w:rsid w:val="006271C8"/>
    <w:rsid w:val="00627C9F"/>
    <w:rsid w:val="00630730"/>
    <w:rsid w:val="006311E9"/>
    <w:rsid w:val="00632354"/>
    <w:rsid w:val="00642810"/>
    <w:rsid w:val="006443FE"/>
    <w:rsid w:val="00644CD3"/>
    <w:rsid w:val="006451DA"/>
    <w:rsid w:val="00652333"/>
    <w:rsid w:val="0065294E"/>
    <w:rsid w:val="00654B0D"/>
    <w:rsid w:val="00660374"/>
    <w:rsid w:val="006609A4"/>
    <w:rsid w:val="00663471"/>
    <w:rsid w:val="00664B37"/>
    <w:rsid w:val="00665BBA"/>
    <w:rsid w:val="006705CF"/>
    <w:rsid w:val="00671A25"/>
    <w:rsid w:val="0068009E"/>
    <w:rsid w:val="00681B6B"/>
    <w:rsid w:val="00681D4D"/>
    <w:rsid w:val="00682AD5"/>
    <w:rsid w:val="00684AA4"/>
    <w:rsid w:val="0068711D"/>
    <w:rsid w:val="00692219"/>
    <w:rsid w:val="006A17D2"/>
    <w:rsid w:val="006A1835"/>
    <w:rsid w:val="006A30E8"/>
    <w:rsid w:val="006A73E6"/>
    <w:rsid w:val="006B07D7"/>
    <w:rsid w:val="006B0B06"/>
    <w:rsid w:val="006B1BF9"/>
    <w:rsid w:val="006B2D5C"/>
    <w:rsid w:val="006B49C9"/>
    <w:rsid w:val="006B65AF"/>
    <w:rsid w:val="006C2567"/>
    <w:rsid w:val="006C4EB1"/>
    <w:rsid w:val="006D0364"/>
    <w:rsid w:val="006D0BE4"/>
    <w:rsid w:val="006D1163"/>
    <w:rsid w:val="006D7837"/>
    <w:rsid w:val="006E0166"/>
    <w:rsid w:val="006E0C05"/>
    <w:rsid w:val="006E17C2"/>
    <w:rsid w:val="006E5B49"/>
    <w:rsid w:val="006E6488"/>
    <w:rsid w:val="006E7B34"/>
    <w:rsid w:val="006F1429"/>
    <w:rsid w:val="006F6BF3"/>
    <w:rsid w:val="00705E66"/>
    <w:rsid w:val="0070697F"/>
    <w:rsid w:val="00711A37"/>
    <w:rsid w:val="00711DF3"/>
    <w:rsid w:val="00713218"/>
    <w:rsid w:val="00716784"/>
    <w:rsid w:val="0072199C"/>
    <w:rsid w:val="00722C9F"/>
    <w:rsid w:val="00725009"/>
    <w:rsid w:val="007253B8"/>
    <w:rsid w:val="007259FF"/>
    <w:rsid w:val="00726EA2"/>
    <w:rsid w:val="0072782F"/>
    <w:rsid w:val="00730341"/>
    <w:rsid w:val="0073310A"/>
    <w:rsid w:val="00737202"/>
    <w:rsid w:val="0073741F"/>
    <w:rsid w:val="00737EDD"/>
    <w:rsid w:val="00742485"/>
    <w:rsid w:val="007452D3"/>
    <w:rsid w:val="00747676"/>
    <w:rsid w:val="00747D37"/>
    <w:rsid w:val="0075330C"/>
    <w:rsid w:val="00754050"/>
    <w:rsid w:val="00763E37"/>
    <w:rsid w:val="00764C1E"/>
    <w:rsid w:val="007659A2"/>
    <w:rsid w:val="0076643F"/>
    <w:rsid w:val="0076737E"/>
    <w:rsid w:val="007743AD"/>
    <w:rsid w:val="0077696E"/>
    <w:rsid w:val="00777F63"/>
    <w:rsid w:val="0078026A"/>
    <w:rsid w:val="00781FBC"/>
    <w:rsid w:val="00782C2E"/>
    <w:rsid w:val="00782EBC"/>
    <w:rsid w:val="00785B75"/>
    <w:rsid w:val="00786BE0"/>
    <w:rsid w:val="00791760"/>
    <w:rsid w:val="00792737"/>
    <w:rsid w:val="00793EDF"/>
    <w:rsid w:val="00794420"/>
    <w:rsid w:val="007A017E"/>
    <w:rsid w:val="007A5817"/>
    <w:rsid w:val="007A6C01"/>
    <w:rsid w:val="007B60E9"/>
    <w:rsid w:val="007B6CC3"/>
    <w:rsid w:val="007C3334"/>
    <w:rsid w:val="007D2B98"/>
    <w:rsid w:val="007D3781"/>
    <w:rsid w:val="007E2015"/>
    <w:rsid w:val="007E21BC"/>
    <w:rsid w:val="007E3BC5"/>
    <w:rsid w:val="007E4F3D"/>
    <w:rsid w:val="007F20AD"/>
    <w:rsid w:val="007F2863"/>
    <w:rsid w:val="007F354F"/>
    <w:rsid w:val="008000AF"/>
    <w:rsid w:val="00800DB6"/>
    <w:rsid w:val="00803F1C"/>
    <w:rsid w:val="0080600E"/>
    <w:rsid w:val="00814B16"/>
    <w:rsid w:val="00817612"/>
    <w:rsid w:val="00822756"/>
    <w:rsid w:val="008301E4"/>
    <w:rsid w:val="008309E6"/>
    <w:rsid w:val="008338A4"/>
    <w:rsid w:val="00837C45"/>
    <w:rsid w:val="0084400A"/>
    <w:rsid w:val="00844730"/>
    <w:rsid w:val="008457C2"/>
    <w:rsid w:val="00846303"/>
    <w:rsid w:val="00847C43"/>
    <w:rsid w:val="008536A7"/>
    <w:rsid w:val="00857A82"/>
    <w:rsid w:val="00862E71"/>
    <w:rsid w:val="00872D50"/>
    <w:rsid w:val="00873836"/>
    <w:rsid w:val="00873C09"/>
    <w:rsid w:val="00874A41"/>
    <w:rsid w:val="00876D42"/>
    <w:rsid w:val="0087701A"/>
    <w:rsid w:val="00877BDA"/>
    <w:rsid w:val="00880AFA"/>
    <w:rsid w:val="00883D56"/>
    <w:rsid w:val="00884CDA"/>
    <w:rsid w:val="00885737"/>
    <w:rsid w:val="00890650"/>
    <w:rsid w:val="00894FB7"/>
    <w:rsid w:val="008965C0"/>
    <w:rsid w:val="00897E12"/>
    <w:rsid w:val="008A3EA1"/>
    <w:rsid w:val="008A666B"/>
    <w:rsid w:val="008A7A93"/>
    <w:rsid w:val="008A7E0F"/>
    <w:rsid w:val="008B12F5"/>
    <w:rsid w:val="008C0A6C"/>
    <w:rsid w:val="008C3402"/>
    <w:rsid w:val="008C4AC6"/>
    <w:rsid w:val="008C4BA2"/>
    <w:rsid w:val="008D08CE"/>
    <w:rsid w:val="008D1E51"/>
    <w:rsid w:val="008D3512"/>
    <w:rsid w:val="008D4F22"/>
    <w:rsid w:val="008D5DE5"/>
    <w:rsid w:val="008D7354"/>
    <w:rsid w:val="008D768D"/>
    <w:rsid w:val="008E06EE"/>
    <w:rsid w:val="008E1EEC"/>
    <w:rsid w:val="008E2946"/>
    <w:rsid w:val="008E3759"/>
    <w:rsid w:val="008E5342"/>
    <w:rsid w:val="008E64CB"/>
    <w:rsid w:val="008F0872"/>
    <w:rsid w:val="008F1912"/>
    <w:rsid w:val="008F598F"/>
    <w:rsid w:val="008F6422"/>
    <w:rsid w:val="008F6F58"/>
    <w:rsid w:val="0090270B"/>
    <w:rsid w:val="00902C12"/>
    <w:rsid w:val="009041DC"/>
    <w:rsid w:val="00906ECE"/>
    <w:rsid w:val="009076AC"/>
    <w:rsid w:val="00917B5A"/>
    <w:rsid w:val="00920A58"/>
    <w:rsid w:val="00920A8C"/>
    <w:rsid w:val="0092308F"/>
    <w:rsid w:val="00923E42"/>
    <w:rsid w:val="0092586C"/>
    <w:rsid w:val="009265C2"/>
    <w:rsid w:val="00934849"/>
    <w:rsid w:val="00934A2C"/>
    <w:rsid w:val="0093748B"/>
    <w:rsid w:val="00942617"/>
    <w:rsid w:val="00946275"/>
    <w:rsid w:val="0094666B"/>
    <w:rsid w:val="00946BBC"/>
    <w:rsid w:val="009521B3"/>
    <w:rsid w:val="009530B3"/>
    <w:rsid w:val="009538C2"/>
    <w:rsid w:val="009557FD"/>
    <w:rsid w:val="00955B65"/>
    <w:rsid w:val="00962B14"/>
    <w:rsid w:val="00962B5A"/>
    <w:rsid w:val="00962B83"/>
    <w:rsid w:val="00966BCC"/>
    <w:rsid w:val="0096706E"/>
    <w:rsid w:val="00971C49"/>
    <w:rsid w:val="009758E3"/>
    <w:rsid w:val="00975C4E"/>
    <w:rsid w:val="0098110D"/>
    <w:rsid w:val="00981FBA"/>
    <w:rsid w:val="00982F1C"/>
    <w:rsid w:val="0098409C"/>
    <w:rsid w:val="009864E0"/>
    <w:rsid w:val="00992B12"/>
    <w:rsid w:val="00995486"/>
    <w:rsid w:val="00997BC5"/>
    <w:rsid w:val="009A12C6"/>
    <w:rsid w:val="009A4F41"/>
    <w:rsid w:val="009A50CC"/>
    <w:rsid w:val="009A780E"/>
    <w:rsid w:val="009B381B"/>
    <w:rsid w:val="009B7FEA"/>
    <w:rsid w:val="009C197F"/>
    <w:rsid w:val="009C3861"/>
    <w:rsid w:val="009D1753"/>
    <w:rsid w:val="009D56BB"/>
    <w:rsid w:val="009D7366"/>
    <w:rsid w:val="009D7611"/>
    <w:rsid w:val="009E0B61"/>
    <w:rsid w:val="009E3E38"/>
    <w:rsid w:val="009E53DE"/>
    <w:rsid w:val="009E5B3A"/>
    <w:rsid w:val="009F14BC"/>
    <w:rsid w:val="009F20DC"/>
    <w:rsid w:val="009F2A7F"/>
    <w:rsid w:val="00A00A09"/>
    <w:rsid w:val="00A0115E"/>
    <w:rsid w:val="00A04B55"/>
    <w:rsid w:val="00A050EB"/>
    <w:rsid w:val="00A053AF"/>
    <w:rsid w:val="00A05462"/>
    <w:rsid w:val="00A07231"/>
    <w:rsid w:val="00A1380D"/>
    <w:rsid w:val="00A13DA0"/>
    <w:rsid w:val="00A242A9"/>
    <w:rsid w:val="00A31534"/>
    <w:rsid w:val="00A328B3"/>
    <w:rsid w:val="00A33FEF"/>
    <w:rsid w:val="00A34AAF"/>
    <w:rsid w:val="00A36EC4"/>
    <w:rsid w:val="00A377AF"/>
    <w:rsid w:val="00A431A6"/>
    <w:rsid w:val="00A50FCF"/>
    <w:rsid w:val="00A528D1"/>
    <w:rsid w:val="00A5386F"/>
    <w:rsid w:val="00A5481D"/>
    <w:rsid w:val="00A54CEE"/>
    <w:rsid w:val="00A610CD"/>
    <w:rsid w:val="00A61126"/>
    <w:rsid w:val="00A676CC"/>
    <w:rsid w:val="00A84784"/>
    <w:rsid w:val="00A87ADB"/>
    <w:rsid w:val="00A87C71"/>
    <w:rsid w:val="00A91F89"/>
    <w:rsid w:val="00A9272E"/>
    <w:rsid w:val="00A94A7C"/>
    <w:rsid w:val="00AA09A2"/>
    <w:rsid w:val="00AA1DDC"/>
    <w:rsid w:val="00AA6B86"/>
    <w:rsid w:val="00AA6EB2"/>
    <w:rsid w:val="00AA7996"/>
    <w:rsid w:val="00AC19CB"/>
    <w:rsid w:val="00AC501D"/>
    <w:rsid w:val="00AC51B8"/>
    <w:rsid w:val="00AC689C"/>
    <w:rsid w:val="00AC7486"/>
    <w:rsid w:val="00AD0BE0"/>
    <w:rsid w:val="00AD20EA"/>
    <w:rsid w:val="00AD6D4C"/>
    <w:rsid w:val="00AD7AFC"/>
    <w:rsid w:val="00AD7C37"/>
    <w:rsid w:val="00AE165F"/>
    <w:rsid w:val="00AE3884"/>
    <w:rsid w:val="00AE5488"/>
    <w:rsid w:val="00AE5F1D"/>
    <w:rsid w:val="00AE6F91"/>
    <w:rsid w:val="00AF271E"/>
    <w:rsid w:val="00AF2A4A"/>
    <w:rsid w:val="00AF2D34"/>
    <w:rsid w:val="00AF5571"/>
    <w:rsid w:val="00B03C01"/>
    <w:rsid w:val="00B03D53"/>
    <w:rsid w:val="00B04E4B"/>
    <w:rsid w:val="00B07341"/>
    <w:rsid w:val="00B105A1"/>
    <w:rsid w:val="00B13E8F"/>
    <w:rsid w:val="00B30539"/>
    <w:rsid w:val="00B314DB"/>
    <w:rsid w:val="00B33053"/>
    <w:rsid w:val="00B344CA"/>
    <w:rsid w:val="00B361F2"/>
    <w:rsid w:val="00B3718B"/>
    <w:rsid w:val="00B404E5"/>
    <w:rsid w:val="00B4430D"/>
    <w:rsid w:val="00B4632A"/>
    <w:rsid w:val="00B473B2"/>
    <w:rsid w:val="00B52A54"/>
    <w:rsid w:val="00B530F1"/>
    <w:rsid w:val="00B612B2"/>
    <w:rsid w:val="00B61B83"/>
    <w:rsid w:val="00B65883"/>
    <w:rsid w:val="00B66082"/>
    <w:rsid w:val="00B708AD"/>
    <w:rsid w:val="00B7354C"/>
    <w:rsid w:val="00B743C5"/>
    <w:rsid w:val="00B805A4"/>
    <w:rsid w:val="00B85B6D"/>
    <w:rsid w:val="00B85DEB"/>
    <w:rsid w:val="00B95195"/>
    <w:rsid w:val="00B962C8"/>
    <w:rsid w:val="00BA1533"/>
    <w:rsid w:val="00BA276C"/>
    <w:rsid w:val="00BB0CEB"/>
    <w:rsid w:val="00BB306F"/>
    <w:rsid w:val="00BB576D"/>
    <w:rsid w:val="00BC3709"/>
    <w:rsid w:val="00BD0CA8"/>
    <w:rsid w:val="00BD31F4"/>
    <w:rsid w:val="00BD3A6F"/>
    <w:rsid w:val="00BD40FB"/>
    <w:rsid w:val="00BD4B89"/>
    <w:rsid w:val="00BE03BA"/>
    <w:rsid w:val="00BE2B5C"/>
    <w:rsid w:val="00BE4381"/>
    <w:rsid w:val="00BE72A6"/>
    <w:rsid w:val="00BF6FD8"/>
    <w:rsid w:val="00BF745A"/>
    <w:rsid w:val="00C03680"/>
    <w:rsid w:val="00C054DF"/>
    <w:rsid w:val="00C0665F"/>
    <w:rsid w:val="00C14FBB"/>
    <w:rsid w:val="00C16AA9"/>
    <w:rsid w:val="00C16EDB"/>
    <w:rsid w:val="00C208C0"/>
    <w:rsid w:val="00C21762"/>
    <w:rsid w:val="00C24543"/>
    <w:rsid w:val="00C252D9"/>
    <w:rsid w:val="00C256A2"/>
    <w:rsid w:val="00C2589A"/>
    <w:rsid w:val="00C32E5D"/>
    <w:rsid w:val="00C42A10"/>
    <w:rsid w:val="00C42C40"/>
    <w:rsid w:val="00C45236"/>
    <w:rsid w:val="00C45CA3"/>
    <w:rsid w:val="00C45F97"/>
    <w:rsid w:val="00C51515"/>
    <w:rsid w:val="00C524A1"/>
    <w:rsid w:val="00C5660B"/>
    <w:rsid w:val="00C56858"/>
    <w:rsid w:val="00C646C3"/>
    <w:rsid w:val="00C6583C"/>
    <w:rsid w:val="00C66B72"/>
    <w:rsid w:val="00C7265F"/>
    <w:rsid w:val="00C726CC"/>
    <w:rsid w:val="00C75F85"/>
    <w:rsid w:val="00C76FD0"/>
    <w:rsid w:val="00C84237"/>
    <w:rsid w:val="00C91E89"/>
    <w:rsid w:val="00C93146"/>
    <w:rsid w:val="00C9567A"/>
    <w:rsid w:val="00C9586D"/>
    <w:rsid w:val="00C976A4"/>
    <w:rsid w:val="00CA0605"/>
    <w:rsid w:val="00CA29B0"/>
    <w:rsid w:val="00CA385F"/>
    <w:rsid w:val="00CB0A78"/>
    <w:rsid w:val="00CB0AD0"/>
    <w:rsid w:val="00CB212D"/>
    <w:rsid w:val="00CB21C9"/>
    <w:rsid w:val="00CB2660"/>
    <w:rsid w:val="00CB4A14"/>
    <w:rsid w:val="00CB5B05"/>
    <w:rsid w:val="00CC063E"/>
    <w:rsid w:val="00CC434C"/>
    <w:rsid w:val="00CC5E90"/>
    <w:rsid w:val="00CC7149"/>
    <w:rsid w:val="00CD046C"/>
    <w:rsid w:val="00CD2F9C"/>
    <w:rsid w:val="00CD4DB5"/>
    <w:rsid w:val="00CD5E72"/>
    <w:rsid w:val="00CD7C19"/>
    <w:rsid w:val="00CE076C"/>
    <w:rsid w:val="00CE4EAE"/>
    <w:rsid w:val="00CE5199"/>
    <w:rsid w:val="00CE66D5"/>
    <w:rsid w:val="00CF19F6"/>
    <w:rsid w:val="00CF637A"/>
    <w:rsid w:val="00D023B9"/>
    <w:rsid w:val="00D02FC7"/>
    <w:rsid w:val="00D059DE"/>
    <w:rsid w:val="00D06CA7"/>
    <w:rsid w:val="00D06EEF"/>
    <w:rsid w:val="00D07DCC"/>
    <w:rsid w:val="00D11DC7"/>
    <w:rsid w:val="00D13926"/>
    <w:rsid w:val="00D13FCE"/>
    <w:rsid w:val="00D23D67"/>
    <w:rsid w:val="00D27277"/>
    <w:rsid w:val="00D274C7"/>
    <w:rsid w:val="00D306D1"/>
    <w:rsid w:val="00D32942"/>
    <w:rsid w:val="00D33C0C"/>
    <w:rsid w:val="00D34786"/>
    <w:rsid w:val="00D3621E"/>
    <w:rsid w:val="00D37693"/>
    <w:rsid w:val="00D37BFC"/>
    <w:rsid w:val="00D45247"/>
    <w:rsid w:val="00D471D9"/>
    <w:rsid w:val="00D47A8E"/>
    <w:rsid w:val="00D5124B"/>
    <w:rsid w:val="00D5273A"/>
    <w:rsid w:val="00D52AA1"/>
    <w:rsid w:val="00D52D14"/>
    <w:rsid w:val="00D53EE5"/>
    <w:rsid w:val="00D55B44"/>
    <w:rsid w:val="00D712D3"/>
    <w:rsid w:val="00D71422"/>
    <w:rsid w:val="00D72DC6"/>
    <w:rsid w:val="00D75366"/>
    <w:rsid w:val="00D7558D"/>
    <w:rsid w:val="00D77AD4"/>
    <w:rsid w:val="00D81D92"/>
    <w:rsid w:val="00D81F08"/>
    <w:rsid w:val="00D8274A"/>
    <w:rsid w:val="00D83EC6"/>
    <w:rsid w:val="00D84C4B"/>
    <w:rsid w:val="00D906A1"/>
    <w:rsid w:val="00D91CED"/>
    <w:rsid w:val="00D94CBC"/>
    <w:rsid w:val="00D958C7"/>
    <w:rsid w:val="00D959C5"/>
    <w:rsid w:val="00D97AE8"/>
    <w:rsid w:val="00D97CD0"/>
    <w:rsid w:val="00DA7B5F"/>
    <w:rsid w:val="00DB078F"/>
    <w:rsid w:val="00DB6B56"/>
    <w:rsid w:val="00DB73F2"/>
    <w:rsid w:val="00DB7A90"/>
    <w:rsid w:val="00DC11E7"/>
    <w:rsid w:val="00DC155A"/>
    <w:rsid w:val="00DC6CD7"/>
    <w:rsid w:val="00DC7023"/>
    <w:rsid w:val="00DC769A"/>
    <w:rsid w:val="00DC7E60"/>
    <w:rsid w:val="00DD3D86"/>
    <w:rsid w:val="00DD40F7"/>
    <w:rsid w:val="00DE755E"/>
    <w:rsid w:val="00DF04DC"/>
    <w:rsid w:val="00DF0A7C"/>
    <w:rsid w:val="00DF1EC4"/>
    <w:rsid w:val="00DF2250"/>
    <w:rsid w:val="00DF3BF8"/>
    <w:rsid w:val="00DF4181"/>
    <w:rsid w:val="00DF41A3"/>
    <w:rsid w:val="00DF54EB"/>
    <w:rsid w:val="00DF66C9"/>
    <w:rsid w:val="00DF703E"/>
    <w:rsid w:val="00DF7989"/>
    <w:rsid w:val="00E0340B"/>
    <w:rsid w:val="00E04A90"/>
    <w:rsid w:val="00E05E10"/>
    <w:rsid w:val="00E0646D"/>
    <w:rsid w:val="00E06D7A"/>
    <w:rsid w:val="00E10B5C"/>
    <w:rsid w:val="00E219C7"/>
    <w:rsid w:val="00E22258"/>
    <w:rsid w:val="00E23F4F"/>
    <w:rsid w:val="00E262E5"/>
    <w:rsid w:val="00E322A8"/>
    <w:rsid w:val="00E34BD6"/>
    <w:rsid w:val="00E42B00"/>
    <w:rsid w:val="00E42E4D"/>
    <w:rsid w:val="00E430ED"/>
    <w:rsid w:val="00E43157"/>
    <w:rsid w:val="00E44595"/>
    <w:rsid w:val="00E461CE"/>
    <w:rsid w:val="00E613CF"/>
    <w:rsid w:val="00E64D61"/>
    <w:rsid w:val="00E64DE2"/>
    <w:rsid w:val="00E720CA"/>
    <w:rsid w:val="00E7402E"/>
    <w:rsid w:val="00E74F4B"/>
    <w:rsid w:val="00E75558"/>
    <w:rsid w:val="00E75691"/>
    <w:rsid w:val="00E7681A"/>
    <w:rsid w:val="00E81299"/>
    <w:rsid w:val="00E82BAF"/>
    <w:rsid w:val="00E84EB5"/>
    <w:rsid w:val="00E85662"/>
    <w:rsid w:val="00E860DD"/>
    <w:rsid w:val="00E8671F"/>
    <w:rsid w:val="00E8789F"/>
    <w:rsid w:val="00E91223"/>
    <w:rsid w:val="00E919A4"/>
    <w:rsid w:val="00E9414C"/>
    <w:rsid w:val="00E97318"/>
    <w:rsid w:val="00E97B71"/>
    <w:rsid w:val="00EA3D34"/>
    <w:rsid w:val="00EA6565"/>
    <w:rsid w:val="00EB25BD"/>
    <w:rsid w:val="00EB27D6"/>
    <w:rsid w:val="00EB454D"/>
    <w:rsid w:val="00EC1846"/>
    <w:rsid w:val="00EC39F3"/>
    <w:rsid w:val="00ED2321"/>
    <w:rsid w:val="00ED3831"/>
    <w:rsid w:val="00ED7184"/>
    <w:rsid w:val="00ED76BE"/>
    <w:rsid w:val="00EE0433"/>
    <w:rsid w:val="00EE4318"/>
    <w:rsid w:val="00EE50F4"/>
    <w:rsid w:val="00EF0AB1"/>
    <w:rsid w:val="00EF2192"/>
    <w:rsid w:val="00EF30AC"/>
    <w:rsid w:val="00EF5D3B"/>
    <w:rsid w:val="00EF5FC3"/>
    <w:rsid w:val="00EF619B"/>
    <w:rsid w:val="00EF7440"/>
    <w:rsid w:val="00F0018C"/>
    <w:rsid w:val="00F00B55"/>
    <w:rsid w:val="00F02AD1"/>
    <w:rsid w:val="00F23D3D"/>
    <w:rsid w:val="00F2484B"/>
    <w:rsid w:val="00F253CC"/>
    <w:rsid w:val="00F25F51"/>
    <w:rsid w:val="00F2601C"/>
    <w:rsid w:val="00F278D5"/>
    <w:rsid w:val="00F3017C"/>
    <w:rsid w:val="00F3211C"/>
    <w:rsid w:val="00F37106"/>
    <w:rsid w:val="00F41182"/>
    <w:rsid w:val="00F41A7A"/>
    <w:rsid w:val="00F440CF"/>
    <w:rsid w:val="00F519CF"/>
    <w:rsid w:val="00F530FB"/>
    <w:rsid w:val="00F53208"/>
    <w:rsid w:val="00F56BA5"/>
    <w:rsid w:val="00F57EA9"/>
    <w:rsid w:val="00F60E22"/>
    <w:rsid w:val="00F80E86"/>
    <w:rsid w:val="00F81395"/>
    <w:rsid w:val="00F841FB"/>
    <w:rsid w:val="00F87BAA"/>
    <w:rsid w:val="00F917D1"/>
    <w:rsid w:val="00F9225B"/>
    <w:rsid w:val="00F92426"/>
    <w:rsid w:val="00F9653B"/>
    <w:rsid w:val="00FA20E8"/>
    <w:rsid w:val="00FB094F"/>
    <w:rsid w:val="00FB4E8B"/>
    <w:rsid w:val="00FB62CF"/>
    <w:rsid w:val="00FC3381"/>
    <w:rsid w:val="00FD382C"/>
    <w:rsid w:val="00FD3C3B"/>
    <w:rsid w:val="00FE5F1A"/>
    <w:rsid w:val="00FE648D"/>
    <w:rsid w:val="00FE6B45"/>
    <w:rsid w:val="00FF03DC"/>
    <w:rsid w:val="00FF17D5"/>
    <w:rsid w:val="00FF3068"/>
    <w:rsid w:val="00FF4FE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List">
    <w:name w:val="List"/>
    <w:basedOn w:val="Normal"/>
    <w:uiPriority w:val="99"/>
    <w:semiHidden/>
    <w:unhideWhenUsed/>
    <w:rsid w:val="004013B3"/>
    <w:pPr>
      <w:ind w:left="360" w:hanging="360"/>
      <w:contextualSpacing/>
    </w:pPr>
  </w:style>
  <w:style w:type="character" w:styleId="CommentReference">
    <w:name w:val="annotation reference"/>
    <w:uiPriority w:val="99"/>
    <w:semiHidden/>
    <w:unhideWhenUsed/>
    <w:rsid w:val="00C14FBB"/>
    <w:rPr>
      <w:sz w:val="16"/>
      <w:szCs w:val="16"/>
    </w:rPr>
  </w:style>
  <w:style w:type="paragraph" w:styleId="CommentText">
    <w:name w:val="annotation text"/>
    <w:basedOn w:val="Normal"/>
    <w:link w:val="CommentTextChar"/>
    <w:uiPriority w:val="99"/>
    <w:semiHidden/>
    <w:unhideWhenUsed/>
    <w:rsid w:val="00C14FBB"/>
    <w:rPr>
      <w:sz w:val="20"/>
      <w:szCs w:val="20"/>
    </w:rPr>
  </w:style>
  <w:style w:type="character" w:customStyle="1" w:styleId="CommentTextChar">
    <w:name w:val="Comment Text Char"/>
    <w:link w:val="CommentText"/>
    <w:uiPriority w:val="99"/>
    <w:semiHidden/>
    <w:rsid w:val="00C14FBB"/>
    <w:rPr>
      <w:lang w:val="en-US" w:eastAsia="en-US"/>
    </w:rPr>
  </w:style>
  <w:style w:type="paragraph" w:styleId="CommentSubject">
    <w:name w:val="annotation subject"/>
    <w:basedOn w:val="CommentText"/>
    <w:next w:val="CommentText"/>
    <w:link w:val="CommentSubjectChar"/>
    <w:uiPriority w:val="99"/>
    <w:semiHidden/>
    <w:unhideWhenUsed/>
    <w:rsid w:val="00C14FBB"/>
    <w:rPr>
      <w:b/>
      <w:bCs/>
    </w:rPr>
  </w:style>
  <w:style w:type="character" w:customStyle="1" w:styleId="CommentSubjectChar">
    <w:name w:val="Comment Subject Char"/>
    <w:link w:val="CommentSubject"/>
    <w:uiPriority w:val="99"/>
    <w:semiHidden/>
    <w:rsid w:val="00C14FBB"/>
    <w:rPr>
      <w:b/>
      <w:bCs/>
      <w:lang w:val="en-US" w:eastAsia="en-US"/>
    </w:rPr>
  </w:style>
  <w:style w:type="paragraph" w:styleId="Revision">
    <w:name w:val="Revision"/>
    <w:hidden/>
    <w:uiPriority w:val="99"/>
    <w:semiHidden/>
    <w:rsid w:val="00D32942"/>
    <w:rPr>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List">
    <w:name w:val="List"/>
    <w:basedOn w:val="Normal"/>
    <w:uiPriority w:val="99"/>
    <w:semiHidden/>
    <w:unhideWhenUsed/>
    <w:rsid w:val="004013B3"/>
    <w:pPr>
      <w:ind w:left="360" w:hanging="360"/>
      <w:contextualSpacing/>
    </w:pPr>
  </w:style>
  <w:style w:type="character" w:styleId="CommentReference">
    <w:name w:val="annotation reference"/>
    <w:uiPriority w:val="99"/>
    <w:semiHidden/>
    <w:unhideWhenUsed/>
    <w:rsid w:val="00C14FBB"/>
    <w:rPr>
      <w:sz w:val="16"/>
      <w:szCs w:val="16"/>
    </w:rPr>
  </w:style>
  <w:style w:type="paragraph" w:styleId="CommentText">
    <w:name w:val="annotation text"/>
    <w:basedOn w:val="Normal"/>
    <w:link w:val="CommentTextChar"/>
    <w:uiPriority w:val="99"/>
    <w:semiHidden/>
    <w:unhideWhenUsed/>
    <w:rsid w:val="00C14FBB"/>
    <w:rPr>
      <w:sz w:val="20"/>
      <w:szCs w:val="20"/>
    </w:rPr>
  </w:style>
  <w:style w:type="character" w:customStyle="1" w:styleId="CommentTextChar">
    <w:name w:val="Comment Text Char"/>
    <w:link w:val="CommentText"/>
    <w:uiPriority w:val="99"/>
    <w:semiHidden/>
    <w:rsid w:val="00C14FBB"/>
    <w:rPr>
      <w:lang w:val="en-US" w:eastAsia="en-US"/>
    </w:rPr>
  </w:style>
  <w:style w:type="paragraph" w:styleId="CommentSubject">
    <w:name w:val="annotation subject"/>
    <w:basedOn w:val="CommentText"/>
    <w:next w:val="CommentText"/>
    <w:link w:val="CommentSubjectChar"/>
    <w:uiPriority w:val="99"/>
    <w:semiHidden/>
    <w:unhideWhenUsed/>
    <w:rsid w:val="00C14FBB"/>
    <w:rPr>
      <w:b/>
      <w:bCs/>
    </w:rPr>
  </w:style>
  <w:style w:type="character" w:customStyle="1" w:styleId="CommentSubjectChar">
    <w:name w:val="Comment Subject Char"/>
    <w:link w:val="CommentSubject"/>
    <w:uiPriority w:val="99"/>
    <w:semiHidden/>
    <w:rsid w:val="00C14FBB"/>
    <w:rPr>
      <w:b/>
      <w:bCs/>
      <w:lang w:val="en-US" w:eastAsia="en-US"/>
    </w:rPr>
  </w:style>
  <w:style w:type="paragraph" w:styleId="Revision">
    <w:name w:val="Revision"/>
    <w:hidden/>
    <w:uiPriority w:val="99"/>
    <w:semiHidden/>
    <w:rsid w:val="00D32942"/>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970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8327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FF9B-1879-4581-BE3D-E5746140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6548</Words>
  <Characters>32941</Characters>
  <Application>Microsoft Office Word</Application>
  <DocSecurity>0</DocSecurity>
  <Lines>658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32/15</dc:title>
  <dc:creator/>
  <cp:lastModifiedBy/>
  <cp:revision>1</cp:revision>
  <dcterms:created xsi:type="dcterms:W3CDTF">2015-11-12T20:41:00Z</dcterms:created>
  <dcterms:modified xsi:type="dcterms:W3CDTF">2015-11-12T20:42:00Z</dcterms:modified>
</cp:coreProperties>
</file>