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A9480D" w:rsidRDefault="00D306D1" w:rsidP="00627C9F">
      <w:pPr>
        <w:jc w:val="both"/>
        <w:rPr>
          <w:rFonts w:asciiTheme="majorHAnsi" w:hAnsiTheme="majorHAnsi" w:cs="Univers"/>
          <w:b/>
          <w:bCs/>
          <w:sz w:val="22"/>
          <w:szCs w:val="22"/>
          <w:lang w:val="es-ES_tradnl"/>
        </w:rPr>
      </w:pPr>
      <w:r w:rsidRPr="00A9480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1A3A990" wp14:editId="4EACC0B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9480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46A30A7" wp14:editId="08D9606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22613D8" wp14:editId="39D427D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22613D8" wp14:editId="39D427D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A9480D" w:rsidRDefault="00040C3A" w:rsidP="00040C3A">
      <w:pPr>
        <w:tabs>
          <w:tab w:val="center" w:pos="5400"/>
        </w:tabs>
        <w:suppressAutoHyphens/>
        <w:jc w:val="both"/>
        <w:rPr>
          <w:rFonts w:asciiTheme="majorHAnsi" w:hAnsiTheme="majorHAnsi"/>
          <w:sz w:val="22"/>
          <w:szCs w:val="22"/>
          <w:lang w:val="es-ES"/>
        </w:rPr>
      </w:pPr>
    </w:p>
    <w:p w:rsidR="00040C3A" w:rsidRPr="00A9480D" w:rsidRDefault="00040C3A" w:rsidP="00040C3A">
      <w:pPr>
        <w:tabs>
          <w:tab w:val="center" w:pos="5400"/>
        </w:tabs>
        <w:suppressAutoHyphens/>
        <w:jc w:val="both"/>
        <w:rPr>
          <w:rFonts w:asciiTheme="majorHAnsi" w:hAnsiTheme="majorHAnsi"/>
          <w:sz w:val="22"/>
          <w:szCs w:val="22"/>
          <w:lang w:val="es-ES"/>
        </w:rPr>
      </w:pPr>
    </w:p>
    <w:p w:rsidR="005128E4" w:rsidRPr="00A9480D" w:rsidRDefault="005128E4" w:rsidP="00040C3A">
      <w:pPr>
        <w:tabs>
          <w:tab w:val="center" w:pos="5400"/>
        </w:tabs>
        <w:suppressAutoHyphens/>
        <w:rPr>
          <w:rFonts w:asciiTheme="majorHAnsi" w:hAnsiTheme="majorHAnsi"/>
          <w:sz w:val="22"/>
          <w:szCs w:val="22"/>
          <w:lang w:val="es-ES_tradnl"/>
        </w:rPr>
      </w:pPr>
    </w:p>
    <w:p w:rsidR="005128E4" w:rsidRPr="00A9480D" w:rsidRDefault="005128E4" w:rsidP="00040C3A">
      <w:pPr>
        <w:tabs>
          <w:tab w:val="center" w:pos="5400"/>
        </w:tabs>
        <w:suppressAutoHyphens/>
        <w:rPr>
          <w:rFonts w:asciiTheme="majorHAnsi" w:hAnsiTheme="majorHAnsi"/>
          <w:sz w:val="22"/>
          <w:szCs w:val="22"/>
          <w:lang w:val="es-ES_tradnl"/>
        </w:rPr>
      </w:pPr>
    </w:p>
    <w:p w:rsidR="005128E4" w:rsidRPr="00A9480D" w:rsidRDefault="005128E4" w:rsidP="00040C3A">
      <w:pPr>
        <w:tabs>
          <w:tab w:val="center" w:pos="5400"/>
        </w:tabs>
        <w:suppressAutoHyphens/>
        <w:rPr>
          <w:rFonts w:asciiTheme="majorHAnsi" w:hAnsiTheme="majorHAnsi"/>
          <w:sz w:val="22"/>
          <w:szCs w:val="22"/>
          <w:lang w:val="es-ES_tradnl"/>
        </w:rPr>
      </w:pPr>
    </w:p>
    <w:p w:rsidR="00040C3A" w:rsidRPr="00A9480D" w:rsidRDefault="00040C3A" w:rsidP="005128E4">
      <w:pPr>
        <w:tabs>
          <w:tab w:val="center" w:pos="5400"/>
        </w:tabs>
        <w:suppressAutoHyphens/>
        <w:jc w:val="center"/>
        <w:rPr>
          <w:rFonts w:asciiTheme="majorHAnsi" w:hAnsiTheme="majorHAnsi"/>
          <w:sz w:val="22"/>
          <w:szCs w:val="22"/>
          <w:lang w:val="es-ES_tradnl"/>
        </w:rPr>
      </w:pPr>
    </w:p>
    <w:p w:rsidR="00040C3A" w:rsidRPr="00A9480D" w:rsidRDefault="00040C3A" w:rsidP="005128E4">
      <w:pPr>
        <w:tabs>
          <w:tab w:val="center" w:pos="5400"/>
        </w:tabs>
        <w:suppressAutoHyphens/>
        <w:jc w:val="center"/>
        <w:rPr>
          <w:rFonts w:asciiTheme="majorHAnsi" w:hAnsiTheme="majorHAnsi"/>
          <w:sz w:val="22"/>
          <w:szCs w:val="22"/>
          <w:lang w:val="es-ES_tradnl"/>
        </w:rPr>
      </w:pPr>
    </w:p>
    <w:p w:rsidR="005B52B0" w:rsidRPr="00A9480D" w:rsidRDefault="005B52B0" w:rsidP="005128E4">
      <w:pPr>
        <w:tabs>
          <w:tab w:val="center" w:pos="5400"/>
        </w:tabs>
        <w:suppressAutoHyphens/>
        <w:jc w:val="center"/>
        <w:rPr>
          <w:rFonts w:asciiTheme="majorHAnsi" w:hAnsiTheme="majorHAnsi"/>
          <w:sz w:val="22"/>
          <w:szCs w:val="22"/>
          <w:lang w:val="es-ES_tradnl"/>
        </w:rPr>
      </w:pPr>
    </w:p>
    <w:p w:rsidR="005B52B0" w:rsidRPr="00A9480D" w:rsidRDefault="005B52B0" w:rsidP="005128E4">
      <w:pPr>
        <w:tabs>
          <w:tab w:val="center" w:pos="5400"/>
        </w:tabs>
        <w:suppressAutoHyphens/>
        <w:jc w:val="center"/>
        <w:rPr>
          <w:rFonts w:asciiTheme="majorHAnsi" w:hAnsiTheme="majorHAnsi"/>
          <w:sz w:val="22"/>
          <w:szCs w:val="22"/>
          <w:lang w:val="es-ES_tradnl"/>
        </w:rPr>
      </w:pPr>
    </w:p>
    <w:p w:rsidR="005B52B0" w:rsidRPr="00A9480D" w:rsidRDefault="005B52B0" w:rsidP="005128E4">
      <w:pPr>
        <w:tabs>
          <w:tab w:val="center" w:pos="5400"/>
        </w:tabs>
        <w:suppressAutoHyphens/>
        <w:jc w:val="center"/>
        <w:rPr>
          <w:rFonts w:asciiTheme="majorHAnsi" w:hAnsiTheme="majorHAnsi"/>
          <w:sz w:val="22"/>
          <w:szCs w:val="22"/>
          <w:lang w:val="es-ES_tradnl"/>
        </w:rPr>
      </w:pPr>
    </w:p>
    <w:p w:rsidR="00040C3A" w:rsidRPr="00A9480D" w:rsidRDefault="00040C3A" w:rsidP="00040C3A">
      <w:pPr>
        <w:tabs>
          <w:tab w:val="center" w:pos="5400"/>
        </w:tabs>
        <w:suppressAutoHyphens/>
        <w:jc w:val="center"/>
        <w:rPr>
          <w:rFonts w:asciiTheme="majorHAnsi" w:hAnsiTheme="majorHAnsi"/>
          <w:sz w:val="22"/>
          <w:szCs w:val="22"/>
          <w:lang w:val="es-ES_tradnl"/>
        </w:rPr>
      </w:pPr>
    </w:p>
    <w:p w:rsidR="00040C3A" w:rsidRPr="00A9480D" w:rsidRDefault="00040C3A" w:rsidP="00040C3A">
      <w:pPr>
        <w:tabs>
          <w:tab w:val="center" w:pos="5400"/>
        </w:tabs>
        <w:suppressAutoHyphens/>
        <w:jc w:val="center"/>
        <w:rPr>
          <w:rFonts w:asciiTheme="majorHAnsi" w:hAnsiTheme="majorHAnsi"/>
          <w:sz w:val="22"/>
          <w:szCs w:val="22"/>
          <w:lang w:val="es-ES_tradnl"/>
        </w:rPr>
      </w:pPr>
    </w:p>
    <w:p w:rsidR="00040C3A" w:rsidRPr="00A9480D" w:rsidRDefault="003D3BC2" w:rsidP="00040C3A">
      <w:pPr>
        <w:tabs>
          <w:tab w:val="center" w:pos="5400"/>
        </w:tabs>
        <w:suppressAutoHyphens/>
        <w:jc w:val="center"/>
        <w:rPr>
          <w:rFonts w:asciiTheme="majorHAnsi" w:hAnsiTheme="majorHAnsi"/>
          <w:sz w:val="22"/>
          <w:szCs w:val="22"/>
          <w:lang w:val="es-ES_tradnl"/>
        </w:rPr>
      </w:pPr>
      <w:r w:rsidRPr="00A9480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653C17C" wp14:editId="26326DC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447AC">
                              <w:rPr>
                                <w:rFonts w:asciiTheme="majorHAnsi" w:hAnsiTheme="majorHAnsi" w:cs="Arial"/>
                                <w:b/>
                                <w:bCs/>
                                <w:color w:val="0D0D0D" w:themeColor="text1" w:themeTint="F2"/>
                                <w:sz w:val="36"/>
                                <w:szCs w:val="22"/>
                                <w:lang w:val="es-ES_tradnl"/>
                              </w:rPr>
                              <w:t xml:space="preserve"> 67</w:t>
                            </w:r>
                            <w:r w:rsidR="00A9480D">
                              <w:rPr>
                                <w:rFonts w:asciiTheme="majorHAnsi" w:hAnsiTheme="majorHAnsi" w:cs="Arial"/>
                                <w:b/>
                                <w:bCs/>
                                <w:color w:val="0D0D0D" w:themeColor="text1" w:themeTint="F2"/>
                                <w:sz w:val="36"/>
                                <w:szCs w:val="22"/>
                                <w:lang w:val="es-ES_tradnl"/>
                              </w:rPr>
                              <w:t>/15</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B1F33">
                              <w:rPr>
                                <w:rFonts w:asciiTheme="majorHAnsi" w:hAnsiTheme="majorHAnsi" w:cs="Arial"/>
                                <w:b/>
                                <w:color w:val="0D0D0D" w:themeColor="text1" w:themeTint="F2"/>
                                <w:sz w:val="36"/>
                                <w:szCs w:val="22"/>
                                <w:lang w:val="es-ES_tradnl"/>
                              </w:rPr>
                              <w:t>211-07</w:t>
                            </w:r>
                          </w:p>
                          <w:p w:rsidR="005B52B0" w:rsidRPr="0010736F" w:rsidRDefault="005B52B0" w:rsidP="00920AC0">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A9480D" w:rsidRPr="00A9480D" w:rsidRDefault="00A9480D" w:rsidP="00A9480D">
                            <w:pPr>
                              <w:spacing w:line="276" w:lineRule="auto"/>
                              <w:rPr>
                                <w:rFonts w:asciiTheme="majorHAnsi" w:hAnsiTheme="majorHAnsi" w:cs="Arial"/>
                                <w:color w:val="0D0D0D" w:themeColor="text1" w:themeTint="F2"/>
                                <w:szCs w:val="22"/>
                                <w:lang w:val="es-ES"/>
                              </w:rPr>
                            </w:pPr>
                            <w:r w:rsidRPr="00A9480D">
                              <w:rPr>
                                <w:rFonts w:asciiTheme="majorHAnsi" w:hAnsiTheme="majorHAnsi" w:cs="Arial"/>
                                <w:color w:val="0D0D0D" w:themeColor="text1" w:themeTint="F2"/>
                                <w:szCs w:val="22"/>
                                <w:lang w:val="es-ES"/>
                              </w:rPr>
                              <w:t>JORGE MARCIAL TZOMPAXTLE TECPILE Y OTROS</w:t>
                            </w:r>
                          </w:p>
                          <w:p w:rsidR="005B52B0" w:rsidRPr="0010736F" w:rsidRDefault="00A9480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MÉXICO </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447AC">
                        <w:rPr>
                          <w:rFonts w:asciiTheme="majorHAnsi" w:hAnsiTheme="majorHAnsi" w:cs="Arial"/>
                          <w:b/>
                          <w:bCs/>
                          <w:color w:val="0D0D0D" w:themeColor="text1" w:themeTint="F2"/>
                          <w:sz w:val="36"/>
                          <w:szCs w:val="22"/>
                          <w:lang w:val="es-ES_tradnl"/>
                        </w:rPr>
                        <w:t xml:space="preserve"> 67</w:t>
                      </w:r>
                      <w:r w:rsidR="00A9480D">
                        <w:rPr>
                          <w:rFonts w:asciiTheme="majorHAnsi" w:hAnsiTheme="majorHAnsi" w:cs="Arial"/>
                          <w:b/>
                          <w:bCs/>
                          <w:color w:val="0D0D0D" w:themeColor="text1" w:themeTint="F2"/>
                          <w:sz w:val="36"/>
                          <w:szCs w:val="22"/>
                          <w:lang w:val="es-ES_tradnl"/>
                        </w:rPr>
                        <w:t>/15</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B1F33">
                        <w:rPr>
                          <w:rFonts w:asciiTheme="majorHAnsi" w:hAnsiTheme="majorHAnsi" w:cs="Arial"/>
                          <w:b/>
                          <w:color w:val="0D0D0D" w:themeColor="text1" w:themeTint="F2"/>
                          <w:sz w:val="36"/>
                          <w:szCs w:val="22"/>
                          <w:lang w:val="es-ES_tradnl"/>
                        </w:rPr>
                        <w:t>211-07</w:t>
                      </w:r>
                    </w:p>
                    <w:p w:rsidR="005B52B0" w:rsidRPr="0010736F" w:rsidRDefault="005B52B0" w:rsidP="00920AC0">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A9480D" w:rsidRPr="00A9480D" w:rsidRDefault="00A9480D" w:rsidP="00A9480D">
                      <w:pPr>
                        <w:spacing w:line="276" w:lineRule="auto"/>
                        <w:rPr>
                          <w:rFonts w:asciiTheme="majorHAnsi" w:hAnsiTheme="majorHAnsi" w:cs="Arial"/>
                          <w:color w:val="0D0D0D" w:themeColor="text1" w:themeTint="F2"/>
                          <w:szCs w:val="22"/>
                          <w:lang w:val="es-ES"/>
                        </w:rPr>
                      </w:pPr>
                      <w:r w:rsidRPr="00A9480D">
                        <w:rPr>
                          <w:rFonts w:asciiTheme="majorHAnsi" w:hAnsiTheme="majorHAnsi" w:cs="Arial"/>
                          <w:color w:val="0D0D0D" w:themeColor="text1" w:themeTint="F2"/>
                          <w:szCs w:val="22"/>
                          <w:lang w:val="es-ES"/>
                        </w:rPr>
                        <w:t>JORGE MARCIAL TZOMPAXTLE TECPILE Y OTROS</w:t>
                      </w:r>
                    </w:p>
                    <w:p w:rsidR="005B52B0" w:rsidRPr="0010736F" w:rsidRDefault="00A9480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MÉXICO </w:t>
                      </w:r>
                    </w:p>
                    <w:p w:rsidR="005B52B0" w:rsidRPr="00AE5488" w:rsidRDefault="005B52B0" w:rsidP="007A5817">
                      <w:pPr>
                        <w:rPr>
                          <w:color w:val="0D0D0D" w:themeColor="text1" w:themeTint="F2"/>
                          <w:lang w:val="es-ES_tradnl"/>
                        </w:rPr>
                      </w:pPr>
                    </w:p>
                  </w:txbxContent>
                </v:textbox>
              </v:shape>
            </w:pict>
          </mc:Fallback>
        </mc:AlternateContent>
      </w:r>
      <w:r w:rsidR="004E2649" w:rsidRPr="00A9480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A9C91F" wp14:editId="4795B10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F10923" w:rsidRDefault="002E2D42" w:rsidP="007A5817">
                            <w:pPr>
                              <w:spacing w:line="276" w:lineRule="auto"/>
                              <w:jc w:val="right"/>
                              <w:rPr>
                                <w:rFonts w:asciiTheme="minorHAnsi" w:hAnsiTheme="minorHAnsi"/>
                                <w:color w:val="FFFFFF" w:themeColor="background1"/>
                                <w:sz w:val="22"/>
                                <w:lang w:val="pt-BR"/>
                              </w:rPr>
                            </w:pPr>
                            <w:r w:rsidRPr="00F10923">
                              <w:rPr>
                                <w:rFonts w:asciiTheme="minorHAnsi" w:hAnsiTheme="minorHAnsi"/>
                                <w:color w:val="FFFFFF" w:themeColor="background1"/>
                                <w:sz w:val="22"/>
                                <w:lang w:val="pt-BR"/>
                              </w:rPr>
                              <w:t>OEA/Ser.L/V/II.156</w:t>
                            </w:r>
                          </w:p>
                          <w:p w:rsidR="00627C9F" w:rsidRPr="00F10923" w:rsidRDefault="000447A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w:t>
                            </w:r>
                          </w:p>
                          <w:p w:rsidR="00627C9F" w:rsidRPr="0053243D" w:rsidRDefault="000447A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27 o</w:t>
                            </w:r>
                            <w:r w:rsidR="005E2EF7">
                              <w:rPr>
                                <w:rFonts w:asciiTheme="minorHAnsi" w:hAnsiTheme="minorHAnsi"/>
                                <w:color w:val="FFFFFF" w:themeColor="background1"/>
                                <w:sz w:val="22"/>
                                <w:lang w:val="es-ES"/>
                              </w:rPr>
                              <w:t xml:space="preserve">ctubre </w:t>
                            </w:r>
                            <w:r w:rsidR="00627C9F" w:rsidRPr="0053243D">
                              <w:rPr>
                                <w:rFonts w:asciiTheme="minorHAnsi" w:hAnsiTheme="minorHAnsi"/>
                                <w:color w:val="FFFFFF" w:themeColor="background1"/>
                                <w:sz w:val="22"/>
                                <w:lang w:val="es-ES"/>
                              </w:rPr>
                              <w:t>201</w:t>
                            </w:r>
                            <w:r w:rsidR="006B1F33" w:rsidRPr="0053243D">
                              <w:rPr>
                                <w:rFonts w:asciiTheme="minorHAnsi" w:hAnsiTheme="minorHAnsi"/>
                                <w:color w:val="FFFFFF" w:themeColor="background1"/>
                                <w:sz w:val="22"/>
                                <w:lang w:val="es-ES"/>
                              </w:rPr>
                              <w:t>5</w:t>
                            </w:r>
                          </w:p>
                          <w:p w:rsidR="00627C9F" w:rsidRPr="0053243D" w:rsidRDefault="00E0340B" w:rsidP="007A5817">
                            <w:pPr>
                              <w:spacing w:line="276" w:lineRule="auto"/>
                              <w:jc w:val="right"/>
                              <w:rPr>
                                <w:rFonts w:asciiTheme="minorHAnsi" w:hAnsiTheme="minorHAnsi"/>
                                <w:color w:val="FFFFFF" w:themeColor="background1"/>
                                <w:sz w:val="22"/>
                                <w:lang w:val="es-ES"/>
                              </w:rPr>
                            </w:pPr>
                            <w:r w:rsidRPr="0053243D">
                              <w:rPr>
                                <w:rFonts w:asciiTheme="minorHAnsi" w:hAnsiTheme="minorHAnsi"/>
                                <w:color w:val="FFFFFF" w:themeColor="background1"/>
                                <w:sz w:val="22"/>
                                <w:lang w:val="es-ES"/>
                              </w:rPr>
                              <w:t xml:space="preserve">Original: </w:t>
                            </w:r>
                            <w:r w:rsidR="008B12F5" w:rsidRPr="0053243D">
                              <w:rPr>
                                <w:rFonts w:asciiTheme="minorHAnsi" w:hAnsiTheme="minorHAnsi"/>
                                <w:color w:val="FFFFFF" w:themeColor="background1"/>
                                <w:sz w:val="22"/>
                                <w:lang w:val="es-ES"/>
                              </w:rPr>
                              <w:t>e</w:t>
                            </w:r>
                            <w:r w:rsidR="00627C9F" w:rsidRPr="0053243D">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F10923" w:rsidRDefault="002E2D42" w:rsidP="007A5817">
                      <w:pPr>
                        <w:spacing w:line="276" w:lineRule="auto"/>
                        <w:jc w:val="right"/>
                        <w:rPr>
                          <w:rFonts w:asciiTheme="minorHAnsi" w:hAnsiTheme="minorHAnsi"/>
                          <w:color w:val="FFFFFF" w:themeColor="background1"/>
                          <w:sz w:val="22"/>
                          <w:lang w:val="pt-BR"/>
                        </w:rPr>
                      </w:pPr>
                      <w:r w:rsidRPr="00F10923">
                        <w:rPr>
                          <w:rFonts w:asciiTheme="minorHAnsi" w:hAnsiTheme="minorHAnsi"/>
                          <w:color w:val="FFFFFF" w:themeColor="background1"/>
                          <w:sz w:val="22"/>
                          <w:lang w:val="pt-BR"/>
                        </w:rPr>
                        <w:t>OEA/Ser.L/V/II.156</w:t>
                      </w:r>
                    </w:p>
                    <w:p w:rsidR="00627C9F" w:rsidRPr="00F10923" w:rsidRDefault="000447A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w:t>
                      </w:r>
                    </w:p>
                    <w:p w:rsidR="00627C9F" w:rsidRPr="0053243D" w:rsidRDefault="000447A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27 o</w:t>
                      </w:r>
                      <w:r w:rsidR="005E2EF7">
                        <w:rPr>
                          <w:rFonts w:asciiTheme="minorHAnsi" w:hAnsiTheme="minorHAnsi"/>
                          <w:color w:val="FFFFFF" w:themeColor="background1"/>
                          <w:sz w:val="22"/>
                          <w:lang w:val="es-ES"/>
                        </w:rPr>
                        <w:t xml:space="preserve">ctubre </w:t>
                      </w:r>
                      <w:r w:rsidR="00627C9F" w:rsidRPr="0053243D">
                        <w:rPr>
                          <w:rFonts w:asciiTheme="minorHAnsi" w:hAnsiTheme="minorHAnsi"/>
                          <w:color w:val="FFFFFF" w:themeColor="background1"/>
                          <w:sz w:val="22"/>
                          <w:lang w:val="es-ES"/>
                        </w:rPr>
                        <w:t>201</w:t>
                      </w:r>
                      <w:r w:rsidR="006B1F33" w:rsidRPr="0053243D">
                        <w:rPr>
                          <w:rFonts w:asciiTheme="minorHAnsi" w:hAnsiTheme="minorHAnsi"/>
                          <w:color w:val="FFFFFF" w:themeColor="background1"/>
                          <w:sz w:val="22"/>
                          <w:lang w:val="es-ES"/>
                        </w:rPr>
                        <w:t>5</w:t>
                      </w:r>
                    </w:p>
                    <w:p w:rsidR="00627C9F" w:rsidRPr="0053243D" w:rsidRDefault="00E0340B" w:rsidP="007A5817">
                      <w:pPr>
                        <w:spacing w:line="276" w:lineRule="auto"/>
                        <w:jc w:val="right"/>
                        <w:rPr>
                          <w:rFonts w:asciiTheme="minorHAnsi" w:hAnsiTheme="minorHAnsi"/>
                          <w:color w:val="FFFFFF" w:themeColor="background1"/>
                          <w:sz w:val="22"/>
                          <w:lang w:val="es-ES"/>
                        </w:rPr>
                      </w:pPr>
                      <w:r w:rsidRPr="0053243D">
                        <w:rPr>
                          <w:rFonts w:asciiTheme="minorHAnsi" w:hAnsiTheme="minorHAnsi"/>
                          <w:color w:val="FFFFFF" w:themeColor="background1"/>
                          <w:sz w:val="22"/>
                          <w:lang w:val="es-ES"/>
                        </w:rPr>
                        <w:t xml:space="preserve">Original: </w:t>
                      </w:r>
                      <w:r w:rsidR="008B12F5" w:rsidRPr="0053243D">
                        <w:rPr>
                          <w:rFonts w:asciiTheme="minorHAnsi" w:hAnsiTheme="minorHAnsi"/>
                          <w:color w:val="FFFFFF" w:themeColor="background1"/>
                          <w:sz w:val="22"/>
                          <w:lang w:val="es-ES"/>
                        </w:rPr>
                        <w:t>e</w:t>
                      </w:r>
                      <w:r w:rsidR="00627C9F" w:rsidRPr="0053243D">
                        <w:rPr>
                          <w:rFonts w:asciiTheme="minorHAnsi" w:hAnsiTheme="minorHAnsi"/>
                          <w:color w:val="FFFFFF" w:themeColor="background1"/>
                          <w:sz w:val="22"/>
                          <w:lang w:val="es-ES"/>
                        </w:rPr>
                        <w:t>spañol</w:t>
                      </w:r>
                    </w:p>
                  </w:txbxContent>
                </v:textbox>
              </v:shape>
            </w:pict>
          </mc:Fallback>
        </mc:AlternateContent>
      </w:r>
    </w:p>
    <w:p w:rsidR="00040C3A" w:rsidRPr="00A9480D" w:rsidRDefault="00040C3A" w:rsidP="00040C3A">
      <w:pPr>
        <w:tabs>
          <w:tab w:val="center" w:pos="5400"/>
        </w:tabs>
        <w:suppressAutoHyphens/>
        <w:jc w:val="center"/>
        <w:rPr>
          <w:rFonts w:asciiTheme="majorHAnsi" w:hAnsiTheme="majorHAnsi"/>
          <w:sz w:val="22"/>
          <w:szCs w:val="22"/>
          <w:lang w:val="es-ES_tradnl"/>
        </w:rPr>
      </w:pPr>
    </w:p>
    <w:p w:rsidR="00040C3A" w:rsidRPr="00A9480D" w:rsidRDefault="00040C3A" w:rsidP="00040C3A">
      <w:pPr>
        <w:tabs>
          <w:tab w:val="center" w:pos="5400"/>
        </w:tabs>
        <w:suppressAutoHyphens/>
        <w:jc w:val="center"/>
        <w:rPr>
          <w:rFonts w:asciiTheme="majorHAnsi" w:hAnsiTheme="majorHAnsi"/>
          <w:sz w:val="22"/>
          <w:szCs w:val="22"/>
          <w:lang w:val="es-ES_tradnl"/>
        </w:rPr>
      </w:pPr>
    </w:p>
    <w:p w:rsidR="00040C3A" w:rsidRPr="00A9480D" w:rsidRDefault="00040C3A" w:rsidP="00040C3A">
      <w:pPr>
        <w:tabs>
          <w:tab w:val="center" w:pos="5400"/>
        </w:tabs>
        <w:suppressAutoHyphens/>
        <w:jc w:val="center"/>
        <w:rPr>
          <w:rFonts w:asciiTheme="majorHAnsi" w:hAnsiTheme="majorHAnsi" w:cs="Arial"/>
          <w:sz w:val="22"/>
          <w:szCs w:val="22"/>
          <w:lang w:val="es-ES_tradnl"/>
        </w:rPr>
      </w:pPr>
    </w:p>
    <w:p w:rsidR="00040C3A" w:rsidRPr="00A9480D" w:rsidRDefault="00040C3A" w:rsidP="00040C3A">
      <w:pPr>
        <w:tabs>
          <w:tab w:val="center" w:pos="5400"/>
        </w:tabs>
        <w:suppressAutoHyphens/>
        <w:jc w:val="center"/>
        <w:rPr>
          <w:rFonts w:asciiTheme="majorHAnsi" w:hAnsiTheme="majorHAnsi"/>
          <w:sz w:val="22"/>
          <w:szCs w:val="22"/>
          <w:lang w:val="es-ES_tradnl"/>
        </w:rPr>
      </w:pPr>
    </w:p>
    <w:p w:rsidR="00040C3A" w:rsidRPr="00A9480D" w:rsidRDefault="00040C3A" w:rsidP="00040C3A">
      <w:pPr>
        <w:tabs>
          <w:tab w:val="center" w:pos="5400"/>
        </w:tabs>
        <w:suppressAutoHyphens/>
        <w:jc w:val="center"/>
        <w:rPr>
          <w:rFonts w:asciiTheme="majorHAnsi" w:hAnsiTheme="majorHAnsi"/>
          <w:sz w:val="22"/>
          <w:szCs w:val="22"/>
          <w:lang w:val="es-ES_tradnl"/>
        </w:rPr>
      </w:pPr>
    </w:p>
    <w:p w:rsidR="00040C3A" w:rsidRPr="00A9480D" w:rsidRDefault="00040C3A" w:rsidP="00040C3A">
      <w:pPr>
        <w:tabs>
          <w:tab w:val="center" w:pos="5400"/>
        </w:tabs>
        <w:suppressAutoHyphens/>
        <w:jc w:val="center"/>
        <w:rPr>
          <w:rFonts w:asciiTheme="majorHAnsi" w:hAnsiTheme="majorHAnsi"/>
          <w:sz w:val="22"/>
          <w:szCs w:val="22"/>
          <w:lang w:val="es-ES_tradnl"/>
        </w:rPr>
      </w:pPr>
    </w:p>
    <w:p w:rsidR="00040C3A" w:rsidRPr="00A9480D" w:rsidRDefault="00040C3A" w:rsidP="00040C3A">
      <w:pPr>
        <w:tabs>
          <w:tab w:val="center" w:pos="5400"/>
        </w:tabs>
        <w:suppressAutoHyphens/>
        <w:jc w:val="center"/>
        <w:rPr>
          <w:rFonts w:asciiTheme="majorHAnsi" w:hAnsiTheme="majorHAnsi"/>
          <w:sz w:val="22"/>
          <w:szCs w:val="22"/>
          <w:lang w:val="es-ES_tradnl"/>
        </w:rPr>
      </w:pPr>
    </w:p>
    <w:p w:rsidR="005128E4" w:rsidRPr="00A9480D" w:rsidRDefault="005128E4" w:rsidP="00040C3A">
      <w:pPr>
        <w:tabs>
          <w:tab w:val="center" w:pos="5400"/>
        </w:tabs>
        <w:suppressAutoHyphens/>
        <w:jc w:val="center"/>
        <w:rPr>
          <w:rFonts w:asciiTheme="majorHAnsi" w:hAnsiTheme="majorHAnsi"/>
          <w:sz w:val="22"/>
          <w:szCs w:val="22"/>
          <w:lang w:val="es-ES_tradnl"/>
        </w:rPr>
      </w:pPr>
    </w:p>
    <w:p w:rsidR="00040C3A" w:rsidRPr="00A9480D" w:rsidRDefault="00040C3A" w:rsidP="00040C3A">
      <w:pPr>
        <w:tabs>
          <w:tab w:val="center" w:pos="5400"/>
        </w:tabs>
        <w:suppressAutoHyphens/>
        <w:jc w:val="center"/>
        <w:rPr>
          <w:rFonts w:asciiTheme="majorHAnsi" w:hAnsiTheme="majorHAnsi"/>
          <w:sz w:val="22"/>
          <w:szCs w:val="22"/>
          <w:lang w:val="es-ES_tradnl"/>
        </w:rPr>
      </w:pPr>
    </w:p>
    <w:p w:rsidR="005128E4" w:rsidRPr="00A9480D" w:rsidRDefault="005128E4" w:rsidP="00040C3A">
      <w:pPr>
        <w:tabs>
          <w:tab w:val="center" w:pos="5400"/>
        </w:tabs>
        <w:suppressAutoHyphens/>
        <w:jc w:val="center"/>
        <w:rPr>
          <w:rFonts w:asciiTheme="majorHAnsi" w:hAnsiTheme="majorHAnsi"/>
          <w:sz w:val="22"/>
          <w:szCs w:val="22"/>
          <w:lang w:val="es-ES_tradnl"/>
        </w:rPr>
      </w:pPr>
    </w:p>
    <w:p w:rsidR="005128E4" w:rsidRPr="00A9480D" w:rsidRDefault="005128E4" w:rsidP="00040C3A">
      <w:pPr>
        <w:tabs>
          <w:tab w:val="center" w:pos="5400"/>
        </w:tabs>
        <w:suppressAutoHyphens/>
        <w:jc w:val="center"/>
        <w:rPr>
          <w:rFonts w:asciiTheme="majorHAnsi" w:hAnsiTheme="majorHAnsi"/>
          <w:sz w:val="22"/>
          <w:szCs w:val="22"/>
          <w:lang w:val="es-ES_tradnl"/>
        </w:rPr>
      </w:pPr>
    </w:p>
    <w:p w:rsidR="005128E4" w:rsidRPr="00A9480D" w:rsidRDefault="005128E4" w:rsidP="00040C3A">
      <w:pPr>
        <w:tabs>
          <w:tab w:val="center" w:pos="5400"/>
        </w:tabs>
        <w:suppressAutoHyphens/>
        <w:jc w:val="center"/>
        <w:rPr>
          <w:rFonts w:asciiTheme="majorHAnsi" w:hAnsiTheme="majorHAnsi"/>
          <w:sz w:val="22"/>
          <w:szCs w:val="22"/>
          <w:lang w:val="es-ES_tradnl"/>
        </w:rPr>
      </w:pPr>
    </w:p>
    <w:p w:rsidR="00040C3A" w:rsidRPr="00A9480D" w:rsidRDefault="00040C3A" w:rsidP="00040C3A">
      <w:pPr>
        <w:tabs>
          <w:tab w:val="center" w:pos="5400"/>
        </w:tabs>
        <w:suppressAutoHyphens/>
        <w:jc w:val="center"/>
        <w:rPr>
          <w:rFonts w:asciiTheme="majorHAnsi" w:hAnsiTheme="majorHAnsi"/>
          <w:sz w:val="22"/>
          <w:szCs w:val="22"/>
          <w:lang w:val="es-ES_tradnl"/>
        </w:rPr>
      </w:pPr>
    </w:p>
    <w:p w:rsidR="00040C3A" w:rsidRPr="00A9480D" w:rsidRDefault="00040C3A" w:rsidP="00040C3A">
      <w:pPr>
        <w:tabs>
          <w:tab w:val="center" w:pos="5400"/>
        </w:tabs>
        <w:suppressAutoHyphens/>
        <w:jc w:val="center"/>
        <w:rPr>
          <w:rFonts w:asciiTheme="majorHAnsi" w:hAnsiTheme="majorHAnsi"/>
          <w:sz w:val="22"/>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90270B" w:rsidP="00040C3A">
      <w:pPr>
        <w:tabs>
          <w:tab w:val="center" w:pos="5400"/>
        </w:tabs>
        <w:suppressAutoHyphens/>
        <w:jc w:val="center"/>
        <w:rPr>
          <w:rFonts w:asciiTheme="majorHAnsi" w:hAnsiTheme="majorHAnsi"/>
          <w:sz w:val="18"/>
          <w:szCs w:val="22"/>
          <w:lang w:val="es-ES_tradnl"/>
        </w:rPr>
      </w:pPr>
      <w:r w:rsidRPr="00A9480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4B65D98" wp14:editId="7331858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0447AC">
                              <w:rPr>
                                <w:rFonts w:asciiTheme="majorHAnsi" w:hAnsiTheme="majorHAnsi"/>
                                <w:color w:val="0D0D0D" w:themeColor="text1" w:themeTint="F2"/>
                                <w:sz w:val="18"/>
                                <w:szCs w:val="20"/>
                                <w:lang w:val="es-ES"/>
                              </w:rPr>
                              <w:t xml:space="preserve"> 2051</w:t>
                            </w:r>
                            <w:r w:rsidR="005F0DAD" w:rsidRPr="00890650">
                              <w:rPr>
                                <w:rFonts w:asciiTheme="majorHAnsi" w:hAnsiTheme="majorHAnsi"/>
                                <w:color w:val="0D0D0D" w:themeColor="text1" w:themeTint="F2"/>
                                <w:sz w:val="18"/>
                                <w:szCs w:val="20"/>
                                <w:lang w:val="es-ES"/>
                              </w:rPr>
                              <w:t xml:space="preserve"> c</w:t>
                            </w:r>
                            <w:r w:rsidR="000447AC">
                              <w:rPr>
                                <w:rFonts w:asciiTheme="majorHAnsi" w:hAnsiTheme="majorHAnsi"/>
                                <w:color w:val="0D0D0D" w:themeColor="text1" w:themeTint="F2"/>
                                <w:sz w:val="18"/>
                                <w:szCs w:val="20"/>
                                <w:lang w:val="es-ES"/>
                              </w:rPr>
                              <w:t>elebrada el 27</w:t>
                            </w:r>
                            <w:r w:rsidR="002E2D42">
                              <w:rPr>
                                <w:rFonts w:asciiTheme="majorHAnsi" w:hAnsiTheme="majorHAnsi"/>
                                <w:color w:val="0D0D0D" w:themeColor="text1" w:themeTint="F2"/>
                                <w:sz w:val="18"/>
                                <w:szCs w:val="20"/>
                                <w:lang w:val="es-ES"/>
                              </w:rPr>
                              <w:t xml:space="preserve"> de </w:t>
                            </w:r>
                            <w:r w:rsidR="005E2EF7">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sidR="006B1F33">
                              <w:rPr>
                                <w:rFonts w:asciiTheme="majorHAnsi" w:hAnsiTheme="majorHAnsi"/>
                                <w:color w:val="0D0D0D" w:themeColor="text1" w:themeTint="F2"/>
                                <w:sz w:val="18"/>
                                <w:szCs w:val="20"/>
                                <w:lang w:val="es-ES"/>
                              </w:rPr>
                              <w:t>5</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2E2D42">
                              <w:rPr>
                                <w:rFonts w:asciiTheme="majorHAnsi" w:hAnsiTheme="majorHAnsi" w:cs="Univers"/>
                                <w:color w:val="0D0D0D" w:themeColor="text1" w:themeTint="F2"/>
                                <w:sz w:val="18"/>
                                <w:szCs w:val="20"/>
                                <w:lang w:val="es-ES_tradnl"/>
                              </w:rPr>
                              <w:t>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C62F80">
                              <w:rPr>
                                <w:rFonts w:asciiTheme="majorHAnsi" w:hAnsiTheme="majorHAnsi" w:cs="Univers"/>
                                <w:color w:val="0D0D0D" w:themeColor="text1" w:themeTint="F2"/>
                                <w:sz w:val="18"/>
                                <w:szCs w:val="20"/>
                                <w:lang w:val="es-ES_tradnl"/>
                              </w:rPr>
                              <w:t>.</w:t>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0447AC">
                        <w:rPr>
                          <w:rFonts w:asciiTheme="majorHAnsi" w:hAnsiTheme="majorHAnsi"/>
                          <w:color w:val="0D0D0D" w:themeColor="text1" w:themeTint="F2"/>
                          <w:sz w:val="18"/>
                          <w:szCs w:val="20"/>
                          <w:lang w:val="es-ES"/>
                        </w:rPr>
                        <w:t xml:space="preserve"> 2051</w:t>
                      </w:r>
                      <w:r w:rsidR="005F0DAD" w:rsidRPr="00890650">
                        <w:rPr>
                          <w:rFonts w:asciiTheme="majorHAnsi" w:hAnsiTheme="majorHAnsi"/>
                          <w:color w:val="0D0D0D" w:themeColor="text1" w:themeTint="F2"/>
                          <w:sz w:val="18"/>
                          <w:szCs w:val="20"/>
                          <w:lang w:val="es-ES"/>
                        </w:rPr>
                        <w:t xml:space="preserve"> c</w:t>
                      </w:r>
                      <w:r w:rsidR="000447AC">
                        <w:rPr>
                          <w:rFonts w:asciiTheme="majorHAnsi" w:hAnsiTheme="majorHAnsi"/>
                          <w:color w:val="0D0D0D" w:themeColor="text1" w:themeTint="F2"/>
                          <w:sz w:val="18"/>
                          <w:szCs w:val="20"/>
                          <w:lang w:val="es-ES"/>
                        </w:rPr>
                        <w:t>elebrada el 27</w:t>
                      </w:r>
                      <w:r w:rsidR="002E2D42">
                        <w:rPr>
                          <w:rFonts w:asciiTheme="majorHAnsi" w:hAnsiTheme="majorHAnsi"/>
                          <w:color w:val="0D0D0D" w:themeColor="text1" w:themeTint="F2"/>
                          <w:sz w:val="18"/>
                          <w:szCs w:val="20"/>
                          <w:lang w:val="es-ES"/>
                        </w:rPr>
                        <w:t xml:space="preserve"> de </w:t>
                      </w:r>
                      <w:r w:rsidR="005E2EF7">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sidR="006B1F33">
                        <w:rPr>
                          <w:rFonts w:asciiTheme="majorHAnsi" w:hAnsiTheme="majorHAnsi"/>
                          <w:color w:val="0D0D0D" w:themeColor="text1" w:themeTint="F2"/>
                          <w:sz w:val="18"/>
                          <w:szCs w:val="20"/>
                          <w:lang w:val="es-ES"/>
                        </w:rPr>
                        <w:t>5</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2E2D42">
                        <w:rPr>
                          <w:rFonts w:asciiTheme="majorHAnsi" w:hAnsiTheme="majorHAnsi" w:cs="Univers"/>
                          <w:color w:val="0D0D0D" w:themeColor="text1" w:themeTint="F2"/>
                          <w:sz w:val="18"/>
                          <w:szCs w:val="20"/>
                          <w:lang w:val="es-ES_tradnl"/>
                        </w:rPr>
                        <w:t>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C62F80">
                        <w:rPr>
                          <w:rFonts w:asciiTheme="majorHAnsi" w:hAnsiTheme="majorHAnsi" w:cs="Univers"/>
                          <w:color w:val="0D0D0D" w:themeColor="text1" w:themeTint="F2"/>
                          <w:sz w:val="18"/>
                          <w:szCs w:val="20"/>
                          <w:lang w:val="es-ES_tradnl"/>
                        </w:rPr>
                        <w:t>.</w:t>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A50FCF" w:rsidRPr="00A9480D" w:rsidRDefault="0090270B" w:rsidP="00040C3A">
      <w:pPr>
        <w:tabs>
          <w:tab w:val="center" w:pos="5400"/>
        </w:tabs>
        <w:suppressAutoHyphens/>
        <w:jc w:val="center"/>
        <w:rPr>
          <w:rFonts w:asciiTheme="majorHAnsi" w:hAnsiTheme="majorHAnsi"/>
          <w:sz w:val="18"/>
          <w:szCs w:val="22"/>
          <w:lang w:val="es-ES_tradnl"/>
        </w:rPr>
      </w:pPr>
      <w:r w:rsidRPr="00A9480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DDD83A8" wp14:editId="4610B39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5E2EF7" w:rsidRDefault="00113F73" w:rsidP="00113F73">
                            <w:pPr>
                              <w:spacing w:line="276" w:lineRule="auto"/>
                              <w:rPr>
                                <w:rFonts w:asciiTheme="majorHAnsi" w:hAnsiTheme="majorHAnsi"/>
                                <w:color w:val="595959" w:themeColor="text1" w:themeTint="A6"/>
                                <w:sz w:val="18"/>
                                <w:szCs w:val="18"/>
                                <w:lang w:val="es-ES"/>
                              </w:rPr>
                            </w:pPr>
                            <w:r w:rsidRPr="00C62F80">
                              <w:rPr>
                                <w:rFonts w:asciiTheme="majorHAnsi" w:hAnsiTheme="majorHAnsi"/>
                                <w:b/>
                                <w:color w:val="595959" w:themeColor="text1" w:themeTint="A6"/>
                                <w:sz w:val="18"/>
                                <w:szCs w:val="18"/>
                                <w:lang w:val="es-ES"/>
                              </w:rPr>
                              <w:t>Citar como:</w:t>
                            </w:r>
                            <w:r w:rsidRPr="00C62F80">
                              <w:rPr>
                                <w:rFonts w:asciiTheme="majorHAnsi" w:hAnsiTheme="majorHAnsi"/>
                                <w:color w:val="595959" w:themeColor="text1" w:themeTint="A6"/>
                                <w:sz w:val="18"/>
                                <w:szCs w:val="18"/>
                                <w:lang w:val="es-ES"/>
                              </w:rPr>
                              <w:t xml:space="preserve"> CIDH, Informe No. </w:t>
                            </w:r>
                            <w:r w:rsidR="000447AC">
                              <w:rPr>
                                <w:rFonts w:asciiTheme="majorHAnsi" w:hAnsiTheme="majorHAnsi"/>
                                <w:color w:val="595959" w:themeColor="text1" w:themeTint="A6"/>
                                <w:sz w:val="18"/>
                                <w:szCs w:val="18"/>
                                <w:lang w:val="es-ES_tradnl"/>
                              </w:rPr>
                              <w:t>67/15</w:t>
                            </w:r>
                            <w:r w:rsidRPr="00890650">
                              <w:rPr>
                                <w:rFonts w:asciiTheme="majorHAnsi" w:hAnsiTheme="majorHAnsi"/>
                                <w:color w:val="595959" w:themeColor="text1" w:themeTint="A6"/>
                                <w:sz w:val="18"/>
                                <w:szCs w:val="18"/>
                                <w:lang w:val="es-ES_tradnl"/>
                              </w:rPr>
                              <w:t xml:space="preserve"> Petición </w:t>
                            </w:r>
                            <w:r w:rsidR="005E2EF7">
                              <w:rPr>
                                <w:rFonts w:asciiTheme="majorHAnsi" w:hAnsiTheme="majorHAnsi"/>
                                <w:color w:val="595959" w:themeColor="text1" w:themeTint="A6"/>
                                <w:sz w:val="18"/>
                                <w:szCs w:val="18"/>
                                <w:lang w:val="es-ES_tradnl"/>
                              </w:rPr>
                              <w:t>211-07. Admisibilidad</w:t>
                            </w:r>
                            <w:r w:rsidRPr="00890650">
                              <w:rPr>
                                <w:rFonts w:asciiTheme="majorHAnsi" w:hAnsiTheme="majorHAnsi"/>
                                <w:color w:val="595959" w:themeColor="text1" w:themeTint="A6"/>
                                <w:sz w:val="18"/>
                                <w:szCs w:val="18"/>
                                <w:lang w:val="es-ES_tradnl"/>
                              </w:rPr>
                              <w:t xml:space="preserve">. </w:t>
                            </w:r>
                            <w:r w:rsidR="005E2EF7" w:rsidRPr="005E2EF7">
                              <w:rPr>
                                <w:rFonts w:asciiTheme="majorHAnsi" w:hAnsiTheme="majorHAnsi"/>
                                <w:color w:val="595959" w:themeColor="text1" w:themeTint="A6"/>
                                <w:sz w:val="18"/>
                                <w:szCs w:val="18"/>
                                <w:lang w:val="es-ES"/>
                              </w:rPr>
                              <w:t>Jo</w:t>
                            </w:r>
                            <w:r w:rsidR="005E2EF7">
                              <w:rPr>
                                <w:rFonts w:asciiTheme="majorHAnsi" w:hAnsiTheme="majorHAnsi"/>
                                <w:color w:val="595959" w:themeColor="text1" w:themeTint="A6"/>
                                <w:sz w:val="18"/>
                                <w:szCs w:val="18"/>
                                <w:lang w:val="es-ES"/>
                              </w:rPr>
                              <w:t>rge Marcial Tzompaxtle Tecpile y</w:t>
                            </w:r>
                            <w:r w:rsidR="005E2EF7" w:rsidRPr="005E2EF7">
                              <w:rPr>
                                <w:rFonts w:asciiTheme="majorHAnsi" w:hAnsiTheme="majorHAnsi"/>
                                <w:color w:val="595959" w:themeColor="text1" w:themeTint="A6"/>
                                <w:sz w:val="18"/>
                                <w:szCs w:val="18"/>
                                <w:lang w:val="es-ES"/>
                              </w:rPr>
                              <w:t xml:space="preserve"> Otros</w:t>
                            </w:r>
                            <w:r w:rsidR="005E2EF7">
                              <w:rPr>
                                <w:rFonts w:asciiTheme="majorHAnsi" w:hAnsiTheme="majorHAnsi"/>
                                <w:color w:val="595959" w:themeColor="text1" w:themeTint="A6"/>
                                <w:sz w:val="18"/>
                                <w:szCs w:val="18"/>
                                <w:lang w:val="es-ES"/>
                              </w:rPr>
                              <w:t xml:space="preserve">. </w:t>
                            </w:r>
                            <w:r w:rsidR="005E2EF7">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0447AC">
                              <w:rPr>
                                <w:rFonts w:asciiTheme="majorHAnsi" w:hAnsiTheme="majorHAnsi"/>
                                <w:color w:val="595959" w:themeColor="text1" w:themeTint="A6"/>
                                <w:sz w:val="18"/>
                                <w:szCs w:val="18"/>
                                <w:lang w:val="es-ES"/>
                              </w:rPr>
                              <w:t>27 de octubre de 2015</w:t>
                            </w:r>
                            <w:r w:rsidR="00F86E3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5E2EF7"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447AC">
                        <w:rPr>
                          <w:rFonts w:asciiTheme="majorHAnsi" w:hAnsiTheme="majorHAnsi"/>
                          <w:color w:val="595959" w:themeColor="text1" w:themeTint="A6"/>
                          <w:sz w:val="18"/>
                          <w:szCs w:val="18"/>
                          <w:lang w:val="es-ES_tradnl"/>
                        </w:rPr>
                        <w:t>67/15</w:t>
                      </w:r>
                      <w:r w:rsidRPr="00890650">
                        <w:rPr>
                          <w:rFonts w:asciiTheme="majorHAnsi" w:hAnsiTheme="majorHAnsi"/>
                          <w:color w:val="595959" w:themeColor="text1" w:themeTint="A6"/>
                          <w:sz w:val="18"/>
                          <w:szCs w:val="18"/>
                          <w:lang w:val="es-ES_tradnl"/>
                        </w:rPr>
                        <w:t xml:space="preserve"> Petición </w:t>
                      </w:r>
                      <w:r w:rsidR="005E2EF7">
                        <w:rPr>
                          <w:rFonts w:asciiTheme="majorHAnsi" w:hAnsiTheme="majorHAnsi"/>
                          <w:color w:val="595959" w:themeColor="text1" w:themeTint="A6"/>
                          <w:sz w:val="18"/>
                          <w:szCs w:val="18"/>
                          <w:lang w:val="es-ES_tradnl"/>
                        </w:rPr>
                        <w:t>211-07. Admisibilidad</w:t>
                      </w:r>
                      <w:r w:rsidRPr="00890650">
                        <w:rPr>
                          <w:rFonts w:asciiTheme="majorHAnsi" w:hAnsiTheme="majorHAnsi"/>
                          <w:color w:val="595959" w:themeColor="text1" w:themeTint="A6"/>
                          <w:sz w:val="18"/>
                          <w:szCs w:val="18"/>
                          <w:lang w:val="es-ES_tradnl"/>
                        </w:rPr>
                        <w:t xml:space="preserve">. </w:t>
                      </w:r>
                      <w:r w:rsidR="005E2EF7" w:rsidRPr="005E2EF7">
                        <w:rPr>
                          <w:rFonts w:asciiTheme="majorHAnsi" w:hAnsiTheme="majorHAnsi"/>
                          <w:color w:val="595959" w:themeColor="text1" w:themeTint="A6"/>
                          <w:sz w:val="18"/>
                          <w:szCs w:val="18"/>
                          <w:lang w:val="es-ES"/>
                        </w:rPr>
                        <w:t>Jo</w:t>
                      </w:r>
                      <w:r w:rsidR="005E2EF7">
                        <w:rPr>
                          <w:rFonts w:asciiTheme="majorHAnsi" w:hAnsiTheme="majorHAnsi"/>
                          <w:color w:val="595959" w:themeColor="text1" w:themeTint="A6"/>
                          <w:sz w:val="18"/>
                          <w:szCs w:val="18"/>
                          <w:lang w:val="es-ES"/>
                        </w:rPr>
                        <w:t xml:space="preserve">rge Marcial </w:t>
                      </w:r>
                      <w:proofErr w:type="spellStart"/>
                      <w:r w:rsidR="005E2EF7">
                        <w:rPr>
                          <w:rFonts w:asciiTheme="majorHAnsi" w:hAnsiTheme="majorHAnsi"/>
                          <w:color w:val="595959" w:themeColor="text1" w:themeTint="A6"/>
                          <w:sz w:val="18"/>
                          <w:szCs w:val="18"/>
                          <w:lang w:val="es-ES"/>
                        </w:rPr>
                        <w:t>Tzompaxtle</w:t>
                      </w:r>
                      <w:proofErr w:type="spellEnd"/>
                      <w:r w:rsidR="005E2EF7">
                        <w:rPr>
                          <w:rFonts w:asciiTheme="majorHAnsi" w:hAnsiTheme="majorHAnsi"/>
                          <w:color w:val="595959" w:themeColor="text1" w:themeTint="A6"/>
                          <w:sz w:val="18"/>
                          <w:szCs w:val="18"/>
                          <w:lang w:val="es-ES"/>
                        </w:rPr>
                        <w:t xml:space="preserve"> </w:t>
                      </w:r>
                      <w:proofErr w:type="spellStart"/>
                      <w:r w:rsidR="005E2EF7">
                        <w:rPr>
                          <w:rFonts w:asciiTheme="majorHAnsi" w:hAnsiTheme="majorHAnsi"/>
                          <w:color w:val="595959" w:themeColor="text1" w:themeTint="A6"/>
                          <w:sz w:val="18"/>
                          <w:szCs w:val="18"/>
                          <w:lang w:val="es-ES"/>
                        </w:rPr>
                        <w:t>Tecpile</w:t>
                      </w:r>
                      <w:proofErr w:type="spellEnd"/>
                      <w:r w:rsidR="005E2EF7">
                        <w:rPr>
                          <w:rFonts w:asciiTheme="majorHAnsi" w:hAnsiTheme="majorHAnsi"/>
                          <w:color w:val="595959" w:themeColor="text1" w:themeTint="A6"/>
                          <w:sz w:val="18"/>
                          <w:szCs w:val="18"/>
                          <w:lang w:val="es-ES"/>
                        </w:rPr>
                        <w:t xml:space="preserve"> y</w:t>
                      </w:r>
                      <w:r w:rsidR="005E2EF7" w:rsidRPr="005E2EF7">
                        <w:rPr>
                          <w:rFonts w:asciiTheme="majorHAnsi" w:hAnsiTheme="majorHAnsi"/>
                          <w:color w:val="595959" w:themeColor="text1" w:themeTint="A6"/>
                          <w:sz w:val="18"/>
                          <w:szCs w:val="18"/>
                          <w:lang w:val="es-ES"/>
                        </w:rPr>
                        <w:t xml:space="preserve"> Otros</w:t>
                      </w:r>
                      <w:r w:rsidR="005E2EF7">
                        <w:rPr>
                          <w:rFonts w:asciiTheme="majorHAnsi" w:hAnsiTheme="majorHAnsi"/>
                          <w:color w:val="595959" w:themeColor="text1" w:themeTint="A6"/>
                          <w:sz w:val="18"/>
                          <w:szCs w:val="18"/>
                          <w:lang w:val="es-ES"/>
                        </w:rPr>
                        <w:t xml:space="preserve">. </w:t>
                      </w:r>
                      <w:r w:rsidR="005E2EF7">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0447AC">
                        <w:rPr>
                          <w:rFonts w:asciiTheme="majorHAnsi" w:hAnsiTheme="majorHAnsi"/>
                          <w:color w:val="595959" w:themeColor="text1" w:themeTint="A6"/>
                          <w:sz w:val="18"/>
                          <w:szCs w:val="18"/>
                          <w:lang w:val="es-ES"/>
                        </w:rPr>
                        <w:t>27 de octubre de 2015</w:t>
                      </w:r>
                      <w:r w:rsidR="00F86E3F">
                        <w:rPr>
                          <w:rFonts w:asciiTheme="majorHAnsi" w:hAnsiTheme="majorHAnsi"/>
                          <w:color w:val="595959" w:themeColor="text1" w:themeTint="A6"/>
                          <w:sz w:val="18"/>
                          <w:szCs w:val="18"/>
                          <w:lang w:val="es-ES"/>
                        </w:rPr>
                        <w:t>.</w:t>
                      </w:r>
                      <w:bookmarkStart w:id="2" w:name="_GoBack"/>
                      <w:bookmarkEnd w:id="2"/>
                    </w:p>
                  </w:txbxContent>
                </v:textbox>
              </v:shape>
            </w:pict>
          </mc:Fallback>
        </mc:AlternateContent>
      </w:r>
    </w:p>
    <w:p w:rsidR="00A50FCF" w:rsidRPr="00A9480D" w:rsidRDefault="00A50FCF" w:rsidP="00040C3A">
      <w:pPr>
        <w:tabs>
          <w:tab w:val="center" w:pos="5400"/>
        </w:tabs>
        <w:suppressAutoHyphens/>
        <w:jc w:val="center"/>
        <w:rPr>
          <w:rFonts w:asciiTheme="majorHAnsi" w:hAnsiTheme="majorHAnsi"/>
          <w:sz w:val="18"/>
          <w:szCs w:val="22"/>
          <w:lang w:val="es-ES_tradnl"/>
        </w:rPr>
      </w:pPr>
    </w:p>
    <w:p w:rsidR="0090270B" w:rsidRPr="00A9480D" w:rsidRDefault="00D306D1" w:rsidP="005516A1">
      <w:pPr>
        <w:tabs>
          <w:tab w:val="center" w:pos="5400"/>
        </w:tabs>
        <w:suppressAutoHyphens/>
        <w:jc w:val="center"/>
        <w:rPr>
          <w:rFonts w:asciiTheme="majorHAnsi" w:hAnsiTheme="majorHAnsi"/>
          <w:b/>
          <w:sz w:val="20"/>
          <w:lang w:val="es-ES_tradnl"/>
        </w:rPr>
      </w:pPr>
      <w:r w:rsidRPr="00A9480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9C6E02F" wp14:editId="2D93184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C8A451F" wp14:editId="3F8AA3C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C8A451F" wp14:editId="3F8AA3C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9480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F1663C1" wp14:editId="18FDE3C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A9480D" w:rsidRDefault="0070697F" w:rsidP="005516A1">
      <w:pPr>
        <w:tabs>
          <w:tab w:val="center" w:pos="5400"/>
        </w:tabs>
        <w:suppressAutoHyphens/>
        <w:jc w:val="center"/>
        <w:rPr>
          <w:rFonts w:asciiTheme="majorHAnsi" w:hAnsiTheme="majorHAnsi"/>
          <w:b/>
          <w:sz w:val="20"/>
          <w:lang w:val="es-ES_tradnl"/>
        </w:rPr>
        <w:sectPr w:rsidR="0070697F" w:rsidRPr="00A9480D"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920AC0" w:rsidRPr="00920AC0" w:rsidRDefault="000447AC" w:rsidP="00920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20"/>
          <w:bdr w:val="none" w:sz="0" w:space="0" w:color="auto"/>
          <w:lang w:val="es-ES"/>
        </w:rPr>
      </w:pPr>
      <w:r>
        <w:rPr>
          <w:rFonts w:asciiTheme="majorHAnsi" w:eastAsia="Times New Roman" w:hAnsiTheme="majorHAnsi"/>
          <w:b/>
          <w:bCs/>
          <w:sz w:val="18"/>
          <w:szCs w:val="20"/>
          <w:bdr w:val="none" w:sz="0" w:space="0" w:color="auto"/>
          <w:lang w:val="es-ES"/>
        </w:rPr>
        <w:lastRenderedPageBreak/>
        <w:t>INFORME No. 67</w:t>
      </w:r>
      <w:r w:rsidR="00920AC0" w:rsidRPr="00920AC0">
        <w:rPr>
          <w:rFonts w:asciiTheme="majorHAnsi" w:eastAsia="Times New Roman" w:hAnsiTheme="majorHAnsi"/>
          <w:b/>
          <w:bCs/>
          <w:sz w:val="18"/>
          <w:szCs w:val="20"/>
          <w:bdr w:val="none" w:sz="0" w:space="0" w:color="auto"/>
          <w:lang w:val="es-ES"/>
        </w:rPr>
        <w:t>/1</w:t>
      </w:r>
      <w:r w:rsidR="006B1F33">
        <w:rPr>
          <w:rFonts w:asciiTheme="majorHAnsi" w:eastAsia="Times New Roman" w:hAnsiTheme="majorHAnsi"/>
          <w:b/>
          <w:bCs/>
          <w:sz w:val="18"/>
          <w:szCs w:val="20"/>
          <w:bdr w:val="none" w:sz="0" w:space="0" w:color="auto"/>
          <w:lang w:val="es-ES"/>
        </w:rPr>
        <w:t>5</w:t>
      </w:r>
      <w:r w:rsidR="00920AC0" w:rsidRPr="00B06EFD">
        <w:rPr>
          <w:rFonts w:asciiTheme="majorHAnsi" w:eastAsia="Times New Roman" w:hAnsiTheme="majorHAnsi"/>
          <w:b/>
          <w:sz w:val="18"/>
          <w:szCs w:val="20"/>
          <w:bdr w:val="none" w:sz="0" w:space="0" w:color="auto"/>
          <w:vertAlign w:val="superscript"/>
          <w:lang w:val="es-ES"/>
        </w:rPr>
        <w:footnoteReference w:id="2"/>
      </w:r>
    </w:p>
    <w:p w:rsidR="00920AC0" w:rsidRPr="00920AC0" w:rsidRDefault="00920AC0" w:rsidP="00920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20"/>
          <w:bdr w:val="none" w:sz="0" w:space="0" w:color="auto"/>
          <w:lang w:val="es-ES"/>
        </w:rPr>
      </w:pPr>
      <w:r w:rsidRPr="00920AC0">
        <w:rPr>
          <w:rFonts w:asciiTheme="majorHAnsi" w:eastAsia="Times New Roman" w:hAnsiTheme="majorHAnsi"/>
          <w:b/>
          <w:sz w:val="18"/>
          <w:szCs w:val="20"/>
          <w:bdr w:val="none" w:sz="0" w:space="0" w:color="auto"/>
          <w:lang w:val="es-ES"/>
        </w:rPr>
        <w:t>PETICIÓN 211-07</w:t>
      </w:r>
    </w:p>
    <w:p w:rsidR="00920AC0" w:rsidRPr="00920AC0" w:rsidRDefault="00920AC0" w:rsidP="00920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rPr>
      </w:pPr>
      <w:r w:rsidRPr="00920AC0">
        <w:rPr>
          <w:rFonts w:asciiTheme="majorHAnsi" w:eastAsia="Times New Roman" w:hAnsiTheme="majorHAnsi"/>
          <w:sz w:val="18"/>
          <w:szCs w:val="20"/>
          <w:bdr w:val="none" w:sz="0" w:space="0" w:color="auto"/>
          <w:lang w:val="es-ES"/>
        </w:rPr>
        <w:t>ADMISIBILIDAD</w:t>
      </w:r>
    </w:p>
    <w:p w:rsidR="00920AC0" w:rsidRPr="00920AC0" w:rsidRDefault="00920AC0" w:rsidP="00920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rPr>
      </w:pPr>
      <w:r w:rsidRPr="00920AC0">
        <w:rPr>
          <w:rFonts w:asciiTheme="majorHAnsi" w:eastAsia="Times New Roman" w:hAnsiTheme="majorHAnsi"/>
          <w:sz w:val="18"/>
          <w:szCs w:val="20"/>
          <w:bdr w:val="none" w:sz="0" w:space="0" w:color="auto"/>
          <w:lang w:val="es-ES"/>
        </w:rPr>
        <w:t>JORGE MARCIAL TZOMPAXTLE TECPILE Y OTROS</w:t>
      </w:r>
    </w:p>
    <w:p w:rsidR="00920AC0" w:rsidRPr="00920AC0" w:rsidRDefault="00920AC0" w:rsidP="00920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rPr>
      </w:pPr>
      <w:r w:rsidRPr="00920AC0">
        <w:rPr>
          <w:rFonts w:asciiTheme="majorHAnsi" w:eastAsia="Times New Roman" w:hAnsiTheme="majorHAnsi"/>
          <w:sz w:val="18"/>
          <w:szCs w:val="20"/>
          <w:bdr w:val="none" w:sz="0" w:space="0" w:color="auto"/>
          <w:lang w:val="es-ES"/>
        </w:rPr>
        <w:t>MÉXICO</w:t>
      </w:r>
    </w:p>
    <w:p w:rsidR="00920AC0" w:rsidRPr="000447AC" w:rsidRDefault="000447AC" w:rsidP="00DE4C1A">
      <w:pPr>
        <w:tabs>
          <w:tab w:val="center" w:pos="5400"/>
        </w:tabs>
        <w:suppressAutoHyphens/>
        <w:spacing w:line="276" w:lineRule="auto"/>
        <w:jc w:val="center"/>
        <w:rPr>
          <w:rFonts w:asciiTheme="majorHAnsi" w:hAnsiTheme="majorHAnsi"/>
          <w:sz w:val="18"/>
          <w:szCs w:val="20"/>
          <w:lang w:val="es-ES_tradnl"/>
        </w:rPr>
      </w:pPr>
      <w:r w:rsidRPr="000447AC">
        <w:rPr>
          <w:rFonts w:asciiTheme="majorHAnsi" w:hAnsiTheme="majorHAnsi"/>
          <w:sz w:val="18"/>
          <w:szCs w:val="20"/>
          <w:lang w:val="es-ES_tradnl"/>
        </w:rPr>
        <w:t>27 DE OCTUBRE DE 2015</w:t>
      </w:r>
    </w:p>
    <w:p w:rsidR="00920AC0" w:rsidRPr="00920AC0" w:rsidRDefault="00920AC0" w:rsidP="00920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
        </w:rPr>
      </w:pPr>
    </w:p>
    <w:p w:rsidR="00920AC0" w:rsidRPr="00920AC0" w:rsidRDefault="00920AC0" w:rsidP="00920AC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ES"/>
        </w:rPr>
      </w:pPr>
    </w:p>
    <w:p w:rsidR="00920AC0" w:rsidRPr="00307AEA" w:rsidRDefault="00920AC0" w:rsidP="00A4258B">
      <w:pPr>
        <w:pStyle w:val="Heading3"/>
        <w:tabs>
          <w:tab w:val="clear" w:pos="720"/>
          <w:tab w:val="num" w:pos="0"/>
        </w:tabs>
        <w:jc w:val="both"/>
      </w:pPr>
      <w:r w:rsidRPr="00307AEA">
        <w:t>RESUMEN</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307AEA" w:rsidRDefault="00920AC0" w:rsidP="00A4258B">
      <w:pPr>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s>
        <w:ind w:left="0" w:firstLine="720"/>
        <w:jc w:val="both"/>
        <w:rPr>
          <w:rFonts w:asciiTheme="majorHAnsi" w:eastAsia="Times New Roman" w:hAnsiTheme="majorHAnsi"/>
          <w:sz w:val="20"/>
          <w:szCs w:val="20"/>
          <w:bdr w:val="none" w:sz="0" w:space="0" w:color="auto"/>
          <w:lang w:val="es-ES_tradnl"/>
        </w:rPr>
      </w:pPr>
      <w:r w:rsidRPr="00307AEA">
        <w:rPr>
          <w:rFonts w:asciiTheme="majorHAnsi" w:eastAsia="Times New Roman" w:hAnsiTheme="majorHAnsi"/>
          <w:sz w:val="20"/>
          <w:szCs w:val="20"/>
          <w:bdr w:val="none" w:sz="0" w:space="0" w:color="auto"/>
          <w:lang w:val="es-ES"/>
        </w:rPr>
        <w:t>El 23 de febrero de 2007 la Comisión Interamericana de Derechos Humanos (en adelante “Comisión Interamericana”</w:t>
      </w:r>
      <w:r w:rsidR="002B740E" w:rsidRPr="00307AEA">
        <w:rPr>
          <w:rFonts w:asciiTheme="majorHAnsi" w:eastAsia="Times New Roman" w:hAnsiTheme="majorHAnsi"/>
          <w:sz w:val="20"/>
          <w:szCs w:val="20"/>
          <w:bdr w:val="none" w:sz="0" w:space="0" w:color="auto"/>
          <w:lang w:val="es-ES"/>
        </w:rPr>
        <w:t>,</w:t>
      </w:r>
      <w:r w:rsidRPr="00307AEA">
        <w:rPr>
          <w:rFonts w:asciiTheme="majorHAnsi" w:eastAsia="Times New Roman" w:hAnsiTheme="majorHAnsi"/>
          <w:sz w:val="20"/>
          <w:szCs w:val="20"/>
          <w:bdr w:val="none" w:sz="0" w:space="0" w:color="auto"/>
          <w:lang w:val="es-ES"/>
        </w:rPr>
        <w:t xml:space="preserve"> </w:t>
      </w:r>
      <w:r w:rsidR="002B740E" w:rsidRPr="00307AEA">
        <w:rPr>
          <w:rFonts w:asciiTheme="majorHAnsi" w:eastAsia="Times New Roman" w:hAnsiTheme="majorHAnsi"/>
          <w:sz w:val="20"/>
          <w:szCs w:val="20"/>
          <w:bdr w:val="none" w:sz="0" w:space="0" w:color="auto"/>
          <w:lang w:val="es-UY"/>
        </w:rPr>
        <w:t xml:space="preserve">“la Comisión” </w:t>
      </w:r>
      <w:r w:rsidRPr="00307AEA">
        <w:rPr>
          <w:rFonts w:asciiTheme="majorHAnsi" w:eastAsia="Times New Roman" w:hAnsiTheme="majorHAnsi"/>
          <w:sz w:val="20"/>
          <w:szCs w:val="20"/>
          <w:bdr w:val="none" w:sz="0" w:space="0" w:color="auto"/>
          <w:lang w:val="es-ES"/>
        </w:rPr>
        <w:t>o “</w:t>
      </w:r>
      <w:r w:rsidR="002B740E" w:rsidRPr="00307AEA">
        <w:rPr>
          <w:rFonts w:asciiTheme="majorHAnsi" w:eastAsia="Times New Roman" w:hAnsiTheme="majorHAnsi"/>
          <w:sz w:val="20"/>
          <w:szCs w:val="20"/>
          <w:bdr w:val="none" w:sz="0" w:space="0" w:color="auto"/>
          <w:lang w:val="es-ES"/>
        </w:rPr>
        <w:t xml:space="preserve">la </w:t>
      </w:r>
      <w:r w:rsidRPr="00307AEA">
        <w:rPr>
          <w:rFonts w:asciiTheme="majorHAnsi" w:eastAsia="Times New Roman" w:hAnsiTheme="majorHAnsi"/>
          <w:sz w:val="20"/>
          <w:szCs w:val="20"/>
          <w:bdr w:val="none" w:sz="0" w:space="0" w:color="auto"/>
          <w:lang w:val="es-ES"/>
        </w:rPr>
        <w:t>CIDH“) recibió una denuncia presentada por la Red Solidaria Década Contra la Impunidad (en adelante “</w:t>
      </w:r>
      <w:r w:rsidR="002B740E" w:rsidRPr="00307AEA">
        <w:rPr>
          <w:rFonts w:asciiTheme="majorHAnsi" w:eastAsia="Times New Roman" w:hAnsiTheme="majorHAnsi"/>
          <w:sz w:val="20"/>
          <w:szCs w:val="20"/>
          <w:bdr w:val="none" w:sz="0" w:space="0" w:color="auto"/>
          <w:lang w:val="es-ES"/>
        </w:rPr>
        <w:t xml:space="preserve">la </w:t>
      </w:r>
      <w:r w:rsidRPr="00307AEA">
        <w:rPr>
          <w:rFonts w:asciiTheme="majorHAnsi" w:eastAsia="Times New Roman" w:hAnsiTheme="majorHAnsi"/>
          <w:sz w:val="20"/>
          <w:szCs w:val="20"/>
          <w:bdr w:val="none" w:sz="0" w:space="0" w:color="auto"/>
          <w:lang w:val="es-ES"/>
        </w:rPr>
        <w:t>peticionaria”), en representación de Jorge Marcial Tzompaxtle Tecpile, Gerardo Tzompaxtle Tecpile y Gustavo Robles López (en adelante “</w:t>
      </w:r>
      <w:r w:rsidR="008B7C92" w:rsidRPr="00307AEA">
        <w:rPr>
          <w:rFonts w:asciiTheme="majorHAnsi" w:eastAsia="Times New Roman" w:hAnsiTheme="majorHAnsi"/>
          <w:sz w:val="20"/>
          <w:szCs w:val="20"/>
          <w:bdr w:val="none" w:sz="0" w:space="0" w:color="auto"/>
          <w:lang w:val="es-ES"/>
        </w:rPr>
        <w:t xml:space="preserve">las </w:t>
      </w:r>
      <w:r w:rsidRPr="00307AEA">
        <w:rPr>
          <w:rFonts w:asciiTheme="majorHAnsi" w:eastAsia="Times New Roman" w:hAnsiTheme="majorHAnsi"/>
          <w:sz w:val="20"/>
          <w:szCs w:val="20"/>
          <w:bdr w:val="none" w:sz="0" w:space="0" w:color="auto"/>
          <w:lang w:val="es-ES"/>
        </w:rPr>
        <w:t>presuntas víctimas”), los dos primeros</w:t>
      </w:r>
      <w:r w:rsidR="002B740E" w:rsidRPr="00307AEA">
        <w:rPr>
          <w:rFonts w:asciiTheme="majorHAnsi" w:eastAsia="Times New Roman" w:hAnsiTheme="majorHAnsi"/>
          <w:sz w:val="20"/>
          <w:szCs w:val="20"/>
          <w:bdr w:val="none" w:sz="0" w:space="0" w:color="auto"/>
          <w:lang w:val="es-ES"/>
        </w:rPr>
        <w:t>,</w:t>
      </w:r>
      <w:r w:rsidRPr="00307AEA">
        <w:rPr>
          <w:rFonts w:asciiTheme="majorHAnsi" w:eastAsia="Times New Roman" w:hAnsiTheme="majorHAnsi"/>
          <w:sz w:val="20"/>
          <w:szCs w:val="20"/>
          <w:bdr w:val="none" w:sz="0" w:space="0" w:color="auto"/>
          <w:lang w:val="es-ES"/>
        </w:rPr>
        <w:t xml:space="preserve"> originarios del pueblo indígena Nahuatl. </w:t>
      </w:r>
      <w:r w:rsidRPr="00307AEA">
        <w:rPr>
          <w:rFonts w:asciiTheme="majorHAnsi" w:eastAsia="Times New Roman" w:hAnsiTheme="majorHAnsi"/>
          <w:sz w:val="20"/>
          <w:szCs w:val="20"/>
          <w:bdr w:val="none" w:sz="0" w:space="0" w:color="auto"/>
          <w:lang w:val="es-ES_tradnl"/>
        </w:rPr>
        <w:t>La petición se presentó en contra de los Estados Unidos Mexicanos (en adelante “</w:t>
      </w:r>
      <w:r w:rsidR="002729CC" w:rsidRPr="00307AEA">
        <w:rPr>
          <w:rFonts w:asciiTheme="majorHAnsi" w:eastAsia="Times New Roman" w:hAnsiTheme="majorHAnsi"/>
          <w:sz w:val="20"/>
          <w:szCs w:val="20"/>
          <w:bdr w:val="none" w:sz="0" w:space="0" w:color="auto"/>
          <w:lang w:val="es-ES_tradnl"/>
        </w:rPr>
        <w:t xml:space="preserve">el </w:t>
      </w:r>
      <w:r w:rsidRPr="00307AEA">
        <w:rPr>
          <w:rFonts w:asciiTheme="majorHAnsi" w:eastAsia="Times New Roman" w:hAnsiTheme="majorHAnsi"/>
          <w:sz w:val="20"/>
          <w:szCs w:val="20"/>
          <w:bdr w:val="none" w:sz="0" w:space="0" w:color="auto"/>
          <w:lang w:val="es-ES_tradnl"/>
        </w:rPr>
        <w:t xml:space="preserve">Estado” o “México”) por </w:t>
      </w:r>
      <w:r w:rsidRPr="00307AEA">
        <w:rPr>
          <w:rFonts w:asciiTheme="majorHAnsi" w:eastAsia="Times New Roman" w:hAnsiTheme="majorHAnsi"/>
          <w:sz w:val="20"/>
          <w:szCs w:val="20"/>
          <w:bdr w:val="none" w:sz="0" w:space="0" w:color="auto"/>
          <w:lang w:val="es-ES"/>
        </w:rPr>
        <w:t xml:space="preserve">la alegada detención arbitraria de las presuntas víctimas, así como por faltas a las garantías judiciales en los procesos penales </w:t>
      </w:r>
      <w:r w:rsidRPr="00307AEA">
        <w:rPr>
          <w:rFonts w:asciiTheme="majorHAnsi" w:eastAsia="Times New Roman" w:hAnsiTheme="majorHAnsi"/>
          <w:sz w:val="20"/>
          <w:szCs w:val="20"/>
          <w:bdr w:val="none" w:sz="0" w:space="0" w:color="auto"/>
          <w:lang w:val="es-ES_tradnl"/>
        </w:rPr>
        <w:t xml:space="preserve">seguidos en su contra. </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Times New Roman" w:hAnsiTheme="majorHAnsi"/>
          <w:sz w:val="20"/>
          <w:szCs w:val="20"/>
          <w:bdr w:val="none" w:sz="0" w:space="0" w:color="auto"/>
          <w:lang w:val="es-ES_tradnl"/>
        </w:rPr>
      </w:pPr>
    </w:p>
    <w:p w:rsidR="00920AC0" w:rsidRPr="00307AEA" w:rsidRDefault="00920AC0" w:rsidP="00A4258B">
      <w:pPr>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_tradnl"/>
        </w:rPr>
        <w:t>La peticionaria alega que el Estado es responsable por la violación de los derechos consagrados en los artículos</w:t>
      </w:r>
      <w:r w:rsidRPr="00307AEA">
        <w:rPr>
          <w:rFonts w:asciiTheme="majorHAnsi" w:eastAsia="Times New Roman" w:hAnsiTheme="majorHAnsi"/>
          <w:sz w:val="20"/>
          <w:szCs w:val="20"/>
          <w:bdr w:val="none" w:sz="0" w:space="0" w:color="auto"/>
          <w:lang w:val="es-ES"/>
        </w:rPr>
        <w:t xml:space="preserve"> 7 (</w:t>
      </w:r>
      <w:r w:rsidRPr="00307AEA">
        <w:rPr>
          <w:rFonts w:asciiTheme="majorHAnsi" w:eastAsia="Times New Roman" w:hAnsiTheme="majorHAnsi"/>
          <w:sz w:val="20"/>
          <w:szCs w:val="20"/>
          <w:bdr w:val="none" w:sz="0" w:space="0" w:color="auto"/>
          <w:lang w:val="es-ES_tradnl"/>
        </w:rPr>
        <w:t>derecho</w:t>
      </w:r>
      <w:r w:rsidRPr="00307AEA">
        <w:rPr>
          <w:rFonts w:asciiTheme="majorHAnsi" w:eastAsia="Times New Roman" w:hAnsiTheme="majorHAnsi"/>
          <w:sz w:val="20"/>
          <w:szCs w:val="20"/>
          <w:bdr w:val="none" w:sz="0" w:space="0" w:color="auto"/>
          <w:lang w:val="es-ES"/>
        </w:rPr>
        <w:t xml:space="preserve"> a la libertad personal), 8 (garantías judiciales), 15 (derecho de reunión) y 25 (protección judicial) de la Convención Americana sobre Derechos Humanos (en adelante “Convención Americana”). En relación con el requisito de</w:t>
      </w:r>
      <w:r w:rsidR="008B7C92" w:rsidRPr="00307AEA">
        <w:rPr>
          <w:rFonts w:asciiTheme="majorHAnsi" w:eastAsia="Times New Roman" w:hAnsiTheme="majorHAnsi"/>
          <w:sz w:val="20"/>
          <w:szCs w:val="20"/>
          <w:bdr w:val="none" w:sz="0" w:space="0" w:color="auto"/>
          <w:lang w:val="es-ES"/>
        </w:rPr>
        <w:t>l previo</w:t>
      </w:r>
      <w:r w:rsidRPr="00307AEA">
        <w:rPr>
          <w:rFonts w:asciiTheme="majorHAnsi" w:eastAsia="Times New Roman" w:hAnsiTheme="majorHAnsi"/>
          <w:sz w:val="20"/>
          <w:szCs w:val="20"/>
          <w:bdr w:val="none" w:sz="0" w:space="0" w:color="auto"/>
          <w:lang w:val="es-ES"/>
        </w:rPr>
        <w:t xml:space="preserve"> agotamiento de los recursos intern</w:t>
      </w:r>
      <w:r w:rsidR="008B7C92" w:rsidRPr="00307AEA">
        <w:rPr>
          <w:rFonts w:asciiTheme="majorHAnsi" w:eastAsia="Times New Roman" w:hAnsiTheme="majorHAnsi"/>
          <w:sz w:val="20"/>
          <w:szCs w:val="20"/>
          <w:bdr w:val="none" w:sz="0" w:space="0" w:color="auto"/>
          <w:lang w:val="es-ES"/>
        </w:rPr>
        <w:t>os</w:t>
      </w:r>
      <w:r w:rsidRPr="00307AEA">
        <w:rPr>
          <w:rFonts w:asciiTheme="majorHAnsi" w:eastAsia="Times New Roman" w:hAnsiTheme="majorHAnsi"/>
          <w:sz w:val="20"/>
          <w:szCs w:val="20"/>
          <w:bdr w:val="none" w:sz="0" w:space="0" w:color="auto"/>
          <w:lang w:val="es-ES"/>
        </w:rPr>
        <w:t>, argumenta que éstos fueron agotados con la interposición de al menos cuatro recursos de amparo durante la detención de las presuntas víctimas y un recurso de apelación contra la decisión condenatoria.</w:t>
      </w:r>
      <w:r w:rsidR="00F10923" w:rsidRPr="00307AEA">
        <w:rPr>
          <w:rFonts w:asciiTheme="majorHAnsi" w:eastAsia="Times New Roman" w:hAnsiTheme="majorHAnsi"/>
          <w:sz w:val="20"/>
          <w:szCs w:val="20"/>
          <w:bdr w:val="none" w:sz="0" w:space="0" w:color="auto"/>
          <w:lang w:val="es-ES"/>
        </w:rPr>
        <w:t xml:space="preserve"> </w:t>
      </w:r>
      <w:r w:rsidRPr="00307AEA">
        <w:rPr>
          <w:rFonts w:asciiTheme="majorHAnsi" w:eastAsia="Times New Roman" w:hAnsiTheme="majorHAnsi"/>
          <w:sz w:val="20"/>
          <w:szCs w:val="20"/>
          <w:bdr w:val="none" w:sz="0" w:space="0" w:color="auto"/>
          <w:lang w:val="es-ES"/>
        </w:rPr>
        <w:t>El Estado, por su parte, alega que el presente asunto no constituye una petición en los términos del Reglamento de la Comisión Interamericana</w:t>
      </w:r>
      <w:r w:rsidR="00F10923" w:rsidRPr="00307AEA">
        <w:rPr>
          <w:rFonts w:asciiTheme="majorHAnsi" w:eastAsia="Times New Roman" w:hAnsiTheme="majorHAnsi"/>
          <w:sz w:val="20"/>
          <w:szCs w:val="20"/>
          <w:bdr w:val="none" w:sz="0" w:space="0" w:color="auto"/>
          <w:lang w:val="es-ES"/>
        </w:rPr>
        <w:t xml:space="preserve"> sino un paso preliminar</w:t>
      </w:r>
      <w:r w:rsidR="000B3CB2" w:rsidRPr="00307AEA">
        <w:rPr>
          <w:rFonts w:asciiTheme="majorHAnsi" w:eastAsia="Times New Roman" w:hAnsiTheme="majorHAnsi"/>
          <w:sz w:val="20"/>
          <w:szCs w:val="20"/>
          <w:bdr w:val="none" w:sz="0" w:space="0" w:color="auto"/>
          <w:lang w:val="es-ES"/>
        </w:rPr>
        <w:t>.</w:t>
      </w:r>
      <w:r w:rsidRPr="00307AEA">
        <w:rPr>
          <w:rFonts w:asciiTheme="majorHAnsi" w:eastAsia="Times New Roman" w:hAnsiTheme="majorHAnsi"/>
          <w:sz w:val="20"/>
          <w:szCs w:val="20"/>
          <w:bdr w:val="none" w:sz="0" w:space="0" w:color="auto"/>
          <w:lang w:val="es-ES"/>
        </w:rPr>
        <w:t xml:space="preserve"> Asimismo, sostiene que el asunto ha quedado sin materia, en tanto las presuntas víctimas fueron puestas en libertad en octubre de 2008. </w:t>
      </w:r>
      <w:r w:rsidR="00F9747A" w:rsidRPr="00307AEA">
        <w:rPr>
          <w:rFonts w:asciiTheme="majorHAnsi" w:eastAsia="Times New Roman" w:hAnsiTheme="majorHAnsi"/>
          <w:sz w:val="20"/>
          <w:szCs w:val="20"/>
          <w:bdr w:val="none" w:sz="0" w:space="0" w:color="auto"/>
          <w:lang w:val="es-ES"/>
        </w:rPr>
        <w:t>También alega la falta de agotamiento de los recursos internos y el carácter extemporáneo de la petición.</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Times New Roman" w:hAnsiTheme="majorHAnsi"/>
          <w:sz w:val="20"/>
          <w:szCs w:val="20"/>
          <w:bdr w:val="none" w:sz="0" w:space="0" w:color="auto"/>
          <w:lang w:val="es-ES"/>
        </w:rPr>
      </w:pPr>
    </w:p>
    <w:p w:rsidR="00920AC0" w:rsidRPr="00307AEA" w:rsidRDefault="00920AC0" w:rsidP="00A4258B">
      <w:pPr>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_tradnl"/>
        </w:rPr>
        <w:t xml:space="preserve">Sin prejuzgar sobre el fondo del asunto, tras analizar las posiciones de las partes y en cumplimiento de los requisitos previstos en los artículos 46 y 47 de la Convención Americana, la Comisión decide declarar el caso admisible a efectos del examen sobre la presunta violación de los derechos consagrados en los artículos 5, </w:t>
      </w:r>
      <w:r w:rsidRPr="00307AEA">
        <w:rPr>
          <w:rFonts w:asciiTheme="majorHAnsi" w:eastAsia="Times New Roman" w:hAnsiTheme="majorHAnsi"/>
          <w:sz w:val="20"/>
          <w:szCs w:val="20"/>
          <w:bdr w:val="none" w:sz="0" w:space="0" w:color="auto"/>
          <w:lang w:val="es-ES"/>
        </w:rPr>
        <w:t>7, 8 y 25 de la Convención Americana</w:t>
      </w:r>
      <w:r w:rsidRPr="00307AEA">
        <w:rPr>
          <w:rFonts w:asciiTheme="majorHAnsi" w:eastAsia="Times New Roman" w:hAnsiTheme="majorHAnsi"/>
          <w:sz w:val="20"/>
          <w:szCs w:val="20"/>
          <w:bdr w:val="none" w:sz="0" w:space="0" w:color="auto"/>
          <w:lang w:val="es-ES_tradnl"/>
        </w:rPr>
        <w:t>, en conexión con los artículos 1.1 y 2 de dicho instrumento, en perjuicio de las presuntas víctimas</w:t>
      </w:r>
      <w:r w:rsidRPr="00307AEA">
        <w:rPr>
          <w:rFonts w:asciiTheme="majorHAnsi" w:eastAsia="Times New Roman" w:hAnsiTheme="majorHAnsi"/>
          <w:sz w:val="20"/>
          <w:szCs w:val="20"/>
          <w:bdr w:val="none" w:sz="0" w:space="0" w:color="auto"/>
          <w:lang w:val="es-ES"/>
        </w:rPr>
        <w:t xml:space="preserve">. </w:t>
      </w:r>
      <w:r w:rsidRPr="00307AEA">
        <w:rPr>
          <w:rFonts w:asciiTheme="majorHAnsi" w:eastAsia="Times New Roman" w:hAnsiTheme="majorHAnsi"/>
          <w:color w:val="000000"/>
          <w:sz w:val="20"/>
          <w:szCs w:val="20"/>
          <w:bdr w:val="none" w:sz="0" w:space="0" w:color="auto"/>
          <w:lang w:val="es-ES"/>
        </w:rPr>
        <w:t>Asimismo, la Comisión concluye que la petición es inadmisible respecto del artículo 15 de la Convención Americana.</w:t>
      </w:r>
      <w:r w:rsidRPr="00307AEA">
        <w:rPr>
          <w:rFonts w:asciiTheme="majorHAnsi" w:eastAsia="Times New Roman" w:hAnsiTheme="majorHAnsi"/>
          <w:sz w:val="20"/>
          <w:szCs w:val="20"/>
          <w:bdr w:val="none" w:sz="0" w:space="0" w:color="auto"/>
          <w:lang w:val="es-ES"/>
        </w:rPr>
        <w:t xml:space="preserve"> </w:t>
      </w:r>
      <w:r w:rsidRPr="00307AEA">
        <w:rPr>
          <w:rFonts w:asciiTheme="majorHAnsi" w:eastAsia="Times New Roman" w:hAnsiTheme="majorHAnsi"/>
          <w:sz w:val="20"/>
          <w:szCs w:val="20"/>
          <w:bdr w:val="none" w:sz="0" w:space="0" w:color="auto"/>
          <w:lang w:val="es-ES_tradnl"/>
        </w:rPr>
        <w:t>La Comisión decide además, notificar esta decisión a las partes, publicarla e incluirla en su Informe Anual para la Asamblea General de la OEA.</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Times New Roman" w:hAnsiTheme="majorHAnsi"/>
          <w:sz w:val="20"/>
          <w:szCs w:val="20"/>
          <w:bdr w:val="none" w:sz="0" w:space="0" w:color="auto"/>
          <w:lang w:val="es-ES"/>
        </w:rPr>
      </w:pPr>
    </w:p>
    <w:p w:rsidR="00920AC0" w:rsidRPr="00307AEA" w:rsidRDefault="00920AC0" w:rsidP="00A4258B">
      <w:pPr>
        <w:pStyle w:val="Heading3"/>
        <w:tabs>
          <w:tab w:val="clear" w:pos="720"/>
          <w:tab w:val="num" w:pos="0"/>
        </w:tabs>
        <w:jc w:val="both"/>
      </w:pPr>
      <w:r w:rsidRPr="00307AEA">
        <w:t>TRÁMITE ANTE LA CIDH</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Times New Roman" w:hAnsiTheme="majorHAnsi"/>
          <w:sz w:val="20"/>
          <w:szCs w:val="20"/>
          <w:bdr w:val="none" w:sz="0" w:space="0" w:color="auto"/>
          <w:lang w:val="es-ES"/>
        </w:rPr>
      </w:pPr>
    </w:p>
    <w:p w:rsidR="00920AC0" w:rsidRPr="00307AEA" w:rsidRDefault="00920AC0" w:rsidP="00A4258B">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 xml:space="preserve">El 23 de febrero de 2007 la CIDH recibió la petición y le asignó el número 211-07. La peticionaria presentó información adicional el 28 de febrero y 29 de junio de 2007, y el 14 de noviembre de 2008. La CIDH trasladó las partes pertinentes de estos documentos al Estado el 22 de febrero de 2011, y le solicitó que presentara sus observaciones de conformidad con lo establecido en el artículo 30.3 de su Reglamento. El Estado presentó sus observaciones el 2 de junio de 2011, las cuales fueron debidamente trasmitidas a la peticionaria. </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307AEA" w:rsidRDefault="00920AC0" w:rsidP="00A4258B">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cs="Arial"/>
          <w:sz w:val="20"/>
          <w:szCs w:val="20"/>
          <w:bdr w:val="none" w:sz="0" w:space="0" w:color="auto"/>
          <w:lang w:val="es-CL"/>
        </w:rPr>
        <w:t xml:space="preserve">Adicionalmente, la Comisión recibió información de la peticionaria el </w:t>
      </w:r>
      <w:r w:rsidRPr="00307AEA">
        <w:rPr>
          <w:rFonts w:asciiTheme="majorHAnsi" w:eastAsia="Times New Roman" w:hAnsiTheme="majorHAnsi"/>
          <w:sz w:val="20"/>
          <w:szCs w:val="20"/>
          <w:bdr w:val="none" w:sz="0" w:space="0" w:color="auto"/>
          <w:lang w:val="es-ES"/>
        </w:rPr>
        <w:t xml:space="preserve">25 de septiembre de 2011 y el 15 de mayo de 2013. Por su parte, el Estado presentó información adicional el 6 y 12 de febrero de 2012, y el 13 de agosto de 2013. </w:t>
      </w:r>
      <w:r w:rsidRPr="00307AEA">
        <w:rPr>
          <w:rFonts w:asciiTheme="majorHAnsi" w:eastAsia="Times New Roman" w:hAnsiTheme="majorHAnsi" w:cs="Arial"/>
          <w:sz w:val="20"/>
          <w:szCs w:val="20"/>
          <w:bdr w:val="none" w:sz="0" w:space="0" w:color="auto"/>
          <w:lang w:val="es-ES_tradnl"/>
        </w:rPr>
        <w:t>Las notas enviadas por las partes fueron debidamente trasladas a la contraparte.</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307AEA" w:rsidRDefault="00920AC0" w:rsidP="00A4258B">
      <w:pPr>
        <w:pStyle w:val="Heading3"/>
        <w:tabs>
          <w:tab w:val="clear" w:pos="720"/>
          <w:tab w:val="num" w:pos="0"/>
        </w:tabs>
        <w:jc w:val="both"/>
      </w:pPr>
      <w:r w:rsidRPr="00307AEA">
        <w:lastRenderedPageBreak/>
        <w:t>POSICIÓN DE LAS PARTES</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307AEA" w:rsidRDefault="00476E4C" w:rsidP="00A4258B">
      <w:pPr>
        <w:keepN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Theme="majorHAnsi" w:eastAsia="Batang" w:hAnsiTheme="majorHAnsi"/>
          <w:b/>
          <w:bCs/>
          <w:sz w:val="20"/>
          <w:szCs w:val="20"/>
          <w:bdr w:val="none" w:sz="0" w:space="0" w:color="auto"/>
          <w:lang w:val="es-ES"/>
        </w:rPr>
      </w:pPr>
      <w:r w:rsidRPr="00307AEA">
        <w:rPr>
          <w:rFonts w:asciiTheme="majorHAnsi" w:eastAsia="Batang" w:hAnsiTheme="majorHAnsi"/>
          <w:b/>
          <w:bCs/>
          <w:sz w:val="20"/>
          <w:szCs w:val="20"/>
          <w:bdr w:val="none" w:sz="0" w:space="0" w:color="auto"/>
          <w:lang w:val="es-ES"/>
        </w:rPr>
        <w:t>Posición de l</w:t>
      </w:r>
      <w:r w:rsidR="00920AC0" w:rsidRPr="00307AEA">
        <w:rPr>
          <w:rFonts w:asciiTheme="majorHAnsi" w:eastAsia="Batang" w:hAnsiTheme="majorHAnsi"/>
          <w:b/>
          <w:bCs/>
          <w:sz w:val="20"/>
          <w:szCs w:val="20"/>
          <w:bdr w:val="none" w:sz="0" w:space="0" w:color="auto"/>
          <w:lang w:val="es-ES"/>
        </w:rPr>
        <w:t>a peticionaria</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rPr>
      </w:pPr>
    </w:p>
    <w:p w:rsidR="00DF217E" w:rsidRPr="004320C2" w:rsidRDefault="00F10923" w:rsidP="00A4258B">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ind w:left="0" w:firstLine="720"/>
        <w:jc w:val="both"/>
        <w:rPr>
          <w:rFonts w:asciiTheme="majorHAnsi" w:eastAsia="Times New Roman" w:hAnsiTheme="majorHAnsi"/>
          <w:sz w:val="20"/>
          <w:szCs w:val="20"/>
          <w:bdr w:val="none" w:sz="0" w:space="0" w:color="auto"/>
          <w:lang w:val="es-ES"/>
        </w:rPr>
      </w:pPr>
      <w:r w:rsidRPr="004320C2">
        <w:rPr>
          <w:rFonts w:asciiTheme="majorHAnsi" w:eastAsia="Times New Roman" w:hAnsiTheme="majorHAnsi"/>
          <w:sz w:val="20"/>
          <w:szCs w:val="20"/>
          <w:bdr w:val="none" w:sz="0" w:space="0" w:color="auto"/>
          <w:lang w:val="es-ES"/>
        </w:rPr>
        <w:t>La peticionaria a</w:t>
      </w:r>
      <w:r w:rsidR="00920AC0" w:rsidRPr="004320C2">
        <w:rPr>
          <w:rFonts w:asciiTheme="majorHAnsi" w:eastAsia="Times New Roman" w:hAnsiTheme="majorHAnsi"/>
          <w:sz w:val="20"/>
          <w:szCs w:val="20"/>
          <w:bdr w:val="none" w:sz="0" w:space="0" w:color="auto"/>
          <w:lang w:val="es-ES"/>
        </w:rPr>
        <w:t>lega que, el 12 de enero de 2006, alrededor de las 10:30 a.m., Jorge Marcial Tzompaxtle Tecpile, Gerardo Tzompaxtle Tecpile y Gustavo Robles López fueron detenidos arbitrariamente por elementos de la Policía Federal cuando se encontraban a la orilla de la autopista Orizaba-Fortín de las Flores, en el estado de Veracruz, donde su automóvil había sufrido fallas mecánicas. Según la peticionaria, en el automóvil viajaban las tres presuntas víctimas y otras dos personas a quienes no conocían, pero a quienes habían facilitado transportar en su automóvil. Indica que mientras los agentes federales se acercaron a interrogarlos, las otras dos personas se alejaron del lugar y no regresaron, dejando algunas de sus pertenencias en el automóvil.</w:t>
      </w:r>
    </w:p>
    <w:p w:rsidR="00DF217E" w:rsidRPr="00307AEA" w:rsidRDefault="00DF217E"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DF217E" w:rsidRPr="00307AEA" w:rsidRDefault="00920AC0" w:rsidP="00A4258B">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 w:val="num" w:pos="144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Afirma que los agentes aprehendieron a las presuntas víctimas sin informarles de qué delito se les acusaba. Manifiesta que fueron llevados al Ministerio Público Federal de Orizaba, Veracruz, adonde llegaron aproximadamente hasta las 19:00 horas de ese mismo día, aunque éste se encontraba a sólo 13 kilómetros del lugar donde fueron detenidos. Indica que en dicha fecha el Ministerio Público Federal decretó su detención y abrió una averiguación previa en su contra por el delito de cohecho, identificada como PGR/VER/ORI/2006.</w:t>
      </w:r>
    </w:p>
    <w:p w:rsidR="00DF217E" w:rsidRPr="00307AEA" w:rsidRDefault="00DF217E" w:rsidP="00A4258B">
      <w:pPr>
        <w:pStyle w:val="ListParagraph"/>
        <w:tabs>
          <w:tab w:val="num" w:pos="0"/>
        </w:tabs>
        <w:jc w:val="both"/>
        <w:rPr>
          <w:rFonts w:asciiTheme="majorHAnsi" w:eastAsia="Times New Roman" w:hAnsiTheme="majorHAnsi"/>
          <w:sz w:val="20"/>
          <w:szCs w:val="20"/>
          <w:bdr w:val="none" w:sz="0" w:space="0" w:color="auto"/>
          <w:lang w:val="es-ES"/>
        </w:rPr>
      </w:pPr>
    </w:p>
    <w:p w:rsidR="00DF217E" w:rsidRPr="00307AEA" w:rsidRDefault="00920AC0" w:rsidP="00A4258B">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 w:val="num" w:pos="144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 xml:space="preserve">Sostiene que se les mantuvo incomunicados durante dos días, aún sin ser informados de qué se les acusaba, y que el 14 de enero de 2006 fueron trasladados injustificadamente a las oficinas de la Subprocuraduría </w:t>
      </w:r>
      <w:r w:rsidR="00835500" w:rsidRPr="00307AEA">
        <w:rPr>
          <w:rFonts w:asciiTheme="majorHAnsi" w:eastAsia="Times New Roman" w:hAnsiTheme="majorHAnsi"/>
          <w:sz w:val="20"/>
          <w:szCs w:val="20"/>
          <w:bdr w:val="none" w:sz="0" w:space="0" w:color="auto"/>
          <w:lang w:val="es-ES"/>
        </w:rPr>
        <w:t xml:space="preserve">Especializada </w:t>
      </w:r>
      <w:r w:rsidRPr="00307AEA">
        <w:rPr>
          <w:rFonts w:asciiTheme="majorHAnsi" w:eastAsia="Times New Roman" w:hAnsiTheme="majorHAnsi"/>
          <w:sz w:val="20"/>
          <w:szCs w:val="20"/>
          <w:bdr w:val="none" w:sz="0" w:space="0" w:color="auto"/>
          <w:lang w:val="es-ES"/>
        </w:rPr>
        <w:t xml:space="preserve">en Investigación </w:t>
      </w:r>
      <w:r w:rsidR="00835500">
        <w:rPr>
          <w:rFonts w:asciiTheme="majorHAnsi" w:eastAsia="Times New Roman" w:hAnsiTheme="majorHAnsi"/>
          <w:sz w:val="20"/>
          <w:szCs w:val="20"/>
          <w:bdr w:val="none" w:sz="0" w:space="0" w:color="auto"/>
          <w:lang w:val="es-ES"/>
        </w:rPr>
        <w:t>de</w:t>
      </w:r>
      <w:r w:rsidRPr="00307AEA">
        <w:rPr>
          <w:rFonts w:asciiTheme="majorHAnsi" w:eastAsia="Times New Roman" w:hAnsiTheme="majorHAnsi"/>
          <w:sz w:val="20"/>
          <w:szCs w:val="20"/>
          <w:bdr w:val="none" w:sz="0" w:space="0" w:color="auto"/>
          <w:lang w:val="es-ES"/>
        </w:rPr>
        <w:t xml:space="preserve"> Delincuencia Organizada (en adelante, “</w:t>
      </w:r>
      <w:r w:rsidR="00835500">
        <w:rPr>
          <w:rFonts w:asciiTheme="majorHAnsi" w:eastAsia="Times New Roman" w:hAnsiTheme="majorHAnsi"/>
          <w:sz w:val="20"/>
          <w:szCs w:val="20"/>
          <w:bdr w:val="none" w:sz="0" w:space="0" w:color="auto"/>
          <w:lang w:val="es-ES"/>
        </w:rPr>
        <w:t>SEIDO</w:t>
      </w:r>
      <w:r w:rsidRPr="00307AEA">
        <w:rPr>
          <w:rFonts w:asciiTheme="majorHAnsi" w:eastAsia="Times New Roman" w:hAnsiTheme="majorHAnsi"/>
          <w:sz w:val="20"/>
          <w:szCs w:val="20"/>
          <w:bdr w:val="none" w:sz="0" w:space="0" w:color="auto"/>
          <w:lang w:val="es-ES"/>
        </w:rPr>
        <w:t>”) de la Procuraduría General de la República (en adelante, “PGR”) en el Distrito Federal, donde rindieron declaración ante la Unidad Especializada en Investigación de Secuestros, sin la asistencia de un abogado. Agrega que en dicha institución se les vinculó con un “supuesto delito de secuestro en agravio a un Senador”, a pesar de que inicialmente habrían sido detenidos por cohecho. Señala que</w:t>
      </w:r>
      <w:r w:rsidR="00764C85" w:rsidRPr="00307AEA">
        <w:rPr>
          <w:rFonts w:asciiTheme="majorHAnsi" w:eastAsia="Times New Roman" w:hAnsiTheme="majorHAnsi"/>
          <w:sz w:val="20"/>
          <w:szCs w:val="20"/>
          <w:bdr w:val="none" w:sz="0" w:space="0" w:color="auto"/>
          <w:lang w:val="es-ES"/>
        </w:rPr>
        <w:t>,</w:t>
      </w:r>
      <w:r w:rsidRPr="00307AEA">
        <w:rPr>
          <w:rFonts w:asciiTheme="majorHAnsi" w:eastAsia="Times New Roman" w:hAnsiTheme="majorHAnsi"/>
          <w:sz w:val="20"/>
          <w:szCs w:val="20"/>
          <w:bdr w:val="none" w:sz="0" w:space="0" w:color="auto"/>
          <w:lang w:val="es-ES"/>
        </w:rPr>
        <w:t xml:space="preserve"> el 15 </w:t>
      </w:r>
      <w:r w:rsidR="00764C85" w:rsidRPr="00307AEA">
        <w:rPr>
          <w:rFonts w:asciiTheme="majorHAnsi" w:eastAsia="Times New Roman" w:hAnsiTheme="majorHAnsi"/>
          <w:sz w:val="20"/>
          <w:szCs w:val="20"/>
          <w:bdr w:val="none" w:sz="0" w:space="0" w:color="auto"/>
          <w:lang w:val="es-ES"/>
        </w:rPr>
        <w:t>de enero</w:t>
      </w:r>
      <w:r w:rsidRPr="00307AEA">
        <w:rPr>
          <w:rFonts w:asciiTheme="majorHAnsi" w:eastAsia="Times New Roman" w:hAnsiTheme="majorHAnsi"/>
          <w:sz w:val="20"/>
          <w:szCs w:val="20"/>
          <w:bdr w:val="none" w:sz="0" w:space="0" w:color="auto"/>
          <w:lang w:val="es-ES"/>
        </w:rPr>
        <w:t xml:space="preserve"> por la noche, un agente de la Unidad Especializada en Investigación de Terrorismo, Acopio y Tráfico de Armas (en adelante, “UEITA”) se presentó a las instalaciones de la </w:t>
      </w:r>
      <w:r w:rsidR="00835500">
        <w:rPr>
          <w:rFonts w:asciiTheme="majorHAnsi" w:eastAsia="Times New Roman" w:hAnsiTheme="majorHAnsi"/>
          <w:sz w:val="20"/>
          <w:szCs w:val="20"/>
          <w:bdr w:val="none" w:sz="0" w:space="0" w:color="auto"/>
          <w:lang w:val="es-ES"/>
        </w:rPr>
        <w:t>SEIDO</w:t>
      </w:r>
      <w:r w:rsidRPr="00307AEA">
        <w:rPr>
          <w:rFonts w:asciiTheme="majorHAnsi" w:eastAsia="Times New Roman" w:hAnsiTheme="majorHAnsi"/>
          <w:sz w:val="20"/>
          <w:szCs w:val="20"/>
          <w:bdr w:val="none" w:sz="0" w:space="0" w:color="auto"/>
          <w:lang w:val="es-ES"/>
        </w:rPr>
        <w:t xml:space="preserve"> e imprimió varios artículos de Internet que relacionaban a las presuntas víctimas con los grupos guerrilleros </w:t>
      </w:r>
      <w:r w:rsidR="00764C85" w:rsidRPr="00307AEA">
        <w:rPr>
          <w:rFonts w:asciiTheme="majorHAnsi" w:eastAsia="Times New Roman" w:hAnsiTheme="majorHAnsi"/>
          <w:sz w:val="20"/>
          <w:szCs w:val="20"/>
          <w:bdr w:val="none" w:sz="0" w:space="0" w:color="auto"/>
          <w:lang w:val="es-ES"/>
        </w:rPr>
        <w:t>“Ejército</w:t>
      </w:r>
      <w:r w:rsidRPr="00307AEA">
        <w:rPr>
          <w:rFonts w:asciiTheme="majorHAnsi" w:eastAsia="Times New Roman" w:hAnsiTheme="majorHAnsi"/>
          <w:sz w:val="20"/>
          <w:szCs w:val="20"/>
          <w:bdr w:val="none" w:sz="0" w:space="0" w:color="auto"/>
          <w:lang w:val="es-ES"/>
        </w:rPr>
        <w:t xml:space="preserve"> Popular Revolucionario</w:t>
      </w:r>
      <w:r w:rsidR="00764C85" w:rsidRPr="00307AEA">
        <w:rPr>
          <w:rFonts w:asciiTheme="majorHAnsi" w:eastAsia="Times New Roman" w:hAnsiTheme="majorHAnsi"/>
          <w:sz w:val="20"/>
          <w:szCs w:val="20"/>
          <w:bdr w:val="none" w:sz="0" w:space="0" w:color="auto"/>
          <w:lang w:val="es-ES"/>
        </w:rPr>
        <w:t>”</w:t>
      </w:r>
      <w:r w:rsidRPr="00307AEA">
        <w:rPr>
          <w:rFonts w:asciiTheme="majorHAnsi" w:eastAsia="Times New Roman" w:hAnsiTheme="majorHAnsi"/>
          <w:sz w:val="20"/>
          <w:szCs w:val="20"/>
          <w:bdr w:val="none" w:sz="0" w:space="0" w:color="auto"/>
          <w:lang w:val="es-ES"/>
        </w:rPr>
        <w:t xml:space="preserve"> (en adelante, “EPR”) y Comando Popular Revolucionario “La Patria es Primero”. Manifiesta que el 16 de enero, el titular de la </w:t>
      </w:r>
      <w:r w:rsidR="00835500">
        <w:rPr>
          <w:rFonts w:asciiTheme="majorHAnsi" w:eastAsia="Times New Roman" w:hAnsiTheme="majorHAnsi"/>
          <w:sz w:val="20"/>
          <w:szCs w:val="20"/>
          <w:bdr w:val="none" w:sz="0" w:space="0" w:color="auto"/>
          <w:lang w:val="es-ES"/>
        </w:rPr>
        <w:t>SEIDO</w:t>
      </w:r>
      <w:r w:rsidRPr="00307AEA">
        <w:rPr>
          <w:rFonts w:asciiTheme="majorHAnsi" w:eastAsia="Times New Roman" w:hAnsiTheme="majorHAnsi"/>
          <w:sz w:val="20"/>
          <w:szCs w:val="20"/>
          <w:bdr w:val="none" w:sz="0" w:space="0" w:color="auto"/>
          <w:lang w:val="es-ES"/>
        </w:rPr>
        <w:t xml:space="preserve"> ordenó su libertad, por no existir elementos que los vincularan al supuesto secuestro. </w:t>
      </w:r>
    </w:p>
    <w:p w:rsidR="00DF217E" w:rsidRPr="00307AEA" w:rsidRDefault="00DF217E"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DF217E" w:rsidRPr="00307AEA" w:rsidRDefault="00920AC0" w:rsidP="00A4258B">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 w:val="num" w:pos="144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 xml:space="preserve">Expresa que, no obstante, antes de que pudieran salir de las instalaciones de la </w:t>
      </w:r>
      <w:r w:rsidR="00835500">
        <w:rPr>
          <w:rFonts w:asciiTheme="majorHAnsi" w:eastAsia="Times New Roman" w:hAnsiTheme="majorHAnsi"/>
          <w:sz w:val="20"/>
          <w:szCs w:val="20"/>
          <w:bdr w:val="none" w:sz="0" w:space="0" w:color="auto"/>
          <w:lang w:val="es-ES"/>
        </w:rPr>
        <w:t>SEIDO</w:t>
      </w:r>
      <w:r w:rsidRPr="00307AEA">
        <w:rPr>
          <w:rFonts w:asciiTheme="majorHAnsi" w:eastAsia="Times New Roman" w:hAnsiTheme="majorHAnsi"/>
          <w:sz w:val="20"/>
          <w:szCs w:val="20"/>
          <w:bdr w:val="none" w:sz="0" w:space="0" w:color="auto"/>
          <w:lang w:val="es-ES"/>
        </w:rPr>
        <w:t xml:space="preserve">, agentes de la Agencia Federal de Investigaciones (en adelante, “AFI”) los condujeron a la UEITA, diciéndoles que tenían que firmar documentos adicionales. Una vez en el lugar, según la peticionaria, informaron a las presuntas víctimas que estaban acusados de violar la Ley Federal contra la Delincuencia Organizada, con la finalidad de cometer terrorismo. Afirma que el titular de la UEITA ordenó su detención y “los [hicieron] firmar un documento en el que les informaban que estaban arraigados por noventa días por el delito de </w:t>
      </w:r>
      <w:r w:rsidRPr="00307AEA">
        <w:rPr>
          <w:rFonts w:asciiTheme="majorHAnsi" w:hAnsiTheme="majorHAnsi"/>
          <w:sz w:val="20"/>
          <w:szCs w:val="20"/>
          <w:bdr w:val="none" w:sz="0" w:space="0" w:color="auto"/>
          <w:lang w:val="es-ES"/>
        </w:rPr>
        <w:sym w:font="Symbol" w:char="F0A2"/>
      </w:r>
      <w:r w:rsidRPr="00307AEA">
        <w:rPr>
          <w:rFonts w:asciiTheme="majorHAnsi" w:eastAsia="Times New Roman" w:hAnsiTheme="majorHAnsi"/>
          <w:sz w:val="20"/>
          <w:szCs w:val="20"/>
          <w:bdr w:val="none" w:sz="0" w:space="0" w:color="auto"/>
          <w:lang w:val="es-ES"/>
        </w:rPr>
        <w:t>terrorismo</w:t>
      </w:r>
      <w:r w:rsidRPr="00307AEA">
        <w:rPr>
          <w:rFonts w:asciiTheme="majorHAnsi" w:hAnsiTheme="majorHAnsi"/>
          <w:sz w:val="20"/>
          <w:szCs w:val="20"/>
          <w:bdr w:val="none" w:sz="0" w:space="0" w:color="auto"/>
          <w:lang w:val="es-ES"/>
        </w:rPr>
        <w:sym w:font="Symbol" w:char="F0A2"/>
      </w:r>
      <w:r w:rsidRPr="00307AEA">
        <w:rPr>
          <w:rFonts w:asciiTheme="majorHAnsi" w:eastAsia="Times New Roman" w:hAnsiTheme="majorHAnsi"/>
          <w:sz w:val="20"/>
          <w:szCs w:val="20"/>
          <w:bdr w:val="none" w:sz="0" w:space="0" w:color="auto"/>
          <w:lang w:val="es-ES"/>
        </w:rPr>
        <w:t>”. Manifiesta que el 31 de marzo de 2006, sin orden judicial de por medio, fueron registradas la casa de la madre de Jorge Marcial y Gerardo Tzompaxtle Tecpile, así como la casa y la tienda de Maximino Tzompaxtle Tecpile, hermano de las presunt</w:t>
      </w:r>
      <w:r w:rsidR="00DF217E" w:rsidRPr="00307AEA">
        <w:rPr>
          <w:rFonts w:asciiTheme="majorHAnsi" w:eastAsia="Times New Roman" w:hAnsiTheme="majorHAnsi"/>
          <w:sz w:val="20"/>
          <w:szCs w:val="20"/>
          <w:bdr w:val="none" w:sz="0" w:space="0" w:color="auto"/>
          <w:lang w:val="es-ES"/>
        </w:rPr>
        <w:t>as víctimas del mismo apellido.</w:t>
      </w:r>
    </w:p>
    <w:p w:rsidR="00DF217E" w:rsidRPr="00307AEA" w:rsidRDefault="00DF217E" w:rsidP="00A4258B">
      <w:pPr>
        <w:pStyle w:val="ListParagraph"/>
        <w:tabs>
          <w:tab w:val="num" w:pos="0"/>
        </w:tabs>
        <w:jc w:val="both"/>
        <w:rPr>
          <w:rFonts w:asciiTheme="majorHAnsi" w:eastAsia="Times New Roman" w:hAnsiTheme="majorHAnsi"/>
          <w:sz w:val="20"/>
          <w:szCs w:val="20"/>
          <w:bdr w:val="none" w:sz="0" w:space="0" w:color="auto"/>
          <w:lang w:val="es-ES"/>
        </w:rPr>
      </w:pPr>
    </w:p>
    <w:p w:rsidR="006E4306" w:rsidRPr="00307AEA" w:rsidRDefault="00920AC0" w:rsidP="00A4258B">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 w:val="num" w:pos="144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 xml:space="preserve">Sostiene que no fue sino hasta el 11 de abril de 2006 que un juez, el titular del Juzgado Tercero de Distrito en Materia de Procesos Penales Federales del Distrito Federal, decretó la detención de las presuntas víctimas por el probable delito de terrorismo y que fue recién el 17 de abril de 2006 que la agente del Ministerio Público Federal adscrita a la UEITA puso a las presuntas víctimas a disposición de dicho juez. Afirma que el 22 de abril de 2006 el Juez Tercero de Distrito en Materia de Procesos Penales Federales del Distrito Federal dictó auto de formal prisión, por lo que fueron remitidos al Reclusorio Preventivo Varonil Norte en el Distrito Federal. Indica que las presuntas víctimas interpusieron un recurso de apelación contra dicha decisión ante el Primer Tribunal Unitario en Materia Penal del Primer Circuito, identificado con el número 221/2006. Informa que el 16 de febrero de 2007 el Tribunal resolvió el recurso </w:t>
      </w:r>
      <w:r w:rsidRPr="00307AEA">
        <w:rPr>
          <w:rFonts w:asciiTheme="majorHAnsi" w:eastAsia="Times New Roman" w:hAnsiTheme="majorHAnsi"/>
          <w:sz w:val="20"/>
          <w:szCs w:val="20"/>
          <w:bdr w:val="none" w:sz="0" w:space="0" w:color="auto"/>
          <w:lang w:val="es-ES_tradnl"/>
        </w:rPr>
        <w:t>reiterando los cargos por violación de la Ley Federal contra la Delincuencia Organizada y levantando la suspensión de los derechos políticos de los procesados</w:t>
      </w:r>
      <w:r w:rsidRPr="00307AEA">
        <w:rPr>
          <w:rFonts w:asciiTheme="majorHAnsi" w:eastAsia="Times New Roman" w:hAnsiTheme="majorHAnsi"/>
          <w:sz w:val="20"/>
          <w:szCs w:val="20"/>
          <w:bdr w:val="none" w:sz="0" w:space="0" w:color="auto"/>
          <w:lang w:val="es-ES"/>
        </w:rPr>
        <w:t xml:space="preserve">. Agrega que el 13 de marzo de 2007 fueron trasladados al Centro de Readaptación Social en Amatlán de los Reyes, Veracruz, para dar inicio a su juicio. </w:t>
      </w:r>
    </w:p>
    <w:p w:rsidR="006E4306" w:rsidRPr="00307AEA" w:rsidRDefault="006E4306"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6E4306" w:rsidRPr="00307AEA" w:rsidRDefault="00920AC0" w:rsidP="00A4258B">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Alega que el 14 de mayo de 2008 el Juez del Juzgado Décimo Segundo de Distrito en Veracruz los sentenció a cuatro años de cárcel por el delito de delincuencia organizada, y tres meses por el de cohecho. Manifiesta que su condena se basó en artículos de prensa, llamadas anónimas, las pertenencias de las personas a quienes transportaban en su automóvil el día de la detención, y otros elementos de prueba no verificados. Expresa que apelaron esta decisión, y el 16 de octubre de 2008 el Juez del Segundo Tribunal Unitario en Materia Penal del Séptimo Circuito resolvió el recurso de apelación, dictando la absolución de las presuntas víctimas por el delito de delincuencia organizada, y confirmando la sanción en cuanto al cohecho. Dado que habían estado presos por más de tres meses, ya habían purgado la condena por cohecho, y se ordenó su libertad inmediata.</w:t>
      </w:r>
    </w:p>
    <w:p w:rsidR="006E4306" w:rsidRPr="00307AEA" w:rsidRDefault="006E4306" w:rsidP="00A4258B">
      <w:pPr>
        <w:pStyle w:val="ListParagraph"/>
        <w:tabs>
          <w:tab w:val="num" w:pos="0"/>
        </w:tabs>
        <w:jc w:val="both"/>
        <w:rPr>
          <w:rFonts w:asciiTheme="majorHAnsi" w:eastAsia="Times New Roman" w:hAnsiTheme="majorHAnsi"/>
          <w:sz w:val="20"/>
          <w:szCs w:val="20"/>
          <w:bdr w:val="none" w:sz="0" w:space="0" w:color="auto"/>
          <w:lang w:val="es-ES"/>
        </w:rPr>
      </w:pPr>
    </w:p>
    <w:p w:rsidR="006E4306" w:rsidRPr="00307AEA" w:rsidRDefault="005717B0" w:rsidP="00A4258B">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L</w:t>
      </w:r>
      <w:r w:rsidR="00920AC0" w:rsidRPr="00307AEA">
        <w:rPr>
          <w:rFonts w:asciiTheme="majorHAnsi" w:eastAsia="Times New Roman" w:hAnsiTheme="majorHAnsi"/>
          <w:sz w:val="20"/>
          <w:szCs w:val="20"/>
          <w:bdr w:val="none" w:sz="0" w:space="0" w:color="auto"/>
          <w:lang w:val="es-ES"/>
        </w:rPr>
        <w:t>a peticionaria manifiesta que durante su detención</w:t>
      </w:r>
      <w:r w:rsidRPr="00307AEA">
        <w:rPr>
          <w:rFonts w:asciiTheme="majorHAnsi" w:eastAsia="Times New Roman" w:hAnsiTheme="majorHAnsi"/>
          <w:sz w:val="20"/>
          <w:szCs w:val="20"/>
          <w:bdr w:val="none" w:sz="0" w:space="0" w:color="auto"/>
          <w:lang w:val="es-ES"/>
        </w:rPr>
        <w:t>, las presuntas víctimas</w:t>
      </w:r>
      <w:r w:rsidR="00920AC0" w:rsidRPr="00307AEA">
        <w:rPr>
          <w:rFonts w:asciiTheme="majorHAnsi" w:eastAsia="Times New Roman" w:hAnsiTheme="majorHAnsi"/>
          <w:sz w:val="20"/>
          <w:szCs w:val="20"/>
          <w:bdr w:val="none" w:sz="0" w:space="0" w:color="auto"/>
          <w:lang w:val="es-ES"/>
        </w:rPr>
        <w:t xml:space="preserve"> interpusieron al menos cuatros recursos de amparo ante el Juez Primero de Distrito de Amparos en Material Penal en el Distrito Federal: amparo 240/2006, interpuesto el 6 de marzo de 2006, reclamando la privación de libertad en su modalidad de arraigo; amparo 279/2006, interpuesto el 15 de marzo de 2006, reclamando la obstaculización del acceso por parte de su abogado a las actuaciones de la averiguación previa; amparo 350/2006, contra la orden de detención emitida por la PGR fuera de procedimiento judicial; y amparo 413/2006 contra la orden y autorización de traslado a un Centro Federal de Máxima Seguridad. Manifiesta que los dos primeros fueron sobreseídos porque al momento de ser resueltos, las presuntas víctimas ya habían sido presentados ante el juez del proceso, mientras que el 350/2006 fue desechado con el argumento de que los detenidos estaban privados de libertad con motivo de la medida de arraigo decretada por el Juez Décimo Cuarto de Distrito de Procesos Penales y Federales en el Distrito Federal. </w:t>
      </w:r>
      <w:r w:rsidR="005A46D1" w:rsidRPr="00307AEA">
        <w:rPr>
          <w:rFonts w:asciiTheme="majorHAnsi" w:eastAsia="Times New Roman" w:hAnsiTheme="majorHAnsi"/>
          <w:sz w:val="20"/>
          <w:szCs w:val="20"/>
          <w:bdr w:val="none" w:sz="0" w:space="0" w:color="auto"/>
          <w:lang w:val="es-ES"/>
        </w:rPr>
        <w:t>Alega que e</w:t>
      </w:r>
      <w:r w:rsidR="00920AC0" w:rsidRPr="00307AEA">
        <w:rPr>
          <w:rFonts w:asciiTheme="majorHAnsi" w:eastAsia="Times New Roman" w:hAnsiTheme="majorHAnsi"/>
          <w:sz w:val="20"/>
          <w:szCs w:val="20"/>
          <w:bdr w:val="none" w:sz="0" w:space="0" w:color="auto"/>
          <w:lang w:val="es-ES"/>
        </w:rPr>
        <w:t xml:space="preserve">sta decisión fue impugnada y </w:t>
      </w:r>
      <w:r w:rsidR="005A46D1" w:rsidRPr="00307AEA">
        <w:rPr>
          <w:rFonts w:asciiTheme="majorHAnsi" w:eastAsia="Times New Roman" w:hAnsiTheme="majorHAnsi"/>
          <w:sz w:val="20"/>
          <w:szCs w:val="20"/>
          <w:bdr w:val="none" w:sz="0" w:space="0" w:color="auto"/>
          <w:lang w:val="es-ES"/>
        </w:rPr>
        <w:t>que</w:t>
      </w:r>
      <w:r w:rsidR="00920AC0" w:rsidRPr="00307AEA">
        <w:rPr>
          <w:rFonts w:asciiTheme="majorHAnsi" w:eastAsia="Times New Roman" w:hAnsiTheme="majorHAnsi"/>
          <w:sz w:val="20"/>
          <w:szCs w:val="20"/>
          <w:bdr w:val="none" w:sz="0" w:space="0" w:color="auto"/>
          <w:lang w:val="es-ES"/>
        </w:rPr>
        <w:t xml:space="preserve"> el Primer Tribunal Colegiado en Materia Penal en el Distrito Federal ratificó </w:t>
      </w:r>
      <w:r w:rsidR="005A46D1" w:rsidRPr="00307AEA">
        <w:rPr>
          <w:rFonts w:asciiTheme="majorHAnsi" w:eastAsia="Times New Roman" w:hAnsiTheme="majorHAnsi"/>
          <w:sz w:val="20"/>
          <w:szCs w:val="20"/>
          <w:bdr w:val="none" w:sz="0" w:space="0" w:color="auto"/>
          <w:lang w:val="es-ES"/>
        </w:rPr>
        <w:t>dicha</w:t>
      </w:r>
      <w:r w:rsidR="00920AC0" w:rsidRPr="00307AEA">
        <w:rPr>
          <w:rFonts w:asciiTheme="majorHAnsi" w:eastAsia="Times New Roman" w:hAnsiTheme="majorHAnsi"/>
          <w:sz w:val="20"/>
          <w:szCs w:val="20"/>
          <w:bdr w:val="none" w:sz="0" w:space="0" w:color="auto"/>
          <w:lang w:val="es-ES"/>
        </w:rPr>
        <w:t xml:space="preserve"> resolución. Igualmente, indica que el último recurso fue sobreseído. También manifiesta que interpusieron un amparo R.P. 2131/2006, el cual al momento de presentar la denuncia ante la CIDH se encontraba en revisión ante el Primer Tribunal Colegiado de Circuito en Materia Penal del Distrito Federal. No obstante, no indica el acto de autoridad que impugnaba, ni proporciona la fecha de su interposición.</w:t>
      </w:r>
    </w:p>
    <w:p w:rsidR="006E4306" w:rsidRPr="00307AEA" w:rsidRDefault="006E4306"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6E4306" w:rsidRPr="00307AEA" w:rsidRDefault="00920AC0" w:rsidP="00A4258B">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Adicionalmente, informa que el 2 de febrero de 2006 presentó una comunicación a la Secretaría de Gobernación indicando que “se teme por la seguridad física y psicológica” de las presuntas víctimas, fecha para la cual las presuntas víctimas llevaban nueve días de arraigo. Igualmente, indica que el 27 de enero y 2 de febrero de 2006 presentaron una queja ante la Comisión Nacional de los Derechos Humanos, en la cual “manifestaron violaciones a derechos humanos” en agravio de las presuntas víctimas, expediente identificado como 2006/444/1/Q. Agrega que dicha entidad determinó que se habían acreditado “violaciones a los derechos a la legalidad y seguridad jurídica” por parte de la Policía Federal Preventiva durante la detención de las presuntas víctimas.</w:t>
      </w:r>
    </w:p>
    <w:p w:rsidR="006E4306" w:rsidRPr="00307AEA" w:rsidRDefault="006E4306" w:rsidP="00A4258B">
      <w:pPr>
        <w:pStyle w:val="ListParagraph"/>
        <w:tabs>
          <w:tab w:val="num" w:pos="0"/>
        </w:tabs>
        <w:jc w:val="both"/>
        <w:rPr>
          <w:rFonts w:asciiTheme="majorHAnsi" w:eastAsia="Times New Roman" w:hAnsiTheme="majorHAnsi"/>
          <w:sz w:val="20"/>
          <w:szCs w:val="20"/>
          <w:bdr w:val="none" w:sz="0" w:space="0" w:color="auto"/>
          <w:lang w:val="es-ES"/>
        </w:rPr>
      </w:pPr>
    </w:p>
    <w:p w:rsidR="006E4306" w:rsidRPr="00307AEA" w:rsidRDefault="005A46D1" w:rsidP="00A4258B">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Finalmente</w:t>
      </w:r>
      <w:r w:rsidR="00920AC0" w:rsidRPr="00307AEA">
        <w:rPr>
          <w:rFonts w:asciiTheme="majorHAnsi" w:eastAsia="Times New Roman" w:hAnsiTheme="majorHAnsi"/>
          <w:sz w:val="20"/>
          <w:szCs w:val="20"/>
          <w:bdr w:val="none" w:sz="0" w:space="0" w:color="auto"/>
          <w:lang w:val="es-ES"/>
        </w:rPr>
        <w:t xml:space="preserve">, </w:t>
      </w:r>
      <w:r w:rsidR="00F10923" w:rsidRPr="00307AEA">
        <w:rPr>
          <w:rFonts w:asciiTheme="majorHAnsi" w:eastAsia="Times New Roman" w:hAnsiTheme="majorHAnsi"/>
          <w:sz w:val="20"/>
          <w:szCs w:val="20"/>
          <w:bdr w:val="none" w:sz="0" w:space="0" w:color="auto"/>
          <w:lang w:val="es-ES"/>
        </w:rPr>
        <w:t>aunque no la identifica como presunta víctima en la petición, la peticionaria informa -como cuestión de contexto- que</w:t>
      </w:r>
      <w:r w:rsidR="00920AC0" w:rsidRPr="00307AEA">
        <w:rPr>
          <w:rFonts w:asciiTheme="majorHAnsi" w:eastAsia="Times New Roman" w:hAnsiTheme="majorHAnsi"/>
          <w:sz w:val="20"/>
          <w:szCs w:val="20"/>
          <w:bdr w:val="none" w:sz="0" w:space="0" w:color="auto"/>
          <w:lang w:val="es-ES"/>
        </w:rPr>
        <w:t xml:space="preserve"> Elena López Hernández, integrante de la organización peticionaria, recibió reiteradas amenazas de muerte a través de llamadas telefónicas, principalmente en enero y marzo de 2007, que estarían vinculadas con su trabajo en la defensa de los derechos de las presuntas víctimas en este caso. Indica que en febrero del mismo año denunció tales hechos ante la Comisión Nacional de los Derechos Humanos, y ante la Fiscalía Central de Investigaciones para la Seguridad de las Personas e Instituciones, donde se abrió una averiguación previa.</w:t>
      </w:r>
    </w:p>
    <w:p w:rsidR="006E4306" w:rsidRPr="00307AEA" w:rsidRDefault="006E4306" w:rsidP="00A4258B">
      <w:pPr>
        <w:pStyle w:val="ListParagraph"/>
        <w:tabs>
          <w:tab w:val="num" w:pos="0"/>
        </w:tabs>
        <w:jc w:val="both"/>
        <w:rPr>
          <w:rFonts w:asciiTheme="majorHAnsi" w:eastAsia="Times New Roman" w:hAnsiTheme="majorHAnsi"/>
          <w:sz w:val="20"/>
          <w:szCs w:val="20"/>
          <w:bdr w:val="none" w:sz="0" w:space="0" w:color="auto"/>
          <w:lang w:val="es-ES"/>
        </w:rPr>
      </w:pPr>
    </w:p>
    <w:p w:rsidR="0005711F" w:rsidRPr="00627100" w:rsidRDefault="00EE27D7" w:rsidP="00A4258B">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La peticionaria sostiene que las condiciones de detención de las presuntas víctimas fueron arbitrarias, y que su detención y posterior arraigo constituyen violaciones del derecho a la libertad person</w:t>
      </w:r>
      <w:r w:rsidR="00C62F80">
        <w:rPr>
          <w:rFonts w:asciiTheme="majorHAnsi" w:eastAsia="Times New Roman" w:hAnsiTheme="majorHAnsi"/>
          <w:sz w:val="20"/>
          <w:szCs w:val="20"/>
          <w:bdr w:val="none" w:sz="0" w:space="0" w:color="auto"/>
          <w:lang w:val="es-ES"/>
        </w:rPr>
        <w:t>al, consagrado en el artículo 7.</w:t>
      </w:r>
      <w:r w:rsidRPr="00307AEA">
        <w:rPr>
          <w:rFonts w:asciiTheme="majorHAnsi" w:eastAsia="Times New Roman" w:hAnsiTheme="majorHAnsi"/>
          <w:sz w:val="20"/>
          <w:szCs w:val="20"/>
          <w:bdr w:val="none" w:sz="0" w:space="0" w:color="auto"/>
          <w:lang w:val="es-ES"/>
        </w:rPr>
        <w:t>1 de la Convención Americana. Arguye que la falta de información inicial y la demora en informarles sobre el motivo de s</w:t>
      </w:r>
      <w:r w:rsidR="00C62F80">
        <w:rPr>
          <w:rFonts w:asciiTheme="majorHAnsi" w:eastAsia="Times New Roman" w:hAnsiTheme="majorHAnsi"/>
          <w:sz w:val="20"/>
          <w:szCs w:val="20"/>
          <w:bdr w:val="none" w:sz="0" w:space="0" w:color="auto"/>
          <w:lang w:val="es-ES"/>
        </w:rPr>
        <w:t>u detención viola el artículo 7.</w:t>
      </w:r>
      <w:r w:rsidRPr="00307AEA">
        <w:rPr>
          <w:rFonts w:asciiTheme="majorHAnsi" w:eastAsia="Times New Roman" w:hAnsiTheme="majorHAnsi"/>
          <w:sz w:val="20"/>
          <w:szCs w:val="20"/>
          <w:bdr w:val="none" w:sz="0" w:space="0" w:color="auto"/>
          <w:lang w:val="es-ES"/>
        </w:rPr>
        <w:t>4 de la Convención, y que el Estado violó también el artículo 7</w:t>
      </w:r>
      <w:r w:rsidR="00C62F80">
        <w:rPr>
          <w:rFonts w:asciiTheme="majorHAnsi" w:eastAsia="Times New Roman" w:hAnsiTheme="majorHAnsi"/>
          <w:sz w:val="20"/>
          <w:szCs w:val="20"/>
          <w:bdr w:val="none" w:sz="0" w:space="0" w:color="auto"/>
          <w:lang w:val="es-ES"/>
        </w:rPr>
        <w:t>.</w:t>
      </w:r>
      <w:r w:rsidRPr="00307AEA">
        <w:rPr>
          <w:rFonts w:asciiTheme="majorHAnsi" w:eastAsia="Times New Roman" w:hAnsiTheme="majorHAnsi"/>
          <w:sz w:val="20"/>
          <w:szCs w:val="20"/>
          <w:bdr w:val="none" w:sz="0" w:space="0" w:color="auto"/>
          <w:lang w:val="es-ES"/>
        </w:rPr>
        <w:t>5 de la Convención, al no ser llevados ante un juez y ser juzgados dentro de un plazo razonable. También alega que México violó sus garantías judiciales, en particular su derecho a la presunción de la inocenci</w:t>
      </w:r>
      <w:r w:rsidR="00C62F80">
        <w:rPr>
          <w:rFonts w:asciiTheme="majorHAnsi" w:eastAsia="Times New Roman" w:hAnsiTheme="majorHAnsi"/>
          <w:sz w:val="20"/>
          <w:szCs w:val="20"/>
          <w:bdr w:val="none" w:sz="0" w:space="0" w:color="auto"/>
          <w:lang w:val="es-ES"/>
        </w:rPr>
        <w:t>a, contemplado en el artículo 8.</w:t>
      </w:r>
      <w:r w:rsidRPr="00307AEA">
        <w:rPr>
          <w:rFonts w:asciiTheme="majorHAnsi" w:eastAsia="Times New Roman" w:hAnsiTheme="majorHAnsi"/>
          <w:sz w:val="20"/>
          <w:szCs w:val="20"/>
          <w:bdr w:val="none" w:sz="0" w:space="0" w:color="auto"/>
          <w:lang w:val="es-ES"/>
        </w:rPr>
        <w:t>2 de la Convención Americana. Además considera que el Estado violó su derecho a la protección judicial, contenido</w:t>
      </w:r>
      <w:r w:rsidR="00F10923" w:rsidRPr="00307AEA">
        <w:rPr>
          <w:rFonts w:asciiTheme="majorHAnsi" w:eastAsia="Times New Roman" w:hAnsiTheme="majorHAnsi"/>
          <w:sz w:val="20"/>
          <w:szCs w:val="20"/>
          <w:bdr w:val="none" w:sz="0" w:space="0" w:color="auto"/>
          <w:lang w:val="es-ES"/>
        </w:rPr>
        <w:t xml:space="preserve"> en</w:t>
      </w:r>
      <w:r w:rsidRPr="00307AEA">
        <w:rPr>
          <w:rFonts w:asciiTheme="majorHAnsi" w:eastAsia="Times New Roman" w:hAnsiTheme="majorHAnsi"/>
          <w:sz w:val="20"/>
          <w:szCs w:val="20"/>
          <w:bdr w:val="none" w:sz="0" w:space="0" w:color="auto"/>
          <w:lang w:val="es-ES"/>
        </w:rPr>
        <w:t xml:space="preserve"> el artículo 25, al no ofrecer un recurso sencillo contra los actos que violaron sus derechos fundamentales en su detención, arraigo, y proceso penal. </w:t>
      </w:r>
      <w:r w:rsidRPr="00627100">
        <w:rPr>
          <w:rFonts w:asciiTheme="majorHAnsi" w:eastAsia="Times New Roman" w:hAnsiTheme="majorHAnsi"/>
          <w:sz w:val="20"/>
          <w:szCs w:val="20"/>
          <w:bdr w:val="none" w:sz="0" w:space="0" w:color="auto"/>
          <w:lang w:val="es-ES"/>
        </w:rPr>
        <w:t xml:space="preserve">Por último, alega que el Estado violó su derecho de reunión, establecido en el artículo 15 de la Convención </w:t>
      </w:r>
      <w:r w:rsidR="00B95DBA" w:rsidRPr="00627100">
        <w:rPr>
          <w:rFonts w:asciiTheme="majorHAnsi" w:eastAsia="Times New Roman" w:hAnsiTheme="majorHAnsi"/>
          <w:sz w:val="20"/>
          <w:szCs w:val="20"/>
          <w:bdr w:val="none" w:sz="0" w:space="0" w:color="auto"/>
          <w:lang w:val="es-ES"/>
        </w:rPr>
        <w:lastRenderedPageBreak/>
        <w:t>Americana,</w:t>
      </w:r>
      <w:r w:rsidR="005B5B98" w:rsidRPr="00627100">
        <w:rPr>
          <w:rFonts w:asciiTheme="majorHAnsi" w:eastAsia="Times New Roman" w:hAnsiTheme="majorHAnsi"/>
          <w:sz w:val="20"/>
          <w:szCs w:val="20"/>
          <w:bdr w:val="none" w:sz="0" w:space="0" w:color="auto"/>
          <w:lang w:val="es-ES"/>
        </w:rPr>
        <w:t xml:space="preserve"> debido a la </w:t>
      </w:r>
      <w:r w:rsidR="0005711F" w:rsidRPr="00627100">
        <w:rPr>
          <w:rFonts w:asciiTheme="majorHAnsi" w:eastAsia="Times New Roman" w:hAnsiTheme="majorHAnsi"/>
          <w:sz w:val="20"/>
          <w:szCs w:val="20"/>
          <w:bdr w:val="none" w:sz="0" w:space="0" w:color="auto"/>
          <w:lang w:val="es-ES"/>
        </w:rPr>
        <w:t xml:space="preserve">vaguedad en la </w:t>
      </w:r>
      <w:r w:rsidR="005B5B98" w:rsidRPr="00627100">
        <w:rPr>
          <w:rFonts w:asciiTheme="majorHAnsi" w:eastAsia="Times New Roman" w:hAnsiTheme="majorHAnsi"/>
          <w:sz w:val="20"/>
          <w:szCs w:val="20"/>
          <w:bdr w:val="none" w:sz="0" w:space="0" w:color="auto"/>
          <w:lang w:val="es-ES"/>
        </w:rPr>
        <w:t>definición de delincuencia organizada</w:t>
      </w:r>
      <w:r w:rsidR="007A7DE2" w:rsidRPr="00627100">
        <w:rPr>
          <w:rFonts w:asciiTheme="majorHAnsi" w:eastAsia="Times New Roman" w:hAnsiTheme="majorHAnsi"/>
          <w:sz w:val="20"/>
          <w:szCs w:val="20"/>
          <w:bdr w:val="none" w:sz="0" w:space="0" w:color="auto"/>
          <w:lang w:val="es-ES"/>
        </w:rPr>
        <w:t xml:space="preserve"> contenida en el artículo 2º de la Ley Federal sobre Delincuencia Organizada. </w:t>
      </w:r>
      <w:r w:rsidR="0005711F" w:rsidRPr="00627100">
        <w:rPr>
          <w:rFonts w:asciiTheme="majorHAnsi" w:eastAsia="Times New Roman" w:hAnsiTheme="majorHAnsi"/>
          <w:sz w:val="20"/>
          <w:szCs w:val="20"/>
          <w:bdr w:val="none" w:sz="0" w:space="0" w:color="auto"/>
          <w:lang w:val="es-ES"/>
        </w:rPr>
        <w:t xml:space="preserve">Esta ley establece la presencia de tres o más personas como uno de los elementos que configuran el </w:t>
      </w:r>
      <w:r w:rsidR="0005711F" w:rsidRPr="00627100">
        <w:rPr>
          <w:rFonts w:asciiTheme="majorHAnsi" w:eastAsia="Arial Unicode MS" w:hAnsiTheme="majorHAnsi" w:cs="Times New Roman"/>
          <w:color w:val="auto"/>
          <w:sz w:val="20"/>
          <w:szCs w:val="20"/>
          <w:lang w:val="es-ES" w:eastAsia="en-US"/>
        </w:rPr>
        <w:t>delito de terrorismo, definición</w:t>
      </w:r>
      <w:r w:rsidR="0005711F" w:rsidRPr="00627100">
        <w:rPr>
          <w:rFonts w:asciiTheme="majorHAnsi" w:eastAsia="Times New Roman" w:hAnsiTheme="majorHAnsi"/>
          <w:sz w:val="20"/>
          <w:szCs w:val="20"/>
          <w:bdr w:val="none" w:sz="0" w:space="0" w:color="auto"/>
          <w:lang w:val="es-ES"/>
        </w:rPr>
        <w:t xml:space="preserve"> que habría permitido la imputación subjetiva de las presuntas víctimas por delincuencia organizada.</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307AEA" w:rsidRDefault="00476E4C" w:rsidP="00A4258B">
      <w:pPr>
        <w:keepN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Theme="majorHAnsi" w:eastAsia="Batang" w:hAnsiTheme="majorHAnsi"/>
          <w:b/>
          <w:bCs/>
          <w:sz w:val="20"/>
          <w:szCs w:val="20"/>
          <w:bdr w:val="none" w:sz="0" w:space="0" w:color="auto"/>
          <w:lang w:val="es-ES"/>
        </w:rPr>
      </w:pPr>
      <w:r w:rsidRPr="00307AEA">
        <w:rPr>
          <w:rFonts w:asciiTheme="majorHAnsi" w:eastAsia="Batang" w:hAnsiTheme="majorHAnsi"/>
          <w:b/>
          <w:bCs/>
          <w:sz w:val="20"/>
          <w:szCs w:val="20"/>
          <w:bdr w:val="none" w:sz="0" w:space="0" w:color="auto"/>
          <w:lang w:val="es-ES"/>
        </w:rPr>
        <w:t>Posición de</w:t>
      </w:r>
      <w:r w:rsidR="00920AC0" w:rsidRPr="00307AEA">
        <w:rPr>
          <w:rFonts w:asciiTheme="majorHAnsi" w:eastAsia="Batang" w:hAnsiTheme="majorHAnsi"/>
          <w:b/>
          <w:bCs/>
          <w:sz w:val="20"/>
          <w:szCs w:val="20"/>
          <w:bdr w:val="none" w:sz="0" w:space="0" w:color="auto"/>
          <w:lang w:val="es-ES"/>
        </w:rPr>
        <w:t>l Estado</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rPr>
      </w:pPr>
    </w:p>
    <w:p w:rsidR="004320C2" w:rsidRDefault="00920AC0" w:rsidP="00A4258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4320C2">
        <w:rPr>
          <w:rFonts w:asciiTheme="majorHAnsi" w:eastAsia="Times New Roman" w:hAnsiTheme="majorHAnsi"/>
          <w:sz w:val="20"/>
          <w:szCs w:val="20"/>
          <w:bdr w:val="none" w:sz="0" w:space="0" w:color="auto"/>
          <w:lang w:val="es-ES"/>
        </w:rPr>
        <w:t xml:space="preserve">En esta etapa de admisibilidad, </w:t>
      </w:r>
      <w:r w:rsidR="00EE27D7" w:rsidRPr="004320C2">
        <w:rPr>
          <w:rFonts w:asciiTheme="majorHAnsi" w:eastAsia="Times New Roman" w:hAnsiTheme="majorHAnsi"/>
          <w:sz w:val="20"/>
          <w:szCs w:val="20"/>
          <w:bdr w:val="none" w:sz="0" w:space="0" w:color="auto"/>
          <w:lang w:val="es-ES"/>
        </w:rPr>
        <w:t>el Estado</w:t>
      </w:r>
      <w:r w:rsidRPr="004320C2">
        <w:rPr>
          <w:rFonts w:asciiTheme="majorHAnsi" w:eastAsia="Times New Roman" w:hAnsiTheme="majorHAnsi"/>
          <w:sz w:val="20"/>
          <w:szCs w:val="20"/>
          <w:bdr w:val="none" w:sz="0" w:space="0" w:color="auto"/>
          <w:lang w:val="es-ES"/>
        </w:rPr>
        <w:t xml:space="preserve"> indica que no abordará a fondo los alegatos fácticos de la peticionaria. No obstante, afirma que cuando las presuntas víctimas fueron cuestionados sobre material subversivo que fue encontrado en su automóvil, éstos se negaron a dar explicaciones y ofrecieron dinero a los agentes federales a cambio de que los dejaran continuar su viaje.</w:t>
      </w:r>
    </w:p>
    <w:p w:rsidR="004320C2" w:rsidRPr="004320C2" w:rsidRDefault="004320C2"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4320C2" w:rsidRDefault="00920AC0" w:rsidP="00A4258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4320C2">
        <w:rPr>
          <w:rFonts w:asciiTheme="majorHAnsi" w:eastAsia="Times New Roman" w:hAnsiTheme="majorHAnsi"/>
          <w:sz w:val="20"/>
          <w:szCs w:val="20"/>
          <w:bdr w:val="none" w:sz="0" w:space="0" w:color="auto"/>
          <w:lang w:val="es-ES"/>
        </w:rPr>
        <w:t xml:space="preserve">México alega que la denuncia presentada por la peticionaria debe ser declarada inadmisible. En primer lugar, sostiene que la denuncia recibida por la CIDH el 23 de febrero de 2007 no constituye una petición en los términos de la Convención Americana, debido a que en su escrito original la peticionaria se reservó “el derecho a solicitar su Admisión para otro momento”. Según el Estado, la denuncia no constituyó una petición, sino un mero antecedente a una posible petición, por lo tanto no </w:t>
      </w:r>
      <w:r w:rsidR="00476E4C" w:rsidRPr="004320C2">
        <w:rPr>
          <w:rFonts w:asciiTheme="majorHAnsi" w:eastAsia="Times New Roman" w:hAnsiTheme="majorHAnsi"/>
          <w:sz w:val="20"/>
          <w:szCs w:val="20"/>
          <w:bdr w:val="none" w:sz="0" w:space="0" w:color="auto"/>
          <w:lang w:val="es-ES"/>
        </w:rPr>
        <w:t>existiría</w:t>
      </w:r>
      <w:r w:rsidRPr="004320C2">
        <w:rPr>
          <w:rFonts w:asciiTheme="majorHAnsi" w:eastAsia="Times New Roman" w:hAnsiTheme="majorHAnsi"/>
          <w:sz w:val="20"/>
          <w:szCs w:val="20"/>
          <w:bdr w:val="none" w:sz="0" w:space="0" w:color="auto"/>
          <w:lang w:val="es-ES"/>
        </w:rPr>
        <w:t xml:space="preserve"> una petición sobre la cual la CIDH se pueda pronunciar sobre admisibilidad.</w:t>
      </w:r>
    </w:p>
    <w:p w:rsidR="004320C2" w:rsidRPr="004320C2" w:rsidRDefault="004320C2" w:rsidP="00A4258B">
      <w:pPr>
        <w:pStyle w:val="ListParagraph"/>
        <w:tabs>
          <w:tab w:val="num" w:pos="0"/>
        </w:tabs>
        <w:rPr>
          <w:rFonts w:asciiTheme="majorHAnsi" w:eastAsia="Times New Roman" w:hAnsiTheme="majorHAnsi"/>
          <w:sz w:val="20"/>
          <w:szCs w:val="20"/>
          <w:bdr w:val="none" w:sz="0" w:space="0" w:color="auto"/>
          <w:lang w:val="es-ES"/>
        </w:rPr>
      </w:pPr>
    </w:p>
    <w:p w:rsidR="004320C2" w:rsidRDefault="00920AC0" w:rsidP="00A4258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4320C2">
        <w:rPr>
          <w:rFonts w:asciiTheme="majorHAnsi" w:eastAsia="Times New Roman" w:hAnsiTheme="majorHAnsi"/>
          <w:sz w:val="20"/>
          <w:szCs w:val="20"/>
          <w:bdr w:val="none" w:sz="0" w:space="0" w:color="auto"/>
          <w:lang w:val="es-ES"/>
        </w:rPr>
        <w:t>En segundo lugar, sostiene que el asunto ha quedado sin materia, ya que las presuntas víctimas fueron puestas en libertad el 16 de octubre de 2008 por el Segundo Tribunal Unitario del Séptimo Circuito en Veracruz. El Estado hace notar que las presuntas víctimas encontraron en las instancias nacionales una resolución favorable a sus pretensiones, por lo que considera que el asunto ha quedado sin materia.</w:t>
      </w:r>
    </w:p>
    <w:p w:rsidR="004320C2" w:rsidRPr="004320C2" w:rsidRDefault="004320C2" w:rsidP="00A4258B">
      <w:pPr>
        <w:pStyle w:val="ListParagraph"/>
        <w:tabs>
          <w:tab w:val="num" w:pos="0"/>
        </w:tabs>
        <w:rPr>
          <w:rFonts w:asciiTheme="majorHAnsi" w:eastAsia="Times New Roman" w:hAnsiTheme="majorHAnsi"/>
          <w:sz w:val="20"/>
          <w:szCs w:val="20"/>
          <w:bdr w:val="none" w:sz="0" w:space="0" w:color="auto"/>
          <w:lang w:val="es-ES"/>
        </w:rPr>
      </w:pPr>
    </w:p>
    <w:p w:rsidR="004320C2" w:rsidRDefault="00920AC0" w:rsidP="00A4258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4320C2">
        <w:rPr>
          <w:rFonts w:asciiTheme="majorHAnsi" w:eastAsia="Times New Roman" w:hAnsiTheme="majorHAnsi"/>
          <w:sz w:val="20"/>
          <w:szCs w:val="20"/>
          <w:bdr w:val="none" w:sz="0" w:space="0" w:color="auto"/>
          <w:lang w:val="es-ES"/>
        </w:rPr>
        <w:t>En caso de que la CIDH decidiera analizar la admisibilidad del caso</w:t>
      </w:r>
      <w:r w:rsidR="00476E4C" w:rsidRPr="004320C2">
        <w:rPr>
          <w:rFonts w:asciiTheme="majorHAnsi" w:eastAsia="Times New Roman" w:hAnsiTheme="majorHAnsi"/>
          <w:sz w:val="20"/>
          <w:szCs w:val="20"/>
          <w:bdr w:val="none" w:sz="0" w:space="0" w:color="auto"/>
          <w:lang w:val="es-ES"/>
        </w:rPr>
        <w:t xml:space="preserve"> -</w:t>
      </w:r>
      <w:r w:rsidRPr="004320C2">
        <w:rPr>
          <w:rFonts w:asciiTheme="majorHAnsi" w:eastAsia="Times New Roman" w:hAnsiTheme="majorHAnsi"/>
          <w:sz w:val="20"/>
          <w:szCs w:val="20"/>
          <w:bdr w:val="none" w:sz="0" w:space="0" w:color="auto"/>
          <w:lang w:val="es-ES"/>
        </w:rPr>
        <w:t>a pesar de que, según plantea el Estado, no existe una petición sobre la cual pro</w:t>
      </w:r>
      <w:r w:rsidR="00476E4C" w:rsidRPr="004320C2">
        <w:rPr>
          <w:rFonts w:asciiTheme="majorHAnsi" w:eastAsia="Times New Roman" w:hAnsiTheme="majorHAnsi"/>
          <w:sz w:val="20"/>
          <w:szCs w:val="20"/>
          <w:bdr w:val="none" w:sz="0" w:space="0" w:color="auto"/>
          <w:lang w:val="es-ES"/>
        </w:rPr>
        <w:t xml:space="preserve">nunciarse- </w:t>
      </w:r>
      <w:r w:rsidRPr="004320C2">
        <w:rPr>
          <w:rFonts w:asciiTheme="majorHAnsi" w:eastAsia="Times New Roman" w:hAnsiTheme="majorHAnsi"/>
          <w:sz w:val="20"/>
          <w:szCs w:val="20"/>
          <w:bdr w:val="none" w:sz="0" w:space="0" w:color="auto"/>
          <w:lang w:val="es-ES"/>
        </w:rPr>
        <w:t>argumenta que no se han agotado los recursos internos. Según el Estado, la última resolución que recayó sobre las presuntas víctimas fue la de segunda instancia, emitida por el Juez del Segundo Tribunal Unitario en Materia Penal del Séptimo Circuito el 16 de octubre de 2008. Afirma que dicha decisión los absolvió del delito de delincuencia organizada, confirmó la sanción por cohecho, y ordenó su liberación inmediata. México manifiesta que si los señores Tzompaxtle Tecpile y Robles López hubieran considerado que esta resolución violaba sus derechos humanos, la vía idónea para proteger sus derechos hubiera sido el recurso de amparo. Sin embargo, el Estado alega que no interpusieron ningún recurso de amparo ante esta resolución, por lo que no se han agotado las instancias nacionales.</w:t>
      </w:r>
    </w:p>
    <w:p w:rsidR="004320C2" w:rsidRPr="004320C2" w:rsidRDefault="004320C2" w:rsidP="00A4258B">
      <w:pPr>
        <w:pStyle w:val="ListParagraph"/>
        <w:tabs>
          <w:tab w:val="num" w:pos="0"/>
        </w:tabs>
        <w:rPr>
          <w:rFonts w:asciiTheme="majorHAnsi" w:eastAsia="Times New Roman" w:hAnsiTheme="majorHAnsi"/>
          <w:sz w:val="20"/>
          <w:szCs w:val="20"/>
          <w:bdr w:val="none" w:sz="0" w:space="0" w:color="auto"/>
          <w:lang w:val="es-ES"/>
        </w:rPr>
      </w:pPr>
    </w:p>
    <w:p w:rsidR="00920AC0" w:rsidRPr="004320C2" w:rsidRDefault="00920AC0" w:rsidP="00A4258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4320C2">
        <w:rPr>
          <w:rFonts w:asciiTheme="majorHAnsi" w:eastAsia="Times New Roman" w:hAnsiTheme="majorHAnsi"/>
          <w:sz w:val="20"/>
          <w:szCs w:val="20"/>
          <w:bdr w:val="none" w:sz="0" w:space="0" w:color="auto"/>
          <w:lang w:val="es-ES"/>
        </w:rPr>
        <w:t>Por último, el Estado alega que no se ha presentado una petición dentro del plazo contemplado por el artículo 46 de la Convención Americana. Menciona que la decisión definitiva en este caso fue notificada el 16 de octubre de 2008, y dos años y medio después -al momento en que el Estado presentó sus observaciones, el 2 de junio de 2011- la peticionaria no había presentado amparo alguno en contra de esa decisión. Asimismo, sostiene que si la peticionaria decidiera solicitar la admisibilidad del caso en ese momento, es decir, cuando el Estado presentó sus observaciones, dicha solicitud resultaría tardía y debería ser rechazada por estar fuera del plazo de seis meses establecido por la Convención Americana.</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307AEA" w:rsidRDefault="00476E4C" w:rsidP="00A4258B">
      <w:pPr>
        <w:pStyle w:val="Heading3"/>
        <w:tabs>
          <w:tab w:val="clear" w:pos="720"/>
          <w:tab w:val="num" w:pos="0"/>
        </w:tabs>
        <w:jc w:val="both"/>
      </w:pPr>
      <w:r w:rsidRPr="00307AEA">
        <w:t>ANÁLISIS SOBRE COMPETENCIA Y ADMISIBILIDAD</w:t>
      </w:r>
    </w:p>
    <w:p w:rsidR="00476E4C" w:rsidRPr="00307AEA" w:rsidRDefault="00476E4C" w:rsidP="00A4258B">
      <w:pPr>
        <w:tabs>
          <w:tab w:val="num" w:pos="0"/>
        </w:tabs>
        <w:jc w:val="both"/>
        <w:rPr>
          <w:rFonts w:asciiTheme="majorHAnsi" w:hAnsiTheme="majorHAnsi"/>
          <w:sz w:val="20"/>
          <w:szCs w:val="20"/>
          <w:lang w:val="es-ES"/>
        </w:rPr>
      </w:pP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Theme="majorHAnsi" w:eastAsia="Batang" w:hAnsiTheme="majorHAnsi" w:cs="Arial"/>
          <w:b/>
          <w:bCs/>
          <w:sz w:val="20"/>
          <w:szCs w:val="20"/>
          <w:bdr w:val="none" w:sz="0" w:space="0" w:color="auto"/>
          <w:lang w:val="es-ES"/>
        </w:rPr>
      </w:pPr>
      <w:r w:rsidRPr="00307AEA">
        <w:rPr>
          <w:rFonts w:asciiTheme="majorHAnsi" w:eastAsia="Batang" w:hAnsiTheme="majorHAnsi" w:cs="Arial"/>
          <w:b/>
          <w:bCs/>
          <w:sz w:val="20"/>
          <w:szCs w:val="20"/>
          <w:bdr w:val="none" w:sz="0" w:space="0" w:color="auto"/>
          <w:lang w:val="es-ES"/>
        </w:rPr>
        <w:t>A.</w:t>
      </w:r>
      <w:r w:rsidRPr="00307AEA">
        <w:rPr>
          <w:rFonts w:asciiTheme="majorHAnsi" w:eastAsia="Batang" w:hAnsiTheme="majorHAnsi" w:cs="Arial"/>
          <w:b/>
          <w:bCs/>
          <w:sz w:val="20"/>
          <w:szCs w:val="20"/>
          <w:bdr w:val="none" w:sz="0" w:space="0" w:color="auto"/>
          <w:lang w:val="es-ES"/>
        </w:rPr>
        <w:tab/>
        <w:t>Existencia de una petición</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4320C2" w:rsidRDefault="00920AC0" w:rsidP="00A4258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4320C2">
        <w:rPr>
          <w:rFonts w:asciiTheme="majorHAnsi" w:eastAsia="Times New Roman" w:hAnsiTheme="majorHAnsi"/>
          <w:sz w:val="20"/>
          <w:szCs w:val="20"/>
          <w:bdr w:val="none" w:sz="0" w:space="0" w:color="auto"/>
          <w:lang w:val="es-ES"/>
        </w:rPr>
        <w:t xml:space="preserve">La Comisión observa que en el escrito inicial presentado el 23 de febrero de 2007, la peticionaria señaló que se reservaba “el derecho de solicitar su admisión para otro momento”. Con base en esta afirmación, el Estado alega que el presente asunto no constituye una petición en los términos del Reglamento de la Comisión Interamericana, y que la peticionaria no solicitó dicha admisibilidad con posterioridad. </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720"/>
        <w:jc w:val="both"/>
        <w:rPr>
          <w:rFonts w:asciiTheme="majorHAnsi" w:eastAsia="Times New Roman" w:hAnsiTheme="majorHAnsi"/>
          <w:sz w:val="20"/>
          <w:szCs w:val="20"/>
          <w:bdr w:val="none" w:sz="0" w:space="0" w:color="auto"/>
          <w:lang w:val="es-ES"/>
        </w:rPr>
      </w:pPr>
    </w:p>
    <w:p w:rsidR="00920AC0" w:rsidRPr="00307AEA" w:rsidRDefault="00920AC0"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lastRenderedPageBreak/>
        <w:t>Al respecto, la CIDH toma nota que en el mismo escrito del 23 de febrero de 2007, la peticionaria indicó que informaba a la Comisión del “siguiente caso, por considerarlo violatorio a la Convención Americana sobre Derechos Humanos</w:t>
      </w:r>
      <w:r w:rsidRPr="00307AEA">
        <w:rPr>
          <w:rFonts w:asciiTheme="majorHAnsi" w:eastAsia="Times New Roman" w:hAnsiTheme="majorHAnsi"/>
          <w:sz w:val="20"/>
          <w:szCs w:val="20"/>
          <w:bdr w:val="none" w:sz="0" w:space="0" w:color="auto"/>
          <w:lang w:val="es-ES"/>
        </w:rPr>
        <w:sym w:font="Symbol" w:char="F05B"/>
      </w:r>
      <w:r w:rsidRPr="00307AEA">
        <w:rPr>
          <w:rFonts w:asciiTheme="majorHAnsi" w:eastAsia="Times New Roman" w:hAnsiTheme="majorHAnsi"/>
          <w:sz w:val="20"/>
          <w:szCs w:val="20"/>
          <w:bdr w:val="none" w:sz="0" w:space="0" w:color="auto"/>
          <w:lang w:val="es-ES"/>
        </w:rPr>
        <w:t>sic</w:t>
      </w:r>
      <w:r w:rsidRPr="00307AEA">
        <w:rPr>
          <w:rFonts w:asciiTheme="majorHAnsi" w:eastAsia="Times New Roman" w:hAnsiTheme="majorHAnsi"/>
          <w:sz w:val="20"/>
          <w:szCs w:val="20"/>
          <w:bdr w:val="none" w:sz="0" w:space="0" w:color="auto"/>
          <w:lang w:val="es-ES"/>
        </w:rPr>
        <w:sym w:font="Symbol" w:char="F05D"/>
      </w:r>
      <w:r w:rsidRPr="00307AEA">
        <w:rPr>
          <w:rFonts w:asciiTheme="majorHAnsi" w:eastAsia="Times New Roman" w:hAnsiTheme="majorHAnsi"/>
          <w:sz w:val="20"/>
          <w:szCs w:val="20"/>
          <w:bdr w:val="none" w:sz="0" w:space="0" w:color="auto"/>
          <w:lang w:val="es-ES"/>
        </w:rPr>
        <w:t>” y expresó “</w:t>
      </w:r>
      <w:r w:rsidRPr="00307AEA">
        <w:rPr>
          <w:rFonts w:asciiTheme="majorHAnsi" w:eastAsia="Times New Roman" w:hAnsiTheme="majorHAnsi"/>
          <w:sz w:val="20"/>
          <w:szCs w:val="20"/>
          <w:bdr w:val="none" w:sz="0" w:space="0" w:color="auto"/>
          <w:lang w:val="es-ES"/>
        </w:rPr>
        <w:sym w:font="Symbol" w:char="F05B"/>
      </w:r>
      <w:r w:rsidRPr="00307AEA">
        <w:rPr>
          <w:rFonts w:asciiTheme="majorHAnsi" w:eastAsia="Times New Roman" w:hAnsiTheme="majorHAnsi"/>
          <w:sz w:val="20"/>
          <w:szCs w:val="20"/>
          <w:bdr w:val="none" w:sz="0" w:space="0" w:color="auto"/>
          <w:lang w:val="es-ES"/>
        </w:rPr>
        <w:t>…</w:t>
      </w:r>
      <w:r w:rsidRPr="00307AEA">
        <w:rPr>
          <w:rFonts w:asciiTheme="majorHAnsi" w:eastAsia="Times New Roman" w:hAnsiTheme="majorHAnsi"/>
          <w:sz w:val="20"/>
          <w:szCs w:val="20"/>
          <w:bdr w:val="none" w:sz="0" w:space="0" w:color="auto"/>
          <w:lang w:val="es-ES"/>
        </w:rPr>
        <w:sym w:font="Symbol" w:char="F05D"/>
      </w:r>
      <w:r w:rsidRPr="00307AEA">
        <w:rPr>
          <w:rFonts w:asciiTheme="majorHAnsi" w:eastAsia="Times New Roman" w:hAnsiTheme="majorHAnsi"/>
          <w:sz w:val="20"/>
          <w:szCs w:val="20"/>
          <w:bdr w:val="none" w:sz="0" w:space="0" w:color="auto"/>
          <w:lang w:val="es-ES"/>
        </w:rPr>
        <w:t xml:space="preserve"> solicitamos respetuosamente a la CIDH: </w:t>
      </w:r>
      <w:r w:rsidRPr="00307AEA">
        <w:rPr>
          <w:rFonts w:asciiTheme="majorHAnsi" w:eastAsia="Times New Roman" w:hAnsiTheme="majorHAnsi"/>
          <w:sz w:val="20"/>
          <w:szCs w:val="20"/>
          <w:bdr w:val="none" w:sz="0" w:space="0" w:color="auto"/>
          <w:lang w:val="es-ES"/>
        </w:rPr>
        <w:sym w:font="Symbol" w:char="F05B"/>
      </w:r>
      <w:r w:rsidRPr="00307AEA">
        <w:rPr>
          <w:rFonts w:asciiTheme="majorHAnsi" w:eastAsia="Times New Roman" w:hAnsiTheme="majorHAnsi"/>
          <w:sz w:val="20"/>
          <w:szCs w:val="20"/>
          <w:bdr w:val="none" w:sz="0" w:space="0" w:color="auto"/>
          <w:lang w:val="es-ES"/>
        </w:rPr>
        <w:t>…</w:t>
      </w:r>
      <w:r w:rsidRPr="00307AEA">
        <w:rPr>
          <w:rFonts w:asciiTheme="majorHAnsi" w:eastAsia="Times New Roman" w:hAnsiTheme="majorHAnsi"/>
          <w:sz w:val="20"/>
          <w:szCs w:val="20"/>
          <w:bdr w:val="none" w:sz="0" w:space="0" w:color="auto"/>
          <w:lang w:val="es-ES"/>
        </w:rPr>
        <w:sym w:font="Symbol" w:char="F05D"/>
      </w:r>
      <w:r w:rsidRPr="00307AEA">
        <w:rPr>
          <w:rFonts w:asciiTheme="majorHAnsi" w:eastAsia="Times New Roman" w:hAnsiTheme="majorHAnsi"/>
          <w:sz w:val="20"/>
          <w:szCs w:val="20"/>
          <w:bdr w:val="none" w:sz="0" w:space="0" w:color="auto"/>
          <w:lang w:val="es-ES"/>
        </w:rPr>
        <w:t xml:space="preserve"> emitir opinión en el sentido que el Estado Mexicano incurri</w:t>
      </w:r>
      <w:r w:rsidR="00C62F80">
        <w:rPr>
          <w:rFonts w:asciiTheme="majorHAnsi" w:eastAsia="Times New Roman" w:hAnsiTheme="majorHAnsi"/>
          <w:sz w:val="20"/>
          <w:szCs w:val="20"/>
          <w:bdr w:val="none" w:sz="0" w:space="0" w:color="auto"/>
          <w:lang w:val="es-ES"/>
        </w:rPr>
        <w:t>ó en violación de los a</w:t>
      </w:r>
      <w:r w:rsidRPr="00307AEA">
        <w:rPr>
          <w:rFonts w:asciiTheme="majorHAnsi" w:eastAsia="Times New Roman" w:hAnsiTheme="majorHAnsi"/>
          <w:sz w:val="20"/>
          <w:szCs w:val="20"/>
          <w:bdr w:val="none" w:sz="0" w:space="0" w:color="auto"/>
          <w:lang w:val="es-ES"/>
        </w:rPr>
        <w:t>rtículos de la Convención Am</w:t>
      </w:r>
      <w:r w:rsidR="00C62F80">
        <w:rPr>
          <w:rFonts w:asciiTheme="majorHAnsi" w:eastAsia="Times New Roman" w:hAnsiTheme="majorHAnsi"/>
          <w:sz w:val="20"/>
          <w:szCs w:val="20"/>
          <w:bdr w:val="none" w:sz="0" w:space="0" w:color="auto"/>
          <w:lang w:val="es-ES"/>
        </w:rPr>
        <w:t>ericana sobre Derechos Humanos artículos 7(1)(2)(3)(4)(5)(6), artículo 8(1)(2)(b)(c) y a</w:t>
      </w:r>
      <w:r w:rsidRPr="00307AEA">
        <w:rPr>
          <w:rFonts w:asciiTheme="majorHAnsi" w:eastAsia="Times New Roman" w:hAnsiTheme="majorHAnsi"/>
          <w:sz w:val="20"/>
          <w:szCs w:val="20"/>
          <w:bdr w:val="none" w:sz="0" w:space="0" w:color="auto"/>
          <w:lang w:val="es-ES"/>
        </w:rPr>
        <w:t>rtículo 15 y 25”. Igualmente, el 14 de noviembre de 2008, la peticionaria presentó información adicional, incluyendo un escrito en el que manifestó que estaba “en espera de que la H. Comisión Interamericana considere el aceptar este Caso</w:t>
      </w:r>
      <w:r w:rsidRPr="00307AEA">
        <w:rPr>
          <w:rFonts w:asciiTheme="majorHAnsi" w:eastAsia="Times New Roman" w:hAnsiTheme="majorHAnsi"/>
          <w:sz w:val="20"/>
          <w:szCs w:val="20"/>
          <w:bdr w:val="none" w:sz="0" w:space="0" w:color="auto"/>
          <w:lang w:val="es-ES"/>
        </w:rPr>
        <w:sym w:font="Symbol" w:char="F05B"/>
      </w:r>
      <w:r w:rsidRPr="00307AEA">
        <w:rPr>
          <w:rFonts w:asciiTheme="majorHAnsi" w:eastAsia="Times New Roman" w:hAnsiTheme="majorHAnsi"/>
          <w:sz w:val="20"/>
          <w:szCs w:val="20"/>
          <w:bdr w:val="none" w:sz="0" w:space="0" w:color="auto"/>
          <w:lang w:val="es-ES"/>
        </w:rPr>
        <w:t>…</w:t>
      </w:r>
      <w:r w:rsidRPr="00307AEA">
        <w:rPr>
          <w:rFonts w:asciiTheme="majorHAnsi" w:eastAsia="Times New Roman" w:hAnsiTheme="majorHAnsi"/>
          <w:sz w:val="20"/>
          <w:szCs w:val="20"/>
          <w:bdr w:val="none" w:sz="0" w:space="0" w:color="auto"/>
          <w:lang w:val="es-ES"/>
        </w:rPr>
        <w:sym w:font="Symbol" w:char="F05D"/>
      </w:r>
      <w:r w:rsidRPr="00307AEA">
        <w:rPr>
          <w:rFonts w:asciiTheme="majorHAnsi" w:eastAsia="Times New Roman" w:hAnsiTheme="majorHAnsi"/>
          <w:sz w:val="20"/>
          <w:szCs w:val="20"/>
          <w:bdr w:val="none" w:sz="0" w:space="0" w:color="auto"/>
          <w:lang w:val="es-ES"/>
        </w:rPr>
        <w:t>”</w:t>
      </w:r>
      <w:r w:rsidRPr="00307AEA">
        <w:rPr>
          <w:rFonts w:asciiTheme="majorHAnsi" w:eastAsia="Times New Roman" w:hAnsiTheme="majorHAnsi"/>
          <w:sz w:val="20"/>
          <w:szCs w:val="20"/>
          <w:bdr w:val="none" w:sz="0" w:space="0" w:color="auto"/>
          <w:vertAlign w:val="superscript"/>
          <w:lang w:val="es-ES"/>
        </w:rPr>
        <w:footnoteReference w:id="3"/>
      </w:r>
      <w:r w:rsidRPr="00307AEA">
        <w:rPr>
          <w:rFonts w:asciiTheme="majorHAnsi" w:eastAsia="Times New Roman" w:hAnsiTheme="majorHAnsi"/>
          <w:sz w:val="20"/>
          <w:szCs w:val="20"/>
          <w:bdr w:val="none" w:sz="0" w:space="0" w:color="auto"/>
          <w:lang w:val="es-ES"/>
        </w:rPr>
        <w:t xml:space="preserve">. Esta información fue trasladada al Estado al mismo tiempo que la denuncia inicial, el 22 de febrero de 2011. </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307AEA" w:rsidRDefault="00920AC0"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 xml:space="preserve">La CIDH observa que, de conformidad con lo dispuesto en la Convención Americana y el Reglamento de la Comisión, ésta tiene competencia para determinar la tramitabilidad de una petición tanto con base en la petición e información aportada por los peticionarios, como </w:t>
      </w:r>
      <w:r w:rsidRPr="00307AEA">
        <w:rPr>
          <w:rFonts w:asciiTheme="majorHAnsi" w:eastAsia="Times New Roman" w:hAnsiTheme="majorHAnsi"/>
          <w:i/>
          <w:sz w:val="20"/>
          <w:szCs w:val="20"/>
          <w:bdr w:val="none" w:sz="0" w:space="0" w:color="auto"/>
          <w:lang w:val="es-ES"/>
        </w:rPr>
        <w:t>motu proprio</w:t>
      </w:r>
      <w:r w:rsidRPr="00307AEA">
        <w:rPr>
          <w:rFonts w:asciiTheme="majorHAnsi" w:eastAsia="Times New Roman" w:hAnsiTheme="majorHAnsi"/>
          <w:sz w:val="20"/>
          <w:szCs w:val="20"/>
          <w:bdr w:val="none" w:sz="0" w:space="0" w:color="auto"/>
          <w:vertAlign w:val="superscript"/>
          <w:lang w:val="es-ES"/>
        </w:rPr>
        <w:footnoteReference w:id="4"/>
      </w:r>
      <w:r w:rsidRPr="00307AEA">
        <w:rPr>
          <w:rFonts w:asciiTheme="majorHAnsi" w:eastAsia="Times New Roman" w:hAnsiTheme="majorHAnsi"/>
          <w:sz w:val="20"/>
          <w:szCs w:val="20"/>
          <w:bdr w:val="none" w:sz="0" w:space="0" w:color="auto"/>
          <w:lang w:val="es-ES"/>
        </w:rPr>
        <w:t>. En el presente asunto, la Comisión considera que se trata del primer supuesto, tomando en cuenta la petición inicial y los escritos presentados por la peticionaria antes de la apertura, por lo que pasa a analizar si se encuentran cumplidos los requisitos de admisibilidad.</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307AEA" w:rsidRDefault="0053243D"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Theme="majorHAnsi" w:eastAsia="Batang" w:hAnsiTheme="majorHAnsi" w:cs="Arial"/>
          <w:b/>
          <w:bCs/>
          <w:sz w:val="20"/>
          <w:szCs w:val="20"/>
          <w:bdr w:val="none" w:sz="0" w:space="0" w:color="auto"/>
          <w:lang w:val="es-ES"/>
        </w:rPr>
      </w:pPr>
      <w:r w:rsidRPr="00307AEA">
        <w:rPr>
          <w:rFonts w:asciiTheme="majorHAnsi" w:eastAsia="Batang" w:hAnsiTheme="majorHAnsi" w:cs="Arial"/>
          <w:b/>
          <w:bCs/>
          <w:sz w:val="20"/>
          <w:szCs w:val="20"/>
          <w:bdr w:val="none" w:sz="0" w:space="0" w:color="auto"/>
          <w:lang w:val="es-ES"/>
        </w:rPr>
        <w:t>B.</w:t>
      </w:r>
      <w:r w:rsidRPr="00307AEA">
        <w:rPr>
          <w:rFonts w:asciiTheme="majorHAnsi" w:eastAsia="Batang" w:hAnsiTheme="majorHAnsi" w:cs="Arial"/>
          <w:b/>
          <w:bCs/>
          <w:sz w:val="20"/>
          <w:szCs w:val="20"/>
          <w:bdr w:val="none" w:sz="0" w:space="0" w:color="auto"/>
          <w:lang w:val="es-ES"/>
        </w:rPr>
        <w:tab/>
      </w:r>
      <w:r w:rsidR="006A4BC4" w:rsidRPr="00307AEA">
        <w:rPr>
          <w:rFonts w:asciiTheme="majorHAnsi" w:eastAsia="Batang" w:hAnsiTheme="majorHAnsi" w:cs="Arial"/>
          <w:b/>
          <w:bCs/>
          <w:sz w:val="20"/>
          <w:szCs w:val="20"/>
          <w:bdr w:val="none" w:sz="0" w:space="0" w:color="auto"/>
          <w:lang w:val="es-ES"/>
        </w:rPr>
        <w:t>Competencia</w:t>
      </w:r>
    </w:p>
    <w:p w:rsidR="006B1F33" w:rsidRPr="00307AEA" w:rsidRDefault="006B1F33"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jc w:val="both"/>
        <w:outlineLvl w:val="1"/>
        <w:rPr>
          <w:rFonts w:asciiTheme="majorHAnsi" w:eastAsia="Times New Roman" w:hAnsiTheme="majorHAnsi"/>
          <w:sz w:val="20"/>
          <w:szCs w:val="20"/>
          <w:bdr w:val="none" w:sz="0" w:space="0" w:color="auto"/>
          <w:lang w:val="es-ES"/>
        </w:rPr>
      </w:pPr>
    </w:p>
    <w:p w:rsidR="00920AC0" w:rsidRPr="00307AEA" w:rsidRDefault="00920AC0"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_tradnl"/>
        </w:rPr>
      </w:pPr>
      <w:r w:rsidRPr="00307AEA">
        <w:rPr>
          <w:rFonts w:asciiTheme="majorHAnsi" w:eastAsia="Times New Roman" w:hAnsiTheme="majorHAnsi"/>
          <w:sz w:val="20"/>
          <w:szCs w:val="20"/>
          <w:bdr w:val="none" w:sz="0" w:space="0" w:color="auto"/>
          <w:lang w:val="es-ES"/>
        </w:rPr>
        <w:t xml:space="preserve">La peticionaria se encuentra facultada, en principio, por el artículo 44 de la Convención Americana para presentar peticiones ante la Comisión Interamericana. </w:t>
      </w:r>
      <w:r w:rsidRPr="00307AEA">
        <w:rPr>
          <w:rFonts w:asciiTheme="majorHAnsi" w:eastAsia="Times New Roman" w:hAnsiTheme="majorHAnsi"/>
          <w:sz w:val="20"/>
          <w:szCs w:val="20"/>
          <w:bdr w:val="none" w:sz="0" w:space="0" w:color="auto"/>
          <w:lang w:val="es-ES_tradnl"/>
        </w:rPr>
        <w:t xml:space="preserve">La petición señala como presuntas víctimas a personas individuales, respecto de quienes el Estado de México se comprometió a respetar y garantizar los derechos consagrados en la Convención Americana. En lo concerniente al Estado, la Comisión señala que México es un Estado parte en la Convención Americana desde el 24 de marzo de 1981, fecha en la que depositó su instrumento de ratificación.  Por lo tanto, la Comisión tiene competencia </w:t>
      </w:r>
      <w:r w:rsidRPr="00307AEA">
        <w:rPr>
          <w:rFonts w:asciiTheme="majorHAnsi" w:eastAsia="Times New Roman" w:hAnsiTheme="majorHAnsi"/>
          <w:i/>
          <w:sz w:val="20"/>
          <w:szCs w:val="20"/>
          <w:bdr w:val="none" w:sz="0" w:space="0" w:color="auto"/>
          <w:lang w:val="es-ES_tradnl"/>
        </w:rPr>
        <w:t>ratione personae</w:t>
      </w:r>
      <w:r w:rsidRPr="00307AEA">
        <w:rPr>
          <w:rFonts w:asciiTheme="majorHAnsi" w:eastAsia="Times New Roman" w:hAnsiTheme="majorHAnsi"/>
          <w:sz w:val="20"/>
          <w:szCs w:val="20"/>
          <w:bdr w:val="none" w:sz="0" w:space="0" w:color="auto"/>
          <w:lang w:val="es-ES_tradnl"/>
        </w:rPr>
        <w:t xml:space="preserve"> para examinar la petición.  </w:t>
      </w:r>
      <w:r w:rsidRPr="00307AEA">
        <w:rPr>
          <w:rFonts w:asciiTheme="majorHAnsi" w:eastAsia="Times New Roman" w:hAnsiTheme="majorHAnsi"/>
          <w:sz w:val="20"/>
          <w:szCs w:val="20"/>
          <w:bdr w:val="none" w:sz="0" w:space="0" w:color="auto"/>
          <w:lang w:val="es-ES"/>
        </w:rPr>
        <w:t xml:space="preserve">Asimismo, la CIDH tiene competencia </w:t>
      </w:r>
      <w:r w:rsidRPr="00307AEA">
        <w:rPr>
          <w:rFonts w:asciiTheme="majorHAnsi" w:eastAsia="Times New Roman" w:hAnsiTheme="majorHAnsi"/>
          <w:i/>
          <w:sz w:val="20"/>
          <w:szCs w:val="20"/>
          <w:bdr w:val="none" w:sz="0" w:space="0" w:color="auto"/>
          <w:lang w:val="es-ES"/>
        </w:rPr>
        <w:t>ratione temporis</w:t>
      </w:r>
      <w:r w:rsidRPr="00307AEA">
        <w:rPr>
          <w:rFonts w:asciiTheme="majorHAnsi" w:eastAsia="Times New Roman" w:hAnsiTheme="majorHAnsi"/>
          <w:sz w:val="20"/>
          <w:szCs w:val="20"/>
          <w:bdr w:val="none" w:sz="0" w:space="0" w:color="auto"/>
          <w:lang w:val="es-ES"/>
        </w:rPr>
        <w:t>, ya que la peticionaria alega presuntas violaciones ocurridas desde el 2006, cuando la Convención Americana ya se encontraba en vigor para México.</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307AEA" w:rsidRDefault="00920AC0"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 xml:space="preserve">De igual forma, la Comisión tiene competencia </w:t>
      </w:r>
      <w:r w:rsidRPr="00307AEA">
        <w:rPr>
          <w:rFonts w:asciiTheme="majorHAnsi" w:eastAsia="Times New Roman" w:hAnsiTheme="majorHAnsi"/>
          <w:i/>
          <w:sz w:val="20"/>
          <w:szCs w:val="20"/>
          <w:bdr w:val="none" w:sz="0" w:space="0" w:color="auto"/>
          <w:lang w:val="es-ES"/>
        </w:rPr>
        <w:t>ratione loci</w:t>
      </w:r>
      <w:r w:rsidRPr="00307AEA">
        <w:rPr>
          <w:rFonts w:asciiTheme="majorHAnsi" w:eastAsia="Times New Roman" w:hAnsiTheme="majorHAnsi"/>
          <w:sz w:val="20"/>
          <w:szCs w:val="20"/>
          <w:bdr w:val="none" w:sz="0" w:space="0" w:color="auto"/>
          <w:lang w:val="es-ES"/>
        </w:rPr>
        <w:t xml:space="preserve"> para examinar la denuncia, toda vez que en ella se alegan violaciones de derechos protegidos por la Convención Americana que habrían tenido lugar dentro del territorio de México, Estado parte a la Convención. La Comisión también tiene competencia </w:t>
      </w:r>
      <w:r w:rsidRPr="00307AEA">
        <w:rPr>
          <w:rFonts w:asciiTheme="majorHAnsi" w:eastAsia="Times New Roman" w:hAnsiTheme="majorHAnsi"/>
          <w:i/>
          <w:sz w:val="20"/>
          <w:szCs w:val="20"/>
          <w:bdr w:val="none" w:sz="0" w:space="0" w:color="auto"/>
          <w:lang w:val="es-ES"/>
        </w:rPr>
        <w:t>ratione materiae</w:t>
      </w:r>
      <w:r w:rsidRPr="00307AEA">
        <w:rPr>
          <w:rFonts w:asciiTheme="majorHAnsi" w:eastAsia="Times New Roman" w:hAnsiTheme="majorHAnsi"/>
          <w:sz w:val="20"/>
          <w:szCs w:val="20"/>
          <w:bdr w:val="none" w:sz="0" w:space="0" w:color="auto"/>
          <w:lang w:val="es-ES"/>
        </w:rPr>
        <w:t xml:space="preserve"> en este caso, en tanto la denuncia alega la posible violación de derechos humanos protegidos por la Convención Americana.</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Theme="majorHAnsi" w:eastAsia="Batang" w:hAnsiTheme="majorHAnsi" w:cs="Arial"/>
          <w:b/>
          <w:bCs/>
          <w:sz w:val="20"/>
          <w:szCs w:val="20"/>
          <w:bdr w:val="none" w:sz="0" w:space="0" w:color="auto"/>
          <w:lang w:val="es-ES"/>
        </w:rPr>
      </w:pPr>
      <w:r w:rsidRPr="00307AEA">
        <w:rPr>
          <w:rFonts w:asciiTheme="majorHAnsi" w:eastAsia="Batang" w:hAnsiTheme="majorHAnsi" w:cs="Arial"/>
          <w:b/>
          <w:bCs/>
          <w:sz w:val="20"/>
          <w:szCs w:val="20"/>
          <w:bdr w:val="none" w:sz="0" w:space="0" w:color="auto"/>
          <w:lang w:val="es-ES"/>
        </w:rPr>
        <w:t>C.</w:t>
      </w:r>
      <w:r w:rsidRPr="00307AEA">
        <w:rPr>
          <w:rFonts w:asciiTheme="majorHAnsi" w:eastAsia="Batang" w:hAnsiTheme="majorHAnsi" w:cs="Arial"/>
          <w:sz w:val="20"/>
          <w:szCs w:val="20"/>
          <w:bdr w:val="none" w:sz="0" w:space="0" w:color="auto"/>
          <w:lang w:val="es-ES"/>
        </w:rPr>
        <w:tab/>
      </w:r>
      <w:r w:rsidR="006A4BC4" w:rsidRPr="00307AEA">
        <w:rPr>
          <w:rFonts w:asciiTheme="majorHAnsi" w:eastAsia="Batang" w:hAnsiTheme="majorHAnsi" w:cs="Arial"/>
          <w:b/>
          <w:bCs/>
          <w:sz w:val="20"/>
          <w:szCs w:val="20"/>
          <w:bdr w:val="none" w:sz="0" w:space="0" w:color="auto"/>
          <w:lang w:val="es-ES"/>
        </w:rPr>
        <w:t>Requisitos de Admisibilidad</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307AEA" w:rsidRDefault="00920AC0" w:rsidP="00A4258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Theme="majorHAnsi" w:eastAsia="Batang" w:hAnsiTheme="majorHAnsi" w:cs="Arial"/>
          <w:b/>
          <w:bCs/>
          <w:sz w:val="20"/>
          <w:szCs w:val="20"/>
          <w:bdr w:val="none" w:sz="0" w:space="0" w:color="auto"/>
          <w:lang w:val="es-ES"/>
        </w:rPr>
      </w:pPr>
      <w:r w:rsidRPr="00307AEA">
        <w:rPr>
          <w:rFonts w:asciiTheme="majorHAnsi" w:eastAsia="Batang" w:hAnsiTheme="majorHAnsi"/>
          <w:b/>
          <w:bCs/>
          <w:sz w:val="20"/>
          <w:szCs w:val="20"/>
          <w:bdr w:val="none" w:sz="0" w:space="0" w:color="auto"/>
          <w:lang w:val="es-ES"/>
        </w:rPr>
        <w:t>Agotamiento de los recursos internos</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B45A55" w:rsidRPr="00307AEA" w:rsidRDefault="00920AC0"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 xml:space="preserve">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w:t>
      </w:r>
      <w:r w:rsidRPr="00307AEA">
        <w:rPr>
          <w:rFonts w:asciiTheme="majorHAnsi" w:eastAsia="Times New Roman" w:hAnsiTheme="majorHAnsi"/>
          <w:sz w:val="20"/>
          <w:szCs w:val="20"/>
          <w:bdr w:val="none" w:sz="0" w:space="0" w:color="auto"/>
          <w:lang w:val="es-ES_tradnl"/>
        </w:rPr>
        <w:t>Este requisito tiene como objeto permitir que las autoridades nacionales conozcan sobre la supuesta violación de un derecho protegido y, de ser apropiado, tener la oportunidad de solucionarla antes de que sea conocida p</w:t>
      </w:r>
      <w:r w:rsidR="006A4BC4" w:rsidRPr="00307AEA">
        <w:rPr>
          <w:rFonts w:asciiTheme="majorHAnsi" w:eastAsia="Times New Roman" w:hAnsiTheme="majorHAnsi"/>
          <w:sz w:val="20"/>
          <w:szCs w:val="20"/>
          <w:bdr w:val="none" w:sz="0" w:space="0" w:color="auto"/>
          <w:lang w:val="es-ES_tradnl"/>
        </w:rPr>
        <w:t>or una instancia internacional.</w:t>
      </w:r>
    </w:p>
    <w:p w:rsidR="00B45A55" w:rsidRPr="00307AEA" w:rsidRDefault="00B45A55"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B45A55" w:rsidRPr="00307AEA" w:rsidRDefault="00920AC0"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En el asunto bajo examen, la CIDH observa que las partes debaten con respecto al cumplimiento de este requisito convencional. El Estado alega la falta de agotamiento de recursos internos, dado que las presuntas víctimas no interpusieron un recurso de amparo contra la sentencia de segunda instancia del 16 de octubre de 2008, mediante la cual el Juez del Segundo Tribunal Unitario en Materia Penal del Séptimo Circuito los absolvió del delito de delincuencia organizada, confirmó la sanción por cohecho, y ordenó su liberación inmediata. Por su parte, la peticionaria sostiene que se interpusieron al menos cuatro recursos de amparo y dos recursos de apelación para la tutela del derecho a la libertad y garantías del debido proceso de las presuntas víctimas, ninguno de los cuales resultó efectivo.</w:t>
      </w:r>
    </w:p>
    <w:p w:rsidR="00B45A55" w:rsidRPr="00307AEA" w:rsidRDefault="00B45A55" w:rsidP="00A4258B">
      <w:pPr>
        <w:pStyle w:val="ListParagraph"/>
        <w:tabs>
          <w:tab w:val="num" w:pos="0"/>
        </w:tabs>
        <w:jc w:val="both"/>
        <w:rPr>
          <w:rFonts w:asciiTheme="majorHAnsi" w:eastAsia="Times New Roman" w:hAnsiTheme="majorHAnsi"/>
          <w:sz w:val="20"/>
          <w:szCs w:val="20"/>
          <w:bdr w:val="none" w:sz="0" w:space="0" w:color="auto"/>
          <w:lang w:val="es-ES"/>
        </w:rPr>
      </w:pPr>
    </w:p>
    <w:p w:rsidR="00920AC0" w:rsidRPr="00307AEA" w:rsidRDefault="00920AC0"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Del análisis de la información y los documentos aportados por las partes</w:t>
      </w:r>
      <w:r w:rsidRPr="00307AEA">
        <w:rPr>
          <w:rFonts w:asciiTheme="majorHAnsi" w:eastAsia="Times New Roman" w:hAnsiTheme="majorHAnsi"/>
          <w:bCs/>
          <w:sz w:val="20"/>
          <w:szCs w:val="20"/>
          <w:bdr w:val="none" w:sz="0" w:space="0" w:color="auto"/>
          <w:lang w:val="es-ES"/>
        </w:rPr>
        <w:t>, la CIDH advierte que las presuntas víctimas interpusieron en momentos distintos múltiples recursos para cuestionar las medidas de privación de la libertad personal. En efecto, la información a su alcance indica que, habiendo sido detenidos el 12 de enero de 2006, e</w:t>
      </w:r>
      <w:r w:rsidRPr="00307AEA">
        <w:rPr>
          <w:rFonts w:asciiTheme="majorHAnsi" w:eastAsia="Times New Roman" w:hAnsiTheme="majorHAnsi"/>
          <w:sz w:val="20"/>
          <w:szCs w:val="20"/>
          <w:bdr w:val="none" w:sz="0" w:space="0" w:color="auto"/>
          <w:lang w:val="es-ES"/>
        </w:rPr>
        <w:t>l 6 de marzo de 2006 interpusieron un recurso de amparo, identificado como 240/2006, reclamando la privación de libertad en su modalidad de arraigo, el cual habría sido sobreseído por el Juez Primero de Distrito de Amparos en Material Penal en el Distrito Federal al considerar que al momento de ser resuelto, las presuntas víctimas ya habían sido presentadas ante el juez del proceso. Asimismo, la Comisión nota que el 5 de abril de 2006 presentaron un recurso de amparo, identificado con el número 350/2006, dirigido a cuestionar la orden de detención emitida por la PGR fuera del procedimiento judicial, el cual fue denegado por el Juez Primero de Distrito de Amparos en Material Penal en el Distrito Federal al considerar que las presuntas víctimas estaban privad</w:t>
      </w:r>
      <w:r w:rsidR="00877851" w:rsidRPr="00307AEA">
        <w:rPr>
          <w:rFonts w:asciiTheme="majorHAnsi" w:eastAsia="Times New Roman" w:hAnsiTheme="majorHAnsi"/>
          <w:sz w:val="20"/>
          <w:szCs w:val="20"/>
          <w:bdr w:val="none" w:sz="0" w:space="0" w:color="auto"/>
          <w:lang w:val="es-ES"/>
        </w:rPr>
        <w:t>a</w:t>
      </w:r>
      <w:r w:rsidRPr="00307AEA">
        <w:rPr>
          <w:rFonts w:asciiTheme="majorHAnsi" w:eastAsia="Times New Roman" w:hAnsiTheme="majorHAnsi"/>
          <w:sz w:val="20"/>
          <w:szCs w:val="20"/>
          <w:bdr w:val="none" w:sz="0" w:space="0" w:color="auto"/>
          <w:lang w:val="es-ES"/>
        </w:rPr>
        <w:t>s de libertad con motivo de la medida de arraigo decretada por el Juez Décimo Cuarto de Distrito de Procesos Penales y Federales en el Distrito Federal. De acuerdo a la información aportada, esta decisión fue impugnada ante el Primer Tribunal Colegiado en Materia Penal en el Distrito Federal, el cual ratificó la resolución. Adicionalmente, se habría presentado el amparo 413/2006 contra la orden y autorización de traslado a un Centro Federal de Máxima Seguridad, el cual fue sobreseído por el Juez Primero de Distrito de Amparos en Materia</w:t>
      </w:r>
      <w:r w:rsidR="00B45A55" w:rsidRPr="00307AEA">
        <w:rPr>
          <w:rFonts w:asciiTheme="majorHAnsi" w:eastAsia="Times New Roman" w:hAnsiTheme="majorHAnsi"/>
          <w:sz w:val="20"/>
          <w:szCs w:val="20"/>
          <w:bdr w:val="none" w:sz="0" w:space="0" w:color="auto"/>
          <w:lang w:val="es-ES"/>
        </w:rPr>
        <w:t>l Penal en el Distrito Federal.</w:t>
      </w:r>
    </w:p>
    <w:p w:rsidR="00B45A55" w:rsidRPr="00307AEA" w:rsidRDefault="00B45A55"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307AEA" w:rsidRDefault="00920AC0"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Igualmente, la CIDH nota que en diferentes etapas del proceso, como por ejemplo, en los recursos de apelación y de amparo interpuestos, las presuntas víctimas impugnaron</w:t>
      </w:r>
      <w:r w:rsidRPr="00307AEA">
        <w:rPr>
          <w:rFonts w:asciiTheme="majorHAnsi" w:eastAsia="Times New Roman" w:hAnsiTheme="majorHAnsi"/>
          <w:bCs/>
          <w:sz w:val="20"/>
          <w:szCs w:val="20"/>
          <w:bdr w:val="none" w:sz="0" w:space="0" w:color="auto"/>
          <w:lang w:val="es-ES"/>
        </w:rPr>
        <w:t xml:space="preserve"> aspectos relacionados con las garantías del debido proceso. En particular, la información disponible indica que </w:t>
      </w:r>
      <w:r w:rsidRPr="00307AEA">
        <w:rPr>
          <w:rFonts w:asciiTheme="majorHAnsi" w:eastAsia="Times New Roman" w:hAnsiTheme="majorHAnsi"/>
          <w:sz w:val="20"/>
          <w:szCs w:val="20"/>
          <w:bdr w:val="none" w:sz="0" w:space="0" w:color="auto"/>
          <w:lang w:val="es-ES"/>
        </w:rPr>
        <w:t>el 15 de marzo de 2006 las presuntas víctimas presentaron un amparo, identificado con el número 279/2006, con el objetivo de reclamar la obstaculización del acceso por parte de su abogado a las actuaciones de la averiguación previa seguida en su contra. Dicho recurso fue sobreseído por el Juez Primero de Distrito de Amparos en Material Penal en el Distrito Federal porque, según lo afirmado por la peticionaria y no controvertido por el Estado, “al momento de resolverse ya habían sido consignados al Juez del Proceso”. Asimismo, la información aportada indica que las presuntas víctimas interpusieron un recurso de apelación contra el auto de formal prisión ante el Primer Tribunal Unitario en Materia Penal del Primer Circuito, el cual</w:t>
      </w:r>
      <w:r w:rsidRPr="00307AEA">
        <w:rPr>
          <w:rFonts w:asciiTheme="majorHAnsi" w:eastAsia="Times New Roman" w:hAnsiTheme="majorHAnsi"/>
          <w:sz w:val="20"/>
          <w:szCs w:val="20"/>
          <w:bdr w:val="none" w:sz="0" w:space="0" w:color="auto"/>
          <w:lang w:val="es-ES_tradnl"/>
        </w:rPr>
        <w:t xml:space="preserve"> resolvió reiterar</w:t>
      </w:r>
      <w:r w:rsidRPr="00307AEA">
        <w:rPr>
          <w:rFonts w:asciiTheme="majorHAnsi" w:eastAsia="Times New Roman" w:hAnsiTheme="majorHAnsi"/>
          <w:sz w:val="20"/>
          <w:szCs w:val="20"/>
          <w:bdr w:val="none" w:sz="0" w:space="0" w:color="auto"/>
          <w:lang w:val="es-ES"/>
        </w:rPr>
        <w:t xml:space="preserve"> </w:t>
      </w:r>
      <w:r w:rsidRPr="00307AEA">
        <w:rPr>
          <w:rFonts w:asciiTheme="majorHAnsi" w:eastAsia="Times New Roman" w:hAnsiTheme="majorHAnsi"/>
          <w:sz w:val="20"/>
          <w:szCs w:val="20"/>
          <w:bdr w:val="none" w:sz="0" w:space="0" w:color="auto"/>
          <w:lang w:val="es-ES_tradnl"/>
        </w:rPr>
        <w:t>los cargos por violación de la Ley Federal contra la Delincuencia Organizada y levantar la suspensión de los derechos políticos de los procesados.</w:t>
      </w:r>
      <w:r w:rsidRPr="00307AEA">
        <w:rPr>
          <w:rFonts w:asciiTheme="majorHAnsi" w:eastAsia="Times New Roman" w:hAnsiTheme="majorHAnsi"/>
          <w:sz w:val="20"/>
          <w:szCs w:val="20"/>
          <w:bdr w:val="none" w:sz="0" w:space="0" w:color="auto"/>
          <w:lang w:val="es-ES"/>
        </w:rPr>
        <w:t xml:space="preserve"> Adicionalmente, contra la sentencia condenatoria emitida el 14 de mayo de 2008 por el Juez del Juzgado Décimo Segundo de Distrito en Veracruz, las presuntas víctimas presentaron un recurso de apelación. Dicho recurso fue resuelto el 16 de octubre de 2008 por el Juez del Segundo Tribunal Unitario en Materia Penal del Séptimo Circuito, dictando la absolución de las presuntas víctimas por el delito de delincuencia organizada, y confirmando la sanción en cuanto al cohecho. La Comisión entiende que mediante esta sentencia de segunda instancia, parcialmente absolutoria, el proceso penal contra las presuntas víctimas quedó agotado.</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307AEA" w:rsidRDefault="00920AC0"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_tradnl"/>
        </w:rPr>
      </w:pPr>
      <w:r w:rsidRPr="00307AEA">
        <w:rPr>
          <w:rFonts w:asciiTheme="majorHAnsi" w:eastAsia="Times New Roman" w:hAnsiTheme="majorHAnsi"/>
          <w:sz w:val="20"/>
          <w:szCs w:val="20"/>
          <w:bdr w:val="none" w:sz="0" w:space="0" w:color="auto"/>
          <w:lang w:val="es-ES_tradnl"/>
        </w:rPr>
        <w:t xml:space="preserve">En el presente asunto, el Estado alegó que si las presuntas víctimas </w:t>
      </w:r>
      <w:r w:rsidRPr="00307AEA">
        <w:rPr>
          <w:rFonts w:asciiTheme="majorHAnsi" w:eastAsia="Times New Roman" w:hAnsiTheme="majorHAnsi"/>
          <w:sz w:val="20"/>
          <w:szCs w:val="20"/>
          <w:bdr w:val="none" w:sz="0" w:space="0" w:color="auto"/>
          <w:lang w:val="es-ES"/>
        </w:rPr>
        <w:t xml:space="preserve">consideraban que esta resolución afectaba sus derechos, </w:t>
      </w:r>
      <w:r w:rsidRPr="00307AEA">
        <w:rPr>
          <w:rFonts w:asciiTheme="majorHAnsi" w:eastAsia="Times New Roman" w:hAnsiTheme="majorHAnsi"/>
          <w:sz w:val="20"/>
          <w:szCs w:val="20"/>
          <w:bdr w:val="none" w:sz="0" w:space="0" w:color="auto"/>
          <w:lang w:val="es-ES_tradnl"/>
        </w:rPr>
        <w:t xml:space="preserve">debieron interponer un recurso de amparo que permitiría </w:t>
      </w:r>
      <w:r w:rsidRPr="00307AEA">
        <w:rPr>
          <w:rFonts w:asciiTheme="majorHAnsi" w:eastAsia="Times New Roman" w:hAnsiTheme="majorHAnsi"/>
          <w:sz w:val="20"/>
          <w:szCs w:val="20"/>
          <w:bdr w:val="none" w:sz="0" w:space="0" w:color="auto"/>
          <w:lang w:val="es-ES"/>
        </w:rPr>
        <w:t xml:space="preserve">cuestionar </w:t>
      </w:r>
      <w:r w:rsidRPr="00307AEA">
        <w:rPr>
          <w:rFonts w:asciiTheme="majorHAnsi" w:eastAsia="Times New Roman" w:hAnsiTheme="majorHAnsi"/>
          <w:sz w:val="20"/>
          <w:szCs w:val="20"/>
          <w:bdr w:val="none" w:sz="0" w:space="0" w:color="auto"/>
          <w:lang w:val="es-ES_tradnl"/>
        </w:rPr>
        <w:t>este acto jurídico</w:t>
      </w:r>
      <w:r w:rsidRPr="00307AEA">
        <w:rPr>
          <w:rFonts w:asciiTheme="majorHAnsi" w:eastAsia="Times New Roman" w:hAnsiTheme="majorHAnsi"/>
          <w:sz w:val="20"/>
          <w:szCs w:val="20"/>
          <w:bdr w:val="none" w:sz="0" w:space="0" w:color="auto"/>
          <w:lang w:val="es-ES"/>
        </w:rPr>
        <w:t xml:space="preserve">. Sobre el particular, la Comisión observa que las violaciones de derechos que la peticionaria alega no se derivarían de dicha sentencia, sino de </w:t>
      </w:r>
      <w:r w:rsidRPr="00307AEA">
        <w:rPr>
          <w:rFonts w:asciiTheme="majorHAnsi" w:eastAsia="Times New Roman" w:hAnsiTheme="majorHAnsi"/>
          <w:sz w:val="20"/>
          <w:szCs w:val="20"/>
          <w:bdr w:val="none" w:sz="0" w:space="0" w:color="auto"/>
          <w:lang w:val="es-ES_tradnl"/>
        </w:rPr>
        <w:t>una secuencia de</w:t>
      </w:r>
      <w:r w:rsidR="00B45A55" w:rsidRPr="00307AEA">
        <w:rPr>
          <w:rFonts w:asciiTheme="majorHAnsi" w:eastAsia="Times New Roman" w:hAnsiTheme="majorHAnsi"/>
          <w:sz w:val="20"/>
          <w:szCs w:val="20"/>
          <w:bdr w:val="none" w:sz="0" w:space="0" w:color="auto"/>
          <w:lang w:val="es-ES_tradnl"/>
        </w:rPr>
        <w:t xml:space="preserve"> supuestos</w:t>
      </w:r>
      <w:r w:rsidRPr="00307AEA">
        <w:rPr>
          <w:rFonts w:asciiTheme="majorHAnsi" w:eastAsia="Times New Roman" w:hAnsiTheme="majorHAnsi"/>
          <w:sz w:val="20"/>
          <w:szCs w:val="20"/>
          <w:bdr w:val="none" w:sz="0" w:space="0" w:color="auto"/>
          <w:lang w:val="es-ES_tradnl"/>
        </w:rPr>
        <w:t xml:space="preserve"> hechos a lo largo de </w:t>
      </w:r>
      <w:r w:rsidRPr="00307AEA">
        <w:rPr>
          <w:rFonts w:asciiTheme="majorHAnsi" w:eastAsia="Times New Roman" w:hAnsiTheme="majorHAnsi"/>
          <w:sz w:val="20"/>
          <w:szCs w:val="20"/>
          <w:bdr w:val="none" w:sz="0" w:space="0" w:color="auto"/>
          <w:lang w:val="es-ES"/>
        </w:rPr>
        <w:t xml:space="preserve">su detención supuestamente arbitraria, arraigo y presuntas irregularidades del proceso penal al que fueron sujetos, alegaciones respecto de las cuales la CIDH observa que las presuntas víctimas agotaron los recursos ordinarios y presentaron al menos cuatro recursos de amparo que fueron denegados o sobreseídos. A partir de la información a su alcance, la Comisión nota que </w:t>
      </w:r>
      <w:r w:rsidRPr="00307AEA">
        <w:rPr>
          <w:rFonts w:asciiTheme="majorHAnsi" w:eastAsia="Times New Roman" w:hAnsiTheme="majorHAnsi"/>
          <w:sz w:val="20"/>
          <w:szCs w:val="20"/>
          <w:bdr w:val="none" w:sz="0" w:space="0" w:color="auto"/>
          <w:lang w:val="es-ES_tradnl"/>
        </w:rPr>
        <w:t xml:space="preserve">el resultado de la condena por cohecho contenido en la </w:t>
      </w:r>
      <w:r w:rsidRPr="00307AEA">
        <w:rPr>
          <w:rFonts w:asciiTheme="majorHAnsi" w:eastAsia="Times New Roman" w:hAnsiTheme="majorHAnsi"/>
          <w:sz w:val="20"/>
          <w:szCs w:val="20"/>
          <w:bdr w:val="none" w:sz="0" w:space="0" w:color="auto"/>
          <w:lang w:val="es-ES_tradnl"/>
        </w:rPr>
        <w:lastRenderedPageBreak/>
        <w:t>sentencia de segunda instancia</w:t>
      </w:r>
      <w:r w:rsidRPr="00307AEA">
        <w:rPr>
          <w:rFonts w:asciiTheme="majorHAnsi" w:eastAsia="Times New Roman" w:hAnsiTheme="majorHAnsi"/>
          <w:sz w:val="20"/>
          <w:szCs w:val="20"/>
          <w:bdr w:val="none" w:sz="0" w:space="0" w:color="auto"/>
          <w:lang w:val="es-ES"/>
        </w:rPr>
        <w:t xml:space="preserve">, habría sido aceptado </w:t>
      </w:r>
      <w:r w:rsidRPr="00307AEA">
        <w:rPr>
          <w:rFonts w:asciiTheme="majorHAnsi" w:eastAsia="Times New Roman" w:hAnsiTheme="majorHAnsi"/>
          <w:sz w:val="20"/>
          <w:szCs w:val="20"/>
          <w:bdr w:val="none" w:sz="0" w:space="0" w:color="auto"/>
          <w:lang w:val="es-ES_tradnl"/>
        </w:rPr>
        <w:t>por las presuntas víctimas, dada su falta de cuestionamiento a nivel interno, por lo que la CIDH considera dicho extremo excluido de la etapa de fondo.</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_tradnl"/>
        </w:rPr>
      </w:pPr>
    </w:p>
    <w:p w:rsidR="00920AC0" w:rsidRPr="00307AEA" w:rsidRDefault="00920AC0"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_tradnl"/>
        </w:rPr>
      </w:pPr>
      <w:r w:rsidRPr="00307AEA">
        <w:rPr>
          <w:rFonts w:asciiTheme="majorHAnsi" w:eastAsia="Times New Roman" w:hAnsiTheme="majorHAnsi"/>
          <w:color w:val="000000"/>
          <w:sz w:val="20"/>
          <w:szCs w:val="20"/>
          <w:bdr w:val="none" w:sz="0" w:space="0" w:color="auto"/>
          <w:lang w:val="es-ES_tradnl"/>
        </w:rPr>
        <w:t>Teniendo</w:t>
      </w:r>
      <w:r w:rsidRPr="00307AEA">
        <w:rPr>
          <w:rFonts w:asciiTheme="majorHAnsi" w:eastAsia="Times New Roman" w:hAnsiTheme="majorHAnsi"/>
          <w:color w:val="000000"/>
          <w:sz w:val="20"/>
          <w:szCs w:val="20"/>
          <w:bdr w:val="none" w:sz="0" w:space="0" w:color="auto"/>
          <w:lang w:val="es-ES"/>
        </w:rPr>
        <w:t xml:space="preserve"> en cuenta </w:t>
      </w:r>
      <w:r w:rsidRPr="00307AEA">
        <w:rPr>
          <w:rFonts w:asciiTheme="majorHAnsi" w:eastAsia="Times New Roman" w:hAnsiTheme="majorHAnsi"/>
          <w:sz w:val="20"/>
          <w:szCs w:val="20"/>
          <w:bdr w:val="none" w:sz="0" w:space="0" w:color="auto"/>
          <w:lang w:val="es-ES"/>
        </w:rPr>
        <w:t>los recursos interpuestos y agotados con relación al asunto materia de la petición</w:t>
      </w:r>
      <w:r w:rsidRPr="00307AEA">
        <w:rPr>
          <w:rFonts w:asciiTheme="majorHAnsi" w:eastAsia="Times New Roman" w:hAnsiTheme="majorHAnsi"/>
          <w:color w:val="000000"/>
          <w:sz w:val="20"/>
          <w:szCs w:val="20"/>
          <w:bdr w:val="none" w:sz="0" w:space="0" w:color="auto"/>
          <w:lang w:val="es-ES"/>
        </w:rPr>
        <w:t xml:space="preserve">, </w:t>
      </w:r>
      <w:r w:rsidRPr="00307AEA">
        <w:rPr>
          <w:rFonts w:asciiTheme="majorHAnsi" w:eastAsia="Times New Roman" w:hAnsiTheme="majorHAnsi"/>
          <w:sz w:val="20"/>
          <w:szCs w:val="20"/>
          <w:bdr w:val="none" w:sz="0" w:space="0" w:color="auto"/>
          <w:lang w:val="es-ES"/>
        </w:rPr>
        <w:t xml:space="preserve">con base en el artículo 46 de la Convención, la Comisión concluye que el requisito de previo agotamiento se encuentra satisfecho, en los términos señalados. En consecuencia, la </w:t>
      </w:r>
      <w:r w:rsidR="00FF69E4" w:rsidRPr="00307AEA">
        <w:rPr>
          <w:rFonts w:asciiTheme="majorHAnsi" w:eastAsia="Times New Roman" w:hAnsiTheme="majorHAnsi"/>
          <w:sz w:val="20"/>
          <w:szCs w:val="20"/>
          <w:bdr w:val="none" w:sz="0" w:space="0" w:color="auto"/>
          <w:lang w:val="es-ES"/>
        </w:rPr>
        <w:t>CIDH</w:t>
      </w:r>
      <w:r w:rsidRPr="00307AEA">
        <w:rPr>
          <w:rFonts w:asciiTheme="majorHAnsi" w:eastAsia="Times New Roman" w:hAnsiTheme="majorHAnsi"/>
          <w:sz w:val="20"/>
          <w:szCs w:val="20"/>
          <w:bdr w:val="none" w:sz="0" w:space="0" w:color="auto"/>
          <w:lang w:val="es-ES"/>
        </w:rPr>
        <w:t xml:space="preserve"> verifica que se han agotado los recursos previstos por la legislación mexicana y determina que la petición analizada cumple el requisito exigido en el artículo 46.1.a de la Convención.</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color w:val="000000"/>
          <w:sz w:val="20"/>
          <w:szCs w:val="20"/>
          <w:bdr w:val="none" w:sz="0" w:space="0" w:color="auto"/>
          <w:lang w:val="es-ES_tradnl"/>
        </w:rPr>
      </w:pPr>
    </w:p>
    <w:p w:rsidR="00920AC0" w:rsidRPr="00307AEA" w:rsidRDefault="00920AC0" w:rsidP="00A4258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Theme="majorHAnsi" w:eastAsia="Batang" w:hAnsiTheme="majorHAnsi"/>
          <w:b/>
          <w:bCs/>
          <w:sz w:val="20"/>
          <w:szCs w:val="20"/>
          <w:bdr w:val="none" w:sz="0" w:space="0" w:color="auto"/>
          <w:lang w:val="es-ES"/>
        </w:rPr>
      </w:pPr>
      <w:r w:rsidRPr="00307AEA">
        <w:rPr>
          <w:rFonts w:asciiTheme="majorHAnsi" w:eastAsia="Batang" w:hAnsiTheme="majorHAnsi"/>
          <w:b/>
          <w:bCs/>
          <w:sz w:val="20"/>
          <w:szCs w:val="20"/>
          <w:bdr w:val="none" w:sz="0" w:space="0" w:color="auto"/>
          <w:lang w:val="es-ES"/>
        </w:rPr>
        <w:t>Plazo de presentación de la petición</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056BE5" w:rsidRPr="00307AEA" w:rsidRDefault="00920AC0"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UY"/>
        </w:rPr>
      </w:pPr>
      <w:r w:rsidRPr="00307AEA">
        <w:rPr>
          <w:rFonts w:asciiTheme="majorHAnsi" w:eastAsia="Times New Roman" w:hAnsiTheme="majorHAnsi"/>
          <w:sz w:val="20"/>
          <w:szCs w:val="20"/>
          <w:bdr w:val="none" w:sz="0" w:space="0" w:color="auto"/>
          <w:lang w:val="es-ES"/>
        </w:rPr>
        <w:t xml:space="preserve">El artículo 46.1 de la Convención Americana dispone que para ser admisible, una petición debe, entre otras cosas, ser </w:t>
      </w:r>
      <w:r w:rsidR="00FF69E4" w:rsidRPr="00307AEA">
        <w:rPr>
          <w:rFonts w:asciiTheme="majorHAnsi" w:eastAsia="Times New Roman" w:hAnsiTheme="majorHAnsi"/>
          <w:sz w:val="20"/>
          <w:szCs w:val="20"/>
          <w:bdr w:val="none" w:sz="0" w:space="0" w:color="auto"/>
          <w:lang w:val="es-ES"/>
        </w:rPr>
        <w:t xml:space="preserve">presentada </w:t>
      </w:r>
      <w:r w:rsidRPr="00307AEA">
        <w:rPr>
          <w:rFonts w:asciiTheme="majorHAnsi" w:eastAsia="Times New Roman" w:hAnsiTheme="majorHAnsi"/>
          <w:sz w:val="20"/>
          <w:szCs w:val="20"/>
          <w:bdr w:val="none" w:sz="0" w:space="0" w:color="auto"/>
          <w:lang w:val="es-ES"/>
        </w:rPr>
        <w:t>dentro del plazo de seis meses, a partir de la fecha en que el presunto lesionado en sus derechos haya sido notif</w:t>
      </w:r>
      <w:r w:rsidR="00FF69E4" w:rsidRPr="00307AEA">
        <w:rPr>
          <w:rFonts w:asciiTheme="majorHAnsi" w:eastAsia="Times New Roman" w:hAnsiTheme="majorHAnsi"/>
          <w:sz w:val="20"/>
          <w:szCs w:val="20"/>
          <w:bdr w:val="none" w:sz="0" w:space="0" w:color="auto"/>
          <w:lang w:val="es-ES"/>
        </w:rPr>
        <w:t>icado de la decisión definitiva</w:t>
      </w:r>
      <w:r w:rsidRPr="00307AEA">
        <w:rPr>
          <w:rFonts w:asciiTheme="majorHAnsi" w:eastAsia="Times New Roman" w:hAnsiTheme="majorHAnsi"/>
          <w:sz w:val="20"/>
          <w:szCs w:val="20"/>
          <w:bdr w:val="none" w:sz="0" w:space="0" w:color="auto"/>
          <w:lang w:val="es-ES"/>
        </w:rPr>
        <w:t xml:space="preserve">. En el presente asunto, </w:t>
      </w:r>
      <w:r w:rsidR="00056BE5" w:rsidRPr="00307AEA">
        <w:rPr>
          <w:rFonts w:asciiTheme="majorHAnsi" w:eastAsia="Times New Roman" w:hAnsiTheme="majorHAnsi"/>
          <w:sz w:val="20"/>
          <w:szCs w:val="20"/>
          <w:bdr w:val="none" w:sz="0" w:space="0" w:color="auto"/>
          <w:lang w:val="es-UY"/>
        </w:rPr>
        <w:t xml:space="preserve">la petición ante la CIDH fue presentada el </w:t>
      </w:r>
      <w:r w:rsidR="00056BE5" w:rsidRPr="00307AEA">
        <w:rPr>
          <w:rFonts w:asciiTheme="majorHAnsi" w:eastAsia="Times New Roman" w:hAnsiTheme="majorHAnsi"/>
          <w:sz w:val="20"/>
          <w:szCs w:val="20"/>
          <w:bdr w:val="none" w:sz="0" w:space="0" w:color="auto"/>
          <w:lang w:val="es-ES"/>
        </w:rPr>
        <w:t>23 de febrero de 2007</w:t>
      </w:r>
      <w:r w:rsidR="00056BE5" w:rsidRPr="00307AEA">
        <w:rPr>
          <w:rFonts w:asciiTheme="majorHAnsi" w:eastAsia="Times New Roman" w:hAnsiTheme="majorHAnsi"/>
          <w:sz w:val="20"/>
          <w:szCs w:val="20"/>
          <w:bdr w:val="none" w:sz="0" w:space="0" w:color="auto"/>
          <w:lang w:val="es-UY"/>
        </w:rPr>
        <w:t xml:space="preserve"> y los recursos internos fueron agotados el </w:t>
      </w:r>
      <w:r w:rsidR="00056BE5" w:rsidRPr="00307AEA">
        <w:rPr>
          <w:rFonts w:asciiTheme="majorHAnsi" w:eastAsia="Times New Roman" w:hAnsiTheme="majorHAnsi"/>
          <w:sz w:val="20"/>
          <w:szCs w:val="20"/>
          <w:bdr w:val="none" w:sz="0" w:space="0" w:color="auto"/>
          <w:lang w:val="es-ES"/>
        </w:rPr>
        <w:t>16 de octubre de 2008</w:t>
      </w:r>
      <w:r w:rsidR="00056BE5" w:rsidRPr="00307AEA">
        <w:rPr>
          <w:rFonts w:asciiTheme="majorHAnsi" w:eastAsia="Times New Roman" w:hAnsiTheme="majorHAnsi"/>
          <w:sz w:val="20"/>
          <w:szCs w:val="20"/>
          <w:bdr w:val="none" w:sz="0" w:space="0" w:color="auto"/>
          <w:lang w:val="es-UY"/>
        </w:rPr>
        <w:t xml:space="preserve"> con la sentencia </w:t>
      </w:r>
      <w:r w:rsidR="00056BE5" w:rsidRPr="00307AEA">
        <w:rPr>
          <w:rFonts w:asciiTheme="majorHAnsi" w:eastAsia="Times New Roman" w:hAnsiTheme="majorHAnsi"/>
          <w:sz w:val="20"/>
          <w:szCs w:val="20"/>
          <w:bdr w:val="none" w:sz="0" w:space="0" w:color="auto"/>
          <w:lang w:val="es-ES"/>
        </w:rPr>
        <w:t>del Segundo Tribunal Unitario en Materia Penal del Séptimo Circuito que resolvió el recurso de apelación</w:t>
      </w:r>
      <w:r w:rsidR="00056BE5" w:rsidRPr="00307AEA">
        <w:rPr>
          <w:rFonts w:asciiTheme="majorHAnsi" w:eastAsia="Times New Roman" w:hAnsiTheme="majorHAnsi"/>
          <w:sz w:val="20"/>
          <w:szCs w:val="20"/>
          <w:bdr w:val="none" w:sz="0" w:space="0" w:color="auto"/>
          <w:lang w:val="es-UY"/>
        </w:rPr>
        <w:t xml:space="preserve">. Por lo tanto, </w:t>
      </w:r>
      <w:r w:rsidR="00056BE5" w:rsidRPr="00307AEA">
        <w:rPr>
          <w:rFonts w:asciiTheme="majorHAnsi" w:eastAsia="Times New Roman" w:hAnsiTheme="majorHAnsi"/>
          <w:sz w:val="20"/>
          <w:szCs w:val="20"/>
          <w:bdr w:val="none" w:sz="0" w:space="0" w:color="auto"/>
          <w:lang w:val="es-ES"/>
        </w:rPr>
        <w:t>el agotamiento de los recursos internos se dio mientras el caso se hallaba bajo estudio de admisibilidad. En estas circunstancias, ha sido criterio constante de la Comisión que el cumplimiento del requisito de presentación de la petición en plazo se encuentra intrínsecamente ligado al agotamiento de los recursos internos y, por lo tanto, corresponde darlo por cumplido</w:t>
      </w:r>
      <w:r w:rsidR="00056BE5" w:rsidRPr="00307AEA">
        <w:rPr>
          <w:rFonts w:asciiTheme="majorHAnsi" w:eastAsia="Times New Roman" w:hAnsiTheme="majorHAnsi"/>
          <w:sz w:val="20"/>
          <w:szCs w:val="20"/>
          <w:bdr w:val="none" w:sz="0" w:space="0" w:color="auto"/>
          <w:vertAlign w:val="superscript"/>
          <w:lang w:val="es-ES"/>
        </w:rPr>
        <w:footnoteReference w:id="5"/>
      </w:r>
      <w:r w:rsidR="00056BE5" w:rsidRPr="00307AEA">
        <w:rPr>
          <w:rFonts w:asciiTheme="majorHAnsi" w:eastAsia="Times New Roman" w:hAnsiTheme="majorHAnsi"/>
          <w:sz w:val="20"/>
          <w:szCs w:val="20"/>
          <w:bdr w:val="none" w:sz="0" w:space="0" w:color="auto"/>
          <w:lang w:val="es-ES"/>
        </w:rPr>
        <w:t>.</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307AEA" w:rsidRDefault="00920AC0" w:rsidP="00A4258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Theme="majorHAnsi" w:eastAsia="Batang" w:hAnsiTheme="majorHAnsi"/>
          <w:b/>
          <w:bCs/>
          <w:sz w:val="20"/>
          <w:szCs w:val="20"/>
          <w:bdr w:val="none" w:sz="0" w:space="0" w:color="auto"/>
          <w:lang w:val="es-ES"/>
        </w:rPr>
      </w:pPr>
      <w:r w:rsidRPr="00307AEA">
        <w:rPr>
          <w:rFonts w:asciiTheme="majorHAnsi" w:eastAsia="Batang" w:hAnsiTheme="majorHAnsi"/>
          <w:b/>
          <w:bCs/>
          <w:sz w:val="20"/>
          <w:szCs w:val="20"/>
          <w:bdr w:val="none" w:sz="0" w:space="0" w:color="auto"/>
          <w:lang w:val="es-ES"/>
        </w:rPr>
        <w:t>Duplicación de procedimientos y cosa juzgada internacional</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8B29C4" w:rsidRDefault="00920AC0"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CL"/>
        </w:rPr>
        <w:t xml:space="preserve">A los efectos de declarar admisible una petición, la Convención exige en su artículo 46.1.c, que la materia de la misma no esté pendiente de otro procedimiento de arreglo internacional y, en su artículo 47.d, que no reproduzca el contenido de una petición ya examinada por éste u otro organismo internacional. </w:t>
      </w:r>
      <w:r w:rsidRPr="00307AEA">
        <w:rPr>
          <w:rFonts w:asciiTheme="majorHAnsi" w:eastAsia="Times New Roman" w:hAnsiTheme="majorHAnsi" w:cs="Arial"/>
          <w:sz w:val="20"/>
          <w:szCs w:val="20"/>
          <w:bdr w:val="none" w:sz="0" w:space="0" w:color="auto"/>
          <w:lang w:val="es-CL"/>
        </w:rPr>
        <w:t xml:space="preserve">De la información aportada por la peticionaria, la CIDH nota que </w:t>
      </w:r>
      <w:r w:rsidRPr="00307AEA">
        <w:rPr>
          <w:rFonts w:asciiTheme="majorHAnsi" w:eastAsia="Times New Roman" w:hAnsiTheme="majorHAnsi"/>
          <w:sz w:val="20"/>
          <w:szCs w:val="20"/>
          <w:bdr w:val="none" w:sz="0" w:space="0" w:color="auto"/>
          <w:lang w:val="es-ES"/>
        </w:rPr>
        <w:t xml:space="preserve">el Grupo de Trabajo sobre la Detención Arbitraria de la Organización de las Naciones Unidas </w:t>
      </w:r>
      <w:r w:rsidR="00BD05A0">
        <w:rPr>
          <w:rFonts w:asciiTheme="majorHAnsi" w:eastAsia="Times New Roman" w:hAnsiTheme="majorHAnsi"/>
          <w:sz w:val="20"/>
          <w:szCs w:val="20"/>
          <w:bdr w:val="none" w:sz="0" w:space="0" w:color="auto"/>
          <w:lang w:val="es-ES"/>
        </w:rPr>
        <w:t xml:space="preserve">(en adelante </w:t>
      </w:r>
      <w:r w:rsidR="002C44DC">
        <w:rPr>
          <w:rFonts w:asciiTheme="majorHAnsi" w:eastAsia="Times New Roman" w:hAnsiTheme="majorHAnsi"/>
          <w:sz w:val="20"/>
          <w:szCs w:val="20"/>
          <w:bdr w:val="none" w:sz="0" w:space="0" w:color="auto"/>
          <w:lang w:val="es-ES"/>
        </w:rPr>
        <w:t>“</w:t>
      </w:r>
      <w:r w:rsidR="00BD05A0">
        <w:rPr>
          <w:rFonts w:asciiTheme="majorHAnsi" w:eastAsia="Times New Roman" w:hAnsiTheme="majorHAnsi"/>
          <w:sz w:val="20"/>
          <w:szCs w:val="20"/>
          <w:bdr w:val="none" w:sz="0" w:space="0" w:color="auto"/>
          <w:lang w:val="es-ES"/>
        </w:rPr>
        <w:t>Grupo de Trabajo</w:t>
      </w:r>
      <w:r w:rsidR="002C44DC">
        <w:rPr>
          <w:rFonts w:asciiTheme="majorHAnsi" w:eastAsia="Times New Roman" w:hAnsiTheme="majorHAnsi"/>
          <w:sz w:val="20"/>
          <w:szCs w:val="20"/>
          <w:bdr w:val="none" w:sz="0" w:space="0" w:color="auto"/>
          <w:lang w:val="es-ES"/>
        </w:rPr>
        <w:t>”</w:t>
      </w:r>
      <w:r w:rsidR="00BD05A0">
        <w:rPr>
          <w:rFonts w:asciiTheme="majorHAnsi" w:eastAsia="Times New Roman" w:hAnsiTheme="majorHAnsi"/>
          <w:sz w:val="20"/>
          <w:szCs w:val="20"/>
          <w:bdr w:val="none" w:sz="0" w:space="0" w:color="auto"/>
          <w:lang w:val="es-ES"/>
        </w:rPr>
        <w:t xml:space="preserve">) </w:t>
      </w:r>
      <w:r w:rsidRPr="00307AEA">
        <w:rPr>
          <w:rFonts w:asciiTheme="majorHAnsi" w:eastAsia="Times New Roman" w:hAnsiTheme="majorHAnsi"/>
          <w:sz w:val="20"/>
          <w:szCs w:val="20"/>
          <w:bdr w:val="none" w:sz="0" w:space="0" w:color="auto"/>
          <w:lang w:val="es-ES"/>
        </w:rPr>
        <w:t xml:space="preserve">emitió una opinión el 11 de abril de 2007 en la que manifestó que la detención de Jorge Marcial Tzompaxtle Tecpile, Gerardo Tzompaxtle Tecpile y Gustavo Robles López era arbitraria, y solicitó al Estado </w:t>
      </w:r>
      <w:r w:rsidR="00BD05A0">
        <w:rPr>
          <w:rFonts w:asciiTheme="majorHAnsi" w:eastAsia="Times New Roman" w:hAnsiTheme="majorHAnsi"/>
          <w:sz w:val="20"/>
          <w:szCs w:val="20"/>
          <w:bdr w:val="none" w:sz="0" w:space="0" w:color="auto"/>
          <w:lang w:val="es-ES"/>
        </w:rPr>
        <w:t xml:space="preserve">que </w:t>
      </w:r>
      <w:r w:rsidRPr="00307AEA">
        <w:rPr>
          <w:rFonts w:asciiTheme="majorHAnsi" w:eastAsia="Times New Roman" w:hAnsiTheme="majorHAnsi"/>
          <w:sz w:val="20"/>
          <w:szCs w:val="20"/>
          <w:bdr w:val="none" w:sz="0" w:space="0" w:color="auto"/>
          <w:lang w:val="es-ES"/>
        </w:rPr>
        <w:t xml:space="preserve">“adopte las medidas necesarias para remediar la situación, conforme a las normas y principios del Pacto Internacional de Derechos Civiles y Políticos”. </w:t>
      </w:r>
      <w:r w:rsidR="00BD05A0">
        <w:rPr>
          <w:rFonts w:asciiTheme="majorHAnsi" w:eastAsia="Times New Roman" w:hAnsiTheme="majorHAnsi"/>
          <w:sz w:val="20"/>
          <w:szCs w:val="20"/>
          <w:bdr w:val="none" w:sz="0" w:space="0" w:color="auto"/>
          <w:lang w:val="es-ES"/>
        </w:rPr>
        <w:t>Por su parte, e</w:t>
      </w:r>
      <w:r w:rsidRPr="00307AEA">
        <w:rPr>
          <w:rFonts w:asciiTheme="majorHAnsi" w:eastAsia="Times New Roman" w:hAnsiTheme="majorHAnsi"/>
          <w:sz w:val="20"/>
          <w:szCs w:val="20"/>
          <w:bdr w:val="none" w:sz="0" w:space="0" w:color="auto"/>
          <w:lang w:val="es-ES"/>
        </w:rPr>
        <w:t>l Estado no alegó que exista duplicación de procedimiento</w:t>
      </w:r>
      <w:r w:rsidR="008B29C4">
        <w:rPr>
          <w:rFonts w:asciiTheme="majorHAnsi" w:eastAsia="Times New Roman" w:hAnsiTheme="majorHAnsi"/>
          <w:sz w:val="20"/>
          <w:szCs w:val="20"/>
          <w:bdr w:val="none" w:sz="0" w:space="0" w:color="auto"/>
          <w:lang w:val="es-ES"/>
        </w:rPr>
        <w:t>s o cosa juzgada internacional.</w:t>
      </w:r>
    </w:p>
    <w:p w:rsidR="008B29C4" w:rsidRDefault="008B29C4"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720"/>
        <w:jc w:val="both"/>
        <w:rPr>
          <w:rFonts w:asciiTheme="majorHAnsi" w:eastAsia="Times New Roman" w:hAnsiTheme="majorHAnsi"/>
          <w:sz w:val="20"/>
          <w:szCs w:val="20"/>
          <w:bdr w:val="none" w:sz="0" w:space="0" w:color="auto"/>
          <w:lang w:val="es-ES"/>
        </w:rPr>
      </w:pPr>
    </w:p>
    <w:p w:rsidR="00010291" w:rsidRPr="00627100" w:rsidRDefault="00550A48"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0" w:firstLine="720"/>
        <w:jc w:val="both"/>
        <w:rPr>
          <w:rFonts w:asciiTheme="majorHAnsi" w:eastAsia="Times New Roman" w:hAnsiTheme="majorHAnsi"/>
          <w:sz w:val="20"/>
          <w:szCs w:val="20"/>
          <w:bdr w:val="none" w:sz="0" w:space="0" w:color="auto"/>
          <w:lang w:val="es-ES"/>
        </w:rPr>
      </w:pPr>
      <w:r w:rsidRPr="00627100">
        <w:rPr>
          <w:rFonts w:asciiTheme="majorHAnsi" w:eastAsia="Times New Roman" w:hAnsiTheme="majorHAnsi"/>
          <w:sz w:val="20"/>
          <w:szCs w:val="20"/>
          <w:bdr w:val="none" w:sz="0" w:space="0" w:color="auto"/>
          <w:lang w:val="es-ES_tradnl"/>
        </w:rPr>
        <w:t>Para que se considere que en un caso hay duplicación o cosa juzgada internacional, además de identidad de sujetos, objeto y pretensión, se requiere que la petición esté siendo considerada, o haya sido decidida, por un organismo internacional que tenga competencia para adoptar decisiones sobre los hechos específicos contenidos en la petición, y medidas tendientes a la efectiva resolución de la disputa de que se trate</w:t>
      </w:r>
      <w:r w:rsidR="004C0842" w:rsidRPr="00627100">
        <w:rPr>
          <w:rFonts w:asciiTheme="majorHAnsi" w:eastAsia="Times New Roman" w:hAnsiTheme="majorHAnsi"/>
          <w:sz w:val="20"/>
          <w:szCs w:val="20"/>
          <w:bdr w:val="none" w:sz="0" w:space="0" w:color="auto"/>
          <w:vertAlign w:val="superscript"/>
          <w:lang w:val="es-CL"/>
        </w:rPr>
        <w:footnoteReference w:id="6"/>
      </w:r>
      <w:r w:rsidRPr="00627100">
        <w:rPr>
          <w:rFonts w:asciiTheme="majorHAnsi" w:eastAsia="Times New Roman" w:hAnsiTheme="majorHAnsi"/>
          <w:sz w:val="20"/>
          <w:szCs w:val="20"/>
          <w:bdr w:val="none" w:sz="0" w:space="0" w:color="auto"/>
          <w:lang w:val="es-ES_tradnl"/>
        </w:rPr>
        <w:t>.</w:t>
      </w:r>
    </w:p>
    <w:p w:rsidR="00010291" w:rsidRPr="00627100" w:rsidRDefault="00010291" w:rsidP="00A4258B">
      <w:pPr>
        <w:tabs>
          <w:tab w:val="num" w:pos="0"/>
        </w:tabs>
        <w:rPr>
          <w:rFonts w:asciiTheme="majorHAnsi" w:eastAsia="Times New Roman" w:hAnsiTheme="majorHAnsi"/>
          <w:sz w:val="20"/>
          <w:szCs w:val="20"/>
          <w:bdr w:val="none" w:sz="0" w:space="0" w:color="auto"/>
          <w:lang w:val="es-CL"/>
        </w:rPr>
      </w:pPr>
    </w:p>
    <w:p w:rsidR="00AD219A" w:rsidRDefault="00B2406F"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ind w:left="0" w:firstLine="720"/>
        <w:jc w:val="both"/>
        <w:rPr>
          <w:rFonts w:asciiTheme="majorHAnsi" w:eastAsia="Times New Roman" w:hAnsiTheme="majorHAnsi"/>
          <w:sz w:val="20"/>
          <w:szCs w:val="20"/>
          <w:bdr w:val="none" w:sz="0" w:space="0" w:color="auto"/>
          <w:lang w:val="es-ES_tradnl"/>
        </w:rPr>
      </w:pPr>
      <w:r w:rsidRPr="00627100">
        <w:rPr>
          <w:rFonts w:asciiTheme="majorHAnsi" w:eastAsia="Times New Roman" w:hAnsiTheme="majorHAnsi"/>
          <w:sz w:val="20"/>
          <w:szCs w:val="20"/>
          <w:bdr w:val="none" w:sz="0" w:space="0" w:color="auto"/>
          <w:lang w:val="es-CL"/>
        </w:rPr>
        <w:t>En la especie, la Comisión observa que, según las normas que rigen este mecanismo, el Grupo de Trabajo sobre la Detención Arbitraria</w:t>
      </w:r>
      <w:r w:rsidR="00BD05A0" w:rsidRPr="00627100">
        <w:rPr>
          <w:rFonts w:asciiTheme="majorHAnsi" w:eastAsia="Times New Roman" w:hAnsiTheme="majorHAnsi"/>
          <w:sz w:val="20"/>
          <w:szCs w:val="20"/>
          <w:bdr w:val="none" w:sz="0" w:space="0" w:color="auto"/>
          <w:lang w:val="es-CL"/>
        </w:rPr>
        <w:t xml:space="preserve"> de la ONU</w:t>
      </w:r>
      <w:r w:rsidRPr="00627100">
        <w:rPr>
          <w:rFonts w:asciiTheme="majorHAnsi" w:eastAsia="Times New Roman" w:hAnsiTheme="majorHAnsi"/>
          <w:sz w:val="20"/>
          <w:szCs w:val="20"/>
          <w:bdr w:val="none" w:sz="0" w:space="0" w:color="auto"/>
          <w:lang w:val="es-CL"/>
        </w:rPr>
        <w:t xml:space="preserve"> </w:t>
      </w:r>
      <w:r w:rsidR="00550A48" w:rsidRPr="00627100">
        <w:rPr>
          <w:rFonts w:asciiTheme="majorHAnsi" w:eastAsia="Times New Roman" w:hAnsiTheme="majorHAnsi"/>
          <w:sz w:val="20"/>
          <w:szCs w:val="20"/>
          <w:bdr w:val="none" w:sz="0" w:space="0" w:color="auto"/>
          <w:lang w:val="es-CL"/>
        </w:rPr>
        <w:t xml:space="preserve">fue establecido en virtud de la resolución 1991/42 como Procedimiento Especial y </w:t>
      </w:r>
      <w:r w:rsidRPr="00627100">
        <w:rPr>
          <w:rFonts w:asciiTheme="majorHAnsi" w:eastAsia="Times New Roman" w:hAnsiTheme="majorHAnsi"/>
          <w:sz w:val="20"/>
          <w:szCs w:val="20"/>
          <w:bdr w:val="none" w:sz="0" w:space="0" w:color="auto"/>
          <w:lang w:val="es-CL"/>
        </w:rPr>
        <w:t>cumple con el mandato</w:t>
      </w:r>
      <w:r w:rsidR="00BD05A0" w:rsidRPr="00627100">
        <w:rPr>
          <w:rFonts w:asciiTheme="majorHAnsi" w:eastAsia="Times New Roman" w:hAnsiTheme="majorHAnsi"/>
          <w:sz w:val="20"/>
          <w:szCs w:val="20"/>
          <w:bdr w:val="none" w:sz="0" w:space="0" w:color="auto"/>
          <w:lang w:val="es-CL"/>
        </w:rPr>
        <w:t xml:space="preserve"> </w:t>
      </w:r>
      <w:r w:rsidRPr="00627100">
        <w:rPr>
          <w:rFonts w:asciiTheme="majorHAnsi" w:eastAsia="Times New Roman" w:hAnsiTheme="majorHAnsi"/>
          <w:sz w:val="20"/>
          <w:szCs w:val="20"/>
          <w:bdr w:val="none" w:sz="0" w:space="0" w:color="auto"/>
          <w:lang w:val="es-CL"/>
        </w:rPr>
        <w:t xml:space="preserve">de </w:t>
      </w:r>
      <w:r w:rsidRPr="00627100">
        <w:rPr>
          <w:rFonts w:asciiTheme="majorHAnsi" w:eastAsia="Times New Roman" w:hAnsiTheme="majorHAnsi"/>
          <w:sz w:val="20"/>
          <w:szCs w:val="20"/>
          <w:bdr w:val="none" w:sz="0" w:space="0" w:color="auto"/>
          <w:lang w:val="es-ES"/>
        </w:rPr>
        <w:t>i</w:t>
      </w:r>
      <w:r w:rsidR="00010291" w:rsidRPr="00627100">
        <w:rPr>
          <w:rFonts w:asciiTheme="majorHAnsi" w:eastAsia="Times New Roman" w:hAnsiTheme="majorHAnsi"/>
          <w:sz w:val="20"/>
          <w:szCs w:val="20"/>
          <w:bdr w:val="none" w:sz="0" w:space="0" w:color="auto"/>
          <w:lang w:val="es-ES"/>
        </w:rPr>
        <w:t>nvestigar casos</w:t>
      </w:r>
      <w:r w:rsidRPr="00627100">
        <w:rPr>
          <w:rFonts w:asciiTheme="majorHAnsi" w:eastAsia="Times New Roman" w:hAnsiTheme="majorHAnsi"/>
          <w:sz w:val="20"/>
          <w:szCs w:val="20"/>
          <w:bdr w:val="none" w:sz="0" w:space="0" w:color="auto"/>
          <w:lang w:val="es-ES"/>
        </w:rPr>
        <w:t xml:space="preserve"> de detención impuesta arbitrariamente</w:t>
      </w:r>
      <w:r w:rsidRPr="00627100">
        <w:rPr>
          <w:rStyle w:val="FootnoteReference"/>
          <w:rFonts w:asciiTheme="majorHAnsi" w:eastAsia="Times New Roman" w:hAnsiTheme="majorHAnsi"/>
          <w:sz w:val="20"/>
          <w:szCs w:val="20"/>
          <w:bdr w:val="none" w:sz="0" w:space="0" w:color="auto"/>
          <w:lang w:val="es-ES"/>
        </w:rPr>
        <w:footnoteReference w:id="7"/>
      </w:r>
      <w:r w:rsidRPr="00627100">
        <w:rPr>
          <w:rFonts w:asciiTheme="majorHAnsi" w:eastAsia="Times New Roman" w:hAnsiTheme="majorHAnsi"/>
          <w:sz w:val="20"/>
          <w:szCs w:val="20"/>
          <w:bdr w:val="none" w:sz="0" w:space="0" w:color="auto"/>
          <w:lang w:val="es-ES"/>
        </w:rPr>
        <w:t>.</w:t>
      </w:r>
      <w:r w:rsidR="00550A48" w:rsidRPr="00627100">
        <w:rPr>
          <w:lang w:val="es-ES"/>
        </w:rPr>
        <w:t xml:space="preserve"> </w:t>
      </w:r>
      <w:r w:rsidR="002C6B6D" w:rsidRPr="00627100">
        <w:rPr>
          <w:rFonts w:asciiTheme="majorHAnsi" w:hAnsiTheme="majorHAnsi"/>
          <w:sz w:val="20"/>
          <w:szCs w:val="20"/>
          <w:lang w:val="es-ES"/>
        </w:rPr>
        <w:t>Po</w:t>
      </w:r>
      <w:r w:rsidR="00A74024" w:rsidRPr="00627100">
        <w:rPr>
          <w:rFonts w:asciiTheme="majorHAnsi" w:hAnsiTheme="majorHAnsi"/>
          <w:sz w:val="20"/>
          <w:szCs w:val="20"/>
          <w:lang w:val="es-ES"/>
        </w:rPr>
        <w:t>r</w:t>
      </w:r>
      <w:r w:rsidR="002C6B6D" w:rsidRPr="00627100">
        <w:rPr>
          <w:rFonts w:asciiTheme="majorHAnsi" w:hAnsiTheme="majorHAnsi"/>
          <w:sz w:val="20"/>
          <w:szCs w:val="20"/>
          <w:lang w:val="es-ES"/>
        </w:rPr>
        <w:t xml:space="preserve"> otro lado, </w:t>
      </w:r>
      <w:r w:rsidR="008B29C4" w:rsidRPr="00627100">
        <w:rPr>
          <w:rFonts w:asciiTheme="majorHAnsi" w:eastAsia="Times New Roman" w:hAnsiTheme="majorHAnsi"/>
          <w:sz w:val="20"/>
          <w:szCs w:val="20"/>
          <w:bdr w:val="none" w:sz="0" w:space="0" w:color="auto"/>
          <w:lang w:val="es-ES"/>
        </w:rPr>
        <w:t>e</w:t>
      </w:r>
      <w:r w:rsidR="00550A48" w:rsidRPr="00627100">
        <w:rPr>
          <w:rFonts w:asciiTheme="majorHAnsi" w:eastAsia="Times New Roman" w:hAnsiTheme="majorHAnsi"/>
          <w:sz w:val="20"/>
          <w:szCs w:val="20"/>
          <w:bdr w:val="none" w:sz="0" w:space="0" w:color="auto"/>
          <w:lang w:val="es-ES"/>
        </w:rPr>
        <w:t>l mandato de la Comisión Interamericana de Derechos Humanos en este caso deriva de una fuente convencional, la Convención Am</w:t>
      </w:r>
      <w:r w:rsidR="00627100" w:rsidRPr="00627100">
        <w:rPr>
          <w:rFonts w:asciiTheme="majorHAnsi" w:eastAsia="Times New Roman" w:hAnsiTheme="majorHAnsi"/>
          <w:sz w:val="20"/>
          <w:szCs w:val="20"/>
          <w:bdr w:val="none" w:sz="0" w:space="0" w:color="auto"/>
          <w:lang w:val="es-ES"/>
        </w:rPr>
        <w:t>ericana sobre Derechos Humanos.</w:t>
      </w:r>
    </w:p>
    <w:p w:rsidR="00627100" w:rsidRPr="00627100" w:rsidRDefault="0062710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jc w:val="both"/>
        <w:rPr>
          <w:rFonts w:asciiTheme="majorHAnsi" w:eastAsia="Times New Roman" w:hAnsiTheme="majorHAnsi"/>
          <w:sz w:val="20"/>
          <w:szCs w:val="20"/>
          <w:bdr w:val="none" w:sz="0" w:space="0" w:color="auto"/>
          <w:lang w:val="es-ES_tradnl"/>
        </w:rPr>
      </w:pPr>
    </w:p>
    <w:p w:rsidR="00AD219A" w:rsidRPr="00627100" w:rsidRDefault="000009C7"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627100">
        <w:rPr>
          <w:rFonts w:asciiTheme="majorHAnsi" w:eastAsia="Times New Roman" w:hAnsiTheme="majorHAnsi"/>
          <w:sz w:val="20"/>
          <w:szCs w:val="20"/>
          <w:bdr w:val="none" w:sz="0" w:space="0" w:color="auto"/>
          <w:lang w:val="es-ES"/>
        </w:rPr>
        <w:lastRenderedPageBreak/>
        <w:t xml:space="preserve">Establecido lo anterior, la Comisión encuentra </w:t>
      </w:r>
      <w:r w:rsidR="00F24FDC" w:rsidRPr="00627100">
        <w:rPr>
          <w:rFonts w:asciiTheme="majorHAnsi" w:eastAsia="Times New Roman" w:hAnsiTheme="majorHAnsi"/>
          <w:sz w:val="20"/>
          <w:szCs w:val="20"/>
          <w:bdr w:val="none" w:sz="0" w:space="0" w:color="auto"/>
          <w:lang w:val="es-ES_tradnl"/>
        </w:rPr>
        <w:t xml:space="preserve">que </w:t>
      </w:r>
      <w:r w:rsidR="00F24FDC" w:rsidRPr="00627100">
        <w:rPr>
          <w:rFonts w:asciiTheme="majorHAnsi" w:eastAsia="Times New Roman" w:hAnsiTheme="majorHAnsi"/>
          <w:sz w:val="20"/>
          <w:szCs w:val="20"/>
          <w:bdr w:val="none" w:sz="0" w:space="0" w:color="auto"/>
          <w:lang w:val="es-ES"/>
        </w:rPr>
        <w:t xml:space="preserve">el </w:t>
      </w:r>
      <w:r w:rsidR="004F58E1" w:rsidRPr="00627100">
        <w:rPr>
          <w:rFonts w:asciiTheme="majorHAnsi" w:eastAsia="Times New Roman" w:hAnsiTheme="majorHAnsi"/>
          <w:sz w:val="20"/>
          <w:szCs w:val="20"/>
          <w:bdr w:val="none" w:sz="0" w:space="0" w:color="auto"/>
          <w:lang w:val="es-ES"/>
        </w:rPr>
        <w:t>presente caso</w:t>
      </w:r>
      <w:r w:rsidR="007D12C9" w:rsidRPr="00627100">
        <w:rPr>
          <w:rFonts w:asciiTheme="majorHAnsi" w:eastAsia="Times New Roman" w:hAnsiTheme="majorHAnsi"/>
          <w:sz w:val="20"/>
          <w:szCs w:val="20"/>
          <w:bdr w:val="none" w:sz="0" w:space="0" w:color="auto"/>
          <w:lang w:val="es-ES"/>
        </w:rPr>
        <w:t xml:space="preserve"> no</w:t>
      </w:r>
      <w:r w:rsidR="004F58E1" w:rsidRPr="00627100">
        <w:rPr>
          <w:rFonts w:asciiTheme="majorHAnsi" w:hAnsiTheme="majorHAnsi"/>
          <w:sz w:val="20"/>
          <w:lang w:val="es-ES"/>
        </w:rPr>
        <w:t xml:space="preserve"> se refiere </w:t>
      </w:r>
      <w:r w:rsidR="007D12C9" w:rsidRPr="00627100">
        <w:rPr>
          <w:rFonts w:asciiTheme="majorHAnsi" w:hAnsiTheme="majorHAnsi"/>
          <w:sz w:val="20"/>
          <w:lang w:val="es-ES"/>
        </w:rPr>
        <w:t xml:space="preserve">solamente a la </w:t>
      </w:r>
      <w:r w:rsidR="00D70CD6" w:rsidRPr="00627100">
        <w:rPr>
          <w:rFonts w:asciiTheme="majorHAnsi" w:hAnsiTheme="majorHAnsi"/>
          <w:sz w:val="20"/>
          <w:lang w:val="es-ES"/>
        </w:rPr>
        <w:t>detención arbitraria de las presuntas víctimas</w:t>
      </w:r>
      <w:r w:rsidR="007D12C9" w:rsidRPr="00627100">
        <w:rPr>
          <w:rFonts w:asciiTheme="majorHAnsi" w:hAnsiTheme="majorHAnsi"/>
          <w:sz w:val="20"/>
          <w:lang w:val="es-ES"/>
        </w:rPr>
        <w:t xml:space="preserve">, sino </w:t>
      </w:r>
      <w:r w:rsidR="004F58E1" w:rsidRPr="00627100">
        <w:rPr>
          <w:rFonts w:asciiTheme="majorHAnsi" w:hAnsiTheme="majorHAnsi"/>
          <w:sz w:val="20"/>
          <w:lang w:val="es-ES"/>
        </w:rPr>
        <w:t>también a</w:t>
      </w:r>
      <w:r w:rsidR="006E217C" w:rsidRPr="00627100">
        <w:rPr>
          <w:rFonts w:asciiTheme="majorHAnsi" w:hAnsiTheme="majorHAnsi"/>
          <w:sz w:val="20"/>
          <w:lang w:val="es-ES"/>
        </w:rPr>
        <w:t xml:space="preserve"> la </w:t>
      </w:r>
      <w:r w:rsidR="00D70CD6" w:rsidRPr="00627100">
        <w:rPr>
          <w:rFonts w:asciiTheme="majorHAnsi" w:hAnsiTheme="majorHAnsi"/>
          <w:sz w:val="20"/>
          <w:lang w:val="es-ES"/>
        </w:rPr>
        <w:t xml:space="preserve">presunta </w:t>
      </w:r>
      <w:r w:rsidR="006E217C" w:rsidRPr="00627100">
        <w:rPr>
          <w:rFonts w:asciiTheme="majorHAnsi" w:hAnsiTheme="majorHAnsi"/>
          <w:sz w:val="20"/>
          <w:lang w:val="es-ES"/>
        </w:rPr>
        <w:t xml:space="preserve">violación </w:t>
      </w:r>
      <w:r w:rsidR="00D70CD6" w:rsidRPr="00627100">
        <w:rPr>
          <w:rFonts w:asciiTheme="majorHAnsi" w:hAnsiTheme="majorHAnsi"/>
          <w:sz w:val="20"/>
          <w:lang w:val="es-ES"/>
        </w:rPr>
        <w:t>de otros derechos, los cuales no constituyeron</w:t>
      </w:r>
      <w:r w:rsidR="004F58E1" w:rsidRPr="00627100">
        <w:rPr>
          <w:rFonts w:asciiTheme="majorHAnsi" w:hAnsiTheme="majorHAnsi"/>
          <w:sz w:val="20"/>
          <w:lang w:val="es-ES"/>
        </w:rPr>
        <w:t xml:space="preserve"> objeto de pronunciamiento por parte del Grupo de Trabajo</w:t>
      </w:r>
      <w:r w:rsidR="00204D5E" w:rsidRPr="00627100">
        <w:rPr>
          <w:rFonts w:asciiTheme="majorHAnsi" w:hAnsiTheme="majorHAnsi"/>
          <w:sz w:val="20"/>
          <w:lang w:val="es-ES"/>
        </w:rPr>
        <w:t>, toda vez que se trataría de presuntas violaciones que no son</w:t>
      </w:r>
      <w:r w:rsidR="00082471" w:rsidRPr="00627100">
        <w:rPr>
          <w:rFonts w:asciiTheme="majorHAnsi" w:hAnsiTheme="majorHAnsi"/>
          <w:sz w:val="20"/>
          <w:lang w:val="es-ES"/>
        </w:rPr>
        <w:t xml:space="preserve"> de competencia de dicho organismo. </w:t>
      </w:r>
      <w:r w:rsidR="00204D5E" w:rsidRPr="00627100">
        <w:rPr>
          <w:rFonts w:asciiTheme="majorHAnsi" w:hAnsiTheme="majorHAnsi"/>
          <w:sz w:val="20"/>
          <w:lang w:val="es-ES"/>
        </w:rPr>
        <w:t>Adicionalmente</w:t>
      </w:r>
      <w:r w:rsidR="004F58E1" w:rsidRPr="00627100">
        <w:rPr>
          <w:rFonts w:asciiTheme="majorHAnsi" w:hAnsiTheme="majorHAnsi"/>
          <w:sz w:val="20"/>
          <w:lang w:val="es-ES"/>
        </w:rPr>
        <w:t xml:space="preserve">, </w:t>
      </w:r>
      <w:r w:rsidR="00082471" w:rsidRPr="00627100">
        <w:rPr>
          <w:rFonts w:asciiTheme="majorHAnsi" w:hAnsiTheme="majorHAnsi"/>
          <w:sz w:val="20"/>
          <w:lang w:val="es-ES"/>
        </w:rPr>
        <w:t xml:space="preserve">la </w:t>
      </w:r>
      <w:r w:rsidR="00204D5E" w:rsidRPr="00627100">
        <w:rPr>
          <w:rFonts w:asciiTheme="majorHAnsi" w:hAnsiTheme="majorHAnsi"/>
          <w:sz w:val="20"/>
          <w:lang w:val="es-ES"/>
        </w:rPr>
        <w:t>C</w:t>
      </w:r>
      <w:r w:rsidR="00082471" w:rsidRPr="00627100">
        <w:rPr>
          <w:rFonts w:asciiTheme="majorHAnsi" w:hAnsiTheme="majorHAnsi"/>
          <w:sz w:val="20"/>
          <w:lang w:val="es-ES"/>
        </w:rPr>
        <w:t xml:space="preserve">omisión considera que se podrían identificar posibles violaciones al debido proceso que no fueron objeto de examen por parte del Grupo de Trabajo </w:t>
      </w:r>
      <w:r w:rsidR="004F58E1" w:rsidRPr="00627100">
        <w:rPr>
          <w:rFonts w:asciiTheme="majorHAnsi" w:hAnsiTheme="majorHAnsi"/>
          <w:sz w:val="20"/>
          <w:lang w:val="es-ES"/>
        </w:rPr>
        <w:t>pues algunas de las decisiones cuestionadas se emitieron con posterioridad al pronunciamiento del mencionado Grupo</w:t>
      </w:r>
      <w:r w:rsidR="00010291" w:rsidRPr="00627100">
        <w:rPr>
          <w:rFonts w:asciiTheme="majorHAnsi" w:hAnsiTheme="majorHAnsi"/>
          <w:sz w:val="20"/>
          <w:lang w:val="es-ES"/>
        </w:rPr>
        <w:t xml:space="preserve"> de Trabajo</w:t>
      </w:r>
      <w:r w:rsidR="004F58E1" w:rsidRPr="00627100">
        <w:rPr>
          <w:rFonts w:asciiTheme="majorHAnsi" w:hAnsiTheme="majorHAnsi"/>
          <w:sz w:val="20"/>
          <w:lang w:val="es-ES"/>
        </w:rPr>
        <w:t xml:space="preserve">. En efecto el </w:t>
      </w:r>
      <w:r w:rsidR="00F24FDC" w:rsidRPr="00627100">
        <w:rPr>
          <w:rFonts w:asciiTheme="majorHAnsi" w:eastAsia="Times New Roman" w:hAnsiTheme="majorHAnsi"/>
          <w:sz w:val="20"/>
          <w:szCs w:val="20"/>
          <w:bdr w:val="none" w:sz="0" w:space="0" w:color="auto"/>
          <w:lang w:val="es-ES"/>
        </w:rPr>
        <w:t>Grupo de Trabajo emitió</w:t>
      </w:r>
      <w:r w:rsidRPr="00627100">
        <w:rPr>
          <w:rFonts w:asciiTheme="majorHAnsi" w:eastAsia="Times New Roman" w:hAnsiTheme="majorHAnsi"/>
          <w:sz w:val="20"/>
          <w:szCs w:val="20"/>
          <w:bdr w:val="none" w:sz="0" w:space="0" w:color="auto"/>
          <w:lang w:val="es-ES"/>
        </w:rPr>
        <w:t xml:space="preserve"> su</w:t>
      </w:r>
      <w:r w:rsidR="00F24FDC" w:rsidRPr="00627100">
        <w:rPr>
          <w:rFonts w:asciiTheme="majorHAnsi" w:eastAsia="Times New Roman" w:hAnsiTheme="majorHAnsi"/>
          <w:sz w:val="20"/>
          <w:szCs w:val="20"/>
          <w:bdr w:val="none" w:sz="0" w:space="0" w:color="auto"/>
          <w:lang w:val="es-ES"/>
        </w:rPr>
        <w:t xml:space="preserve"> opinión en abril de 2007, es decir un año y medio antes de la decisión </w:t>
      </w:r>
      <w:r w:rsidR="0067518D" w:rsidRPr="00627100">
        <w:rPr>
          <w:rFonts w:asciiTheme="majorHAnsi" w:eastAsia="Times New Roman" w:hAnsiTheme="majorHAnsi"/>
          <w:sz w:val="20"/>
          <w:szCs w:val="20"/>
          <w:bdr w:val="none" w:sz="0" w:space="0" w:color="auto"/>
          <w:lang w:val="es-ES"/>
        </w:rPr>
        <w:t>final que</w:t>
      </w:r>
      <w:r w:rsidR="00F24FDC" w:rsidRPr="00627100">
        <w:rPr>
          <w:rFonts w:asciiTheme="majorHAnsi" w:eastAsia="Times New Roman" w:hAnsiTheme="majorHAnsi"/>
          <w:sz w:val="20"/>
          <w:szCs w:val="20"/>
          <w:bdr w:val="none" w:sz="0" w:space="0" w:color="auto"/>
          <w:lang w:val="es-ES"/>
        </w:rPr>
        <w:t xml:space="preserve"> dispuso la </w:t>
      </w:r>
      <w:r w:rsidR="00010291" w:rsidRPr="00627100">
        <w:rPr>
          <w:rFonts w:asciiTheme="majorHAnsi" w:eastAsia="Times New Roman" w:hAnsiTheme="majorHAnsi"/>
          <w:sz w:val="20"/>
          <w:szCs w:val="20"/>
          <w:bdr w:val="none" w:sz="0" w:space="0" w:color="auto"/>
          <w:lang w:val="es-ES"/>
        </w:rPr>
        <w:t>liberación</w:t>
      </w:r>
      <w:r w:rsidR="00F24FDC" w:rsidRPr="00627100">
        <w:rPr>
          <w:rFonts w:asciiTheme="majorHAnsi" w:eastAsia="Times New Roman" w:hAnsiTheme="majorHAnsi"/>
          <w:sz w:val="20"/>
          <w:szCs w:val="20"/>
          <w:bdr w:val="none" w:sz="0" w:space="0" w:color="auto"/>
          <w:lang w:val="es-ES"/>
        </w:rPr>
        <w:t xml:space="preserve"> inmediata de las presuntas víctimas (octubre de 2008)</w:t>
      </w:r>
      <w:r w:rsidR="00010291" w:rsidRPr="00627100">
        <w:rPr>
          <w:rFonts w:asciiTheme="majorHAnsi" w:eastAsia="Times New Roman" w:hAnsiTheme="majorHAnsi"/>
          <w:sz w:val="20"/>
          <w:szCs w:val="20"/>
          <w:bdr w:val="none" w:sz="0" w:space="0" w:color="auto"/>
          <w:lang w:val="es-ES"/>
        </w:rPr>
        <w:t>. D</w:t>
      </w:r>
      <w:r w:rsidR="00F24FDC" w:rsidRPr="00627100">
        <w:rPr>
          <w:rFonts w:asciiTheme="majorHAnsi" w:hAnsiTheme="majorHAnsi"/>
          <w:sz w:val="20"/>
          <w:szCs w:val="20"/>
          <w:shd w:val="clear" w:color="auto" w:fill="FFFFFF"/>
          <w:lang w:val="es-ES"/>
        </w:rPr>
        <w:t>urante dicho periodo</w:t>
      </w:r>
      <w:r w:rsidR="00A46D26" w:rsidRPr="00627100">
        <w:rPr>
          <w:rFonts w:asciiTheme="majorHAnsi" w:hAnsiTheme="majorHAnsi"/>
          <w:sz w:val="20"/>
          <w:szCs w:val="20"/>
          <w:shd w:val="clear" w:color="auto" w:fill="FFFFFF"/>
          <w:lang w:val="es-ES"/>
        </w:rPr>
        <w:t>,</w:t>
      </w:r>
      <w:r w:rsidR="00F24FDC" w:rsidRPr="00627100">
        <w:rPr>
          <w:rFonts w:asciiTheme="majorHAnsi" w:hAnsiTheme="majorHAnsi"/>
          <w:sz w:val="20"/>
          <w:szCs w:val="20"/>
          <w:shd w:val="clear" w:color="auto" w:fill="FFFFFF"/>
          <w:lang w:val="es-ES"/>
        </w:rPr>
        <w:t xml:space="preserve"> </w:t>
      </w:r>
      <w:r w:rsidR="00627100" w:rsidRPr="00627100">
        <w:rPr>
          <w:rFonts w:asciiTheme="majorHAnsi" w:hAnsiTheme="majorHAnsi"/>
          <w:sz w:val="20"/>
          <w:szCs w:val="20"/>
          <w:shd w:val="clear" w:color="auto" w:fill="FFFFFF"/>
          <w:lang w:val="es-ES"/>
        </w:rPr>
        <w:t xml:space="preserve">según lo alegado </w:t>
      </w:r>
      <w:r w:rsidR="00D27280" w:rsidRPr="00627100">
        <w:rPr>
          <w:rFonts w:asciiTheme="majorHAnsi" w:hAnsiTheme="majorHAnsi"/>
          <w:sz w:val="20"/>
          <w:szCs w:val="20"/>
          <w:shd w:val="clear" w:color="auto" w:fill="FFFFFF"/>
          <w:lang w:val="es-ES"/>
        </w:rPr>
        <w:t>por la peticionaria, habrían continuado</w:t>
      </w:r>
      <w:r w:rsidR="00F24FDC" w:rsidRPr="00627100">
        <w:rPr>
          <w:rFonts w:asciiTheme="majorHAnsi" w:hAnsiTheme="majorHAnsi"/>
          <w:sz w:val="20"/>
          <w:szCs w:val="20"/>
          <w:shd w:val="clear" w:color="auto" w:fill="FFFFFF"/>
          <w:lang w:val="es-ES"/>
        </w:rPr>
        <w:t xml:space="preserve"> las </w:t>
      </w:r>
      <w:r w:rsidR="00D27280" w:rsidRPr="00627100">
        <w:rPr>
          <w:rFonts w:asciiTheme="majorHAnsi" w:hAnsiTheme="majorHAnsi"/>
          <w:sz w:val="20"/>
          <w:szCs w:val="20"/>
          <w:shd w:val="clear" w:color="auto" w:fill="FFFFFF"/>
          <w:lang w:val="es-ES"/>
        </w:rPr>
        <w:t xml:space="preserve">presuntas </w:t>
      </w:r>
      <w:r w:rsidR="0067518D" w:rsidRPr="00627100">
        <w:rPr>
          <w:rFonts w:asciiTheme="majorHAnsi" w:hAnsiTheme="majorHAnsi"/>
          <w:sz w:val="20"/>
          <w:szCs w:val="20"/>
          <w:shd w:val="clear" w:color="auto" w:fill="FFFFFF"/>
          <w:lang w:val="es-ES"/>
        </w:rPr>
        <w:t>violaciones</w:t>
      </w:r>
      <w:r w:rsidR="004F58E1" w:rsidRPr="00627100">
        <w:rPr>
          <w:rFonts w:asciiTheme="majorHAnsi" w:hAnsiTheme="majorHAnsi"/>
          <w:sz w:val="20"/>
          <w:szCs w:val="20"/>
          <w:shd w:val="clear" w:color="auto" w:fill="FFFFFF"/>
          <w:lang w:val="es-ES"/>
        </w:rPr>
        <w:t xml:space="preserve"> a la protección </w:t>
      </w:r>
      <w:r w:rsidR="006E217C" w:rsidRPr="00627100">
        <w:rPr>
          <w:rFonts w:asciiTheme="majorHAnsi" w:hAnsiTheme="majorHAnsi"/>
          <w:sz w:val="20"/>
          <w:szCs w:val="20"/>
          <w:shd w:val="clear" w:color="auto" w:fill="FFFFFF"/>
          <w:lang w:val="es-ES"/>
        </w:rPr>
        <w:t>judicial</w:t>
      </w:r>
      <w:r w:rsidR="004F58E1" w:rsidRPr="00627100">
        <w:rPr>
          <w:rFonts w:asciiTheme="majorHAnsi" w:hAnsiTheme="majorHAnsi"/>
          <w:sz w:val="20"/>
          <w:szCs w:val="20"/>
          <w:shd w:val="clear" w:color="auto" w:fill="FFFFFF"/>
          <w:lang w:val="es-ES"/>
        </w:rPr>
        <w:t>, a las garantías judiciales</w:t>
      </w:r>
      <w:r w:rsidR="006E217C" w:rsidRPr="00627100">
        <w:rPr>
          <w:rFonts w:asciiTheme="majorHAnsi" w:hAnsiTheme="majorHAnsi"/>
          <w:sz w:val="20"/>
          <w:szCs w:val="20"/>
          <w:shd w:val="clear" w:color="auto" w:fill="FFFFFF"/>
          <w:lang w:val="es-ES"/>
        </w:rPr>
        <w:t xml:space="preserve"> y</w:t>
      </w:r>
      <w:r w:rsidR="004F58E1" w:rsidRPr="00627100">
        <w:rPr>
          <w:rFonts w:asciiTheme="majorHAnsi" w:hAnsiTheme="majorHAnsi"/>
          <w:sz w:val="20"/>
          <w:szCs w:val="20"/>
          <w:shd w:val="clear" w:color="auto" w:fill="FFFFFF"/>
          <w:lang w:val="es-ES"/>
        </w:rPr>
        <w:t xml:space="preserve"> a la integridad personal </w:t>
      </w:r>
      <w:r w:rsidR="0067518D" w:rsidRPr="00627100">
        <w:rPr>
          <w:rFonts w:asciiTheme="majorHAnsi" w:hAnsiTheme="majorHAnsi"/>
          <w:sz w:val="20"/>
          <w:szCs w:val="20"/>
          <w:shd w:val="clear" w:color="auto" w:fill="FFFFFF"/>
          <w:lang w:val="es-ES"/>
        </w:rPr>
        <w:t>de las presuntas víctimas</w:t>
      </w:r>
      <w:r w:rsidR="006E217C" w:rsidRPr="00627100">
        <w:rPr>
          <w:rFonts w:asciiTheme="majorHAnsi" w:hAnsiTheme="majorHAnsi"/>
          <w:sz w:val="20"/>
          <w:szCs w:val="20"/>
          <w:shd w:val="clear" w:color="auto" w:fill="FFFFFF"/>
          <w:lang w:val="es-ES"/>
        </w:rPr>
        <w:t>,</w:t>
      </w:r>
      <w:r w:rsidR="0067518D" w:rsidRPr="00627100">
        <w:rPr>
          <w:rFonts w:asciiTheme="majorHAnsi" w:hAnsiTheme="majorHAnsi"/>
          <w:sz w:val="20"/>
          <w:szCs w:val="20"/>
          <w:shd w:val="clear" w:color="auto" w:fill="FFFFFF"/>
          <w:lang w:val="es-ES"/>
        </w:rPr>
        <w:t xml:space="preserve"> al igual que </w:t>
      </w:r>
      <w:r w:rsidR="008102F6" w:rsidRPr="00627100">
        <w:rPr>
          <w:rFonts w:asciiTheme="majorHAnsi" w:hAnsiTheme="majorHAnsi"/>
          <w:sz w:val="20"/>
          <w:szCs w:val="20"/>
          <w:shd w:val="clear" w:color="auto" w:fill="FFFFFF"/>
          <w:lang w:val="es-ES"/>
        </w:rPr>
        <w:t>habría continuado</w:t>
      </w:r>
      <w:r w:rsidR="0067518D" w:rsidRPr="00627100">
        <w:rPr>
          <w:rFonts w:asciiTheme="majorHAnsi" w:hAnsiTheme="majorHAnsi"/>
          <w:sz w:val="20"/>
          <w:szCs w:val="20"/>
          <w:shd w:val="clear" w:color="auto" w:fill="FFFFFF"/>
          <w:lang w:val="es-ES"/>
        </w:rPr>
        <w:t xml:space="preserve"> la detención arbitraria de las mismas.</w:t>
      </w:r>
    </w:p>
    <w:p w:rsidR="00AD219A" w:rsidRPr="00627100" w:rsidRDefault="00AD219A" w:rsidP="00A4258B">
      <w:pPr>
        <w:tabs>
          <w:tab w:val="num" w:pos="0"/>
        </w:tabs>
        <w:rPr>
          <w:rFonts w:asciiTheme="majorHAnsi" w:eastAsia="Times New Roman" w:hAnsiTheme="majorHAnsi"/>
          <w:sz w:val="20"/>
          <w:szCs w:val="20"/>
          <w:bdr w:val="none" w:sz="0" w:space="0" w:color="auto"/>
          <w:lang w:val="es-ES"/>
        </w:rPr>
      </w:pPr>
    </w:p>
    <w:p w:rsidR="00C164EB" w:rsidRPr="00627100" w:rsidRDefault="00DB31FC"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627100">
        <w:rPr>
          <w:rFonts w:asciiTheme="majorHAnsi" w:eastAsia="Times New Roman" w:hAnsiTheme="majorHAnsi"/>
          <w:sz w:val="20"/>
          <w:szCs w:val="20"/>
          <w:bdr w:val="none" w:sz="0" w:space="0" w:color="auto"/>
          <w:lang w:val="es-ES"/>
        </w:rPr>
        <w:t xml:space="preserve">Por lo anterior, </w:t>
      </w:r>
      <w:r w:rsidR="00C164EB" w:rsidRPr="00627100">
        <w:rPr>
          <w:rFonts w:asciiTheme="majorHAnsi" w:eastAsia="Times New Roman" w:hAnsiTheme="majorHAnsi"/>
          <w:sz w:val="20"/>
          <w:szCs w:val="20"/>
          <w:bdr w:val="none" w:sz="0" w:space="0" w:color="auto"/>
          <w:lang w:val="es-ES"/>
        </w:rPr>
        <w:t xml:space="preserve">la CIDH considera que, dado el mandato del mencionado Grupo de Trabajo, referido a supuestos de detención arbitraria y tomando en cuenta los </w:t>
      </w:r>
      <w:r w:rsidR="00627100" w:rsidRPr="00627100">
        <w:rPr>
          <w:rFonts w:asciiTheme="majorHAnsi" w:eastAsia="Times New Roman" w:hAnsiTheme="majorHAnsi"/>
          <w:sz w:val="20"/>
          <w:szCs w:val="20"/>
          <w:bdr w:val="none" w:sz="0" w:space="0" w:color="auto"/>
          <w:lang w:val="es-ES"/>
        </w:rPr>
        <w:t xml:space="preserve">supuestos </w:t>
      </w:r>
      <w:r w:rsidR="00C164EB" w:rsidRPr="00627100">
        <w:rPr>
          <w:rFonts w:asciiTheme="majorHAnsi" w:eastAsia="Times New Roman" w:hAnsiTheme="majorHAnsi"/>
          <w:sz w:val="20"/>
          <w:szCs w:val="20"/>
          <w:bdr w:val="none" w:sz="0" w:space="0" w:color="auto"/>
          <w:lang w:val="es-ES"/>
        </w:rPr>
        <w:t xml:space="preserve">hechos ocurridos sucesivamente a la publicación de la Opinión del Grupo de Trabajo, no se presenta identidad de objeto y pretensión con la presente petición. </w:t>
      </w:r>
      <w:r w:rsidR="00C164EB" w:rsidRPr="00627100">
        <w:rPr>
          <w:rFonts w:asciiTheme="majorHAnsi" w:eastAsia="Times New Roman" w:hAnsiTheme="majorHAnsi"/>
          <w:sz w:val="20"/>
          <w:szCs w:val="20"/>
          <w:bdr w:val="none" w:sz="0" w:space="0" w:color="auto"/>
          <w:lang w:val="es-CL"/>
        </w:rPr>
        <w:t xml:space="preserve">En este sentido, la Comisión considera que no se han configurado los requisitos para determinar la inadmisibilidad de la petición, en base a los artículos </w:t>
      </w:r>
      <w:r w:rsidR="00C164EB" w:rsidRPr="00627100">
        <w:rPr>
          <w:rFonts w:asciiTheme="majorHAnsi" w:eastAsia="Times New Roman" w:hAnsiTheme="majorHAnsi"/>
          <w:sz w:val="20"/>
          <w:szCs w:val="20"/>
          <w:bdr w:val="none" w:sz="0" w:space="0" w:color="auto"/>
          <w:lang w:val="es-UY"/>
        </w:rPr>
        <w:t>46(1)(c) y 47(d)</w:t>
      </w:r>
      <w:r w:rsidR="00C164EB" w:rsidRPr="00627100">
        <w:rPr>
          <w:rFonts w:asciiTheme="majorHAnsi" w:eastAsia="Times New Roman" w:hAnsiTheme="majorHAnsi"/>
          <w:sz w:val="20"/>
          <w:szCs w:val="20"/>
          <w:bdr w:val="none" w:sz="0" w:space="0" w:color="auto"/>
          <w:lang w:val="es-CL"/>
        </w:rPr>
        <w:t xml:space="preserve"> de la Convención y del artículo 33 del Reglamento de la CIDH</w:t>
      </w:r>
      <w:r w:rsidR="00C164EB" w:rsidRPr="00627100">
        <w:rPr>
          <w:rFonts w:asciiTheme="majorHAnsi" w:eastAsia="Times New Roman" w:hAnsiTheme="majorHAnsi"/>
          <w:sz w:val="20"/>
          <w:szCs w:val="20"/>
          <w:bdr w:val="none" w:sz="0" w:space="0" w:color="auto"/>
          <w:lang w:val="es-ES"/>
        </w:rPr>
        <w:t>.</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CL"/>
        </w:rPr>
      </w:pPr>
    </w:p>
    <w:p w:rsidR="00920AC0" w:rsidRPr="00307AEA" w:rsidRDefault="00920AC0" w:rsidP="00A4258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Theme="majorHAnsi" w:eastAsia="Batang" w:hAnsiTheme="majorHAnsi"/>
          <w:b/>
          <w:bCs/>
          <w:sz w:val="20"/>
          <w:szCs w:val="20"/>
          <w:bdr w:val="none" w:sz="0" w:space="0" w:color="auto"/>
          <w:lang w:val="es-ES"/>
        </w:rPr>
      </w:pPr>
      <w:r w:rsidRPr="00307AEA">
        <w:rPr>
          <w:rFonts w:asciiTheme="majorHAnsi" w:eastAsia="Batang" w:hAnsiTheme="majorHAnsi"/>
          <w:b/>
          <w:bCs/>
          <w:sz w:val="20"/>
          <w:szCs w:val="20"/>
          <w:bdr w:val="none" w:sz="0" w:space="0" w:color="auto"/>
          <w:lang w:val="es-ES"/>
        </w:rPr>
        <w:t>Caracterización de los hechos alegados</w:t>
      </w:r>
    </w:p>
    <w:p w:rsidR="00BD59D9" w:rsidRPr="00307AEA" w:rsidRDefault="00BD59D9"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Theme="majorHAnsi" w:eastAsia="Batang" w:hAnsiTheme="majorHAnsi"/>
          <w:b/>
          <w:bCs/>
          <w:sz w:val="20"/>
          <w:szCs w:val="20"/>
          <w:bdr w:val="none" w:sz="0" w:space="0" w:color="auto"/>
          <w:lang w:val="es-ES"/>
        </w:rPr>
      </w:pPr>
    </w:p>
    <w:p w:rsidR="002C44DC" w:rsidRDefault="00DD6118" w:rsidP="002C44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lang w:val="es-UY"/>
        </w:rPr>
      </w:pPr>
      <w:r w:rsidRPr="00307AEA">
        <w:rPr>
          <w:rFonts w:asciiTheme="majorHAnsi" w:hAnsiTheme="majorHAnsi"/>
          <w:sz w:val="20"/>
          <w:szCs w:val="20"/>
          <w:lang w:val="es-UY"/>
        </w:rPr>
        <w:t>A los efectos de la admisibilidad, la Comisión debe decidir si los hechos alegados pueden caracterizar una violación de derechos, según lo estipulado en el artículo 47</w:t>
      </w:r>
      <w:r w:rsidR="00C62F80">
        <w:rPr>
          <w:rFonts w:asciiTheme="majorHAnsi" w:hAnsiTheme="majorHAnsi"/>
          <w:sz w:val="20"/>
          <w:szCs w:val="20"/>
          <w:lang w:val="es-UY"/>
        </w:rPr>
        <w:t>.</w:t>
      </w:r>
      <w:r w:rsidRPr="00307AEA">
        <w:rPr>
          <w:rFonts w:asciiTheme="majorHAnsi" w:hAnsiTheme="majorHAnsi"/>
          <w:sz w:val="20"/>
          <w:szCs w:val="20"/>
          <w:lang w:val="es-UY"/>
        </w:rPr>
        <w:t xml:space="preserve">b de la Convención Americana, o si la petición es "manifiestamente infundada" o es "evidente su total improcedencia", conforme al inciso (c) de dicho artículo.  El criterio para analizar la admisibilidad difiere del utilizado para el análisis del fondo de la petición dado que la Comisión sólo realiza un análisis </w:t>
      </w:r>
      <w:r w:rsidRPr="00307AEA">
        <w:rPr>
          <w:rFonts w:asciiTheme="majorHAnsi" w:hAnsiTheme="majorHAnsi"/>
          <w:i/>
          <w:sz w:val="20"/>
          <w:szCs w:val="20"/>
          <w:lang w:val="es-UY"/>
        </w:rPr>
        <w:t>prima facie</w:t>
      </w:r>
      <w:r w:rsidRPr="00307AEA">
        <w:rPr>
          <w:rFonts w:asciiTheme="majorHAnsi" w:hAnsiTheme="majorHAnsi"/>
          <w:sz w:val="20"/>
          <w:szCs w:val="20"/>
          <w:lang w:val="es-UY"/>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rsidR="002C44DC" w:rsidRPr="002C44DC" w:rsidRDefault="002C44DC" w:rsidP="002C44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p>
    <w:p w:rsidR="00920AC0" w:rsidRPr="002C44DC" w:rsidRDefault="00920AC0" w:rsidP="002C44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sz w:val="20"/>
          <w:szCs w:val="20"/>
          <w:lang w:val="es-UY"/>
        </w:rPr>
      </w:pPr>
      <w:r w:rsidRPr="002C44DC">
        <w:rPr>
          <w:rFonts w:asciiTheme="majorHAnsi" w:eastAsia="Times New Roman" w:hAnsiTheme="majorHAnsi"/>
          <w:sz w:val="20"/>
          <w:szCs w:val="20"/>
          <w:bdr w:val="none" w:sz="0" w:space="0" w:color="auto"/>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920AC0" w:rsidRPr="00307AEA" w:rsidRDefault="00920AC0" w:rsidP="002C44DC">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Times New Roman" w:hAnsiTheme="majorHAnsi"/>
          <w:b/>
          <w:sz w:val="20"/>
          <w:szCs w:val="20"/>
          <w:u w:val="single"/>
          <w:bdr w:val="none" w:sz="0" w:space="0" w:color="auto"/>
          <w:lang w:val="es-ES"/>
        </w:rPr>
      </w:pPr>
    </w:p>
    <w:p w:rsidR="00920AC0" w:rsidRPr="00307AEA" w:rsidRDefault="00920AC0" w:rsidP="002C44DC">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ES"/>
        </w:rPr>
        <w:t>La peticionaria alega que el Estado mexicano violó el derecho a la libertad personal de las tres presuntas víctimas al aprehenderles sin informarles oportunamente de qué se les acusaba, así como al mantenerlos arraigados por noventa días. También alega que no fueron presentados ante un juez dentro de un plazo razonable y que no fueron informados de las razones de su detención o de los cargos formulados contra ellos. Además, sostiene que no se respetó su derecho a la presunción de su inocencia, y se impidió el acceso de su abogado a las actuaciones de la averiguación previa, en violación de sus garantías judiciales. Según la peticionaria, el Estado también violó su derecho a la protección judicial al no ofrecer un recurso sencillo contra los actos que violaron sus derechos fundamentales en su detención, arraigo, y proceso penal. Alega que el Estado irrespetó su derecho de reunión, ya que la participación de tres personas es uno de los elementos para sustentar el delito de violación a la Ley Federal contra la Delincuencia Organizada. México, por su parte, sostiene que el asunto ha quedado sin materia con la puesta en libertad de las presuntas víctimas.</w:t>
      </w:r>
    </w:p>
    <w:p w:rsidR="00920AC0" w:rsidRPr="00307AEA" w:rsidRDefault="00920AC0" w:rsidP="002C44DC">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Times New Roman" w:hAnsiTheme="majorHAnsi"/>
          <w:sz w:val="20"/>
          <w:szCs w:val="20"/>
          <w:bdr w:val="none" w:sz="0" w:space="0" w:color="auto"/>
          <w:lang w:val="es-ES"/>
        </w:rPr>
      </w:pPr>
    </w:p>
    <w:p w:rsidR="00B744E2" w:rsidRPr="00307AEA" w:rsidRDefault="00711A84" w:rsidP="002C44DC">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hAnsiTheme="majorHAnsi"/>
          <w:sz w:val="20"/>
          <w:szCs w:val="20"/>
          <w:lang w:val="es-AR"/>
        </w:rPr>
        <w:t>En vista de los elementos de hecho y de derecho presentados por las partes y la naturaleza del asunto puesto bajo su conocimiento, la CIDH considera que</w:t>
      </w:r>
      <w:r w:rsidR="00920AC0" w:rsidRPr="00307AEA">
        <w:rPr>
          <w:rFonts w:asciiTheme="majorHAnsi" w:eastAsia="Times New Roman" w:hAnsiTheme="majorHAnsi"/>
          <w:sz w:val="20"/>
          <w:szCs w:val="20"/>
          <w:bdr w:val="none" w:sz="0" w:space="0" w:color="auto"/>
          <w:lang w:val="es-ES"/>
        </w:rPr>
        <w:t xml:space="preserve">, </w:t>
      </w:r>
      <w:r w:rsidRPr="00307AEA">
        <w:rPr>
          <w:rFonts w:asciiTheme="majorHAnsi" w:hAnsiTheme="majorHAnsi"/>
          <w:sz w:val="20"/>
          <w:szCs w:val="20"/>
          <w:lang w:val="es-AR"/>
        </w:rPr>
        <w:t>de ser probados, los hechos alegados podrían caracterizar posibles violaciones a los derechos protegidos en los artículos</w:t>
      </w:r>
      <w:r w:rsidRPr="00307AEA">
        <w:rPr>
          <w:rFonts w:asciiTheme="majorHAnsi" w:eastAsia="Times New Roman" w:hAnsiTheme="majorHAnsi"/>
          <w:sz w:val="20"/>
          <w:szCs w:val="20"/>
          <w:bdr w:val="none" w:sz="0" w:space="0" w:color="auto"/>
          <w:lang w:val="es-ES"/>
        </w:rPr>
        <w:t xml:space="preserve"> </w:t>
      </w:r>
      <w:r w:rsidR="00920AC0" w:rsidRPr="00307AEA">
        <w:rPr>
          <w:rFonts w:asciiTheme="majorHAnsi" w:eastAsia="Times New Roman" w:hAnsiTheme="majorHAnsi"/>
          <w:sz w:val="20"/>
          <w:szCs w:val="20"/>
          <w:bdr w:val="none" w:sz="0" w:space="0" w:color="auto"/>
          <w:lang w:val="es-ES"/>
        </w:rPr>
        <w:t>5 (integridad personal), 7 (derecho a la libertad personal), 8 (garantías judiciales) y 25 (protección judicial) de la Convención Americana,  en relación con los artículos 1.1 y 2 del mismo instrumento internacional.</w:t>
      </w:r>
    </w:p>
    <w:p w:rsidR="00B744E2" w:rsidRPr="00307AEA" w:rsidRDefault="00B744E2" w:rsidP="00A4258B">
      <w:pPr>
        <w:pStyle w:val="ListParagraph"/>
        <w:tabs>
          <w:tab w:val="num" w:pos="0"/>
        </w:tabs>
        <w:ind w:left="0" w:firstLine="720"/>
        <w:jc w:val="both"/>
        <w:rPr>
          <w:rFonts w:asciiTheme="majorHAnsi" w:eastAsia="SimSun" w:hAnsiTheme="majorHAnsi"/>
          <w:color w:val="auto"/>
          <w:sz w:val="20"/>
          <w:szCs w:val="20"/>
          <w:lang w:val="es-UY"/>
        </w:rPr>
      </w:pPr>
    </w:p>
    <w:p w:rsidR="00920AC0" w:rsidRPr="00307AEA" w:rsidRDefault="00711A84" w:rsidP="00A4258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SimSun" w:hAnsiTheme="majorHAnsi"/>
          <w:sz w:val="20"/>
          <w:szCs w:val="20"/>
          <w:lang w:val="es-UY"/>
        </w:rPr>
        <w:lastRenderedPageBreak/>
        <w:t>En cuanto al reclamo de la peticionaria sobre la presunta violación del</w:t>
      </w:r>
      <w:r w:rsidR="00B744E2" w:rsidRPr="00307AEA">
        <w:rPr>
          <w:rFonts w:asciiTheme="majorHAnsi" w:eastAsia="SimSun" w:hAnsiTheme="majorHAnsi"/>
          <w:sz w:val="20"/>
          <w:szCs w:val="20"/>
          <w:lang w:val="es-UY"/>
        </w:rPr>
        <w:t xml:space="preserve"> artículo 15 (derecho de reunión) </w:t>
      </w:r>
      <w:r w:rsidRPr="00307AEA">
        <w:rPr>
          <w:rFonts w:asciiTheme="majorHAnsi" w:eastAsia="SimSun" w:hAnsiTheme="majorHAnsi"/>
          <w:sz w:val="20"/>
          <w:szCs w:val="20"/>
          <w:lang w:val="es-UY"/>
        </w:rPr>
        <w:t>de la Convención Ameri</w:t>
      </w:r>
      <w:r w:rsidR="00F11C33" w:rsidRPr="00307AEA">
        <w:rPr>
          <w:rFonts w:asciiTheme="majorHAnsi" w:eastAsia="SimSun" w:hAnsiTheme="majorHAnsi"/>
          <w:sz w:val="20"/>
          <w:szCs w:val="20"/>
          <w:lang w:val="es-UY"/>
        </w:rPr>
        <w:t>cana, la Comisión observa que la peticionaria</w:t>
      </w:r>
      <w:r w:rsidRPr="00307AEA">
        <w:rPr>
          <w:rFonts w:asciiTheme="majorHAnsi" w:eastAsia="SimSun" w:hAnsiTheme="majorHAnsi"/>
          <w:sz w:val="20"/>
          <w:szCs w:val="20"/>
          <w:lang w:val="es-UY"/>
        </w:rPr>
        <w:t xml:space="preserve"> no ofrece alegatos o sustento para su presunta violación por lo que no corresponde declarar dicha pretensión admisible.</w:t>
      </w:r>
    </w:p>
    <w:p w:rsidR="00B744E2" w:rsidRPr="00307AEA" w:rsidRDefault="00B744E2"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307AEA" w:rsidRDefault="00920AC0" w:rsidP="00A4258B">
      <w:pPr>
        <w:keepN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num" w:pos="1440"/>
        </w:tabs>
        <w:ind w:left="1440" w:hanging="540"/>
        <w:jc w:val="both"/>
        <w:outlineLvl w:val="0"/>
        <w:rPr>
          <w:rFonts w:asciiTheme="majorHAnsi" w:eastAsia="Times New Roman" w:hAnsiTheme="majorHAnsi" w:cs="Arial"/>
          <w:b/>
          <w:bCs/>
          <w:kern w:val="32"/>
          <w:sz w:val="20"/>
          <w:szCs w:val="20"/>
          <w:bdr w:val="none" w:sz="0" w:space="0" w:color="auto"/>
          <w:lang w:val="es-ES"/>
        </w:rPr>
      </w:pPr>
      <w:r w:rsidRPr="00307AEA">
        <w:rPr>
          <w:rFonts w:asciiTheme="majorHAnsi" w:eastAsia="Times New Roman" w:hAnsiTheme="majorHAnsi" w:cs="Arial"/>
          <w:b/>
          <w:bCs/>
          <w:kern w:val="32"/>
          <w:sz w:val="20"/>
          <w:szCs w:val="20"/>
          <w:bdr w:val="none" w:sz="0" w:space="0" w:color="auto"/>
          <w:lang w:val="es-ES"/>
        </w:rPr>
        <w:t>CONCLUSIONES</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B744E2" w:rsidRPr="00307AEA" w:rsidRDefault="00B744E2" w:rsidP="00A4258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lang w:val="es-AR"/>
        </w:rPr>
      </w:pPr>
      <w:r w:rsidRPr="00307AEA">
        <w:rPr>
          <w:rFonts w:asciiTheme="majorHAnsi" w:eastAsia="Times New Roman" w:hAnsiTheme="majorHAnsi"/>
          <w:sz w:val="20"/>
          <w:szCs w:val="20"/>
          <w:bdr w:val="none" w:sz="0" w:space="0" w:color="auto"/>
          <w:lang w:val="es-AR"/>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AR"/>
        </w:rPr>
      </w:pPr>
    </w:p>
    <w:p w:rsidR="00C62F80" w:rsidRDefault="00920AC0" w:rsidP="00C62F80">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center"/>
        <w:rPr>
          <w:rFonts w:asciiTheme="majorHAnsi" w:eastAsia="Times New Roman" w:hAnsiTheme="majorHAnsi"/>
          <w:b/>
          <w:sz w:val="20"/>
          <w:szCs w:val="20"/>
          <w:bdr w:val="none" w:sz="0" w:space="0" w:color="auto"/>
          <w:lang w:val="es-ES"/>
        </w:rPr>
      </w:pPr>
      <w:r w:rsidRPr="00307AEA">
        <w:rPr>
          <w:rFonts w:asciiTheme="majorHAnsi" w:eastAsia="Times New Roman" w:hAnsiTheme="majorHAnsi"/>
          <w:b/>
          <w:sz w:val="20"/>
          <w:szCs w:val="20"/>
          <w:bdr w:val="none" w:sz="0" w:space="0" w:color="auto"/>
          <w:lang w:val="es-ES"/>
        </w:rPr>
        <w:t>LA COMISIÓN INTERAMERICANA DE DERECHOS HUMANOS,</w:t>
      </w:r>
    </w:p>
    <w:p w:rsidR="00920AC0" w:rsidRPr="00307AEA" w:rsidRDefault="00920AC0" w:rsidP="000447AC">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b/>
          <w:sz w:val="20"/>
          <w:szCs w:val="20"/>
          <w:bdr w:val="none" w:sz="0" w:space="0" w:color="auto"/>
          <w:lang w:val="es-ES"/>
        </w:rPr>
      </w:pPr>
      <w:r w:rsidRPr="00307AEA">
        <w:rPr>
          <w:rFonts w:asciiTheme="majorHAnsi" w:eastAsia="Times New Roman" w:hAnsiTheme="majorHAnsi"/>
          <w:b/>
          <w:sz w:val="20"/>
          <w:szCs w:val="20"/>
          <w:bdr w:val="none" w:sz="0" w:space="0" w:color="auto"/>
          <w:lang w:val="es-ES"/>
        </w:rPr>
        <w:t>DECIDE:</w:t>
      </w:r>
    </w:p>
    <w:p w:rsidR="00920AC0" w:rsidRPr="00307AEA" w:rsidRDefault="00920AC0"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920AC0" w:rsidRPr="00307AEA" w:rsidRDefault="00B744E2" w:rsidP="00A4258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sz w:val="20"/>
          <w:szCs w:val="20"/>
          <w:bdr w:val="none" w:sz="0" w:space="0" w:color="auto"/>
          <w:lang w:val="es-UY"/>
        </w:rPr>
        <w:t xml:space="preserve">Declarar admisible la presente petición en relación con los artículos </w:t>
      </w:r>
      <w:r w:rsidRPr="00307AEA">
        <w:rPr>
          <w:rFonts w:asciiTheme="majorHAnsi" w:eastAsia="Times New Roman" w:hAnsiTheme="majorHAnsi"/>
          <w:sz w:val="20"/>
          <w:szCs w:val="20"/>
          <w:bdr w:val="none" w:sz="0" w:space="0" w:color="auto"/>
          <w:lang w:val="es-ES"/>
        </w:rPr>
        <w:t>5, 7, 8, y 25</w:t>
      </w:r>
      <w:r w:rsidRPr="00307AEA">
        <w:rPr>
          <w:rFonts w:asciiTheme="majorHAnsi" w:eastAsia="Times New Roman" w:hAnsiTheme="majorHAnsi"/>
          <w:sz w:val="20"/>
          <w:szCs w:val="20"/>
          <w:bdr w:val="none" w:sz="0" w:space="0" w:color="auto"/>
          <w:lang w:val="es-UY"/>
        </w:rPr>
        <w:t xml:space="preserve"> de la Convención Americana en conexión con las obligaciones establecidas en los artículos 1.1 y 2 del mismo instrumento.</w:t>
      </w:r>
    </w:p>
    <w:p w:rsidR="00B744E2" w:rsidRPr="00307AEA" w:rsidRDefault="00B744E2"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B744E2" w:rsidRPr="00307AEA" w:rsidRDefault="00920AC0" w:rsidP="00A4258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eastAsia="Times New Roman" w:hAnsiTheme="majorHAnsi"/>
          <w:color w:val="000000"/>
          <w:sz w:val="20"/>
          <w:szCs w:val="20"/>
          <w:bdr w:val="none" w:sz="0" w:space="0" w:color="auto"/>
          <w:lang w:val="es-ES"/>
        </w:rPr>
        <w:t xml:space="preserve">Declarar inadmisible la </w:t>
      </w:r>
      <w:r w:rsidRPr="00307AEA">
        <w:rPr>
          <w:rFonts w:asciiTheme="majorHAnsi" w:eastAsia="Times New Roman" w:hAnsiTheme="majorHAnsi"/>
          <w:sz w:val="20"/>
          <w:szCs w:val="20"/>
          <w:bdr w:val="none" w:sz="0" w:space="0" w:color="auto"/>
          <w:lang w:val="es-ES"/>
        </w:rPr>
        <w:t xml:space="preserve">presente petición en </w:t>
      </w:r>
      <w:r w:rsidR="00B744E2" w:rsidRPr="00307AEA">
        <w:rPr>
          <w:rFonts w:asciiTheme="majorHAnsi" w:eastAsia="Times New Roman" w:hAnsiTheme="majorHAnsi"/>
          <w:sz w:val="20"/>
          <w:szCs w:val="20"/>
          <w:bdr w:val="none" w:sz="0" w:space="0" w:color="auto"/>
          <w:lang w:val="es-ES"/>
        </w:rPr>
        <w:t>relación con e</w:t>
      </w:r>
      <w:r w:rsidRPr="00307AEA">
        <w:rPr>
          <w:rFonts w:asciiTheme="majorHAnsi" w:eastAsia="Times New Roman" w:hAnsiTheme="majorHAnsi"/>
          <w:sz w:val="20"/>
          <w:szCs w:val="20"/>
          <w:bdr w:val="none" w:sz="0" w:space="0" w:color="auto"/>
          <w:lang w:val="es-ES"/>
        </w:rPr>
        <w:t>l artículo</w:t>
      </w:r>
      <w:r w:rsidR="00B744E2" w:rsidRPr="00307AEA">
        <w:rPr>
          <w:rFonts w:asciiTheme="majorHAnsi" w:eastAsia="Times New Roman" w:hAnsiTheme="majorHAnsi"/>
          <w:sz w:val="20"/>
          <w:szCs w:val="20"/>
          <w:bdr w:val="none" w:sz="0" w:space="0" w:color="auto"/>
          <w:lang w:val="es-ES"/>
        </w:rPr>
        <w:t xml:space="preserve"> 15 de la Convención Americana.</w:t>
      </w:r>
    </w:p>
    <w:p w:rsidR="00B744E2" w:rsidRPr="00307AEA" w:rsidRDefault="00B744E2" w:rsidP="00A4258B">
      <w:pPr>
        <w:pStyle w:val="ListParagraph"/>
        <w:tabs>
          <w:tab w:val="num" w:pos="0"/>
        </w:tabs>
        <w:jc w:val="both"/>
        <w:rPr>
          <w:rFonts w:asciiTheme="majorHAnsi" w:hAnsiTheme="majorHAnsi"/>
          <w:sz w:val="20"/>
          <w:szCs w:val="20"/>
          <w:lang w:val="es-UY"/>
        </w:rPr>
      </w:pPr>
    </w:p>
    <w:p w:rsidR="00B744E2" w:rsidRPr="00307AEA" w:rsidRDefault="00B744E2" w:rsidP="00A4258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Theme="majorHAnsi" w:eastAsia="Times New Roman" w:hAnsiTheme="majorHAnsi"/>
          <w:sz w:val="20"/>
          <w:szCs w:val="20"/>
          <w:bdr w:val="none" w:sz="0" w:space="0" w:color="auto"/>
          <w:lang w:val="es-ES"/>
        </w:rPr>
      </w:pPr>
      <w:r w:rsidRPr="00307AEA">
        <w:rPr>
          <w:rFonts w:asciiTheme="majorHAnsi" w:hAnsiTheme="majorHAnsi"/>
          <w:sz w:val="20"/>
          <w:szCs w:val="20"/>
          <w:lang w:val="es-UY"/>
        </w:rPr>
        <w:t>Notificar a las partes la presente decisión;</w:t>
      </w:r>
    </w:p>
    <w:p w:rsidR="00B744E2" w:rsidRPr="00307AEA" w:rsidRDefault="00B744E2" w:rsidP="00A4258B">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eastAsia="Times New Roman" w:hAnsiTheme="majorHAnsi"/>
          <w:sz w:val="20"/>
          <w:szCs w:val="20"/>
          <w:bdr w:val="none" w:sz="0" w:space="0" w:color="auto"/>
          <w:lang w:val="es-ES"/>
        </w:rPr>
      </w:pPr>
    </w:p>
    <w:p w:rsidR="00B744E2" w:rsidRPr="00307AEA" w:rsidRDefault="00B744E2" w:rsidP="00A4258B">
      <w:pPr>
        <w:tabs>
          <w:tab w:val="num" w:pos="0"/>
        </w:tabs>
        <w:spacing w:after="240"/>
        <w:ind w:firstLine="720"/>
        <w:jc w:val="both"/>
        <w:rPr>
          <w:rFonts w:asciiTheme="majorHAnsi" w:hAnsiTheme="majorHAnsi"/>
          <w:sz w:val="20"/>
          <w:szCs w:val="20"/>
          <w:lang w:val="es-UY"/>
        </w:rPr>
      </w:pPr>
      <w:r w:rsidRPr="00307AEA">
        <w:rPr>
          <w:rFonts w:asciiTheme="majorHAnsi" w:hAnsiTheme="majorHAnsi"/>
          <w:sz w:val="20"/>
          <w:szCs w:val="20"/>
          <w:lang w:val="es-UY"/>
        </w:rPr>
        <w:t>4.</w:t>
      </w:r>
      <w:r w:rsidRPr="00307AEA">
        <w:rPr>
          <w:rFonts w:asciiTheme="majorHAnsi" w:hAnsiTheme="majorHAnsi"/>
          <w:sz w:val="20"/>
          <w:szCs w:val="20"/>
          <w:lang w:val="es-UY"/>
        </w:rPr>
        <w:tab/>
        <w:t>Continuar con el análisis del fondo de la cuestión; y</w:t>
      </w:r>
    </w:p>
    <w:p w:rsidR="000447AC" w:rsidRDefault="00B744E2" w:rsidP="00C736EA">
      <w:pPr>
        <w:tabs>
          <w:tab w:val="num" w:pos="0"/>
        </w:tabs>
        <w:spacing w:after="240"/>
        <w:ind w:firstLine="720"/>
        <w:jc w:val="both"/>
        <w:rPr>
          <w:rFonts w:asciiTheme="majorHAnsi" w:hAnsiTheme="majorHAnsi"/>
          <w:sz w:val="20"/>
          <w:szCs w:val="20"/>
          <w:lang w:val="es-UY"/>
        </w:rPr>
      </w:pPr>
      <w:r w:rsidRPr="00307AEA">
        <w:rPr>
          <w:rFonts w:asciiTheme="majorHAnsi" w:hAnsiTheme="majorHAnsi"/>
          <w:sz w:val="20"/>
          <w:szCs w:val="20"/>
          <w:lang w:val="es-UY"/>
        </w:rPr>
        <w:t>5.</w:t>
      </w:r>
      <w:r w:rsidRPr="00307AEA">
        <w:rPr>
          <w:rFonts w:asciiTheme="majorHAnsi" w:hAnsiTheme="majorHAnsi"/>
          <w:sz w:val="20"/>
          <w:szCs w:val="20"/>
          <w:lang w:val="es-UY"/>
        </w:rPr>
        <w:tab/>
        <w:t>Publicar esta decisión e incluirla en su Informe Anual a la Asamblea General de la Organización de los Estados Americanos.</w:t>
      </w:r>
    </w:p>
    <w:p w:rsidR="0073232E" w:rsidRPr="00804A84" w:rsidRDefault="0073232E" w:rsidP="0073232E">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27</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octubre</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 xml:space="preserve">5. </w:t>
      </w:r>
      <w:r w:rsidRPr="00804A84">
        <w:rPr>
          <w:rFonts w:ascii="Cambria" w:hAnsi="Cambria" w:cs="Arial"/>
          <w:noProof/>
          <w:spacing w:val="-2"/>
          <w:sz w:val="20"/>
          <w:szCs w:val="20"/>
          <w:lang w:val="es-CL"/>
        </w:rPr>
        <w:t xml:space="preserve">(Firmado):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xml:space="preserve">, Rosa María Ortiz,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rsidR="000447AC" w:rsidRPr="0073232E" w:rsidRDefault="000447AC" w:rsidP="00A4258B">
      <w:pPr>
        <w:tabs>
          <w:tab w:val="num" w:pos="0"/>
        </w:tabs>
        <w:spacing w:after="240"/>
        <w:ind w:firstLine="720"/>
        <w:jc w:val="both"/>
        <w:rPr>
          <w:rFonts w:asciiTheme="majorHAnsi" w:hAnsiTheme="majorHAnsi"/>
          <w:sz w:val="20"/>
          <w:szCs w:val="20"/>
          <w:lang w:val="es-CL"/>
        </w:rPr>
      </w:pPr>
    </w:p>
    <w:sectPr w:rsidR="000447AC" w:rsidRPr="0073232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0A3" w:rsidRDefault="003420A3">
      <w:r>
        <w:separator/>
      </w:r>
    </w:p>
  </w:endnote>
  <w:endnote w:type="continuationSeparator" w:id="0">
    <w:p w:rsidR="003420A3" w:rsidRDefault="0034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98" w:rsidRDefault="00292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92898">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0A3" w:rsidRPr="000F35ED" w:rsidRDefault="003420A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420A3" w:rsidRPr="000F35ED" w:rsidRDefault="003420A3" w:rsidP="000F35ED">
      <w:pPr>
        <w:rPr>
          <w:rFonts w:asciiTheme="majorHAnsi" w:hAnsiTheme="majorHAnsi"/>
          <w:sz w:val="16"/>
          <w:szCs w:val="16"/>
        </w:rPr>
      </w:pPr>
      <w:r w:rsidRPr="000F35ED">
        <w:rPr>
          <w:rFonts w:asciiTheme="majorHAnsi" w:hAnsiTheme="majorHAnsi"/>
          <w:sz w:val="16"/>
          <w:szCs w:val="16"/>
        </w:rPr>
        <w:separator/>
      </w:r>
    </w:p>
    <w:p w:rsidR="003420A3" w:rsidRPr="000F35ED" w:rsidRDefault="003420A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3420A3" w:rsidRPr="000F35ED" w:rsidRDefault="003420A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920AC0" w:rsidRPr="00A4258B" w:rsidRDefault="00920AC0" w:rsidP="0054038F">
      <w:pPr>
        <w:pStyle w:val="FootnoteText"/>
        <w:spacing w:after="120"/>
        <w:ind w:firstLine="720"/>
        <w:jc w:val="both"/>
        <w:rPr>
          <w:rFonts w:asciiTheme="minorHAnsi" w:hAnsiTheme="minorHAnsi"/>
          <w:sz w:val="16"/>
          <w:szCs w:val="16"/>
          <w:lang w:val="es-ES"/>
        </w:rPr>
      </w:pPr>
      <w:r w:rsidRPr="00A4258B">
        <w:rPr>
          <w:rStyle w:val="FootnoteReference"/>
          <w:rFonts w:asciiTheme="minorHAnsi" w:eastAsia="MS Gothic" w:hAnsiTheme="minorHAnsi"/>
          <w:sz w:val="16"/>
          <w:szCs w:val="16"/>
          <w:lang w:val="es-ES"/>
        </w:rPr>
        <w:footnoteRef/>
      </w:r>
      <w:r w:rsidRPr="00A4258B">
        <w:rPr>
          <w:rFonts w:asciiTheme="minorHAnsi" w:hAnsiTheme="minorHAnsi"/>
          <w:sz w:val="16"/>
          <w:szCs w:val="16"/>
          <w:lang w:val="es-ES"/>
        </w:rPr>
        <w:t xml:space="preserve"> </w:t>
      </w:r>
      <w:r w:rsidRPr="00A4258B">
        <w:rPr>
          <w:rFonts w:asciiTheme="minorHAnsi" w:hAnsiTheme="minorHAnsi" w:cs="Arial"/>
          <w:sz w:val="16"/>
          <w:szCs w:val="16"/>
          <w:lang w:val="es-ES"/>
        </w:rPr>
        <w:t>Conforme a lo dispuesto en el artículo 17.2.a del Reglamento de la Comisión, el Comisionado José de Jesús Orozco Henríquez, de nacionalidad mexicana, no participó en el debate ni en la decisión del presente caso.</w:t>
      </w:r>
    </w:p>
  </w:footnote>
  <w:footnote w:id="3">
    <w:p w:rsidR="00920AC0" w:rsidRPr="00A4258B" w:rsidRDefault="00920AC0" w:rsidP="0054038F">
      <w:pPr>
        <w:pStyle w:val="FootnoteText"/>
        <w:spacing w:after="120"/>
        <w:ind w:firstLine="720"/>
        <w:jc w:val="both"/>
        <w:rPr>
          <w:rFonts w:asciiTheme="minorHAnsi" w:hAnsiTheme="minorHAnsi"/>
          <w:sz w:val="16"/>
          <w:szCs w:val="16"/>
          <w:lang w:val="es-ES"/>
        </w:rPr>
      </w:pPr>
      <w:r w:rsidRPr="00A4258B">
        <w:rPr>
          <w:rStyle w:val="FootnoteReference"/>
          <w:rFonts w:asciiTheme="minorHAnsi" w:hAnsiTheme="minorHAnsi"/>
          <w:sz w:val="16"/>
          <w:szCs w:val="16"/>
          <w:lang w:val="es-ES"/>
        </w:rPr>
        <w:footnoteRef/>
      </w:r>
      <w:r w:rsidRPr="00A4258B">
        <w:rPr>
          <w:rFonts w:asciiTheme="minorHAnsi" w:hAnsiTheme="minorHAnsi"/>
          <w:sz w:val="16"/>
          <w:szCs w:val="16"/>
          <w:lang w:val="es-ES"/>
        </w:rPr>
        <w:t xml:space="preserve"> Escrito de la peticionaria del 14 de noviembre de 2008, p. 2 (“Sin más por el momento nos despedimos no sin antes reiterarle los sentimientos de nuestra más alta estima y en espera de que la H. Comisión Interamericana considere el aceptar este Caso por las violaciones sistemáticas al debido proceso y sobre todo por lo que toca a la ilegalidad de la figura del Arraigo al que los señores Jorge Marcial Tzompaxtle Tecpile, Gerardo Txompaxtle Tecpile y Gustavo Roble</w:t>
      </w:r>
      <w:r w:rsidR="006C17D6" w:rsidRPr="00A4258B">
        <w:rPr>
          <w:rFonts w:asciiTheme="minorHAnsi" w:hAnsiTheme="minorHAnsi"/>
          <w:sz w:val="16"/>
          <w:szCs w:val="16"/>
          <w:lang w:val="es-ES"/>
        </w:rPr>
        <w:t>s</w:t>
      </w:r>
      <w:r w:rsidRPr="00A4258B">
        <w:rPr>
          <w:rFonts w:asciiTheme="minorHAnsi" w:hAnsiTheme="minorHAnsi"/>
          <w:sz w:val="16"/>
          <w:szCs w:val="16"/>
          <w:lang w:val="es-ES"/>
        </w:rPr>
        <w:t xml:space="preserve"> López fueron sometidos por tres meses”).</w:t>
      </w:r>
    </w:p>
  </w:footnote>
  <w:footnote w:id="4">
    <w:p w:rsidR="00920AC0" w:rsidRPr="00A4258B" w:rsidRDefault="00920AC0" w:rsidP="0054038F">
      <w:pPr>
        <w:pStyle w:val="FootnoteText"/>
        <w:spacing w:after="120"/>
        <w:ind w:firstLine="720"/>
        <w:jc w:val="both"/>
        <w:rPr>
          <w:rFonts w:asciiTheme="minorHAnsi" w:hAnsiTheme="minorHAnsi"/>
          <w:sz w:val="16"/>
          <w:szCs w:val="16"/>
          <w:lang w:val="es-ES"/>
        </w:rPr>
      </w:pPr>
      <w:r w:rsidRPr="00A4258B">
        <w:rPr>
          <w:rStyle w:val="FootnoteReference"/>
          <w:rFonts w:asciiTheme="minorHAnsi" w:hAnsiTheme="minorHAnsi"/>
          <w:sz w:val="16"/>
          <w:szCs w:val="16"/>
          <w:lang w:val="es-ES"/>
        </w:rPr>
        <w:footnoteRef/>
      </w:r>
      <w:r w:rsidRPr="00A4258B">
        <w:rPr>
          <w:rFonts w:asciiTheme="minorHAnsi" w:hAnsiTheme="minorHAnsi"/>
          <w:sz w:val="16"/>
          <w:szCs w:val="16"/>
          <w:lang w:val="es-ES"/>
        </w:rPr>
        <w:t xml:space="preserve"> En particular, la CIDH toma nota del artículo 48 de la Convención Americana que, a la letra, dispone: “La Comisión, al recibir una petición o comunicación en la que se alegue la violación de cualquiera de los derechos que consagra esta Convención, procederá en los siguientes términos: […] a) si reconoce la admisibilidad de la petición o comunicación solicitará informaciones al Gobierno del Estado al cual pertenezca la autoridad señalada como responsable de la violación alegada […]”. Asimismo, el artículo 24 del Reglamento de la CIDH establece que: “La Comisión podrá, </w:t>
      </w:r>
      <w:r w:rsidRPr="00A4258B">
        <w:rPr>
          <w:rFonts w:asciiTheme="minorHAnsi" w:hAnsiTheme="minorHAnsi"/>
          <w:i/>
          <w:sz w:val="16"/>
          <w:szCs w:val="16"/>
          <w:lang w:val="es-ES"/>
        </w:rPr>
        <w:t>motu proprio</w:t>
      </w:r>
      <w:r w:rsidRPr="00A4258B">
        <w:rPr>
          <w:rFonts w:asciiTheme="minorHAnsi" w:hAnsiTheme="minorHAnsi"/>
          <w:sz w:val="16"/>
          <w:szCs w:val="16"/>
          <w:lang w:val="es-ES"/>
        </w:rPr>
        <w:t>, iniciar la tramitación de una petición que contenga, a su juicio, los requisitos para tal fin”.</w:t>
      </w:r>
    </w:p>
  </w:footnote>
  <w:footnote w:id="5">
    <w:p w:rsidR="00056BE5" w:rsidRPr="00A4258B" w:rsidRDefault="00056BE5" w:rsidP="000505BF">
      <w:pPr>
        <w:pStyle w:val="FootnoteText"/>
        <w:spacing w:after="120"/>
        <w:ind w:firstLine="720"/>
        <w:jc w:val="both"/>
        <w:rPr>
          <w:rFonts w:asciiTheme="minorHAnsi" w:hAnsiTheme="minorHAnsi"/>
          <w:sz w:val="16"/>
          <w:szCs w:val="16"/>
          <w:lang w:val="es-ES"/>
        </w:rPr>
      </w:pPr>
      <w:r w:rsidRPr="00A4258B">
        <w:rPr>
          <w:rStyle w:val="FootnoteReference"/>
          <w:rFonts w:asciiTheme="minorHAnsi" w:hAnsiTheme="minorHAnsi"/>
          <w:sz w:val="16"/>
          <w:szCs w:val="16"/>
        </w:rPr>
        <w:footnoteRef/>
      </w:r>
      <w:r w:rsidRPr="00A4258B">
        <w:rPr>
          <w:rFonts w:asciiTheme="minorHAnsi" w:hAnsiTheme="minorHAnsi"/>
          <w:sz w:val="16"/>
          <w:szCs w:val="16"/>
          <w:lang w:val="es-ES"/>
        </w:rPr>
        <w:t xml:space="preserve"> CIDH, Informe No. 46/15, Petición 315-01. Cristina Britez Arce. Argentina. 28 de julio de 2015, párr. 47.</w:t>
      </w:r>
    </w:p>
  </w:footnote>
  <w:footnote w:id="6">
    <w:p w:rsidR="004C0842" w:rsidRPr="00A4258B" w:rsidRDefault="004C0842" w:rsidP="004C0842">
      <w:pPr>
        <w:pStyle w:val="FootnoteText"/>
        <w:spacing w:after="120"/>
        <w:ind w:firstLine="720"/>
        <w:jc w:val="both"/>
        <w:rPr>
          <w:rFonts w:asciiTheme="minorHAnsi" w:hAnsiTheme="minorHAnsi" w:cs="Arial"/>
          <w:sz w:val="16"/>
          <w:szCs w:val="16"/>
          <w:lang w:val="es-ES"/>
        </w:rPr>
      </w:pPr>
      <w:r w:rsidRPr="00A4258B">
        <w:rPr>
          <w:rStyle w:val="FootnoteReference"/>
          <w:rFonts w:asciiTheme="minorHAnsi" w:hAnsiTheme="minorHAnsi" w:cs="Arial"/>
          <w:sz w:val="16"/>
          <w:szCs w:val="16"/>
          <w:lang w:val="es-ES"/>
        </w:rPr>
        <w:footnoteRef/>
      </w:r>
      <w:r w:rsidRPr="00A4258B">
        <w:rPr>
          <w:rFonts w:asciiTheme="minorHAnsi" w:hAnsiTheme="minorHAnsi" w:cs="Arial"/>
          <w:sz w:val="16"/>
          <w:szCs w:val="16"/>
          <w:lang w:val="es-ES"/>
        </w:rPr>
        <w:t xml:space="preserve"> </w:t>
      </w:r>
      <w:r w:rsidRPr="00A4258B">
        <w:rPr>
          <w:i/>
          <w:iCs/>
          <w:sz w:val="16"/>
          <w:szCs w:val="16"/>
          <w:lang w:val="es-ES_tradnl"/>
        </w:rPr>
        <w:t xml:space="preserve">Véase, por ejemplo, </w:t>
      </w:r>
      <w:r w:rsidRPr="00A4258B">
        <w:rPr>
          <w:rFonts w:asciiTheme="minorHAnsi" w:hAnsiTheme="minorHAnsi" w:cs="Arial"/>
          <w:sz w:val="16"/>
          <w:szCs w:val="16"/>
          <w:lang w:val="es-ES"/>
        </w:rPr>
        <w:t>CIDH,</w:t>
      </w:r>
      <w:r w:rsidRPr="00A4258B">
        <w:rPr>
          <w:rStyle w:val="apple-converted-space"/>
          <w:rFonts w:asciiTheme="minorHAnsi" w:hAnsiTheme="minorHAnsi" w:cs="Arial"/>
          <w:sz w:val="16"/>
          <w:szCs w:val="16"/>
          <w:lang w:val="es-ES"/>
        </w:rPr>
        <w:t> </w:t>
      </w:r>
      <w:r w:rsidRPr="00A4258B">
        <w:rPr>
          <w:rFonts w:asciiTheme="minorHAnsi" w:hAnsiTheme="minorHAnsi" w:cs="Arial"/>
          <w:iCs/>
          <w:sz w:val="16"/>
          <w:szCs w:val="16"/>
          <w:lang w:val="es-ES"/>
        </w:rPr>
        <w:t>Informe Nº 96/98 (Admisibilidad),</w:t>
      </w:r>
      <w:r w:rsidRPr="00A4258B">
        <w:rPr>
          <w:rFonts w:asciiTheme="minorHAnsi" w:hAnsiTheme="minorHAnsi" w:cs="Arial"/>
          <w:i/>
          <w:iCs/>
          <w:sz w:val="16"/>
          <w:szCs w:val="16"/>
          <w:lang w:val="es-ES"/>
        </w:rPr>
        <w:t xml:space="preserve"> </w:t>
      </w:r>
      <w:r w:rsidRPr="00A4258B">
        <w:rPr>
          <w:rFonts w:asciiTheme="minorHAnsi" w:hAnsiTheme="minorHAnsi" w:cs="Arial"/>
          <w:iCs/>
          <w:sz w:val="16"/>
          <w:szCs w:val="16"/>
          <w:lang w:val="es-ES"/>
        </w:rPr>
        <w:t xml:space="preserve">Petición 11.827, </w:t>
      </w:r>
      <w:r w:rsidRPr="00A4258B">
        <w:rPr>
          <w:rFonts w:asciiTheme="minorHAnsi" w:hAnsiTheme="minorHAnsi" w:cs="Arial"/>
          <w:i/>
          <w:iCs/>
          <w:sz w:val="16"/>
          <w:szCs w:val="16"/>
          <w:lang w:val="es-ES"/>
        </w:rPr>
        <w:t>Peter Blaine</w:t>
      </w:r>
      <w:r w:rsidRPr="00A4258B">
        <w:rPr>
          <w:rFonts w:asciiTheme="minorHAnsi" w:hAnsiTheme="minorHAnsi" w:cs="Arial"/>
          <w:sz w:val="16"/>
          <w:szCs w:val="16"/>
          <w:lang w:val="es-ES"/>
        </w:rPr>
        <w:t xml:space="preserve">, 17 de diciembre de 1998, párr. 42; </w:t>
      </w:r>
      <w:r w:rsidRPr="00A4258B">
        <w:rPr>
          <w:sz w:val="16"/>
          <w:szCs w:val="16"/>
          <w:lang w:val="es-ES_tradnl"/>
        </w:rPr>
        <w:t>CIDH, Informe de Inadmisibilidad Nº 89/05 de 24 de octubre de 2005, Petición 12.103, Cecilia Rosana Nuñez Chipana, Venezuela;</w:t>
      </w:r>
      <w:r w:rsidRPr="00A4258B">
        <w:rPr>
          <w:rFonts w:asciiTheme="minorHAnsi" w:hAnsiTheme="minorHAnsi" w:cs="Arial"/>
          <w:sz w:val="16"/>
          <w:szCs w:val="16"/>
          <w:lang w:val="es-ES"/>
        </w:rPr>
        <w:t xml:space="preserve"> CIDH, Informe </w:t>
      </w:r>
      <w:r w:rsidRPr="00A4258B">
        <w:rPr>
          <w:rFonts w:asciiTheme="minorHAnsi" w:hAnsiTheme="minorHAnsi" w:cs="Arial"/>
          <w:iCs/>
          <w:sz w:val="16"/>
          <w:szCs w:val="16"/>
          <w:lang w:val="es-ES"/>
        </w:rPr>
        <w:t xml:space="preserve">Nº 01/09 (Admisibilidad), Petición 1491-05, </w:t>
      </w:r>
      <w:r w:rsidRPr="00A4258B">
        <w:rPr>
          <w:rFonts w:asciiTheme="minorHAnsi" w:hAnsiTheme="minorHAnsi" w:cs="Arial"/>
          <w:i/>
          <w:iCs/>
          <w:sz w:val="16"/>
          <w:szCs w:val="16"/>
          <w:lang w:val="es-ES"/>
        </w:rPr>
        <w:t>Benito Antonio Barrios y otros</w:t>
      </w:r>
      <w:r w:rsidRPr="00A4258B">
        <w:rPr>
          <w:rFonts w:asciiTheme="minorHAnsi" w:hAnsiTheme="minorHAnsi" w:cs="Arial"/>
          <w:iCs/>
          <w:sz w:val="16"/>
          <w:szCs w:val="16"/>
          <w:lang w:val="es-ES"/>
        </w:rPr>
        <w:t>,</w:t>
      </w:r>
      <w:r w:rsidRPr="00A4258B">
        <w:rPr>
          <w:rFonts w:asciiTheme="minorHAnsi" w:hAnsiTheme="minorHAnsi" w:cs="Arial"/>
          <w:sz w:val="16"/>
          <w:szCs w:val="16"/>
          <w:lang w:val="es-ES"/>
        </w:rPr>
        <w:t xml:space="preserve"> 17 de enero de 2009, párr. 66. </w:t>
      </w:r>
    </w:p>
  </w:footnote>
  <w:footnote w:id="7">
    <w:p w:rsidR="00B2406F" w:rsidRPr="00A4258B" w:rsidRDefault="00B2406F" w:rsidP="00B2406F">
      <w:pPr>
        <w:pStyle w:val="FootnoteText"/>
        <w:spacing w:after="120"/>
        <w:ind w:firstLine="720"/>
        <w:jc w:val="both"/>
        <w:rPr>
          <w:sz w:val="16"/>
          <w:szCs w:val="16"/>
          <w:lang w:val="es-ES"/>
        </w:rPr>
      </w:pPr>
      <w:r w:rsidRPr="00A4258B">
        <w:rPr>
          <w:rStyle w:val="FootnoteReference"/>
          <w:sz w:val="16"/>
          <w:szCs w:val="16"/>
        </w:rPr>
        <w:footnoteRef/>
      </w:r>
      <w:r w:rsidRPr="00A4258B">
        <w:rPr>
          <w:sz w:val="16"/>
          <w:szCs w:val="16"/>
          <w:lang w:val="es-ES"/>
        </w:rPr>
        <w:t xml:space="preserve"> Véase O.N.U. Comisión de Derechos Humanos, disponible en: </w:t>
      </w:r>
      <w:hyperlink r:id="rId1" w:history="1">
        <w:r w:rsidRPr="00A4258B">
          <w:rPr>
            <w:rStyle w:val="Hyperlink"/>
            <w:sz w:val="16"/>
            <w:szCs w:val="16"/>
            <w:lang w:val="es-ES"/>
          </w:rPr>
          <w:t>http://acnudh.org/wp-content/uploads/2014/08/ES-Factsheet-WGAD-formato.pdf</w:t>
        </w:r>
      </w:hyperlink>
      <w:r w:rsidRPr="00A4258B">
        <w:rPr>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EBD71B7" wp14:editId="24C0647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3420A3"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98" w:rsidRDefault="00292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95A"/>
    <w:multiLevelType w:val="hybridMultilevel"/>
    <w:tmpl w:val="772A07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53B86"/>
    <w:multiLevelType w:val="hybridMultilevel"/>
    <w:tmpl w:val="96C8E29A"/>
    <w:lvl w:ilvl="0" w:tplc="619626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63D10A1"/>
    <w:multiLevelType w:val="hybridMultilevel"/>
    <w:tmpl w:val="0A3AC7E8"/>
    <w:lvl w:ilvl="0" w:tplc="23586E8E">
      <w:start w:val="1"/>
      <w:numFmt w:val="upperRoman"/>
      <w:pStyle w:val="Heading3"/>
      <w:lvlText w:val="%1."/>
      <w:lvlJc w:val="right"/>
      <w:pPr>
        <w:tabs>
          <w:tab w:val="num" w:pos="720"/>
        </w:tabs>
        <w:ind w:left="720" w:hanging="180"/>
      </w:pPr>
    </w:lvl>
    <w:lvl w:ilvl="1" w:tplc="12ACB57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5BE88C6">
      <w:start w:val="1"/>
      <w:numFmt w:val="decimal"/>
      <w:lvlText w:val="%4."/>
      <w:lvlJc w:val="left"/>
      <w:pPr>
        <w:tabs>
          <w:tab w:val="num" w:pos="2340"/>
        </w:tabs>
        <w:ind w:left="2340" w:hanging="1440"/>
      </w:pPr>
      <w:rPr>
        <w:rFonts w:asciiTheme="majorHAnsi" w:hAnsiTheme="majorHAnsi"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0C9B3D26"/>
    <w:multiLevelType w:val="hybridMultilevel"/>
    <w:tmpl w:val="B9A6B140"/>
    <w:lvl w:ilvl="0" w:tplc="0838953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9D40D5"/>
    <w:multiLevelType w:val="hybridMultilevel"/>
    <w:tmpl w:val="1188F4A2"/>
    <w:lvl w:ilvl="0" w:tplc="2EA01434">
      <w:start w:val="1"/>
      <w:numFmt w:val="upperLetter"/>
      <w:lvlText w:val="%1."/>
      <w:lvlJc w:val="left"/>
      <w:pPr>
        <w:tabs>
          <w:tab w:val="num" w:pos="1440"/>
        </w:tabs>
        <w:ind w:left="1440" w:hanging="720"/>
      </w:pPr>
      <w:rPr>
        <w:rFonts w:hint="default"/>
      </w:rPr>
    </w:lvl>
    <w:lvl w:ilvl="1" w:tplc="2200ACF0">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12C573D"/>
    <w:multiLevelType w:val="hybridMultilevel"/>
    <w:tmpl w:val="FD46F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6CF54DC"/>
    <w:multiLevelType w:val="hybridMultilevel"/>
    <w:tmpl w:val="B218E238"/>
    <w:lvl w:ilvl="0" w:tplc="F59E430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7"/>
  </w:num>
  <w:num w:numId="2">
    <w:abstractNumId w:val="9"/>
  </w:num>
  <w:num w:numId="3">
    <w:abstractNumId w:val="56"/>
  </w:num>
  <w:num w:numId="4">
    <w:abstractNumId w:val="25"/>
  </w:num>
  <w:num w:numId="5">
    <w:abstractNumId w:val="49"/>
  </w:num>
  <w:num w:numId="6">
    <w:abstractNumId w:val="30"/>
  </w:num>
  <w:num w:numId="7">
    <w:abstractNumId w:val="10"/>
  </w:num>
  <w:num w:numId="8">
    <w:abstractNumId w:val="21"/>
  </w:num>
  <w:num w:numId="9">
    <w:abstractNumId w:val="45"/>
  </w:num>
  <w:num w:numId="10">
    <w:abstractNumId w:val="2"/>
  </w:num>
  <w:num w:numId="11">
    <w:abstractNumId w:val="39"/>
  </w:num>
  <w:num w:numId="12">
    <w:abstractNumId w:val="40"/>
  </w:num>
  <w:num w:numId="13">
    <w:abstractNumId w:val="46"/>
  </w:num>
  <w:num w:numId="14">
    <w:abstractNumId w:val="3"/>
  </w:num>
  <w:num w:numId="15">
    <w:abstractNumId w:val="5"/>
  </w:num>
  <w:num w:numId="16">
    <w:abstractNumId w:val="11"/>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2"/>
  </w:num>
  <w:num w:numId="26">
    <w:abstractNumId w:val="23"/>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8"/>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4"/>
  </w:num>
  <w:num w:numId="52">
    <w:abstractNumId w:val="43"/>
  </w:num>
  <w:num w:numId="53">
    <w:abstractNumId w:val="53"/>
  </w:num>
  <w:num w:numId="54">
    <w:abstractNumId w:val="47"/>
  </w:num>
  <w:num w:numId="55">
    <w:abstractNumId w:val="8"/>
  </w:num>
  <w:num w:numId="56">
    <w:abstractNumId w:val="4"/>
  </w:num>
  <w:num w:numId="57">
    <w:abstractNumId w:val="50"/>
  </w:num>
  <w:num w:numId="58">
    <w:abstractNumId w:val="1"/>
  </w:num>
  <w:num w:numId="59">
    <w:abstractNumId w:val="12"/>
  </w:num>
  <w:num w:numId="60">
    <w:abstractNumId w:val="44"/>
  </w:num>
  <w:num w:numId="61">
    <w:abstractNumId w:val="0"/>
  </w:num>
  <w:num w:numId="62">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9C7"/>
    <w:rsid w:val="00000CDA"/>
    <w:rsid w:val="00006E1F"/>
    <w:rsid w:val="000070D7"/>
    <w:rsid w:val="00010291"/>
    <w:rsid w:val="0001788C"/>
    <w:rsid w:val="00040C3A"/>
    <w:rsid w:val="000447AC"/>
    <w:rsid w:val="000505BF"/>
    <w:rsid w:val="00056BE5"/>
    <w:rsid w:val="0005711F"/>
    <w:rsid w:val="00067428"/>
    <w:rsid w:val="000716C5"/>
    <w:rsid w:val="00075E23"/>
    <w:rsid w:val="00082471"/>
    <w:rsid w:val="0009344A"/>
    <w:rsid w:val="000A392E"/>
    <w:rsid w:val="000A575F"/>
    <w:rsid w:val="000B3CB2"/>
    <w:rsid w:val="000D10DB"/>
    <w:rsid w:val="000E5EB5"/>
    <w:rsid w:val="000F35ED"/>
    <w:rsid w:val="000F57DB"/>
    <w:rsid w:val="00101725"/>
    <w:rsid w:val="00107131"/>
    <w:rsid w:val="0010736F"/>
    <w:rsid w:val="00113F73"/>
    <w:rsid w:val="00121CC2"/>
    <w:rsid w:val="00133EE5"/>
    <w:rsid w:val="00162D6C"/>
    <w:rsid w:val="00167A34"/>
    <w:rsid w:val="001A7870"/>
    <w:rsid w:val="001C1B41"/>
    <w:rsid w:val="001D65EF"/>
    <w:rsid w:val="001F7F8F"/>
    <w:rsid w:val="00204D5E"/>
    <w:rsid w:val="002250A3"/>
    <w:rsid w:val="00234340"/>
    <w:rsid w:val="00235217"/>
    <w:rsid w:val="00246D1F"/>
    <w:rsid w:val="00247403"/>
    <w:rsid w:val="00247542"/>
    <w:rsid w:val="00266B61"/>
    <w:rsid w:val="0026712A"/>
    <w:rsid w:val="002704DB"/>
    <w:rsid w:val="002729CC"/>
    <w:rsid w:val="00283A60"/>
    <w:rsid w:val="00292898"/>
    <w:rsid w:val="002A0AAE"/>
    <w:rsid w:val="002A4DC7"/>
    <w:rsid w:val="002A5820"/>
    <w:rsid w:val="002B740E"/>
    <w:rsid w:val="002C44DC"/>
    <w:rsid w:val="002C6B6D"/>
    <w:rsid w:val="002D2B26"/>
    <w:rsid w:val="002D7EA2"/>
    <w:rsid w:val="002E187C"/>
    <w:rsid w:val="002E2D42"/>
    <w:rsid w:val="00302733"/>
    <w:rsid w:val="00307AEA"/>
    <w:rsid w:val="00314078"/>
    <w:rsid w:val="0031535D"/>
    <w:rsid w:val="0033169F"/>
    <w:rsid w:val="003420A3"/>
    <w:rsid w:val="00346C95"/>
    <w:rsid w:val="00356185"/>
    <w:rsid w:val="00360380"/>
    <w:rsid w:val="0037519E"/>
    <w:rsid w:val="00384A29"/>
    <w:rsid w:val="00386CF0"/>
    <w:rsid w:val="003C676B"/>
    <w:rsid w:val="003D3BC2"/>
    <w:rsid w:val="003D5281"/>
    <w:rsid w:val="003D5606"/>
    <w:rsid w:val="003E021E"/>
    <w:rsid w:val="003E67D2"/>
    <w:rsid w:val="003E6CA1"/>
    <w:rsid w:val="004165C2"/>
    <w:rsid w:val="004320C2"/>
    <w:rsid w:val="0043329F"/>
    <w:rsid w:val="00441ECB"/>
    <w:rsid w:val="0044236F"/>
    <w:rsid w:val="00467B7E"/>
    <w:rsid w:val="00470B68"/>
    <w:rsid w:val="00476E4C"/>
    <w:rsid w:val="00477592"/>
    <w:rsid w:val="00486F1C"/>
    <w:rsid w:val="0049419D"/>
    <w:rsid w:val="004C0842"/>
    <w:rsid w:val="004C20D2"/>
    <w:rsid w:val="004C4B62"/>
    <w:rsid w:val="004C54C9"/>
    <w:rsid w:val="004D6025"/>
    <w:rsid w:val="004D76FA"/>
    <w:rsid w:val="004E2649"/>
    <w:rsid w:val="004F58E1"/>
    <w:rsid w:val="004F7D02"/>
    <w:rsid w:val="00501399"/>
    <w:rsid w:val="0050633D"/>
    <w:rsid w:val="00507BC4"/>
    <w:rsid w:val="005128E4"/>
    <w:rsid w:val="005133DB"/>
    <w:rsid w:val="00525560"/>
    <w:rsid w:val="0053243D"/>
    <w:rsid w:val="0054038F"/>
    <w:rsid w:val="00544C49"/>
    <w:rsid w:val="00550A48"/>
    <w:rsid w:val="005516A1"/>
    <w:rsid w:val="005717B0"/>
    <w:rsid w:val="0057402A"/>
    <w:rsid w:val="005771D0"/>
    <w:rsid w:val="00583445"/>
    <w:rsid w:val="0059191A"/>
    <w:rsid w:val="005921FF"/>
    <w:rsid w:val="005A46D1"/>
    <w:rsid w:val="005A5BE4"/>
    <w:rsid w:val="005A6D0E"/>
    <w:rsid w:val="005B506A"/>
    <w:rsid w:val="005B52B0"/>
    <w:rsid w:val="005B5B98"/>
    <w:rsid w:val="005B6806"/>
    <w:rsid w:val="005C4225"/>
    <w:rsid w:val="005D1F53"/>
    <w:rsid w:val="005E2EF7"/>
    <w:rsid w:val="005F0DAD"/>
    <w:rsid w:val="005F0F33"/>
    <w:rsid w:val="005F704B"/>
    <w:rsid w:val="00600DEB"/>
    <w:rsid w:val="00627100"/>
    <w:rsid w:val="00627C9F"/>
    <w:rsid w:val="006311E9"/>
    <w:rsid w:val="00632354"/>
    <w:rsid w:val="006337F1"/>
    <w:rsid w:val="00642810"/>
    <w:rsid w:val="00652333"/>
    <w:rsid w:val="0067518D"/>
    <w:rsid w:val="0068009E"/>
    <w:rsid w:val="00692219"/>
    <w:rsid w:val="006A06DF"/>
    <w:rsid w:val="006A17D2"/>
    <w:rsid w:val="006A4BC4"/>
    <w:rsid w:val="006A73E6"/>
    <w:rsid w:val="006B1F33"/>
    <w:rsid w:val="006B2D5C"/>
    <w:rsid w:val="006B6234"/>
    <w:rsid w:val="006C17D6"/>
    <w:rsid w:val="006C4EB1"/>
    <w:rsid w:val="006E0166"/>
    <w:rsid w:val="006E217C"/>
    <w:rsid w:val="006E4306"/>
    <w:rsid w:val="006E7B34"/>
    <w:rsid w:val="0070697F"/>
    <w:rsid w:val="00711A84"/>
    <w:rsid w:val="0072199C"/>
    <w:rsid w:val="00722C9F"/>
    <w:rsid w:val="007253B8"/>
    <w:rsid w:val="0073232E"/>
    <w:rsid w:val="0073741F"/>
    <w:rsid w:val="0075439D"/>
    <w:rsid w:val="00756F58"/>
    <w:rsid w:val="00764C85"/>
    <w:rsid w:val="0076643F"/>
    <w:rsid w:val="00777F63"/>
    <w:rsid w:val="00783A58"/>
    <w:rsid w:val="007A444B"/>
    <w:rsid w:val="007A5817"/>
    <w:rsid w:val="007A7DE2"/>
    <w:rsid w:val="007B60E9"/>
    <w:rsid w:val="007B6CC3"/>
    <w:rsid w:val="007B7DED"/>
    <w:rsid w:val="007C3334"/>
    <w:rsid w:val="007C3BF3"/>
    <w:rsid w:val="007D12C9"/>
    <w:rsid w:val="007D2B98"/>
    <w:rsid w:val="007E21BC"/>
    <w:rsid w:val="007F5D50"/>
    <w:rsid w:val="00803F1C"/>
    <w:rsid w:val="0080600E"/>
    <w:rsid w:val="008102F6"/>
    <w:rsid w:val="00817612"/>
    <w:rsid w:val="00832903"/>
    <w:rsid w:val="008338A4"/>
    <w:rsid w:val="00835500"/>
    <w:rsid w:val="008356DD"/>
    <w:rsid w:val="00837C45"/>
    <w:rsid w:val="00844730"/>
    <w:rsid w:val="008457C2"/>
    <w:rsid w:val="00857A82"/>
    <w:rsid w:val="00873836"/>
    <w:rsid w:val="00877851"/>
    <w:rsid w:val="00885737"/>
    <w:rsid w:val="00890650"/>
    <w:rsid w:val="00894443"/>
    <w:rsid w:val="00897E12"/>
    <w:rsid w:val="008A7E0F"/>
    <w:rsid w:val="008B12F5"/>
    <w:rsid w:val="008B29C4"/>
    <w:rsid w:val="008B7C92"/>
    <w:rsid w:val="008D768D"/>
    <w:rsid w:val="008E32A8"/>
    <w:rsid w:val="008E3759"/>
    <w:rsid w:val="008F1912"/>
    <w:rsid w:val="0090270B"/>
    <w:rsid w:val="009041DC"/>
    <w:rsid w:val="00914C3F"/>
    <w:rsid w:val="00917B5A"/>
    <w:rsid w:val="00920A58"/>
    <w:rsid w:val="00920A8C"/>
    <w:rsid w:val="00920AC0"/>
    <w:rsid w:val="0092408C"/>
    <w:rsid w:val="00932130"/>
    <w:rsid w:val="00934A2C"/>
    <w:rsid w:val="0096706E"/>
    <w:rsid w:val="00975C4E"/>
    <w:rsid w:val="00981FBA"/>
    <w:rsid w:val="00997BC5"/>
    <w:rsid w:val="009A4F41"/>
    <w:rsid w:val="009B381B"/>
    <w:rsid w:val="009B599A"/>
    <w:rsid w:val="009D1753"/>
    <w:rsid w:val="009D5A2E"/>
    <w:rsid w:val="009D7611"/>
    <w:rsid w:val="009E0B61"/>
    <w:rsid w:val="009E3FB4"/>
    <w:rsid w:val="009E53DE"/>
    <w:rsid w:val="00A31D44"/>
    <w:rsid w:val="00A328B3"/>
    <w:rsid w:val="00A4258B"/>
    <w:rsid w:val="00A46D26"/>
    <w:rsid w:val="00A50FCF"/>
    <w:rsid w:val="00A528D1"/>
    <w:rsid w:val="00A57F5E"/>
    <w:rsid w:val="00A610CD"/>
    <w:rsid w:val="00A62A38"/>
    <w:rsid w:val="00A710F0"/>
    <w:rsid w:val="00A74024"/>
    <w:rsid w:val="00A9480D"/>
    <w:rsid w:val="00A95AFE"/>
    <w:rsid w:val="00AA09A2"/>
    <w:rsid w:val="00AA7996"/>
    <w:rsid w:val="00AB2757"/>
    <w:rsid w:val="00AC19CB"/>
    <w:rsid w:val="00AD219A"/>
    <w:rsid w:val="00AE5488"/>
    <w:rsid w:val="00AE6F91"/>
    <w:rsid w:val="00AF5571"/>
    <w:rsid w:val="00B06EFD"/>
    <w:rsid w:val="00B07341"/>
    <w:rsid w:val="00B2406F"/>
    <w:rsid w:val="00B30539"/>
    <w:rsid w:val="00B314DB"/>
    <w:rsid w:val="00B35A97"/>
    <w:rsid w:val="00B361F2"/>
    <w:rsid w:val="00B3718B"/>
    <w:rsid w:val="00B45A55"/>
    <w:rsid w:val="00B4632A"/>
    <w:rsid w:val="00B530F1"/>
    <w:rsid w:val="00B744E2"/>
    <w:rsid w:val="00B95DBA"/>
    <w:rsid w:val="00BA276C"/>
    <w:rsid w:val="00BB306F"/>
    <w:rsid w:val="00BD05A0"/>
    <w:rsid w:val="00BD0E66"/>
    <w:rsid w:val="00BD4B89"/>
    <w:rsid w:val="00BD59D9"/>
    <w:rsid w:val="00BD736F"/>
    <w:rsid w:val="00BF6FD8"/>
    <w:rsid w:val="00C03680"/>
    <w:rsid w:val="00C054DF"/>
    <w:rsid w:val="00C0714E"/>
    <w:rsid w:val="00C164EB"/>
    <w:rsid w:val="00C21762"/>
    <w:rsid w:val="00C24543"/>
    <w:rsid w:val="00C256A2"/>
    <w:rsid w:val="00C34EDE"/>
    <w:rsid w:val="00C51515"/>
    <w:rsid w:val="00C5660B"/>
    <w:rsid w:val="00C62F80"/>
    <w:rsid w:val="00C66B72"/>
    <w:rsid w:val="00C736EA"/>
    <w:rsid w:val="00C9567A"/>
    <w:rsid w:val="00CB212D"/>
    <w:rsid w:val="00CB2660"/>
    <w:rsid w:val="00CC5E90"/>
    <w:rsid w:val="00CC73F6"/>
    <w:rsid w:val="00CD046C"/>
    <w:rsid w:val="00CE076C"/>
    <w:rsid w:val="00CE163E"/>
    <w:rsid w:val="00CE32FC"/>
    <w:rsid w:val="00CE5199"/>
    <w:rsid w:val="00CE66D5"/>
    <w:rsid w:val="00CF637A"/>
    <w:rsid w:val="00D059DE"/>
    <w:rsid w:val="00D13FCE"/>
    <w:rsid w:val="00D27280"/>
    <w:rsid w:val="00D306D1"/>
    <w:rsid w:val="00D34786"/>
    <w:rsid w:val="00D37BFC"/>
    <w:rsid w:val="00D460F4"/>
    <w:rsid w:val="00D47A8E"/>
    <w:rsid w:val="00D52D14"/>
    <w:rsid w:val="00D5411C"/>
    <w:rsid w:val="00D70CD6"/>
    <w:rsid w:val="00D712D3"/>
    <w:rsid w:val="00D71422"/>
    <w:rsid w:val="00D72DC6"/>
    <w:rsid w:val="00D7558D"/>
    <w:rsid w:val="00D81D92"/>
    <w:rsid w:val="00D94346"/>
    <w:rsid w:val="00DA03F1"/>
    <w:rsid w:val="00DA7B5F"/>
    <w:rsid w:val="00DB31FC"/>
    <w:rsid w:val="00DC11E7"/>
    <w:rsid w:val="00DC7023"/>
    <w:rsid w:val="00DC769A"/>
    <w:rsid w:val="00DD3D86"/>
    <w:rsid w:val="00DD6118"/>
    <w:rsid w:val="00DE4C1A"/>
    <w:rsid w:val="00DF1EC4"/>
    <w:rsid w:val="00DF217E"/>
    <w:rsid w:val="00E0340B"/>
    <w:rsid w:val="00E04A90"/>
    <w:rsid w:val="00E219C7"/>
    <w:rsid w:val="00E369DD"/>
    <w:rsid w:val="00E43157"/>
    <w:rsid w:val="00E461CE"/>
    <w:rsid w:val="00E50D7C"/>
    <w:rsid w:val="00E720CA"/>
    <w:rsid w:val="00E84EB5"/>
    <w:rsid w:val="00E85662"/>
    <w:rsid w:val="00E8789F"/>
    <w:rsid w:val="00E91077"/>
    <w:rsid w:val="00E97B71"/>
    <w:rsid w:val="00EA3D34"/>
    <w:rsid w:val="00EB454D"/>
    <w:rsid w:val="00ED50FA"/>
    <w:rsid w:val="00ED76BE"/>
    <w:rsid w:val="00EE27D7"/>
    <w:rsid w:val="00EF619B"/>
    <w:rsid w:val="00F00B55"/>
    <w:rsid w:val="00F02AD1"/>
    <w:rsid w:val="00F10923"/>
    <w:rsid w:val="00F11C33"/>
    <w:rsid w:val="00F1423E"/>
    <w:rsid w:val="00F20BA8"/>
    <w:rsid w:val="00F24FDC"/>
    <w:rsid w:val="00F253CC"/>
    <w:rsid w:val="00F37106"/>
    <w:rsid w:val="00F519CF"/>
    <w:rsid w:val="00F56BA5"/>
    <w:rsid w:val="00F60554"/>
    <w:rsid w:val="00F60E22"/>
    <w:rsid w:val="00F81395"/>
    <w:rsid w:val="00F86E3F"/>
    <w:rsid w:val="00F917D1"/>
    <w:rsid w:val="00F9653B"/>
    <w:rsid w:val="00F9747A"/>
    <w:rsid w:val="00FB62CF"/>
    <w:rsid w:val="00FC3839"/>
    <w:rsid w:val="00FD1372"/>
    <w:rsid w:val="00FD3C3B"/>
    <w:rsid w:val="00FE6B45"/>
    <w:rsid w:val="00FF18FD"/>
    <w:rsid w:val="00FF55F3"/>
    <w:rsid w:val="00FF5851"/>
    <w:rsid w:val="00FF69E4"/>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476E4C"/>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540"/>
      <w:outlineLvl w:val="2"/>
    </w:pPr>
    <w:rPr>
      <w:rFonts w:asciiTheme="majorHAnsi" w:eastAsia="Times New Roman" w:hAnsiTheme="majorHAnsi" w:cs="Arial"/>
      <w:b/>
      <w:bCs/>
      <w:kern w:val="32"/>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476E4C"/>
    <w:rPr>
      <w:rFonts w:asciiTheme="majorHAnsi" w:eastAsia="Times New Roman" w:hAnsiTheme="majorHAnsi" w:cs="Arial"/>
      <w:b/>
      <w:bCs/>
      <w:kern w:val="32"/>
      <w:bdr w:val="none" w:sz="0" w:space="0" w:color="auto"/>
      <w:lang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920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476E4C"/>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540"/>
      <w:outlineLvl w:val="2"/>
    </w:pPr>
    <w:rPr>
      <w:rFonts w:asciiTheme="majorHAnsi" w:eastAsia="Times New Roman" w:hAnsiTheme="majorHAnsi" w:cs="Arial"/>
      <w:b/>
      <w:bCs/>
      <w:kern w:val="32"/>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476E4C"/>
    <w:rPr>
      <w:rFonts w:asciiTheme="majorHAnsi" w:eastAsia="Times New Roman" w:hAnsiTheme="majorHAnsi" w:cs="Arial"/>
      <w:b/>
      <w:bCs/>
      <w:kern w:val="32"/>
      <w:bdr w:val="none" w:sz="0" w:space="0" w:color="auto"/>
      <w:lang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92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5483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cnudh.org/wp-content/uploads/2014/08/ES-Factsheet-WGAD-format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DD0D0-2992-4B84-8B32-DAD98460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5721</Words>
  <Characters>29697</Characters>
  <Application>Microsoft Office Word</Application>
  <DocSecurity>0</DocSecurity>
  <Lines>494</Lines>
  <Paragraphs>94</Paragraphs>
  <ScaleCrop>false</ScaleCrop>
  <Company/>
  <LinksUpToDate>false</LinksUpToDate>
  <CharactersWithSpaces>35324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67/15</dc:title>
  <dc:creator/>
  <cp:lastModifiedBy/>
  <cp:revision>1</cp:revision>
  <dcterms:created xsi:type="dcterms:W3CDTF">2015-12-30T20:14:00Z</dcterms:created>
  <dcterms:modified xsi:type="dcterms:W3CDTF">2015-12-30T20:14:00Z</dcterms:modified>
</cp:coreProperties>
</file>