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F4B79" w:rsidRDefault="007E13F2" w:rsidP="00627C9F">
      <w:pPr>
        <w:jc w:val="both"/>
        <w:rPr>
          <w:rFonts w:ascii="Cambria" w:hAnsi="Cambria" w:cs="Univers"/>
          <w:b/>
          <w:bCs/>
          <w:sz w:val="22"/>
          <w:szCs w:val="22"/>
          <w:lang w:val="es-ES_tradnl"/>
        </w:rPr>
      </w:pPr>
      <w:bookmarkStart w:id="0" w:name="_GoBack"/>
      <w:bookmarkEnd w:id="0"/>
      <w:r w:rsidRPr="007F4B79">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sidRPr="007F4B79">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CB2660" w:rsidRDefault="007E13F2" w:rsidP="00AE5488">
                  <w:r w:rsidRPr="007E13F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5pt;height:40.1pt;visibility:visible">
                        <v:imagedata r:id="rId8" o:title="cidh-es"/>
                      </v:shape>
                    </w:pict>
                  </w:r>
                  <w:r w:rsidR="007A5817">
                    <w:tab/>
                    <w:t xml:space="preserve">      </w:t>
                  </w:r>
                  <w:r w:rsidR="00CF637A">
                    <w:t xml:space="preserve">       </w:t>
                  </w:r>
                  <w:r w:rsidR="00D52D14">
                    <w:t xml:space="preserve">   </w:t>
                  </w:r>
                  <w:r w:rsidR="00CF637A">
                    <w:t xml:space="preserve">       </w:t>
                  </w:r>
                  <w:r w:rsidR="007A5817">
                    <w:t xml:space="preserve">       </w:t>
                  </w:r>
                </w:p>
              </w:txbxContent>
            </v:textbox>
          </v:shape>
        </w:pict>
      </w:r>
    </w:p>
    <w:p w:rsidR="00040C3A" w:rsidRPr="007F4B79" w:rsidRDefault="00040C3A" w:rsidP="00040C3A">
      <w:pPr>
        <w:tabs>
          <w:tab w:val="center" w:pos="5400"/>
        </w:tabs>
        <w:suppressAutoHyphens/>
        <w:jc w:val="both"/>
        <w:rPr>
          <w:rFonts w:ascii="Cambria" w:hAnsi="Cambria"/>
          <w:sz w:val="22"/>
          <w:szCs w:val="22"/>
          <w:lang w:val="es-ES"/>
        </w:rPr>
      </w:pPr>
    </w:p>
    <w:p w:rsidR="00040C3A" w:rsidRPr="007F4B79" w:rsidRDefault="00040C3A" w:rsidP="00040C3A">
      <w:pPr>
        <w:tabs>
          <w:tab w:val="center" w:pos="5400"/>
        </w:tabs>
        <w:suppressAutoHyphens/>
        <w:jc w:val="both"/>
        <w:rPr>
          <w:rFonts w:ascii="Cambria" w:hAnsi="Cambria"/>
          <w:sz w:val="22"/>
          <w:szCs w:val="22"/>
          <w:lang w:val="es-ES"/>
        </w:rPr>
      </w:pPr>
    </w:p>
    <w:p w:rsidR="005128E4" w:rsidRPr="007F4B79" w:rsidRDefault="005128E4" w:rsidP="00040C3A">
      <w:pPr>
        <w:tabs>
          <w:tab w:val="center" w:pos="5400"/>
        </w:tabs>
        <w:suppressAutoHyphens/>
        <w:rPr>
          <w:rFonts w:ascii="Cambria" w:hAnsi="Cambria"/>
          <w:sz w:val="22"/>
          <w:szCs w:val="22"/>
          <w:lang w:val="es-ES_tradnl"/>
        </w:rPr>
      </w:pPr>
    </w:p>
    <w:p w:rsidR="005128E4" w:rsidRPr="007F4B79" w:rsidRDefault="005128E4" w:rsidP="00040C3A">
      <w:pPr>
        <w:tabs>
          <w:tab w:val="center" w:pos="5400"/>
        </w:tabs>
        <w:suppressAutoHyphens/>
        <w:rPr>
          <w:rFonts w:ascii="Cambria" w:hAnsi="Cambria"/>
          <w:sz w:val="22"/>
          <w:szCs w:val="22"/>
          <w:lang w:val="es-ES_tradnl"/>
        </w:rPr>
      </w:pPr>
    </w:p>
    <w:p w:rsidR="005128E4" w:rsidRPr="007F4B79" w:rsidRDefault="005128E4" w:rsidP="00040C3A">
      <w:pPr>
        <w:tabs>
          <w:tab w:val="center" w:pos="5400"/>
        </w:tabs>
        <w:suppressAutoHyphens/>
        <w:rPr>
          <w:rFonts w:ascii="Cambria" w:hAnsi="Cambria"/>
          <w:sz w:val="22"/>
          <w:szCs w:val="22"/>
          <w:lang w:val="es-ES_tradnl"/>
        </w:rPr>
      </w:pPr>
    </w:p>
    <w:p w:rsidR="00040C3A" w:rsidRPr="007F4B79" w:rsidRDefault="00040C3A" w:rsidP="005128E4">
      <w:pPr>
        <w:tabs>
          <w:tab w:val="center" w:pos="5400"/>
        </w:tabs>
        <w:suppressAutoHyphens/>
        <w:jc w:val="center"/>
        <w:rPr>
          <w:rFonts w:ascii="Cambria" w:hAnsi="Cambria"/>
          <w:sz w:val="22"/>
          <w:szCs w:val="22"/>
          <w:lang w:val="es-ES_tradnl"/>
        </w:rPr>
      </w:pPr>
    </w:p>
    <w:p w:rsidR="00040C3A" w:rsidRPr="007F4B79" w:rsidRDefault="00040C3A" w:rsidP="005128E4">
      <w:pPr>
        <w:tabs>
          <w:tab w:val="center" w:pos="5400"/>
        </w:tabs>
        <w:suppressAutoHyphens/>
        <w:jc w:val="center"/>
        <w:rPr>
          <w:rFonts w:ascii="Cambria" w:hAnsi="Cambria"/>
          <w:sz w:val="22"/>
          <w:szCs w:val="22"/>
          <w:lang w:val="es-ES_tradnl"/>
        </w:rPr>
      </w:pPr>
    </w:p>
    <w:p w:rsidR="005B52B0" w:rsidRPr="007F4B79" w:rsidRDefault="005B52B0" w:rsidP="005128E4">
      <w:pPr>
        <w:tabs>
          <w:tab w:val="center" w:pos="5400"/>
        </w:tabs>
        <w:suppressAutoHyphens/>
        <w:jc w:val="center"/>
        <w:rPr>
          <w:rFonts w:ascii="Cambria" w:hAnsi="Cambria"/>
          <w:sz w:val="22"/>
          <w:szCs w:val="22"/>
          <w:lang w:val="es-ES_tradnl"/>
        </w:rPr>
      </w:pPr>
    </w:p>
    <w:p w:rsidR="005B52B0" w:rsidRPr="007F4B79" w:rsidRDefault="005B52B0" w:rsidP="005128E4">
      <w:pPr>
        <w:tabs>
          <w:tab w:val="center" w:pos="5400"/>
        </w:tabs>
        <w:suppressAutoHyphens/>
        <w:jc w:val="center"/>
        <w:rPr>
          <w:rFonts w:ascii="Cambria" w:hAnsi="Cambria"/>
          <w:sz w:val="22"/>
          <w:szCs w:val="22"/>
          <w:lang w:val="es-ES_tradnl"/>
        </w:rPr>
      </w:pPr>
    </w:p>
    <w:p w:rsidR="005B52B0" w:rsidRPr="007F4B79" w:rsidRDefault="005B52B0" w:rsidP="005128E4">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7E13F2" w:rsidP="00040C3A">
      <w:pPr>
        <w:tabs>
          <w:tab w:val="center" w:pos="5400"/>
        </w:tabs>
        <w:suppressAutoHyphens/>
        <w:jc w:val="center"/>
        <w:rPr>
          <w:rFonts w:ascii="Cambria" w:hAnsi="Cambria"/>
          <w:sz w:val="22"/>
          <w:szCs w:val="22"/>
          <w:lang w:val="es-ES_tradnl"/>
        </w:rPr>
      </w:pPr>
      <w:r w:rsidRPr="007F4B79">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B25F7C">
                    <w:rPr>
                      <w:rFonts w:ascii="Cambria" w:hAnsi="Cambria" w:cs="Arial"/>
                      <w:b/>
                      <w:bCs/>
                      <w:color w:val="0D0D0D"/>
                      <w:sz w:val="36"/>
                      <w:szCs w:val="22"/>
                      <w:lang w:val="es-ES_tradnl"/>
                    </w:rPr>
                    <w:t xml:space="preserve">INFORME </w:t>
                  </w:r>
                  <w:r w:rsidRPr="00B25F7C">
                    <w:rPr>
                      <w:rFonts w:ascii="Cambria" w:hAnsi="Cambria" w:cs="Arial"/>
                      <w:b/>
                      <w:bCs/>
                      <w:color w:val="0D0D0D"/>
                      <w:sz w:val="36"/>
                      <w:szCs w:val="40"/>
                      <w:lang w:val="es-ES_tradnl"/>
                    </w:rPr>
                    <w:t>No.</w:t>
                  </w:r>
                  <w:r w:rsidR="00597A03">
                    <w:rPr>
                      <w:rFonts w:ascii="Cambria" w:hAnsi="Cambria" w:cs="Arial"/>
                      <w:b/>
                      <w:bCs/>
                      <w:color w:val="0D0D0D"/>
                      <w:sz w:val="36"/>
                      <w:szCs w:val="22"/>
                      <w:lang w:val="es-ES_tradnl"/>
                    </w:rPr>
                    <w:t xml:space="preserve"> 14</w:t>
                  </w:r>
                  <w:r w:rsidR="00FD054E">
                    <w:rPr>
                      <w:rFonts w:ascii="Cambria" w:hAnsi="Cambria" w:cs="Arial"/>
                      <w:b/>
                      <w:bCs/>
                      <w:color w:val="0D0D0D"/>
                      <w:sz w:val="36"/>
                      <w:szCs w:val="22"/>
                      <w:lang w:val="es-ES_tradnl"/>
                    </w:rPr>
                    <w:t>/16</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B25F7C">
                    <w:rPr>
                      <w:rFonts w:ascii="Cambria" w:hAnsi="Cambria" w:cs="Arial"/>
                      <w:b/>
                      <w:color w:val="0D0D0D"/>
                      <w:sz w:val="36"/>
                      <w:szCs w:val="22"/>
                      <w:lang w:val="es-ES_tradnl"/>
                    </w:rPr>
                    <w:t xml:space="preserve">PETICIÓN </w:t>
                  </w:r>
                  <w:r w:rsidR="00FD054E">
                    <w:rPr>
                      <w:rFonts w:ascii="Cambria" w:hAnsi="Cambria" w:cs="Arial"/>
                      <w:b/>
                      <w:color w:val="0D0D0D"/>
                      <w:sz w:val="36"/>
                      <w:szCs w:val="22"/>
                      <w:lang w:val="es-ES_tradnl"/>
                    </w:rPr>
                    <w:t>1108-08</w:t>
                  </w:r>
                  <w:r w:rsidRPr="00B25F7C">
                    <w:rPr>
                      <w:rFonts w:ascii="Cambria" w:hAnsi="Cambria" w:cs="Arial"/>
                      <w:b/>
                      <w:color w:val="0D0D0D"/>
                      <w:sz w:val="36"/>
                      <w:szCs w:val="22"/>
                      <w:lang w:val="es-ES_tradnl"/>
                    </w:rPr>
                    <w:t xml:space="preserve">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B25F7C">
                    <w:rPr>
                      <w:rFonts w:ascii="Cambria" w:hAnsi="Cambria" w:cs="Arial"/>
                      <w:color w:val="0D0D0D"/>
                      <w:szCs w:val="22"/>
                      <w:lang w:val="es-ES_tradnl"/>
                    </w:rPr>
                    <w:t xml:space="preserve">INFORME DE ADMISIBILIDAD </w:t>
                  </w:r>
                </w:p>
                <w:p w:rsidR="007E13F2" w:rsidRPr="00B25F7C"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7E13F2" w:rsidRPr="00B25F7C" w:rsidRDefault="00FD054E"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JHONNY SILVA ARANGUREN</w:t>
                  </w:r>
                  <w:r w:rsidR="006B42B3">
                    <w:rPr>
                      <w:rFonts w:ascii="Cambria" w:hAnsi="Cambria" w:cs="Arial"/>
                      <w:color w:val="0D0D0D"/>
                      <w:szCs w:val="22"/>
                      <w:lang w:val="es-ES_tradnl"/>
                    </w:rPr>
                    <w:t xml:space="preserve"> Y F</w:t>
                  </w:r>
                  <w:r w:rsidR="00814480">
                    <w:rPr>
                      <w:rFonts w:ascii="Cambria" w:hAnsi="Cambria" w:cs="Arial"/>
                      <w:color w:val="0D0D0D"/>
                      <w:szCs w:val="22"/>
                      <w:lang w:val="es-ES_tradnl"/>
                    </w:rPr>
                    <w:t>AMILIA</w:t>
                  </w:r>
                </w:p>
                <w:bookmarkEnd w:id="1"/>
                <w:p w:rsidR="005B52B0" w:rsidRPr="007E13F2" w:rsidRDefault="007E13F2" w:rsidP="007E13F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COLOMBIA</w:t>
                  </w:r>
                </w:p>
              </w:txbxContent>
            </v:textbox>
          </v:shape>
        </w:pict>
      </w:r>
      <w:r w:rsidRPr="007F4B79">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627C9F" w:rsidRPr="007E13F2" w:rsidRDefault="00627C9F" w:rsidP="007A5817">
                  <w:pPr>
                    <w:spacing w:line="276" w:lineRule="auto"/>
                    <w:jc w:val="right"/>
                    <w:rPr>
                      <w:rFonts w:ascii="Calibri" w:hAnsi="Calibri"/>
                      <w:color w:val="FFFFFF"/>
                      <w:sz w:val="22"/>
                      <w:lang w:val="pt-BR"/>
                    </w:rPr>
                  </w:pPr>
                  <w:r w:rsidRPr="007E13F2">
                    <w:rPr>
                      <w:rFonts w:ascii="Calibri" w:hAnsi="Calibri"/>
                      <w:color w:val="FFFFFF"/>
                      <w:sz w:val="22"/>
                      <w:lang w:val="pt-BR"/>
                    </w:rPr>
                    <w:t>OEA/Ser.L/V/II.15</w:t>
                  </w:r>
                  <w:r w:rsidR="00111AF5">
                    <w:rPr>
                      <w:rFonts w:ascii="Calibri" w:hAnsi="Calibri"/>
                      <w:color w:val="FFFFFF"/>
                      <w:sz w:val="22"/>
                      <w:lang w:val="pt-BR"/>
                    </w:rPr>
                    <w:t>7</w:t>
                  </w:r>
                </w:p>
                <w:p w:rsidR="00627C9F" w:rsidRPr="007E13F2" w:rsidRDefault="00597A03" w:rsidP="007A5817">
                  <w:pPr>
                    <w:spacing w:line="276" w:lineRule="auto"/>
                    <w:jc w:val="right"/>
                    <w:rPr>
                      <w:rFonts w:ascii="Calibri" w:hAnsi="Calibri"/>
                      <w:color w:val="FFFFFF"/>
                      <w:sz w:val="22"/>
                      <w:lang w:val="pt-BR"/>
                    </w:rPr>
                  </w:pPr>
                  <w:r>
                    <w:rPr>
                      <w:rFonts w:ascii="Calibri" w:hAnsi="Calibri"/>
                      <w:color w:val="FFFFFF"/>
                      <w:sz w:val="22"/>
                      <w:lang w:val="pt-BR"/>
                    </w:rPr>
                    <w:t>Doc. 18</w:t>
                  </w:r>
                </w:p>
                <w:p w:rsidR="00627C9F" w:rsidRPr="007E13F2" w:rsidRDefault="008B6A47" w:rsidP="007A5817">
                  <w:pPr>
                    <w:spacing w:line="276" w:lineRule="auto"/>
                    <w:jc w:val="right"/>
                    <w:rPr>
                      <w:rFonts w:ascii="Calibri" w:hAnsi="Calibri"/>
                      <w:color w:val="FFFFFF"/>
                      <w:sz w:val="22"/>
                    </w:rPr>
                  </w:pPr>
                  <w:r>
                    <w:rPr>
                      <w:rFonts w:ascii="Calibri" w:hAnsi="Calibri"/>
                      <w:color w:val="FFFFFF"/>
                      <w:sz w:val="22"/>
                    </w:rPr>
                    <w:t>14</w:t>
                  </w:r>
                  <w:r w:rsidR="00627C9F" w:rsidRPr="007E13F2">
                    <w:rPr>
                      <w:rFonts w:ascii="Calibri" w:hAnsi="Calibri"/>
                      <w:color w:val="FFFFFF"/>
                      <w:sz w:val="22"/>
                    </w:rPr>
                    <w:t xml:space="preserve"> </w:t>
                  </w:r>
                  <w:r w:rsidR="00FD054E">
                    <w:rPr>
                      <w:rFonts w:ascii="Calibri" w:hAnsi="Calibri"/>
                      <w:color w:val="FFFFFF"/>
                      <w:sz w:val="22"/>
                    </w:rPr>
                    <w:t>abril 2016</w:t>
                  </w:r>
                </w:p>
                <w:p w:rsidR="00627C9F" w:rsidRPr="007E13F2" w:rsidRDefault="00E0340B" w:rsidP="007A5817">
                  <w:pPr>
                    <w:spacing w:line="276" w:lineRule="auto"/>
                    <w:jc w:val="right"/>
                    <w:rPr>
                      <w:rFonts w:ascii="Calibri" w:hAnsi="Calibri"/>
                      <w:color w:val="FFFFFF"/>
                      <w:sz w:val="22"/>
                    </w:rPr>
                  </w:pPr>
                  <w:r w:rsidRPr="007E13F2">
                    <w:rPr>
                      <w:rFonts w:ascii="Calibri" w:hAnsi="Calibri"/>
                      <w:color w:val="FFFFFF"/>
                      <w:sz w:val="22"/>
                    </w:rPr>
                    <w:t xml:space="preserve">Original: </w:t>
                  </w:r>
                  <w:r w:rsidR="008B12F5" w:rsidRPr="007E13F2">
                    <w:rPr>
                      <w:rFonts w:ascii="Calibri" w:hAnsi="Calibri"/>
                      <w:color w:val="FFFFFF"/>
                      <w:sz w:val="22"/>
                    </w:rPr>
                    <w:t>e</w:t>
                  </w:r>
                  <w:r w:rsidR="00627C9F" w:rsidRPr="007E13F2">
                    <w:rPr>
                      <w:rFonts w:ascii="Calibri" w:hAnsi="Calibri"/>
                      <w:color w:val="FFFFFF"/>
                      <w:sz w:val="22"/>
                    </w:rPr>
                    <w:t>spañol</w:t>
                  </w:r>
                </w:p>
              </w:txbxContent>
            </v:textbox>
          </v:shape>
        </w:pict>
      </w: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cs="Arial"/>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5128E4" w:rsidRPr="007F4B79" w:rsidRDefault="005128E4"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5128E4" w:rsidRPr="007F4B79" w:rsidRDefault="005128E4" w:rsidP="00040C3A">
      <w:pPr>
        <w:tabs>
          <w:tab w:val="center" w:pos="5400"/>
        </w:tabs>
        <w:suppressAutoHyphens/>
        <w:jc w:val="center"/>
        <w:rPr>
          <w:rFonts w:ascii="Cambria" w:hAnsi="Cambria"/>
          <w:sz w:val="22"/>
          <w:szCs w:val="22"/>
          <w:lang w:val="es-ES_tradnl"/>
        </w:rPr>
      </w:pPr>
    </w:p>
    <w:p w:rsidR="005128E4" w:rsidRPr="007F4B79" w:rsidRDefault="005128E4" w:rsidP="00040C3A">
      <w:pPr>
        <w:tabs>
          <w:tab w:val="center" w:pos="5400"/>
        </w:tabs>
        <w:suppressAutoHyphens/>
        <w:jc w:val="center"/>
        <w:rPr>
          <w:rFonts w:ascii="Cambria" w:hAnsi="Cambria"/>
          <w:sz w:val="22"/>
          <w:szCs w:val="22"/>
          <w:lang w:val="es-ES_tradnl"/>
        </w:rPr>
      </w:pPr>
    </w:p>
    <w:p w:rsidR="005128E4" w:rsidRPr="007F4B79" w:rsidRDefault="005128E4"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040C3A" w:rsidRPr="007F4B79" w:rsidRDefault="00040C3A" w:rsidP="00040C3A">
      <w:pPr>
        <w:tabs>
          <w:tab w:val="center" w:pos="5400"/>
        </w:tabs>
        <w:suppressAutoHyphens/>
        <w:jc w:val="center"/>
        <w:rPr>
          <w:rFonts w:ascii="Cambria" w:hAnsi="Cambria"/>
          <w:sz w:val="22"/>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7E13F2" w:rsidP="00040C3A">
      <w:pPr>
        <w:tabs>
          <w:tab w:val="center" w:pos="5400"/>
        </w:tabs>
        <w:suppressAutoHyphens/>
        <w:jc w:val="center"/>
        <w:rPr>
          <w:rFonts w:ascii="Cambria" w:hAnsi="Cambria"/>
          <w:sz w:val="18"/>
          <w:szCs w:val="22"/>
          <w:lang w:val="es-ES_tradnl"/>
        </w:rPr>
      </w:pPr>
      <w:r w:rsidRPr="007F4B79">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7E13F2" w:rsidRPr="0012465B" w:rsidRDefault="007E13F2" w:rsidP="00FD054E">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jc w:val="both"/>
                    <w:rPr>
                      <w:rFonts w:ascii="Cambria" w:hAnsi="Cambria" w:cs="Univers"/>
                      <w:color w:val="0D0D0D"/>
                      <w:sz w:val="18"/>
                      <w:szCs w:val="20"/>
                      <w:lang w:val="es-ES_tradnl"/>
                    </w:rPr>
                  </w:pPr>
                  <w:r w:rsidRPr="00B25F7C">
                    <w:rPr>
                      <w:rFonts w:ascii="Cambria" w:hAnsi="Cambria"/>
                      <w:color w:val="0D0D0D"/>
                      <w:sz w:val="18"/>
                      <w:szCs w:val="20"/>
                      <w:lang w:val="es-ES"/>
                    </w:rPr>
                    <w:t xml:space="preserve">Aprobado por la Comisión en </w:t>
                  </w:r>
                  <w:r w:rsidR="00597A03">
                    <w:rPr>
                      <w:rFonts w:ascii="Cambria" w:hAnsi="Cambria"/>
                      <w:color w:val="0D0D0D"/>
                      <w:sz w:val="18"/>
                      <w:szCs w:val="20"/>
                      <w:lang w:val="es-ES"/>
                    </w:rPr>
                    <w:t>su sesión No. 2063</w:t>
                  </w:r>
                  <w:r w:rsidR="008B6A47">
                    <w:rPr>
                      <w:rFonts w:ascii="Cambria" w:hAnsi="Cambria"/>
                      <w:color w:val="0D0D0D"/>
                      <w:sz w:val="18"/>
                      <w:szCs w:val="20"/>
                      <w:lang w:val="es-ES"/>
                    </w:rPr>
                    <w:t xml:space="preserve"> celebrada el 14</w:t>
                  </w:r>
                  <w:r w:rsidRPr="00B25F7C">
                    <w:rPr>
                      <w:rFonts w:ascii="Cambria" w:hAnsi="Cambria"/>
                      <w:color w:val="0D0D0D"/>
                      <w:sz w:val="18"/>
                      <w:szCs w:val="20"/>
                      <w:lang w:val="es-ES"/>
                    </w:rPr>
                    <w:t xml:space="preserve"> de </w:t>
                  </w:r>
                  <w:r w:rsidR="00FD054E">
                    <w:rPr>
                      <w:rFonts w:ascii="Cambria" w:hAnsi="Cambria"/>
                      <w:color w:val="0D0D0D"/>
                      <w:sz w:val="18"/>
                      <w:szCs w:val="20"/>
                      <w:lang w:val="es-ES"/>
                    </w:rPr>
                    <w:t>abril</w:t>
                  </w:r>
                  <w:r w:rsidRPr="00B25F7C">
                    <w:rPr>
                      <w:rFonts w:ascii="Cambria" w:hAnsi="Cambria"/>
                      <w:color w:val="0D0D0D"/>
                      <w:sz w:val="18"/>
                      <w:szCs w:val="20"/>
                      <w:lang w:val="es-ES"/>
                    </w:rPr>
                    <w:t xml:space="preserve"> de 201</w:t>
                  </w:r>
                  <w:r w:rsidR="00FD054E">
                    <w:rPr>
                      <w:rFonts w:ascii="Cambria" w:hAnsi="Cambria"/>
                      <w:color w:val="0D0D0D"/>
                      <w:sz w:val="18"/>
                      <w:szCs w:val="20"/>
                      <w:lang w:val="es-ES"/>
                    </w:rPr>
                    <w:t>6</w:t>
                  </w:r>
                  <w:r w:rsidRPr="00B25F7C">
                    <w:rPr>
                      <w:rFonts w:ascii="Cambria" w:hAnsi="Cambria"/>
                      <w:color w:val="0D0D0D"/>
                      <w:sz w:val="18"/>
                      <w:szCs w:val="20"/>
                      <w:lang w:val="es-ES"/>
                    </w:rPr>
                    <w:br/>
                  </w:r>
                  <w:r w:rsidRPr="00B25F7C">
                    <w:rPr>
                      <w:rFonts w:ascii="Cambria" w:hAnsi="Cambria" w:cs="Univers"/>
                      <w:color w:val="0D0D0D"/>
                      <w:sz w:val="18"/>
                      <w:szCs w:val="20"/>
                      <w:lang w:val="es-ES_tradnl"/>
                    </w:rPr>
                    <w:t>15</w:t>
                  </w:r>
                  <w:r w:rsidR="00111AF5">
                    <w:rPr>
                      <w:rFonts w:ascii="Cambria" w:hAnsi="Cambria" w:cs="Univers"/>
                      <w:color w:val="0D0D0D"/>
                      <w:sz w:val="18"/>
                      <w:szCs w:val="20"/>
                      <w:lang w:val="es-ES_tradnl"/>
                    </w:rPr>
                    <w:t>7</w:t>
                  </w:r>
                  <w:r w:rsidR="0012465B">
                    <w:rPr>
                      <w:rFonts w:ascii="Cambria" w:hAnsi="Cambria" w:cs="Univers"/>
                      <w:color w:val="0D0D0D"/>
                      <w:sz w:val="18"/>
                      <w:szCs w:val="20"/>
                      <w:lang w:val="es-ES_tradnl"/>
                    </w:rPr>
                    <w:t xml:space="preserve"> período ordinario de sesiones</w:t>
                  </w:r>
                </w:p>
                <w:p w:rsidR="00DD3D86" w:rsidRPr="007E13F2" w:rsidRDefault="00DD3D86" w:rsidP="00247403">
                  <w:pPr>
                    <w:tabs>
                      <w:tab w:val="center" w:pos="5400"/>
                    </w:tabs>
                    <w:suppressAutoHyphens/>
                    <w:spacing w:before="60"/>
                    <w:rPr>
                      <w:rFonts w:ascii="Calibri" w:hAnsi="Calibri" w:cs="Univers"/>
                      <w:color w:val="0D0D0D"/>
                      <w:sz w:val="20"/>
                      <w:szCs w:val="20"/>
                      <w:lang w:val="es-ES"/>
                    </w:rPr>
                  </w:pPr>
                </w:p>
                <w:p w:rsidR="005B52B0" w:rsidRPr="007E13F2" w:rsidRDefault="005B52B0"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A50FCF" w:rsidP="00040C3A">
      <w:pPr>
        <w:tabs>
          <w:tab w:val="center" w:pos="5400"/>
        </w:tabs>
        <w:suppressAutoHyphens/>
        <w:jc w:val="center"/>
        <w:rPr>
          <w:rFonts w:ascii="Cambria" w:hAnsi="Cambria"/>
          <w:sz w:val="18"/>
          <w:szCs w:val="22"/>
          <w:lang w:val="es-ES_tradnl"/>
        </w:rPr>
      </w:pPr>
    </w:p>
    <w:p w:rsidR="00A50FCF" w:rsidRPr="007F4B79" w:rsidRDefault="007E13F2" w:rsidP="00040C3A">
      <w:pPr>
        <w:tabs>
          <w:tab w:val="center" w:pos="5400"/>
        </w:tabs>
        <w:suppressAutoHyphens/>
        <w:jc w:val="center"/>
        <w:rPr>
          <w:rFonts w:ascii="Cambria" w:hAnsi="Cambria"/>
          <w:sz w:val="18"/>
          <w:szCs w:val="22"/>
          <w:lang w:val="es-ES_tradnl"/>
        </w:rPr>
      </w:pPr>
      <w:r w:rsidRPr="007F4B79">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113F73" w:rsidRPr="007E13F2" w:rsidRDefault="007E13F2" w:rsidP="00FD054E">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olor w:val="595959"/>
                      <w:sz w:val="18"/>
                      <w:szCs w:val="18"/>
                      <w:lang w:val="es-ES"/>
                    </w:rPr>
                  </w:pPr>
                  <w:r w:rsidRPr="006B42B3">
                    <w:rPr>
                      <w:rFonts w:ascii="Cambria" w:hAnsi="Cambria"/>
                      <w:b/>
                      <w:color w:val="595959"/>
                      <w:sz w:val="18"/>
                      <w:szCs w:val="18"/>
                      <w:lang w:val="es-UY"/>
                    </w:rPr>
                    <w:t>Citar como:</w:t>
                  </w:r>
                  <w:r w:rsidR="00597A03">
                    <w:rPr>
                      <w:rFonts w:ascii="Cambria" w:hAnsi="Cambria"/>
                      <w:color w:val="595959"/>
                      <w:sz w:val="18"/>
                      <w:szCs w:val="18"/>
                      <w:lang w:val="es-UY"/>
                    </w:rPr>
                    <w:t xml:space="preserve"> CIDH, Informe No.14</w:t>
                  </w:r>
                  <w:r w:rsidRPr="00B25F7C">
                    <w:rPr>
                      <w:rFonts w:ascii="Cambria" w:hAnsi="Cambria"/>
                      <w:color w:val="595959"/>
                      <w:sz w:val="18"/>
                      <w:szCs w:val="18"/>
                      <w:lang w:val="es-ES_tradnl"/>
                    </w:rPr>
                    <w:t>/</w:t>
                  </w:r>
                  <w:r w:rsidR="00FD054E">
                    <w:rPr>
                      <w:rFonts w:ascii="Cambria" w:hAnsi="Cambria"/>
                      <w:color w:val="595959"/>
                      <w:sz w:val="18"/>
                      <w:szCs w:val="18"/>
                      <w:lang w:val="es-ES_tradnl"/>
                    </w:rPr>
                    <w:t xml:space="preserve">16, </w:t>
                  </w:r>
                  <w:r w:rsidRPr="00B25F7C">
                    <w:rPr>
                      <w:rFonts w:ascii="Cambria" w:hAnsi="Cambria"/>
                      <w:color w:val="595959"/>
                      <w:sz w:val="18"/>
                      <w:szCs w:val="18"/>
                      <w:lang w:val="es-ES_tradnl"/>
                    </w:rPr>
                    <w:t xml:space="preserve">Petición </w:t>
                  </w:r>
                  <w:r w:rsidR="00FD054E">
                    <w:rPr>
                      <w:rFonts w:ascii="Cambria" w:hAnsi="Cambria"/>
                      <w:color w:val="595959"/>
                      <w:sz w:val="18"/>
                      <w:szCs w:val="18"/>
                      <w:lang w:val="es-ES_tradnl"/>
                    </w:rPr>
                    <w:t>P-1108-08</w:t>
                  </w:r>
                  <w:r w:rsidRPr="00B25F7C">
                    <w:rPr>
                      <w:rFonts w:ascii="Cambria" w:hAnsi="Cambria"/>
                      <w:color w:val="595959"/>
                      <w:sz w:val="18"/>
                      <w:szCs w:val="18"/>
                      <w:lang w:val="es-ES_tradnl"/>
                    </w:rPr>
                    <w:t>. Admisibilidad</w:t>
                  </w:r>
                  <w:r w:rsidR="00FD054E">
                    <w:rPr>
                      <w:rFonts w:ascii="Cambria" w:hAnsi="Cambria"/>
                      <w:color w:val="595959"/>
                      <w:sz w:val="18"/>
                      <w:szCs w:val="18"/>
                      <w:lang w:val="es-ES_tradnl"/>
                    </w:rPr>
                    <w:t>. Jhonny Silva Aranguren</w:t>
                  </w:r>
                  <w:r w:rsidR="00814480">
                    <w:rPr>
                      <w:rFonts w:ascii="Cambria" w:hAnsi="Cambria"/>
                      <w:color w:val="595959"/>
                      <w:sz w:val="18"/>
                      <w:szCs w:val="18"/>
                      <w:lang w:val="es-ES_tradnl"/>
                    </w:rPr>
                    <w:t xml:space="preserve"> y familia</w:t>
                  </w:r>
                  <w:r w:rsidRPr="00B25F7C">
                    <w:rPr>
                      <w:rFonts w:ascii="Cambria" w:hAnsi="Cambria"/>
                      <w:color w:val="595959"/>
                      <w:sz w:val="18"/>
                      <w:szCs w:val="18"/>
                      <w:lang w:val="es-ES_tradnl"/>
                    </w:rPr>
                    <w:t xml:space="preserve">. </w:t>
                  </w:r>
                  <w:r>
                    <w:rPr>
                      <w:rFonts w:ascii="Cambria" w:hAnsi="Cambria"/>
                      <w:color w:val="595959"/>
                      <w:sz w:val="18"/>
                      <w:szCs w:val="18"/>
                      <w:lang w:val="es-ES_tradnl"/>
                    </w:rPr>
                    <w:t>Colombia</w:t>
                  </w:r>
                  <w:r w:rsidRPr="00B25F7C">
                    <w:rPr>
                      <w:rFonts w:ascii="Cambria" w:hAnsi="Cambria"/>
                      <w:color w:val="595959"/>
                      <w:sz w:val="18"/>
                      <w:szCs w:val="18"/>
                      <w:lang w:val="es-ES_tradnl"/>
                    </w:rPr>
                    <w:t xml:space="preserve">. </w:t>
                  </w:r>
                  <w:r w:rsidR="008B6A47">
                    <w:rPr>
                      <w:rFonts w:ascii="Cambria" w:hAnsi="Cambria"/>
                      <w:color w:val="595959"/>
                      <w:sz w:val="18"/>
                      <w:szCs w:val="18"/>
                      <w:lang w:val="es-ES"/>
                    </w:rPr>
                    <w:t>14</w:t>
                  </w:r>
                  <w:r w:rsidR="00FD054E">
                    <w:rPr>
                      <w:rFonts w:ascii="Cambria" w:hAnsi="Cambria"/>
                      <w:color w:val="595959"/>
                      <w:sz w:val="18"/>
                      <w:szCs w:val="18"/>
                      <w:lang w:val="es-ES"/>
                    </w:rPr>
                    <w:t xml:space="preserve"> de abril de 2016</w:t>
                  </w:r>
                  <w:r>
                    <w:rPr>
                      <w:rFonts w:ascii="Cambria" w:hAnsi="Cambria"/>
                      <w:color w:val="595959"/>
                      <w:sz w:val="18"/>
                      <w:szCs w:val="18"/>
                      <w:lang w:val="es-ES"/>
                    </w:rPr>
                    <w:t>.</w:t>
                  </w:r>
                </w:p>
              </w:txbxContent>
            </v:textbox>
          </v:shape>
        </w:pict>
      </w:r>
    </w:p>
    <w:p w:rsidR="00A50FCF" w:rsidRPr="007F4B79" w:rsidRDefault="00A50FCF" w:rsidP="00040C3A">
      <w:pPr>
        <w:tabs>
          <w:tab w:val="center" w:pos="5400"/>
        </w:tabs>
        <w:suppressAutoHyphens/>
        <w:jc w:val="center"/>
        <w:rPr>
          <w:rFonts w:ascii="Cambria" w:hAnsi="Cambria"/>
          <w:sz w:val="18"/>
          <w:szCs w:val="22"/>
          <w:lang w:val="es-ES_tradnl"/>
        </w:rPr>
      </w:pPr>
    </w:p>
    <w:p w:rsidR="0090270B" w:rsidRPr="007F4B79" w:rsidRDefault="007E13F2" w:rsidP="005516A1">
      <w:pPr>
        <w:tabs>
          <w:tab w:val="center" w:pos="5400"/>
        </w:tabs>
        <w:suppressAutoHyphens/>
        <w:jc w:val="center"/>
        <w:rPr>
          <w:rFonts w:ascii="Cambria" w:hAnsi="Cambria"/>
          <w:b/>
          <w:sz w:val="20"/>
          <w:lang w:val="es-ES_tradnl"/>
        </w:rPr>
      </w:pPr>
      <w:r w:rsidRPr="007F4B79">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D72DC6" w:rsidRPr="007E13F2" w:rsidRDefault="007E13F2" w:rsidP="00F02AD1">
                  <w:pPr>
                    <w:rPr>
                      <w:color w:val="FFFFFF"/>
                    </w:rPr>
                  </w:pPr>
                  <w:r w:rsidRPr="007E13F2">
                    <w:rPr>
                      <w:noProof/>
                      <w:color w:val="FFFFFF"/>
                      <w:lang w:val="es-CO" w:eastAsia="es-CO"/>
                    </w:rPr>
                    <w:pict>
                      <v:shape id="Picture 15" o:spid="_x0000_i1026" type="#_x0000_t75" style="width:105.3pt;height:30.55pt;visibility:visible">
                        <v:imagedata r:id="rId9" o:title="oea-es"/>
                      </v:shape>
                    </w:pict>
                  </w:r>
                </w:p>
              </w:txbxContent>
            </v:textbox>
          </v:shape>
        </w:pict>
      </w:r>
      <w:r w:rsidRPr="007F4B79">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D306D1" w:rsidRPr="007E13F2" w:rsidRDefault="00D306D1" w:rsidP="00D306D1">
                  <w:pPr>
                    <w:jc w:val="center"/>
                    <w:rPr>
                      <w:rFonts w:ascii="Calibri" w:hAnsi="Calibri"/>
                      <w:b/>
                      <w:color w:val="FFFFFF"/>
                    </w:rPr>
                  </w:pPr>
                  <w:r w:rsidRPr="007E13F2">
                    <w:rPr>
                      <w:rFonts w:ascii="Calibri" w:hAnsi="Calibri"/>
                      <w:b/>
                      <w:color w:val="FFFFFF"/>
                      <w:lang w:val="pt-BR"/>
                    </w:rPr>
                    <w:t>www.cidh.org</w:t>
                  </w:r>
                </w:p>
              </w:txbxContent>
            </v:textbox>
          </v:shape>
        </w:pict>
      </w:r>
    </w:p>
    <w:p w:rsidR="0070697F" w:rsidRPr="007F4B79" w:rsidRDefault="0070697F" w:rsidP="005C1B9B">
      <w:pPr>
        <w:tabs>
          <w:tab w:val="center" w:pos="5400"/>
        </w:tabs>
        <w:suppressAutoHyphens/>
        <w:rPr>
          <w:rFonts w:ascii="Cambria" w:hAnsi="Cambria"/>
          <w:b/>
          <w:sz w:val="20"/>
          <w:lang w:val="es-ES_tradnl"/>
        </w:rPr>
        <w:sectPr w:rsidR="0070697F" w:rsidRPr="007F4B7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7E13F2" w:rsidRPr="007F4B79" w:rsidRDefault="00597A03"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INFORME No. 14</w:t>
      </w:r>
      <w:r w:rsidR="00FD054E" w:rsidRPr="007F4B79">
        <w:rPr>
          <w:rFonts w:ascii="Cambria" w:hAnsi="Cambria"/>
          <w:b/>
          <w:sz w:val="18"/>
          <w:szCs w:val="20"/>
          <w:lang w:val="es-ES_tradnl"/>
        </w:rPr>
        <w:t>/16</w:t>
      </w:r>
      <w:r w:rsidR="00FD054E" w:rsidRPr="007F4B79">
        <w:rPr>
          <w:rStyle w:val="FootnoteReference"/>
          <w:rFonts w:ascii="Cambria" w:hAnsi="Cambria"/>
          <w:b/>
          <w:sz w:val="18"/>
          <w:szCs w:val="20"/>
          <w:lang w:val="es-ES_tradnl"/>
        </w:rPr>
        <w:footnoteReference w:id="2"/>
      </w:r>
    </w:p>
    <w:p w:rsidR="007E13F2" w:rsidRPr="007F4B79" w:rsidRDefault="00FD054E"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7F4B79">
        <w:rPr>
          <w:rFonts w:ascii="Cambria" w:hAnsi="Cambria"/>
          <w:b/>
          <w:sz w:val="18"/>
          <w:szCs w:val="20"/>
          <w:lang w:val="es-ES_tradnl"/>
        </w:rPr>
        <w:t>PETICIÓN 1108-08</w:t>
      </w:r>
      <w:r w:rsidR="007E13F2" w:rsidRPr="007F4B79">
        <w:rPr>
          <w:rFonts w:ascii="Cambria" w:hAnsi="Cambria"/>
          <w:b/>
          <w:sz w:val="18"/>
          <w:szCs w:val="20"/>
          <w:lang w:val="es-ES_tradnl"/>
        </w:rPr>
        <w:t xml:space="preserve"> </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7F4B79">
        <w:rPr>
          <w:rFonts w:ascii="Cambria" w:hAnsi="Cambria"/>
          <w:sz w:val="18"/>
          <w:szCs w:val="20"/>
          <w:lang w:val="es-ES_tradnl"/>
        </w:rPr>
        <w:t xml:space="preserve">INFORME DE ADMISIBILIDAD </w:t>
      </w:r>
    </w:p>
    <w:p w:rsidR="007E13F2" w:rsidRPr="007F4B79" w:rsidRDefault="00FD054E"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7F4B79">
        <w:rPr>
          <w:rFonts w:ascii="Cambria" w:hAnsi="Cambria"/>
          <w:sz w:val="18"/>
          <w:szCs w:val="20"/>
          <w:lang w:val="es-ES_tradnl"/>
        </w:rPr>
        <w:t>JHONNY SILVA ARANGUREN</w:t>
      </w:r>
      <w:r w:rsidR="00814480" w:rsidRPr="007F4B79">
        <w:rPr>
          <w:rFonts w:ascii="Cambria" w:hAnsi="Cambria"/>
          <w:sz w:val="18"/>
          <w:szCs w:val="20"/>
          <w:lang w:val="es-ES_tradnl"/>
        </w:rPr>
        <w:t xml:space="preserve"> Y FAMILIA</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7F4B79">
        <w:rPr>
          <w:rFonts w:ascii="Cambria" w:hAnsi="Cambria"/>
          <w:sz w:val="18"/>
          <w:szCs w:val="20"/>
          <w:lang w:val="es-ES_tradnl"/>
        </w:rPr>
        <w:t xml:space="preserve">COLOMBIA </w:t>
      </w:r>
    </w:p>
    <w:p w:rsidR="007E13F2" w:rsidRDefault="008B6A47"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14</w:t>
      </w:r>
      <w:r w:rsidR="00FD054E" w:rsidRPr="007F4B79">
        <w:rPr>
          <w:rFonts w:ascii="Cambria" w:hAnsi="Cambria"/>
          <w:sz w:val="18"/>
          <w:szCs w:val="20"/>
          <w:lang w:val="es-ES_tradnl"/>
        </w:rPr>
        <w:t xml:space="preserve"> DE ABRIL DE 2016</w:t>
      </w:r>
    </w:p>
    <w:p w:rsidR="0081689A" w:rsidRDefault="0081689A"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81689A" w:rsidRPr="007F4B79" w:rsidRDefault="0081689A"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7E13F2" w:rsidRPr="007F4B79" w:rsidRDefault="007E13F2" w:rsidP="005C6ED6">
      <w:pPr>
        <w:pStyle w:val="Heading3"/>
        <w:widowControl w:val="0"/>
        <w:numPr>
          <w:ilvl w:val="0"/>
          <w:numId w:val="56"/>
        </w:numPr>
        <w:spacing w:before="0" w:after="0"/>
        <w:jc w:val="both"/>
        <w:rPr>
          <w:rFonts w:ascii="Cambria" w:hAnsi="Cambria"/>
          <w:sz w:val="20"/>
          <w:szCs w:val="20"/>
          <w:lang w:val="es-ES"/>
        </w:rPr>
      </w:pPr>
      <w:bookmarkStart w:id="2" w:name="_Toc400530318"/>
      <w:bookmarkStart w:id="3" w:name="_Toc400530883"/>
      <w:bookmarkStart w:id="4" w:name="_Toc400530987"/>
      <w:bookmarkStart w:id="5" w:name="_Toc400531324"/>
      <w:r w:rsidRPr="007F4B79">
        <w:rPr>
          <w:rFonts w:ascii="Cambria" w:hAnsi="Cambria"/>
          <w:sz w:val="20"/>
          <w:szCs w:val="20"/>
          <w:lang w:val="es-ES"/>
        </w:rPr>
        <w:t>RESUMEN</w:t>
      </w:r>
      <w:bookmarkEnd w:id="2"/>
      <w:bookmarkEnd w:id="3"/>
      <w:bookmarkEnd w:id="4"/>
      <w:bookmarkEnd w:id="5"/>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7F4B79" w:rsidRDefault="003310D1"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El 22 de septiembre de 2008</w:t>
      </w:r>
      <w:r w:rsidR="007E13F2" w:rsidRPr="007F4B79">
        <w:rPr>
          <w:rFonts w:ascii="Cambria" w:hAnsi="Cambria"/>
          <w:sz w:val="20"/>
          <w:szCs w:val="20"/>
          <w:lang w:val="es-ES"/>
        </w:rPr>
        <w:t>, la Comisión Interamericana de Derechos Humanos (en adelante “la Comisión” o la “CIDH”) recibió una peti</w:t>
      </w:r>
      <w:r w:rsidRPr="007F4B79">
        <w:rPr>
          <w:rFonts w:ascii="Cambria" w:hAnsi="Cambria"/>
          <w:sz w:val="20"/>
          <w:szCs w:val="20"/>
          <w:lang w:val="es-ES"/>
        </w:rPr>
        <w:t xml:space="preserve">ción presentada por la Asociación Para la Investigación y </w:t>
      </w:r>
      <w:r w:rsidR="00B80E6C" w:rsidRPr="007F4B79">
        <w:rPr>
          <w:rFonts w:ascii="Cambria" w:hAnsi="Cambria"/>
          <w:sz w:val="20"/>
          <w:szCs w:val="20"/>
          <w:lang w:val="es-ES"/>
        </w:rPr>
        <w:t>Promoción</w:t>
      </w:r>
      <w:r w:rsidRPr="007F4B79">
        <w:rPr>
          <w:rFonts w:ascii="Cambria" w:hAnsi="Cambria"/>
          <w:sz w:val="20"/>
          <w:szCs w:val="20"/>
          <w:lang w:val="es-ES"/>
        </w:rPr>
        <w:t xml:space="preserve"> Social ¨NOMADESC¨ (en adelante “la peticionaria</w:t>
      </w:r>
      <w:r w:rsidR="007E13F2" w:rsidRPr="007F4B79">
        <w:rPr>
          <w:rFonts w:ascii="Cambria" w:hAnsi="Cambria"/>
          <w:sz w:val="20"/>
          <w:szCs w:val="20"/>
          <w:lang w:val="es-ES"/>
        </w:rPr>
        <w:t>”), mediante la cual alegó la responsabilidad internacional de la República de Colombia (en adelante “el Estado”</w:t>
      </w:r>
      <w:r w:rsidR="005C1B9B" w:rsidRPr="007F4B79">
        <w:rPr>
          <w:rFonts w:ascii="Cambria" w:hAnsi="Cambria"/>
          <w:sz w:val="20"/>
          <w:szCs w:val="20"/>
          <w:lang w:val="es-ES"/>
        </w:rPr>
        <w:t>, “el Estado colombiano”</w:t>
      </w:r>
      <w:r w:rsidR="007E13F2" w:rsidRPr="007F4B79">
        <w:rPr>
          <w:rFonts w:ascii="Cambria" w:hAnsi="Cambria"/>
          <w:sz w:val="20"/>
          <w:szCs w:val="20"/>
          <w:lang w:val="es-ES"/>
        </w:rPr>
        <w:t xml:space="preserve"> o “Colombia”) por la presunta violación de los artículos</w:t>
      </w:r>
      <w:r w:rsidRPr="007F4B79">
        <w:rPr>
          <w:rFonts w:ascii="Cambria" w:hAnsi="Cambria"/>
          <w:sz w:val="20"/>
          <w:szCs w:val="20"/>
          <w:lang w:val="es-ES"/>
        </w:rPr>
        <w:t xml:space="preserve"> 4 (derecho a la vida), </w:t>
      </w:r>
      <w:r w:rsidR="00D3519C" w:rsidRPr="007F4B79">
        <w:rPr>
          <w:rFonts w:ascii="Cambria" w:hAnsi="Cambria"/>
          <w:sz w:val="20"/>
          <w:szCs w:val="20"/>
          <w:lang w:val="es-ES"/>
        </w:rPr>
        <w:t>5 (derecho a la integridad personal)</w:t>
      </w:r>
      <w:r w:rsidR="007E13F2" w:rsidRPr="007F4B79">
        <w:rPr>
          <w:rFonts w:ascii="Cambria" w:hAnsi="Cambria"/>
          <w:sz w:val="20"/>
          <w:szCs w:val="20"/>
          <w:lang w:val="es-ES"/>
        </w:rPr>
        <w:t xml:space="preserve">, </w:t>
      </w:r>
      <w:r w:rsidR="002F0219" w:rsidRPr="007F4B79">
        <w:rPr>
          <w:rFonts w:ascii="Cambria" w:hAnsi="Cambria"/>
          <w:sz w:val="20"/>
          <w:szCs w:val="20"/>
          <w:lang w:val="es-ES"/>
        </w:rPr>
        <w:t xml:space="preserve">8 (garantías judiciales), </w:t>
      </w:r>
      <w:r w:rsidR="007E13F2" w:rsidRPr="007F4B79">
        <w:rPr>
          <w:rFonts w:ascii="Cambria" w:hAnsi="Cambria"/>
          <w:sz w:val="20"/>
          <w:szCs w:val="20"/>
          <w:lang w:val="es-ES"/>
        </w:rPr>
        <w:t xml:space="preserve">13 (libertad de pensamiento y </w:t>
      </w:r>
      <w:r w:rsidR="001B4170" w:rsidRPr="007F4B79">
        <w:rPr>
          <w:rFonts w:ascii="Cambria" w:hAnsi="Cambria"/>
          <w:sz w:val="20"/>
          <w:szCs w:val="20"/>
          <w:lang w:val="es-ES"/>
        </w:rPr>
        <w:t xml:space="preserve">de </w:t>
      </w:r>
      <w:r w:rsidR="007E13F2" w:rsidRPr="007F4B79">
        <w:rPr>
          <w:rFonts w:ascii="Cambria" w:hAnsi="Cambria"/>
          <w:sz w:val="20"/>
          <w:szCs w:val="20"/>
          <w:lang w:val="es-ES"/>
        </w:rPr>
        <w:t xml:space="preserve">expresión), </w:t>
      </w:r>
      <w:r w:rsidR="00D3519C" w:rsidRPr="007F4B79">
        <w:rPr>
          <w:rFonts w:ascii="Cambria" w:hAnsi="Cambria"/>
          <w:sz w:val="20"/>
          <w:szCs w:val="20"/>
          <w:lang w:val="es-ES"/>
        </w:rPr>
        <w:t>23 (derechos políticos</w:t>
      </w:r>
      <w:r w:rsidRPr="007F4B79">
        <w:rPr>
          <w:rFonts w:ascii="Cambria" w:hAnsi="Cambria"/>
          <w:sz w:val="20"/>
          <w:szCs w:val="20"/>
          <w:lang w:val="es-ES"/>
        </w:rPr>
        <w:t xml:space="preserve">) </w:t>
      </w:r>
      <w:r w:rsidR="007E13F2" w:rsidRPr="007F4B79">
        <w:rPr>
          <w:rFonts w:ascii="Cambria" w:hAnsi="Cambria"/>
          <w:sz w:val="20"/>
          <w:szCs w:val="20"/>
          <w:lang w:val="es-ES"/>
        </w:rPr>
        <w:t>y 25 (protección judicial) de la Convención Americana sobre Derechos Humanos (en adelante la “Convención Americana” o la “Convención”), en rela</w:t>
      </w:r>
      <w:r w:rsidRPr="007F4B79">
        <w:rPr>
          <w:rFonts w:ascii="Cambria" w:hAnsi="Cambria"/>
          <w:sz w:val="20"/>
          <w:szCs w:val="20"/>
          <w:lang w:val="es-ES"/>
        </w:rPr>
        <w:t xml:space="preserve">ción con el artículo 1.1 </w:t>
      </w:r>
      <w:r w:rsidR="00D3519C" w:rsidRPr="007F4B79">
        <w:rPr>
          <w:rFonts w:ascii="Cambria" w:hAnsi="Cambria"/>
          <w:sz w:val="20"/>
          <w:szCs w:val="20"/>
          <w:lang w:val="es-ES"/>
        </w:rPr>
        <w:t xml:space="preserve"> (obligación de respetar los derechos) </w:t>
      </w:r>
      <w:r w:rsidR="007E13F2" w:rsidRPr="007F4B79">
        <w:rPr>
          <w:rFonts w:ascii="Cambria" w:hAnsi="Cambria"/>
          <w:sz w:val="20"/>
          <w:szCs w:val="20"/>
          <w:lang w:val="es-ES"/>
        </w:rPr>
        <w:t>del mis</w:t>
      </w:r>
      <w:r w:rsidRPr="007F4B79">
        <w:rPr>
          <w:rFonts w:ascii="Cambria" w:hAnsi="Cambria"/>
          <w:sz w:val="20"/>
          <w:szCs w:val="20"/>
          <w:lang w:val="es-ES"/>
        </w:rPr>
        <w:t>mo instrumento, en perjuicio de Jhonny Silva Aranguren</w:t>
      </w:r>
      <w:r w:rsidR="006B42B3" w:rsidRPr="007F4B79">
        <w:rPr>
          <w:rFonts w:ascii="Cambria" w:hAnsi="Cambria"/>
          <w:sz w:val="20"/>
          <w:szCs w:val="20"/>
          <w:lang w:val="es-ES"/>
        </w:rPr>
        <w:t xml:space="preserve"> y familiares</w:t>
      </w:r>
      <w:r w:rsidR="007E13F2" w:rsidRPr="007F4B79">
        <w:rPr>
          <w:rFonts w:ascii="Cambria" w:hAnsi="Cambria"/>
          <w:sz w:val="20"/>
          <w:szCs w:val="20"/>
          <w:lang w:val="es-ES"/>
        </w:rPr>
        <w:t>.</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330BD8" w:rsidRPr="007F4B79" w:rsidRDefault="00B80E6C" w:rsidP="009A7A3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Según la peticionaria</w:t>
      </w:r>
      <w:r w:rsidR="007E13F2" w:rsidRPr="007F4B79">
        <w:rPr>
          <w:rFonts w:ascii="Cambria" w:hAnsi="Cambria"/>
          <w:sz w:val="20"/>
          <w:szCs w:val="20"/>
          <w:lang w:val="es-ES"/>
        </w:rPr>
        <w:t xml:space="preserve">, </w:t>
      </w:r>
      <w:r w:rsidR="00F93BC5" w:rsidRPr="007F4B79">
        <w:rPr>
          <w:rFonts w:ascii="Cambria" w:hAnsi="Cambria"/>
          <w:sz w:val="20"/>
          <w:szCs w:val="20"/>
          <w:lang w:val="es-ES"/>
        </w:rPr>
        <w:t>el 22 de octubre de 2005</w:t>
      </w:r>
      <w:r w:rsidR="00111AF5" w:rsidRPr="007F4B79">
        <w:rPr>
          <w:rFonts w:ascii="Cambria" w:hAnsi="Cambria"/>
          <w:sz w:val="20"/>
          <w:szCs w:val="20"/>
          <w:lang w:val="es-ES"/>
        </w:rPr>
        <w:t>,</w:t>
      </w:r>
      <w:r w:rsidR="00F93BC5" w:rsidRPr="007F4B79">
        <w:rPr>
          <w:rFonts w:ascii="Cambria" w:hAnsi="Cambria"/>
          <w:sz w:val="20"/>
          <w:szCs w:val="20"/>
          <w:lang w:val="es-ES"/>
        </w:rPr>
        <w:t xml:space="preserve"> Jhonny Silva Aranguren</w:t>
      </w:r>
      <w:r w:rsidR="005431A4" w:rsidRPr="007F4B79">
        <w:rPr>
          <w:rFonts w:ascii="Cambria" w:hAnsi="Cambria"/>
          <w:sz w:val="20"/>
          <w:szCs w:val="20"/>
          <w:lang w:val="es-ES"/>
        </w:rPr>
        <w:t xml:space="preserve">, </w:t>
      </w:r>
      <w:r w:rsidR="00F10B70" w:rsidRPr="007F4B79">
        <w:rPr>
          <w:rFonts w:ascii="Cambria" w:hAnsi="Cambria"/>
          <w:sz w:val="20"/>
          <w:szCs w:val="20"/>
          <w:lang w:val="es-ES"/>
        </w:rPr>
        <w:t>estudiante en la Universidad del Valle,</w:t>
      </w:r>
      <w:r w:rsidR="00F93BC5" w:rsidRPr="007F4B79">
        <w:rPr>
          <w:rFonts w:ascii="Cambria" w:hAnsi="Cambria"/>
          <w:sz w:val="20"/>
          <w:szCs w:val="20"/>
          <w:lang w:val="es-ES"/>
        </w:rPr>
        <w:t xml:space="preserve"> </w:t>
      </w:r>
      <w:r w:rsidR="0054498A" w:rsidRPr="007F4B79">
        <w:rPr>
          <w:rFonts w:ascii="Cambria" w:hAnsi="Cambria"/>
          <w:sz w:val="20"/>
          <w:szCs w:val="20"/>
          <w:lang w:val="es-ES"/>
        </w:rPr>
        <w:t>murió</w:t>
      </w:r>
      <w:r w:rsidR="00F93BC5" w:rsidRPr="007F4B79">
        <w:rPr>
          <w:rFonts w:ascii="Cambria" w:hAnsi="Cambria"/>
          <w:sz w:val="20"/>
          <w:szCs w:val="20"/>
          <w:lang w:val="es-ES"/>
        </w:rPr>
        <w:t xml:space="preserve"> </w:t>
      </w:r>
      <w:r w:rsidR="00E21179" w:rsidRPr="007F4B79">
        <w:rPr>
          <w:rFonts w:ascii="Cambria" w:hAnsi="Cambria"/>
          <w:sz w:val="20"/>
          <w:szCs w:val="20"/>
          <w:lang w:val="es-ES"/>
        </w:rPr>
        <w:t>tras recibir</w:t>
      </w:r>
      <w:r w:rsidR="00F93BC5" w:rsidRPr="007F4B79">
        <w:rPr>
          <w:rFonts w:ascii="Cambria" w:hAnsi="Cambria"/>
          <w:sz w:val="20"/>
          <w:szCs w:val="20"/>
          <w:lang w:val="es-ES"/>
        </w:rPr>
        <w:t xml:space="preserve"> un disparo de un arma de fuego</w:t>
      </w:r>
      <w:r w:rsidR="00F10B70" w:rsidRPr="007F4B79">
        <w:rPr>
          <w:rFonts w:ascii="Cambria" w:hAnsi="Cambria"/>
          <w:sz w:val="20"/>
          <w:szCs w:val="20"/>
          <w:lang w:val="es-ES"/>
        </w:rPr>
        <w:t xml:space="preserve"> presuntamente por </w:t>
      </w:r>
      <w:r w:rsidR="00E21179" w:rsidRPr="007F4B79">
        <w:rPr>
          <w:rFonts w:ascii="Cambria" w:hAnsi="Cambria"/>
          <w:sz w:val="20"/>
          <w:szCs w:val="20"/>
          <w:lang w:val="es-ES"/>
        </w:rPr>
        <w:t>parte de un integrante</w:t>
      </w:r>
      <w:r w:rsidR="00111AF5" w:rsidRPr="007F4B79">
        <w:rPr>
          <w:rFonts w:ascii="Cambria" w:hAnsi="Cambria"/>
          <w:sz w:val="20"/>
          <w:szCs w:val="20"/>
          <w:lang w:val="es-ES"/>
        </w:rPr>
        <w:t xml:space="preserve"> del</w:t>
      </w:r>
      <w:r w:rsidR="00F93BC5" w:rsidRPr="007F4B79">
        <w:rPr>
          <w:rFonts w:ascii="Cambria" w:hAnsi="Cambria"/>
          <w:sz w:val="20"/>
          <w:szCs w:val="20"/>
          <w:lang w:val="es-ES"/>
        </w:rPr>
        <w:t xml:space="preserve"> </w:t>
      </w:r>
      <w:r w:rsidR="00F10B70" w:rsidRPr="007F4B79">
        <w:rPr>
          <w:rFonts w:ascii="Cambria" w:hAnsi="Cambria"/>
          <w:sz w:val="20"/>
          <w:szCs w:val="20"/>
          <w:lang w:val="es-ES"/>
        </w:rPr>
        <w:t xml:space="preserve">Escuadrón Móvil Antidisturbios (ESMAD) </w:t>
      </w:r>
      <w:r w:rsidR="00E21179" w:rsidRPr="007F4B79">
        <w:rPr>
          <w:rFonts w:ascii="Cambria" w:hAnsi="Cambria"/>
          <w:sz w:val="20"/>
          <w:szCs w:val="20"/>
          <w:lang w:val="es-ES"/>
        </w:rPr>
        <w:t>cuando participaba en</w:t>
      </w:r>
      <w:r w:rsidR="004B1191" w:rsidRPr="007F4B79">
        <w:rPr>
          <w:rFonts w:ascii="Cambria" w:hAnsi="Cambria"/>
          <w:sz w:val="20"/>
          <w:szCs w:val="20"/>
          <w:lang w:val="es-ES"/>
        </w:rPr>
        <w:t xml:space="preserve"> una </w:t>
      </w:r>
      <w:r w:rsidR="00800EC9" w:rsidRPr="007F4B79">
        <w:rPr>
          <w:rFonts w:ascii="Cambria" w:hAnsi="Cambria"/>
          <w:sz w:val="20"/>
          <w:szCs w:val="20"/>
          <w:lang w:val="es-ES"/>
        </w:rPr>
        <w:t>protesta</w:t>
      </w:r>
      <w:r w:rsidR="00F10B70" w:rsidRPr="007F4B79">
        <w:rPr>
          <w:rFonts w:ascii="Cambria" w:hAnsi="Cambria"/>
          <w:sz w:val="20"/>
          <w:szCs w:val="20"/>
          <w:lang w:val="es-ES"/>
        </w:rPr>
        <w:t xml:space="preserve"> </w:t>
      </w:r>
      <w:r w:rsidR="00800EC9" w:rsidRPr="007F4B79">
        <w:rPr>
          <w:rFonts w:ascii="Cambria" w:hAnsi="Cambria"/>
          <w:sz w:val="20"/>
          <w:szCs w:val="20"/>
          <w:lang w:val="es-ES"/>
        </w:rPr>
        <w:t xml:space="preserve">estudiantil </w:t>
      </w:r>
      <w:r w:rsidR="004B1191" w:rsidRPr="007F4B79">
        <w:rPr>
          <w:rFonts w:ascii="Cambria" w:hAnsi="Cambria"/>
          <w:sz w:val="20"/>
          <w:szCs w:val="20"/>
          <w:lang w:val="es-ES"/>
        </w:rPr>
        <w:t>en la Universidad del Valle</w:t>
      </w:r>
      <w:r w:rsidR="005C1B9B" w:rsidRPr="007F4B79">
        <w:rPr>
          <w:rFonts w:ascii="Cambria" w:hAnsi="Cambria"/>
          <w:sz w:val="20"/>
          <w:szCs w:val="20"/>
          <w:lang w:val="es-ES"/>
        </w:rPr>
        <w:t>.</w:t>
      </w:r>
      <w:r w:rsidR="007E6115" w:rsidRPr="007F4B79">
        <w:rPr>
          <w:rFonts w:ascii="Cambria" w:hAnsi="Cambria"/>
          <w:sz w:val="20"/>
          <w:szCs w:val="20"/>
          <w:lang w:val="es-ES"/>
        </w:rPr>
        <w:t xml:space="preserve"> </w:t>
      </w:r>
      <w:r w:rsidR="00A5055B" w:rsidRPr="007F4B79">
        <w:rPr>
          <w:rFonts w:ascii="Cambria" w:hAnsi="Cambria"/>
          <w:sz w:val="20"/>
          <w:szCs w:val="20"/>
          <w:lang w:val="es-ES"/>
        </w:rPr>
        <w:t>L</w:t>
      </w:r>
      <w:r w:rsidR="00FA7FDE" w:rsidRPr="007F4B79">
        <w:rPr>
          <w:rFonts w:ascii="Cambria" w:hAnsi="Cambria"/>
          <w:sz w:val="20"/>
          <w:szCs w:val="20"/>
          <w:lang w:val="es-ES"/>
        </w:rPr>
        <w:t xml:space="preserve">a peticionaria </w:t>
      </w:r>
      <w:r w:rsidR="004B1191" w:rsidRPr="007F4B79">
        <w:rPr>
          <w:rFonts w:ascii="Cambria" w:hAnsi="Cambria"/>
          <w:sz w:val="20"/>
          <w:szCs w:val="20"/>
          <w:lang w:val="es-CO"/>
        </w:rPr>
        <w:t>afirmó</w:t>
      </w:r>
      <w:r w:rsidR="00330BD8" w:rsidRPr="007F4B79">
        <w:rPr>
          <w:rFonts w:ascii="Cambria" w:hAnsi="Cambria"/>
          <w:sz w:val="20"/>
          <w:szCs w:val="20"/>
          <w:lang w:val="es-CO"/>
        </w:rPr>
        <w:t xml:space="preserve"> que el Estado </w:t>
      </w:r>
      <w:r w:rsidR="009A7A32" w:rsidRPr="007F4B79">
        <w:rPr>
          <w:rFonts w:ascii="Cambria" w:hAnsi="Cambria"/>
          <w:sz w:val="20"/>
          <w:szCs w:val="20"/>
          <w:lang w:val="es-CO"/>
        </w:rPr>
        <w:t xml:space="preserve">colombiano no ha </w:t>
      </w:r>
      <w:r w:rsidR="00A5055B" w:rsidRPr="007F4B79">
        <w:rPr>
          <w:rFonts w:ascii="Cambria" w:hAnsi="Cambria"/>
          <w:sz w:val="20"/>
          <w:szCs w:val="20"/>
          <w:lang w:val="es-CO"/>
        </w:rPr>
        <w:t>llevado a cabo</w:t>
      </w:r>
      <w:r w:rsidR="009A7A32" w:rsidRPr="007F4B79">
        <w:rPr>
          <w:rFonts w:ascii="Cambria" w:hAnsi="Cambria"/>
          <w:sz w:val="20"/>
          <w:szCs w:val="20"/>
          <w:lang w:val="es-CO"/>
        </w:rPr>
        <w:t xml:space="preserve"> una investigación seria</w:t>
      </w:r>
      <w:r w:rsidR="00A5055B" w:rsidRPr="007F4B79">
        <w:rPr>
          <w:rFonts w:ascii="Cambria" w:hAnsi="Cambria"/>
          <w:sz w:val="20"/>
          <w:szCs w:val="20"/>
          <w:lang w:val="es-CO"/>
        </w:rPr>
        <w:t xml:space="preserve"> y efectiva en un plazo razonable</w:t>
      </w:r>
      <w:r w:rsidR="009A7A32" w:rsidRPr="007F4B79">
        <w:rPr>
          <w:rFonts w:ascii="Cambria" w:hAnsi="Cambria"/>
          <w:sz w:val="20"/>
          <w:szCs w:val="20"/>
          <w:lang w:val="es-CO"/>
        </w:rPr>
        <w:t>, en la</w:t>
      </w:r>
      <w:r w:rsidR="005C1B9B" w:rsidRPr="007F4B79">
        <w:rPr>
          <w:rFonts w:ascii="Cambria" w:hAnsi="Cambria"/>
          <w:sz w:val="20"/>
          <w:szCs w:val="20"/>
          <w:lang w:val="es-CO"/>
        </w:rPr>
        <w:t xml:space="preserve"> que se hayan determinado </w:t>
      </w:r>
      <w:r w:rsidR="009A7A32" w:rsidRPr="007F4B79">
        <w:rPr>
          <w:rFonts w:ascii="Cambria" w:hAnsi="Cambria"/>
          <w:sz w:val="20"/>
          <w:szCs w:val="20"/>
          <w:lang w:val="es-CO"/>
        </w:rPr>
        <w:t xml:space="preserve">los responsables materiales e intelectuales </w:t>
      </w:r>
      <w:r w:rsidR="004B1191" w:rsidRPr="007F4B79">
        <w:rPr>
          <w:rFonts w:ascii="Cambria" w:hAnsi="Cambria"/>
          <w:sz w:val="20"/>
          <w:szCs w:val="20"/>
          <w:lang w:val="es-CO"/>
        </w:rPr>
        <w:t>por la muerte</w:t>
      </w:r>
      <w:r w:rsidR="009A20D1" w:rsidRPr="007F4B79">
        <w:rPr>
          <w:rFonts w:ascii="Cambria" w:hAnsi="Cambria"/>
          <w:sz w:val="20"/>
          <w:szCs w:val="20"/>
          <w:lang w:val="es-CO"/>
        </w:rPr>
        <w:t xml:space="preserve"> de Jhonny Silva Aranguren</w:t>
      </w:r>
      <w:r w:rsidR="005C1B9B" w:rsidRPr="007F4B79">
        <w:rPr>
          <w:rFonts w:ascii="Cambria" w:hAnsi="Cambria"/>
          <w:sz w:val="20"/>
          <w:szCs w:val="20"/>
          <w:lang w:val="es-CO"/>
        </w:rPr>
        <w:t xml:space="preserve">. </w:t>
      </w:r>
    </w:p>
    <w:p w:rsidR="00330BD8" w:rsidRPr="007F4B79" w:rsidRDefault="00330BD8" w:rsidP="00330BD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7E13F2" w:rsidRPr="007F4B79" w:rsidRDefault="007E13F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Por su parte, el Estado alegó que </w:t>
      </w:r>
      <w:r w:rsidR="005C2AF6" w:rsidRPr="007F4B79">
        <w:rPr>
          <w:rFonts w:ascii="Cambria" w:hAnsi="Cambria"/>
          <w:sz w:val="20"/>
          <w:szCs w:val="20"/>
          <w:lang w:val="es-ES"/>
        </w:rPr>
        <w:t xml:space="preserve">no se </w:t>
      </w:r>
      <w:r w:rsidR="003F6229" w:rsidRPr="007F4B79">
        <w:rPr>
          <w:rFonts w:ascii="Cambria" w:hAnsi="Cambria"/>
          <w:sz w:val="20"/>
          <w:szCs w:val="20"/>
          <w:lang w:val="es-ES"/>
        </w:rPr>
        <w:t>agotaron</w:t>
      </w:r>
      <w:r w:rsidR="005C2AF6" w:rsidRPr="007F4B79">
        <w:rPr>
          <w:rFonts w:ascii="Cambria" w:hAnsi="Cambria"/>
          <w:sz w:val="20"/>
          <w:szCs w:val="20"/>
          <w:lang w:val="es-ES"/>
        </w:rPr>
        <w:t xml:space="preserve"> los recursos</w:t>
      </w:r>
      <w:r w:rsidR="006745C8" w:rsidRPr="007F4B79">
        <w:rPr>
          <w:rFonts w:ascii="Cambria" w:hAnsi="Cambria"/>
          <w:sz w:val="20"/>
          <w:szCs w:val="20"/>
          <w:lang w:val="es-ES"/>
        </w:rPr>
        <w:t xml:space="preserve"> internos, de conformidad con lo</w:t>
      </w:r>
      <w:r w:rsidR="005C2AF6" w:rsidRPr="007F4B79">
        <w:rPr>
          <w:rFonts w:ascii="Cambria" w:hAnsi="Cambria"/>
          <w:sz w:val="20"/>
          <w:szCs w:val="20"/>
          <w:lang w:val="es-ES"/>
        </w:rPr>
        <w:t xml:space="preserve"> exp</w:t>
      </w:r>
      <w:r w:rsidR="00A5055B" w:rsidRPr="007F4B79">
        <w:rPr>
          <w:rFonts w:ascii="Cambria" w:hAnsi="Cambria"/>
          <w:sz w:val="20"/>
          <w:szCs w:val="20"/>
          <w:lang w:val="es-ES"/>
        </w:rPr>
        <w:t>uesto en el artículo 46.2.c de l</w:t>
      </w:r>
      <w:r w:rsidR="006745C8" w:rsidRPr="007F4B79">
        <w:rPr>
          <w:rFonts w:ascii="Cambria" w:hAnsi="Cambria"/>
          <w:sz w:val="20"/>
          <w:szCs w:val="20"/>
          <w:lang w:val="es-ES"/>
        </w:rPr>
        <w:t>a Convención Americana. Colombia sostuvo que están en curso  una investigación penal</w:t>
      </w:r>
      <w:r w:rsidR="005C2AF6" w:rsidRPr="007F4B79">
        <w:rPr>
          <w:rFonts w:ascii="Cambria" w:hAnsi="Cambria"/>
          <w:sz w:val="20"/>
          <w:szCs w:val="20"/>
          <w:lang w:val="es-ES"/>
        </w:rPr>
        <w:t xml:space="preserve">, </w:t>
      </w:r>
      <w:r w:rsidR="006745C8" w:rsidRPr="007F4B79">
        <w:rPr>
          <w:rFonts w:ascii="Cambria" w:hAnsi="Cambria"/>
          <w:sz w:val="20"/>
          <w:szCs w:val="20"/>
          <w:lang w:val="es-ES"/>
        </w:rPr>
        <w:t>un proceso disciplinario</w:t>
      </w:r>
      <w:r w:rsidR="005C2AF6" w:rsidRPr="007F4B79">
        <w:rPr>
          <w:rFonts w:ascii="Cambria" w:hAnsi="Cambria"/>
          <w:sz w:val="20"/>
          <w:szCs w:val="20"/>
          <w:lang w:val="es-ES"/>
        </w:rPr>
        <w:t xml:space="preserve"> y un proceso de reparación directa ante la jurisdicción contencioso administrativa</w:t>
      </w:r>
      <w:r w:rsidR="006745C8" w:rsidRPr="007F4B79">
        <w:rPr>
          <w:rFonts w:ascii="Cambria" w:hAnsi="Cambria"/>
          <w:sz w:val="20"/>
          <w:szCs w:val="20"/>
          <w:lang w:val="es-ES"/>
        </w:rPr>
        <w:t>, por los hechos materia de esta petición</w:t>
      </w:r>
      <w:r w:rsidR="005C2AF6" w:rsidRPr="007F4B79">
        <w:rPr>
          <w:rFonts w:ascii="Cambria" w:hAnsi="Cambria"/>
          <w:sz w:val="20"/>
          <w:szCs w:val="20"/>
          <w:lang w:val="es-ES"/>
        </w:rPr>
        <w:t xml:space="preserve">. Adicionalmente, señaló que los hechos alegados </w:t>
      </w:r>
      <w:r w:rsidR="00847C55" w:rsidRPr="007F4B79">
        <w:rPr>
          <w:rFonts w:ascii="Cambria" w:hAnsi="Cambria"/>
          <w:sz w:val="20"/>
          <w:szCs w:val="20"/>
          <w:lang w:val="es-ES"/>
        </w:rPr>
        <w:t xml:space="preserve">por la peticionaria </w:t>
      </w:r>
      <w:r w:rsidR="005C2AF6" w:rsidRPr="007F4B79">
        <w:rPr>
          <w:rFonts w:ascii="Cambria" w:hAnsi="Cambria"/>
          <w:sz w:val="20"/>
          <w:szCs w:val="20"/>
          <w:lang w:val="es-ES"/>
        </w:rPr>
        <w:t xml:space="preserve">en la presente petición “carecen de elementos probatorios” y no caracterizarían, “ni siquiera </w:t>
      </w:r>
      <w:r w:rsidR="005C2AF6" w:rsidRPr="007F4B79">
        <w:rPr>
          <w:rFonts w:ascii="Cambria" w:hAnsi="Cambria"/>
          <w:i/>
          <w:sz w:val="20"/>
          <w:szCs w:val="20"/>
          <w:lang w:val="es-ES"/>
        </w:rPr>
        <w:t>prima facie</w:t>
      </w:r>
      <w:r w:rsidR="005C2AF6" w:rsidRPr="007F4B79">
        <w:rPr>
          <w:rFonts w:ascii="Cambria" w:hAnsi="Cambria"/>
          <w:sz w:val="20"/>
          <w:szCs w:val="20"/>
          <w:lang w:val="es-ES"/>
        </w:rPr>
        <w:t>”, una violación de los derechos garantizados por la Convención Americana.</w:t>
      </w:r>
      <w:r w:rsidR="005E4A27" w:rsidRPr="007F4B79">
        <w:rPr>
          <w:rFonts w:ascii="Cambria" w:hAnsi="Cambria"/>
          <w:sz w:val="20"/>
          <w:szCs w:val="20"/>
          <w:lang w:val="es-ES"/>
        </w:rPr>
        <w:t xml:space="preserve"> </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9A20D1" w:rsidRPr="007F4B79" w:rsidRDefault="007E13F2" w:rsidP="009A20D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sz w:val="20"/>
          <w:szCs w:val="20"/>
          <w:lang w:val="es-ES"/>
        </w:rPr>
        <w:t xml:space="preserve">Tras examinar las posiciones de las partes a la luz de los requisitos de admisibilidad establecidos en los artículos 46 y 47 de la Convención Americana, y sin prejuzgar sobre el fondo del asunto, la Comisión Interamericana decide declarar la petición admisible respecto de la presunta violación de los </w:t>
      </w:r>
      <w:r w:rsidR="007743C7" w:rsidRPr="007F4B79">
        <w:rPr>
          <w:rFonts w:ascii="Cambria" w:hAnsi="Cambria"/>
          <w:sz w:val="20"/>
          <w:szCs w:val="20"/>
          <w:lang w:val="es-AR"/>
        </w:rPr>
        <w:t xml:space="preserve">artículos 4 (derecho a la vida), </w:t>
      </w:r>
      <w:r w:rsidR="007743C7" w:rsidRPr="007F4B79">
        <w:rPr>
          <w:rFonts w:ascii="Cambria" w:hAnsi="Cambria"/>
          <w:sz w:val="20"/>
          <w:szCs w:val="20"/>
          <w:lang w:val="es-ES"/>
        </w:rPr>
        <w:t xml:space="preserve">5 (derecho a la integridad personal), 8 (garantías judiciales), 13 (libertad de pensamiento y de expresión), 15 (derecho de reunión), y 25 (protección judicial) </w:t>
      </w:r>
      <w:r w:rsidR="007743C7" w:rsidRPr="007F4B79">
        <w:rPr>
          <w:rFonts w:ascii="Cambria" w:hAnsi="Cambria"/>
          <w:sz w:val="20"/>
          <w:szCs w:val="20"/>
          <w:lang w:val="es-AR"/>
        </w:rPr>
        <w:t>de la Convención A</w:t>
      </w:r>
      <w:r w:rsidR="003329FC" w:rsidRPr="007F4B79">
        <w:rPr>
          <w:rFonts w:ascii="Cambria" w:hAnsi="Cambria"/>
          <w:sz w:val="20"/>
          <w:szCs w:val="20"/>
          <w:lang w:val="es-AR"/>
        </w:rPr>
        <w:t>mericana, en concordancia con los</w:t>
      </w:r>
      <w:r w:rsidR="007743C7" w:rsidRPr="007F4B79">
        <w:rPr>
          <w:rFonts w:ascii="Cambria" w:hAnsi="Cambria"/>
          <w:sz w:val="20"/>
          <w:szCs w:val="20"/>
          <w:lang w:val="es-AR"/>
        </w:rPr>
        <w:t xml:space="preserve"> artículo</w:t>
      </w:r>
      <w:r w:rsidR="003329FC" w:rsidRPr="007F4B79">
        <w:rPr>
          <w:rFonts w:ascii="Cambria" w:hAnsi="Cambria"/>
          <w:sz w:val="20"/>
          <w:szCs w:val="20"/>
          <w:lang w:val="es-AR"/>
        </w:rPr>
        <w:t>s</w:t>
      </w:r>
      <w:r w:rsidR="007743C7" w:rsidRPr="007F4B79">
        <w:rPr>
          <w:rFonts w:ascii="Cambria" w:hAnsi="Cambria"/>
          <w:sz w:val="20"/>
          <w:szCs w:val="20"/>
          <w:lang w:val="es-AR"/>
        </w:rPr>
        <w:t xml:space="preserve"> 1.1</w:t>
      </w:r>
      <w:r w:rsidR="003329FC" w:rsidRPr="007F4B79">
        <w:rPr>
          <w:rFonts w:ascii="Cambria" w:hAnsi="Cambria"/>
          <w:sz w:val="20"/>
          <w:szCs w:val="20"/>
          <w:lang w:val="es-AR"/>
        </w:rPr>
        <w:t xml:space="preserve"> </w:t>
      </w:r>
      <w:r w:rsidR="007743C7" w:rsidRPr="007F4B79">
        <w:rPr>
          <w:rFonts w:ascii="Cambria" w:hAnsi="Cambria"/>
          <w:sz w:val="20"/>
          <w:szCs w:val="20"/>
          <w:lang w:val="es-AR"/>
        </w:rPr>
        <w:t xml:space="preserve">(obligación de respetar los derechos) </w:t>
      </w:r>
      <w:r w:rsidR="003329FC" w:rsidRPr="007F4B79">
        <w:rPr>
          <w:rFonts w:ascii="Cambria" w:hAnsi="Cambria"/>
          <w:sz w:val="20"/>
          <w:szCs w:val="20"/>
          <w:lang w:val="es-AR"/>
        </w:rPr>
        <w:t xml:space="preserve">y 2 (deber de adoptar disposiciones de derecho interno) </w:t>
      </w:r>
      <w:r w:rsidR="007743C7" w:rsidRPr="007F4B79">
        <w:rPr>
          <w:rFonts w:ascii="Cambria" w:hAnsi="Cambria"/>
          <w:sz w:val="20"/>
          <w:szCs w:val="20"/>
          <w:lang w:val="es-AR"/>
        </w:rPr>
        <w:t>del mismo instrumento</w:t>
      </w:r>
      <w:r w:rsidR="008B5630" w:rsidRPr="007F4B79">
        <w:rPr>
          <w:rFonts w:ascii="Cambria" w:hAnsi="Cambria"/>
          <w:sz w:val="20"/>
          <w:szCs w:val="20"/>
          <w:lang w:val="es-AR"/>
        </w:rPr>
        <w:t>, e inadmisible con relación a la posible violación del artículo 23 (derechos políticos) de la Convención Americana</w:t>
      </w:r>
      <w:r w:rsidR="007743C7" w:rsidRPr="007F4B79">
        <w:rPr>
          <w:rFonts w:ascii="Cambria" w:hAnsi="Cambria"/>
          <w:sz w:val="20"/>
          <w:szCs w:val="20"/>
          <w:lang w:val="es-AR"/>
        </w:rPr>
        <w:t xml:space="preserve">. </w:t>
      </w:r>
      <w:r w:rsidRPr="007F4B79">
        <w:rPr>
          <w:rFonts w:ascii="Cambria" w:hAnsi="Cambria"/>
          <w:sz w:val="20"/>
          <w:szCs w:val="20"/>
          <w:lang w:val="es-ES"/>
        </w:rPr>
        <w:t>Por último, la Comisión decide publicar el presente informe e incluirlo en su Informe Anual a la Asamblea General de la Organización de los Estados Americanos.</w:t>
      </w:r>
    </w:p>
    <w:p w:rsidR="00A5055B" w:rsidRPr="007F4B79" w:rsidRDefault="00A5055B" w:rsidP="00A5055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7E13F2" w:rsidRPr="007F4B79" w:rsidRDefault="007E13F2" w:rsidP="00382323">
      <w:pPr>
        <w:pStyle w:val="Heading3"/>
        <w:keepNext w:val="0"/>
        <w:widowControl w:val="0"/>
        <w:numPr>
          <w:ilvl w:val="0"/>
          <w:numId w:val="56"/>
        </w:numPr>
        <w:spacing w:before="0" w:after="0"/>
        <w:jc w:val="both"/>
        <w:rPr>
          <w:rFonts w:ascii="Cambria" w:hAnsi="Cambria"/>
          <w:sz w:val="20"/>
          <w:szCs w:val="20"/>
          <w:lang w:val="es-ES"/>
        </w:rPr>
      </w:pPr>
      <w:bookmarkStart w:id="6" w:name="_Toc400530884"/>
      <w:bookmarkStart w:id="7" w:name="_Toc400530988"/>
      <w:bookmarkStart w:id="8" w:name="_Toc400531325"/>
      <w:r w:rsidRPr="007F4B79">
        <w:rPr>
          <w:rFonts w:ascii="Cambria" w:hAnsi="Cambria"/>
          <w:sz w:val="20"/>
          <w:szCs w:val="20"/>
          <w:lang w:val="es-ES"/>
        </w:rPr>
        <w:t>TRÁMITE ANTE LA COMISIÓN INTERAMERICANA</w:t>
      </w:r>
      <w:bookmarkEnd w:id="6"/>
      <w:bookmarkEnd w:id="7"/>
      <w:bookmarkEnd w:id="8"/>
      <w:r w:rsidRPr="007F4B79">
        <w:rPr>
          <w:rFonts w:ascii="Cambria" w:hAnsi="Cambria"/>
          <w:sz w:val="20"/>
          <w:szCs w:val="20"/>
          <w:lang w:val="es-ES"/>
        </w:rPr>
        <w:fldChar w:fldCharType="begin"/>
      </w:r>
      <w:r w:rsidRPr="007F4B79">
        <w:rPr>
          <w:rFonts w:ascii="Cambria" w:hAnsi="Cambria"/>
          <w:sz w:val="20"/>
          <w:szCs w:val="20"/>
          <w:lang w:val="es-ES"/>
        </w:rPr>
        <w:instrText xml:space="preserve"> XE "TRÁMITE ANTE LA COMISIÓN INTERAMERICANA" </w:instrText>
      </w:r>
      <w:r w:rsidRPr="007F4B79">
        <w:rPr>
          <w:rFonts w:ascii="Cambria" w:hAnsi="Cambria"/>
          <w:sz w:val="20"/>
          <w:szCs w:val="20"/>
          <w:lang w:val="es-ES"/>
        </w:rPr>
        <w:fldChar w:fldCharType="end"/>
      </w:r>
    </w:p>
    <w:p w:rsidR="007E13F2" w:rsidRPr="007F4B79" w:rsidRDefault="007E13F2" w:rsidP="00382323">
      <w:pPr>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7F4B79" w:rsidRDefault="007E13F2" w:rsidP="0038232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La petició</w:t>
      </w:r>
      <w:r w:rsidR="00B80E6C" w:rsidRPr="007F4B79">
        <w:rPr>
          <w:rFonts w:ascii="Cambria" w:hAnsi="Cambria"/>
          <w:sz w:val="20"/>
          <w:szCs w:val="20"/>
          <w:lang w:val="es-ES"/>
        </w:rPr>
        <w:t>n fue recibida por la CIDH el 22 de septiembre de 2008</w:t>
      </w:r>
      <w:r w:rsidRPr="007F4B79">
        <w:rPr>
          <w:rFonts w:ascii="Cambria" w:hAnsi="Cambria"/>
          <w:sz w:val="20"/>
          <w:szCs w:val="20"/>
          <w:lang w:val="es-ES"/>
        </w:rPr>
        <w:t xml:space="preserve">. El </w:t>
      </w:r>
      <w:r w:rsidR="00B52BC1" w:rsidRPr="007F4B79">
        <w:rPr>
          <w:rFonts w:ascii="Cambria" w:hAnsi="Cambria"/>
          <w:sz w:val="20"/>
          <w:szCs w:val="20"/>
          <w:lang w:val="es-ES"/>
        </w:rPr>
        <w:t xml:space="preserve">3 de agosto de 2011 se </w:t>
      </w:r>
      <w:r w:rsidRPr="007F4B79">
        <w:rPr>
          <w:rFonts w:ascii="Cambria" w:hAnsi="Cambria"/>
          <w:sz w:val="20"/>
          <w:szCs w:val="20"/>
          <w:lang w:val="es-ES"/>
        </w:rPr>
        <w:t>transmitió las partes pertinentes del e</w:t>
      </w:r>
      <w:r w:rsidR="00382323" w:rsidRPr="007F4B79">
        <w:rPr>
          <w:rFonts w:ascii="Cambria" w:hAnsi="Cambria"/>
          <w:sz w:val="20"/>
          <w:szCs w:val="20"/>
          <w:lang w:val="es-ES"/>
        </w:rPr>
        <w:t>xpediente al Estado</w:t>
      </w:r>
      <w:r w:rsidRPr="007F4B79">
        <w:rPr>
          <w:rFonts w:ascii="Cambria" w:hAnsi="Cambria"/>
          <w:sz w:val="20"/>
          <w:szCs w:val="20"/>
          <w:lang w:val="es-ES"/>
        </w:rPr>
        <w:t xml:space="preserve"> y le solicitó que presentara su respuesta de</w:t>
      </w:r>
      <w:r w:rsidR="00B52BC1" w:rsidRPr="007F4B79">
        <w:rPr>
          <w:rFonts w:ascii="Cambria" w:hAnsi="Cambria"/>
          <w:sz w:val="20"/>
          <w:szCs w:val="20"/>
          <w:lang w:val="es-ES"/>
        </w:rPr>
        <w:t>ntro del plazo de 2 meses. El 16 de septi</w:t>
      </w:r>
      <w:r w:rsidR="005C1B9B" w:rsidRPr="007F4B79">
        <w:rPr>
          <w:rFonts w:ascii="Cambria" w:hAnsi="Cambria"/>
          <w:sz w:val="20"/>
          <w:szCs w:val="20"/>
          <w:lang w:val="es-ES"/>
        </w:rPr>
        <w:t>embre de 2011 el Estado solicitó</w:t>
      </w:r>
      <w:r w:rsidR="00B52BC1" w:rsidRPr="007F4B79">
        <w:rPr>
          <w:rFonts w:ascii="Cambria" w:hAnsi="Cambria"/>
          <w:sz w:val="20"/>
          <w:szCs w:val="20"/>
          <w:lang w:val="es-ES"/>
        </w:rPr>
        <w:t xml:space="preserve"> prorroga, la cual le fue otorgada.</w:t>
      </w:r>
      <w:r w:rsidR="00025FAD" w:rsidRPr="007F4B79">
        <w:rPr>
          <w:rFonts w:ascii="Cambria" w:hAnsi="Cambria"/>
          <w:sz w:val="20"/>
          <w:szCs w:val="20"/>
          <w:lang w:val="es-ES"/>
        </w:rPr>
        <w:t xml:space="preserve"> </w:t>
      </w:r>
      <w:r w:rsidRPr="007F4B79">
        <w:rPr>
          <w:rFonts w:ascii="Cambria" w:hAnsi="Cambria"/>
          <w:sz w:val="20"/>
          <w:szCs w:val="20"/>
          <w:lang w:val="es-ES"/>
        </w:rPr>
        <w:t xml:space="preserve"> </w:t>
      </w:r>
      <w:r w:rsidR="00025FAD" w:rsidRPr="007F4B79">
        <w:rPr>
          <w:rFonts w:ascii="Cambria" w:hAnsi="Cambria"/>
          <w:sz w:val="20"/>
          <w:szCs w:val="20"/>
          <w:lang w:val="es-ES"/>
        </w:rPr>
        <w:t xml:space="preserve">El 18 de noviembre de 2011 </w:t>
      </w:r>
      <w:r w:rsidRPr="007F4B79">
        <w:rPr>
          <w:rFonts w:ascii="Cambria" w:hAnsi="Cambria"/>
          <w:sz w:val="20"/>
          <w:szCs w:val="20"/>
          <w:lang w:val="es-ES"/>
        </w:rPr>
        <w:t>el Estado presentó su respuesta y se d</w:t>
      </w:r>
      <w:r w:rsidR="00025FAD" w:rsidRPr="007F4B79">
        <w:rPr>
          <w:rFonts w:ascii="Cambria" w:hAnsi="Cambria"/>
          <w:sz w:val="20"/>
          <w:szCs w:val="20"/>
          <w:lang w:val="es-ES"/>
        </w:rPr>
        <w:t xml:space="preserve">io traslado al peticionario el 30 de noviembre de </w:t>
      </w:r>
      <w:r w:rsidR="00025FAD" w:rsidRPr="007F4B79">
        <w:rPr>
          <w:rFonts w:ascii="Cambria" w:hAnsi="Cambria"/>
          <w:sz w:val="20"/>
          <w:szCs w:val="20"/>
          <w:lang w:val="es-ES"/>
        </w:rPr>
        <w:lastRenderedPageBreak/>
        <w:t>2011</w:t>
      </w:r>
      <w:r w:rsidRPr="007F4B79">
        <w:rPr>
          <w:rFonts w:ascii="Cambria" w:hAnsi="Cambria"/>
          <w:sz w:val="20"/>
          <w:szCs w:val="20"/>
          <w:lang w:val="es-ES"/>
        </w:rPr>
        <w:t xml:space="preserve">, con el plazo de 1 mes para pronunciarse. </w:t>
      </w:r>
      <w:r w:rsidR="00025FAD" w:rsidRPr="007F4B79">
        <w:rPr>
          <w:rFonts w:ascii="Cambria" w:hAnsi="Cambria"/>
          <w:sz w:val="20"/>
          <w:szCs w:val="20"/>
          <w:lang w:val="es-ES"/>
        </w:rPr>
        <w:t xml:space="preserve">El 30 de diciembre </w:t>
      </w:r>
      <w:r w:rsidR="005C1B9B" w:rsidRPr="007F4B79">
        <w:rPr>
          <w:rFonts w:ascii="Cambria" w:hAnsi="Cambria"/>
          <w:sz w:val="20"/>
          <w:szCs w:val="20"/>
          <w:lang w:val="es-ES"/>
        </w:rPr>
        <w:t>de 2011 la peticionaria solicitó</w:t>
      </w:r>
      <w:r w:rsidR="00025FAD" w:rsidRPr="007F4B79">
        <w:rPr>
          <w:rFonts w:ascii="Cambria" w:hAnsi="Cambria"/>
          <w:sz w:val="20"/>
          <w:szCs w:val="20"/>
          <w:lang w:val="es-ES"/>
        </w:rPr>
        <w:t xml:space="preserve"> prorroga, la cual le fue otorgada. La peticionaria </w:t>
      </w:r>
      <w:r w:rsidRPr="007F4B79">
        <w:rPr>
          <w:rFonts w:ascii="Cambria" w:hAnsi="Cambria"/>
          <w:sz w:val="20"/>
          <w:szCs w:val="20"/>
          <w:lang w:val="es-ES"/>
        </w:rPr>
        <w:t>present</w:t>
      </w:r>
      <w:r w:rsidR="00025FAD" w:rsidRPr="007F4B79">
        <w:rPr>
          <w:rFonts w:ascii="Cambria" w:hAnsi="Cambria"/>
          <w:sz w:val="20"/>
          <w:szCs w:val="20"/>
          <w:lang w:val="es-ES"/>
        </w:rPr>
        <w:t xml:space="preserve">ó </w:t>
      </w:r>
      <w:r w:rsidR="005C1B9B" w:rsidRPr="007F4B79">
        <w:rPr>
          <w:rFonts w:ascii="Cambria" w:hAnsi="Cambria"/>
          <w:sz w:val="20"/>
          <w:szCs w:val="20"/>
          <w:lang w:val="es-ES"/>
        </w:rPr>
        <w:t xml:space="preserve">sus </w:t>
      </w:r>
      <w:r w:rsidR="00025FAD" w:rsidRPr="007F4B79">
        <w:rPr>
          <w:rFonts w:ascii="Cambria" w:hAnsi="Cambria"/>
          <w:sz w:val="20"/>
          <w:szCs w:val="20"/>
          <w:lang w:val="es-ES"/>
        </w:rPr>
        <w:t>observaciones adicionales el 12 de enero de 2012, y el 27 de enero de 2012</w:t>
      </w:r>
      <w:r w:rsidR="00F10B70" w:rsidRPr="007F4B79">
        <w:rPr>
          <w:rFonts w:ascii="Cambria" w:hAnsi="Cambria"/>
          <w:sz w:val="20"/>
          <w:szCs w:val="20"/>
          <w:lang w:val="es-ES"/>
        </w:rPr>
        <w:t xml:space="preserve"> estas</w:t>
      </w:r>
      <w:r w:rsidRPr="007F4B79">
        <w:rPr>
          <w:rFonts w:ascii="Cambria" w:hAnsi="Cambria"/>
          <w:sz w:val="20"/>
          <w:szCs w:val="20"/>
          <w:lang w:val="es-ES"/>
        </w:rPr>
        <w:t xml:space="preserve"> fue</w:t>
      </w:r>
      <w:r w:rsidR="00382323" w:rsidRPr="007F4B79">
        <w:rPr>
          <w:rFonts w:ascii="Cambria" w:hAnsi="Cambria"/>
          <w:sz w:val="20"/>
          <w:szCs w:val="20"/>
          <w:lang w:val="es-ES"/>
        </w:rPr>
        <w:t>ron</w:t>
      </w:r>
      <w:r w:rsidRPr="007F4B79">
        <w:rPr>
          <w:rFonts w:ascii="Cambria" w:hAnsi="Cambria"/>
          <w:sz w:val="20"/>
          <w:szCs w:val="20"/>
          <w:lang w:val="es-ES"/>
        </w:rPr>
        <w:t xml:space="preserve"> transmitida</w:t>
      </w:r>
      <w:r w:rsidR="00382323" w:rsidRPr="007F4B79">
        <w:rPr>
          <w:rFonts w:ascii="Cambria" w:hAnsi="Cambria"/>
          <w:sz w:val="20"/>
          <w:szCs w:val="20"/>
          <w:lang w:val="es-ES"/>
        </w:rPr>
        <w:t>s</w:t>
      </w:r>
      <w:r w:rsidRPr="007F4B79">
        <w:rPr>
          <w:rFonts w:ascii="Cambria" w:hAnsi="Cambria"/>
          <w:sz w:val="20"/>
          <w:szCs w:val="20"/>
          <w:lang w:val="es-ES"/>
        </w:rPr>
        <w:t xml:space="preserve"> al </w:t>
      </w:r>
      <w:r w:rsidR="004B35A5" w:rsidRPr="007F4B79">
        <w:rPr>
          <w:rFonts w:ascii="Cambria" w:hAnsi="Cambria"/>
          <w:sz w:val="20"/>
          <w:szCs w:val="20"/>
          <w:lang w:val="es-ES"/>
        </w:rPr>
        <w:t>Estado. Después de concedida dos</w:t>
      </w:r>
      <w:r w:rsidRPr="007F4B79">
        <w:rPr>
          <w:rFonts w:ascii="Cambria" w:hAnsi="Cambria"/>
          <w:sz w:val="20"/>
          <w:szCs w:val="20"/>
          <w:lang w:val="es-ES"/>
        </w:rPr>
        <w:t xml:space="preserve"> prórroga</w:t>
      </w:r>
      <w:r w:rsidR="004B35A5" w:rsidRPr="007F4B79">
        <w:rPr>
          <w:rFonts w:ascii="Cambria" w:hAnsi="Cambria"/>
          <w:sz w:val="20"/>
          <w:szCs w:val="20"/>
          <w:lang w:val="es-ES"/>
        </w:rPr>
        <w:t>s, el 6 de septiembre de 2012</w:t>
      </w:r>
      <w:r w:rsidRPr="007F4B79">
        <w:rPr>
          <w:rFonts w:ascii="Cambria" w:hAnsi="Cambria"/>
          <w:sz w:val="20"/>
          <w:szCs w:val="20"/>
          <w:lang w:val="es-ES"/>
        </w:rPr>
        <w:t xml:space="preserve">, el Estado presentó sus observaciones, las cuales fueron trasladadas al peticionario el </w:t>
      </w:r>
      <w:r w:rsidR="004B35A5" w:rsidRPr="007F4B79">
        <w:rPr>
          <w:rFonts w:ascii="Cambria" w:hAnsi="Cambria"/>
          <w:sz w:val="20"/>
          <w:szCs w:val="20"/>
          <w:lang w:val="es-ES"/>
        </w:rPr>
        <w:t>12 de octubre de 2012</w:t>
      </w:r>
      <w:r w:rsidRPr="007F4B79">
        <w:rPr>
          <w:rFonts w:ascii="Cambria" w:hAnsi="Cambria"/>
          <w:sz w:val="20"/>
          <w:szCs w:val="20"/>
          <w:lang w:val="es-ES"/>
        </w:rPr>
        <w:t>.</w:t>
      </w:r>
      <w:r w:rsidR="004B35A5" w:rsidRPr="007F4B79">
        <w:rPr>
          <w:rFonts w:ascii="Cambria" w:hAnsi="Cambria"/>
          <w:sz w:val="20"/>
          <w:szCs w:val="20"/>
          <w:lang w:val="es-ES"/>
        </w:rPr>
        <w:t xml:space="preserve"> </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7E13F2">
      <w:pPr>
        <w:pStyle w:val="Heading3"/>
        <w:spacing w:before="0" w:after="0"/>
        <w:ind w:left="720"/>
        <w:rPr>
          <w:rFonts w:ascii="Cambria" w:hAnsi="Cambria"/>
          <w:sz w:val="20"/>
          <w:szCs w:val="20"/>
          <w:lang w:val="es-ES"/>
        </w:rPr>
      </w:pPr>
      <w:bookmarkStart w:id="9" w:name="_Toc400530886"/>
      <w:bookmarkStart w:id="10" w:name="_Toc400530990"/>
      <w:bookmarkStart w:id="11" w:name="_Toc400531327"/>
      <w:r w:rsidRPr="007F4B79">
        <w:rPr>
          <w:rFonts w:ascii="Cambria" w:hAnsi="Cambria"/>
          <w:sz w:val="20"/>
          <w:szCs w:val="20"/>
          <w:lang w:val="es-ES"/>
        </w:rPr>
        <w:t>III.</w:t>
      </w:r>
      <w:r w:rsidRPr="007F4B79">
        <w:rPr>
          <w:rFonts w:ascii="Cambria" w:hAnsi="Cambria"/>
          <w:sz w:val="20"/>
          <w:szCs w:val="20"/>
          <w:lang w:val="es-ES"/>
        </w:rPr>
        <w:tab/>
        <w:t>POSICIÓN DE LAS PARTES</w:t>
      </w:r>
      <w:bookmarkEnd w:id="9"/>
      <w:bookmarkEnd w:id="10"/>
      <w:bookmarkEnd w:id="11"/>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7F4B79" w:rsidRDefault="00291DC9" w:rsidP="007E13F2">
      <w:pPr>
        <w:pStyle w:val="Heading3"/>
        <w:spacing w:before="0" w:after="0"/>
        <w:ind w:left="720"/>
        <w:rPr>
          <w:rFonts w:ascii="Cambria" w:hAnsi="Cambria"/>
          <w:sz w:val="20"/>
          <w:szCs w:val="20"/>
          <w:lang w:val="es-ES"/>
        </w:rPr>
      </w:pPr>
      <w:bookmarkStart w:id="12" w:name="_Toc400530887"/>
      <w:bookmarkStart w:id="13" w:name="_Toc400530991"/>
      <w:bookmarkStart w:id="14" w:name="_Toc400531328"/>
      <w:r w:rsidRPr="007F4B79">
        <w:rPr>
          <w:rFonts w:ascii="Cambria" w:hAnsi="Cambria"/>
          <w:sz w:val="20"/>
          <w:szCs w:val="20"/>
          <w:lang w:val="es-ES"/>
        </w:rPr>
        <w:t xml:space="preserve">A. </w:t>
      </w:r>
      <w:r w:rsidRPr="007F4B79">
        <w:rPr>
          <w:rFonts w:ascii="Cambria" w:hAnsi="Cambria"/>
          <w:sz w:val="20"/>
          <w:szCs w:val="20"/>
          <w:lang w:val="es-ES"/>
        </w:rPr>
        <w:tab/>
        <w:t xml:space="preserve">Posición de la </w:t>
      </w:r>
      <w:r w:rsidR="007E13F2" w:rsidRPr="007F4B79">
        <w:rPr>
          <w:rFonts w:ascii="Cambria" w:hAnsi="Cambria"/>
          <w:sz w:val="20"/>
          <w:szCs w:val="20"/>
          <w:lang w:val="es-ES"/>
        </w:rPr>
        <w:t>Peticionari</w:t>
      </w:r>
      <w:bookmarkEnd w:id="12"/>
      <w:bookmarkEnd w:id="13"/>
      <w:bookmarkEnd w:id="14"/>
      <w:r w:rsidRPr="007F4B79">
        <w:rPr>
          <w:rFonts w:ascii="Cambria" w:hAnsi="Cambria"/>
          <w:sz w:val="20"/>
          <w:szCs w:val="20"/>
          <w:lang w:val="es-ES"/>
        </w:rPr>
        <w:t>a</w:t>
      </w:r>
      <w:r w:rsidR="001515C2" w:rsidRPr="007F4B79">
        <w:rPr>
          <w:rFonts w:ascii="Cambria" w:hAnsi="Cambria"/>
          <w:sz w:val="20"/>
          <w:szCs w:val="20"/>
          <w:lang w:val="es-ES"/>
        </w:rPr>
        <w:t xml:space="preserve"> </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6C3E3D" w:rsidRPr="007F4B79" w:rsidRDefault="003504F7" w:rsidP="00A93B5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De acuerdo con la</w:t>
      </w:r>
      <w:r w:rsidR="00E07E57" w:rsidRPr="007F4B79">
        <w:rPr>
          <w:rFonts w:ascii="Cambria" w:hAnsi="Cambria"/>
          <w:sz w:val="20"/>
          <w:szCs w:val="20"/>
          <w:lang w:val="es-ES"/>
        </w:rPr>
        <w:t xml:space="preserve"> peti</w:t>
      </w:r>
      <w:r w:rsidRPr="007F4B79">
        <w:rPr>
          <w:rFonts w:ascii="Cambria" w:hAnsi="Cambria"/>
          <w:sz w:val="20"/>
          <w:szCs w:val="20"/>
          <w:lang w:val="es-ES"/>
        </w:rPr>
        <w:t>cionaria</w:t>
      </w:r>
      <w:r w:rsidR="00E07E57" w:rsidRPr="007F4B79">
        <w:rPr>
          <w:rFonts w:ascii="Cambria" w:hAnsi="Cambria"/>
          <w:sz w:val="20"/>
          <w:szCs w:val="20"/>
          <w:lang w:val="es-ES"/>
        </w:rPr>
        <w:t>,</w:t>
      </w:r>
      <w:r w:rsidRPr="007F4B79">
        <w:rPr>
          <w:rFonts w:ascii="Cambria" w:hAnsi="Cambria"/>
          <w:sz w:val="20"/>
          <w:szCs w:val="20"/>
          <w:lang w:val="es-ES"/>
        </w:rPr>
        <w:t xml:space="preserve"> Jhonny Si</w:t>
      </w:r>
      <w:r w:rsidR="00286EB8" w:rsidRPr="007F4B79">
        <w:rPr>
          <w:rFonts w:ascii="Cambria" w:hAnsi="Cambria"/>
          <w:sz w:val="20"/>
          <w:szCs w:val="20"/>
          <w:lang w:val="es-ES"/>
        </w:rPr>
        <w:t>lva Aranguren, de 21 años, era</w:t>
      </w:r>
      <w:r w:rsidRPr="007F4B79">
        <w:rPr>
          <w:rFonts w:ascii="Cambria" w:hAnsi="Cambria"/>
          <w:sz w:val="20"/>
          <w:szCs w:val="20"/>
          <w:lang w:val="es-ES"/>
        </w:rPr>
        <w:t xml:space="preserve"> estudiante de la carrera de química en</w:t>
      </w:r>
      <w:r w:rsidR="0049359D" w:rsidRPr="007F4B79">
        <w:rPr>
          <w:rFonts w:ascii="Cambria" w:hAnsi="Cambria"/>
          <w:sz w:val="20"/>
          <w:szCs w:val="20"/>
          <w:lang w:val="es-ES"/>
        </w:rPr>
        <w:t xml:space="preserve"> </w:t>
      </w:r>
      <w:r w:rsidR="00CF24E4" w:rsidRPr="007F4B79">
        <w:rPr>
          <w:rFonts w:ascii="Cambria" w:hAnsi="Cambria"/>
          <w:sz w:val="20"/>
          <w:szCs w:val="20"/>
          <w:lang w:val="es-ES"/>
        </w:rPr>
        <w:t>la Universidad del Valle. Señaló</w:t>
      </w:r>
      <w:r w:rsidR="00C0495C" w:rsidRPr="007F4B79">
        <w:rPr>
          <w:rFonts w:ascii="Cambria" w:hAnsi="Cambria"/>
          <w:sz w:val="20"/>
          <w:szCs w:val="20"/>
          <w:lang w:val="es-ES"/>
        </w:rPr>
        <w:t xml:space="preserve"> que el 22 de septiembre de 2005</w:t>
      </w:r>
      <w:r w:rsidR="006C3E3D" w:rsidRPr="007F4B79">
        <w:rPr>
          <w:rFonts w:ascii="Cambria" w:hAnsi="Cambria"/>
          <w:sz w:val="20"/>
          <w:szCs w:val="20"/>
          <w:lang w:val="es-ES"/>
        </w:rPr>
        <w:t>,</w:t>
      </w:r>
      <w:r w:rsidR="00291DC9" w:rsidRPr="007F4B79">
        <w:rPr>
          <w:rFonts w:ascii="Cambria" w:hAnsi="Cambria"/>
          <w:sz w:val="20"/>
          <w:szCs w:val="20"/>
          <w:lang w:val="es-ES"/>
        </w:rPr>
        <w:t xml:space="preserve"> la presunta víctima murió tras recibir</w:t>
      </w:r>
      <w:r w:rsidR="00C0495C" w:rsidRPr="007F4B79">
        <w:rPr>
          <w:rFonts w:ascii="Cambria" w:hAnsi="Cambria"/>
          <w:sz w:val="20"/>
          <w:szCs w:val="20"/>
          <w:lang w:val="es-ES"/>
        </w:rPr>
        <w:t xml:space="preserve"> un disparo de arma de fuego realizado por uno de los integrantes del Escuadrón Móvil Antidisturbios (ESMAD) dur</w:t>
      </w:r>
      <w:r w:rsidR="00AC1D3D" w:rsidRPr="007F4B79">
        <w:rPr>
          <w:rFonts w:ascii="Cambria" w:hAnsi="Cambria"/>
          <w:sz w:val="20"/>
          <w:szCs w:val="20"/>
          <w:lang w:val="es-ES"/>
        </w:rPr>
        <w:t>ante una manifestación estudiantil</w:t>
      </w:r>
      <w:r w:rsidR="00C0495C" w:rsidRPr="007F4B79">
        <w:rPr>
          <w:rFonts w:ascii="Cambria" w:hAnsi="Cambria"/>
          <w:sz w:val="20"/>
          <w:szCs w:val="20"/>
          <w:lang w:val="es-ES"/>
        </w:rPr>
        <w:t xml:space="preserve"> en la Universidad del Valle.</w:t>
      </w:r>
      <w:r w:rsidR="00A93B5B" w:rsidRPr="007F4B79">
        <w:rPr>
          <w:rFonts w:ascii="Cambria" w:hAnsi="Cambria"/>
          <w:sz w:val="20"/>
          <w:szCs w:val="20"/>
          <w:lang w:val="es-ES"/>
        </w:rPr>
        <w:t xml:space="preserve"> </w:t>
      </w:r>
      <w:r w:rsidR="00291DC9" w:rsidRPr="007F4B79">
        <w:rPr>
          <w:rFonts w:ascii="Cambria" w:hAnsi="Cambria"/>
          <w:sz w:val="20"/>
          <w:szCs w:val="20"/>
          <w:lang w:val="es-ES"/>
        </w:rPr>
        <w:t>L</w:t>
      </w:r>
      <w:r w:rsidR="00CF24E4" w:rsidRPr="007F4B79">
        <w:rPr>
          <w:rFonts w:ascii="Cambria" w:hAnsi="Cambria"/>
          <w:sz w:val="20"/>
          <w:szCs w:val="20"/>
          <w:lang w:val="es-ES"/>
        </w:rPr>
        <w:t>a peticionaria informó</w:t>
      </w:r>
      <w:r w:rsidR="00C0495C" w:rsidRPr="007F4B79">
        <w:rPr>
          <w:rFonts w:ascii="Cambria" w:hAnsi="Cambria"/>
          <w:sz w:val="20"/>
          <w:szCs w:val="20"/>
          <w:lang w:val="es-ES"/>
        </w:rPr>
        <w:t xml:space="preserve"> que </w:t>
      </w:r>
      <w:r w:rsidR="00AC1D3D" w:rsidRPr="007F4B79">
        <w:rPr>
          <w:rFonts w:ascii="Cambria" w:hAnsi="Cambria"/>
          <w:sz w:val="20"/>
          <w:szCs w:val="20"/>
          <w:lang w:val="es-ES"/>
        </w:rPr>
        <w:t xml:space="preserve">los estudiantes manifestaban su oposición a cortes de agua potable en la ciudad </w:t>
      </w:r>
      <w:r w:rsidR="00C62890" w:rsidRPr="007F4B79">
        <w:rPr>
          <w:rFonts w:ascii="Cambria" w:hAnsi="Cambria"/>
          <w:sz w:val="20"/>
          <w:szCs w:val="20"/>
          <w:lang w:val="es-ES"/>
        </w:rPr>
        <w:t xml:space="preserve">de Cali </w:t>
      </w:r>
      <w:r w:rsidR="00291DC9" w:rsidRPr="007F4B79">
        <w:rPr>
          <w:rFonts w:ascii="Cambria" w:hAnsi="Cambria"/>
          <w:sz w:val="20"/>
          <w:szCs w:val="20"/>
          <w:lang w:val="es-ES"/>
        </w:rPr>
        <w:t>y a la firma del Tratado de Libre Comercio (TLC) con los Estados Unidos.</w:t>
      </w:r>
      <w:r w:rsidR="00C0495C" w:rsidRPr="007F4B79">
        <w:rPr>
          <w:rFonts w:ascii="Cambria" w:hAnsi="Cambria"/>
          <w:sz w:val="20"/>
          <w:szCs w:val="20"/>
          <w:lang w:val="es-ES"/>
        </w:rPr>
        <w:t xml:space="preserve"> </w:t>
      </w:r>
    </w:p>
    <w:p w:rsidR="006C3E3D" w:rsidRPr="007F4B79" w:rsidRDefault="006C3E3D" w:rsidP="006C3E3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C0495C" w:rsidRPr="007F4B79" w:rsidRDefault="00576F13" w:rsidP="006C3E3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Indicó</w:t>
      </w:r>
      <w:r w:rsidR="00C62890" w:rsidRPr="007F4B79">
        <w:rPr>
          <w:rFonts w:ascii="Cambria" w:hAnsi="Cambria"/>
          <w:sz w:val="20"/>
          <w:szCs w:val="20"/>
          <w:lang w:val="es-ES"/>
        </w:rPr>
        <w:t xml:space="preserve"> que</w:t>
      </w:r>
      <w:r w:rsidR="00F779BE" w:rsidRPr="007F4B79">
        <w:rPr>
          <w:rFonts w:ascii="Cambria" w:hAnsi="Cambria"/>
          <w:sz w:val="20"/>
          <w:szCs w:val="20"/>
          <w:lang w:val="es-ES"/>
        </w:rPr>
        <w:t xml:space="preserve"> la Policía Metropolitana de Cali </w:t>
      </w:r>
      <w:r w:rsidR="00286EB8" w:rsidRPr="007F4B79">
        <w:rPr>
          <w:rFonts w:ascii="Cambria" w:hAnsi="Cambria"/>
          <w:sz w:val="20"/>
          <w:szCs w:val="20"/>
          <w:lang w:val="es-ES"/>
        </w:rPr>
        <w:t>dispuso</w:t>
      </w:r>
      <w:r w:rsidR="00F779BE" w:rsidRPr="007F4B79">
        <w:rPr>
          <w:rFonts w:ascii="Cambria" w:hAnsi="Cambria"/>
          <w:sz w:val="20"/>
          <w:szCs w:val="20"/>
          <w:lang w:val="es-ES"/>
        </w:rPr>
        <w:t xml:space="preserve"> el traslado del </w:t>
      </w:r>
      <w:r w:rsidR="00C62890" w:rsidRPr="007F4B79">
        <w:rPr>
          <w:rFonts w:ascii="Cambria" w:hAnsi="Cambria"/>
          <w:sz w:val="20"/>
          <w:szCs w:val="20"/>
          <w:lang w:val="es-ES"/>
        </w:rPr>
        <w:t>personal vinculado al</w:t>
      </w:r>
      <w:r w:rsidR="00F779BE" w:rsidRPr="007F4B79">
        <w:rPr>
          <w:rFonts w:ascii="Cambria" w:hAnsi="Cambria"/>
          <w:sz w:val="20"/>
          <w:szCs w:val="20"/>
          <w:lang w:val="es-ES"/>
        </w:rPr>
        <w:t xml:space="preserve"> Escuadr</w:t>
      </w:r>
      <w:r w:rsidR="00C62890" w:rsidRPr="007F4B79">
        <w:rPr>
          <w:rFonts w:ascii="Cambria" w:hAnsi="Cambria"/>
          <w:sz w:val="20"/>
          <w:szCs w:val="20"/>
          <w:lang w:val="es-ES"/>
        </w:rPr>
        <w:t xml:space="preserve">ón Móvil Antidisturbios (ESMAD) al lugar de la manifestación. </w:t>
      </w:r>
      <w:r w:rsidR="00F779BE" w:rsidRPr="007F4B79">
        <w:rPr>
          <w:rFonts w:ascii="Cambria" w:hAnsi="Cambria"/>
          <w:sz w:val="20"/>
          <w:szCs w:val="20"/>
          <w:lang w:val="es-ES"/>
        </w:rPr>
        <w:t xml:space="preserve"> </w:t>
      </w:r>
      <w:r w:rsidRPr="007F4B79">
        <w:rPr>
          <w:rFonts w:ascii="Cambria" w:hAnsi="Cambria"/>
          <w:sz w:val="20"/>
          <w:szCs w:val="20"/>
          <w:lang w:val="es-ES"/>
        </w:rPr>
        <w:t>Según la peticionaria, dicho</w:t>
      </w:r>
      <w:r w:rsidR="00F779BE" w:rsidRPr="007F4B79">
        <w:rPr>
          <w:rFonts w:ascii="Cambria" w:hAnsi="Cambria"/>
          <w:sz w:val="20"/>
          <w:szCs w:val="20"/>
          <w:lang w:val="es-ES"/>
        </w:rPr>
        <w:t xml:space="preserve"> traslado fue realizado sin labores previas de control por parte de los mando</w:t>
      </w:r>
      <w:r w:rsidR="00C72570" w:rsidRPr="007F4B79">
        <w:rPr>
          <w:rFonts w:ascii="Cambria" w:hAnsi="Cambria"/>
          <w:sz w:val="20"/>
          <w:szCs w:val="20"/>
          <w:lang w:val="es-ES"/>
        </w:rPr>
        <w:t>s</w:t>
      </w:r>
      <w:r w:rsidR="00F779BE" w:rsidRPr="007F4B79">
        <w:rPr>
          <w:rFonts w:ascii="Cambria" w:hAnsi="Cambria"/>
          <w:sz w:val="20"/>
          <w:szCs w:val="20"/>
          <w:lang w:val="es-ES"/>
        </w:rPr>
        <w:t xml:space="preserve"> de dicha unidad operativa, “a fin de evitar que llevaran consigo bienes u objetos diferentes a l</w:t>
      </w:r>
      <w:r w:rsidRPr="007F4B79">
        <w:rPr>
          <w:rFonts w:ascii="Cambria" w:hAnsi="Cambria"/>
          <w:sz w:val="20"/>
          <w:szCs w:val="20"/>
          <w:lang w:val="es-ES"/>
        </w:rPr>
        <w:t>os de dotación oficial”. Observó</w:t>
      </w:r>
      <w:r w:rsidR="00F779BE" w:rsidRPr="007F4B79">
        <w:rPr>
          <w:rFonts w:ascii="Cambria" w:hAnsi="Cambria"/>
          <w:sz w:val="20"/>
          <w:szCs w:val="20"/>
          <w:lang w:val="es-ES"/>
        </w:rPr>
        <w:t xml:space="preserve"> qu</w:t>
      </w:r>
      <w:r w:rsidRPr="007F4B79">
        <w:rPr>
          <w:rFonts w:ascii="Cambria" w:hAnsi="Cambria"/>
          <w:sz w:val="20"/>
          <w:szCs w:val="20"/>
          <w:lang w:val="es-ES"/>
        </w:rPr>
        <w:t xml:space="preserve">e dichos miembros </w:t>
      </w:r>
      <w:r w:rsidR="00F779BE" w:rsidRPr="007F4B79">
        <w:rPr>
          <w:rFonts w:ascii="Cambria" w:hAnsi="Cambria"/>
          <w:sz w:val="20"/>
          <w:szCs w:val="20"/>
          <w:lang w:val="es-ES"/>
        </w:rPr>
        <w:t xml:space="preserve">“lanzaron repetidamente gases lacrimógenos y cerraron la </w:t>
      </w:r>
      <w:r w:rsidR="009F238B" w:rsidRPr="007F4B79">
        <w:rPr>
          <w:rFonts w:ascii="Cambria" w:hAnsi="Cambria"/>
          <w:sz w:val="20"/>
          <w:szCs w:val="20"/>
          <w:lang w:val="es-ES"/>
        </w:rPr>
        <w:t>vía</w:t>
      </w:r>
      <w:r w:rsidR="00F779BE" w:rsidRPr="007F4B79">
        <w:rPr>
          <w:rFonts w:ascii="Cambria" w:hAnsi="Cambria"/>
          <w:sz w:val="20"/>
          <w:szCs w:val="20"/>
          <w:lang w:val="es-ES"/>
        </w:rPr>
        <w:t xml:space="preserve"> Pasoancho” durante las horas de la tarde. </w:t>
      </w:r>
    </w:p>
    <w:p w:rsidR="009F238B" w:rsidRPr="007F4B79" w:rsidRDefault="009F238B" w:rsidP="009F238B">
      <w:pPr>
        <w:pStyle w:val="ListParagraph"/>
        <w:rPr>
          <w:sz w:val="20"/>
          <w:szCs w:val="20"/>
          <w:lang w:val="es-ES"/>
        </w:rPr>
      </w:pPr>
    </w:p>
    <w:p w:rsidR="00297D0A" w:rsidRPr="007F4B79" w:rsidRDefault="00C62890" w:rsidP="0048268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La peticionaria</w:t>
      </w:r>
      <w:r w:rsidR="00576F13" w:rsidRPr="007F4B79">
        <w:rPr>
          <w:rFonts w:ascii="Cambria" w:hAnsi="Cambria"/>
          <w:sz w:val="20"/>
          <w:szCs w:val="20"/>
          <w:lang w:val="es-ES"/>
        </w:rPr>
        <w:t xml:space="preserve"> afirmó que</w:t>
      </w:r>
      <w:r w:rsidR="00D9429C" w:rsidRPr="007F4B79">
        <w:rPr>
          <w:rFonts w:ascii="Cambria" w:hAnsi="Cambria"/>
          <w:sz w:val="20"/>
          <w:szCs w:val="20"/>
          <w:lang w:val="es-ES"/>
        </w:rPr>
        <w:t xml:space="preserve"> por la noche personal del ESMAD </w:t>
      </w:r>
      <w:r w:rsidR="00286EB8" w:rsidRPr="007F4B79">
        <w:rPr>
          <w:rFonts w:ascii="Cambria" w:hAnsi="Cambria"/>
          <w:sz w:val="20"/>
          <w:szCs w:val="20"/>
          <w:lang w:val="es-ES"/>
        </w:rPr>
        <w:t>ingresó</w:t>
      </w:r>
      <w:r w:rsidR="00D9429C" w:rsidRPr="007F4B79">
        <w:rPr>
          <w:rFonts w:ascii="Cambria" w:hAnsi="Cambria"/>
          <w:sz w:val="20"/>
          <w:szCs w:val="20"/>
          <w:lang w:val="es-ES"/>
        </w:rPr>
        <w:t xml:space="preserve"> a las instalaciones del campus universitario de la Universidad del Valle, por la </w:t>
      </w:r>
      <w:r w:rsidR="008E034D" w:rsidRPr="007F4B79">
        <w:rPr>
          <w:rFonts w:ascii="Cambria" w:hAnsi="Cambria"/>
          <w:sz w:val="20"/>
          <w:szCs w:val="20"/>
          <w:lang w:val="es-ES"/>
        </w:rPr>
        <w:t>vía</w:t>
      </w:r>
      <w:r w:rsidRPr="007F4B79">
        <w:rPr>
          <w:rFonts w:ascii="Cambria" w:hAnsi="Cambria"/>
          <w:sz w:val="20"/>
          <w:szCs w:val="20"/>
          <w:lang w:val="es-ES"/>
        </w:rPr>
        <w:t xml:space="preserve"> peatonal, sin</w:t>
      </w:r>
      <w:r w:rsidR="00D9429C" w:rsidRPr="007F4B79">
        <w:rPr>
          <w:rFonts w:ascii="Cambria" w:hAnsi="Cambria"/>
          <w:sz w:val="20"/>
          <w:szCs w:val="20"/>
          <w:lang w:val="es-ES"/>
        </w:rPr>
        <w:t xml:space="preserve"> contar para ello con el requerimiento o permiso de los d</w:t>
      </w:r>
      <w:r w:rsidR="008E034D" w:rsidRPr="007F4B79">
        <w:rPr>
          <w:rFonts w:ascii="Cambria" w:hAnsi="Cambria"/>
          <w:sz w:val="20"/>
          <w:szCs w:val="20"/>
          <w:lang w:val="es-ES"/>
        </w:rPr>
        <w:t xml:space="preserve">irectivos de dicha Universidad. </w:t>
      </w:r>
      <w:r w:rsidR="00576F13" w:rsidRPr="007F4B79">
        <w:rPr>
          <w:rFonts w:ascii="Cambria" w:hAnsi="Cambria"/>
          <w:sz w:val="20"/>
          <w:szCs w:val="20"/>
          <w:lang w:val="es-ES"/>
        </w:rPr>
        <w:t>Señaló</w:t>
      </w:r>
      <w:r w:rsidR="0048268A" w:rsidRPr="007F4B79">
        <w:rPr>
          <w:rFonts w:ascii="Cambria" w:hAnsi="Cambria"/>
          <w:sz w:val="20"/>
          <w:szCs w:val="20"/>
          <w:lang w:val="es-ES"/>
        </w:rPr>
        <w:t xml:space="preserve"> que con posterioridad</w:t>
      </w:r>
      <w:r w:rsidR="00297D0A" w:rsidRPr="007F4B79">
        <w:rPr>
          <w:rFonts w:ascii="Cambria" w:hAnsi="Cambria"/>
          <w:sz w:val="20"/>
          <w:szCs w:val="20"/>
          <w:lang w:val="es-ES"/>
        </w:rPr>
        <w:t xml:space="preserve">, </w:t>
      </w:r>
      <w:r w:rsidR="0034764C" w:rsidRPr="007F4B79">
        <w:rPr>
          <w:rFonts w:ascii="Cambria" w:hAnsi="Cambria"/>
          <w:sz w:val="20"/>
          <w:szCs w:val="20"/>
          <w:lang w:val="es-ES"/>
        </w:rPr>
        <w:t>dicho</w:t>
      </w:r>
      <w:r w:rsidR="00297D0A" w:rsidRPr="007F4B79">
        <w:rPr>
          <w:rFonts w:ascii="Cambria" w:hAnsi="Cambria"/>
          <w:sz w:val="20"/>
          <w:szCs w:val="20"/>
          <w:lang w:val="es-ES"/>
        </w:rPr>
        <w:t xml:space="preserve"> personal </w:t>
      </w:r>
      <w:r w:rsidR="00FD0275" w:rsidRPr="007F4B79">
        <w:rPr>
          <w:rFonts w:ascii="Cambria" w:hAnsi="Cambria"/>
          <w:sz w:val="20"/>
          <w:szCs w:val="20"/>
          <w:lang w:val="es-ES"/>
        </w:rPr>
        <w:t>procedió</w:t>
      </w:r>
      <w:r w:rsidR="00297D0A" w:rsidRPr="007F4B79">
        <w:rPr>
          <w:rFonts w:ascii="Cambria" w:hAnsi="Cambria"/>
          <w:sz w:val="20"/>
          <w:szCs w:val="20"/>
          <w:lang w:val="es-ES"/>
        </w:rPr>
        <w:t xml:space="preserve"> a avanzar hasta </w:t>
      </w:r>
      <w:r w:rsidRPr="007F4B79">
        <w:rPr>
          <w:rFonts w:ascii="Cambria" w:hAnsi="Cambria"/>
          <w:sz w:val="20"/>
          <w:szCs w:val="20"/>
          <w:lang w:val="es-ES"/>
        </w:rPr>
        <w:t xml:space="preserve">las </w:t>
      </w:r>
      <w:r w:rsidR="00297D0A" w:rsidRPr="007F4B79">
        <w:rPr>
          <w:rFonts w:ascii="Cambria" w:hAnsi="Cambria"/>
          <w:sz w:val="20"/>
          <w:szCs w:val="20"/>
          <w:lang w:val="es-ES"/>
        </w:rPr>
        <w:t xml:space="preserve">inmediaciones del edificio de administración, donde estudiantes </w:t>
      </w:r>
      <w:r w:rsidRPr="007F4B79">
        <w:rPr>
          <w:rFonts w:ascii="Cambria" w:hAnsi="Cambria"/>
          <w:sz w:val="20"/>
          <w:szCs w:val="20"/>
          <w:lang w:val="es-ES"/>
        </w:rPr>
        <w:t>habían dispuesto</w:t>
      </w:r>
      <w:r w:rsidR="00297D0A" w:rsidRPr="007F4B79">
        <w:rPr>
          <w:rFonts w:ascii="Cambria" w:hAnsi="Cambria"/>
          <w:sz w:val="20"/>
          <w:szCs w:val="20"/>
          <w:lang w:val="es-ES"/>
        </w:rPr>
        <w:t xml:space="preserve"> un campamento</w:t>
      </w:r>
      <w:r w:rsidRPr="007F4B79">
        <w:rPr>
          <w:rFonts w:ascii="Cambria" w:hAnsi="Cambria"/>
          <w:sz w:val="20"/>
          <w:szCs w:val="20"/>
          <w:lang w:val="es-ES"/>
        </w:rPr>
        <w:t>, y “</w:t>
      </w:r>
      <w:r w:rsidR="00576F13" w:rsidRPr="007F4B79">
        <w:rPr>
          <w:rFonts w:ascii="Cambria" w:hAnsi="Cambria"/>
          <w:sz w:val="20"/>
          <w:szCs w:val="20"/>
          <w:lang w:val="es-ES"/>
        </w:rPr>
        <w:t>procedieron a destruir las carpas qu</w:t>
      </w:r>
      <w:r w:rsidR="00EB28F0" w:rsidRPr="007F4B79">
        <w:rPr>
          <w:rFonts w:ascii="Cambria" w:hAnsi="Cambria"/>
          <w:sz w:val="20"/>
          <w:szCs w:val="20"/>
          <w:lang w:val="es-ES"/>
        </w:rPr>
        <w:t>e allí se encontraban instaladas</w:t>
      </w:r>
      <w:r w:rsidR="00576F13" w:rsidRPr="007F4B79">
        <w:rPr>
          <w:rFonts w:ascii="Cambria" w:hAnsi="Cambria"/>
          <w:sz w:val="20"/>
          <w:szCs w:val="20"/>
          <w:lang w:val="es-ES"/>
        </w:rPr>
        <w:t>”</w:t>
      </w:r>
      <w:r w:rsidR="00297D0A" w:rsidRPr="007F4B79">
        <w:rPr>
          <w:rFonts w:ascii="Cambria" w:hAnsi="Cambria"/>
          <w:sz w:val="20"/>
          <w:szCs w:val="20"/>
          <w:lang w:val="es-ES"/>
        </w:rPr>
        <w:t xml:space="preserve">. La peticionaria </w:t>
      </w:r>
      <w:r w:rsidRPr="007F4B79">
        <w:rPr>
          <w:rFonts w:ascii="Cambria" w:hAnsi="Cambria"/>
          <w:sz w:val="20"/>
          <w:szCs w:val="20"/>
          <w:lang w:val="es-ES"/>
        </w:rPr>
        <w:t xml:space="preserve">explicó que varios </w:t>
      </w:r>
      <w:r w:rsidR="005C0EF3" w:rsidRPr="007F4B79">
        <w:rPr>
          <w:rFonts w:ascii="Cambria" w:hAnsi="Cambria"/>
          <w:sz w:val="20"/>
          <w:szCs w:val="20"/>
          <w:lang w:val="es-ES"/>
        </w:rPr>
        <w:t xml:space="preserve">estudiantes </w:t>
      </w:r>
      <w:r w:rsidR="00286EB8" w:rsidRPr="007F4B79">
        <w:rPr>
          <w:rFonts w:ascii="Cambria" w:hAnsi="Cambria"/>
          <w:sz w:val="20"/>
          <w:szCs w:val="20"/>
          <w:lang w:val="es-ES"/>
        </w:rPr>
        <w:t>fueron</w:t>
      </w:r>
      <w:r w:rsidRPr="007F4B79">
        <w:rPr>
          <w:rFonts w:ascii="Cambria" w:hAnsi="Cambria"/>
          <w:sz w:val="20"/>
          <w:szCs w:val="20"/>
          <w:lang w:val="es-ES"/>
        </w:rPr>
        <w:t xml:space="preserve"> detenidos </w:t>
      </w:r>
      <w:r w:rsidR="005C0EF3" w:rsidRPr="007F4B79">
        <w:rPr>
          <w:rFonts w:ascii="Cambria" w:hAnsi="Cambria"/>
          <w:sz w:val="20"/>
          <w:szCs w:val="20"/>
          <w:lang w:val="es-ES"/>
        </w:rPr>
        <w:t xml:space="preserve">de manera arbitraria, </w:t>
      </w:r>
      <w:r w:rsidRPr="007F4B79">
        <w:rPr>
          <w:rFonts w:ascii="Cambria" w:hAnsi="Cambria"/>
          <w:sz w:val="20"/>
          <w:szCs w:val="20"/>
          <w:lang w:val="es-ES"/>
        </w:rPr>
        <w:t xml:space="preserve">y fueron objeto de </w:t>
      </w:r>
      <w:r w:rsidR="005C0EF3" w:rsidRPr="007F4B79">
        <w:rPr>
          <w:rFonts w:ascii="Cambria" w:hAnsi="Cambria"/>
          <w:sz w:val="20"/>
          <w:szCs w:val="20"/>
          <w:lang w:val="es-ES"/>
        </w:rPr>
        <w:t>agresiones física</w:t>
      </w:r>
      <w:r w:rsidR="00582FAF" w:rsidRPr="007F4B79">
        <w:rPr>
          <w:rFonts w:ascii="Cambria" w:hAnsi="Cambria"/>
          <w:sz w:val="20"/>
          <w:szCs w:val="20"/>
          <w:lang w:val="es-ES"/>
        </w:rPr>
        <w:t>s</w:t>
      </w:r>
      <w:r w:rsidR="005C0EF3" w:rsidRPr="007F4B79">
        <w:rPr>
          <w:rFonts w:ascii="Cambria" w:hAnsi="Cambria"/>
          <w:sz w:val="20"/>
          <w:szCs w:val="20"/>
          <w:lang w:val="es-ES"/>
        </w:rPr>
        <w:t xml:space="preserve"> y psicológica</w:t>
      </w:r>
      <w:r w:rsidR="00582FAF" w:rsidRPr="007F4B79">
        <w:rPr>
          <w:rFonts w:ascii="Cambria" w:hAnsi="Cambria"/>
          <w:sz w:val="20"/>
          <w:szCs w:val="20"/>
          <w:lang w:val="es-ES"/>
        </w:rPr>
        <w:t>s</w:t>
      </w:r>
      <w:r w:rsidR="005C0EF3" w:rsidRPr="007F4B79">
        <w:rPr>
          <w:rFonts w:ascii="Cambria" w:hAnsi="Cambria"/>
          <w:sz w:val="20"/>
          <w:szCs w:val="20"/>
          <w:lang w:val="es-ES"/>
        </w:rPr>
        <w:t xml:space="preserve">. </w:t>
      </w:r>
    </w:p>
    <w:p w:rsidR="00297D0A" w:rsidRPr="007F4B79" w:rsidRDefault="00297D0A" w:rsidP="00297D0A">
      <w:pPr>
        <w:pStyle w:val="ListParagraph"/>
        <w:rPr>
          <w:sz w:val="20"/>
          <w:szCs w:val="20"/>
          <w:lang w:val="es-ES"/>
        </w:rPr>
      </w:pPr>
    </w:p>
    <w:p w:rsidR="00E309B7" w:rsidRPr="007F4B79" w:rsidRDefault="00C62890" w:rsidP="00E309B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A</w:t>
      </w:r>
      <w:r w:rsidR="0048268A" w:rsidRPr="007F4B79">
        <w:rPr>
          <w:rFonts w:ascii="Cambria" w:hAnsi="Cambria"/>
          <w:sz w:val="20"/>
          <w:szCs w:val="20"/>
          <w:lang w:val="es-ES"/>
        </w:rPr>
        <w:t>legó</w:t>
      </w:r>
      <w:r w:rsidR="00FD0275" w:rsidRPr="007F4B79">
        <w:rPr>
          <w:rFonts w:ascii="Cambria" w:hAnsi="Cambria"/>
          <w:sz w:val="20"/>
          <w:szCs w:val="20"/>
          <w:lang w:val="es-ES"/>
        </w:rPr>
        <w:t xml:space="preserve"> que alrededor de las 6:45pm, dos integrantes del ESMAD se apostaron en la esquina ubicada entre la vía peatonal y el edificio de administración, </w:t>
      </w:r>
      <w:r w:rsidR="00BD1876" w:rsidRPr="007F4B79">
        <w:rPr>
          <w:rFonts w:ascii="Cambria" w:hAnsi="Cambria"/>
          <w:sz w:val="20"/>
          <w:szCs w:val="20"/>
          <w:lang w:val="es-ES"/>
        </w:rPr>
        <w:t xml:space="preserve">cuando se </w:t>
      </w:r>
      <w:r w:rsidR="003F6229" w:rsidRPr="007F4B79">
        <w:rPr>
          <w:rFonts w:ascii="Cambria" w:hAnsi="Cambria"/>
          <w:sz w:val="20"/>
          <w:szCs w:val="20"/>
          <w:lang w:val="es-ES"/>
        </w:rPr>
        <w:t>escuchó</w:t>
      </w:r>
      <w:r w:rsidR="00BD1876" w:rsidRPr="007F4B79">
        <w:rPr>
          <w:rFonts w:ascii="Cambria" w:hAnsi="Cambria"/>
          <w:sz w:val="20"/>
          <w:szCs w:val="20"/>
          <w:lang w:val="es-ES"/>
        </w:rPr>
        <w:t xml:space="preserve"> un grito “Ha</w:t>
      </w:r>
      <w:r w:rsidR="0048268A" w:rsidRPr="007F4B79">
        <w:rPr>
          <w:rFonts w:ascii="Cambria" w:hAnsi="Cambria"/>
          <w:sz w:val="20"/>
          <w:szCs w:val="20"/>
          <w:lang w:val="es-ES"/>
        </w:rPr>
        <w:t xml:space="preserve">y un estudiante herido!”. </w:t>
      </w:r>
      <w:r w:rsidR="00BD1876" w:rsidRPr="007F4B79">
        <w:rPr>
          <w:rFonts w:ascii="Cambria" w:hAnsi="Cambria"/>
          <w:sz w:val="20"/>
          <w:szCs w:val="20"/>
          <w:lang w:val="es-ES"/>
        </w:rPr>
        <w:t xml:space="preserve">Según la petición, uno de los </w:t>
      </w:r>
      <w:r w:rsidR="0048268A" w:rsidRPr="007F4B79">
        <w:rPr>
          <w:rFonts w:ascii="Cambria" w:hAnsi="Cambria"/>
          <w:sz w:val="20"/>
          <w:szCs w:val="20"/>
          <w:lang w:val="es-ES"/>
        </w:rPr>
        <w:t>integrantes</w:t>
      </w:r>
      <w:r w:rsidR="00FD0275" w:rsidRPr="007F4B79">
        <w:rPr>
          <w:rFonts w:ascii="Cambria" w:hAnsi="Cambria"/>
          <w:sz w:val="20"/>
          <w:szCs w:val="20"/>
          <w:lang w:val="es-ES"/>
        </w:rPr>
        <w:t xml:space="preserve"> </w:t>
      </w:r>
      <w:r w:rsidR="003F6229" w:rsidRPr="007F4B79">
        <w:rPr>
          <w:rFonts w:ascii="Cambria" w:hAnsi="Cambria"/>
          <w:sz w:val="20"/>
          <w:szCs w:val="20"/>
          <w:lang w:val="es-ES"/>
        </w:rPr>
        <w:t>sacó</w:t>
      </w:r>
      <w:r w:rsidR="00FD0275" w:rsidRPr="007F4B79">
        <w:rPr>
          <w:rFonts w:ascii="Cambria" w:hAnsi="Cambria"/>
          <w:sz w:val="20"/>
          <w:szCs w:val="20"/>
          <w:lang w:val="es-ES"/>
        </w:rPr>
        <w:t xml:space="preserve"> un arma de fuego y </w:t>
      </w:r>
      <w:r w:rsidR="003F6229" w:rsidRPr="007F4B79">
        <w:rPr>
          <w:rFonts w:ascii="Cambria" w:hAnsi="Cambria"/>
          <w:sz w:val="20"/>
          <w:szCs w:val="20"/>
          <w:lang w:val="es-ES"/>
        </w:rPr>
        <w:t>procedió</w:t>
      </w:r>
      <w:r w:rsidR="0048268A" w:rsidRPr="007F4B79">
        <w:rPr>
          <w:rFonts w:ascii="Cambria" w:hAnsi="Cambria"/>
          <w:sz w:val="20"/>
          <w:szCs w:val="20"/>
          <w:lang w:val="es-ES"/>
        </w:rPr>
        <w:t xml:space="preserve"> a disparar. Afirm</w:t>
      </w:r>
      <w:r w:rsidR="00EC24E8" w:rsidRPr="007F4B79">
        <w:rPr>
          <w:rFonts w:ascii="Cambria" w:hAnsi="Cambria"/>
          <w:sz w:val="20"/>
          <w:szCs w:val="20"/>
          <w:lang w:val="es-ES"/>
        </w:rPr>
        <w:t xml:space="preserve">ó </w:t>
      </w:r>
      <w:r w:rsidR="00FD0275" w:rsidRPr="007F4B79">
        <w:rPr>
          <w:rFonts w:ascii="Cambria" w:hAnsi="Cambria"/>
          <w:sz w:val="20"/>
          <w:szCs w:val="20"/>
          <w:lang w:val="es-ES"/>
        </w:rPr>
        <w:t xml:space="preserve">que uno de estos disparos </w:t>
      </w:r>
      <w:r w:rsidR="003F6229" w:rsidRPr="007F4B79">
        <w:rPr>
          <w:rFonts w:ascii="Cambria" w:hAnsi="Cambria"/>
          <w:sz w:val="20"/>
          <w:szCs w:val="20"/>
          <w:lang w:val="es-ES"/>
        </w:rPr>
        <w:t>hirió</w:t>
      </w:r>
      <w:r w:rsidR="00582FAF" w:rsidRPr="007F4B79">
        <w:rPr>
          <w:rFonts w:ascii="Cambria" w:hAnsi="Cambria"/>
          <w:sz w:val="20"/>
          <w:szCs w:val="20"/>
          <w:lang w:val="es-ES"/>
        </w:rPr>
        <w:t xml:space="preserve"> Silva Aranguren</w:t>
      </w:r>
      <w:r w:rsidR="00FD0275" w:rsidRPr="007F4B79">
        <w:rPr>
          <w:rFonts w:ascii="Cambria" w:hAnsi="Cambria"/>
          <w:sz w:val="20"/>
          <w:szCs w:val="20"/>
          <w:lang w:val="es-ES"/>
        </w:rPr>
        <w:t xml:space="preserve">, quien fue auxiliado por estudiantes que permanecían en el campus, siendo trasladado a la Clínica Valle de Lili, donde </w:t>
      </w:r>
      <w:r w:rsidR="003F6229" w:rsidRPr="007F4B79">
        <w:rPr>
          <w:rFonts w:ascii="Cambria" w:hAnsi="Cambria"/>
          <w:sz w:val="20"/>
          <w:szCs w:val="20"/>
          <w:lang w:val="es-ES"/>
        </w:rPr>
        <w:t>llegó</w:t>
      </w:r>
      <w:r w:rsidR="00FD0275" w:rsidRPr="007F4B79">
        <w:rPr>
          <w:rFonts w:ascii="Cambria" w:hAnsi="Cambria"/>
          <w:sz w:val="20"/>
          <w:szCs w:val="20"/>
          <w:lang w:val="es-ES"/>
        </w:rPr>
        <w:t xml:space="preserve"> sin vida. </w:t>
      </w:r>
    </w:p>
    <w:p w:rsidR="00E309B7" w:rsidRPr="007F4B79" w:rsidRDefault="00E309B7" w:rsidP="00E309B7">
      <w:pPr>
        <w:pStyle w:val="ListParagraph"/>
        <w:rPr>
          <w:sz w:val="20"/>
          <w:szCs w:val="20"/>
          <w:lang w:val="es-ES"/>
        </w:rPr>
      </w:pPr>
    </w:p>
    <w:p w:rsidR="00A34E98" w:rsidRPr="007F4B79" w:rsidRDefault="005C0EF3" w:rsidP="00E309B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Respecto de los recursos internos, la peticionaria i</w:t>
      </w:r>
      <w:r w:rsidR="00C27370" w:rsidRPr="007F4B79">
        <w:rPr>
          <w:rFonts w:ascii="Cambria" w:hAnsi="Cambria"/>
          <w:sz w:val="20"/>
          <w:szCs w:val="20"/>
          <w:lang w:val="es-ES"/>
        </w:rPr>
        <w:t>ndicó</w:t>
      </w:r>
      <w:r w:rsidRPr="007F4B79">
        <w:rPr>
          <w:rFonts w:ascii="Cambria" w:hAnsi="Cambria"/>
          <w:sz w:val="20"/>
          <w:szCs w:val="20"/>
          <w:lang w:val="es-ES"/>
        </w:rPr>
        <w:t xml:space="preserve"> que </w:t>
      </w:r>
      <w:r w:rsidR="006A4DFC" w:rsidRPr="007F4B79">
        <w:rPr>
          <w:rFonts w:ascii="Cambria" w:hAnsi="Cambria"/>
          <w:sz w:val="20"/>
          <w:szCs w:val="20"/>
          <w:lang w:val="es-ES"/>
        </w:rPr>
        <w:t xml:space="preserve">el 23 de septiembre de 2005 la </w:t>
      </w:r>
      <w:r w:rsidR="00C27370" w:rsidRPr="007F4B79">
        <w:rPr>
          <w:rFonts w:ascii="Cambria" w:hAnsi="Cambria"/>
          <w:sz w:val="20"/>
          <w:szCs w:val="20"/>
          <w:lang w:val="es-ES"/>
        </w:rPr>
        <w:t xml:space="preserve">investigación de los hechos fue asumida por la </w:t>
      </w:r>
      <w:r w:rsidR="006975A3" w:rsidRPr="007F4B79">
        <w:rPr>
          <w:rFonts w:ascii="Cambria" w:hAnsi="Cambria"/>
          <w:sz w:val="20"/>
          <w:szCs w:val="20"/>
          <w:lang w:val="es-ES"/>
        </w:rPr>
        <w:t>Fiscalía</w:t>
      </w:r>
      <w:r w:rsidR="006A4DFC" w:rsidRPr="007F4B79">
        <w:rPr>
          <w:rFonts w:ascii="Cambria" w:hAnsi="Cambria"/>
          <w:sz w:val="20"/>
          <w:szCs w:val="20"/>
          <w:lang w:val="es-ES"/>
        </w:rPr>
        <w:t xml:space="preserve"> General de la </w:t>
      </w:r>
      <w:r w:rsidR="006975A3" w:rsidRPr="007F4B79">
        <w:rPr>
          <w:rFonts w:ascii="Cambria" w:hAnsi="Cambria"/>
          <w:sz w:val="20"/>
          <w:szCs w:val="20"/>
          <w:lang w:val="es-ES"/>
        </w:rPr>
        <w:t>Nación</w:t>
      </w:r>
      <w:r w:rsidR="00CC713D" w:rsidRPr="007F4B79">
        <w:rPr>
          <w:rFonts w:ascii="Cambria" w:hAnsi="Cambria"/>
          <w:sz w:val="20"/>
          <w:szCs w:val="20"/>
          <w:lang w:val="es-ES"/>
        </w:rPr>
        <w:t xml:space="preserve">, </w:t>
      </w:r>
      <w:r w:rsidR="00F4294E" w:rsidRPr="007F4B79">
        <w:rPr>
          <w:rFonts w:ascii="Cambria" w:hAnsi="Cambria"/>
          <w:sz w:val="20"/>
          <w:szCs w:val="20"/>
          <w:lang w:val="es-ES"/>
        </w:rPr>
        <w:t xml:space="preserve">que </w:t>
      </w:r>
      <w:r w:rsidR="002D7137" w:rsidRPr="007F4B79">
        <w:rPr>
          <w:rFonts w:ascii="Cambria" w:hAnsi="Cambria"/>
          <w:sz w:val="20"/>
          <w:szCs w:val="20"/>
          <w:lang w:val="es-ES"/>
        </w:rPr>
        <w:t xml:space="preserve">la </w:t>
      </w:r>
      <w:r w:rsidR="00CC713D" w:rsidRPr="007F4B79">
        <w:rPr>
          <w:rFonts w:ascii="Cambria" w:hAnsi="Cambria"/>
          <w:sz w:val="20"/>
          <w:szCs w:val="20"/>
          <w:lang w:val="es-ES"/>
        </w:rPr>
        <w:t>habría</w:t>
      </w:r>
      <w:r w:rsidR="00C27370" w:rsidRPr="007F4B79">
        <w:rPr>
          <w:rFonts w:ascii="Cambria" w:hAnsi="Cambria"/>
          <w:sz w:val="20"/>
          <w:szCs w:val="20"/>
          <w:lang w:val="es-ES"/>
        </w:rPr>
        <w:t xml:space="preserve"> “dilatado injustificadam</w:t>
      </w:r>
      <w:r w:rsidR="002D7137" w:rsidRPr="007F4B79">
        <w:rPr>
          <w:rFonts w:ascii="Cambria" w:hAnsi="Cambria"/>
          <w:sz w:val="20"/>
          <w:szCs w:val="20"/>
          <w:lang w:val="es-ES"/>
        </w:rPr>
        <w:t>ente”</w:t>
      </w:r>
      <w:r w:rsidR="00C27370" w:rsidRPr="007F4B79">
        <w:rPr>
          <w:rFonts w:ascii="Cambria" w:hAnsi="Cambria"/>
          <w:sz w:val="20"/>
          <w:szCs w:val="20"/>
          <w:lang w:val="es-ES"/>
        </w:rPr>
        <w:t xml:space="preserve">. </w:t>
      </w:r>
      <w:r w:rsidR="002F5CF1" w:rsidRPr="007F4B79">
        <w:rPr>
          <w:rFonts w:ascii="Cambria" w:hAnsi="Cambria"/>
          <w:sz w:val="20"/>
          <w:szCs w:val="20"/>
          <w:lang w:val="es-ES"/>
        </w:rPr>
        <w:t>Señaló</w:t>
      </w:r>
      <w:r w:rsidR="00CC713D" w:rsidRPr="007F4B79">
        <w:rPr>
          <w:rFonts w:ascii="Cambria" w:hAnsi="Cambria"/>
          <w:sz w:val="20"/>
          <w:szCs w:val="20"/>
          <w:lang w:val="es-ES"/>
        </w:rPr>
        <w:t xml:space="preserve"> que el 15</w:t>
      </w:r>
      <w:r w:rsidR="00B0465D" w:rsidRPr="007F4B79">
        <w:rPr>
          <w:rFonts w:ascii="Cambria" w:hAnsi="Cambria"/>
          <w:sz w:val="20"/>
          <w:szCs w:val="20"/>
          <w:lang w:val="es-ES"/>
        </w:rPr>
        <w:t xml:space="preserve"> de agosto de 2006, </w:t>
      </w:r>
      <w:r w:rsidR="00CC713D" w:rsidRPr="007F4B79">
        <w:rPr>
          <w:rFonts w:ascii="Cambria" w:hAnsi="Cambria"/>
          <w:sz w:val="20"/>
          <w:szCs w:val="20"/>
          <w:lang w:val="es-ES"/>
        </w:rPr>
        <w:t>la Agente Esp</w:t>
      </w:r>
      <w:r w:rsidR="00B0465D" w:rsidRPr="007F4B79">
        <w:rPr>
          <w:rFonts w:ascii="Cambria" w:hAnsi="Cambria"/>
          <w:sz w:val="20"/>
          <w:szCs w:val="20"/>
          <w:lang w:val="es-ES"/>
        </w:rPr>
        <w:t xml:space="preserve">ecial del Ministerio Público </w:t>
      </w:r>
      <w:r w:rsidR="00CC713D" w:rsidRPr="007F4B79">
        <w:rPr>
          <w:rFonts w:ascii="Cambria" w:hAnsi="Cambria"/>
          <w:sz w:val="20"/>
          <w:szCs w:val="20"/>
          <w:lang w:val="es-ES"/>
        </w:rPr>
        <w:t>solicitó al Fiscal 41 Especializado de la Un</w:t>
      </w:r>
      <w:r w:rsidR="00EB28F0" w:rsidRPr="007F4B79">
        <w:rPr>
          <w:rFonts w:ascii="Cambria" w:hAnsi="Cambria"/>
          <w:sz w:val="20"/>
          <w:szCs w:val="20"/>
          <w:lang w:val="es-ES"/>
        </w:rPr>
        <w:t>idad de Derechos Humanos, que “s</w:t>
      </w:r>
      <w:r w:rsidR="00CC713D" w:rsidRPr="007F4B79">
        <w:rPr>
          <w:rFonts w:ascii="Cambria" w:hAnsi="Cambria"/>
          <w:sz w:val="20"/>
          <w:szCs w:val="20"/>
          <w:lang w:val="es-ES"/>
        </w:rPr>
        <w:t xml:space="preserve">e ordenara la vinculación de varios oficiales y suboficiales del </w:t>
      </w:r>
      <w:r w:rsidR="00ED350D" w:rsidRPr="007F4B79">
        <w:rPr>
          <w:rFonts w:ascii="Cambria" w:hAnsi="Cambria"/>
          <w:sz w:val="20"/>
          <w:szCs w:val="20"/>
          <w:lang w:val="es-ES"/>
        </w:rPr>
        <w:t>Escuadrón</w:t>
      </w:r>
      <w:r w:rsidR="00CC713D" w:rsidRPr="007F4B79">
        <w:rPr>
          <w:rFonts w:ascii="Cambria" w:hAnsi="Cambria"/>
          <w:sz w:val="20"/>
          <w:szCs w:val="20"/>
          <w:lang w:val="es-ES"/>
        </w:rPr>
        <w:t xml:space="preserve"> </w:t>
      </w:r>
      <w:r w:rsidR="00ED350D" w:rsidRPr="007F4B79">
        <w:rPr>
          <w:rFonts w:ascii="Cambria" w:hAnsi="Cambria"/>
          <w:sz w:val="20"/>
          <w:szCs w:val="20"/>
          <w:lang w:val="es-ES"/>
        </w:rPr>
        <w:t>Móvil</w:t>
      </w:r>
      <w:r w:rsidR="00CC713D" w:rsidRPr="007F4B79">
        <w:rPr>
          <w:rFonts w:ascii="Cambria" w:hAnsi="Cambria"/>
          <w:sz w:val="20"/>
          <w:szCs w:val="20"/>
          <w:lang w:val="es-ES"/>
        </w:rPr>
        <w:t xml:space="preserve"> Antidisturbios – ESMAD, dadas las pruebas existentes, que indicaban su respon</w:t>
      </w:r>
      <w:r w:rsidR="00EB28F0" w:rsidRPr="007F4B79">
        <w:rPr>
          <w:rFonts w:ascii="Cambria" w:hAnsi="Cambria"/>
          <w:sz w:val="20"/>
          <w:szCs w:val="20"/>
          <w:lang w:val="es-ES"/>
        </w:rPr>
        <w:t>sabilidad en el crimen cometido</w:t>
      </w:r>
      <w:r w:rsidR="00CC713D" w:rsidRPr="007F4B79">
        <w:rPr>
          <w:rFonts w:ascii="Cambria" w:hAnsi="Cambria"/>
          <w:sz w:val="20"/>
          <w:szCs w:val="20"/>
          <w:lang w:val="es-ES"/>
        </w:rPr>
        <w:t>” en contra de</w:t>
      </w:r>
      <w:r w:rsidR="002F5CF1" w:rsidRPr="007F4B79">
        <w:rPr>
          <w:rFonts w:ascii="Cambria" w:hAnsi="Cambria"/>
          <w:sz w:val="20"/>
          <w:szCs w:val="20"/>
          <w:lang w:val="es-ES"/>
        </w:rPr>
        <w:t xml:space="preserve"> Silva Aranguren</w:t>
      </w:r>
      <w:r w:rsidR="00CC713D" w:rsidRPr="007F4B79">
        <w:rPr>
          <w:rFonts w:ascii="Cambria" w:hAnsi="Cambria"/>
          <w:sz w:val="20"/>
          <w:szCs w:val="20"/>
          <w:lang w:val="es-ES"/>
        </w:rPr>
        <w:t xml:space="preserve">. Según la peticionaria, </w:t>
      </w:r>
      <w:r w:rsidR="00ED350D" w:rsidRPr="007F4B79">
        <w:rPr>
          <w:rFonts w:ascii="Cambria" w:hAnsi="Cambria"/>
          <w:sz w:val="20"/>
          <w:szCs w:val="20"/>
          <w:lang w:val="es-ES"/>
        </w:rPr>
        <w:t xml:space="preserve">el 5 de septiembre de 2006, </w:t>
      </w:r>
      <w:r w:rsidR="00EB28F0" w:rsidRPr="007F4B79">
        <w:rPr>
          <w:rFonts w:ascii="Cambria" w:hAnsi="Cambria"/>
          <w:sz w:val="20"/>
          <w:szCs w:val="20"/>
          <w:lang w:val="es-ES"/>
        </w:rPr>
        <w:t xml:space="preserve">dicha solicitud fue </w:t>
      </w:r>
      <w:r w:rsidR="00CC713D" w:rsidRPr="007F4B79">
        <w:rPr>
          <w:rFonts w:ascii="Cambria" w:hAnsi="Cambria"/>
          <w:sz w:val="20"/>
          <w:szCs w:val="20"/>
          <w:lang w:val="es-ES"/>
        </w:rPr>
        <w:t xml:space="preserve">coadyuvada </w:t>
      </w:r>
      <w:r w:rsidR="00ED350D" w:rsidRPr="007F4B79">
        <w:rPr>
          <w:rFonts w:ascii="Cambria" w:hAnsi="Cambria"/>
          <w:sz w:val="20"/>
          <w:szCs w:val="20"/>
          <w:lang w:val="es-ES"/>
        </w:rPr>
        <w:t xml:space="preserve">y ampliada por el apoderado de la parte civil, al señalar los fundamentos de hecho y derecho que harían viable y procedente que se dispusiera a la apertura de la instrucción. </w:t>
      </w:r>
    </w:p>
    <w:p w:rsidR="006975A3" w:rsidRPr="007F4B79" w:rsidRDefault="006975A3" w:rsidP="00ED350D">
      <w:pPr>
        <w:pStyle w:val="ListParagraph"/>
        <w:ind w:left="0"/>
        <w:rPr>
          <w:sz w:val="20"/>
          <w:szCs w:val="20"/>
          <w:lang w:val="es-ES"/>
        </w:rPr>
      </w:pPr>
    </w:p>
    <w:p w:rsidR="006975A3" w:rsidRPr="007F4B79" w:rsidRDefault="00A34E98" w:rsidP="00A34E98">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 xml:space="preserve">De acuerdo con la peticionaria, </w:t>
      </w:r>
      <w:r w:rsidR="0095048C" w:rsidRPr="007F4B79">
        <w:rPr>
          <w:rFonts w:ascii="Cambria" w:hAnsi="Cambria"/>
          <w:sz w:val="20"/>
          <w:szCs w:val="20"/>
          <w:lang w:val="es-ES"/>
        </w:rPr>
        <w:t xml:space="preserve">el 10 de agosto de 2007, el apoderado de la parte civil, solicitó al Fiscal 41 Especializado de la Unidad de Derechos Humanos y Derecho Internacional Humanitario de Cali, </w:t>
      </w:r>
      <w:r w:rsidR="00AF5243" w:rsidRPr="007F4B79">
        <w:rPr>
          <w:rFonts w:ascii="Cambria" w:hAnsi="Cambria"/>
          <w:sz w:val="20"/>
          <w:szCs w:val="20"/>
          <w:lang w:val="es-ES"/>
        </w:rPr>
        <w:t xml:space="preserve">que </w:t>
      </w:r>
      <w:r w:rsidR="0095048C" w:rsidRPr="007F4B79">
        <w:rPr>
          <w:rFonts w:ascii="Cambria" w:hAnsi="Cambria"/>
          <w:sz w:val="20"/>
          <w:szCs w:val="20"/>
          <w:lang w:val="es-ES"/>
        </w:rPr>
        <w:t xml:space="preserve">ordenara la apertura de </w:t>
      </w:r>
      <w:r w:rsidR="00B0465D" w:rsidRPr="007F4B79">
        <w:rPr>
          <w:rFonts w:ascii="Cambria" w:hAnsi="Cambria"/>
          <w:sz w:val="20"/>
          <w:szCs w:val="20"/>
          <w:lang w:val="es-ES"/>
        </w:rPr>
        <w:t xml:space="preserve">la </w:t>
      </w:r>
      <w:r w:rsidR="0095048C" w:rsidRPr="007F4B79">
        <w:rPr>
          <w:rFonts w:ascii="Cambria" w:hAnsi="Cambria"/>
          <w:sz w:val="20"/>
          <w:szCs w:val="20"/>
          <w:lang w:val="es-ES"/>
        </w:rPr>
        <w:t>instrucción</w:t>
      </w:r>
      <w:r w:rsidR="00B0465D" w:rsidRPr="007F4B79">
        <w:rPr>
          <w:rFonts w:ascii="Cambria" w:hAnsi="Cambria"/>
          <w:sz w:val="20"/>
          <w:szCs w:val="20"/>
          <w:lang w:val="es-ES"/>
        </w:rPr>
        <w:t xml:space="preserve"> penal</w:t>
      </w:r>
      <w:r w:rsidR="0095048C" w:rsidRPr="007F4B79">
        <w:rPr>
          <w:rFonts w:ascii="Cambria" w:hAnsi="Cambria"/>
          <w:sz w:val="20"/>
          <w:szCs w:val="20"/>
          <w:lang w:val="es-ES"/>
        </w:rPr>
        <w:t>.</w:t>
      </w:r>
      <w:r w:rsidRPr="007F4B79">
        <w:rPr>
          <w:rFonts w:ascii="Cambria" w:hAnsi="Cambria"/>
          <w:sz w:val="20"/>
          <w:szCs w:val="20"/>
          <w:lang w:val="es-ES"/>
        </w:rPr>
        <w:t xml:space="preserve"> Alegó</w:t>
      </w:r>
      <w:r w:rsidR="003617B2" w:rsidRPr="007F4B79">
        <w:rPr>
          <w:rFonts w:ascii="Cambria" w:hAnsi="Cambria"/>
          <w:sz w:val="20"/>
          <w:szCs w:val="20"/>
          <w:lang w:val="es-ES"/>
        </w:rPr>
        <w:t xml:space="preserve"> que ante la rei</w:t>
      </w:r>
      <w:r w:rsidR="0044325C" w:rsidRPr="007F4B79">
        <w:rPr>
          <w:rFonts w:ascii="Cambria" w:hAnsi="Cambria"/>
          <w:sz w:val="20"/>
          <w:szCs w:val="20"/>
          <w:lang w:val="es-ES"/>
        </w:rPr>
        <w:t xml:space="preserve">terada negativa del Fiscal 41 Especializado, el apoderado de los padres de la presunta </w:t>
      </w:r>
      <w:r w:rsidR="000D2FFF" w:rsidRPr="007F4B79">
        <w:rPr>
          <w:rFonts w:ascii="Cambria" w:hAnsi="Cambria"/>
          <w:sz w:val="20"/>
          <w:szCs w:val="20"/>
          <w:lang w:val="es-ES"/>
        </w:rPr>
        <w:t>víctima</w:t>
      </w:r>
      <w:r w:rsidR="0044325C" w:rsidRPr="007F4B79">
        <w:rPr>
          <w:rFonts w:ascii="Cambria" w:hAnsi="Cambria"/>
          <w:sz w:val="20"/>
          <w:szCs w:val="20"/>
          <w:lang w:val="es-ES"/>
        </w:rPr>
        <w:t xml:space="preserve"> acudió ante la Sala Penal</w:t>
      </w:r>
      <w:r w:rsidR="008C372C" w:rsidRPr="007F4B79">
        <w:rPr>
          <w:rFonts w:ascii="Cambria" w:hAnsi="Cambria"/>
          <w:sz w:val="20"/>
          <w:szCs w:val="20"/>
          <w:lang w:val="es-ES"/>
        </w:rPr>
        <w:t xml:space="preserve"> del Tribunal Superior de Cali.</w:t>
      </w:r>
      <w:r w:rsidR="0095048C" w:rsidRPr="007F4B79">
        <w:rPr>
          <w:rFonts w:ascii="Cambria" w:hAnsi="Cambria"/>
          <w:sz w:val="20"/>
          <w:szCs w:val="20"/>
          <w:lang w:val="es-ES"/>
        </w:rPr>
        <w:t xml:space="preserve"> </w:t>
      </w:r>
      <w:r w:rsidR="00B0465D" w:rsidRPr="007F4B79">
        <w:rPr>
          <w:rFonts w:ascii="Cambria" w:hAnsi="Cambria"/>
          <w:sz w:val="20"/>
          <w:szCs w:val="20"/>
          <w:lang w:val="es-ES"/>
        </w:rPr>
        <w:t>En su decisión de</w:t>
      </w:r>
      <w:r w:rsidR="0044325C" w:rsidRPr="007F4B79">
        <w:rPr>
          <w:rFonts w:ascii="Cambria" w:hAnsi="Cambria"/>
          <w:sz w:val="20"/>
          <w:szCs w:val="20"/>
          <w:lang w:val="es-ES"/>
        </w:rPr>
        <w:t xml:space="preserve"> 30 de agosto de 2007</w:t>
      </w:r>
      <w:r w:rsidR="00B0465D" w:rsidRPr="007F4B79">
        <w:rPr>
          <w:rFonts w:ascii="Cambria" w:hAnsi="Cambria"/>
          <w:sz w:val="20"/>
          <w:szCs w:val="20"/>
          <w:lang w:val="es-ES"/>
        </w:rPr>
        <w:t>,</w:t>
      </w:r>
      <w:r w:rsidR="0044325C" w:rsidRPr="007F4B79">
        <w:rPr>
          <w:rFonts w:ascii="Cambria" w:hAnsi="Cambria"/>
          <w:sz w:val="20"/>
          <w:szCs w:val="20"/>
          <w:lang w:val="es-ES"/>
        </w:rPr>
        <w:t xml:space="preserve"> dicho Tribunal </w:t>
      </w:r>
      <w:r w:rsidRPr="007F4B79">
        <w:rPr>
          <w:rFonts w:ascii="Cambria" w:hAnsi="Cambria"/>
          <w:sz w:val="20"/>
          <w:szCs w:val="20"/>
          <w:lang w:val="es-ES"/>
        </w:rPr>
        <w:t>consideró</w:t>
      </w:r>
      <w:r w:rsidR="0044325C" w:rsidRPr="007F4B79">
        <w:rPr>
          <w:rFonts w:ascii="Cambria" w:hAnsi="Cambria"/>
          <w:sz w:val="20"/>
          <w:szCs w:val="20"/>
          <w:lang w:val="es-ES"/>
        </w:rPr>
        <w:t xml:space="preserve"> que existían dilaciones injustificadas por parte de la </w:t>
      </w:r>
      <w:r w:rsidR="000D2FFF" w:rsidRPr="007F4B79">
        <w:rPr>
          <w:rFonts w:ascii="Cambria" w:hAnsi="Cambria"/>
          <w:sz w:val="20"/>
          <w:szCs w:val="20"/>
          <w:lang w:val="es-ES"/>
        </w:rPr>
        <w:t>Fiscalía</w:t>
      </w:r>
      <w:r w:rsidR="0044325C" w:rsidRPr="007F4B79">
        <w:rPr>
          <w:rFonts w:ascii="Cambria" w:hAnsi="Cambria"/>
          <w:sz w:val="20"/>
          <w:szCs w:val="20"/>
          <w:lang w:val="es-ES"/>
        </w:rPr>
        <w:t xml:space="preserve"> 41 Especi</w:t>
      </w:r>
      <w:r w:rsidRPr="007F4B79">
        <w:rPr>
          <w:rFonts w:ascii="Cambria" w:hAnsi="Cambria"/>
          <w:sz w:val="20"/>
          <w:szCs w:val="20"/>
          <w:lang w:val="es-ES"/>
        </w:rPr>
        <w:t xml:space="preserve">alizada. </w:t>
      </w:r>
      <w:r w:rsidR="0044325C" w:rsidRPr="007F4B79">
        <w:rPr>
          <w:rFonts w:ascii="Cambria" w:hAnsi="Cambria"/>
          <w:sz w:val="20"/>
          <w:szCs w:val="20"/>
          <w:lang w:val="es-ES"/>
        </w:rPr>
        <w:t xml:space="preserve">El 12 de septiembre de 2007, </w:t>
      </w:r>
      <w:r w:rsidR="0095048C" w:rsidRPr="007F4B79">
        <w:rPr>
          <w:rFonts w:ascii="Cambria" w:hAnsi="Cambria"/>
          <w:sz w:val="20"/>
          <w:szCs w:val="20"/>
          <w:lang w:val="es-ES"/>
        </w:rPr>
        <w:t>dando cumplimiento a la orden del Tribunal Superior de Cali</w:t>
      </w:r>
      <w:r w:rsidR="0044325C" w:rsidRPr="007F4B79">
        <w:rPr>
          <w:rFonts w:ascii="Cambria" w:hAnsi="Cambria"/>
          <w:sz w:val="20"/>
          <w:szCs w:val="20"/>
          <w:lang w:val="es-ES"/>
        </w:rPr>
        <w:t xml:space="preserve">, </w:t>
      </w:r>
      <w:r w:rsidR="0095048C" w:rsidRPr="007F4B79">
        <w:rPr>
          <w:rFonts w:ascii="Cambria" w:hAnsi="Cambria"/>
          <w:sz w:val="20"/>
          <w:szCs w:val="20"/>
          <w:lang w:val="es-ES"/>
        </w:rPr>
        <w:t xml:space="preserve"> </w:t>
      </w:r>
      <w:r w:rsidR="000B5AC1" w:rsidRPr="007F4B79">
        <w:rPr>
          <w:rFonts w:ascii="Cambria" w:hAnsi="Cambria"/>
          <w:sz w:val="20"/>
          <w:szCs w:val="20"/>
          <w:lang w:val="es-ES"/>
        </w:rPr>
        <w:t xml:space="preserve">la Fiscalía 41 </w:t>
      </w:r>
      <w:r w:rsidR="0095048C" w:rsidRPr="007F4B79">
        <w:rPr>
          <w:rFonts w:ascii="Cambria" w:hAnsi="Cambria"/>
          <w:sz w:val="20"/>
          <w:szCs w:val="20"/>
          <w:lang w:val="es-ES"/>
        </w:rPr>
        <w:t xml:space="preserve">ordenó la apertura de investigación, disponiendo escuchar </w:t>
      </w:r>
      <w:r w:rsidR="0095048C" w:rsidRPr="007F4B79">
        <w:rPr>
          <w:rFonts w:ascii="Cambria" w:hAnsi="Cambria"/>
          <w:sz w:val="20"/>
          <w:szCs w:val="20"/>
          <w:lang w:val="es-ES"/>
        </w:rPr>
        <w:lastRenderedPageBreak/>
        <w:t xml:space="preserve">en </w:t>
      </w:r>
      <w:r w:rsidR="00B0465D" w:rsidRPr="007F4B79">
        <w:rPr>
          <w:rFonts w:ascii="Cambria" w:hAnsi="Cambria"/>
          <w:sz w:val="20"/>
          <w:szCs w:val="20"/>
          <w:lang w:val="es-ES"/>
        </w:rPr>
        <w:t>indagatoria a tres mandos de la ESMAD</w:t>
      </w:r>
      <w:r w:rsidR="0095048C" w:rsidRPr="007F4B79">
        <w:rPr>
          <w:rFonts w:ascii="Cambria" w:hAnsi="Cambria"/>
          <w:sz w:val="20"/>
          <w:szCs w:val="20"/>
          <w:lang w:val="es-ES"/>
        </w:rPr>
        <w:t xml:space="preserve">. </w:t>
      </w:r>
      <w:r w:rsidR="0044325C" w:rsidRPr="007F4B79">
        <w:rPr>
          <w:rFonts w:ascii="Cambria" w:hAnsi="Cambria"/>
          <w:sz w:val="20"/>
          <w:szCs w:val="20"/>
          <w:lang w:val="es-ES"/>
        </w:rPr>
        <w:t>De acuerdo con la pet</w:t>
      </w:r>
      <w:r w:rsidR="00B0465D" w:rsidRPr="007F4B79">
        <w:rPr>
          <w:rFonts w:ascii="Cambria" w:hAnsi="Cambria"/>
          <w:sz w:val="20"/>
          <w:szCs w:val="20"/>
          <w:lang w:val="es-ES"/>
        </w:rPr>
        <w:t>icionaria, el inicio de las inda</w:t>
      </w:r>
      <w:r w:rsidR="0044325C" w:rsidRPr="007F4B79">
        <w:rPr>
          <w:rFonts w:ascii="Cambria" w:hAnsi="Cambria"/>
          <w:sz w:val="20"/>
          <w:szCs w:val="20"/>
          <w:lang w:val="es-ES"/>
        </w:rPr>
        <w:t xml:space="preserve">gatorias del personal de la </w:t>
      </w:r>
      <w:r w:rsidR="000D2FFF" w:rsidRPr="007F4B79">
        <w:rPr>
          <w:rFonts w:ascii="Cambria" w:hAnsi="Cambria"/>
          <w:sz w:val="20"/>
          <w:szCs w:val="20"/>
          <w:lang w:val="es-ES"/>
        </w:rPr>
        <w:t>Policía</w:t>
      </w:r>
      <w:r w:rsidR="0044325C" w:rsidRPr="007F4B79">
        <w:rPr>
          <w:rFonts w:ascii="Cambria" w:hAnsi="Cambria"/>
          <w:sz w:val="20"/>
          <w:szCs w:val="20"/>
          <w:lang w:val="es-ES"/>
        </w:rPr>
        <w:t xml:space="preserve"> Nacional se </w:t>
      </w:r>
      <w:r w:rsidR="000D2FFF" w:rsidRPr="007F4B79">
        <w:rPr>
          <w:rFonts w:ascii="Cambria" w:hAnsi="Cambria"/>
          <w:sz w:val="20"/>
          <w:szCs w:val="20"/>
          <w:lang w:val="es-ES"/>
        </w:rPr>
        <w:t>habría</w:t>
      </w:r>
      <w:r w:rsidR="0044325C" w:rsidRPr="007F4B79">
        <w:rPr>
          <w:rFonts w:ascii="Cambria" w:hAnsi="Cambria"/>
          <w:sz w:val="20"/>
          <w:szCs w:val="20"/>
          <w:lang w:val="es-ES"/>
        </w:rPr>
        <w:t xml:space="preserve"> dilatado “dada la inasistencia de los mismos”. </w:t>
      </w:r>
    </w:p>
    <w:p w:rsidR="00271532" w:rsidRPr="007F4B79" w:rsidRDefault="00271532" w:rsidP="00271532">
      <w:pPr>
        <w:pStyle w:val="ListParagraph"/>
        <w:rPr>
          <w:sz w:val="20"/>
          <w:szCs w:val="20"/>
          <w:lang w:val="es-ES"/>
        </w:rPr>
      </w:pPr>
    </w:p>
    <w:p w:rsidR="00B0581E" w:rsidRPr="007F4B79" w:rsidRDefault="00A56CC0" w:rsidP="00B0581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Según se desprende del expediente, e</w:t>
      </w:r>
      <w:r w:rsidR="00133A53" w:rsidRPr="007F4B79">
        <w:rPr>
          <w:rFonts w:ascii="Cambria" w:hAnsi="Cambria"/>
          <w:sz w:val="20"/>
          <w:szCs w:val="20"/>
          <w:lang w:val="es-ES"/>
        </w:rPr>
        <w:t xml:space="preserve">l 4 de agosto de 2008, </w:t>
      </w:r>
      <w:r w:rsidR="00B0465D" w:rsidRPr="007F4B79">
        <w:rPr>
          <w:rFonts w:ascii="Cambria" w:hAnsi="Cambria"/>
          <w:sz w:val="20"/>
          <w:szCs w:val="20"/>
          <w:lang w:val="es-ES"/>
        </w:rPr>
        <w:t>el Fiscal 41 resolvió que</w:t>
      </w:r>
      <w:r w:rsidR="00B0581E" w:rsidRPr="007F4B79">
        <w:rPr>
          <w:rFonts w:ascii="Cambria" w:hAnsi="Cambria"/>
          <w:sz w:val="20"/>
          <w:szCs w:val="20"/>
          <w:lang w:val="es-ES"/>
        </w:rPr>
        <w:t xml:space="preserve"> </w:t>
      </w:r>
      <w:r w:rsidR="00D46A4B" w:rsidRPr="007F4B79">
        <w:rPr>
          <w:rFonts w:ascii="Cambria" w:hAnsi="Cambria"/>
          <w:sz w:val="20"/>
          <w:szCs w:val="20"/>
          <w:lang w:val="es-ES"/>
        </w:rPr>
        <w:t>“se encuentra establecido que la persona que dio muerte a JHONNY SILVA fue un miembro del ESMAD aún no identificado”</w:t>
      </w:r>
      <w:r w:rsidR="008C372C" w:rsidRPr="007F4B79">
        <w:rPr>
          <w:rFonts w:ascii="Cambria" w:hAnsi="Cambria"/>
          <w:sz w:val="20"/>
          <w:szCs w:val="20"/>
          <w:lang w:val="es-ES"/>
        </w:rPr>
        <w:t>. N</w:t>
      </w:r>
      <w:r w:rsidR="00B0581E" w:rsidRPr="007F4B79">
        <w:rPr>
          <w:rFonts w:ascii="Cambria" w:hAnsi="Cambria"/>
          <w:sz w:val="20"/>
          <w:szCs w:val="20"/>
          <w:lang w:val="es-ES"/>
        </w:rPr>
        <w:t xml:space="preserve">o obstante, </w:t>
      </w:r>
      <w:r w:rsidR="00283921" w:rsidRPr="007F4B79">
        <w:rPr>
          <w:rFonts w:ascii="Cambria" w:hAnsi="Cambria"/>
          <w:sz w:val="20"/>
          <w:szCs w:val="20"/>
          <w:lang w:val="es-ES"/>
        </w:rPr>
        <w:t xml:space="preserve">indicó que </w:t>
      </w:r>
      <w:r w:rsidR="00B0581E" w:rsidRPr="007F4B79">
        <w:rPr>
          <w:rFonts w:ascii="Cambria" w:hAnsi="Cambria"/>
          <w:sz w:val="20"/>
          <w:szCs w:val="20"/>
          <w:lang w:val="es-ES"/>
        </w:rPr>
        <w:t xml:space="preserve">ello no significaba que quienes tenían el mando en el lugar de los </w:t>
      </w:r>
      <w:r w:rsidR="008C372C" w:rsidRPr="007F4B79">
        <w:rPr>
          <w:rFonts w:ascii="Cambria" w:hAnsi="Cambria"/>
          <w:sz w:val="20"/>
          <w:szCs w:val="20"/>
          <w:lang w:val="es-ES"/>
        </w:rPr>
        <w:t xml:space="preserve">presuntos </w:t>
      </w:r>
      <w:r w:rsidR="00B0581E" w:rsidRPr="007F4B79">
        <w:rPr>
          <w:rFonts w:ascii="Cambria" w:hAnsi="Cambria"/>
          <w:sz w:val="20"/>
          <w:szCs w:val="20"/>
          <w:lang w:val="es-ES"/>
        </w:rPr>
        <w:t xml:space="preserve">hechos tuviesen </w:t>
      </w:r>
      <w:r w:rsidR="008C372C" w:rsidRPr="007F4B79">
        <w:rPr>
          <w:rFonts w:ascii="Cambria" w:hAnsi="Cambria"/>
          <w:sz w:val="20"/>
          <w:szCs w:val="20"/>
          <w:lang w:val="es-ES"/>
        </w:rPr>
        <w:t>“</w:t>
      </w:r>
      <w:r w:rsidR="00B0581E" w:rsidRPr="007F4B79">
        <w:rPr>
          <w:rFonts w:ascii="Cambria" w:hAnsi="Cambria"/>
          <w:sz w:val="20"/>
          <w:szCs w:val="20"/>
          <w:lang w:val="es-ES"/>
        </w:rPr>
        <w:t>responsabilidad alguna</w:t>
      </w:r>
      <w:r w:rsidR="008C372C" w:rsidRPr="007F4B79">
        <w:rPr>
          <w:rFonts w:ascii="Cambria" w:hAnsi="Cambria"/>
          <w:sz w:val="20"/>
          <w:szCs w:val="20"/>
          <w:lang w:val="es-ES"/>
        </w:rPr>
        <w:t>”</w:t>
      </w:r>
      <w:r w:rsidR="00B0581E" w:rsidRPr="007F4B79">
        <w:rPr>
          <w:rFonts w:ascii="Cambria" w:hAnsi="Cambria"/>
          <w:sz w:val="20"/>
          <w:szCs w:val="20"/>
          <w:lang w:val="es-ES"/>
        </w:rPr>
        <w:t xml:space="preserve">. </w:t>
      </w:r>
      <w:r w:rsidR="00AE1321" w:rsidRPr="007F4B79">
        <w:rPr>
          <w:rFonts w:ascii="Cambria" w:hAnsi="Cambria"/>
          <w:sz w:val="20"/>
          <w:szCs w:val="20"/>
          <w:lang w:val="es-ES"/>
        </w:rPr>
        <w:t xml:space="preserve">Sobre dicha base ordenó mantener la vinculación </w:t>
      </w:r>
      <w:r w:rsidR="008C372C" w:rsidRPr="007F4B79">
        <w:rPr>
          <w:rFonts w:ascii="Cambria" w:hAnsi="Cambria"/>
          <w:sz w:val="20"/>
          <w:szCs w:val="20"/>
          <w:lang w:val="es-ES"/>
        </w:rPr>
        <w:t>de los tres</w:t>
      </w:r>
      <w:r w:rsidR="00D46A4B" w:rsidRPr="007F4B79">
        <w:rPr>
          <w:rFonts w:ascii="Cambria" w:hAnsi="Cambria"/>
          <w:sz w:val="20"/>
          <w:szCs w:val="20"/>
          <w:lang w:val="es-ES"/>
        </w:rPr>
        <w:t xml:space="preserve"> integrantes del ESMAD por el presunto delito de prevaricato por omisión. </w:t>
      </w:r>
    </w:p>
    <w:p w:rsidR="00B0581E" w:rsidRPr="007F4B79" w:rsidRDefault="00B0581E" w:rsidP="00B0581E">
      <w:pPr>
        <w:pStyle w:val="ListParagraph"/>
        <w:rPr>
          <w:sz w:val="20"/>
          <w:szCs w:val="20"/>
          <w:lang w:val="es-ES"/>
        </w:rPr>
      </w:pPr>
    </w:p>
    <w:p w:rsidR="00A56CC0" w:rsidRPr="007F4B79" w:rsidRDefault="00B0581E"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El 26 de agosto de 2008,</w:t>
      </w:r>
      <w:r w:rsidR="00D46A4B" w:rsidRPr="007F4B79">
        <w:rPr>
          <w:rFonts w:ascii="Cambria" w:hAnsi="Cambria"/>
          <w:sz w:val="20"/>
          <w:szCs w:val="20"/>
          <w:lang w:val="es-ES"/>
        </w:rPr>
        <w:t xml:space="preserve"> la Procuradora 66 Judicial para Asuntos Penales de Cali interpuso </w:t>
      </w:r>
      <w:r w:rsidR="00491DC7" w:rsidRPr="007F4B79">
        <w:rPr>
          <w:rFonts w:ascii="Cambria" w:hAnsi="Cambria"/>
          <w:sz w:val="20"/>
          <w:szCs w:val="20"/>
          <w:lang w:val="es-ES"/>
        </w:rPr>
        <w:t>recurso de apel</w:t>
      </w:r>
      <w:r w:rsidR="00283921" w:rsidRPr="007F4B79">
        <w:rPr>
          <w:rFonts w:ascii="Cambria" w:hAnsi="Cambria"/>
          <w:sz w:val="20"/>
          <w:szCs w:val="20"/>
          <w:lang w:val="es-ES"/>
        </w:rPr>
        <w:t>ación declarando que no compartía</w:t>
      </w:r>
      <w:r w:rsidR="00491DC7" w:rsidRPr="007F4B79">
        <w:rPr>
          <w:rFonts w:ascii="Cambria" w:hAnsi="Cambria"/>
          <w:sz w:val="20"/>
          <w:szCs w:val="20"/>
          <w:lang w:val="es-ES"/>
        </w:rPr>
        <w:t xml:space="preserve"> la posición del </w:t>
      </w:r>
      <w:r w:rsidR="00283921" w:rsidRPr="007F4B79">
        <w:rPr>
          <w:rFonts w:ascii="Cambria" w:hAnsi="Cambria"/>
          <w:sz w:val="20"/>
          <w:szCs w:val="20"/>
          <w:lang w:val="es-ES"/>
        </w:rPr>
        <w:t>Fiscal y solicitó que se revocara</w:t>
      </w:r>
      <w:r w:rsidR="00491DC7" w:rsidRPr="007F4B79">
        <w:rPr>
          <w:rFonts w:ascii="Cambria" w:hAnsi="Cambria"/>
          <w:sz w:val="20"/>
          <w:szCs w:val="20"/>
          <w:lang w:val="es-ES"/>
        </w:rPr>
        <w:t xml:space="preserve"> la decisión y profiera medida de </w:t>
      </w:r>
      <w:r w:rsidR="00283921" w:rsidRPr="007F4B79">
        <w:rPr>
          <w:rFonts w:ascii="Cambria" w:hAnsi="Cambria"/>
          <w:sz w:val="20"/>
          <w:szCs w:val="20"/>
          <w:lang w:val="es-ES"/>
        </w:rPr>
        <w:t>aseguramiento por el delito de h</w:t>
      </w:r>
      <w:r w:rsidR="00491DC7" w:rsidRPr="007F4B79">
        <w:rPr>
          <w:rFonts w:ascii="Cambria" w:hAnsi="Cambria"/>
          <w:sz w:val="20"/>
          <w:szCs w:val="20"/>
          <w:lang w:val="es-ES"/>
        </w:rPr>
        <w:t xml:space="preserve">omicidio en la modalidad de culpa, en la condición de garante y de acuerdo con la prueba recaudada. Por su parte, el 30 de abril de 2009, </w:t>
      </w:r>
      <w:r w:rsidR="00AE59A6" w:rsidRPr="007F4B79">
        <w:rPr>
          <w:rFonts w:ascii="Cambria" w:hAnsi="Cambria"/>
          <w:sz w:val="20"/>
          <w:szCs w:val="20"/>
          <w:lang w:val="es-ES"/>
        </w:rPr>
        <w:t xml:space="preserve">la Fiscalía Delegada ante </w:t>
      </w:r>
      <w:r w:rsidR="00491DC7" w:rsidRPr="007F4B79">
        <w:rPr>
          <w:rFonts w:ascii="Cambria" w:hAnsi="Cambria"/>
          <w:sz w:val="20"/>
          <w:szCs w:val="20"/>
          <w:lang w:val="es-ES"/>
        </w:rPr>
        <w:t xml:space="preserve">el Tribunal Superior de Cali, </w:t>
      </w:r>
      <w:r w:rsidR="00346219" w:rsidRPr="007F4B79">
        <w:rPr>
          <w:rFonts w:ascii="Cambria" w:hAnsi="Cambria"/>
          <w:sz w:val="20"/>
          <w:szCs w:val="20"/>
          <w:lang w:val="es-ES"/>
        </w:rPr>
        <w:t>decidió</w:t>
      </w:r>
      <w:r w:rsidR="00AE59A6" w:rsidRPr="007F4B79">
        <w:rPr>
          <w:rFonts w:ascii="Cambria" w:hAnsi="Cambria"/>
          <w:sz w:val="20"/>
          <w:szCs w:val="20"/>
          <w:lang w:val="es-ES"/>
        </w:rPr>
        <w:t xml:space="preserve"> confirmar la </w:t>
      </w:r>
      <w:r w:rsidR="00346219" w:rsidRPr="007F4B79">
        <w:rPr>
          <w:rFonts w:ascii="Cambria" w:hAnsi="Cambria"/>
          <w:sz w:val="20"/>
          <w:szCs w:val="20"/>
          <w:lang w:val="es-ES"/>
        </w:rPr>
        <w:t>decisión</w:t>
      </w:r>
      <w:r w:rsidR="00AE59A6" w:rsidRPr="007F4B79">
        <w:rPr>
          <w:rFonts w:ascii="Cambria" w:hAnsi="Cambria"/>
          <w:sz w:val="20"/>
          <w:szCs w:val="20"/>
          <w:lang w:val="es-ES"/>
        </w:rPr>
        <w:t xml:space="preserve"> del Fiscal de primera instancia</w:t>
      </w:r>
      <w:r w:rsidR="00EB615D" w:rsidRPr="007F4B79">
        <w:rPr>
          <w:rFonts w:ascii="Cambria" w:hAnsi="Cambria"/>
          <w:sz w:val="20"/>
          <w:szCs w:val="20"/>
          <w:lang w:val="es-ES"/>
        </w:rPr>
        <w:t xml:space="preserve">, además de ordenar la continuación de la </w:t>
      </w:r>
      <w:r w:rsidR="00E3695C" w:rsidRPr="007F4B79">
        <w:rPr>
          <w:rFonts w:ascii="Cambria" w:hAnsi="Cambria"/>
          <w:sz w:val="20"/>
          <w:szCs w:val="20"/>
          <w:lang w:val="es-ES"/>
        </w:rPr>
        <w:t>investigación</w:t>
      </w:r>
      <w:r w:rsidR="008C372C" w:rsidRPr="007F4B79">
        <w:rPr>
          <w:rFonts w:ascii="Cambria" w:hAnsi="Cambria"/>
          <w:sz w:val="20"/>
          <w:szCs w:val="20"/>
          <w:lang w:val="es-ES"/>
        </w:rPr>
        <w:t xml:space="preserve"> “a</w:t>
      </w:r>
      <w:r w:rsidR="00EB615D" w:rsidRPr="007F4B79">
        <w:rPr>
          <w:rFonts w:ascii="Cambria" w:hAnsi="Cambria"/>
          <w:sz w:val="20"/>
          <w:szCs w:val="20"/>
          <w:lang w:val="es-ES"/>
        </w:rPr>
        <w:t xml:space="preserve"> fin de identificar e individualizar la persona o personas que cometieron el homicidio del universitario JHONNY SILVA ARANGUREN”. </w:t>
      </w:r>
    </w:p>
    <w:p w:rsidR="00E309B7" w:rsidRPr="007F4B79" w:rsidRDefault="00E309B7" w:rsidP="00E309B7">
      <w:pPr>
        <w:pStyle w:val="ListParagraph"/>
        <w:rPr>
          <w:sz w:val="20"/>
          <w:szCs w:val="20"/>
          <w:lang w:val="es-ES"/>
        </w:rPr>
      </w:pPr>
    </w:p>
    <w:p w:rsidR="00943BF8" w:rsidRPr="007F4B79" w:rsidRDefault="00EB615D"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 xml:space="preserve">De acuerdo con la petición, el 19 de enero de 2010, </w:t>
      </w:r>
      <w:r w:rsidR="00582FAF" w:rsidRPr="007F4B79">
        <w:rPr>
          <w:rFonts w:ascii="Cambria" w:hAnsi="Cambria"/>
          <w:sz w:val="20"/>
          <w:szCs w:val="20"/>
          <w:lang w:val="es-ES"/>
        </w:rPr>
        <w:t>el</w:t>
      </w:r>
      <w:r w:rsidR="00694279" w:rsidRPr="007F4B79">
        <w:rPr>
          <w:rFonts w:ascii="Cambria" w:hAnsi="Cambria"/>
          <w:sz w:val="20"/>
          <w:szCs w:val="20"/>
          <w:lang w:val="es-ES"/>
        </w:rPr>
        <w:t xml:space="preserve"> Fiscal 55 Especializado de la Unidad Nacional de Derechos Humanos y Derecho Internacional Humanitario, calificó la </w:t>
      </w:r>
      <w:r w:rsidR="006E2B7D" w:rsidRPr="007F4B79">
        <w:rPr>
          <w:rFonts w:ascii="Cambria" w:hAnsi="Cambria"/>
          <w:sz w:val="20"/>
          <w:szCs w:val="20"/>
          <w:lang w:val="es-ES"/>
        </w:rPr>
        <w:t>investigación</w:t>
      </w:r>
      <w:r w:rsidR="00694279" w:rsidRPr="007F4B79">
        <w:rPr>
          <w:rFonts w:ascii="Cambria" w:hAnsi="Cambria"/>
          <w:sz w:val="20"/>
          <w:szCs w:val="20"/>
          <w:lang w:val="es-ES"/>
        </w:rPr>
        <w:t xml:space="preserve"> y acusó por el delito de Homicidio culposo dada la posición </w:t>
      </w:r>
      <w:r w:rsidR="00B0465D" w:rsidRPr="007F4B79">
        <w:rPr>
          <w:rFonts w:ascii="Cambria" w:hAnsi="Cambria"/>
          <w:sz w:val="20"/>
          <w:szCs w:val="20"/>
          <w:lang w:val="es-ES"/>
        </w:rPr>
        <w:t xml:space="preserve">de garante al </w:t>
      </w:r>
      <w:r w:rsidR="00D511F9" w:rsidRPr="007F4B79">
        <w:rPr>
          <w:rFonts w:ascii="Cambria" w:hAnsi="Cambria"/>
          <w:sz w:val="20"/>
          <w:szCs w:val="20"/>
          <w:lang w:val="es-ES"/>
        </w:rPr>
        <w:t>mayor</w:t>
      </w:r>
      <w:r w:rsidR="00E2606D" w:rsidRPr="007F4B79">
        <w:rPr>
          <w:rFonts w:ascii="Cambria" w:hAnsi="Cambria"/>
          <w:sz w:val="20"/>
          <w:szCs w:val="20"/>
          <w:lang w:val="es-ES"/>
        </w:rPr>
        <w:t xml:space="preserve"> al servicio de la Policía Nacional</w:t>
      </w:r>
      <w:r w:rsidR="006E2B7D" w:rsidRPr="007F4B79">
        <w:rPr>
          <w:rFonts w:ascii="Cambria" w:hAnsi="Cambria"/>
          <w:sz w:val="20"/>
          <w:szCs w:val="20"/>
          <w:lang w:val="es-ES"/>
        </w:rPr>
        <w:t>, así como</w:t>
      </w:r>
      <w:r w:rsidR="00B1777E" w:rsidRPr="007F4B79">
        <w:rPr>
          <w:rFonts w:ascii="Cambria" w:hAnsi="Cambria"/>
          <w:sz w:val="20"/>
          <w:szCs w:val="20"/>
          <w:lang w:val="es-ES"/>
        </w:rPr>
        <w:t xml:space="preserve"> </w:t>
      </w:r>
      <w:r w:rsidR="00B0465D" w:rsidRPr="007F4B79">
        <w:rPr>
          <w:rFonts w:ascii="Cambria" w:hAnsi="Cambria"/>
          <w:sz w:val="20"/>
          <w:szCs w:val="20"/>
          <w:lang w:val="es-ES"/>
        </w:rPr>
        <w:t xml:space="preserve">por los </w:t>
      </w:r>
      <w:r w:rsidR="006E2B7D" w:rsidRPr="007F4B79">
        <w:rPr>
          <w:rFonts w:ascii="Cambria" w:hAnsi="Cambria"/>
          <w:sz w:val="20"/>
          <w:szCs w:val="20"/>
          <w:lang w:val="es-ES"/>
        </w:rPr>
        <w:t>delito</w:t>
      </w:r>
      <w:r w:rsidR="00B0465D" w:rsidRPr="007F4B79">
        <w:rPr>
          <w:rFonts w:ascii="Cambria" w:hAnsi="Cambria"/>
          <w:sz w:val="20"/>
          <w:szCs w:val="20"/>
          <w:lang w:val="es-ES"/>
        </w:rPr>
        <w:t>s</w:t>
      </w:r>
      <w:r w:rsidR="006E2B7D" w:rsidRPr="007F4B79">
        <w:rPr>
          <w:rFonts w:ascii="Cambria" w:hAnsi="Cambria"/>
          <w:sz w:val="20"/>
          <w:szCs w:val="20"/>
          <w:lang w:val="es-ES"/>
        </w:rPr>
        <w:t xml:space="preserve"> de lesiones personales</w:t>
      </w:r>
      <w:r w:rsidR="00582FAF" w:rsidRPr="007F4B79">
        <w:rPr>
          <w:rFonts w:ascii="Cambria" w:hAnsi="Cambria"/>
          <w:sz w:val="20"/>
          <w:szCs w:val="20"/>
          <w:lang w:val="es-ES"/>
        </w:rPr>
        <w:t xml:space="preserve"> </w:t>
      </w:r>
      <w:r w:rsidR="006E2B7D" w:rsidRPr="007F4B79">
        <w:rPr>
          <w:rFonts w:ascii="Cambria" w:hAnsi="Cambria"/>
          <w:sz w:val="20"/>
          <w:szCs w:val="20"/>
          <w:lang w:val="es-ES"/>
        </w:rPr>
        <w:t>por la misma posición en contra de otro estudiante y de prevaricato por omisión. Adicionalmente, p</w:t>
      </w:r>
      <w:r w:rsidR="00582FAF" w:rsidRPr="007F4B79">
        <w:rPr>
          <w:rFonts w:ascii="Cambria" w:hAnsi="Cambria"/>
          <w:sz w:val="20"/>
          <w:szCs w:val="20"/>
          <w:lang w:val="es-ES"/>
        </w:rPr>
        <w:t>recluyó</w:t>
      </w:r>
      <w:r w:rsidR="006E2B7D" w:rsidRPr="007F4B79">
        <w:rPr>
          <w:rFonts w:ascii="Cambria" w:hAnsi="Cambria"/>
          <w:sz w:val="20"/>
          <w:szCs w:val="20"/>
          <w:lang w:val="es-ES"/>
        </w:rPr>
        <w:t xml:space="preserve"> la instrucción a favor de los</w:t>
      </w:r>
      <w:r w:rsidR="00A903E7" w:rsidRPr="007F4B79">
        <w:rPr>
          <w:rFonts w:ascii="Cambria" w:hAnsi="Cambria"/>
          <w:sz w:val="20"/>
          <w:szCs w:val="20"/>
          <w:lang w:val="es-ES"/>
        </w:rPr>
        <w:t xml:space="preserve"> dos</w:t>
      </w:r>
      <w:r w:rsidR="006E2B7D" w:rsidRPr="007F4B79">
        <w:rPr>
          <w:rFonts w:ascii="Cambria" w:hAnsi="Cambria"/>
          <w:sz w:val="20"/>
          <w:szCs w:val="20"/>
          <w:lang w:val="es-ES"/>
        </w:rPr>
        <w:t xml:space="preserve"> </w:t>
      </w:r>
      <w:r w:rsidR="00E2606D" w:rsidRPr="007F4B79">
        <w:rPr>
          <w:rFonts w:ascii="Cambria" w:hAnsi="Cambria"/>
          <w:sz w:val="20"/>
          <w:szCs w:val="20"/>
          <w:lang w:val="es-ES"/>
        </w:rPr>
        <w:t xml:space="preserve"> suboficiales de la Policía Nacional en el grado de </w:t>
      </w:r>
      <w:r w:rsidR="0091013B" w:rsidRPr="007F4B79">
        <w:rPr>
          <w:rFonts w:ascii="Cambria" w:hAnsi="Cambria"/>
          <w:sz w:val="20"/>
          <w:szCs w:val="20"/>
          <w:lang w:val="es-ES"/>
        </w:rPr>
        <w:t>I</w:t>
      </w:r>
      <w:r w:rsidR="00E2606D" w:rsidRPr="007F4B79">
        <w:rPr>
          <w:rFonts w:ascii="Cambria" w:hAnsi="Cambria"/>
          <w:sz w:val="20"/>
          <w:szCs w:val="20"/>
          <w:lang w:val="es-ES"/>
        </w:rPr>
        <w:t>ntendente</w:t>
      </w:r>
      <w:r w:rsidR="006E2B7D" w:rsidRPr="007F4B79">
        <w:rPr>
          <w:rFonts w:ascii="Cambria" w:hAnsi="Cambria"/>
          <w:sz w:val="20"/>
          <w:szCs w:val="20"/>
          <w:lang w:val="es-ES"/>
        </w:rPr>
        <w:t xml:space="preserve">. Dicha </w:t>
      </w:r>
      <w:r w:rsidR="00E3695C" w:rsidRPr="007F4B79">
        <w:rPr>
          <w:rFonts w:ascii="Cambria" w:hAnsi="Cambria"/>
          <w:sz w:val="20"/>
          <w:szCs w:val="20"/>
          <w:lang w:val="es-ES"/>
        </w:rPr>
        <w:t>decisión</w:t>
      </w:r>
      <w:r w:rsidR="006E2B7D" w:rsidRPr="007F4B79">
        <w:rPr>
          <w:rFonts w:ascii="Cambria" w:hAnsi="Cambria"/>
          <w:sz w:val="20"/>
          <w:szCs w:val="20"/>
          <w:lang w:val="es-ES"/>
        </w:rPr>
        <w:t xml:space="preserve"> fue apelada y confirmada por el Fiscal de Segunda Instancia. </w:t>
      </w:r>
    </w:p>
    <w:p w:rsidR="00943BF8" w:rsidRPr="007F4B79" w:rsidRDefault="00943BF8" w:rsidP="00943BF8">
      <w:pPr>
        <w:pStyle w:val="ListParagraph"/>
        <w:rPr>
          <w:sz w:val="20"/>
          <w:szCs w:val="20"/>
          <w:lang w:val="es-ES"/>
        </w:rPr>
      </w:pPr>
    </w:p>
    <w:p w:rsidR="00DA0E53" w:rsidRPr="007F4B79" w:rsidRDefault="00943BF8"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Asimismo, el 13 de mayo de 2010, el Fiscal Primero Delegado ante el Tribuna</w:t>
      </w:r>
      <w:r w:rsidR="008C372C" w:rsidRPr="007F4B79">
        <w:rPr>
          <w:rFonts w:ascii="Cambria" w:hAnsi="Cambria"/>
          <w:sz w:val="20"/>
          <w:szCs w:val="20"/>
          <w:lang w:val="es-ES"/>
        </w:rPr>
        <w:t>l Supe</w:t>
      </w:r>
      <w:r w:rsidR="00DB45FC" w:rsidRPr="007F4B79">
        <w:rPr>
          <w:rFonts w:ascii="Cambria" w:hAnsi="Cambria"/>
          <w:sz w:val="20"/>
          <w:szCs w:val="20"/>
          <w:lang w:val="es-ES"/>
        </w:rPr>
        <w:t>rior de Cali</w:t>
      </w:r>
      <w:r w:rsidR="00BC39BA" w:rsidRPr="007F4B79">
        <w:rPr>
          <w:rFonts w:ascii="Cambria" w:hAnsi="Cambria"/>
          <w:sz w:val="20"/>
          <w:szCs w:val="20"/>
          <w:lang w:val="es-ES"/>
        </w:rPr>
        <w:t xml:space="preserve"> determinó que el</w:t>
      </w:r>
      <w:r w:rsidRPr="007F4B79">
        <w:rPr>
          <w:rFonts w:ascii="Cambria" w:hAnsi="Cambria"/>
          <w:sz w:val="20"/>
          <w:szCs w:val="20"/>
          <w:lang w:val="es-ES"/>
        </w:rPr>
        <w:t xml:space="preserve"> Capitán</w:t>
      </w:r>
      <w:r w:rsidR="00DB45FC" w:rsidRPr="007F4B79">
        <w:rPr>
          <w:rFonts w:ascii="Cambria" w:hAnsi="Cambria"/>
          <w:sz w:val="20"/>
          <w:szCs w:val="20"/>
          <w:lang w:val="es-ES"/>
        </w:rPr>
        <w:t xml:space="preserve"> de la ESMAD</w:t>
      </w:r>
      <w:r w:rsidR="00582FAF" w:rsidRPr="007F4B79">
        <w:rPr>
          <w:rFonts w:ascii="Cambria" w:hAnsi="Cambria"/>
          <w:sz w:val="20"/>
          <w:szCs w:val="20"/>
          <w:lang w:val="es-ES"/>
        </w:rPr>
        <w:t xml:space="preserve"> </w:t>
      </w:r>
      <w:r w:rsidR="00BC39BA" w:rsidRPr="007F4B79">
        <w:rPr>
          <w:rFonts w:ascii="Cambria" w:hAnsi="Cambria"/>
          <w:sz w:val="20"/>
          <w:szCs w:val="20"/>
          <w:lang w:val="es-ES"/>
        </w:rPr>
        <w:t xml:space="preserve">debía ser absuelto de toda responsabilidad </w:t>
      </w:r>
      <w:r w:rsidR="009D5204" w:rsidRPr="007F4B79">
        <w:rPr>
          <w:rFonts w:ascii="Cambria" w:hAnsi="Cambria"/>
          <w:sz w:val="20"/>
          <w:szCs w:val="20"/>
          <w:lang w:val="es-ES"/>
        </w:rPr>
        <w:t xml:space="preserve">como autor responsable del homicidio en la modalidad culposa en contra de la presunta víctima, así como por el delito de prevaricato por omisión. </w:t>
      </w:r>
      <w:r w:rsidR="00DA0E53" w:rsidRPr="007F4B79">
        <w:rPr>
          <w:rFonts w:ascii="Cambria" w:hAnsi="Cambria"/>
          <w:sz w:val="20"/>
          <w:szCs w:val="20"/>
          <w:lang w:val="es-ES"/>
        </w:rPr>
        <w:t>La peticionaria a</w:t>
      </w:r>
      <w:r w:rsidR="008C372C" w:rsidRPr="007F4B79">
        <w:rPr>
          <w:rFonts w:ascii="Cambria" w:hAnsi="Cambria"/>
          <w:sz w:val="20"/>
          <w:szCs w:val="20"/>
          <w:lang w:val="es-ES"/>
        </w:rPr>
        <w:t>firmó que con dicha decisión, “l</w:t>
      </w:r>
      <w:r w:rsidR="00DA0E53" w:rsidRPr="007F4B79">
        <w:rPr>
          <w:rFonts w:ascii="Cambria" w:hAnsi="Cambria"/>
          <w:sz w:val="20"/>
          <w:szCs w:val="20"/>
          <w:lang w:val="es-ES"/>
        </w:rPr>
        <w:t>a ejecución extrajudicial del estudiante Jhonny Silva Aranguren ha quedado en investigación previa, en contr</w:t>
      </w:r>
      <w:r w:rsidR="008C372C" w:rsidRPr="007F4B79">
        <w:rPr>
          <w:rFonts w:ascii="Cambria" w:hAnsi="Cambria"/>
          <w:sz w:val="20"/>
          <w:szCs w:val="20"/>
          <w:lang w:val="es-ES"/>
        </w:rPr>
        <w:t>a de responsables indeterminados</w:t>
      </w:r>
      <w:r w:rsidR="00DA0E53" w:rsidRPr="007F4B79">
        <w:rPr>
          <w:rFonts w:ascii="Cambria" w:hAnsi="Cambria"/>
          <w:sz w:val="20"/>
          <w:szCs w:val="20"/>
          <w:lang w:val="es-ES"/>
        </w:rPr>
        <w:t>”.</w:t>
      </w:r>
    </w:p>
    <w:p w:rsidR="00DA0E53" w:rsidRPr="007F4B79" w:rsidRDefault="00DA0E53" w:rsidP="00DA0E53">
      <w:pPr>
        <w:pStyle w:val="ListParagraph"/>
        <w:rPr>
          <w:sz w:val="20"/>
          <w:szCs w:val="20"/>
          <w:lang w:val="es-ES"/>
        </w:rPr>
      </w:pPr>
    </w:p>
    <w:p w:rsidR="00943BF8" w:rsidRPr="007F4B79" w:rsidRDefault="009D5204"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C</w:t>
      </w:r>
      <w:r w:rsidR="006C70DA" w:rsidRPr="007F4B79">
        <w:rPr>
          <w:rFonts w:ascii="Cambria" w:hAnsi="Cambria"/>
          <w:sz w:val="20"/>
          <w:szCs w:val="20"/>
          <w:lang w:val="es-ES"/>
        </w:rPr>
        <w:t xml:space="preserve">ontra </w:t>
      </w:r>
      <w:r w:rsidRPr="007F4B79">
        <w:rPr>
          <w:rFonts w:ascii="Cambria" w:hAnsi="Cambria"/>
          <w:sz w:val="20"/>
          <w:szCs w:val="20"/>
          <w:lang w:val="es-ES"/>
        </w:rPr>
        <w:t>dicha decisión, el 9 de noviembre de 2010</w:t>
      </w:r>
      <w:r w:rsidR="008C372C" w:rsidRPr="007F4B79">
        <w:rPr>
          <w:rFonts w:ascii="Cambria" w:hAnsi="Cambria"/>
          <w:sz w:val="20"/>
          <w:szCs w:val="20"/>
          <w:lang w:val="es-ES"/>
        </w:rPr>
        <w:t>,</w:t>
      </w:r>
      <w:r w:rsidRPr="007F4B79">
        <w:rPr>
          <w:rFonts w:ascii="Cambria" w:hAnsi="Cambria"/>
          <w:sz w:val="20"/>
          <w:szCs w:val="20"/>
          <w:lang w:val="es-ES"/>
        </w:rPr>
        <w:t xml:space="preserve"> los padres de </w:t>
      </w:r>
      <w:r w:rsidR="006C70DA" w:rsidRPr="007F4B79">
        <w:rPr>
          <w:rFonts w:ascii="Cambria" w:hAnsi="Cambria"/>
          <w:sz w:val="20"/>
          <w:szCs w:val="20"/>
          <w:lang w:val="es-ES"/>
        </w:rPr>
        <w:t xml:space="preserve">Silva Aranguren </w:t>
      </w:r>
      <w:r w:rsidRPr="007F4B79">
        <w:rPr>
          <w:rFonts w:ascii="Cambria" w:hAnsi="Cambria"/>
          <w:sz w:val="20"/>
          <w:szCs w:val="20"/>
          <w:lang w:val="es-ES"/>
        </w:rPr>
        <w:t>interpusieron una acción de tutela ante la Sala Penal de la Corte Suprema de Justicia, en contra de la Fiscalía Primera Delegada ante el Tribunal Superior de Cali, en la cual se solicitó la protección de los derechos al debido proceso, acceso a la administración de justicia y los der</w:t>
      </w:r>
      <w:r w:rsidR="006C70DA" w:rsidRPr="007F4B79">
        <w:rPr>
          <w:rFonts w:ascii="Cambria" w:hAnsi="Cambria"/>
          <w:sz w:val="20"/>
          <w:szCs w:val="20"/>
          <w:lang w:val="es-ES"/>
        </w:rPr>
        <w:t xml:space="preserve">echos a la verdad y justicia. </w:t>
      </w:r>
      <w:r w:rsidR="00EB3C8C" w:rsidRPr="007F4B79">
        <w:rPr>
          <w:rFonts w:ascii="Cambria" w:hAnsi="Cambria"/>
          <w:sz w:val="20"/>
          <w:szCs w:val="20"/>
          <w:lang w:val="es-ES"/>
        </w:rPr>
        <w:t xml:space="preserve">El 23 de noviembre de 2010, la Sala Penal </w:t>
      </w:r>
      <w:r w:rsidRPr="007F4B79">
        <w:rPr>
          <w:rFonts w:ascii="Cambria" w:hAnsi="Cambria"/>
          <w:sz w:val="20"/>
          <w:szCs w:val="20"/>
          <w:lang w:val="es-ES"/>
        </w:rPr>
        <w:t>decidió negar por improcedente la acción de tute</w:t>
      </w:r>
      <w:r w:rsidR="00DA0E53" w:rsidRPr="007F4B79">
        <w:rPr>
          <w:rFonts w:ascii="Cambria" w:hAnsi="Cambria"/>
          <w:sz w:val="20"/>
          <w:szCs w:val="20"/>
          <w:lang w:val="es-ES"/>
        </w:rPr>
        <w:t xml:space="preserve">la. </w:t>
      </w:r>
    </w:p>
    <w:p w:rsidR="00943BF8" w:rsidRPr="007F4B79" w:rsidRDefault="00943BF8" w:rsidP="00943BF8">
      <w:pPr>
        <w:pStyle w:val="ListParagraph"/>
        <w:rPr>
          <w:sz w:val="20"/>
          <w:szCs w:val="20"/>
          <w:lang w:val="es-ES"/>
        </w:rPr>
      </w:pPr>
    </w:p>
    <w:p w:rsidR="00D265F5" w:rsidRPr="007F4B79" w:rsidRDefault="00DA5E0E" w:rsidP="004403D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 xml:space="preserve">Según </w:t>
      </w:r>
      <w:r w:rsidR="008C372C" w:rsidRPr="007F4B79">
        <w:rPr>
          <w:rFonts w:ascii="Cambria" w:hAnsi="Cambria"/>
          <w:sz w:val="20"/>
          <w:szCs w:val="20"/>
          <w:lang w:val="es-ES"/>
        </w:rPr>
        <w:t>el expediente</w:t>
      </w:r>
      <w:r w:rsidR="00EB3C8C" w:rsidRPr="007F4B79">
        <w:rPr>
          <w:rFonts w:ascii="Cambria" w:hAnsi="Cambria"/>
          <w:sz w:val="20"/>
          <w:szCs w:val="20"/>
          <w:lang w:val="es-ES"/>
        </w:rPr>
        <w:t xml:space="preserve">, </w:t>
      </w:r>
      <w:r w:rsidR="00B1777E" w:rsidRPr="007F4B79">
        <w:rPr>
          <w:rFonts w:ascii="Cambria" w:hAnsi="Cambria"/>
          <w:sz w:val="20"/>
          <w:szCs w:val="20"/>
          <w:lang w:val="es-ES"/>
        </w:rPr>
        <w:t xml:space="preserve">con la decisión del 13 de mayo de 2010, </w:t>
      </w:r>
      <w:r w:rsidR="006E2B7D" w:rsidRPr="007F4B79">
        <w:rPr>
          <w:rFonts w:ascii="Cambria" w:hAnsi="Cambria"/>
          <w:sz w:val="20"/>
          <w:szCs w:val="20"/>
          <w:lang w:val="es-ES"/>
        </w:rPr>
        <w:t xml:space="preserve">el proceso fue asignado al Juzgado Primero Penal Municipal de Santiago de Cali, quien el 23 de noviembre de 2011 </w:t>
      </w:r>
      <w:r w:rsidR="001D7D6D" w:rsidRPr="007F4B79">
        <w:rPr>
          <w:rFonts w:ascii="Cambria" w:hAnsi="Cambria"/>
          <w:sz w:val="20"/>
          <w:szCs w:val="20"/>
          <w:lang w:val="es-ES"/>
        </w:rPr>
        <w:t>llevó</w:t>
      </w:r>
      <w:r w:rsidR="00E3695C" w:rsidRPr="007F4B79">
        <w:rPr>
          <w:rFonts w:ascii="Cambria" w:hAnsi="Cambria"/>
          <w:sz w:val="20"/>
          <w:szCs w:val="20"/>
          <w:lang w:val="es-ES"/>
        </w:rPr>
        <w:t xml:space="preserve"> a</w:t>
      </w:r>
      <w:r w:rsidR="001D7D6D" w:rsidRPr="007F4B79">
        <w:rPr>
          <w:rFonts w:ascii="Cambria" w:hAnsi="Cambria"/>
          <w:sz w:val="20"/>
          <w:szCs w:val="20"/>
          <w:lang w:val="es-ES"/>
        </w:rPr>
        <w:t xml:space="preserve"> cabo audiencia preparatoria, para</w:t>
      </w:r>
      <w:r w:rsidR="00E3695C" w:rsidRPr="007F4B79">
        <w:rPr>
          <w:rFonts w:ascii="Cambria" w:hAnsi="Cambria"/>
          <w:sz w:val="20"/>
          <w:szCs w:val="20"/>
          <w:lang w:val="es-ES"/>
        </w:rPr>
        <w:t xml:space="preserve"> la cual, según la peticionaria, esta no fue notificada. Asimismo, en dicha audiencia, el Juez ordenó la remisión de la actuación a la Justicia Penal Militar. </w:t>
      </w:r>
      <w:r w:rsidR="00EB3C8C" w:rsidRPr="007F4B79">
        <w:rPr>
          <w:rFonts w:ascii="Cambria" w:hAnsi="Cambria"/>
          <w:sz w:val="20"/>
          <w:szCs w:val="20"/>
          <w:lang w:val="es-ES"/>
        </w:rPr>
        <w:t>La peticionaria señaló que</w:t>
      </w:r>
      <w:r w:rsidR="00BF25C1" w:rsidRPr="007F4B79">
        <w:rPr>
          <w:rFonts w:ascii="Cambria" w:hAnsi="Cambria"/>
          <w:sz w:val="20"/>
          <w:szCs w:val="20"/>
          <w:lang w:val="es-ES"/>
        </w:rPr>
        <w:t xml:space="preserve"> </w:t>
      </w:r>
      <w:r w:rsidR="00EB3C8C" w:rsidRPr="007F4B79">
        <w:rPr>
          <w:rFonts w:ascii="Cambria" w:hAnsi="Cambria"/>
          <w:sz w:val="20"/>
          <w:szCs w:val="20"/>
          <w:lang w:val="es-ES"/>
        </w:rPr>
        <w:t>la</w:t>
      </w:r>
      <w:r w:rsidR="00BF25C1" w:rsidRPr="007F4B79">
        <w:rPr>
          <w:rFonts w:ascii="Cambria" w:hAnsi="Cambria"/>
          <w:sz w:val="20"/>
          <w:szCs w:val="20"/>
          <w:lang w:val="es-ES"/>
        </w:rPr>
        <w:t xml:space="preserve"> decisión de delegar a</w:t>
      </w:r>
      <w:r w:rsidR="008C372C" w:rsidRPr="007F4B79">
        <w:rPr>
          <w:rFonts w:ascii="Cambria" w:hAnsi="Cambria"/>
          <w:sz w:val="20"/>
          <w:szCs w:val="20"/>
          <w:lang w:val="es-ES"/>
        </w:rPr>
        <w:t xml:space="preserve"> la Justicia Penal Militar la “i</w:t>
      </w:r>
      <w:r w:rsidR="00BF25C1" w:rsidRPr="007F4B79">
        <w:rPr>
          <w:rFonts w:ascii="Cambria" w:hAnsi="Cambria"/>
          <w:sz w:val="20"/>
          <w:szCs w:val="20"/>
          <w:lang w:val="es-ES"/>
        </w:rPr>
        <w:t xml:space="preserve">nvestigación de hechos que lesionaron gravemente derechos establecidos en la Convención Americana de Derechos Humanos, desconoce el derecho a contar con un recurso efectivo, sustanciado por un Tribunal Independiente e Imparcial, de conformidad con lo establecido en un Estado de Derecho”. </w:t>
      </w:r>
      <w:r w:rsidR="00D265F5" w:rsidRPr="007F4B79">
        <w:rPr>
          <w:rFonts w:ascii="Cambria" w:hAnsi="Cambria"/>
          <w:sz w:val="20"/>
          <w:szCs w:val="20"/>
          <w:lang w:val="es-ES"/>
        </w:rPr>
        <w:t xml:space="preserve">Respecto del proceso adelantado ante el Tribunal Contencioso Administrativo del Valle del Cauca, indicó que ese se encontraría en etapa probatoria. </w:t>
      </w:r>
    </w:p>
    <w:p w:rsidR="00E07E57" w:rsidRPr="007F4B79" w:rsidRDefault="00E07E57" w:rsidP="0080171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E07E57" w:rsidRPr="0081689A" w:rsidRDefault="00283921"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Con base en el anterior</w:t>
      </w:r>
      <w:r w:rsidR="00E07E57" w:rsidRPr="007F4B79">
        <w:rPr>
          <w:rFonts w:ascii="Cambria" w:hAnsi="Cambria"/>
          <w:sz w:val="20"/>
          <w:szCs w:val="20"/>
          <w:lang w:val="es-CO"/>
        </w:rPr>
        <w:t xml:space="preserve">, </w:t>
      </w:r>
      <w:r w:rsidRPr="007F4B79">
        <w:rPr>
          <w:rFonts w:ascii="Cambria" w:hAnsi="Cambria"/>
          <w:sz w:val="20"/>
          <w:szCs w:val="20"/>
          <w:lang w:val="es-CO"/>
        </w:rPr>
        <w:t xml:space="preserve">la peticionaria </w:t>
      </w:r>
      <w:r w:rsidR="00BA7F41" w:rsidRPr="007F4B79">
        <w:rPr>
          <w:rFonts w:ascii="Cambria" w:hAnsi="Cambria" w:cs="Arial"/>
          <w:sz w:val="20"/>
          <w:szCs w:val="20"/>
          <w:lang w:val="es-UY"/>
        </w:rPr>
        <w:t>alegó que el Estado violó los derechos reconocidos en los artículos</w:t>
      </w:r>
      <w:r w:rsidR="00BA7F41" w:rsidRPr="007F4B79">
        <w:rPr>
          <w:rFonts w:ascii="Cambria" w:hAnsi="Cambria"/>
          <w:sz w:val="20"/>
          <w:szCs w:val="20"/>
          <w:lang w:val="es-CO"/>
        </w:rPr>
        <w:t xml:space="preserve"> </w:t>
      </w:r>
      <w:r w:rsidR="00133A53" w:rsidRPr="007F4B79">
        <w:rPr>
          <w:rFonts w:ascii="Cambria" w:hAnsi="Cambria"/>
          <w:sz w:val="20"/>
          <w:szCs w:val="20"/>
          <w:lang w:val="es-CO"/>
        </w:rPr>
        <w:t xml:space="preserve">4, </w:t>
      </w:r>
      <w:r w:rsidR="00E07E57" w:rsidRPr="007F4B79">
        <w:rPr>
          <w:rFonts w:ascii="Cambria" w:hAnsi="Cambria"/>
          <w:sz w:val="20"/>
          <w:szCs w:val="20"/>
          <w:lang w:val="es-CO"/>
        </w:rPr>
        <w:t>5,</w:t>
      </w:r>
      <w:r w:rsidR="00133A53" w:rsidRPr="007F4B79">
        <w:rPr>
          <w:rFonts w:ascii="Cambria" w:hAnsi="Cambria"/>
          <w:sz w:val="20"/>
          <w:szCs w:val="20"/>
          <w:lang w:val="es-CO"/>
        </w:rPr>
        <w:t xml:space="preserve"> </w:t>
      </w:r>
      <w:r w:rsidR="00EB3C8C" w:rsidRPr="007F4B79">
        <w:rPr>
          <w:rFonts w:ascii="Cambria" w:hAnsi="Cambria"/>
          <w:sz w:val="20"/>
          <w:szCs w:val="20"/>
          <w:lang w:val="es-CO"/>
        </w:rPr>
        <w:t xml:space="preserve">8, </w:t>
      </w:r>
      <w:r w:rsidR="00E07E57" w:rsidRPr="007F4B79">
        <w:rPr>
          <w:rFonts w:ascii="Cambria" w:hAnsi="Cambria"/>
          <w:sz w:val="20"/>
          <w:szCs w:val="20"/>
          <w:lang w:val="es-CO"/>
        </w:rPr>
        <w:t>13,</w:t>
      </w:r>
      <w:r w:rsidR="00133A53" w:rsidRPr="007F4B79">
        <w:rPr>
          <w:rFonts w:ascii="Cambria" w:hAnsi="Cambria"/>
          <w:sz w:val="20"/>
          <w:szCs w:val="20"/>
          <w:lang w:val="es-CO"/>
        </w:rPr>
        <w:t xml:space="preserve"> 23 </w:t>
      </w:r>
      <w:r w:rsidR="00E07E57" w:rsidRPr="007F4B79">
        <w:rPr>
          <w:rFonts w:ascii="Cambria" w:hAnsi="Cambria"/>
          <w:sz w:val="20"/>
          <w:szCs w:val="20"/>
          <w:lang w:val="es-CO"/>
        </w:rPr>
        <w:t xml:space="preserve">y 25 </w:t>
      </w:r>
      <w:r w:rsidR="00133A53" w:rsidRPr="007F4B79">
        <w:rPr>
          <w:rFonts w:ascii="Cambria" w:hAnsi="Cambria"/>
          <w:sz w:val="20"/>
          <w:szCs w:val="20"/>
          <w:lang w:val="es-CO"/>
        </w:rPr>
        <w:t xml:space="preserve">en consonancia con el artículo 1.1 </w:t>
      </w:r>
      <w:r w:rsidR="00E07E57" w:rsidRPr="007F4B79">
        <w:rPr>
          <w:rFonts w:ascii="Cambria" w:hAnsi="Cambria"/>
          <w:sz w:val="20"/>
          <w:szCs w:val="20"/>
          <w:lang w:val="es-CO"/>
        </w:rPr>
        <w:t>de la Convención Americana</w:t>
      </w:r>
      <w:r w:rsidR="002F25E7" w:rsidRPr="007F4B79">
        <w:rPr>
          <w:rFonts w:ascii="Cambria" w:hAnsi="Cambria"/>
          <w:sz w:val="20"/>
          <w:szCs w:val="20"/>
          <w:lang w:val="es-CO"/>
        </w:rPr>
        <w:t xml:space="preserve">, en </w:t>
      </w:r>
      <w:r w:rsidR="00AE33A0" w:rsidRPr="007F4B79">
        <w:rPr>
          <w:rFonts w:ascii="Cambria" w:hAnsi="Cambria"/>
          <w:sz w:val="20"/>
          <w:szCs w:val="20"/>
          <w:lang w:val="es-CO"/>
        </w:rPr>
        <w:t>perjuicio</w:t>
      </w:r>
      <w:r w:rsidR="002F25E7" w:rsidRPr="007F4B79">
        <w:rPr>
          <w:rFonts w:ascii="Cambria" w:hAnsi="Cambria"/>
          <w:sz w:val="20"/>
          <w:szCs w:val="20"/>
          <w:lang w:val="es-CO"/>
        </w:rPr>
        <w:t xml:space="preserve"> de Jhonny Silva Aranguren y sus familiares</w:t>
      </w:r>
      <w:r w:rsidR="00E07E57" w:rsidRPr="007F4B79">
        <w:rPr>
          <w:rFonts w:ascii="Cambria" w:hAnsi="Cambria"/>
          <w:sz w:val="20"/>
          <w:szCs w:val="20"/>
          <w:lang w:val="es-CO"/>
        </w:rPr>
        <w:t>.</w:t>
      </w:r>
      <w:r w:rsidR="00133A53" w:rsidRPr="007F4B79">
        <w:rPr>
          <w:rFonts w:ascii="Cambria" w:hAnsi="Cambria"/>
          <w:sz w:val="20"/>
          <w:szCs w:val="20"/>
          <w:lang w:val="es-CO"/>
        </w:rPr>
        <w:t xml:space="preserve"> </w:t>
      </w:r>
    </w:p>
    <w:p w:rsidR="00A12F98" w:rsidRPr="007F4B79" w:rsidRDefault="004D10BE"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r>
        <w:rPr>
          <w:rFonts w:ascii="Cambria" w:eastAsia="Cambria" w:hAnsi="Cambria" w:cs="Cambria"/>
          <w:color w:val="000000"/>
          <w:sz w:val="20"/>
          <w:szCs w:val="20"/>
          <w:u w:color="000000"/>
          <w:lang w:val="es-ES" w:eastAsia="es-ES"/>
        </w:rPr>
        <w:br w:type="page"/>
      </w:r>
    </w:p>
    <w:p w:rsidR="007E13F2" w:rsidRPr="007F4B79" w:rsidRDefault="007E13F2" w:rsidP="007E13F2">
      <w:pPr>
        <w:pStyle w:val="Heading3"/>
        <w:spacing w:before="0" w:after="0"/>
        <w:ind w:left="720"/>
        <w:rPr>
          <w:rFonts w:ascii="Cambria" w:hAnsi="Cambria"/>
          <w:sz w:val="20"/>
          <w:szCs w:val="20"/>
          <w:lang w:val="es-ES"/>
        </w:rPr>
      </w:pPr>
      <w:bookmarkStart w:id="15" w:name="_Toc400530888"/>
      <w:bookmarkStart w:id="16" w:name="_Toc400530992"/>
      <w:bookmarkStart w:id="17" w:name="_Toc400531329"/>
      <w:r w:rsidRPr="007F4B79">
        <w:rPr>
          <w:rFonts w:ascii="Cambria" w:hAnsi="Cambria"/>
          <w:sz w:val="20"/>
          <w:szCs w:val="20"/>
          <w:lang w:val="es-ES"/>
        </w:rPr>
        <w:t>B.</w:t>
      </w:r>
      <w:r w:rsidRPr="007F4B79">
        <w:rPr>
          <w:rFonts w:ascii="Cambria" w:hAnsi="Cambria"/>
          <w:sz w:val="20"/>
          <w:szCs w:val="20"/>
          <w:lang w:val="es-ES"/>
        </w:rPr>
        <w:tab/>
        <w:t>Posición del Estado</w:t>
      </w:r>
      <w:bookmarkEnd w:id="15"/>
      <w:bookmarkEnd w:id="16"/>
      <w:bookmarkEnd w:id="17"/>
      <w:r w:rsidRPr="007F4B79">
        <w:rPr>
          <w:rFonts w:ascii="Cambria" w:hAnsi="Cambria"/>
          <w:sz w:val="20"/>
          <w:szCs w:val="20"/>
          <w:lang w:val="es-ES"/>
        </w:rPr>
        <w:fldChar w:fldCharType="begin"/>
      </w:r>
      <w:r w:rsidRPr="007F4B79">
        <w:rPr>
          <w:rFonts w:ascii="Cambria" w:hAnsi="Cambria"/>
          <w:sz w:val="20"/>
          <w:szCs w:val="20"/>
          <w:lang w:val="es-ES"/>
        </w:rPr>
        <w:instrText xml:space="preserve"> XE "Posición del Estado" </w:instrText>
      </w:r>
      <w:r w:rsidRPr="007F4B79">
        <w:rPr>
          <w:rFonts w:ascii="Cambria" w:hAnsi="Cambria"/>
          <w:sz w:val="20"/>
          <w:szCs w:val="20"/>
          <w:lang w:val="es-ES"/>
        </w:rPr>
        <w:fldChar w:fldCharType="end"/>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E607EB" w:rsidRPr="007F4B79" w:rsidRDefault="002F25E7" w:rsidP="00C605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E</w:t>
      </w:r>
      <w:r w:rsidR="00E607EB" w:rsidRPr="007F4B79">
        <w:rPr>
          <w:rFonts w:ascii="Cambria" w:hAnsi="Cambria"/>
          <w:sz w:val="20"/>
          <w:szCs w:val="20"/>
          <w:lang w:val="es-ES"/>
        </w:rPr>
        <w:t>l Estado solicitó a la Comisión que declare inadmisible la</w:t>
      </w:r>
      <w:r w:rsidR="00724211" w:rsidRPr="007F4B79">
        <w:rPr>
          <w:rFonts w:ascii="Cambria" w:hAnsi="Cambria"/>
          <w:sz w:val="20"/>
          <w:szCs w:val="20"/>
          <w:lang w:val="es-ES"/>
        </w:rPr>
        <w:t xml:space="preserve"> presente</w:t>
      </w:r>
      <w:r w:rsidR="00E607EB" w:rsidRPr="007F4B79">
        <w:rPr>
          <w:rFonts w:ascii="Cambria" w:hAnsi="Cambria"/>
          <w:sz w:val="20"/>
          <w:szCs w:val="20"/>
          <w:lang w:val="es-ES"/>
        </w:rPr>
        <w:t xml:space="preserve"> </w:t>
      </w:r>
      <w:r w:rsidR="00A9474D" w:rsidRPr="007F4B79">
        <w:rPr>
          <w:rFonts w:ascii="Cambria" w:hAnsi="Cambria"/>
          <w:sz w:val="20"/>
          <w:szCs w:val="20"/>
          <w:lang w:val="es-ES"/>
        </w:rPr>
        <w:t>denuncia</w:t>
      </w:r>
      <w:r w:rsidR="00E607EB" w:rsidRPr="007F4B79">
        <w:rPr>
          <w:rFonts w:ascii="Cambria" w:hAnsi="Cambria"/>
          <w:sz w:val="20"/>
          <w:szCs w:val="20"/>
          <w:lang w:val="es-ES"/>
        </w:rPr>
        <w:t xml:space="preserve"> en virtud de que</w:t>
      </w:r>
      <w:r w:rsidR="00853956" w:rsidRPr="007F4B79">
        <w:rPr>
          <w:rFonts w:ascii="Cambria" w:hAnsi="Cambria"/>
          <w:sz w:val="20"/>
          <w:szCs w:val="20"/>
          <w:lang w:val="es-ES"/>
        </w:rPr>
        <w:t xml:space="preserve"> no se habrían</w:t>
      </w:r>
      <w:r w:rsidR="00E607EB" w:rsidRPr="007F4B79">
        <w:rPr>
          <w:rFonts w:ascii="Cambria" w:hAnsi="Cambria"/>
          <w:sz w:val="20"/>
          <w:szCs w:val="20"/>
          <w:lang w:val="es-ES"/>
        </w:rPr>
        <w:t xml:space="preserve"> agotado los recursos internos adecuados y efectivos para re</w:t>
      </w:r>
      <w:r w:rsidR="00C605EF" w:rsidRPr="007F4B79">
        <w:rPr>
          <w:rFonts w:ascii="Cambria" w:hAnsi="Cambria"/>
          <w:sz w:val="20"/>
          <w:szCs w:val="20"/>
          <w:lang w:val="es-ES"/>
        </w:rPr>
        <w:t>mediar las viola</w:t>
      </w:r>
      <w:r w:rsidR="00C860F0" w:rsidRPr="007F4B79">
        <w:rPr>
          <w:rFonts w:ascii="Cambria" w:hAnsi="Cambria"/>
          <w:sz w:val="20"/>
          <w:szCs w:val="20"/>
          <w:lang w:val="es-ES"/>
        </w:rPr>
        <w:t>ciones alegadas, y que</w:t>
      </w:r>
      <w:r w:rsidR="00C605EF" w:rsidRPr="007F4B79">
        <w:rPr>
          <w:rFonts w:ascii="Cambria" w:hAnsi="Cambria"/>
          <w:sz w:val="20"/>
          <w:szCs w:val="20"/>
          <w:lang w:val="es-ES"/>
        </w:rPr>
        <w:t xml:space="preserve"> no serían aplicables las excepciones alegadas por </w:t>
      </w:r>
      <w:r w:rsidR="00724211" w:rsidRPr="007F4B79">
        <w:rPr>
          <w:rFonts w:ascii="Cambria" w:hAnsi="Cambria"/>
          <w:sz w:val="20"/>
          <w:szCs w:val="20"/>
          <w:lang w:val="es-ES"/>
        </w:rPr>
        <w:t>la peticionaria</w:t>
      </w:r>
      <w:r w:rsidR="00C605EF" w:rsidRPr="007F4B79">
        <w:rPr>
          <w:rFonts w:ascii="Cambria" w:hAnsi="Cambria"/>
          <w:sz w:val="20"/>
          <w:szCs w:val="20"/>
          <w:lang w:val="es-ES"/>
        </w:rPr>
        <w:t>, contenidas en</w:t>
      </w:r>
      <w:r w:rsidR="00A9474D" w:rsidRPr="007F4B79">
        <w:rPr>
          <w:rFonts w:ascii="Cambria" w:hAnsi="Cambria"/>
          <w:sz w:val="20"/>
          <w:szCs w:val="20"/>
          <w:lang w:val="es-ES"/>
        </w:rPr>
        <w:t xml:space="preserve"> el numeral 2 del artículo 46 de la CADH</w:t>
      </w:r>
      <w:r w:rsidR="00C605EF" w:rsidRPr="007F4B79">
        <w:rPr>
          <w:rFonts w:ascii="Cambria" w:hAnsi="Cambria"/>
          <w:sz w:val="20"/>
          <w:szCs w:val="20"/>
          <w:lang w:val="es-ES"/>
        </w:rPr>
        <w:t xml:space="preserve">. Igualmente, </w:t>
      </w:r>
      <w:r w:rsidR="00853956" w:rsidRPr="007F4B79">
        <w:rPr>
          <w:rFonts w:ascii="Cambria" w:hAnsi="Cambria"/>
          <w:sz w:val="20"/>
          <w:szCs w:val="20"/>
          <w:lang w:val="es-ES"/>
        </w:rPr>
        <w:t xml:space="preserve">Colombia </w:t>
      </w:r>
      <w:r w:rsidR="00C605EF" w:rsidRPr="007F4B79">
        <w:rPr>
          <w:rFonts w:ascii="Cambria" w:hAnsi="Cambria"/>
          <w:sz w:val="20"/>
          <w:szCs w:val="20"/>
          <w:lang w:val="es-ES"/>
        </w:rPr>
        <w:t>al</w:t>
      </w:r>
      <w:r w:rsidR="00724211" w:rsidRPr="007F4B79">
        <w:rPr>
          <w:rFonts w:ascii="Cambria" w:hAnsi="Cambria"/>
          <w:sz w:val="20"/>
          <w:szCs w:val="20"/>
          <w:lang w:val="es-ES"/>
        </w:rPr>
        <w:t>egó</w:t>
      </w:r>
      <w:r w:rsidR="00C605EF" w:rsidRPr="007F4B79">
        <w:rPr>
          <w:rFonts w:ascii="Cambria" w:hAnsi="Cambria"/>
          <w:sz w:val="20"/>
          <w:szCs w:val="20"/>
          <w:lang w:val="es-ES"/>
        </w:rPr>
        <w:t xml:space="preserve"> la falta de caracterización de supuestas violaciones a la Convención Americana. </w:t>
      </w:r>
      <w:r w:rsidR="008E550A" w:rsidRPr="007F4B79">
        <w:rPr>
          <w:rFonts w:ascii="Cambria" w:hAnsi="Cambria"/>
          <w:sz w:val="20"/>
          <w:szCs w:val="20"/>
          <w:lang w:val="es-ES"/>
        </w:rPr>
        <w:t xml:space="preserve">En particular, </w:t>
      </w:r>
      <w:r w:rsidR="00A9474D" w:rsidRPr="007F4B79">
        <w:rPr>
          <w:rFonts w:ascii="Cambria" w:hAnsi="Cambria"/>
          <w:sz w:val="20"/>
          <w:szCs w:val="20"/>
          <w:lang w:val="es-ES"/>
        </w:rPr>
        <w:t>indicó que “</w:t>
      </w:r>
      <w:r w:rsidR="009E3FEA" w:rsidRPr="007F4B79">
        <w:rPr>
          <w:rFonts w:ascii="Cambria" w:hAnsi="Cambria"/>
          <w:sz w:val="20"/>
          <w:szCs w:val="20"/>
          <w:lang w:val="es-ES"/>
        </w:rPr>
        <w:t xml:space="preserve">no se aportan a la denuncia elementos de prueba suficientes que desvirtúen lo probado hasta el momento dentro de los procesos penal, disciplinario y la acción de Reparación Directa </w:t>
      </w:r>
      <w:r w:rsidR="00142FB0" w:rsidRPr="007F4B79">
        <w:rPr>
          <w:rFonts w:ascii="Cambria" w:hAnsi="Cambria"/>
          <w:sz w:val="20"/>
          <w:szCs w:val="20"/>
          <w:lang w:val="es-ES"/>
        </w:rPr>
        <w:t xml:space="preserve">adelantada en la jurisdicción contenciosa administrativa”. </w:t>
      </w:r>
    </w:p>
    <w:p w:rsidR="000F0C71" w:rsidRPr="007F4B79" w:rsidRDefault="000F0C71" w:rsidP="000F0C71">
      <w:pPr>
        <w:pStyle w:val="ListParagraph"/>
        <w:rPr>
          <w:sz w:val="20"/>
          <w:szCs w:val="20"/>
          <w:lang w:val="es-ES"/>
        </w:rPr>
      </w:pPr>
    </w:p>
    <w:p w:rsidR="000F0C71" w:rsidRPr="007F4B79" w:rsidRDefault="000F0C71" w:rsidP="000F0C7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Con respecto a los </w:t>
      </w:r>
      <w:r w:rsidR="00A9474D" w:rsidRPr="007F4B79">
        <w:rPr>
          <w:rFonts w:ascii="Cambria" w:hAnsi="Cambria"/>
          <w:sz w:val="20"/>
          <w:szCs w:val="20"/>
          <w:lang w:val="es-ES"/>
        </w:rPr>
        <w:t>supuestos</w:t>
      </w:r>
      <w:r w:rsidRPr="007F4B79">
        <w:rPr>
          <w:rFonts w:ascii="Cambria" w:hAnsi="Cambria"/>
          <w:sz w:val="20"/>
          <w:szCs w:val="20"/>
          <w:lang w:val="es-ES"/>
        </w:rPr>
        <w:t xml:space="preserve"> hechos de la petición, el Estado colombiano </w:t>
      </w:r>
      <w:r w:rsidR="00A9474D" w:rsidRPr="007F4B79">
        <w:rPr>
          <w:rFonts w:ascii="Cambria" w:hAnsi="Cambria" w:cs="Arial"/>
          <w:sz w:val="20"/>
          <w:szCs w:val="20"/>
          <w:bdr w:val="none" w:sz="0" w:space="0" w:color="auto"/>
          <w:lang w:val="es-CO" w:eastAsia="pt-BR"/>
        </w:rPr>
        <w:t>afirmó que “l</w:t>
      </w:r>
      <w:r w:rsidRPr="007F4B79">
        <w:rPr>
          <w:rFonts w:ascii="Cambria" w:hAnsi="Cambria" w:cs="Arial"/>
          <w:sz w:val="20"/>
          <w:szCs w:val="20"/>
          <w:bdr w:val="none" w:sz="0" w:space="0" w:color="auto"/>
          <w:lang w:val="es-CO" w:eastAsia="pt-BR"/>
        </w:rPr>
        <w:t xml:space="preserve">os presuntos hechos alegados no caracterizan, ni siquiera </w:t>
      </w:r>
      <w:r w:rsidRPr="007F4B79">
        <w:rPr>
          <w:rFonts w:ascii="Cambria" w:hAnsi="Cambria" w:cs="Arial"/>
          <w:i/>
          <w:sz w:val="20"/>
          <w:szCs w:val="20"/>
          <w:bdr w:val="none" w:sz="0" w:space="0" w:color="auto"/>
          <w:lang w:val="es-CO" w:eastAsia="pt-BR"/>
        </w:rPr>
        <w:t>prima facie</w:t>
      </w:r>
      <w:r w:rsidRPr="007F4B79">
        <w:rPr>
          <w:rFonts w:ascii="Cambria" w:hAnsi="Cambria" w:cs="Arial"/>
          <w:sz w:val="20"/>
          <w:szCs w:val="20"/>
          <w:bdr w:val="none" w:sz="0" w:space="0" w:color="auto"/>
          <w:lang w:val="es-CO" w:eastAsia="pt-BR"/>
        </w:rPr>
        <w:t>, una violación de los derechos garantizados por la CADH”. Adicionalmente, indicó que el personal adscrito al ESM</w:t>
      </w:r>
      <w:r w:rsidR="00A9474D" w:rsidRPr="007F4B79">
        <w:rPr>
          <w:rFonts w:ascii="Cambria" w:hAnsi="Cambria" w:cs="Arial"/>
          <w:sz w:val="20"/>
          <w:szCs w:val="20"/>
          <w:bdr w:val="none" w:sz="0" w:space="0" w:color="auto"/>
          <w:lang w:val="es-CO" w:eastAsia="pt-BR"/>
        </w:rPr>
        <w:t>AD, tenía “a</w:t>
      </w:r>
      <w:r w:rsidRPr="007F4B79">
        <w:rPr>
          <w:rFonts w:ascii="Cambria" w:hAnsi="Cambria" w:cs="Arial"/>
          <w:sz w:val="20"/>
          <w:szCs w:val="20"/>
          <w:bdr w:val="none" w:sz="0" w:space="0" w:color="auto"/>
          <w:lang w:val="es-CO" w:eastAsia="pt-BR"/>
        </w:rPr>
        <w:t xml:space="preserve">mplia instrucción sobre no ingresar a las instalaciones de la universidad y en ningún momento autorizaron ni ordenaron ningún ingreso al campus, ni se presenció a algún policial incumpliendo a la orden”. Además, afirmó que dicho personal no asistiría a este tipo de </w:t>
      </w:r>
      <w:r w:rsidR="00A9474D" w:rsidRPr="007F4B79">
        <w:rPr>
          <w:rFonts w:ascii="Cambria" w:hAnsi="Cambria" w:cs="Arial"/>
          <w:sz w:val="20"/>
          <w:szCs w:val="20"/>
          <w:bdr w:val="none" w:sz="0" w:space="0" w:color="auto"/>
          <w:lang w:val="es-CO" w:eastAsia="pt-BR"/>
        </w:rPr>
        <w:t>servicios con armas de fuego, “p</w:t>
      </w:r>
      <w:r w:rsidRPr="007F4B79">
        <w:rPr>
          <w:rFonts w:ascii="Cambria" w:hAnsi="Cambria" w:cs="Arial"/>
          <w:sz w:val="20"/>
          <w:szCs w:val="20"/>
          <w:bdr w:val="none" w:sz="0" w:space="0" w:color="auto"/>
          <w:lang w:val="es-CO" w:eastAsia="pt-BR"/>
        </w:rPr>
        <w:t xml:space="preserve">ara lo cual se han impartido instrucciones y se verifica antes de la salida al servicio, el incumplimiento de esa orden”. </w:t>
      </w:r>
    </w:p>
    <w:p w:rsidR="00853956" w:rsidRPr="007F4B79" w:rsidRDefault="00853956" w:rsidP="00853956">
      <w:pPr>
        <w:pStyle w:val="ListParagraph"/>
        <w:rPr>
          <w:sz w:val="20"/>
          <w:szCs w:val="20"/>
          <w:lang w:val="es-ES"/>
        </w:rPr>
      </w:pPr>
    </w:p>
    <w:p w:rsidR="00462292" w:rsidRPr="007F4B79" w:rsidRDefault="00853956"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En relación con la alegada falta de agotamiento de los recursos internos, el Estado colombiano señaló que</w:t>
      </w:r>
      <w:r w:rsidR="00462292" w:rsidRPr="007F4B79">
        <w:rPr>
          <w:rFonts w:ascii="Cambria" w:hAnsi="Cambria"/>
          <w:sz w:val="20"/>
          <w:szCs w:val="20"/>
          <w:lang w:val="es-ES"/>
        </w:rPr>
        <w:t xml:space="preserve"> ¨la labor de investigación y sanción de los responsables [por los presuntos hechos del presente caso] ha sido asumida como una labor propia del Estado desde el momento en que tuvo conocimiento de los hechos¨. </w:t>
      </w:r>
      <w:r w:rsidR="00724211" w:rsidRPr="007F4B79">
        <w:rPr>
          <w:rFonts w:ascii="Cambria" w:hAnsi="Cambria"/>
          <w:sz w:val="20"/>
          <w:szCs w:val="20"/>
          <w:lang w:val="es-ES"/>
        </w:rPr>
        <w:t>En este sentido, Colombia aportó</w:t>
      </w:r>
      <w:r w:rsidR="00462292" w:rsidRPr="007F4B79">
        <w:rPr>
          <w:rFonts w:ascii="Cambria" w:hAnsi="Cambria"/>
          <w:sz w:val="20"/>
          <w:szCs w:val="20"/>
          <w:lang w:val="es-ES"/>
        </w:rPr>
        <w:t xml:space="preserve"> información sobre la acción penal </w:t>
      </w:r>
      <w:r w:rsidR="00E93FAC" w:rsidRPr="007F4B79">
        <w:rPr>
          <w:rFonts w:ascii="Cambria" w:hAnsi="Cambria"/>
          <w:sz w:val="20"/>
          <w:szCs w:val="20"/>
          <w:lang w:val="es-ES"/>
        </w:rPr>
        <w:t>impulsada</w:t>
      </w:r>
      <w:r w:rsidR="00462292" w:rsidRPr="007F4B79">
        <w:rPr>
          <w:rFonts w:ascii="Cambria" w:hAnsi="Cambria"/>
          <w:sz w:val="20"/>
          <w:szCs w:val="20"/>
          <w:lang w:val="es-ES"/>
        </w:rPr>
        <w:t xml:space="preserve">, así como sobre la acción de reparación directa en contra de la Nación – Ministerio de Defensa – Policía Nacional y sobre la investigación disciplinaria. </w:t>
      </w:r>
    </w:p>
    <w:p w:rsidR="004431AC" w:rsidRPr="007F4B79" w:rsidRDefault="004431AC" w:rsidP="004431AC">
      <w:pPr>
        <w:pStyle w:val="ListParagraph"/>
        <w:rPr>
          <w:sz w:val="20"/>
          <w:szCs w:val="20"/>
          <w:lang w:val="es-ES"/>
        </w:rPr>
      </w:pPr>
    </w:p>
    <w:p w:rsidR="00793521" w:rsidRPr="007F4B79" w:rsidRDefault="004431AC"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Respecto </w:t>
      </w:r>
      <w:r w:rsidR="008A6E78" w:rsidRPr="007F4B79">
        <w:rPr>
          <w:rFonts w:ascii="Cambria" w:hAnsi="Cambria"/>
          <w:sz w:val="20"/>
          <w:szCs w:val="20"/>
          <w:lang w:val="es-ES"/>
        </w:rPr>
        <w:t>del proceso</w:t>
      </w:r>
      <w:r w:rsidRPr="007F4B79">
        <w:rPr>
          <w:rFonts w:ascii="Cambria" w:hAnsi="Cambria"/>
          <w:sz w:val="20"/>
          <w:szCs w:val="20"/>
          <w:lang w:val="es-ES"/>
        </w:rPr>
        <w:t xml:space="preserve"> penal, el Estado </w:t>
      </w:r>
      <w:r w:rsidR="008A6E78" w:rsidRPr="007F4B79">
        <w:rPr>
          <w:rFonts w:ascii="Cambria" w:hAnsi="Cambria"/>
          <w:sz w:val="20"/>
          <w:szCs w:val="20"/>
          <w:lang w:val="es-ES"/>
        </w:rPr>
        <w:t>informó, entre otras cosas, que el 22 de septiembre de 2005, a través de “Resolución Sust</w:t>
      </w:r>
      <w:r w:rsidR="00C860F0" w:rsidRPr="007F4B79">
        <w:rPr>
          <w:rFonts w:ascii="Cambria" w:hAnsi="Cambria"/>
          <w:sz w:val="20"/>
          <w:szCs w:val="20"/>
          <w:lang w:val="es-ES"/>
        </w:rPr>
        <w:t xml:space="preserve">anciatoria”, se abrió </w:t>
      </w:r>
      <w:r w:rsidR="008A6E78" w:rsidRPr="007F4B79">
        <w:rPr>
          <w:rFonts w:ascii="Cambria" w:hAnsi="Cambria"/>
          <w:sz w:val="20"/>
          <w:szCs w:val="20"/>
          <w:lang w:val="es-ES"/>
        </w:rPr>
        <w:t xml:space="preserve">la investigación penal por el homicidio de la presunta víctima. Indicó que el 10 de octubre de 2005, </w:t>
      </w:r>
      <w:r w:rsidR="00F4294E" w:rsidRPr="007F4B79">
        <w:rPr>
          <w:rFonts w:ascii="Cambria" w:hAnsi="Cambria"/>
          <w:sz w:val="20"/>
          <w:szCs w:val="20"/>
          <w:lang w:val="es-ES"/>
        </w:rPr>
        <w:t>se admitió la demanda de parte c</w:t>
      </w:r>
      <w:r w:rsidR="008A6E78" w:rsidRPr="007F4B79">
        <w:rPr>
          <w:rFonts w:ascii="Cambria" w:hAnsi="Cambria"/>
          <w:sz w:val="20"/>
          <w:szCs w:val="20"/>
          <w:lang w:val="es-ES"/>
        </w:rPr>
        <w:t xml:space="preserve">ivil, con los señores Wilman Silva Betancourt y Eneried Aranguren como parte civil. Asimismo, observó que el 19 de enero de 2010, el Fiscal 55 Especializado de la Unidad Nacional de Derechos Humanos y Derecho Internacional Humanitario, profirió la </w:t>
      </w:r>
      <w:r w:rsidR="00F86D0D" w:rsidRPr="007F4B79">
        <w:rPr>
          <w:rFonts w:ascii="Cambria" w:hAnsi="Cambria"/>
          <w:sz w:val="20"/>
          <w:szCs w:val="20"/>
          <w:lang w:val="es-ES"/>
        </w:rPr>
        <w:t>Resolución</w:t>
      </w:r>
      <w:r w:rsidR="008A6E78" w:rsidRPr="007F4B79">
        <w:rPr>
          <w:rFonts w:ascii="Cambria" w:hAnsi="Cambria"/>
          <w:sz w:val="20"/>
          <w:szCs w:val="20"/>
          <w:lang w:val="es-ES"/>
        </w:rPr>
        <w:t xml:space="preserve"> Interlocutoria No. 001 a través de la cual “</w:t>
      </w:r>
      <w:r w:rsidR="00A9474D" w:rsidRPr="007F4B79">
        <w:rPr>
          <w:rFonts w:ascii="Cambria" w:hAnsi="Cambria"/>
          <w:sz w:val="20"/>
          <w:szCs w:val="20"/>
          <w:lang w:val="es-ES"/>
        </w:rPr>
        <w:t>s</w:t>
      </w:r>
      <w:r w:rsidR="00F86D0D" w:rsidRPr="007F4B79">
        <w:rPr>
          <w:rFonts w:ascii="Cambria" w:hAnsi="Cambria"/>
          <w:sz w:val="20"/>
          <w:szCs w:val="20"/>
          <w:lang w:val="es-ES"/>
        </w:rPr>
        <w:t>e califica la investigación y se acusa por el delito de Homicidio Culposo dada la posición de garante a un Mayor, como también por los punibles de Lesiones Personales Culposas y Prevaricato por Omisión; a su vez se precluye la in</w:t>
      </w:r>
      <w:r w:rsidR="00C860F0" w:rsidRPr="007F4B79">
        <w:rPr>
          <w:rFonts w:ascii="Cambria" w:hAnsi="Cambria"/>
          <w:sz w:val="20"/>
          <w:szCs w:val="20"/>
          <w:lang w:val="es-ES"/>
        </w:rPr>
        <w:t>strucción</w:t>
      </w:r>
      <w:r w:rsidR="00F86D0D" w:rsidRPr="007F4B79">
        <w:rPr>
          <w:rFonts w:ascii="Cambria" w:hAnsi="Cambria"/>
          <w:sz w:val="20"/>
          <w:szCs w:val="20"/>
          <w:lang w:val="es-ES"/>
        </w:rPr>
        <w:t>”</w:t>
      </w:r>
      <w:r w:rsidR="00C860F0" w:rsidRPr="007F4B79">
        <w:rPr>
          <w:rFonts w:ascii="Cambria" w:hAnsi="Cambria"/>
          <w:sz w:val="20"/>
          <w:szCs w:val="20"/>
          <w:lang w:val="es-ES"/>
        </w:rPr>
        <w:t xml:space="preserve"> </w:t>
      </w:r>
      <w:r w:rsidR="00F4294E" w:rsidRPr="007F4B79">
        <w:rPr>
          <w:rFonts w:ascii="Cambria" w:hAnsi="Cambria"/>
          <w:sz w:val="20"/>
          <w:szCs w:val="20"/>
          <w:lang w:val="es-ES"/>
        </w:rPr>
        <w:t xml:space="preserve">respecto a </w:t>
      </w:r>
      <w:r w:rsidR="00E2606D" w:rsidRPr="007F4B79">
        <w:rPr>
          <w:rFonts w:ascii="Cambria" w:hAnsi="Cambria"/>
          <w:sz w:val="20"/>
          <w:szCs w:val="20"/>
          <w:lang w:val="es-ES"/>
        </w:rPr>
        <w:t>dos  suboficiales de la Policía Nacional en el grado de Intendente</w:t>
      </w:r>
      <w:r w:rsidR="00F86D0D" w:rsidRPr="007F4B79">
        <w:rPr>
          <w:rFonts w:ascii="Cambria" w:hAnsi="Cambria"/>
          <w:sz w:val="20"/>
          <w:szCs w:val="20"/>
          <w:lang w:val="es-ES"/>
        </w:rPr>
        <w:t xml:space="preserve">. </w:t>
      </w:r>
      <w:r w:rsidR="00B07E50" w:rsidRPr="007F4B79">
        <w:rPr>
          <w:rFonts w:ascii="Cambria" w:hAnsi="Cambria"/>
          <w:sz w:val="20"/>
          <w:szCs w:val="20"/>
          <w:lang w:val="es-ES"/>
        </w:rPr>
        <w:t xml:space="preserve">Adicionalmente, indicó que el 13 de mayo de 2010, la </w:t>
      </w:r>
      <w:r w:rsidR="00A9474D" w:rsidRPr="007F4B79">
        <w:rPr>
          <w:rFonts w:ascii="Cambria" w:hAnsi="Cambria"/>
          <w:sz w:val="20"/>
          <w:szCs w:val="20"/>
          <w:lang w:val="es-ES"/>
        </w:rPr>
        <w:t>Fiscalía</w:t>
      </w:r>
      <w:r w:rsidR="00B07E50" w:rsidRPr="007F4B79">
        <w:rPr>
          <w:rFonts w:ascii="Cambria" w:hAnsi="Cambria"/>
          <w:sz w:val="20"/>
          <w:szCs w:val="20"/>
          <w:lang w:val="es-ES"/>
        </w:rPr>
        <w:t xml:space="preserve"> Primera Delegada ant</w:t>
      </w:r>
      <w:r w:rsidR="00C860F0" w:rsidRPr="007F4B79">
        <w:rPr>
          <w:rFonts w:ascii="Cambria" w:hAnsi="Cambria"/>
          <w:sz w:val="20"/>
          <w:szCs w:val="20"/>
          <w:lang w:val="es-ES"/>
        </w:rPr>
        <w:t xml:space="preserve">e el Tribunal Superior de Cali </w:t>
      </w:r>
      <w:r w:rsidR="00B07E50" w:rsidRPr="007F4B79">
        <w:rPr>
          <w:rFonts w:ascii="Cambria" w:hAnsi="Cambria"/>
          <w:sz w:val="20"/>
          <w:szCs w:val="20"/>
          <w:lang w:val="es-ES"/>
        </w:rPr>
        <w:t xml:space="preserve">precluyó la investigación por el delito de homicidio en la modalidad culposa en contra de la presunta víctima, así como por el delito de prevaricato por omisión en contra </w:t>
      </w:r>
      <w:r w:rsidR="00E2606D" w:rsidRPr="007F4B79">
        <w:rPr>
          <w:rFonts w:ascii="Cambria" w:hAnsi="Cambria"/>
          <w:sz w:val="20"/>
          <w:szCs w:val="20"/>
          <w:lang w:val="es-ES"/>
        </w:rPr>
        <w:t>del mayor al servicio de la Policía Nacional</w:t>
      </w:r>
      <w:r w:rsidR="0091013B" w:rsidRPr="007F4B79">
        <w:rPr>
          <w:rFonts w:ascii="Cambria" w:hAnsi="Cambria"/>
          <w:sz w:val="20"/>
          <w:szCs w:val="20"/>
          <w:lang w:val="es-ES"/>
        </w:rPr>
        <w:t>.</w:t>
      </w:r>
    </w:p>
    <w:p w:rsidR="00793521" w:rsidRPr="007F4B79" w:rsidRDefault="00793521" w:rsidP="00793521">
      <w:pPr>
        <w:pStyle w:val="ListParagraph"/>
        <w:rPr>
          <w:sz w:val="20"/>
          <w:szCs w:val="20"/>
          <w:lang w:val="es-ES"/>
        </w:rPr>
      </w:pPr>
    </w:p>
    <w:p w:rsidR="008A6E78" w:rsidRPr="007F4B79" w:rsidRDefault="00793521"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Por último, indicó que el 23 de noviembre de 2011, se realizó Audiencia Preparatoria Juzgado 1 Penal Municipal, en la cual el Juez ordenó la remisión de la actuación a la Justicia Penal Militar, Policía Metropolitana de Cali, Juzgado Penal Militar (reparto). </w:t>
      </w:r>
      <w:r w:rsidR="00A82F0D" w:rsidRPr="007F4B79">
        <w:rPr>
          <w:rFonts w:ascii="Cambria" w:hAnsi="Cambria"/>
          <w:sz w:val="20"/>
          <w:szCs w:val="20"/>
          <w:lang w:val="es-ES"/>
        </w:rPr>
        <w:t>A</w:t>
      </w:r>
      <w:r w:rsidR="008E3905" w:rsidRPr="007F4B79">
        <w:rPr>
          <w:rFonts w:ascii="Cambria" w:hAnsi="Cambria"/>
          <w:sz w:val="20"/>
          <w:szCs w:val="20"/>
          <w:lang w:val="es-ES"/>
        </w:rPr>
        <w:t>firmó que “l</w:t>
      </w:r>
      <w:r w:rsidR="00142FB0" w:rsidRPr="007F4B79">
        <w:rPr>
          <w:rFonts w:ascii="Cambria" w:hAnsi="Cambria"/>
          <w:sz w:val="20"/>
          <w:szCs w:val="20"/>
          <w:lang w:val="es-ES"/>
        </w:rPr>
        <w:t>a jurisdicción Penal Militar</w:t>
      </w:r>
      <w:r w:rsidR="00A82F0D" w:rsidRPr="007F4B79">
        <w:rPr>
          <w:rFonts w:ascii="Cambria" w:hAnsi="Cambria"/>
          <w:sz w:val="20"/>
          <w:szCs w:val="20"/>
          <w:lang w:val="es-ES"/>
        </w:rPr>
        <w:t xml:space="preserve"> […] tiene rango constitucional y es un órgano de administración de justicia adecuado y eficaz para investigar hechos relacionados con el servicio”. </w:t>
      </w:r>
    </w:p>
    <w:p w:rsidR="007C627D" w:rsidRPr="007F4B79" w:rsidRDefault="007C627D" w:rsidP="007C627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C627D" w:rsidRPr="007F4B79" w:rsidRDefault="007C627D" w:rsidP="007C627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Por consiguiente, el Estado colombiano afirmó que “las investigaciones de tipo penal se han adelantado y seguirán adelantándose, en cumplimiento de estándares internacionales y demás garantías procesales y en la medida de la información y pruebas que puedan ser recaudadas”. </w:t>
      </w:r>
    </w:p>
    <w:p w:rsidR="00896772" w:rsidRPr="007F4B79" w:rsidRDefault="00896772" w:rsidP="00BB7450">
      <w:pPr>
        <w:pStyle w:val="ListParagraph"/>
        <w:ind w:left="0"/>
        <w:rPr>
          <w:sz w:val="20"/>
          <w:szCs w:val="20"/>
          <w:lang w:val="es-ES"/>
        </w:rPr>
      </w:pPr>
    </w:p>
    <w:p w:rsidR="00BB7450" w:rsidRPr="007F4B79" w:rsidRDefault="00BB7450"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En relación </w:t>
      </w:r>
      <w:r w:rsidR="006E6C3E" w:rsidRPr="007F4B79">
        <w:rPr>
          <w:rFonts w:ascii="Cambria" w:hAnsi="Cambria"/>
          <w:sz w:val="20"/>
          <w:szCs w:val="20"/>
          <w:lang w:val="es-ES"/>
        </w:rPr>
        <w:t>al proceso</w:t>
      </w:r>
      <w:r w:rsidRPr="007F4B79">
        <w:rPr>
          <w:rFonts w:ascii="Cambria" w:hAnsi="Cambria"/>
          <w:sz w:val="20"/>
          <w:szCs w:val="20"/>
          <w:lang w:val="es-ES"/>
        </w:rPr>
        <w:t xml:space="preserve"> adelantado ante la jurisdicción disciplinaria, el Estado indicó</w:t>
      </w:r>
      <w:r w:rsidR="00711349" w:rsidRPr="007F4B79">
        <w:rPr>
          <w:rFonts w:ascii="Cambria" w:hAnsi="Cambria"/>
          <w:sz w:val="20"/>
          <w:szCs w:val="20"/>
          <w:lang w:val="es-ES"/>
        </w:rPr>
        <w:t>, entre otras cosas,</w:t>
      </w:r>
      <w:r w:rsidR="008E550A" w:rsidRPr="007F4B79">
        <w:rPr>
          <w:rFonts w:ascii="Cambria" w:hAnsi="Cambria"/>
          <w:sz w:val="20"/>
          <w:szCs w:val="20"/>
          <w:lang w:val="es-ES"/>
        </w:rPr>
        <w:t xml:space="preserve"> que </w:t>
      </w:r>
      <w:r w:rsidR="00711349" w:rsidRPr="007F4B79">
        <w:rPr>
          <w:rFonts w:ascii="Cambria" w:hAnsi="Cambria"/>
          <w:sz w:val="20"/>
          <w:szCs w:val="20"/>
          <w:lang w:val="es-ES"/>
        </w:rPr>
        <w:t>el 14 de julio de 2010, el Procurador Regional del Valle, formuló cargos</w:t>
      </w:r>
      <w:r w:rsidR="00AE33A0" w:rsidRPr="007F4B79">
        <w:rPr>
          <w:rFonts w:ascii="Cambria" w:hAnsi="Cambria"/>
          <w:sz w:val="20"/>
          <w:szCs w:val="20"/>
          <w:lang w:val="es-ES"/>
        </w:rPr>
        <w:t xml:space="preserve"> contra los imputados.</w:t>
      </w:r>
      <w:r w:rsidR="00711349" w:rsidRPr="007F4B79">
        <w:rPr>
          <w:rFonts w:ascii="Cambria" w:hAnsi="Cambria"/>
          <w:sz w:val="20"/>
          <w:szCs w:val="20"/>
          <w:lang w:val="es-ES"/>
        </w:rPr>
        <w:t xml:space="preserve"> </w:t>
      </w:r>
      <w:r w:rsidR="008E550A" w:rsidRPr="007F4B79">
        <w:rPr>
          <w:rFonts w:ascii="Cambria" w:hAnsi="Cambria"/>
          <w:sz w:val="20"/>
          <w:szCs w:val="20"/>
          <w:lang w:val="es-ES"/>
        </w:rPr>
        <w:t>Igualmente</w:t>
      </w:r>
      <w:r w:rsidR="00711349" w:rsidRPr="007F4B79">
        <w:rPr>
          <w:rFonts w:ascii="Cambria" w:hAnsi="Cambria"/>
          <w:sz w:val="20"/>
          <w:szCs w:val="20"/>
          <w:lang w:val="es-ES"/>
        </w:rPr>
        <w:t xml:space="preserve">, señaló que </w:t>
      </w:r>
      <w:r w:rsidR="00035E3C" w:rsidRPr="007F4B79">
        <w:rPr>
          <w:rFonts w:ascii="Cambria" w:hAnsi="Cambria"/>
          <w:sz w:val="20"/>
          <w:szCs w:val="20"/>
          <w:lang w:val="es-ES"/>
        </w:rPr>
        <w:t xml:space="preserve">el 20 de agosto de 2010, la Procuraduría Delegada Disciplinaria para la </w:t>
      </w:r>
      <w:r w:rsidR="00C860F0" w:rsidRPr="007F4B79">
        <w:rPr>
          <w:rFonts w:ascii="Cambria" w:hAnsi="Cambria"/>
          <w:sz w:val="20"/>
          <w:szCs w:val="20"/>
          <w:lang w:val="es-ES"/>
        </w:rPr>
        <w:t>Defensa de los Derechos Humanos</w:t>
      </w:r>
      <w:r w:rsidR="00035E3C" w:rsidRPr="007F4B79">
        <w:rPr>
          <w:rFonts w:ascii="Cambria" w:hAnsi="Cambria"/>
          <w:sz w:val="20"/>
          <w:szCs w:val="20"/>
          <w:lang w:val="es-ES"/>
        </w:rPr>
        <w:t xml:space="preserve"> dispuso remitir las diligencias por competencia a la Procuraduría Delegada para la Policía</w:t>
      </w:r>
      <w:r w:rsidR="008E550A" w:rsidRPr="007F4B79">
        <w:rPr>
          <w:rFonts w:ascii="Cambria" w:hAnsi="Cambria"/>
          <w:sz w:val="20"/>
          <w:szCs w:val="20"/>
          <w:lang w:val="es-ES"/>
        </w:rPr>
        <w:t xml:space="preserve"> Nacional; y que el 30 de agosto de 2010 fue radicado competencia a la Procuraduría Delegada para la Policía Nacional, quien emitió auto de cargos contra </w:t>
      </w:r>
      <w:r w:rsidR="00D511F9" w:rsidRPr="007F4B79">
        <w:rPr>
          <w:rFonts w:ascii="Cambria" w:hAnsi="Cambria"/>
          <w:sz w:val="20"/>
          <w:szCs w:val="20"/>
          <w:lang w:val="es-ES"/>
        </w:rPr>
        <w:t xml:space="preserve">el </w:t>
      </w:r>
      <w:r w:rsidR="00E2606D" w:rsidRPr="007F4B79">
        <w:rPr>
          <w:rFonts w:ascii="Cambria" w:hAnsi="Cambria"/>
          <w:sz w:val="20"/>
          <w:szCs w:val="20"/>
          <w:lang w:val="es-ES"/>
        </w:rPr>
        <w:t>mayor al servicio de la Policía Nacional</w:t>
      </w:r>
      <w:r w:rsidR="0091013B" w:rsidRPr="007F4B79">
        <w:rPr>
          <w:rFonts w:ascii="Cambria" w:hAnsi="Cambria"/>
          <w:sz w:val="20"/>
          <w:szCs w:val="20"/>
          <w:lang w:val="es-ES"/>
        </w:rPr>
        <w:t>.</w:t>
      </w:r>
    </w:p>
    <w:p w:rsidR="00BB7450" w:rsidRPr="007F4B79" w:rsidRDefault="00BB7450" w:rsidP="007C627D">
      <w:pPr>
        <w:pStyle w:val="ListParagraph"/>
        <w:ind w:left="0"/>
        <w:rPr>
          <w:sz w:val="20"/>
          <w:szCs w:val="20"/>
          <w:lang w:val="es-ES"/>
        </w:rPr>
      </w:pPr>
    </w:p>
    <w:p w:rsidR="006E6C3E" w:rsidRPr="007F4B79" w:rsidRDefault="00F4294E"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Sobre el p</w:t>
      </w:r>
      <w:r w:rsidR="006E6C3E" w:rsidRPr="007F4B79">
        <w:rPr>
          <w:rFonts w:ascii="Cambria" w:hAnsi="Cambria"/>
          <w:sz w:val="20"/>
          <w:szCs w:val="20"/>
          <w:lang w:val="es-ES"/>
        </w:rPr>
        <w:t xml:space="preserve">roceso adelantado ante la jurisdicción contencioso administrativa, el Estado informó que la acción de reparación directa </w:t>
      </w:r>
      <w:r w:rsidR="00926E35" w:rsidRPr="007F4B79">
        <w:rPr>
          <w:rFonts w:ascii="Cambria" w:hAnsi="Cambria"/>
          <w:sz w:val="20"/>
          <w:szCs w:val="20"/>
          <w:lang w:val="es-ES"/>
        </w:rPr>
        <w:t xml:space="preserve">fue instaurada el 2 de noviembre de 2007, y </w:t>
      </w:r>
      <w:r w:rsidR="006E6C3E" w:rsidRPr="007F4B79">
        <w:rPr>
          <w:rFonts w:ascii="Cambria" w:hAnsi="Cambria"/>
          <w:sz w:val="20"/>
          <w:szCs w:val="20"/>
          <w:lang w:val="es-ES"/>
        </w:rPr>
        <w:t xml:space="preserve">se encontraría en curso ante el Tribunal Contencioso del Valle bajo el radicado No. 76001233100020070129800 contra la </w:t>
      </w:r>
      <w:r w:rsidR="00926E35" w:rsidRPr="007F4B79">
        <w:rPr>
          <w:rFonts w:ascii="Cambria" w:hAnsi="Cambria"/>
          <w:sz w:val="20"/>
          <w:szCs w:val="20"/>
          <w:lang w:val="es-ES"/>
        </w:rPr>
        <w:t>Policía</w:t>
      </w:r>
      <w:r w:rsidR="006E6C3E" w:rsidRPr="007F4B79">
        <w:rPr>
          <w:rFonts w:ascii="Cambria" w:hAnsi="Cambria"/>
          <w:sz w:val="20"/>
          <w:szCs w:val="20"/>
          <w:lang w:val="es-ES"/>
        </w:rPr>
        <w:t xml:space="preserve"> Nacional. Asimismo, indicó que el expediente se encontraría en periodo probatorio. </w:t>
      </w:r>
    </w:p>
    <w:p w:rsidR="003177FC" w:rsidRPr="007F4B79" w:rsidRDefault="003177FC" w:rsidP="003177FC">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072BEC" w:rsidRPr="007F4B79" w:rsidRDefault="00072BEC"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lang w:val="es-CO" w:eastAsia="pt-BR"/>
        </w:rPr>
      </w:pPr>
      <w:r w:rsidRPr="007F4B79">
        <w:rPr>
          <w:rFonts w:ascii="Cambria" w:hAnsi="Cambria" w:cs="Arial"/>
          <w:sz w:val="20"/>
          <w:szCs w:val="20"/>
          <w:bdr w:val="none" w:sz="0" w:space="0" w:color="auto"/>
          <w:lang w:val="es-CO" w:eastAsia="pt-BR"/>
        </w:rPr>
        <w:t xml:space="preserve">Por </w:t>
      </w:r>
      <w:r w:rsidR="000C7468" w:rsidRPr="007F4B79">
        <w:rPr>
          <w:rFonts w:ascii="Cambria" w:hAnsi="Cambria" w:cs="Arial"/>
          <w:sz w:val="20"/>
          <w:szCs w:val="20"/>
          <w:bdr w:val="none" w:sz="0" w:space="0" w:color="auto"/>
          <w:lang w:val="es-CO" w:eastAsia="pt-BR"/>
        </w:rPr>
        <w:t>último</w:t>
      </w:r>
      <w:r w:rsidR="008E3905" w:rsidRPr="007F4B79">
        <w:rPr>
          <w:rFonts w:ascii="Cambria" w:hAnsi="Cambria" w:cs="Arial"/>
          <w:sz w:val="20"/>
          <w:szCs w:val="20"/>
          <w:bdr w:val="none" w:sz="0" w:space="0" w:color="auto"/>
          <w:lang w:val="es-CO" w:eastAsia="pt-BR"/>
        </w:rPr>
        <w:t>, Colombia afirmo que “</w:t>
      </w:r>
      <w:r w:rsidRPr="007F4B79">
        <w:rPr>
          <w:rFonts w:ascii="Cambria" w:hAnsi="Cambria" w:cs="Arial"/>
          <w:sz w:val="20"/>
          <w:szCs w:val="20"/>
          <w:bdr w:val="none" w:sz="0" w:space="0" w:color="auto"/>
          <w:lang w:val="es-CO" w:eastAsia="pt-BR"/>
        </w:rPr>
        <w:t xml:space="preserve">el </w:t>
      </w:r>
      <w:r w:rsidRPr="007F4B79">
        <w:rPr>
          <w:rFonts w:ascii="Cambria" w:hAnsi="Cambria"/>
          <w:sz w:val="20"/>
          <w:szCs w:val="20"/>
          <w:lang w:val="es-CO"/>
        </w:rPr>
        <w:t>simple</w:t>
      </w:r>
      <w:r w:rsidRPr="007F4B79">
        <w:rPr>
          <w:rFonts w:ascii="Cambria" w:hAnsi="Cambria" w:cs="Arial"/>
          <w:sz w:val="20"/>
          <w:szCs w:val="20"/>
          <w:bdr w:val="none" w:sz="0" w:space="0" w:color="auto"/>
          <w:lang w:val="es-CO" w:eastAsia="pt-BR"/>
        </w:rPr>
        <w:t xml:space="preserve"> transcurso del tiempo sin que se haya llegado a una </w:t>
      </w:r>
      <w:r w:rsidR="000C7468" w:rsidRPr="007F4B79">
        <w:rPr>
          <w:rFonts w:ascii="Cambria" w:hAnsi="Cambria" w:cs="Arial"/>
          <w:sz w:val="20"/>
          <w:szCs w:val="20"/>
          <w:bdr w:val="none" w:sz="0" w:space="0" w:color="auto"/>
          <w:lang w:val="es-CO" w:eastAsia="pt-BR"/>
        </w:rPr>
        <w:t>decisión</w:t>
      </w:r>
      <w:r w:rsidRPr="007F4B79">
        <w:rPr>
          <w:rFonts w:ascii="Cambria" w:hAnsi="Cambria" w:cs="Arial"/>
          <w:sz w:val="20"/>
          <w:szCs w:val="20"/>
          <w:bdr w:val="none" w:sz="0" w:space="0" w:color="auto"/>
          <w:lang w:val="es-CO" w:eastAsia="pt-BR"/>
        </w:rPr>
        <w:t xml:space="preserve"> definitiva por las diferentes instancias, no puede ser considerado, bajo ninguna circunstancia, como </w:t>
      </w:r>
      <w:r w:rsidR="000C7468" w:rsidRPr="007F4B79">
        <w:rPr>
          <w:rFonts w:ascii="Cambria" w:hAnsi="Cambria" w:cs="Arial"/>
          <w:sz w:val="20"/>
          <w:szCs w:val="20"/>
          <w:bdr w:val="none" w:sz="0" w:space="0" w:color="auto"/>
          <w:lang w:val="es-CO" w:eastAsia="pt-BR"/>
        </w:rPr>
        <w:t>una violación a los derechos consagrados en l</w:t>
      </w:r>
      <w:r w:rsidRPr="007F4B79">
        <w:rPr>
          <w:rFonts w:ascii="Cambria" w:hAnsi="Cambria" w:cs="Arial"/>
          <w:sz w:val="20"/>
          <w:szCs w:val="20"/>
          <w:bdr w:val="none" w:sz="0" w:space="0" w:color="auto"/>
          <w:lang w:val="es-CO" w:eastAsia="pt-BR"/>
        </w:rPr>
        <w:t xml:space="preserve">a </w:t>
      </w:r>
      <w:r w:rsidR="000C7468" w:rsidRPr="007F4B79">
        <w:rPr>
          <w:rFonts w:ascii="Cambria" w:hAnsi="Cambria" w:cs="Arial"/>
          <w:sz w:val="20"/>
          <w:szCs w:val="20"/>
          <w:bdr w:val="none" w:sz="0" w:space="0" w:color="auto"/>
          <w:lang w:val="es-CO" w:eastAsia="pt-BR"/>
        </w:rPr>
        <w:t>Convención</w:t>
      </w:r>
      <w:r w:rsidRPr="007F4B79">
        <w:rPr>
          <w:rFonts w:ascii="Cambria" w:hAnsi="Cambria" w:cs="Arial"/>
          <w:sz w:val="20"/>
          <w:szCs w:val="20"/>
          <w:bdr w:val="none" w:sz="0" w:space="0" w:color="auto"/>
          <w:lang w:val="es-CO" w:eastAsia="pt-BR"/>
        </w:rPr>
        <w:t xml:space="preserve"> Americana, </w:t>
      </w:r>
      <w:r w:rsidR="000C7468" w:rsidRPr="007F4B79">
        <w:rPr>
          <w:rFonts w:ascii="Cambria" w:hAnsi="Cambria" w:cs="Arial"/>
          <w:sz w:val="20"/>
          <w:szCs w:val="20"/>
          <w:bdr w:val="none" w:sz="0" w:space="0" w:color="auto"/>
          <w:lang w:val="es-CO" w:eastAsia="pt-BR"/>
        </w:rPr>
        <w:t>máxime</w:t>
      </w:r>
      <w:r w:rsidRPr="007F4B79">
        <w:rPr>
          <w:rFonts w:ascii="Cambria" w:hAnsi="Cambria" w:cs="Arial"/>
          <w:sz w:val="20"/>
          <w:szCs w:val="20"/>
          <w:bdr w:val="none" w:sz="0" w:space="0" w:color="auto"/>
          <w:lang w:val="es-CO" w:eastAsia="pt-BR"/>
        </w:rPr>
        <w:t xml:space="preserve"> cuando los hechos </w:t>
      </w:r>
      <w:r w:rsidR="000C7468" w:rsidRPr="007F4B79">
        <w:rPr>
          <w:rFonts w:ascii="Cambria" w:hAnsi="Cambria" w:cs="Arial"/>
          <w:sz w:val="20"/>
          <w:szCs w:val="20"/>
          <w:bdr w:val="none" w:sz="0" w:space="0" w:color="auto"/>
          <w:lang w:val="es-CO" w:eastAsia="pt-BR"/>
        </w:rPr>
        <w:t>están</w:t>
      </w:r>
      <w:r w:rsidRPr="007F4B79">
        <w:rPr>
          <w:rFonts w:ascii="Cambria" w:hAnsi="Cambria" w:cs="Arial"/>
          <w:sz w:val="20"/>
          <w:szCs w:val="20"/>
          <w:bdr w:val="none" w:sz="0" w:space="0" w:color="auto"/>
          <w:lang w:val="es-CO" w:eastAsia="pt-BR"/>
        </w:rPr>
        <w:t xml:space="preserve"> siendo investigados con diligencia</w:t>
      </w:r>
      <w:r w:rsidR="008E3905" w:rsidRPr="007F4B79">
        <w:rPr>
          <w:rFonts w:ascii="Cambria" w:hAnsi="Cambria" w:cs="Arial"/>
          <w:sz w:val="20"/>
          <w:szCs w:val="20"/>
          <w:bdr w:val="none" w:sz="0" w:space="0" w:color="auto"/>
          <w:lang w:val="es-CO" w:eastAsia="pt-BR"/>
        </w:rPr>
        <w:t>”</w:t>
      </w:r>
      <w:r w:rsidRPr="007F4B79">
        <w:rPr>
          <w:rFonts w:ascii="Cambria" w:hAnsi="Cambria" w:cs="Arial"/>
          <w:sz w:val="20"/>
          <w:szCs w:val="20"/>
          <w:bdr w:val="none" w:sz="0" w:space="0" w:color="auto"/>
          <w:lang w:val="es-CO" w:eastAsia="pt-BR"/>
        </w:rPr>
        <w:t xml:space="preserve">. </w:t>
      </w:r>
      <w:r w:rsidR="008E57AC" w:rsidRPr="007F4B79">
        <w:rPr>
          <w:rFonts w:ascii="Cambria" w:hAnsi="Cambria" w:cs="Arial"/>
          <w:sz w:val="20"/>
          <w:szCs w:val="20"/>
          <w:bdr w:val="none" w:sz="0" w:space="0" w:color="auto"/>
          <w:lang w:val="es-CO" w:eastAsia="pt-BR"/>
        </w:rPr>
        <w:t>De este modo, el Estado solicitó</w:t>
      </w:r>
      <w:r w:rsidRPr="007F4B79">
        <w:rPr>
          <w:rFonts w:ascii="Cambria" w:hAnsi="Cambria" w:cs="Arial"/>
          <w:sz w:val="20"/>
          <w:szCs w:val="20"/>
          <w:bdr w:val="none" w:sz="0" w:space="0" w:color="auto"/>
          <w:lang w:val="es-CO" w:eastAsia="pt-BR"/>
        </w:rPr>
        <w:t xml:space="preserve"> a la CIDH que se </w:t>
      </w:r>
      <w:r w:rsidR="008E3905" w:rsidRPr="007F4B79">
        <w:rPr>
          <w:rFonts w:ascii="Cambria" w:hAnsi="Cambria" w:cs="Arial"/>
          <w:sz w:val="20"/>
          <w:szCs w:val="20"/>
          <w:bdr w:val="none" w:sz="0" w:space="0" w:color="auto"/>
          <w:lang w:val="es-CO" w:eastAsia="pt-BR"/>
        </w:rPr>
        <w:t>“t</w:t>
      </w:r>
      <w:r w:rsidR="000C7468" w:rsidRPr="007F4B79">
        <w:rPr>
          <w:rFonts w:ascii="Cambria" w:hAnsi="Cambria" w:cs="Arial"/>
          <w:sz w:val="20"/>
          <w:szCs w:val="20"/>
          <w:bdr w:val="none" w:sz="0" w:space="0" w:color="auto"/>
          <w:lang w:val="es-CO" w:eastAsia="pt-BR"/>
        </w:rPr>
        <w:t>enga en cuenta la activación de las diferentes instancias judiciales las cuales no han llegado a su decisión final</w:t>
      </w:r>
      <w:r w:rsidR="008E3905" w:rsidRPr="007F4B79">
        <w:rPr>
          <w:rFonts w:ascii="Cambria" w:hAnsi="Cambria" w:cs="Arial"/>
          <w:sz w:val="20"/>
          <w:szCs w:val="20"/>
          <w:bdr w:val="none" w:sz="0" w:space="0" w:color="auto"/>
          <w:lang w:val="es-CO" w:eastAsia="pt-BR"/>
        </w:rPr>
        <w:t>”</w:t>
      </w:r>
      <w:r w:rsidR="000C7468" w:rsidRPr="007F4B79">
        <w:rPr>
          <w:rFonts w:ascii="Cambria" w:hAnsi="Cambria" w:cs="Arial"/>
          <w:sz w:val="20"/>
          <w:szCs w:val="20"/>
          <w:bdr w:val="none" w:sz="0" w:space="0" w:color="auto"/>
          <w:lang w:val="es-CO" w:eastAsia="pt-BR"/>
        </w:rPr>
        <w:t>, toda vez que se encontraría en curso</w:t>
      </w:r>
      <w:r w:rsidR="00A82F0D" w:rsidRPr="007F4B79">
        <w:rPr>
          <w:rFonts w:ascii="Cambria" w:hAnsi="Cambria" w:cs="Arial"/>
          <w:sz w:val="20"/>
          <w:szCs w:val="20"/>
          <w:bdr w:val="none" w:sz="0" w:space="0" w:color="auto"/>
          <w:lang w:val="es-CO" w:eastAsia="pt-BR"/>
        </w:rPr>
        <w:t xml:space="preserve"> investigaciones en materia penal, disciplinaria y un proceso de reparación directa ante la jurisdicción contencioso administrativa. </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7E13F2" w:rsidP="007E13F2">
      <w:pPr>
        <w:pStyle w:val="Heading3"/>
        <w:widowControl w:val="0"/>
        <w:spacing w:before="0" w:after="0"/>
        <w:ind w:left="720"/>
        <w:rPr>
          <w:rFonts w:ascii="Cambria" w:hAnsi="Cambria"/>
          <w:sz w:val="20"/>
          <w:szCs w:val="20"/>
          <w:lang w:val="es-ES"/>
        </w:rPr>
      </w:pPr>
      <w:r w:rsidRPr="007F4B79">
        <w:rPr>
          <w:rFonts w:ascii="Cambria" w:hAnsi="Cambria"/>
          <w:sz w:val="20"/>
          <w:szCs w:val="20"/>
          <w:lang w:val="es-ES"/>
        </w:rPr>
        <w:t>IV.</w:t>
      </w:r>
      <w:r w:rsidRPr="007F4B79">
        <w:rPr>
          <w:rFonts w:ascii="Cambria" w:hAnsi="Cambria"/>
          <w:sz w:val="20"/>
          <w:szCs w:val="20"/>
          <w:lang w:val="es-ES"/>
        </w:rPr>
        <w:tab/>
        <w:t>ANÁLISIS DE COMPETENCIA Y ADMISIBILIDAD</w:t>
      </w:r>
    </w:p>
    <w:p w:rsidR="007E13F2" w:rsidRDefault="007E13F2" w:rsidP="007E13F2">
      <w:pPr>
        <w:pStyle w:val="Heading3"/>
        <w:widowControl w:val="0"/>
        <w:spacing w:before="0" w:after="0"/>
        <w:ind w:left="720"/>
        <w:rPr>
          <w:rFonts w:ascii="Cambria" w:hAnsi="Cambria"/>
          <w:sz w:val="20"/>
          <w:szCs w:val="20"/>
          <w:lang w:val="es-ES"/>
        </w:rPr>
      </w:pPr>
      <w:r w:rsidRPr="007F4B79">
        <w:rPr>
          <w:rFonts w:ascii="Cambria" w:hAnsi="Cambria"/>
          <w:sz w:val="20"/>
          <w:szCs w:val="20"/>
          <w:lang w:val="es-ES"/>
        </w:rPr>
        <w:fldChar w:fldCharType="begin"/>
      </w:r>
      <w:r w:rsidRPr="007F4B79">
        <w:rPr>
          <w:rFonts w:ascii="Cambria" w:hAnsi="Cambria"/>
          <w:sz w:val="20"/>
          <w:szCs w:val="20"/>
          <w:lang w:val="es-ES"/>
        </w:rPr>
        <w:instrText xml:space="preserve"> XE "ANÁLISIS DE COMPETENCIA Y ADMISIBILIDAD" </w:instrText>
      </w:r>
      <w:r w:rsidRPr="007F4B79">
        <w:rPr>
          <w:rFonts w:ascii="Cambria" w:hAnsi="Cambria"/>
          <w:sz w:val="20"/>
          <w:szCs w:val="20"/>
          <w:lang w:val="es-ES"/>
        </w:rPr>
        <w:fldChar w:fldCharType="end"/>
      </w:r>
    </w:p>
    <w:p w:rsidR="007E13F2" w:rsidRPr="007F4B79" w:rsidRDefault="007E13F2" w:rsidP="003B5F04">
      <w:pPr>
        <w:pStyle w:val="Heading3"/>
        <w:widowControl w:val="0"/>
        <w:spacing w:before="0" w:after="0"/>
        <w:ind w:left="1440" w:hanging="720"/>
        <w:rPr>
          <w:rFonts w:ascii="Cambria" w:hAnsi="Cambria"/>
          <w:sz w:val="20"/>
          <w:szCs w:val="20"/>
          <w:lang w:val="es-ES"/>
        </w:rPr>
      </w:pPr>
      <w:bookmarkStart w:id="18" w:name="_Toc400530890"/>
      <w:bookmarkStart w:id="19" w:name="_Toc400530994"/>
      <w:bookmarkStart w:id="20" w:name="_Toc400531331"/>
      <w:r w:rsidRPr="007F4B79">
        <w:rPr>
          <w:rFonts w:ascii="Cambria" w:hAnsi="Cambria"/>
          <w:sz w:val="20"/>
          <w:szCs w:val="20"/>
          <w:lang w:val="es-ES"/>
        </w:rPr>
        <w:t>A.</w:t>
      </w:r>
      <w:r w:rsidRPr="007F4B79">
        <w:rPr>
          <w:rFonts w:ascii="Cambria" w:hAnsi="Cambria"/>
          <w:sz w:val="20"/>
          <w:szCs w:val="20"/>
          <w:lang w:val="es-ES"/>
        </w:rPr>
        <w:tab/>
        <w:t xml:space="preserve">Competencia </w:t>
      </w:r>
      <w:r w:rsidRPr="007F4B79">
        <w:rPr>
          <w:rFonts w:ascii="Cambria" w:hAnsi="Cambria"/>
          <w:i/>
          <w:sz w:val="20"/>
          <w:szCs w:val="20"/>
          <w:lang w:val="es-ES"/>
        </w:rPr>
        <w:t>ratione materiae, ratione personae, ratione temporis</w:t>
      </w:r>
      <w:r w:rsidRPr="007F4B79">
        <w:rPr>
          <w:rFonts w:ascii="Cambria" w:hAnsi="Cambria"/>
          <w:sz w:val="20"/>
          <w:szCs w:val="20"/>
          <w:lang w:val="es-ES"/>
        </w:rPr>
        <w:t xml:space="preserve"> y </w:t>
      </w:r>
      <w:r w:rsidRPr="007F4B79">
        <w:rPr>
          <w:rFonts w:ascii="Cambria" w:hAnsi="Cambria"/>
          <w:i/>
          <w:sz w:val="20"/>
          <w:szCs w:val="20"/>
          <w:lang w:val="es-ES"/>
        </w:rPr>
        <w:t>ratione loci</w:t>
      </w:r>
      <w:r w:rsidRPr="007F4B79">
        <w:rPr>
          <w:rFonts w:ascii="Cambria" w:hAnsi="Cambria"/>
          <w:sz w:val="20"/>
          <w:szCs w:val="20"/>
          <w:lang w:val="es-ES"/>
        </w:rPr>
        <w:t xml:space="preserve"> de la Comisión</w:t>
      </w:r>
      <w:bookmarkEnd w:id="18"/>
      <w:bookmarkEnd w:id="19"/>
      <w:bookmarkEnd w:id="20"/>
      <w:r w:rsidRPr="007F4B79">
        <w:rPr>
          <w:rFonts w:ascii="Cambria" w:hAnsi="Cambria"/>
          <w:sz w:val="20"/>
          <w:szCs w:val="20"/>
          <w:lang w:val="es-ES"/>
        </w:rPr>
        <w:fldChar w:fldCharType="begin"/>
      </w:r>
      <w:r w:rsidRPr="007F4B79">
        <w:rPr>
          <w:rFonts w:ascii="Cambria" w:hAnsi="Cambria"/>
          <w:sz w:val="20"/>
          <w:szCs w:val="20"/>
        </w:rPr>
        <w:instrText xml:space="preserve"> XE "</w:instrText>
      </w:r>
      <w:r w:rsidRPr="007F4B79">
        <w:rPr>
          <w:rFonts w:ascii="Cambria" w:hAnsi="Cambria"/>
          <w:sz w:val="20"/>
          <w:szCs w:val="20"/>
          <w:lang w:val="es-ES"/>
        </w:rPr>
        <w:instrText>Competencia ratione materiae, ratione personae, ratione temporis y ratione loci de la Comisión</w:instrText>
      </w:r>
      <w:r w:rsidRPr="007F4B79">
        <w:rPr>
          <w:rFonts w:ascii="Cambria" w:hAnsi="Cambria"/>
          <w:sz w:val="20"/>
          <w:szCs w:val="20"/>
        </w:rPr>
        <w:instrText xml:space="preserve">" </w:instrText>
      </w:r>
      <w:r w:rsidRPr="007F4B79">
        <w:rPr>
          <w:rFonts w:ascii="Cambria" w:hAnsi="Cambria"/>
          <w:sz w:val="20"/>
          <w:szCs w:val="20"/>
          <w:lang w:val="es-ES"/>
        </w:rPr>
        <w:fldChar w:fldCharType="end"/>
      </w:r>
    </w:p>
    <w:p w:rsidR="007E13F2" w:rsidRPr="007F4B79" w:rsidRDefault="007E13F2" w:rsidP="008D00AA">
      <w:pPr>
        <w:keepNext/>
        <w:widowControl w:val="0"/>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De acuerdo con el artículo 44 de la Convención Americana y el artículo </w:t>
      </w:r>
      <w:r w:rsidR="00ED0201" w:rsidRPr="007F4B79">
        <w:rPr>
          <w:rFonts w:ascii="Cambria" w:hAnsi="Cambria"/>
          <w:sz w:val="20"/>
          <w:szCs w:val="20"/>
          <w:lang w:val="es-ES"/>
        </w:rPr>
        <w:t>23 del Reglamento de la CIDH, la peticionaria</w:t>
      </w:r>
      <w:r w:rsidRPr="007F4B79">
        <w:rPr>
          <w:rFonts w:ascii="Cambria" w:hAnsi="Cambria"/>
          <w:sz w:val="20"/>
          <w:szCs w:val="20"/>
          <w:lang w:val="es-ES"/>
        </w:rPr>
        <w:t xml:space="preserve"> </w:t>
      </w:r>
      <w:r w:rsidRPr="007F4B79">
        <w:rPr>
          <w:rFonts w:ascii="Cambria" w:hAnsi="Cambria" w:cs="Arial"/>
          <w:sz w:val="20"/>
          <w:szCs w:val="20"/>
          <w:bdr w:val="none" w:sz="0" w:space="0" w:color="auto"/>
          <w:lang w:val="es-CO" w:eastAsia="pt-BR"/>
        </w:rPr>
        <w:t>tiene</w:t>
      </w:r>
      <w:r w:rsidRPr="007F4B79">
        <w:rPr>
          <w:rFonts w:ascii="Cambria" w:hAnsi="Cambria"/>
          <w:sz w:val="20"/>
          <w:szCs w:val="20"/>
          <w:lang w:val="es-ES"/>
        </w:rPr>
        <w:t xml:space="preserve"> </w:t>
      </w:r>
      <w:r w:rsidRPr="007F4B79">
        <w:rPr>
          <w:rFonts w:ascii="Cambria" w:hAnsi="Cambria"/>
          <w:i/>
          <w:sz w:val="20"/>
          <w:szCs w:val="20"/>
          <w:lang w:val="es-ES"/>
        </w:rPr>
        <w:t>locus standi</w:t>
      </w:r>
      <w:r w:rsidRPr="007F4B79">
        <w:rPr>
          <w:rFonts w:ascii="Cambria" w:hAnsi="Cambria"/>
          <w:sz w:val="20"/>
          <w:szCs w:val="20"/>
          <w:lang w:val="es-ES"/>
        </w:rPr>
        <w:t xml:space="preserve"> para presentar peticiones ante la Comisión Interamericana. En cuanto al Estado, Colombia es parte de la Convención Americana. </w:t>
      </w:r>
      <w:r w:rsidR="00B80E6C" w:rsidRPr="007F4B79">
        <w:rPr>
          <w:rFonts w:ascii="Cambria" w:hAnsi="Cambria"/>
          <w:sz w:val="20"/>
          <w:szCs w:val="20"/>
          <w:lang w:val="es-ES"/>
        </w:rPr>
        <w:t>La presunta víctima es persona natural</w:t>
      </w:r>
      <w:r w:rsidRPr="007F4B79">
        <w:rPr>
          <w:rFonts w:ascii="Cambria" w:hAnsi="Cambria"/>
          <w:sz w:val="20"/>
          <w:szCs w:val="20"/>
          <w:lang w:val="es-ES"/>
        </w:rPr>
        <w:t xml:space="preserve"> respecto de quien el Estado se comprometió a garantizar los derechos consagrados en la Convención Americana. De manera que la Comisión tiene competencia </w:t>
      </w:r>
      <w:r w:rsidRPr="007F4B79">
        <w:rPr>
          <w:rFonts w:ascii="Cambria" w:hAnsi="Cambria"/>
          <w:i/>
          <w:sz w:val="20"/>
          <w:szCs w:val="20"/>
          <w:lang w:val="es-ES"/>
        </w:rPr>
        <w:t>ratione personae</w:t>
      </w:r>
      <w:r w:rsidRPr="007F4B79">
        <w:rPr>
          <w:rFonts w:ascii="Cambria" w:hAnsi="Cambria"/>
          <w:sz w:val="20"/>
          <w:szCs w:val="20"/>
          <w:lang w:val="es-ES"/>
        </w:rPr>
        <w:t xml:space="preserve"> para examinar la petición.</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lang w:val="es-ES"/>
        </w:rPr>
      </w:pPr>
      <w:r w:rsidRPr="007F4B79">
        <w:rPr>
          <w:rFonts w:ascii="Cambria" w:hAnsi="Cambria"/>
          <w:sz w:val="20"/>
          <w:szCs w:val="20"/>
          <w:lang w:val="es-ES"/>
        </w:rPr>
        <w:t xml:space="preserve">La CIDH </w:t>
      </w:r>
      <w:r w:rsidRPr="007F4B79">
        <w:rPr>
          <w:rFonts w:ascii="Cambria" w:hAnsi="Cambria" w:cs="Arial"/>
          <w:sz w:val="20"/>
          <w:szCs w:val="20"/>
          <w:bdr w:val="none" w:sz="0" w:space="0" w:color="auto"/>
          <w:lang w:val="es-CO" w:eastAsia="pt-BR"/>
        </w:rPr>
        <w:t>tiene</w:t>
      </w:r>
      <w:r w:rsidRPr="007F4B79">
        <w:rPr>
          <w:rFonts w:ascii="Cambria" w:hAnsi="Cambria"/>
          <w:sz w:val="20"/>
          <w:szCs w:val="20"/>
          <w:lang w:val="es-ES"/>
        </w:rPr>
        <w:t xml:space="preserve"> competencia </w:t>
      </w:r>
      <w:r w:rsidRPr="007F4B79">
        <w:rPr>
          <w:rFonts w:ascii="Cambria" w:hAnsi="Cambria"/>
          <w:i/>
          <w:sz w:val="20"/>
          <w:szCs w:val="20"/>
          <w:lang w:val="es-ES"/>
        </w:rPr>
        <w:t xml:space="preserve">ratione materiae </w:t>
      </w:r>
      <w:r w:rsidRPr="007F4B79">
        <w:rPr>
          <w:rFonts w:ascii="Cambria" w:hAnsi="Cambria"/>
          <w:sz w:val="20"/>
          <w:szCs w:val="20"/>
          <w:lang w:val="es-ES"/>
        </w:rPr>
        <w:t xml:space="preserve">debido a que la petición se refiere a presuntas violaciones de derechos humanos protegidos por la Convención Americana. </w:t>
      </w:r>
      <w:r w:rsidRPr="007F4B79">
        <w:rPr>
          <w:rStyle w:val="StyleUnivers10pt"/>
          <w:rFonts w:ascii="Cambria" w:hAnsi="Cambria"/>
          <w:szCs w:val="20"/>
          <w:lang w:val="es-ES"/>
        </w:rPr>
        <w:t xml:space="preserve">Asimismo, la Comisión toma nota de que Colombia es un Estado parte de la Convención </w:t>
      </w:r>
      <w:r w:rsidRPr="007F4B79">
        <w:rPr>
          <w:rFonts w:ascii="Cambria" w:hAnsi="Cambria" w:cs="Arial"/>
          <w:sz w:val="20"/>
          <w:szCs w:val="20"/>
          <w:lang w:val="es-PE"/>
        </w:rPr>
        <w:t>desde el 31 de julio de 1973</w:t>
      </w:r>
      <w:r w:rsidRPr="007F4B79">
        <w:rPr>
          <w:rStyle w:val="StyleUnivers10pt"/>
          <w:rFonts w:ascii="Cambria" w:hAnsi="Cambria"/>
          <w:szCs w:val="20"/>
          <w:lang w:val="es-ES"/>
        </w:rPr>
        <w:t xml:space="preserve">, fecha en que depositó su instrumento de ratificación. Por lo tanto, la Comisión posee competencia </w:t>
      </w:r>
      <w:r w:rsidRPr="007F4B79">
        <w:rPr>
          <w:rFonts w:ascii="Cambria" w:hAnsi="Cambria" w:cs="Arial"/>
          <w:i/>
          <w:sz w:val="20"/>
          <w:szCs w:val="20"/>
          <w:lang w:val="es-ES_tradnl"/>
        </w:rPr>
        <w:t xml:space="preserve">ratione </w:t>
      </w:r>
      <w:r w:rsidRPr="007F4B79">
        <w:rPr>
          <w:rFonts w:ascii="Cambria" w:hAnsi="Cambria"/>
          <w:i/>
          <w:sz w:val="20"/>
          <w:szCs w:val="20"/>
          <w:lang w:val="es-ES"/>
        </w:rPr>
        <w:t>temporis</w:t>
      </w:r>
      <w:r w:rsidRPr="007F4B79">
        <w:rPr>
          <w:rStyle w:val="StyleUnivers10pt"/>
          <w:rFonts w:ascii="Cambria" w:hAnsi="Cambria"/>
          <w:szCs w:val="20"/>
          <w:lang w:val="es-ES"/>
        </w:rPr>
        <w:t xml:space="preserve"> para examinar la petición.</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7E13F2" w:rsidP="007E13F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Por último, la Comisión Interamericana posee competencia </w:t>
      </w:r>
      <w:r w:rsidRPr="007F4B79">
        <w:rPr>
          <w:rFonts w:ascii="Cambria" w:hAnsi="Cambria"/>
          <w:i/>
          <w:sz w:val="20"/>
          <w:szCs w:val="20"/>
          <w:lang w:val="es-ES"/>
        </w:rPr>
        <w:t>ratione loci</w:t>
      </w:r>
      <w:r w:rsidRPr="007F4B79">
        <w:rPr>
          <w:rFonts w:ascii="Cambria" w:hAnsi="Cambria"/>
          <w:sz w:val="20"/>
          <w:szCs w:val="20"/>
          <w:lang w:val="es-ES"/>
        </w:rPr>
        <w:t xml:space="preserve"> para conocer la petición por cuanto en ella </w:t>
      </w:r>
      <w:r w:rsidRPr="007F4B79">
        <w:rPr>
          <w:rFonts w:ascii="Cambria" w:hAnsi="Cambria" w:cs="Arial"/>
          <w:sz w:val="20"/>
          <w:szCs w:val="20"/>
          <w:bdr w:val="none" w:sz="0" w:space="0" w:color="auto"/>
          <w:lang w:val="es-CO" w:eastAsia="pt-BR"/>
        </w:rPr>
        <w:t>se</w:t>
      </w:r>
      <w:r w:rsidRPr="007F4B79">
        <w:rPr>
          <w:rFonts w:ascii="Cambria" w:hAnsi="Cambria"/>
          <w:sz w:val="20"/>
          <w:szCs w:val="20"/>
          <w:lang w:val="es-ES"/>
        </w:rPr>
        <w:t xml:space="preserve"> alegan violaciones de derechos protegidos en la Convención Americana que habrían tenido lugar dentro del territorio de Colombia.</w:t>
      </w:r>
    </w:p>
    <w:p w:rsidR="00FF5EC7" w:rsidRPr="007F4B79" w:rsidRDefault="00FF5EC7"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7E13F2" w:rsidP="007E13F2">
      <w:pPr>
        <w:pStyle w:val="Heading3"/>
        <w:spacing w:before="0" w:after="0"/>
        <w:ind w:left="720"/>
        <w:rPr>
          <w:rFonts w:ascii="Cambria" w:hAnsi="Cambria"/>
          <w:sz w:val="20"/>
          <w:szCs w:val="20"/>
          <w:lang w:val="es-ES"/>
        </w:rPr>
      </w:pPr>
      <w:bookmarkStart w:id="21" w:name="_Toc400530319"/>
      <w:bookmarkStart w:id="22" w:name="_Toc400530891"/>
      <w:bookmarkStart w:id="23" w:name="_Toc400530995"/>
      <w:bookmarkStart w:id="24" w:name="_Toc400531332"/>
      <w:r w:rsidRPr="007F4B79">
        <w:rPr>
          <w:rFonts w:ascii="Cambria" w:hAnsi="Cambria"/>
          <w:sz w:val="20"/>
          <w:szCs w:val="20"/>
          <w:lang w:val="es-ES"/>
        </w:rPr>
        <w:t>B.</w:t>
      </w:r>
      <w:r w:rsidRPr="007F4B79">
        <w:rPr>
          <w:rFonts w:ascii="Cambria" w:hAnsi="Cambria"/>
          <w:sz w:val="20"/>
          <w:szCs w:val="20"/>
          <w:lang w:val="es-ES"/>
        </w:rPr>
        <w:tab/>
        <w:t>Requisitos de Admisibilidad de la Petición</w:t>
      </w:r>
      <w:bookmarkEnd w:id="21"/>
      <w:bookmarkEnd w:id="22"/>
      <w:bookmarkEnd w:id="23"/>
      <w:bookmarkEnd w:id="24"/>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7E13F2" w:rsidRPr="007F4B79" w:rsidRDefault="007E13F2" w:rsidP="007E13F2">
      <w:pPr>
        <w:pStyle w:val="Heading3"/>
        <w:spacing w:before="0" w:after="0"/>
        <w:ind w:left="720"/>
        <w:rPr>
          <w:rFonts w:ascii="Cambria" w:hAnsi="Cambria"/>
          <w:sz w:val="20"/>
          <w:szCs w:val="20"/>
          <w:lang w:val="es-ES"/>
        </w:rPr>
      </w:pPr>
      <w:bookmarkStart w:id="25" w:name="_Toc400530892"/>
      <w:bookmarkStart w:id="26" w:name="_Toc400530996"/>
      <w:bookmarkStart w:id="27" w:name="_Toc400531333"/>
      <w:r w:rsidRPr="007F4B79">
        <w:rPr>
          <w:rFonts w:ascii="Cambria" w:hAnsi="Cambria"/>
          <w:sz w:val="20"/>
          <w:szCs w:val="20"/>
          <w:lang w:val="es-ES"/>
        </w:rPr>
        <w:t>1.</w:t>
      </w:r>
      <w:r w:rsidRPr="007F4B79">
        <w:rPr>
          <w:rFonts w:ascii="Cambria" w:hAnsi="Cambria"/>
          <w:sz w:val="20"/>
          <w:szCs w:val="20"/>
          <w:lang w:val="es-ES"/>
        </w:rPr>
        <w:tab/>
        <w:t>Agotamiento de los Recursos Internos</w:t>
      </w:r>
      <w:bookmarkEnd w:id="25"/>
      <w:bookmarkEnd w:id="26"/>
      <w:bookmarkEnd w:id="27"/>
      <w:r w:rsidRPr="007F4B79">
        <w:rPr>
          <w:rFonts w:ascii="Cambria" w:hAnsi="Cambria"/>
          <w:sz w:val="20"/>
          <w:szCs w:val="20"/>
          <w:lang w:val="es-ES"/>
        </w:rPr>
        <w:fldChar w:fldCharType="begin"/>
      </w:r>
      <w:r w:rsidRPr="007F4B79">
        <w:rPr>
          <w:rFonts w:ascii="Cambria" w:hAnsi="Cambria"/>
          <w:sz w:val="20"/>
          <w:szCs w:val="20"/>
          <w:lang w:val="es-ES"/>
        </w:rPr>
        <w:instrText xml:space="preserve"> XE "Agotamiento de los Recursos Internos" </w:instrText>
      </w:r>
      <w:r w:rsidRPr="007F4B79">
        <w:rPr>
          <w:rFonts w:ascii="Cambria" w:hAnsi="Cambria"/>
          <w:sz w:val="20"/>
          <w:szCs w:val="20"/>
          <w:lang w:val="es-ES"/>
        </w:rPr>
        <w:fldChar w:fldCharType="end"/>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lang w:val="es-ES"/>
        </w:rPr>
      </w:pPr>
    </w:p>
    <w:p w:rsidR="00F54369" w:rsidRPr="007F4B79" w:rsidRDefault="00F54369"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E</w:t>
      </w:r>
      <w:r w:rsidRPr="007F4B79">
        <w:rPr>
          <w:rFonts w:ascii="Cambria" w:hAnsi="Cambria"/>
          <w:sz w:val="20"/>
          <w:szCs w:val="20"/>
          <w:lang w:val="es-PE"/>
        </w:rPr>
        <w:t xml:space="preserve">l artículo 46.1.a) de la Convención Americana exige el previo agotamiento de los recursos disponibles en la jurisdicción </w:t>
      </w:r>
      <w:r w:rsidRPr="007F4B79">
        <w:rPr>
          <w:rFonts w:ascii="Cambria" w:hAnsi="Cambria" w:cs="Arial"/>
          <w:sz w:val="20"/>
          <w:szCs w:val="20"/>
          <w:bdr w:val="none" w:sz="0" w:space="0" w:color="auto"/>
          <w:lang w:val="es-CO" w:eastAsia="pt-BR"/>
        </w:rPr>
        <w:t>interna</w:t>
      </w:r>
      <w:r w:rsidRPr="007F4B79">
        <w:rPr>
          <w:rFonts w:ascii="Cambria" w:hAnsi="Cambria"/>
          <w:sz w:val="20"/>
          <w:szCs w:val="20"/>
          <w:lang w:val="es-PE"/>
        </w:rPr>
        <w:t xml:space="preserve"> conforme a los principios de derecho internacional generalmente reconocidos, como requisito para la admisión de reclamos sobre la presunta violación de la Convención Americana.  Por su parte, el artículo 46.2 de la Convención prevé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F54369" w:rsidRPr="007F4B79" w:rsidRDefault="00F54369" w:rsidP="008D00A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A903E7" w:rsidRPr="007F4B79" w:rsidRDefault="00F54369" w:rsidP="00A903E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F4B79">
        <w:rPr>
          <w:rFonts w:ascii="Cambria" w:hAnsi="Cambria"/>
          <w:sz w:val="20"/>
          <w:szCs w:val="20"/>
          <w:lang w:val="es-ES"/>
        </w:rPr>
        <w:t xml:space="preserve">El Estado alegó la falta de agotamiento de recursos en jurisdicción interna, en vista </w:t>
      </w:r>
      <w:r w:rsidR="007F5FF0" w:rsidRPr="007F4B79">
        <w:rPr>
          <w:rFonts w:ascii="Cambria" w:hAnsi="Cambria"/>
          <w:sz w:val="20"/>
          <w:szCs w:val="20"/>
          <w:lang w:val="es-ES"/>
        </w:rPr>
        <w:t xml:space="preserve">que </w:t>
      </w:r>
      <w:r w:rsidR="00154F4E" w:rsidRPr="007F4B79">
        <w:rPr>
          <w:rFonts w:ascii="Cambria" w:hAnsi="Cambria"/>
          <w:sz w:val="20"/>
          <w:szCs w:val="20"/>
          <w:lang w:val="es-ES"/>
        </w:rPr>
        <w:t>actualmente existirían en curso investigaciones en materia penal, disciplinaria y un proceso de reparación directa ante la jurisdicción contencioso administrativa</w:t>
      </w:r>
      <w:r w:rsidR="007F5FF0" w:rsidRPr="007F4B79">
        <w:rPr>
          <w:rFonts w:ascii="Cambria" w:hAnsi="Cambria"/>
          <w:sz w:val="20"/>
          <w:szCs w:val="20"/>
          <w:lang w:val="es-ES"/>
        </w:rPr>
        <w:t xml:space="preserve">. </w:t>
      </w:r>
      <w:r w:rsidR="009515D6" w:rsidRPr="007F4B79">
        <w:rPr>
          <w:rFonts w:ascii="Cambria" w:hAnsi="Cambria"/>
          <w:sz w:val="20"/>
          <w:szCs w:val="20"/>
          <w:lang w:val="es-ES"/>
        </w:rPr>
        <w:t xml:space="preserve">Por su parte, </w:t>
      </w:r>
      <w:r w:rsidR="00083A53" w:rsidRPr="007F4B79">
        <w:rPr>
          <w:rFonts w:ascii="Cambria" w:hAnsi="Cambria"/>
          <w:sz w:val="20"/>
          <w:szCs w:val="20"/>
          <w:lang w:val="es-ES"/>
        </w:rPr>
        <w:t>la peticionaria</w:t>
      </w:r>
      <w:r w:rsidR="00FA09F0" w:rsidRPr="007F4B79">
        <w:rPr>
          <w:rFonts w:ascii="Cambria" w:hAnsi="Cambria"/>
          <w:sz w:val="20"/>
          <w:szCs w:val="20"/>
          <w:lang w:val="es-ES"/>
        </w:rPr>
        <w:t xml:space="preserve"> </w:t>
      </w:r>
      <w:r w:rsidR="00FA09F0" w:rsidRPr="007F4B79">
        <w:rPr>
          <w:rFonts w:ascii="Cambria" w:hAnsi="Cambria"/>
          <w:sz w:val="20"/>
          <w:szCs w:val="20"/>
          <w:lang w:val="es-CO"/>
        </w:rPr>
        <w:t>indicó que</w:t>
      </w:r>
      <w:r w:rsidR="00AE33A0" w:rsidRPr="007F4B79">
        <w:rPr>
          <w:rFonts w:ascii="Cambria" w:hAnsi="Cambria"/>
          <w:sz w:val="20"/>
          <w:szCs w:val="20"/>
          <w:lang w:val="es-CO"/>
        </w:rPr>
        <w:t xml:space="preserve"> años después</w:t>
      </w:r>
      <w:r w:rsidR="00E14A1E" w:rsidRPr="007F4B79">
        <w:rPr>
          <w:rFonts w:ascii="Cambria" w:hAnsi="Cambria"/>
          <w:sz w:val="20"/>
          <w:szCs w:val="20"/>
          <w:lang w:val="es-CO"/>
        </w:rPr>
        <w:t xml:space="preserve"> de la muerte de Johnny Silva Aranguren ocurrida el 22 de septiembre de 2005, los hechos no han sido esclarecidos y ninguna persona habría sido</w:t>
      </w:r>
      <w:r w:rsidR="000114DD" w:rsidRPr="007F4B79">
        <w:rPr>
          <w:rFonts w:ascii="Cambria" w:hAnsi="Cambria"/>
          <w:sz w:val="20"/>
          <w:szCs w:val="20"/>
          <w:lang w:val="es-CO"/>
        </w:rPr>
        <w:t xml:space="preserve"> condenada por </w:t>
      </w:r>
      <w:r w:rsidR="000A4D29" w:rsidRPr="007F4B79">
        <w:rPr>
          <w:rFonts w:ascii="Cambria" w:hAnsi="Cambria"/>
          <w:sz w:val="20"/>
          <w:szCs w:val="20"/>
          <w:lang w:val="es-CO"/>
        </w:rPr>
        <w:t>lo</w:t>
      </w:r>
      <w:r w:rsidR="00FA09F0" w:rsidRPr="007F4B79">
        <w:rPr>
          <w:rFonts w:ascii="Cambria" w:hAnsi="Cambria"/>
          <w:sz w:val="20"/>
          <w:szCs w:val="20"/>
          <w:lang w:val="es-CO"/>
        </w:rPr>
        <w:t xml:space="preserve"> que evidencia</w:t>
      </w:r>
      <w:r w:rsidR="000114DD" w:rsidRPr="007F4B79">
        <w:rPr>
          <w:rFonts w:ascii="Cambria" w:hAnsi="Cambria"/>
          <w:sz w:val="20"/>
          <w:szCs w:val="20"/>
          <w:lang w:val="es-CO"/>
        </w:rPr>
        <w:t>ría</w:t>
      </w:r>
      <w:r w:rsidR="00FA09F0" w:rsidRPr="007F4B79">
        <w:rPr>
          <w:rFonts w:ascii="Cambria" w:hAnsi="Cambria"/>
          <w:sz w:val="20"/>
          <w:szCs w:val="20"/>
          <w:lang w:val="es-CO"/>
        </w:rPr>
        <w:t xml:space="preserve"> un retardo injustificado</w:t>
      </w:r>
      <w:r w:rsidR="000A4D29" w:rsidRPr="007F4B79">
        <w:rPr>
          <w:rFonts w:ascii="Cambria" w:hAnsi="Cambria"/>
          <w:sz w:val="20"/>
          <w:szCs w:val="20"/>
          <w:lang w:val="es-CO"/>
        </w:rPr>
        <w:t xml:space="preserve"> y por lo tanto </w:t>
      </w:r>
      <w:r w:rsidR="00F4294E" w:rsidRPr="007F4B79">
        <w:rPr>
          <w:rFonts w:ascii="Cambria" w:hAnsi="Cambria"/>
          <w:sz w:val="20"/>
          <w:szCs w:val="20"/>
          <w:lang w:val="es-CO"/>
        </w:rPr>
        <w:t xml:space="preserve">es </w:t>
      </w:r>
      <w:r w:rsidR="000A4D29" w:rsidRPr="007F4B79">
        <w:rPr>
          <w:rFonts w:ascii="Cambria" w:hAnsi="Cambria"/>
          <w:sz w:val="20"/>
          <w:szCs w:val="20"/>
          <w:lang w:val="es-CO"/>
        </w:rPr>
        <w:t>aplicable la excepción contenida en el artículo 46.2(c) de la CADH</w:t>
      </w:r>
      <w:r w:rsidR="00FA09F0" w:rsidRPr="007F4B79">
        <w:rPr>
          <w:rFonts w:ascii="Cambria" w:hAnsi="Cambria"/>
          <w:sz w:val="20"/>
          <w:szCs w:val="20"/>
          <w:lang w:val="es-CO"/>
        </w:rPr>
        <w:t>.</w:t>
      </w:r>
      <w:r w:rsidR="000A4D29" w:rsidRPr="007F4B79">
        <w:rPr>
          <w:rFonts w:ascii="Cambria" w:hAnsi="Cambria"/>
          <w:sz w:val="20"/>
          <w:szCs w:val="20"/>
          <w:lang w:val="es-CO"/>
        </w:rPr>
        <w:t xml:space="preserve"> </w:t>
      </w:r>
      <w:r w:rsidR="00A903E7" w:rsidRPr="007F4B79">
        <w:rPr>
          <w:rFonts w:ascii="Cambria" w:hAnsi="Cambria"/>
          <w:sz w:val="20"/>
          <w:szCs w:val="20"/>
          <w:lang w:val="es-CO"/>
        </w:rPr>
        <w:t xml:space="preserve">Asimismo, </w:t>
      </w:r>
      <w:r w:rsidR="00A903E7" w:rsidRPr="007F4B79">
        <w:rPr>
          <w:rFonts w:ascii="Cambria" w:hAnsi="Cambria"/>
          <w:sz w:val="20"/>
          <w:szCs w:val="20"/>
          <w:lang w:val="es-ES"/>
        </w:rPr>
        <w:t xml:space="preserve">la peticionaria señaló </w:t>
      </w:r>
      <w:r w:rsidR="00A903E7" w:rsidRPr="007F4B79">
        <w:rPr>
          <w:rFonts w:ascii="Cambria" w:hAnsi="Cambria"/>
          <w:sz w:val="20"/>
          <w:szCs w:val="20"/>
          <w:lang w:val="es-ES"/>
        </w:rPr>
        <w:lastRenderedPageBreak/>
        <w:t xml:space="preserve">que la decisión de delegar a la Justicia Penal Militar la “investigación de hechos que lesionaron gravemente derechos establecidos en la Convención Americana de Derechos Humanos, desconoce el derecho a contar con un recurso efectivo, sustanciado por un Tribunal Independiente e Imparcial, de conformidad con lo establecido en un Estado de Derecho”. </w:t>
      </w:r>
    </w:p>
    <w:p w:rsidR="00FA09F0" w:rsidRPr="007F4B79" w:rsidRDefault="00FA09F0"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CB064D"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cs="Calibri"/>
          <w:sz w:val="20"/>
          <w:szCs w:val="20"/>
          <w:lang w:val="es-AR"/>
        </w:rPr>
        <w:t xml:space="preserve">La Comisión </w:t>
      </w:r>
      <w:r w:rsidRPr="007F4B79">
        <w:rPr>
          <w:rFonts w:ascii="Cambria" w:hAnsi="Cambria" w:cs="Arial"/>
          <w:sz w:val="20"/>
          <w:szCs w:val="20"/>
          <w:bdr w:val="none" w:sz="0" w:space="0" w:color="auto"/>
          <w:lang w:val="es-CO" w:eastAsia="pt-BR"/>
        </w:rPr>
        <w:t>observa</w:t>
      </w:r>
      <w:r w:rsidRPr="007F4B79">
        <w:rPr>
          <w:rFonts w:ascii="Cambria" w:hAnsi="Cambria" w:cs="Calibri"/>
          <w:sz w:val="20"/>
          <w:szCs w:val="20"/>
          <w:lang w:val="es-AR"/>
        </w:rPr>
        <w:t xml:space="preserve"> que el objeto de la presente petición se refiere a los hechos relacionados con </w:t>
      </w:r>
      <w:r w:rsidR="00EB2507" w:rsidRPr="007F4B79">
        <w:rPr>
          <w:rFonts w:ascii="Cambria" w:hAnsi="Cambria" w:cs="Calibri"/>
          <w:sz w:val="20"/>
          <w:szCs w:val="20"/>
          <w:lang w:val="es-AR"/>
        </w:rPr>
        <w:t xml:space="preserve">la </w:t>
      </w:r>
      <w:r w:rsidR="00F4294E" w:rsidRPr="007F4B79">
        <w:rPr>
          <w:rFonts w:ascii="Cambria" w:hAnsi="Cambria" w:cs="Calibri"/>
          <w:sz w:val="20"/>
          <w:szCs w:val="20"/>
          <w:lang w:val="es-AR"/>
        </w:rPr>
        <w:t>muerte</w:t>
      </w:r>
      <w:r w:rsidR="002D7137" w:rsidRPr="007F4B79">
        <w:rPr>
          <w:rFonts w:ascii="Cambria" w:hAnsi="Cambria" w:cs="Calibri"/>
          <w:sz w:val="20"/>
          <w:szCs w:val="20"/>
          <w:lang w:val="es-AR"/>
        </w:rPr>
        <w:t xml:space="preserve"> </w:t>
      </w:r>
      <w:r w:rsidR="00B20798" w:rsidRPr="007F4B79">
        <w:rPr>
          <w:rFonts w:ascii="Cambria" w:hAnsi="Cambria" w:cs="Calibri"/>
          <w:sz w:val="20"/>
          <w:szCs w:val="20"/>
          <w:lang w:val="es-AR"/>
        </w:rPr>
        <w:t>de Jhonny Silva Aranguren</w:t>
      </w:r>
      <w:r w:rsidR="00EB2507" w:rsidRPr="007F4B79">
        <w:rPr>
          <w:rFonts w:ascii="Cambria" w:hAnsi="Cambria" w:cs="Calibri"/>
          <w:sz w:val="20"/>
          <w:szCs w:val="20"/>
          <w:lang w:val="es-AR"/>
        </w:rPr>
        <w:t xml:space="preserve"> que</w:t>
      </w:r>
      <w:r w:rsidR="00434140" w:rsidRPr="007F4B79">
        <w:rPr>
          <w:rFonts w:ascii="Cambria" w:hAnsi="Cambria" w:cs="Calibri"/>
          <w:sz w:val="20"/>
          <w:szCs w:val="20"/>
          <w:lang w:val="es-AR"/>
        </w:rPr>
        <w:t xml:space="preserve"> </w:t>
      </w:r>
      <w:r w:rsidR="00EB2507" w:rsidRPr="007F4B79">
        <w:rPr>
          <w:rFonts w:ascii="Cambria" w:hAnsi="Cambria" w:cs="Calibri"/>
          <w:sz w:val="20"/>
          <w:szCs w:val="20"/>
          <w:lang w:val="es-AR"/>
        </w:rPr>
        <w:t xml:space="preserve">habría sido perpetrada por miembros del Escuadrón Móvil Antidisturbios (ESMAD) en la Universidad del Valle durante una protesta estudiantil. </w:t>
      </w:r>
    </w:p>
    <w:p w:rsidR="00F6134F" w:rsidRPr="007F4B79" w:rsidRDefault="00F6134F"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cs="Arial"/>
          <w:bCs/>
          <w:sz w:val="20"/>
          <w:szCs w:val="20"/>
          <w:lang w:val="es-ES"/>
        </w:rPr>
        <w:t xml:space="preserve">La Comisión considera que los hechos expuestos </w:t>
      </w:r>
      <w:r w:rsidRPr="007F4B79">
        <w:rPr>
          <w:rFonts w:ascii="Cambria" w:hAnsi="Cambria"/>
          <w:sz w:val="20"/>
          <w:szCs w:val="20"/>
          <w:lang w:val="es-ES"/>
        </w:rPr>
        <w:t xml:space="preserve">por </w:t>
      </w:r>
      <w:r w:rsidR="008E3905" w:rsidRPr="007F4B79">
        <w:rPr>
          <w:rFonts w:ascii="Cambria" w:hAnsi="Cambria"/>
          <w:sz w:val="20"/>
          <w:szCs w:val="20"/>
          <w:lang w:val="es-ES"/>
        </w:rPr>
        <w:t>la peticionaria</w:t>
      </w:r>
      <w:r w:rsidRPr="007F4B79">
        <w:rPr>
          <w:rFonts w:ascii="Cambria" w:hAnsi="Cambria"/>
          <w:sz w:val="20"/>
          <w:szCs w:val="20"/>
          <w:lang w:val="es-ES"/>
        </w:rPr>
        <w:t xml:space="preserve"> se traducen en la legislación interna en delitos perseguibles de oficio cuya investigación y juzgamiento debe ser impulsado por el Estado mismo</w:t>
      </w:r>
      <w:r w:rsidRPr="007F4B79">
        <w:rPr>
          <w:rStyle w:val="FootnoteReference"/>
          <w:rFonts w:ascii="Cambria" w:hAnsi="Cambria"/>
          <w:sz w:val="20"/>
          <w:szCs w:val="20"/>
          <w:lang w:val="es-ES"/>
        </w:rPr>
        <w:footnoteReference w:id="3"/>
      </w:r>
      <w:r w:rsidRPr="007F4B79">
        <w:rPr>
          <w:rFonts w:ascii="Cambria" w:hAnsi="Cambria"/>
          <w:sz w:val="20"/>
          <w:szCs w:val="20"/>
          <w:lang w:val="es-ES"/>
        </w:rPr>
        <w:t xml:space="preserve">, siendo en estos casos la vía idónea para esclarecer los hechos, juzgar a los responsables y establecer las sanciones penales correspondientes, además de posibilitar otros modos de reparación de tipo pecuniario. </w:t>
      </w:r>
    </w:p>
    <w:p w:rsidR="004B71B1" w:rsidRPr="007F4B79" w:rsidRDefault="004B71B1" w:rsidP="009369F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7F5FF0" w:rsidRPr="007F4B79" w:rsidRDefault="007E13F2" w:rsidP="007F5FF0">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sz w:val="20"/>
          <w:szCs w:val="20"/>
          <w:lang w:val="es-ES"/>
        </w:rPr>
        <w:t xml:space="preserve">La Comisión observa que, como regla general, una investigación penal debe realizarse con celeridad para proteger los intereses de las víctimas, preservar la prueba e incluso salvaguardar los derechos de toda persona que en el contexto </w:t>
      </w:r>
      <w:r w:rsidRPr="007F4B79">
        <w:rPr>
          <w:rFonts w:ascii="Cambria" w:hAnsi="Cambria" w:cs="Calibri"/>
          <w:sz w:val="20"/>
          <w:szCs w:val="20"/>
          <w:lang w:val="es-AR"/>
        </w:rPr>
        <w:t>de</w:t>
      </w:r>
      <w:r w:rsidRPr="007F4B79">
        <w:rPr>
          <w:rFonts w:ascii="Cambria" w:hAnsi="Cambria"/>
          <w:sz w:val="20"/>
          <w:szCs w:val="20"/>
          <w:lang w:val="es-ES"/>
        </w:rPr>
        <w:t xml:space="preserve"> la investigación sea considerada sospechosa. Asimismo, según han señalado la Comisión y la Corte Interamericana desde sus primeros casos, si bien toda investigación penal debe cumplir con una serie de requisitos legales, la regla del previo agotamiento de los recursos internos no debe conducir a que la actuación internacional en auxilio de las víctimas se detenga o se demore hasta la inutilidad. </w:t>
      </w:r>
    </w:p>
    <w:p w:rsidR="007F5FF0" w:rsidRPr="007F4B79" w:rsidRDefault="007F5FF0" w:rsidP="008D00AA">
      <w:pPr>
        <w:pStyle w:val="ListParagraph"/>
        <w:ind w:left="0"/>
        <w:rPr>
          <w:sz w:val="20"/>
          <w:szCs w:val="20"/>
          <w:bdr w:val="none" w:sz="0" w:space="0" w:color="auto"/>
          <w:lang w:val="es-ES" w:eastAsia="zh-CN"/>
        </w:rPr>
      </w:pPr>
    </w:p>
    <w:p w:rsidR="00410AD9" w:rsidRPr="007F4B79" w:rsidRDefault="00AE3B4B" w:rsidP="00410AD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cs="Cambria"/>
          <w:color w:val="000000"/>
          <w:sz w:val="20"/>
          <w:szCs w:val="20"/>
          <w:bdr w:val="none" w:sz="0" w:space="0" w:color="auto"/>
          <w:lang w:val="es-ES" w:eastAsia="zh-CN"/>
        </w:rPr>
        <w:t>R</w:t>
      </w:r>
      <w:r w:rsidR="007F5FF0" w:rsidRPr="007F4B79">
        <w:rPr>
          <w:rFonts w:ascii="Cambria" w:hAnsi="Cambria" w:cs="Cambria"/>
          <w:color w:val="000000"/>
          <w:sz w:val="20"/>
          <w:szCs w:val="20"/>
          <w:bdr w:val="none" w:sz="0" w:space="0" w:color="auto"/>
          <w:lang w:val="es-ES" w:eastAsia="zh-CN"/>
        </w:rPr>
        <w:t>especto de los otros recursos que cursan en la jurisdicción disciplinaria y contenciosa administrativa, la Com</w:t>
      </w:r>
      <w:r w:rsidRPr="007F4B79">
        <w:rPr>
          <w:rFonts w:ascii="Cambria" w:hAnsi="Cambria" w:cs="Cambria"/>
          <w:color w:val="000000"/>
          <w:sz w:val="20"/>
          <w:szCs w:val="20"/>
          <w:bdr w:val="none" w:sz="0" w:space="0" w:color="auto"/>
          <w:lang w:val="es-ES" w:eastAsia="zh-CN"/>
        </w:rPr>
        <w:t>isión ha sostenido reiteradamente</w:t>
      </w:r>
      <w:r w:rsidRPr="007F4B79">
        <w:rPr>
          <w:rStyle w:val="FootnoteReference"/>
          <w:rFonts w:ascii="Cambria" w:hAnsi="Cambria"/>
          <w:sz w:val="20"/>
          <w:szCs w:val="20"/>
          <w:lang w:val="es-ES"/>
        </w:rPr>
        <w:footnoteReference w:id="4"/>
      </w:r>
      <w:r w:rsidR="007F5FF0" w:rsidRPr="007F4B79">
        <w:rPr>
          <w:rFonts w:ascii="Cambria" w:hAnsi="Cambria" w:cs="Cambria"/>
          <w:color w:val="000000"/>
          <w:sz w:val="20"/>
          <w:szCs w:val="20"/>
          <w:bdr w:val="none" w:sz="0" w:space="0" w:color="auto"/>
          <w:lang w:val="es-ES" w:eastAsia="zh-CN"/>
        </w:rPr>
        <w:t xml:space="preserve"> que las decisiones emitidas en los órdenes disciplinario y contencioso administrativo no cumplen con los requisitos establecidos en la Convención en términos de su idoneidad a efectos de la admisibilidad. La jurisdicción disciplinaria no constituye una vía suficiente para juzgar, sancionar y reparar las consecuencias de vio</w:t>
      </w:r>
      <w:r w:rsidR="00FF2AD7" w:rsidRPr="007F4B79">
        <w:rPr>
          <w:rFonts w:ascii="Cambria" w:hAnsi="Cambria" w:cs="Cambria"/>
          <w:color w:val="000000"/>
          <w:sz w:val="20"/>
          <w:szCs w:val="20"/>
          <w:bdr w:val="none" w:sz="0" w:space="0" w:color="auto"/>
          <w:lang w:val="es-ES" w:eastAsia="zh-CN"/>
        </w:rPr>
        <w:t>laciones a los derechos humanos</w:t>
      </w:r>
      <w:r w:rsidR="007F5FF0" w:rsidRPr="007F4B79">
        <w:rPr>
          <w:rFonts w:ascii="Cambria" w:hAnsi="Cambria" w:cs="Cambria"/>
          <w:color w:val="000000"/>
          <w:sz w:val="20"/>
          <w:szCs w:val="20"/>
          <w:bdr w:val="none" w:sz="0" w:space="0" w:color="auto"/>
          <w:lang w:val="es-ES" w:eastAsia="zh-CN"/>
        </w:rPr>
        <w:t>. La jurisdicción contenciosa administrativa, por su parte, es un mecanismo que procura la supervisión de la actividad administrativa del Estado, y que únicamente permite obtener una indemnización por daños y perjuicios causados. Consecuentemente, en un caso como el presente no es necesario agotar estos recursos antes de recurrir al sistema interamericano</w:t>
      </w:r>
      <w:r w:rsidR="007F5FF0" w:rsidRPr="007F4B79">
        <w:rPr>
          <w:rStyle w:val="FootnoteReference"/>
          <w:rFonts w:ascii="Cambria" w:hAnsi="Cambria" w:cs="Cambria"/>
          <w:color w:val="000000"/>
          <w:sz w:val="20"/>
          <w:szCs w:val="20"/>
          <w:bdr w:val="none" w:sz="0" w:space="0" w:color="auto"/>
          <w:lang w:val="es-ES" w:eastAsia="zh-CN"/>
        </w:rPr>
        <w:footnoteReference w:id="5"/>
      </w:r>
      <w:r w:rsidR="007F5FF0" w:rsidRPr="007F4B79">
        <w:rPr>
          <w:rFonts w:ascii="Cambria" w:hAnsi="Cambria" w:cs="Cambria"/>
          <w:color w:val="000000"/>
          <w:sz w:val="20"/>
          <w:szCs w:val="20"/>
          <w:bdr w:val="none" w:sz="0" w:space="0" w:color="auto"/>
          <w:lang w:val="es-ES" w:eastAsia="zh-CN"/>
        </w:rPr>
        <w:t>.</w:t>
      </w:r>
    </w:p>
    <w:p w:rsidR="00410AD9" w:rsidRPr="007F4B79" w:rsidRDefault="00410AD9" w:rsidP="008D00AA">
      <w:pPr>
        <w:pStyle w:val="ListParagraph"/>
        <w:ind w:left="0"/>
        <w:rPr>
          <w:sz w:val="20"/>
          <w:szCs w:val="20"/>
          <w:lang w:val="es-ES"/>
        </w:rPr>
      </w:pPr>
    </w:p>
    <w:p w:rsidR="00410AD9" w:rsidRPr="007F4B79" w:rsidRDefault="00410AD9" w:rsidP="00410AD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 xml:space="preserve">Finalmente, </w:t>
      </w:r>
      <w:r w:rsidR="00F4294E" w:rsidRPr="007F4B79">
        <w:rPr>
          <w:rFonts w:ascii="Cambria" w:eastAsia="Times New Roman" w:hAnsi="Cambria"/>
          <w:sz w:val="20"/>
          <w:szCs w:val="20"/>
          <w:bdr w:val="none" w:sz="0" w:space="0" w:color="auto"/>
          <w:lang w:val="es-ES"/>
        </w:rPr>
        <w:t>l</w:t>
      </w:r>
      <w:r w:rsidRPr="007F4B79">
        <w:rPr>
          <w:rFonts w:ascii="Cambria" w:eastAsia="Times New Roman" w:hAnsi="Cambria"/>
          <w:sz w:val="20"/>
          <w:szCs w:val="20"/>
          <w:bdr w:val="none" w:sz="0" w:space="0" w:color="auto"/>
          <w:lang w:val="es-ES"/>
        </w:rPr>
        <w:t>a Comisión se ha pronunciado en forma reiterada en el sentido de que las jurisdicciones especiales, como la militar, no constituyen un foro apropiado y por lo tanto no brindan un recurso adecuado para investigar, juzgar y sancionar posibles violaciones a los derechos humanos consagrados en la Convención Americana, tales como el derecho a la vida, presuntamente cometidas por miembros de la fuerza pública</w:t>
      </w:r>
      <w:r w:rsidRPr="007F4B79">
        <w:rPr>
          <w:rStyle w:val="FootnoteReference"/>
          <w:rFonts w:ascii="Cambria" w:eastAsia="Times New Roman" w:hAnsi="Cambria"/>
          <w:sz w:val="20"/>
          <w:szCs w:val="20"/>
          <w:bdr w:val="none" w:sz="0" w:space="0" w:color="auto"/>
          <w:lang w:val="es-ES"/>
        </w:rPr>
        <w:footnoteReference w:id="6"/>
      </w:r>
      <w:r w:rsidRPr="007F4B79">
        <w:rPr>
          <w:rFonts w:ascii="Cambria" w:eastAsia="Times New Roman" w:hAnsi="Cambria"/>
          <w:sz w:val="20"/>
          <w:szCs w:val="20"/>
          <w:bdr w:val="none" w:sz="0" w:space="0" w:color="auto"/>
          <w:lang w:val="es-ES"/>
        </w:rPr>
        <w:t>.</w:t>
      </w:r>
    </w:p>
    <w:p w:rsidR="007F5FF0" w:rsidRPr="007F4B79" w:rsidRDefault="007F5FF0" w:rsidP="007F5FF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p>
    <w:p w:rsidR="00CF7269" w:rsidRPr="007F4B79" w:rsidRDefault="00D23258" w:rsidP="003C67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CO"/>
        </w:rPr>
      </w:pPr>
      <w:r w:rsidRPr="007F4B79">
        <w:rPr>
          <w:rFonts w:ascii="Cambria" w:hAnsi="Cambria"/>
          <w:sz w:val="20"/>
          <w:szCs w:val="20"/>
          <w:lang w:val="es-ES"/>
        </w:rPr>
        <w:t>Por lo tanto, dadas las características de la petición y el lapso transcurrido desde los hechos materia del reclamo, la Comisión considera que resulta aplicable la excepc</w:t>
      </w:r>
      <w:r w:rsidR="00965764">
        <w:rPr>
          <w:rFonts w:ascii="Cambria" w:hAnsi="Cambria"/>
          <w:sz w:val="20"/>
          <w:szCs w:val="20"/>
          <w:lang w:val="es-ES"/>
        </w:rPr>
        <w:t>ión prevista en el artículo 46</w:t>
      </w:r>
      <w:r w:rsidRPr="007F4B79">
        <w:rPr>
          <w:rFonts w:ascii="Cambria" w:hAnsi="Cambria"/>
          <w:sz w:val="20"/>
          <w:szCs w:val="20"/>
          <w:lang w:val="es-ES"/>
        </w:rPr>
        <w:t xml:space="preserve"> de la Convención respecto del retardo injustificado en el desarrollo de la </w:t>
      </w:r>
      <w:r w:rsidRPr="007F4B79">
        <w:rPr>
          <w:rFonts w:ascii="Cambria" w:hAnsi="Cambria"/>
          <w:sz w:val="20"/>
          <w:szCs w:val="20"/>
          <w:lang w:val="es-CO"/>
        </w:rPr>
        <w:t>investigación penal del asesinato de la presunta víctima</w:t>
      </w:r>
      <w:r w:rsidRPr="007F4B79">
        <w:rPr>
          <w:rFonts w:ascii="Cambria" w:hAnsi="Cambria"/>
          <w:sz w:val="20"/>
          <w:szCs w:val="20"/>
          <w:lang w:val="es-ES"/>
        </w:rPr>
        <w:t xml:space="preserve">, por lo que el requisito previsto en materia de agotamiento de recursos internos no resulta </w:t>
      </w:r>
      <w:r w:rsidRPr="007F4B79">
        <w:rPr>
          <w:rFonts w:ascii="Cambria" w:hAnsi="Cambria"/>
          <w:sz w:val="20"/>
          <w:szCs w:val="20"/>
          <w:lang w:val="es-ES"/>
        </w:rPr>
        <w:lastRenderedPageBreak/>
        <w:t xml:space="preserve">exigible. En todo caso, corresponderá analizar la eficacia de los recursos en relación con los derechos a la protección y a las garantías </w:t>
      </w:r>
      <w:r w:rsidR="002D7137" w:rsidRPr="007F4B79">
        <w:rPr>
          <w:rFonts w:ascii="Cambria" w:hAnsi="Cambria"/>
          <w:sz w:val="20"/>
          <w:szCs w:val="20"/>
          <w:lang w:val="es-ES"/>
        </w:rPr>
        <w:t>judiciales en la etapa del fondo</w:t>
      </w:r>
      <w:r w:rsidRPr="007F4B79">
        <w:rPr>
          <w:rFonts w:ascii="Cambria" w:hAnsi="Cambria"/>
          <w:sz w:val="20"/>
          <w:szCs w:val="20"/>
          <w:lang w:val="es-ES"/>
        </w:rPr>
        <w:t xml:space="preserve">. </w:t>
      </w:r>
    </w:p>
    <w:p w:rsidR="007E13F2" w:rsidRPr="007F4B79" w:rsidRDefault="007E13F2" w:rsidP="00B3035C">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bCs/>
          <w:sz w:val="20"/>
          <w:szCs w:val="20"/>
          <w:lang w:val="es-ES"/>
        </w:rPr>
      </w:pPr>
      <w:bookmarkStart w:id="28" w:name="_Toc400530893"/>
      <w:bookmarkStart w:id="29" w:name="_Toc400530997"/>
      <w:r w:rsidRPr="007F4B79">
        <w:rPr>
          <w:rFonts w:ascii="Cambria" w:hAnsi="Cambria"/>
          <w:b/>
          <w:bCs/>
          <w:sz w:val="20"/>
          <w:szCs w:val="20"/>
          <w:lang w:val="es-ES"/>
        </w:rPr>
        <w:t>2.</w:t>
      </w:r>
      <w:r w:rsidRPr="007F4B79">
        <w:rPr>
          <w:rFonts w:ascii="Cambria" w:hAnsi="Cambria"/>
          <w:b/>
          <w:bCs/>
          <w:sz w:val="20"/>
          <w:szCs w:val="20"/>
          <w:lang w:val="es-ES"/>
        </w:rPr>
        <w:tab/>
        <w:t>Plazo de Presentación de la Petición</w:t>
      </w:r>
      <w:bookmarkEnd w:id="28"/>
      <w:bookmarkEnd w:id="29"/>
      <w:r w:rsidRPr="007F4B79">
        <w:rPr>
          <w:rFonts w:ascii="Cambria" w:hAnsi="Cambria"/>
          <w:b/>
          <w:bCs/>
          <w:sz w:val="20"/>
          <w:szCs w:val="20"/>
          <w:lang w:val="es-ES"/>
        </w:rPr>
        <w:fldChar w:fldCharType="begin"/>
      </w:r>
      <w:r w:rsidRPr="007F4B79">
        <w:rPr>
          <w:rFonts w:ascii="Cambria" w:hAnsi="Cambria"/>
          <w:b/>
          <w:bCs/>
          <w:sz w:val="20"/>
          <w:szCs w:val="20"/>
          <w:lang w:val="es-ES"/>
        </w:rPr>
        <w:instrText xml:space="preserve"> XE "Plazo de Presentación de la Petición" </w:instrText>
      </w:r>
      <w:r w:rsidRPr="007F4B79">
        <w:rPr>
          <w:rFonts w:ascii="Cambria" w:hAnsi="Cambria"/>
          <w:b/>
          <w:bCs/>
          <w:sz w:val="20"/>
          <w:szCs w:val="20"/>
          <w:lang w:val="es-ES"/>
        </w:rPr>
        <w:fldChar w:fldCharType="end"/>
      </w:r>
    </w:p>
    <w:p w:rsidR="007E13F2" w:rsidRPr="007F4B79" w:rsidRDefault="007E13F2" w:rsidP="008D00AA">
      <w:pPr>
        <w:keepNext/>
        <w:widowControl w:val="0"/>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3C67C1" w:rsidRPr="007F4B79" w:rsidRDefault="003C67C1" w:rsidP="003C67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CO"/>
        </w:rPr>
      </w:pPr>
      <w:r w:rsidRPr="007F4B79">
        <w:rPr>
          <w:rFonts w:ascii="Cambria" w:hAnsi="Cambria"/>
          <w:sz w:val="20"/>
          <w:szCs w:val="20"/>
          <w:lang w:val="es-CO"/>
        </w:rPr>
        <w:t xml:space="preserve">El artículo 46.1.b de la Convención Americana exige que la petición “sea presentada dentro del plazo de seis meses, a partir de la </w:t>
      </w:r>
      <w:r w:rsidRPr="007F4B79">
        <w:rPr>
          <w:rFonts w:ascii="Cambria" w:hAnsi="Cambria"/>
          <w:sz w:val="20"/>
          <w:szCs w:val="20"/>
          <w:lang w:val="es-ES"/>
        </w:rPr>
        <w:t>fecha</w:t>
      </w:r>
      <w:r w:rsidRPr="007F4B79">
        <w:rPr>
          <w:rFonts w:ascii="Cambria" w:hAnsi="Cambria"/>
          <w:sz w:val="20"/>
          <w:szCs w:val="20"/>
          <w:lang w:val="es-CO"/>
        </w:rPr>
        <w:t xml:space="preserve"> en que el presunto lesionado en sus derechos haya sido notificado de la decisión definitiva”. Por otro lado, el artículo 32.2 del Reglamento de la CIDH provee:</w:t>
      </w:r>
    </w:p>
    <w:p w:rsidR="003C67C1" w:rsidRPr="003B5F04" w:rsidRDefault="003C67C1" w:rsidP="003B5F04">
      <w:pPr>
        <w:ind w:left="720" w:right="720"/>
        <w:jc w:val="both"/>
        <w:rPr>
          <w:rFonts w:ascii="Cambria" w:hAnsi="Cambria"/>
          <w:sz w:val="20"/>
          <w:szCs w:val="20"/>
          <w:lang w:val="es-CO"/>
        </w:rPr>
      </w:pPr>
      <w:r w:rsidRPr="003B5F04">
        <w:rPr>
          <w:rFonts w:ascii="Cambria" w:hAnsi="Cambria"/>
          <w:sz w:val="20"/>
          <w:szCs w:val="20"/>
          <w:lang w:val="es-CO"/>
        </w:rPr>
        <w:t xml:space="preserve">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 </w:t>
      </w:r>
    </w:p>
    <w:p w:rsidR="003C67C1" w:rsidRPr="007F4B79" w:rsidRDefault="003C67C1" w:rsidP="008D00AA">
      <w:pPr>
        <w:ind w:right="720"/>
        <w:jc w:val="both"/>
        <w:rPr>
          <w:rFonts w:ascii="Cambria" w:hAnsi="Cambria"/>
          <w:sz w:val="20"/>
          <w:szCs w:val="20"/>
          <w:lang w:val="es-CO"/>
        </w:rPr>
      </w:pPr>
    </w:p>
    <w:p w:rsidR="00CB064D" w:rsidRPr="007F4B79" w:rsidRDefault="003C67C1" w:rsidP="00117181">
      <w:pPr>
        <w:numPr>
          <w:ilvl w:val="0"/>
          <w:numId w:val="55"/>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CO"/>
        </w:rPr>
      </w:pPr>
      <w:r w:rsidRPr="007F4B79">
        <w:rPr>
          <w:rFonts w:ascii="Cambria" w:hAnsi="Cambria"/>
          <w:sz w:val="20"/>
          <w:szCs w:val="20"/>
          <w:lang w:val="es-CO"/>
        </w:rPr>
        <w:t xml:space="preserve">La CIDH ha </w:t>
      </w:r>
      <w:r w:rsidR="002D7137" w:rsidRPr="007F4B79">
        <w:rPr>
          <w:rFonts w:ascii="Cambria" w:hAnsi="Cambria"/>
          <w:sz w:val="20"/>
          <w:szCs w:val="20"/>
          <w:lang w:val="es-CO"/>
        </w:rPr>
        <w:t>decidido</w:t>
      </w:r>
      <w:r w:rsidRPr="007F4B79">
        <w:rPr>
          <w:rFonts w:ascii="Cambria" w:hAnsi="Cambria"/>
          <w:sz w:val="20"/>
          <w:szCs w:val="20"/>
          <w:lang w:val="es-CO"/>
        </w:rPr>
        <w:t xml:space="preserve"> supra (</w:t>
      </w:r>
      <w:r w:rsidR="00E14A1E" w:rsidRPr="007F4B79">
        <w:rPr>
          <w:rFonts w:ascii="Cambria" w:hAnsi="Cambria"/>
          <w:sz w:val="20"/>
          <w:szCs w:val="20"/>
          <w:lang w:val="es-CO"/>
        </w:rPr>
        <w:t xml:space="preserve">párr. </w:t>
      </w:r>
      <w:r w:rsidR="00B83C69" w:rsidRPr="007F4B79">
        <w:rPr>
          <w:rFonts w:ascii="Cambria" w:hAnsi="Cambria"/>
          <w:sz w:val="20"/>
          <w:szCs w:val="20"/>
          <w:lang w:val="es-CO"/>
        </w:rPr>
        <w:t>38</w:t>
      </w:r>
      <w:r w:rsidRPr="007F4B79">
        <w:rPr>
          <w:rFonts w:ascii="Cambria" w:hAnsi="Cambria"/>
          <w:sz w:val="20"/>
          <w:szCs w:val="20"/>
          <w:lang w:val="es-CO"/>
        </w:rPr>
        <w:t xml:space="preserve">) que a esta petición es aplicable una excepción al requisito del previo agotamiento de los recursos internos; por lo que debe determinar si la petición fue presentada dentro de un plazo razonable. La petición fue presentada el </w:t>
      </w:r>
      <w:r w:rsidR="00117181" w:rsidRPr="007F4B79">
        <w:rPr>
          <w:rFonts w:ascii="Cambria" w:hAnsi="Cambria"/>
          <w:sz w:val="20"/>
          <w:szCs w:val="20"/>
          <w:lang w:val="es-CO"/>
        </w:rPr>
        <w:t xml:space="preserve">22 de septiembre de 2008, 3 años </w:t>
      </w:r>
      <w:r w:rsidR="009819A7" w:rsidRPr="007F4B79">
        <w:rPr>
          <w:rFonts w:ascii="Cambria" w:hAnsi="Cambria"/>
          <w:sz w:val="20"/>
          <w:szCs w:val="20"/>
          <w:lang w:val="es-CO"/>
        </w:rPr>
        <w:t xml:space="preserve">después de iniciada la investigación. A pesar de </w:t>
      </w:r>
      <w:r w:rsidR="005D5779" w:rsidRPr="007F4B79">
        <w:rPr>
          <w:rFonts w:ascii="Cambria" w:hAnsi="Cambria"/>
          <w:sz w:val="20"/>
          <w:szCs w:val="20"/>
          <w:lang w:val="es-CO"/>
        </w:rPr>
        <w:t>múltiples</w:t>
      </w:r>
      <w:r w:rsidR="009819A7" w:rsidRPr="007F4B79">
        <w:rPr>
          <w:rFonts w:ascii="Cambria" w:hAnsi="Cambria"/>
          <w:sz w:val="20"/>
          <w:szCs w:val="20"/>
          <w:lang w:val="es-CO"/>
        </w:rPr>
        <w:t xml:space="preserve"> esfuerzos por parte de los padres de la presunta víctima</w:t>
      </w:r>
      <w:r w:rsidR="00751DBF" w:rsidRPr="007F4B79">
        <w:rPr>
          <w:rFonts w:ascii="Cambria" w:hAnsi="Cambria"/>
          <w:sz w:val="20"/>
          <w:szCs w:val="20"/>
          <w:lang w:val="es-CO"/>
        </w:rPr>
        <w:t xml:space="preserve"> de solicitar medidas para impulsarla</w:t>
      </w:r>
      <w:r w:rsidR="009819A7" w:rsidRPr="007F4B79">
        <w:rPr>
          <w:rFonts w:ascii="Cambria" w:hAnsi="Cambria"/>
          <w:sz w:val="20"/>
          <w:szCs w:val="20"/>
          <w:lang w:val="es-CO"/>
        </w:rPr>
        <w:t>, los procesos siguen abiertos</w:t>
      </w:r>
      <w:r w:rsidR="002D7137" w:rsidRPr="007F4B79">
        <w:rPr>
          <w:rFonts w:ascii="Cambria" w:hAnsi="Cambria"/>
          <w:sz w:val="20"/>
          <w:szCs w:val="20"/>
          <w:lang w:val="es-CO"/>
        </w:rPr>
        <w:t xml:space="preserve"> </w:t>
      </w:r>
      <w:r w:rsidR="00117181" w:rsidRPr="007F4B79">
        <w:rPr>
          <w:rFonts w:ascii="Cambria" w:hAnsi="Cambria"/>
          <w:sz w:val="20"/>
          <w:szCs w:val="20"/>
          <w:lang w:val="es-CO"/>
        </w:rPr>
        <w:t xml:space="preserve">hasta la fecha del presente informe. Teniendo en cuenta lo anterior y a la luz de las circunstancias específicas de esta petición, la CIDH concluye que la petición fue presentada dentro de un plazo razonable, y que el requisito fijado por el artículo 32.2 del Reglamento de la CIDH ha sido cumplido.  </w:t>
      </w:r>
    </w:p>
    <w:p w:rsidR="003C67C1" w:rsidRPr="007F4B79" w:rsidRDefault="003C67C1" w:rsidP="008D00AA">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CO"/>
        </w:rPr>
      </w:pPr>
    </w:p>
    <w:p w:rsidR="007E13F2" w:rsidRPr="007F4B79" w:rsidRDefault="007E13F2" w:rsidP="007E13F2">
      <w:pPr>
        <w:pStyle w:val="Heading3"/>
        <w:widowControl w:val="0"/>
        <w:spacing w:before="0" w:after="0"/>
        <w:ind w:left="720"/>
        <w:rPr>
          <w:rFonts w:ascii="Cambria" w:hAnsi="Cambria"/>
          <w:sz w:val="20"/>
          <w:szCs w:val="20"/>
          <w:lang w:val="es-ES"/>
        </w:rPr>
      </w:pPr>
      <w:bookmarkStart w:id="30" w:name="_Toc400530894"/>
      <w:bookmarkStart w:id="31" w:name="_Toc400530998"/>
      <w:bookmarkStart w:id="32" w:name="_Toc400531334"/>
      <w:r w:rsidRPr="007F4B79">
        <w:rPr>
          <w:rFonts w:ascii="Cambria" w:hAnsi="Cambria"/>
          <w:sz w:val="20"/>
          <w:szCs w:val="20"/>
          <w:lang w:val="es-ES"/>
        </w:rPr>
        <w:t>3.</w:t>
      </w:r>
      <w:r w:rsidRPr="007F4B79">
        <w:rPr>
          <w:rFonts w:ascii="Cambria" w:hAnsi="Cambria"/>
          <w:sz w:val="20"/>
          <w:szCs w:val="20"/>
          <w:lang w:val="es-ES"/>
        </w:rPr>
        <w:tab/>
        <w:t>Duplicación de Procedimientos y Cosa Juzgada Internacional</w:t>
      </w:r>
      <w:bookmarkEnd w:id="30"/>
      <w:bookmarkEnd w:id="31"/>
      <w:bookmarkEnd w:id="32"/>
      <w:r w:rsidRPr="007F4B79">
        <w:rPr>
          <w:rFonts w:ascii="Cambria" w:hAnsi="Cambria"/>
          <w:sz w:val="20"/>
          <w:szCs w:val="20"/>
          <w:lang w:val="es-ES"/>
        </w:rPr>
        <w:fldChar w:fldCharType="begin"/>
      </w:r>
      <w:r w:rsidRPr="007F4B79">
        <w:rPr>
          <w:rFonts w:ascii="Cambria" w:hAnsi="Cambria"/>
          <w:sz w:val="20"/>
          <w:szCs w:val="20"/>
          <w:lang w:val="es-ES"/>
        </w:rPr>
        <w:instrText xml:space="preserve"> XE "Duplicación de Procedimientos y Cosa Juzgada Internacional" </w:instrText>
      </w:r>
      <w:r w:rsidRPr="007F4B79">
        <w:rPr>
          <w:rFonts w:ascii="Cambria" w:hAnsi="Cambria"/>
          <w:sz w:val="20"/>
          <w:szCs w:val="20"/>
          <w:lang w:val="es-ES"/>
        </w:rPr>
        <w:fldChar w:fldCharType="end"/>
      </w:r>
    </w:p>
    <w:p w:rsidR="007E13F2" w:rsidRPr="007F4B79" w:rsidRDefault="007E13F2" w:rsidP="008D00AA">
      <w:pPr>
        <w:keepNext/>
        <w:widowControl w:val="0"/>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sz w:val="20"/>
          <w:szCs w:val="20"/>
          <w:lang w:val="es-ES"/>
        </w:rPr>
        <w:t xml:space="preserve">No surge del expediente que la materia de la petición se encuentre pendiente de otro procedimiento internacional, ni </w:t>
      </w:r>
      <w:r w:rsidRPr="007F4B79">
        <w:rPr>
          <w:rFonts w:ascii="Cambria" w:hAnsi="Cambria" w:cs="Calibri"/>
          <w:sz w:val="20"/>
          <w:szCs w:val="20"/>
          <w:lang w:val="es-AR"/>
        </w:rPr>
        <w:t>que</w:t>
      </w:r>
      <w:r w:rsidRPr="007F4B79">
        <w:rPr>
          <w:rFonts w:ascii="Cambria" w:hAnsi="Cambria"/>
          <w:sz w:val="20"/>
          <w:szCs w:val="20"/>
          <w:lang w:val="es-ES"/>
        </w:rPr>
        <w:t xml:space="preserve"> reproduzca una petición ya examinada por este u otro órgano internacional. Por ello, corresponde dar por cumplidos los requisitos establecidos en los artículos 46.1.c y 47.d de la Convención Americana.</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7E13F2">
      <w:pPr>
        <w:pStyle w:val="Heading3"/>
        <w:spacing w:before="0" w:after="0"/>
        <w:ind w:left="720"/>
        <w:rPr>
          <w:rFonts w:ascii="Cambria" w:hAnsi="Cambria"/>
          <w:sz w:val="20"/>
          <w:szCs w:val="20"/>
          <w:lang w:val="es-ES"/>
        </w:rPr>
      </w:pPr>
      <w:bookmarkStart w:id="33" w:name="_Toc400530895"/>
      <w:bookmarkStart w:id="34" w:name="_Toc400530999"/>
      <w:bookmarkStart w:id="35" w:name="_Toc400531335"/>
      <w:r w:rsidRPr="007F4B79">
        <w:rPr>
          <w:rFonts w:ascii="Cambria" w:hAnsi="Cambria"/>
          <w:sz w:val="20"/>
          <w:szCs w:val="20"/>
          <w:lang w:val="es-ES"/>
        </w:rPr>
        <w:t>4.</w:t>
      </w:r>
      <w:r w:rsidRPr="007F4B79">
        <w:rPr>
          <w:rFonts w:ascii="Cambria" w:hAnsi="Cambria"/>
          <w:sz w:val="20"/>
          <w:szCs w:val="20"/>
          <w:lang w:val="es-ES"/>
        </w:rPr>
        <w:tab/>
        <w:t>Caracterización de los Hechos Alegados</w:t>
      </w:r>
      <w:bookmarkEnd w:id="33"/>
      <w:bookmarkEnd w:id="34"/>
      <w:bookmarkEnd w:id="35"/>
      <w:r w:rsidRPr="007F4B79">
        <w:rPr>
          <w:rFonts w:ascii="Cambria" w:hAnsi="Cambria"/>
          <w:sz w:val="20"/>
          <w:szCs w:val="20"/>
          <w:lang w:val="es-ES"/>
        </w:rPr>
        <w:fldChar w:fldCharType="begin"/>
      </w:r>
      <w:r w:rsidRPr="007F4B79">
        <w:rPr>
          <w:rFonts w:ascii="Cambria" w:hAnsi="Cambria"/>
          <w:sz w:val="20"/>
          <w:szCs w:val="20"/>
          <w:lang w:val="es-ES"/>
        </w:rPr>
        <w:instrText xml:space="preserve"> XE "Caracterización de los Hechos Alegados" </w:instrText>
      </w:r>
      <w:r w:rsidRPr="007F4B79">
        <w:rPr>
          <w:rFonts w:ascii="Cambria" w:hAnsi="Cambria"/>
          <w:sz w:val="20"/>
          <w:szCs w:val="20"/>
          <w:lang w:val="es-ES"/>
        </w:rPr>
        <w:fldChar w:fldCharType="end"/>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lang w:val="es-ES"/>
        </w:rPr>
      </w:pPr>
    </w:p>
    <w:p w:rsidR="007E13F2" w:rsidRPr="007F4B79" w:rsidRDefault="00AB36C1"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A los fines de admisibilidad, c</w:t>
      </w:r>
      <w:r w:rsidR="007E13F2" w:rsidRPr="007F4B79">
        <w:rPr>
          <w:rFonts w:ascii="Cambria" w:hAnsi="Cambria"/>
          <w:sz w:val="20"/>
          <w:szCs w:val="20"/>
          <w:lang w:val="es-ES"/>
        </w:rPr>
        <w:t>orrespon</w:t>
      </w:r>
      <w:r w:rsidRPr="007F4B79">
        <w:rPr>
          <w:rFonts w:ascii="Cambria" w:hAnsi="Cambria"/>
          <w:sz w:val="20"/>
          <w:szCs w:val="20"/>
          <w:lang w:val="es-ES"/>
        </w:rPr>
        <w:t xml:space="preserve">de a la Comisión </w:t>
      </w:r>
      <w:r w:rsidR="007E13F2" w:rsidRPr="007F4B79">
        <w:rPr>
          <w:rFonts w:ascii="Cambria" w:hAnsi="Cambria"/>
          <w:sz w:val="20"/>
          <w:szCs w:val="20"/>
          <w:lang w:val="es-ES"/>
        </w:rPr>
        <w:t xml:space="preserve">determinar si los hechos descritos en la petición caracterizan violaciones de los </w:t>
      </w:r>
      <w:r w:rsidR="007E13F2" w:rsidRPr="007F4B79">
        <w:rPr>
          <w:rFonts w:ascii="Cambria" w:hAnsi="Cambria" w:cs="Calibri"/>
          <w:sz w:val="20"/>
          <w:szCs w:val="20"/>
          <w:lang w:val="es-AR"/>
        </w:rPr>
        <w:t>derechos</w:t>
      </w:r>
      <w:r w:rsidR="007E13F2" w:rsidRPr="007F4B79">
        <w:rPr>
          <w:rFonts w:ascii="Cambria" w:hAnsi="Cambria"/>
          <w:sz w:val="20"/>
          <w:szCs w:val="20"/>
          <w:lang w:val="es-ES"/>
        </w:rPr>
        <w:t xml:space="preserve"> consagrados en la Convención Americana, conforme a los requerimientos del artículo 47.</w:t>
      </w:r>
      <w:r w:rsidR="005822E9" w:rsidRPr="007F4B79">
        <w:rPr>
          <w:rFonts w:ascii="Cambria" w:hAnsi="Cambria"/>
          <w:sz w:val="20"/>
          <w:szCs w:val="20"/>
          <w:lang w:val="es-ES"/>
        </w:rPr>
        <w:t>(</w:t>
      </w:r>
      <w:r w:rsidR="007E13F2" w:rsidRPr="007F4B79">
        <w:rPr>
          <w:rFonts w:ascii="Cambria" w:hAnsi="Cambria"/>
          <w:sz w:val="20"/>
          <w:szCs w:val="20"/>
          <w:lang w:val="es-ES"/>
        </w:rPr>
        <w:t>b), o si la petición, conforme al artículo 47.</w:t>
      </w:r>
      <w:r w:rsidR="005822E9" w:rsidRPr="007F4B79">
        <w:rPr>
          <w:rFonts w:ascii="Cambria" w:hAnsi="Cambria"/>
          <w:sz w:val="20"/>
          <w:szCs w:val="20"/>
          <w:lang w:val="es-ES"/>
        </w:rPr>
        <w:t xml:space="preserve"> (</w:t>
      </w:r>
      <w:r w:rsidR="007E13F2" w:rsidRPr="007F4B79">
        <w:rPr>
          <w:rFonts w:ascii="Cambria" w:hAnsi="Cambria"/>
          <w:sz w:val="20"/>
          <w:szCs w:val="20"/>
          <w:lang w:val="es-ES"/>
        </w:rPr>
        <w:t xml:space="preserve">c), debe ser rechazada por ser “manifiestamente infundada” o por resultar “evidente su total improcedencia”. En esta etapa procesal corresponde a la CIDH hacer una evaluación </w:t>
      </w:r>
      <w:r w:rsidR="007E13F2" w:rsidRPr="007F4B79">
        <w:rPr>
          <w:rFonts w:ascii="Cambria" w:hAnsi="Cambria"/>
          <w:i/>
          <w:sz w:val="20"/>
          <w:szCs w:val="20"/>
          <w:lang w:val="es-ES"/>
        </w:rPr>
        <w:t>prima facie</w:t>
      </w:r>
      <w:r w:rsidR="007E13F2" w:rsidRPr="007F4B79">
        <w:rPr>
          <w:rFonts w:ascii="Cambria" w:hAnsi="Cambria"/>
          <w:sz w:val="20"/>
          <w:szCs w:val="20"/>
          <w:lang w:val="es-ES"/>
        </w:rPr>
        <w:t>, no con el objeto de establecer presuntas violaciones a la Convención Americana, sino para examinar si la petición denuncia hechos que potencialmente podrían configurar violaciones a derechos garantizados en la Convención Americana. Este examen no implica prejuzgamiento ni anticipo de la opinión sobre el fondo del asunto</w:t>
      </w:r>
      <w:r w:rsidR="007E13F2" w:rsidRPr="007F4B79">
        <w:rPr>
          <w:rFonts w:ascii="Cambria" w:hAnsi="Cambria"/>
          <w:sz w:val="20"/>
          <w:szCs w:val="20"/>
          <w:vertAlign w:val="superscript"/>
          <w:lang w:val="es-ES"/>
        </w:rPr>
        <w:footnoteReference w:id="7"/>
      </w:r>
      <w:r w:rsidR="007E13F2" w:rsidRPr="007F4B79">
        <w:rPr>
          <w:rFonts w:ascii="Cambria" w:hAnsi="Cambria"/>
          <w:sz w:val="20"/>
          <w:szCs w:val="20"/>
          <w:lang w:val="es-ES"/>
        </w:rPr>
        <w:t>.</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ES"/>
        </w:rPr>
      </w:pPr>
    </w:p>
    <w:p w:rsidR="007E13F2" w:rsidRPr="007F4B79" w:rsidRDefault="006B55B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ES"/>
        </w:rPr>
        <w:t>Asimismo, n</w:t>
      </w:r>
      <w:r w:rsidR="007E13F2" w:rsidRPr="007F4B79">
        <w:rPr>
          <w:rFonts w:ascii="Cambria" w:hAnsi="Cambria"/>
          <w:sz w:val="20"/>
          <w:szCs w:val="20"/>
          <w:lang w:val="es-ES"/>
        </w:rPr>
        <w:t xml:space="preserve">i la Convención Americana ni el Reglamento de la CIDH exigen al peticionario identificar los derechos específicos que </w:t>
      </w:r>
      <w:r w:rsidR="007E13F2" w:rsidRPr="007F4B79">
        <w:rPr>
          <w:rFonts w:ascii="Cambria" w:hAnsi="Cambria" w:cs="Calibri"/>
          <w:sz w:val="20"/>
          <w:szCs w:val="20"/>
          <w:lang w:val="es-AR"/>
        </w:rPr>
        <w:t>se</w:t>
      </w:r>
      <w:r w:rsidR="007E13F2" w:rsidRPr="007F4B79">
        <w:rPr>
          <w:rFonts w:ascii="Cambria" w:hAnsi="Cambria"/>
          <w:sz w:val="20"/>
          <w:szCs w:val="20"/>
          <w:lang w:val="es-ES"/>
        </w:rPr>
        <w:t xml:space="preserv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o podría establecerse su violación, si los hechos alegados son probados mediante elementos suficientes.</w:t>
      </w:r>
    </w:p>
    <w:p w:rsidR="00346403" w:rsidRPr="007F4B79" w:rsidRDefault="00346403" w:rsidP="0034640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7515AE" w:rsidRPr="007F4B79" w:rsidRDefault="004B2E04" w:rsidP="007515A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7F4B79">
        <w:rPr>
          <w:rFonts w:ascii="Cambria" w:hAnsi="Cambria"/>
          <w:sz w:val="20"/>
          <w:szCs w:val="20"/>
          <w:lang w:val="es-AR"/>
        </w:rPr>
        <w:t>Según la peticionaria, el 22 de septiembre de 2005</w:t>
      </w:r>
      <w:r w:rsidR="006B55B2" w:rsidRPr="007F4B79">
        <w:rPr>
          <w:rFonts w:ascii="Cambria" w:hAnsi="Cambria"/>
          <w:sz w:val="20"/>
          <w:szCs w:val="20"/>
          <w:lang w:val="es-AR"/>
        </w:rPr>
        <w:t>,</w:t>
      </w:r>
      <w:r w:rsidRPr="007F4B79">
        <w:rPr>
          <w:rFonts w:ascii="Cambria" w:hAnsi="Cambria"/>
          <w:sz w:val="20"/>
          <w:szCs w:val="20"/>
          <w:lang w:val="es-AR"/>
        </w:rPr>
        <w:t xml:space="preserve"> </w:t>
      </w:r>
      <w:r w:rsidR="003B3AA9" w:rsidRPr="007F4B79">
        <w:rPr>
          <w:rFonts w:ascii="Cambria" w:hAnsi="Cambria"/>
          <w:sz w:val="20"/>
          <w:szCs w:val="20"/>
          <w:lang w:val="es-AR"/>
        </w:rPr>
        <w:t>Jhonny Silva Arangur</w:t>
      </w:r>
      <w:r w:rsidR="00194630" w:rsidRPr="007F4B79">
        <w:rPr>
          <w:rFonts w:ascii="Cambria" w:hAnsi="Cambria"/>
          <w:sz w:val="20"/>
          <w:szCs w:val="20"/>
          <w:lang w:val="es-AR"/>
        </w:rPr>
        <w:t>en</w:t>
      </w:r>
      <w:r w:rsidR="001515C2" w:rsidRPr="007F4B79">
        <w:rPr>
          <w:rFonts w:ascii="Cambria" w:hAnsi="Cambria"/>
          <w:sz w:val="20"/>
          <w:szCs w:val="20"/>
          <w:lang w:val="es-AR"/>
        </w:rPr>
        <w:t xml:space="preserve"> murió tras recibir</w:t>
      </w:r>
      <w:r w:rsidR="00944022" w:rsidRPr="007F4B79">
        <w:rPr>
          <w:rFonts w:ascii="Cambria" w:hAnsi="Cambria"/>
          <w:sz w:val="20"/>
          <w:szCs w:val="20"/>
          <w:lang w:val="es-AR"/>
        </w:rPr>
        <w:t xml:space="preserve"> un disparo</w:t>
      </w:r>
      <w:r w:rsidRPr="007F4B79">
        <w:rPr>
          <w:rFonts w:ascii="Cambria" w:hAnsi="Cambria"/>
          <w:sz w:val="20"/>
          <w:szCs w:val="20"/>
          <w:lang w:val="es-AR"/>
        </w:rPr>
        <w:t xml:space="preserve"> de arma de fuego</w:t>
      </w:r>
      <w:r w:rsidR="00944022" w:rsidRPr="007F4B79">
        <w:rPr>
          <w:rFonts w:ascii="Cambria" w:hAnsi="Cambria"/>
          <w:sz w:val="20"/>
          <w:szCs w:val="20"/>
          <w:lang w:val="es-AR"/>
        </w:rPr>
        <w:t xml:space="preserve"> </w:t>
      </w:r>
      <w:r w:rsidR="001515C2" w:rsidRPr="007F4B79">
        <w:rPr>
          <w:rFonts w:ascii="Cambria" w:hAnsi="Cambria"/>
          <w:sz w:val="20"/>
          <w:szCs w:val="20"/>
          <w:lang w:val="es-AR"/>
        </w:rPr>
        <w:t xml:space="preserve">cuando participaba en una protesta estudiantil en la Universidad del Valle, la peticionaria alega que el disparo fue proferido </w:t>
      </w:r>
      <w:r w:rsidR="00944022" w:rsidRPr="007F4B79">
        <w:rPr>
          <w:rFonts w:ascii="Cambria" w:hAnsi="Cambria"/>
          <w:sz w:val="20"/>
          <w:szCs w:val="20"/>
          <w:lang w:val="es-AR"/>
        </w:rPr>
        <w:t>por un integrante del</w:t>
      </w:r>
      <w:r w:rsidR="001515C2" w:rsidRPr="007F4B79">
        <w:rPr>
          <w:rFonts w:ascii="Cambria" w:hAnsi="Cambria"/>
          <w:sz w:val="20"/>
          <w:szCs w:val="20"/>
          <w:lang w:val="es-AR"/>
        </w:rPr>
        <w:t xml:space="preserve"> cuerpo antidisturbios de la </w:t>
      </w:r>
      <w:r w:rsidR="001515C2" w:rsidRPr="007F4B79">
        <w:rPr>
          <w:rFonts w:ascii="Cambria" w:hAnsi="Cambria"/>
          <w:sz w:val="20"/>
          <w:szCs w:val="20"/>
          <w:lang w:val="es-AR"/>
        </w:rPr>
        <w:lastRenderedPageBreak/>
        <w:t>policía</w:t>
      </w:r>
      <w:r w:rsidR="00944022" w:rsidRPr="007F4B79">
        <w:rPr>
          <w:rFonts w:ascii="Cambria" w:hAnsi="Cambria"/>
          <w:sz w:val="20"/>
          <w:szCs w:val="20"/>
          <w:lang w:val="es-AR"/>
        </w:rPr>
        <w:t xml:space="preserve"> </w:t>
      </w:r>
      <w:r w:rsidR="001515C2" w:rsidRPr="007F4B79">
        <w:rPr>
          <w:rFonts w:ascii="Cambria" w:hAnsi="Cambria"/>
          <w:sz w:val="20"/>
          <w:szCs w:val="20"/>
          <w:lang w:val="es-AR"/>
        </w:rPr>
        <w:t>(</w:t>
      </w:r>
      <w:r w:rsidR="00944022" w:rsidRPr="007F4B79">
        <w:rPr>
          <w:rFonts w:ascii="Cambria" w:hAnsi="Cambria"/>
          <w:sz w:val="20"/>
          <w:szCs w:val="20"/>
          <w:lang w:val="es-AR"/>
        </w:rPr>
        <w:t>ESMAD</w:t>
      </w:r>
      <w:r w:rsidR="001515C2" w:rsidRPr="007F4B79">
        <w:rPr>
          <w:rFonts w:ascii="Cambria" w:hAnsi="Cambria"/>
          <w:sz w:val="20"/>
          <w:szCs w:val="20"/>
          <w:lang w:val="es-AR"/>
        </w:rPr>
        <w:t>)</w:t>
      </w:r>
      <w:r w:rsidRPr="007F4B79">
        <w:rPr>
          <w:rFonts w:ascii="Cambria" w:hAnsi="Cambria"/>
          <w:sz w:val="20"/>
          <w:szCs w:val="20"/>
          <w:lang w:val="es-AR"/>
        </w:rPr>
        <w:t xml:space="preserve">. </w:t>
      </w:r>
      <w:r w:rsidR="00F81608" w:rsidRPr="007F4B79">
        <w:rPr>
          <w:rFonts w:ascii="Cambria" w:hAnsi="Cambria"/>
          <w:sz w:val="20"/>
          <w:szCs w:val="20"/>
          <w:lang w:val="es-ES"/>
        </w:rPr>
        <w:t>Asimismo</w:t>
      </w:r>
      <w:r w:rsidR="0084398F" w:rsidRPr="007F4B79">
        <w:rPr>
          <w:rFonts w:ascii="Cambria" w:hAnsi="Cambria"/>
          <w:sz w:val="20"/>
          <w:szCs w:val="20"/>
          <w:lang w:val="es-ES"/>
        </w:rPr>
        <w:t xml:space="preserve">, la peticionaria </w:t>
      </w:r>
      <w:r w:rsidR="00591D6D" w:rsidRPr="007F4B79">
        <w:rPr>
          <w:rFonts w:ascii="Cambria" w:hAnsi="Cambria"/>
          <w:sz w:val="20"/>
          <w:szCs w:val="20"/>
          <w:lang w:val="es-ES"/>
        </w:rPr>
        <w:t>alegó</w:t>
      </w:r>
      <w:r w:rsidR="0084398F" w:rsidRPr="007F4B79">
        <w:rPr>
          <w:rFonts w:ascii="Cambria" w:hAnsi="Cambria"/>
          <w:sz w:val="20"/>
          <w:szCs w:val="20"/>
          <w:lang w:val="es-ES"/>
        </w:rPr>
        <w:t xml:space="preserve"> la </w:t>
      </w:r>
      <w:r w:rsidR="00194630" w:rsidRPr="007F4B79">
        <w:rPr>
          <w:rFonts w:ascii="Cambria" w:hAnsi="Cambria"/>
          <w:sz w:val="20"/>
          <w:szCs w:val="20"/>
          <w:lang w:val="es-AR"/>
        </w:rPr>
        <w:t>posterior falta de investigación y esclarecimi</w:t>
      </w:r>
      <w:r w:rsidR="002E7AA4" w:rsidRPr="007F4B79">
        <w:rPr>
          <w:rFonts w:ascii="Cambria" w:hAnsi="Cambria"/>
          <w:sz w:val="20"/>
          <w:szCs w:val="20"/>
          <w:lang w:val="es-AR"/>
        </w:rPr>
        <w:t>ento de los hechos</w:t>
      </w:r>
      <w:r w:rsidR="00FB5545" w:rsidRPr="007F4B79">
        <w:rPr>
          <w:rFonts w:ascii="Cambria" w:hAnsi="Cambria"/>
          <w:sz w:val="20"/>
          <w:szCs w:val="20"/>
          <w:lang w:val="es-ES"/>
        </w:rPr>
        <w:t xml:space="preserve">. El Estado, por su parte, </w:t>
      </w:r>
      <w:r w:rsidR="00CF0EF8" w:rsidRPr="007F4B79">
        <w:rPr>
          <w:rFonts w:ascii="Cambria" w:hAnsi="Cambria"/>
          <w:sz w:val="20"/>
          <w:szCs w:val="20"/>
          <w:lang w:val="es-ES"/>
        </w:rPr>
        <w:t>s</w:t>
      </w:r>
      <w:r w:rsidR="00C01EE6" w:rsidRPr="007F4B79">
        <w:rPr>
          <w:rFonts w:ascii="Cambria" w:hAnsi="Cambria"/>
          <w:sz w:val="20"/>
          <w:szCs w:val="20"/>
          <w:lang w:val="es-ES"/>
        </w:rPr>
        <w:t xml:space="preserve">eñaló que los hechos alegados en la presente petición “carecen de elementos probatorios” y no caracterizarían, “ni siquiera </w:t>
      </w:r>
      <w:r w:rsidR="00C01EE6" w:rsidRPr="007F4B79">
        <w:rPr>
          <w:rFonts w:ascii="Cambria" w:hAnsi="Cambria"/>
          <w:i/>
          <w:sz w:val="20"/>
          <w:szCs w:val="20"/>
          <w:lang w:val="es-ES"/>
        </w:rPr>
        <w:t>prima facie</w:t>
      </w:r>
      <w:r w:rsidR="00C01EE6" w:rsidRPr="007F4B79">
        <w:rPr>
          <w:rFonts w:ascii="Cambria" w:hAnsi="Cambria"/>
          <w:sz w:val="20"/>
          <w:szCs w:val="20"/>
          <w:lang w:val="es-ES"/>
        </w:rPr>
        <w:t xml:space="preserve">”, una violación de los derechos garantizados por la Convención Americana. </w:t>
      </w:r>
    </w:p>
    <w:p w:rsidR="007515AE" w:rsidRPr="007F4B79" w:rsidRDefault="007515AE" w:rsidP="007F4B7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F81608" w:rsidRPr="007F4B79" w:rsidRDefault="00524339" w:rsidP="00EE6D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ES"/>
        </w:rPr>
      </w:pPr>
      <w:r w:rsidRPr="007F4B79">
        <w:rPr>
          <w:rFonts w:ascii="Cambria" w:hAnsi="Cambria"/>
          <w:sz w:val="20"/>
          <w:szCs w:val="20"/>
          <w:lang w:val="es-ES"/>
        </w:rPr>
        <w:t>E</w:t>
      </w:r>
      <w:r w:rsidR="00FB5545" w:rsidRPr="007F4B79">
        <w:rPr>
          <w:rFonts w:ascii="Cambria" w:hAnsi="Cambria"/>
          <w:sz w:val="20"/>
          <w:szCs w:val="20"/>
          <w:lang w:val="es-ES"/>
        </w:rPr>
        <w:t xml:space="preserve">n vista de los elementos de hecho y de derecho presentados por las partes y la naturaleza del asunto puesto a su conocimiento, la CIDH considera que los alegatos de la peticionaria sobre el alcance de la presunta responsabilidad estatal respecto de los hechos materia </w:t>
      </w:r>
      <w:r w:rsidR="00E64633" w:rsidRPr="007F4B79">
        <w:rPr>
          <w:rFonts w:ascii="Cambria" w:hAnsi="Cambria"/>
          <w:sz w:val="20"/>
          <w:szCs w:val="20"/>
          <w:lang w:val="es-ES"/>
        </w:rPr>
        <w:t>del reclamo</w:t>
      </w:r>
      <w:r w:rsidR="00FB5545" w:rsidRPr="007F4B79">
        <w:rPr>
          <w:rFonts w:ascii="Cambria" w:hAnsi="Cambria"/>
          <w:sz w:val="20"/>
          <w:szCs w:val="20"/>
          <w:lang w:val="es-ES"/>
        </w:rPr>
        <w:t xml:space="preserve"> podrían caracterizar posibles violaciones a los derechos contenidos en </w:t>
      </w:r>
      <w:r w:rsidR="00F81608" w:rsidRPr="007F4B79">
        <w:rPr>
          <w:rFonts w:ascii="Cambria" w:hAnsi="Cambria"/>
          <w:sz w:val="20"/>
          <w:szCs w:val="20"/>
          <w:lang w:val="es-CO"/>
        </w:rPr>
        <w:t xml:space="preserve">los artículos 4, </w:t>
      </w:r>
      <w:r w:rsidR="002D7137" w:rsidRPr="007F4B79">
        <w:rPr>
          <w:rFonts w:ascii="Cambria" w:hAnsi="Cambria"/>
          <w:sz w:val="20"/>
          <w:szCs w:val="20"/>
          <w:lang w:val="es-CO"/>
        </w:rPr>
        <w:t>8</w:t>
      </w:r>
      <w:r w:rsidR="00FB5545" w:rsidRPr="007F4B79">
        <w:rPr>
          <w:rFonts w:ascii="Cambria" w:hAnsi="Cambria"/>
          <w:sz w:val="20"/>
          <w:szCs w:val="20"/>
          <w:lang w:val="es-CO"/>
        </w:rPr>
        <w:t xml:space="preserve">, 13, 15 y 25 de la Convención Americana sobre los Derechos Humanos. </w:t>
      </w:r>
      <w:r w:rsidR="00FB5545" w:rsidRPr="007F4B79">
        <w:rPr>
          <w:rFonts w:ascii="Cambria" w:hAnsi="Cambria"/>
          <w:sz w:val="20"/>
          <w:szCs w:val="20"/>
          <w:lang w:val="es-ES"/>
        </w:rPr>
        <w:t>La Comisión analizará la posible violación de estas disposiciones a la luz de las obligaci</w:t>
      </w:r>
      <w:r w:rsidRPr="007F4B79">
        <w:rPr>
          <w:rFonts w:ascii="Cambria" w:hAnsi="Cambria"/>
          <w:sz w:val="20"/>
          <w:szCs w:val="20"/>
          <w:lang w:val="es-ES"/>
        </w:rPr>
        <w:t>ones generales consagradas en los</w:t>
      </w:r>
      <w:r w:rsidR="00FB5545" w:rsidRPr="007F4B79">
        <w:rPr>
          <w:rFonts w:ascii="Cambria" w:hAnsi="Cambria"/>
          <w:sz w:val="20"/>
          <w:szCs w:val="20"/>
          <w:lang w:val="es-ES"/>
        </w:rPr>
        <w:t xml:space="preserve"> artículo</w:t>
      </w:r>
      <w:r w:rsidRPr="007F4B79">
        <w:rPr>
          <w:rFonts w:ascii="Cambria" w:hAnsi="Cambria"/>
          <w:sz w:val="20"/>
          <w:szCs w:val="20"/>
          <w:lang w:val="es-ES"/>
        </w:rPr>
        <w:t>s</w:t>
      </w:r>
      <w:r w:rsidR="00FB5545" w:rsidRPr="007F4B79">
        <w:rPr>
          <w:rFonts w:ascii="Cambria" w:hAnsi="Cambria"/>
          <w:sz w:val="20"/>
          <w:szCs w:val="20"/>
          <w:lang w:val="es-ES"/>
        </w:rPr>
        <w:t xml:space="preserve"> 1.1</w:t>
      </w:r>
      <w:r w:rsidR="00A76E2D">
        <w:rPr>
          <w:rFonts w:ascii="Cambria" w:hAnsi="Cambria"/>
          <w:sz w:val="20"/>
          <w:szCs w:val="20"/>
          <w:lang w:val="es-ES"/>
        </w:rPr>
        <w:t xml:space="preserve"> </w:t>
      </w:r>
      <w:r w:rsidRPr="007F4B79">
        <w:rPr>
          <w:rFonts w:ascii="Cambria" w:hAnsi="Cambria"/>
          <w:sz w:val="20"/>
          <w:szCs w:val="20"/>
          <w:lang w:val="es-ES"/>
        </w:rPr>
        <w:t>y 2</w:t>
      </w:r>
      <w:r w:rsidR="00FB5545" w:rsidRPr="007F4B79">
        <w:rPr>
          <w:rFonts w:ascii="Cambria" w:hAnsi="Cambria"/>
          <w:sz w:val="20"/>
          <w:szCs w:val="20"/>
          <w:lang w:val="es-ES"/>
        </w:rPr>
        <w:t xml:space="preserve"> del mismo </w:t>
      </w:r>
      <w:r w:rsidRPr="007F4B79">
        <w:rPr>
          <w:rFonts w:ascii="Cambria" w:hAnsi="Cambria"/>
          <w:sz w:val="20"/>
          <w:szCs w:val="20"/>
          <w:lang w:val="es-ES"/>
        </w:rPr>
        <w:t>tratado</w:t>
      </w:r>
      <w:r w:rsidR="00FB5545" w:rsidRPr="007F4B79">
        <w:rPr>
          <w:rFonts w:ascii="Cambria" w:hAnsi="Cambria"/>
          <w:sz w:val="20"/>
          <w:szCs w:val="20"/>
          <w:lang w:val="es-ES"/>
        </w:rPr>
        <w:t>.</w:t>
      </w:r>
    </w:p>
    <w:p w:rsidR="00F81608" w:rsidRPr="007F4B79" w:rsidRDefault="00F81608" w:rsidP="00FB55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lang w:val="es-ES"/>
        </w:rPr>
      </w:pPr>
      <w:r w:rsidRPr="007F4B79">
        <w:rPr>
          <w:rFonts w:ascii="Cambria" w:hAnsi="Cambria"/>
          <w:sz w:val="20"/>
          <w:szCs w:val="20"/>
          <w:lang w:val="es-ES"/>
        </w:rPr>
        <w:t xml:space="preserve">Adicionalmente, </w:t>
      </w:r>
      <w:r w:rsidR="004D7823" w:rsidRPr="007F4B79">
        <w:rPr>
          <w:rFonts w:ascii="Cambria" w:hAnsi="Cambria"/>
          <w:sz w:val="20"/>
          <w:szCs w:val="20"/>
          <w:lang w:val="es-ES"/>
        </w:rPr>
        <w:t xml:space="preserve">y </w:t>
      </w:r>
      <w:r w:rsidRPr="007F4B79">
        <w:rPr>
          <w:rFonts w:ascii="Cambria" w:hAnsi="Cambria"/>
          <w:sz w:val="20"/>
          <w:szCs w:val="20"/>
          <w:lang w:val="es-ES"/>
        </w:rPr>
        <w:t xml:space="preserve">conforme su jurisprudencia, la Comisión evaluará la posible vulneración del artículo 5 de la Convención Americana, en combinación con el artículo 1.1 del mismo documento, en perjuicio de Wilman Silva Betancourt y Eneried Aranguren, padres de la presunta víctima. </w:t>
      </w:r>
    </w:p>
    <w:p w:rsidR="007E13F2" w:rsidRPr="007F4B79" w:rsidRDefault="007E13F2" w:rsidP="00DD624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sz w:val="20"/>
          <w:szCs w:val="20"/>
          <w:lang w:val="es-AR"/>
        </w:rPr>
        <w:t xml:space="preserve">En conclusión, la CIDH decide que la petición no es “manifiestamente infundada” ni resulta “evidente su total improcedencia”, y como resultado declara que la peticionaria ha cumplido </w:t>
      </w:r>
      <w:r w:rsidRPr="007F4B79">
        <w:rPr>
          <w:rFonts w:ascii="Cambria" w:hAnsi="Cambria"/>
          <w:i/>
          <w:iCs/>
          <w:sz w:val="20"/>
          <w:szCs w:val="20"/>
          <w:lang w:val="es-AR"/>
        </w:rPr>
        <w:t xml:space="preserve">prima facie </w:t>
      </w:r>
      <w:r w:rsidRPr="007F4B79">
        <w:rPr>
          <w:rFonts w:ascii="Cambria" w:hAnsi="Cambria"/>
          <w:sz w:val="20"/>
          <w:szCs w:val="20"/>
          <w:lang w:val="es-AR"/>
        </w:rPr>
        <w:t xml:space="preserve">los requisitos contenidos en el artículo 47.b. de la Convención Americana con relación a potenciales violaciones de los artículos </w:t>
      </w:r>
      <w:r w:rsidR="00EE0B52" w:rsidRPr="007F4B79">
        <w:rPr>
          <w:rFonts w:ascii="Cambria" w:hAnsi="Cambria"/>
          <w:sz w:val="20"/>
          <w:szCs w:val="20"/>
          <w:lang w:val="es-AR"/>
        </w:rPr>
        <w:t>4</w:t>
      </w:r>
      <w:r w:rsidR="00FB5545" w:rsidRPr="007F4B79">
        <w:rPr>
          <w:rFonts w:ascii="Cambria" w:hAnsi="Cambria"/>
          <w:sz w:val="20"/>
          <w:szCs w:val="20"/>
          <w:lang w:val="es-AR"/>
        </w:rPr>
        <w:t xml:space="preserve"> (derecho a la vida)</w:t>
      </w:r>
      <w:r w:rsidR="00EE0B52" w:rsidRPr="007F4B79">
        <w:rPr>
          <w:rFonts w:ascii="Cambria" w:hAnsi="Cambria"/>
          <w:sz w:val="20"/>
          <w:szCs w:val="20"/>
          <w:lang w:val="es-AR"/>
        </w:rPr>
        <w:t xml:space="preserve">, </w:t>
      </w:r>
      <w:r w:rsidR="00EE0B52" w:rsidRPr="007F4B79">
        <w:rPr>
          <w:rFonts w:ascii="Cambria" w:hAnsi="Cambria"/>
          <w:sz w:val="20"/>
          <w:szCs w:val="20"/>
          <w:lang w:val="es-ES"/>
        </w:rPr>
        <w:t>5</w:t>
      </w:r>
      <w:r w:rsidR="00FB5545" w:rsidRPr="007F4B79">
        <w:rPr>
          <w:rFonts w:ascii="Cambria" w:hAnsi="Cambria"/>
          <w:sz w:val="20"/>
          <w:szCs w:val="20"/>
          <w:lang w:val="es-ES"/>
        </w:rPr>
        <w:t xml:space="preserve"> (derecho a la integridad personal)</w:t>
      </w:r>
      <w:r w:rsidR="00EE0B52" w:rsidRPr="007F4B79">
        <w:rPr>
          <w:rFonts w:ascii="Cambria" w:hAnsi="Cambria"/>
          <w:sz w:val="20"/>
          <w:szCs w:val="20"/>
          <w:lang w:val="es-ES"/>
        </w:rPr>
        <w:t>, 8</w:t>
      </w:r>
      <w:r w:rsidR="00FB5545" w:rsidRPr="007F4B79">
        <w:rPr>
          <w:rFonts w:ascii="Cambria" w:hAnsi="Cambria"/>
          <w:sz w:val="20"/>
          <w:szCs w:val="20"/>
          <w:lang w:val="es-ES"/>
        </w:rPr>
        <w:t xml:space="preserve"> (garantías judiciales)</w:t>
      </w:r>
      <w:r w:rsidR="00EE0B52" w:rsidRPr="007F4B79">
        <w:rPr>
          <w:rFonts w:ascii="Cambria" w:hAnsi="Cambria"/>
          <w:sz w:val="20"/>
          <w:szCs w:val="20"/>
          <w:lang w:val="es-ES"/>
        </w:rPr>
        <w:t xml:space="preserve">, </w:t>
      </w:r>
      <w:r w:rsidRPr="007F4B79">
        <w:rPr>
          <w:rFonts w:ascii="Cambria" w:hAnsi="Cambria"/>
          <w:sz w:val="20"/>
          <w:szCs w:val="20"/>
          <w:lang w:val="es-ES"/>
        </w:rPr>
        <w:t>13</w:t>
      </w:r>
      <w:r w:rsidR="00FB5545" w:rsidRPr="007F4B79">
        <w:rPr>
          <w:rFonts w:ascii="Cambria" w:hAnsi="Cambria"/>
          <w:sz w:val="20"/>
          <w:szCs w:val="20"/>
          <w:lang w:val="es-ES"/>
        </w:rPr>
        <w:t xml:space="preserve"> (</w:t>
      </w:r>
      <w:r w:rsidR="007D3690" w:rsidRPr="007F4B79">
        <w:rPr>
          <w:rFonts w:ascii="Cambria" w:hAnsi="Cambria"/>
          <w:sz w:val="20"/>
          <w:szCs w:val="20"/>
          <w:lang w:val="es-ES"/>
        </w:rPr>
        <w:t xml:space="preserve">derecho a la </w:t>
      </w:r>
      <w:r w:rsidR="00FB5545" w:rsidRPr="007F4B79">
        <w:rPr>
          <w:rFonts w:ascii="Cambria" w:hAnsi="Cambria"/>
          <w:sz w:val="20"/>
          <w:szCs w:val="20"/>
          <w:lang w:val="es-ES"/>
        </w:rPr>
        <w:t>libertad de pensamiento y de expresión)</w:t>
      </w:r>
      <w:r w:rsidRPr="007F4B79">
        <w:rPr>
          <w:rFonts w:ascii="Cambria" w:hAnsi="Cambria"/>
          <w:sz w:val="20"/>
          <w:szCs w:val="20"/>
          <w:lang w:val="es-ES"/>
        </w:rPr>
        <w:t xml:space="preserve">, </w:t>
      </w:r>
      <w:r w:rsidR="0042708D" w:rsidRPr="007F4B79">
        <w:rPr>
          <w:rFonts w:ascii="Cambria" w:hAnsi="Cambria"/>
          <w:sz w:val="20"/>
          <w:szCs w:val="20"/>
          <w:lang w:val="es-ES"/>
        </w:rPr>
        <w:t>15</w:t>
      </w:r>
      <w:r w:rsidR="00FB5545" w:rsidRPr="007F4B79">
        <w:rPr>
          <w:rFonts w:ascii="Cambria" w:hAnsi="Cambria"/>
          <w:sz w:val="20"/>
          <w:szCs w:val="20"/>
          <w:lang w:val="es-ES"/>
        </w:rPr>
        <w:t xml:space="preserve"> (derecho de reunión)</w:t>
      </w:r>
      <w:r w:rsidR="00EE0B52" w:rsidRPr="007F4B79">
        <w:rPr>
          <w:rFonts w:ascii="Cambria" w:hAnsi="Cambria"/>
          <w:sz w:val="20"/>
          <w:szCs w:val="20"/>
          <w:lang w:val="es-ES"/>
        </w:rPr>
        <w:t xml:space="preserve"> y</w:t>
      </w:r>
      <w:r w:rsidRPr="007F4B79">
        <w:rPr>
          <w:rFonts w:ascii="Cambria" w:hAnsi="Cambria"/>
          <w:sz w:val="20"/>
          <w:szCs w:val="20"/>
          <w:lang w:val="es-ES"/>
        </w:rPr>
        <w:t xml:space="preserve"> 25</w:t>
      </w:r>
      <w:r w:rsidR="00C01EE6" w:rsidRPr="007F4B79">
        <w:rPr>
          <w:rFonts w:ascii="Cambria" w:hAnsi="Cambria"/>
          <w:sz w:val="20"/>
          <w:szCs w:val="20"/>
          <w:lang w:val="es-ES"/>
        </w:rPr>
        <w:t xml:space="preserve"> (protección judicial)</w:t>
      </w:r>
      <w:r w:rsidRPr="007F4B79">
        <w:rPr>
          <w:rFonts w:ascii="Cambria" w:hAnsi="Cambria"/>
          <w:sz w:val="20"/>
          <w:szCs w:val="20"/>
          <w:lang w:val="es-ES"/>
        </w:rPr>
        <w:t xml:space="preserve"> </w:t>
      </w:r>
      <w:r w:rsidRPr="007F4B79">
        <w:rPr>
          <w:rFonts w:ascii="Cambria" w:hAnsi="Cambria"/>
          <w:sz w:val="20"/>
          <w:szCs w:val="20"/>
          <w:lang w:val="es-AR"/>
        </w:rPr>
        <w:t>de la Convención Am</w:t>
      </w:r>
      <w:r w:rsidR="00524339" w:rsidRPr="007F4B79">
        <w:rPr>
          <w:rFonts w:ascii="Cambria" w:hAnsi="Cambria"/>
          <w:sz w:val="20"/>
          <w:szCs w:val="20"/>
          <w:lang w:val="es-AR"/>
        </w:rPr>
        <w:t xml:space="preserve">ericana, </w:t>
      </w:r>
      <w:r w:rsidR="000F18D5" w:rsidRPr="007F4B79">
        <w:rPr>
          <w:rFonts w:ascii="Cambria" w:hAnsi="Cambria"/>
          <w:sz w:val="20"/>
          <w:szCs w:val="20"/>
          <w:lang w:val="es-AR"/>
        </w:rPr>
        <w:t>en perjuicio de Jhonny Silva Ara</w:t>
      </w:r>
      <w:r w:rsidR="009819A7" w:rsidRPr="007F4B79">
        <w:rPr>
          <w:rFonts w:ascii="Cambria" w:hAnsi="Cambria"/>
          <w:sz w:val="20"/>
          <w:szCs w:val="20"/>
          <w:lang w:val="es-AR"/>
        </w:rPr>
        <w:t>n</w:t>
      </w:r>
      <w:r w:rsidR="000F18D5" w:rsidRPr="007F4B79">
        <w:rPr>
          <w:rFonts w:ascii="Cambria" w:hAnsi="Cambria"/>
          <w:sz w:val="20"/>
          <w:szCs w:val="20"/>
          <w:lang w:val="es-AR"/>
        </w:rPr>
        <w:t xml:space="preserve">guren y sus familiares, </w:t>
      </w:r>
      <w:r w:rsidR="00524339" w:rsidRPr="007F4B79">
        <w:rPr>
          <w:rFonts w:ascii="Cambria" w:hAnsi="Cambria"/>
          <w:sz w:val="20"/>
          <w:szCs w:val="20"/>
          <w:lang w:val="es-AR"/>
        </w:rPr>
        <w:t>en concordancia con los</w:t>
      </w:r>
      <w:r w:rsidR="00EE0B52" w:rsidRPr="007F4B79">
        <w:rPr>
          <w:rFonts w:ascii="Cambria" w:hAnsi="Cambria"/>
          <w:sz w:val="20"/>
          <w:szCs w:val="20"/>
          <w:lang w:val="es-AR"/>
        </w:rPr>
        <w:t xml:space="preserve"> artículo</w:t>
      </w:r>
      <w:r w:rsidR="00524339" w:rsidRPr="007F4B79">
        <w:rPr>
          <w:rFonts w:ascii="Cambria" w:hAnsi="Cambria"/>
          <w:sz w:val="20"/>
          <w:szCs w:val="20"/>
          <w:lang w:val="es-AR"/>
        </w:rPr>
        <w:t>s</w:t>
      </w:r>
      <w:r w:rsidR="00EE0B52" w:rsidRPr="007F4B79">
        <w:rPr>
          <w:rFonts w:ascii="Cambria" w:hAnsi="Cambria"/>
          <w:sz w:val="20"/>
          <w:szCs w:val="20"/>
          <w:lang w:val="es-AR"/>
        </w:rPr>
        <w:t xml:space="preserve"> 1.1</w:t>
      </w:r>
      <w:r w:rsidR="00C01EE6" w:rsidRPr="007F4B79">
        <w:rPr>
          <w:rFonts w:ascii="Cambria" w:hAnsi="Cambria"/>
          <w:sz w:val="20"/>
          <w:szCs w:val="20"/>
          <w:lang w:val="es-AR"/>
        </w:rPr>
        <w:t xml:space="preserve"> (obligación de respetar los derechos)</w:t>
      </w:r>
      <w:r w:rsidR="00524339" w:rsidRPr="007F4B79">
        <w:rPr>
          <w:rFonts w:ascii="Cambria" w:hAnsi="Cambria"/>
          <w:sz w:val="20"/>
          <w:szCs w:val="20"/>
          <w:lang w:val="es-AR"/>
        </w:rPr>
        <w:t xml:space="preserve"> y 2 (deber de adoptar disposiciones de derecho interno)</w:t>
      </w:r>
      <w:r w:rsidR="00EE0B52" w:rsidRPr="007F4B79">
        <w:rPr>
          <w:rFonts w:ascii="Cambria" w:hAnsi="Cambria"/>
          <w:sz w:val="20"/>
          <w:szCs w:val="20"/>
          <w:lang w:val="es-AR"/>
        </w:rPr>
        <w:t xml:space="preserve"> </w:t>
      </w:r>
      <w:r w:rsidRPr="007F4B79">
        <w:rPr>
          <w:rFonts w:ascii="Cambria" w:hAnsi="Cambria"/>
          <w:sz w:val="20"/>
          <w:szCs w:val="20"/>
          <w:lang w:val="es-AR"/>
        </w:rPr>
        <w:t>del mismo instrumento, como se detalló anteriormente.</w:t>
      </w:r>
      <w:r w:rsidR="008B5630" w:rsidRPr="007F4B79">
        <w:rPr>
          <w:rFonts w:ascii="Cambria" w:hAnsi="Cambria"/>
          <w:sz w:val="20"/>
          <w:szCs w:val="20"/>
          <w:lang w:val="es-AR"/>
        </w:rPr>
        <w:t xml:space="preserve"> </w:t>
      </w:r>
      <w:r w:rsidR="00DD6249" w:rsidRPr="007F4B79">
        <w:rPr>
          <w:rFonts w:ascii="Cambria" w:hAnsi="Cambria"/>
          <w:sz w:val="20"/>
          <w:szCs w:val="20"/>
          <w:lang w:val="es-AR"/>
        </w:rPr>
        <w:t xml:space="preserve">Asimismo, </w:t>
      </w:r>
      <w:r w:rsidR="00DD6249" w:rsidRPr="007F4B79">
        <w:rPr>
          <w:rFonts w:ascii="Cambria" w:hAnsi="Cambria"/>
          <w:sz w:val="20"/>
          <w:szCs w:val="20"/>
          <w:lang w:val="es-ES"/>
        </w:rPr>
        <w:t>decide</w:t>
      </w:r>
      <w:r w:rsidR="00DD6249" w:rsidRPr="007F4B79">
        <w:rPr>
          <w:rFonts w:ascii="Cambria" w:hAnsi="Cambria"/>
          <w:b/>
          <w:sz w:val="20"/>
          <w:szCs w:val="20"/>
          <w:lang w:val="es-ES"/>
        </w:rPr>
        <w:t xml:space="preserve"> </w:t>
      </w:r>
      <w:r w:rsidR="008B5630" w:rsidRPr="007F4B79">
        <w:rPr>
          <w:rFonts w:ascii="Cambria" w:hAnsi="Cambria"/>
          <w:sz w:val="20"/>
          <w:szCs w:val="20"/>
          <w:lang w:val="es-AR"/>
        </w:rPr>
        <w:t>declarar inadmisible la presente petición en lo que se refiere a la presunta violación del artículo 23 (derechos políticos) de la Convención Americana.</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7E13F2">
      <w:pPr>
        <w:pStyle w:val="Heading3"/>
        <w:spacing w:before="0" w:after="0"/>
        <w:ind w:left="720"/>
        <w:rPr>
          <w:rFonts w:ascii="Cambria" w:hAnsi="Cambria"/>
          <w:sz w:val="20"/>
          <w:szCs w:val="20"/>
          <w:lang w:val="es-ES"/>
        </w:rPr>
      </w:pPr>
      <w:bookmarkStart w:id="36" w:name="_Toc400530896"/>
      <w:bookmarkStart w:id="37" w:name="_Toc400531000"/>
      <w:bookmarkStart w:id="38" w:name="_Toc400531336"/>
      <w:r w:rsidRPr="007F4B79">
        <w:rPr>
          <w:rFonts w:ascii="Cambria" w:hAnsi="Cambria"/>
          <w:sz w:val="20"/>
          <w:szCs w:val="20"/>
          <w:lang w:val="es-ES"/>
        </w:rPr>
        <w:t>V.</w:t>
      </w:r>
      <w:r w:rsidRPr="007F4B79">
        <w:rPr>
          <w:rFonts w:ascii="Cambria" w:hAnsi="Cambria"/>
          <w:sz w:val="20"/>
          <w:szCs w:val="20"/>
          <w:lang w:val="es-ES"/>
        </w:rPr>
        <w:tab/>
        <w:t>CONCLUSIÓN</w:t>
      </w:r>
      <w:bookmarkEnd w:id="36"/>
      <w:bookmarkEnd w:id="37"/>
      <w:bookmarkEnd w:id="38"/>
      <w:r w:rsidRPr="007F4B79">
        <w:rPr>
          <w:rFonts w:ascii="Cambria" w:hAnsi="Cambria"/>
          <w:sz w:val="20"/>
          <w:szCs w:val="20"/>
          <w:lang w:val="es-ES"/>
        </w:rPr>
        <w:fldChar w:fldCharType="begin"/>
      </w:r>
      <w:r w:rsidRPr="007F4B79">
        <w:rPr>
          <w:rFonts w:ascii="Cambria" w:hAnsi="Cambria"/>
          <w:sz w:val="20"/>
          <w:szCs w:val="20"/>
          <w:lang w:val="es-ES"/>
        </w:rPr>
        <w:instrText xml:space="preserve"> XE "CONCLUSIÓN" </w:instrText>
      </w:r>
      <w:r w:rsidRPr="007F4B79">
        <w:rPr>
          <w:rFonts w:ascii="Cambria" w:hAnsi="Cambria"/>
          <w:sz w:val="20"/>
          <w:szCs w:val="20"/>
          <w:lang w:val="es-ES"/>
        </w:rPr>
        <w:fldChar w:fldCharType="end"/>
      </w:r>
    </w:p>
    <w:p w:rsidR="007E13F2" w:rsidRPr="007F4B79" w:rsidRDefault="007E13F2" w:rsidP="008D00AA">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7F4B79">
        <w:rPr>
          <w:rFonts w:ascii="Cambria" w:hAnsi="Cambria"/>
          <w:sz w:val="20"/>
          <w:szCs w:val="20"/>
          <w:lang w:val="es-ES"/>
        </w:rPr>
        <w:t>La Comisión Interamericana concluye que tiene competencia para conocer el fondo de este caso y que la petición es admisible de conformidad con los artículos 46 y 47 de la Convención Americana. Con fundamento en los argumentos de hecho y de derecho antes expuestos, y sin prejuzgar sobre el fondo de la cuestión</w:t>
      </w:r>
      <w:r w:rsidR="0034615C" w:rsidRPr="007F4B79">
        <w:rPr>
          <w:rFonts w:ascii="Cambria" w:hAnsi="Cambria"/>
          <w:sz w:val="20"/>
          <w:szCs w:val="20"/>
          <w:lang w:val="es-ES"/>
        </w:rPr>
        <w:t>,</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3B5F04" w:rsidRDefault="007E13F2" w:rsidP="003B5F04">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lang w:val="es-ES"/>
        </w:rPr>
      </w:pPr>
      <w:r w:rsidRPr="007F4B79">
        <w:rPr>
          <w:rFonts w:ascii="Cambria" w:hAnsi="Cambria"/>
          <w:b/>
          <w:sz w:val="20"/>
          <w:szCs w:val="20"/>
          <w:lang w:val="es-ES"/>
        </w:rPr>
        <w:t>LA COMISIÓN INT</w:t>
      </w:r>
      <w:r w:rsidR="00A76334">
        <w:rPr>
          <w:rFonts w:ascii="Cambria" w:hAnsi="Cambria"/>
          <w:b/>
          <w:sz w:val="20"/>
          <w:szCs w:val="20"/>
          <w:lang w:val="es-ES"/>
        </w:rPr>
        <w:t>ERAMERICANA DE DERECHOS HUMANOS,</w:t>
      </w:r>
    </w:p>
    <w:p w:rsidR="007E13F2" w:rsidRPr="007F4B79" w:rsidRDefault="00A76334" w:rsidP="003B5F04">
      <w:pPr>
        <w:pBdr>
          <w:top w:val="none" w:sz="0" w:space="0" w:color="auto"/>
          <w:left w:val="none" w:sz="0" w:space="0" w:color="auto"/>
          <w:bottom w:val="none" w:sz="0" w:space="0" w:color="auto"/>
          <w:right w:val="none" w:sz="0" w:space="0" w:color="auto"/>
          <w:bar w:val="none" w:sz="0" w:color="auto"/>
        </w:pBdr>
        <w:ind w:left="720" w:hanging="720"/>
        <w:rPr>
          <w:rFonts w:ascii="Cambria" w:hAnsi="Cambria"/>
          <w:b/>
          <w:sz w:val="20"/>
          <w:szCs w:val="20"/>
          <w:lang w:val="es-ES"/>
        </w:rPr>
      </w:pPr>
      <w:r>
        <w:rPr>
          <w:rFonts w:ascii="Cambria" w:hAnsi="Cambria"/>
          <w:b/>
          <w:sz w:val="20"/>
          <w:szCs w:val="20"/>
          <w:lang w:val="es-ES"/>
        </w:rPr>
        <w:t xml:space="preserve"> </w:t>
      </w:r>
      <w:r w:rsidR="007E13F2" w:rsidRPr="007F4B79">
        <w:rPr>
          <w:rFonts w:ascii="Cambria" w:hAnsi="Cambria"/>
          <w:b/>
          <w:sz w:val="20"/>
          <w:szCs w:val="20"/>
          <w:lang w:val="es-ES"/>
        </w:rPr>
        <w:t>DECIDE:</w:t>
      </w:r>
    </w:p>
    <w:p w:rsidR="007E13F2" w:rsidRPr="007F4B79"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ES"/>
        </w:rPr>
      </w:pPr>
    </w:p>
    <w:p w:rsidR="007E13F2" w:rsidRPr="007F4B79" w:rsidRDefault="007E13F2" w:rsidP="000E483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r w:rsidRPr="007F4B79">
        <w:rPr>
          <w:rFonts w:ascii="Cambria" w:hAnsi="Cambria"/>
          <w:sz w:val="20"/>
          <w:szCs w:val="20"/>
          <w:lang w:val="es-ES"/>
        </w:rPr>
        <w:t>1.</w:t>
      </w:r>
      <w:r w:rsidRPr="007F4B79">
        <w:rPr>
          <w:rFonts w:ascii="Cambria" w:hAnsi="Cambria"/>
          <w:sz w:val="20"/>
          <w:szCs w:val="20"/>
          <w:lang w:val="es-ES"/>
        </w:rPr>
        <w:tab/>
        <w:t xml:space="preserve">Declarar admisible la presente petición en lo que se refiere a presuntas violaciones de los derechos protegidos en los artículos </w:t>
      </w:r>
      <w:r w:rsidR="00EE0B52" w:rsidRPr="007F4B79">
        <w:rPr>
          <w:rFonts w:ascii="Cambria" w:hAnsi="Cambria"/>
          <w:sz w:val="20"/>
          <w:szCs w:val="20"/>
          <w:lang w:val="es-ES"/>
        </w:rPr>
        <w:t xml:space="preserve">4, 5, 8, 13, </w:t>
      </w:r>
      <w:r w:rsidR="0042708D" w:rsidRPr="007F4B79">
        <w:rPr>
          <w:rFonts w:ascii="Cambria" w:hAnsi="Cambria"/>
          <w:sz w:val="20"/>
          <w:szCs w:val="20"/>
          <w:lang w:val="es-ES"/>
        </w:rPr>
        <w:t>15</w:t>
      </w:r>
      <w:r w:rsidR="00EE0B52" w:rsidRPr="007F4B79">
        <w:rPr>
          <w:rFonts w:ascii="Cambria" w:hAnsi="Cambria"/>
          <w:sz w:val="20"/>
          <w:szCs w:val="20"/>
          <w:lang w:val="es-ES"/>
        </w:rPr>
        <w:t xml:space="preserve"> </w:t>
      </w:r>
      <w:r w:rsidRPr="007F4B79">
        <w:rPr>
          <w:rFonts w:ascii="Cambria" w:hAnsi="Cambria"/>
          <w:sz w:val="20"/>
          <w:szCs w:val="20"/>
          <w:lang w:val="es-ES"/>
        </w:rPr>
        <w:t xml:space="preserve">y 25 de la Convención Americana, en </w:t>
      </w:r>
      <w:r w:rsidR="00524339" w:rsidRPr="007F4B79">
        <w:rPr>
          <w:rFonts w:ascii="Cambria" w:hAnsi="Cambria"/>
          <w:sz w:val="20"/>
          <w:szCs w:val="20"/>
          <w:lang w:val="es-ES"/>
        </w:rPr>
        <w:t>relación con los</w:t>
      </w:r>
      <w:r w:rsidR="00EE0B52" w:rsidRPr="007F4B79">
        <w:rPr>
          <w:rFonts w:ascii="Cambria" w:hAnsi="Cambria"/>
          <w:sz w:val="20"/>
          <w:szCs w:val="20"/>
          <w:lang w:val="es-ES"/>
        </w:rPr>
        <w:t xml:space="preserve"> artículo</w:t>
      </w:r>
      <w:r w:rsidR="00524339" w:rsidRPr="007F4B79">
        <w:rPr>
          <w:rFonts w:ascii="Cambria" w:hAnsi="Cambria"/>
          <w:sz w:val="20"/>
          <w:szCs w:val="20"/>
          <w:lang w:val="es-ES"/>
        </w:rPr>
        <w:t>s</w:t>
      </w:r>
      <w:r w:rsidR="00EE0B52" w:rsidRPr="007F4B79">
        <w:rPr>
          <w:rFonts w:ascii="Cambria" w:hAnsi="Cambria"/>
          <w:sz w:val="20"/>
          <w:szCs w:val="20"/>
          <w:lang w:val="es-ES"/>
        </w:rPr>
        <w:t xml:space="preserve"> 1.1</w:t>
      </w:r>
      <w:r w:rsidR="00524339" w:rsidRPr="007F4B79">
        <w:rPr>
          <w:rFonts w:ascii="Cambria" w:hAnsi="Cambria"/>
          <w:sz w:val="20"/>
          <w:szCs w:val="20"/>
          <w:lang w:val="es-ES"/>
        </w:rPr>
        <w:t xml:space="preserve"> y 2</w:t>
      </w:r>
      <w:r w:rsidR="00EE0B52" w:rsidRPr="007F4B79">
        <w:rPr>
          <w:rFonts w:ascii="Cambria" w:hAnsi="Cambria"/>
          <w:sz w:val="20"/>
          <w:szCs w:val="20"/>
          <w:lang w:val="es-ES"/>
        </w:rPr>
        <w:t xml:space="preserve"> </w:t>
      </w:r>
      <w:r w:rsidR="00DD6249" w:rsidRPr="007F4B79">
        <w:rPr>
          <w:rFonts w:ascii="Cambria" w:hAnsi="Cambria"/>
          <w:sz w:val="20"/>
          <w:szCs w:val="20"/>
          <w:lang w:val="es-ES"/>
        </w:rPr>
        <w:t>del mismo instrumento;</w:t>
      </w:r>
    </w:p>
    <w:p w:rsidR="00B3035C" w:rsidRPr="007F4B79" w:rsidRDefault="00B3035C" w:rsidP="008B5630">
      <w:p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lang w:val="es-ES"/>
        </w:rPr>
      </w:pPr>
    </w:p>
    <w:p w:rsidR="008B5630" w:rsidRPr="00597A03" w:rsidRDefault="00A56ADD" w:rsidP="000E483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r w:rsidRPr="00597A03">
        <w:rPr>
          <w:rFonts w:ascii="Cambria" w:hAnsi="Cambria"/>
          <w:sz w:val="20"/>
          <w:szCs w:val="20"/>
          <w:lang w:val="es-ES"/>
        </w:rPr>
        <w:t>2</w:t>
      </w:r>
      <w:r w:rsidR="007E13F2" w:rsidRPr="00597A03">
        <w:rPr>
          <w:rFonts w:ascii="Cambria" w:hAnsi="Cambria"/>
          <w:sz w:val="20"/>
          <w:szCs w:val="20"/>
          <w:lang w:val="es-ES"/>
        </w:rPr>
        <w:t>.</w:t>
      </w:r>
      <w:r w:rsidR="007E13F2" w:rsidRPr="00597A03">
        <w:rPr>
          <w:rFonts w:ascii="Cambria" w:hAnsi="Cambria"/>
          <w:sz w:val="20"/>
          <w:szCs w:val="20"/>
          <w:lang w:val="es-ES"/>
        </w:rPr>
        <w:tab/>
      </w:r>
      <w:r w:rsidR="008B5630" w:rsidRPr="00597A03">
        <w:rPr>
          <w:rFonts w:ascii="Cambria" w:hAnsi="Cambria"/>
          <w:sz w:val="20"/>
          <w:szCs w:val="20"/>
          <w:lang w:val="es-ES"/>
        </w:rPr>
        <w:t>Declarar</w:t>
      </w:r>
      <w:r w:rsidR="008B5630" w:rsidRPr="00597A03">
        <w:rPr>
          <w:rFonts w:ascii="Cambria" w:hAnsi="Cambria"/>
          <w:sz w:val="20"/>
          <w:szCs w:val="20"/>
          <w:lang w:val="es-AR"/>
        </w:rPr>
        <w:t xml:space="preserve"> inadmisible la presente petición en lo que se refiere a la presunta violación del artículo 23 de la Convención Americana</w:t>
      </w:r>
      <w:r w:rsidR="00DD6249" w:rsidRPr="00597A03">
        <w:rPr>
          <w:rFonts w:ascii="Cambria" w:hAnsi="Cambria"/>
          <w:sz w:val="20"/>
          <w:szCs w:val="20"/>
          <w:lang w:val="es-ES"/>
        </w:rPr>
        <w:t>;</w:t>
      </w:r>
      <w:r w:rsidR="008B5630" w:rsidRPr="00597A03">
        <w:rPr>
          <w:rFonts w:ascii="Cambria" w:hAnsi="Cambria"/>
          <w:sz w:val="20"/>
          <w:szCs w:val="20"/>
          <w:lang w:val="es-ES"/>
        </w:rPr>
        <w:t xml:space="preserve"> </w:t>
      </w:r>
    </w:p>
    <w:p w:rsidR="008B5630" w:rsidRPr="00597A03" w:rsidRDefault="008B5630" w:rsidP="000E483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7E13F2" w:rsidRPr="00597A03" w:rsidRDefault="008B5630" w:rsidP="000E483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r w:rsidRPr="00597A03">
        <w:rPr>
          <w:rFonts w:ascii="Cambria" w:hAnsi="Cambria"/>
          <w:sz w:val="20"/>
          <w:szCs w:val="20"/>
          <w:lang w:val="es-ES"/>
        </w:rPr>
        <w:t>3.</w:t>
      </w:r>
      <w:r w:rsidRPr="00597A03">
        <w:rPr>
          <w:rFonts w:ascii="Cambria" w:hAnsi="Cambria"/>
          <w:sz w:val="20"/>
          <w:szCs w:val="20"/>
          <w:lang w:val="es-ES"/>
        </w:rPr>
        <w:tab/>
      </w:r>
      <w:r w:rsidR="007E13F2" w:rsidRPr="00597A03">
        <w:rPr>
          <w:rFonts w:ascii="Cambria" w:hAnsi="Cambria"/>
          <w:sz w:val="20"/>
          <w:szCs w:val="20"/>
          <w:lang w:val="es-ES"/>
        </w:rPr>
        <w:t>Notificar esta decisión a las partes, continuar con el análisis de fondo del asunto; y</w:t>
      </w:r>
    </w:p>
    <w:p w:rsidR="00B3035C" w:rsidRPr="00597A03" w:rsidRDefault="00B3035C" w:rsidP="000E483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lang w:val="es-ES"/>
        </w:rPr>
      </w:pPr>
    </w:p>
    <w:p w:rsidR="0081689A" w:rsidRDefault="0081689A" w:rsidP="0081689A">
      <w:pPr>
        <w:pBdr>
          <w:top w:val="none" w:sz="0" w:space="0" w:color="auto"/>
          <w:left w:val="none" w:sz="0" w:space="0" w:color="auto"/>
          <w:bottom w:val="none" w:sz="0" w:space="0" w:color="auto"/>
          <w:right w:val="none" w:sz="0" w:space="0" w:color="auto"/>
          <w:bar w:val="none" w:sz="0" w:color="auto"/>
        </w:pBdr>
        <w:ind w:firstLine="720"/>
        <w:rPr>
          <w:rFonts w:ascii="Cambria" w:hAnsi="Cambria"/>
          <w:sz w:val="20"/>
          <w:szCs w:val="20"/>
          <w:lang w:val="es-ES"/>
        </w:rPr>
      </w:pPr>
      <w:r>
        <w:rPr>
          <w:rFonts w:ascii="Cambria" w:hAnsi="Cambria"/>
          <w:sz w:val="20"/>
          <w:szCs w:val="20"/>
          <w:lang w:val="es-ES"/>
        </w:rPr>
        <w:t>4</w:t>
      </w:r>
      <w:r w:rsidR="007E13F2" w:rsidRPr="00597A03">
        <w:rPr>
          <w:rFonts w:ascii="Cambria" w:hAnsi="Cambria"/>
          <w:sz w:val="20"/>
          <w:szCs w:val="20"/>
          <w:lang w:val="es-ES"/>
        </w:rPr>
        <w:t>.</w:t>
      </w:r>
      <w:r w:rsidR="007E13F2" w:rsidRPr="00597A03">
        <w:rPr>
          <w:rFonts w:ascii="Cambria" w:hAnsi="Cambria"/>
          <w:sz w:val="20"/>
          <w:szCs w:val="20"/>
          <w:lang w:val="es-ES"/>
        </w:rPr>
        <w:tab/>
        <w:t>Publicar esta decisión e incluirla en su informe Anual para la Asamblea General de la OEA.</w:t>
      </w:r>
    </w:p>
    <w:p w:rsidR="004C19D6" w:rsidRPr="00597A03" w:rsidRDefault="004C19D6" w:rsidP="0081689A">
      <w:pPr>
        <w:pBdr>
          <w:top w:val="none" w:sz="0" w:space="0" w:color="auto"/>
          <w:left w:val="none" w:sz="0" w:space="0" w:color="auto"/>
          <w:bottom w:val="none" w:sz="0" w:space="0" w:color="auto"/>
          <w:right w:val="none" w:sz="0" w:space="0" w:color="auto"/>
          <w:bar w:val="none" w:sz="0" w:color="auto"/>
        </w:pBdr>
        <w:ind w:firstLine="720"/>
        <w:rPr>
          <w:rFonts w:ascii="Cambria" w:hAnsi="Cambria"/>
          <w:sz w:val="20"/>
          <w:szCs w:val="20"/>
          <w:lang w:val="es-ES"/>
        </w:rPr>
      </w:pPr>
    </w:p>
    <w:p w:rsidR="004C19D6" w:rsidRDefault="004C19D6" w:rsidP="004C19D6">
      <w:pPr>
        <w:ind w:firstLine="720"/>
        <w:jc w:val="both"/>
        <w:rPr>
          <w:rFonts w:ascii="Cambria" w:hAnsi="Cambria" w:cs="Arial"/>
          <w:noProof/>
          <w:sz w:val="20"/>
          <w:szCs w:val="20"/>
          <w:lang w:val="es-CL"/>
        </w:rPr>
      </w:pPr>
      <w:r w:rsidRPr="004C19D6">
        <w:rPr>
          <w:rFonts w:ascii="Cambria" w:hAnsi="Cambria" w:cs="Arial"/>
          <w:noProof/>
          <w:spacing w:val="-2"/>
          <w:sz w:val="20"/>
          <w:szCs w:val="20"/>
          <w:lang w:val="es-CL"/>
        </w:rPr>
        <w:t>Dado y firmado en la ciudad de Washington, D.C., a los 14 días del mes de abril de 2016. (Firmado): James L. Cavallaro, Presidente; Francisco José Eguiguren, Primer Vicepresidente; Margarette May Macaulay, Segunda Vicepresidenta; José de Jesús Orozco Henríquez y Esmeralda E. Arosem</w:t>
      </w:r>
      <w:r w:rsidR="003B5F04">
        <w:rPr>
          <w:rFonts w:ascii="Cambria" w:hAnsi="Cambria" w:cs="Arial"/>
          <w:noProof/>
          <w:spacing w:val="-2"/>
          <w:sz w:val="20"/>
          <w:szCs w:val="20"/>
          <w:lang w:val="es-CL"/>
        </w:rPr>
        <w:t>en</w:t>
      </w:r>
      <w:r w:rsidRPr="004C19D6">
        <w:rPr>
          <w:rFonts w:ascii="Cambria" w:hAnsi="Cambria" w:cs="Arial"/>
          <w:noProof/>
          <w:spacing w:val="-2"/>
          <w:sz w:val="20"/>
          <w:szCs w:val="20"/>
          <w:lang w:val="es-CL"/>
        </w:rPr>
        <w:t>a Bernal de Troitiño, Miembros de la Comisión.</w:t>
      </w:r>
      <w:r w:rsidRPr="004C19D6">
        <w:rPr>
          <w:rFonts w:ascii="Cambria" w:hAnsi="Cambria" w:cs="Arial"/>
          <w:noProof/>
          <w:sz w:val="20"/>
          <w:szCs w:val="20"/>
          <w:lang w:val="es-CL"/>
        </w:rPr>
        <w:t xml:space="preserve"> </w:t>
      </w:r>
    </w:p>
    <w:p w:rsidR="00597A03" w:rsidRPr="00A16173" w:rsidRDefault="00597A03" w:rsidP="00A16173">
      <w:pPr>
        <w:jc w:val="both"/>
        <w:rPr>
          <w:rFonts w:ascii="Cambria" w:hAnsi="Cambria" w:cs="Arial"/>
          <w:noProof/>
          <w:spacing w:val="-2"/>
          <w:sz w:val="20"/>
          <w:szCs w:val="20"/>
          <w:lang w:val="es-CL"/>
        </w:rPr>
      </w:pPr>
    </w:p>
    <w:p w:rsidR="00597A03" w:rsidRPr="007E13F2" w:rsidRDefault="00597A03" w:rsidP="000E483C">
      <w:pPr>
        <w:pBdr>
          <w:top w:val="none" w:sz="0" w:space="0" w:color="auto"/>
          <w:left w:val="none" w:sz="0" w:space="0" w:color="auto"/>
          <w:bottom w:val="none" w:sz="0" w:space="0" w:color="auto"/>
          <w:right w:val="none" w:sz="0" w:space="0" w:color="auto"/>
          <w:bar w:val="none" w:sz="0" w:color="auto"/>
        </w:pBdr>
        <w:ind w:firstLine="720"/>
        <w:rPr>
          <w:rFonts w:ascii="Cambria" w:hAnsi="Cambria" w:cs="Calibri"/>
          <w:color w:val="808080"/>
          <w:sz w:val="20"/>
          <w:szCs w:val="20"/>
          <w:lang w:val="es-ES"/>
        </w:rPr>
      </w:pPr>
    </w:p>
    <w:sectPr w:rsidR="00597A03" w:rsidRPr="007E13F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BA" w:rsidRDefault="005169BA">
      <w:r>
        <w:separator/>
      </w:r>
    </w:p>
  </w:endnote>
  <w:endnote w:type="continuationSeparator" w:id="0">
    <w:p w:rsidR="005169BA" w:rsidRDefault="005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7" w:rsidRDefault="003C1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C1517">
      <w:rPr>
        <w:noProof/>
        <w:sz w:val="16"/>
        <w:szCs w:val="22"/>
      </w:rPr>
      <w:t>1</w:t>
    </w:r>
    <w:r w:rsidRPr="00934A2C">
      <w:rPr>
        <w:noProof/>
        <w:sz w:val="16"/>
        <w:szCs w:val="22"/>
      </w:rPr>
      <w:fldChar w:fldCharType="end"/>
    </w: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BA" w:rsidRPr="007E13F2" w:rsidRDefault="005169BA">
      <w:pPr>
        <w:rPr>
          <w:rFonts w:ascii="Cambria" w:hAnsi="Cambria"/>
          <w:sz w:val="16"/>
          <w:szCs w:val="16"/>
        </w:rPr>
      </w:pPr>
      <w:r w:rsidRPr="007E13F2">
        <w:rPr>
          <w:rFonts w:ascii="Cambria" w:hAnsi="Cambria"/>
          <w:sz w:val="16"/>
          <w:szCs w:val="16"/>
        </w:rPr>
        <w:separator/>
      </w:r>
    </w:p>
  </w:footnote>
  <w:footnote w:type="continuationSeparator" w:id="0">
    <w:p w:rsidR="005169BA" w:rsidRPr="007E13F2" w:rsidRDefault="005169BA" w:rsidP="000F35ED">
      <w:pPr>
        <w:rPr>
          <w:rFonts w:ascii="Cambria" w:hAnsi="Cambria"/>
          <w:sz w:val="16"/>
          <w:szCs w:val="16"/>
        </w:rPr>
      </w:pPr>
      <w:r w:rsidRPr="007E13F2">
        <w:rPr>
          <w:rFonts w:ascii="Cambria" w:hAnsi="Cambria"/>
          <w:sz w:val="16"/>
          <w:szCs w:val="16"/>
        </w:rPr>
        <w:separator/>
      </w:r>
    </w:p>
    <w:p w:rsidR="005169BA" w:rsidRPr="007E13F2" w:rsidRDefault="005169BA" w:rsidP="000F35ED">
      <w:pPr>
        <w:pStyle w:val="Footer"/>
        <w:rPr>
          <w:sz w:val="16"/>
          <w:szCs w:val="16"/>
        </w:rPr>
      </w:pPr>
      <w:r w:rsidRPr="007E13F2">
        <w:rPr>
          <w:sz w:val="16"/>
          <w:szCs w:val="16"/>
        </w:rPr>
        <w:t>[… continuación]</w:t>
      </w:r>
    </w:p>
  </w:footnote>
  <w:footnote w:type="continuationNotice" w:id="1">
    <w:p w:rsidR="005169BA" w:rsidRPr="007E13F2" w:rsidRDefault="005169BA" w:rsidP="000F35ED">
      <w:pPr>
        <w:jc w:val="right"/>
        <w:rPr>
          <w:rFonts w:ascii="Cambria" w:hAnsi="Cambria"/>
          <w:sz w:val="16"/>
          <w:szCs w:val="16"/>
          <w:lang w:val="es-ES"/>
        </w:rPr>
      </w:pPr>
      <w:r w:rsidRPr="007E13F2">
        <w:rPr>
          <w:rFonts w:ascii="Cambria" w:hAnsi="Cambria"/>
          <w:sz w:val="16"/>
          <w:szCs w:val="16"/>
          <w:lang w:val="es-ES"/>
        </w:rPr>
        <w:t>[continúa…]</w:t>
      </w:r>
    </w:p>
  </w:footnote>
  <w:footnote w:id="2">
    <w:p w:rsidR="00FD054E" w:rsidRPr="00B52BC1" w:rsidRDefault="00FD054E" w:rsidP="003B5F04">
      <w:pPr>
        <w:pStyle w:val="FootnoteText"/>
        <w:spacing w:after="120"/>
        <w:ind w:firstLine="720"/>
        <w:jc w:val="both"/>
        <w:rPr>
          <w:rFonts w:ascii="Cambria" w:hAnsi="Cambria"/>
          <w:sz w:val="16"/>
          <w:szCs w:val="16"/>
          <w:lang w:val="es-ES"/>
        </w:rPr>
      </w:pPr>
      <w:r w:rsidRPr="003C0B67">
        <w:rPr>
          <w:rStyle w:val="FootnoteReference"/>
          <w:rFonts w:ascii="Cambria" w:hAnsi="Cambria"/>
          <w:sz w:val="16"/>
          <w:szCs w:val="16"/>
        </w:rPr>
        <w:footnoteRef/>
      </w:r>
      <w:r w:rsidRPr="003C0B67">
        <w:rPr>
          <w:rFonts w:ascii="Cambria" w:hAnsi="Cambria"/>
          <w:sz w:val="16"/>
          <w:szCs w:val="16"/>
          <w:lang w:val="es-ES"/>
        </w:rPr>
        <w:t xml:space="preserve"> </w:t>
      </w:r>
      <w:r w:rsidR="001805C2" w:rsidRPr="003C0B67">
        <w:rPr>
          <w:rFonts w:ascii="Cambria" w:hAnsi="Cambria"/>
          <w:sz w:val="16"/>
          <w:szCs w:val="16"/>
          <w:lang w:val="es-ES"/>
        </w:rPr>
        <w:t>El Comisionado Enrique Gil Botero</w:t>
      </w:r>
      <w:r w:rsidRPr="003C0B67">
        <w:rPr>
          <w:rFonts w:ascii="Cambria" w:hAnsi="Cambria"/>
          <w:sz w:val="16"/>
          <w:szCs w:val="16"/>
          <w:lang w:val="es-ES"/>
        </w:rPr>
        <w:t>, ciudadano colombiano, no participó en las deliberaciones o en la decisión relacionada con la presente p</w:t>
      </w:r>
      <w:r w:rsidR="007F4B79">
        <w:rPr>
          <w:rFonts w:ascii="Cambria" w:hAnsi="Cambria"/>
          <w:sz w:val="16"/>
          <w:szCs w:val="16"/>
          <w:lang w:val="es-ES"/>
        </w:rPr>
        <w:t>etición, de conformidad con el a</w:t>
      </w:r>
      <w:r w:rsidRPr="003C0B67">
        <w:rPr>
          <w:rFonts w:ascii="Cambria" w:hAnsi="Cambria"/>
          <w:sz w:val="16"/>
          <w:szCs w:val="16"/>
          <w:lang w:val="es-ES"/>
        </w:rPr>
        <w:t>rtículo 17.2.a del Reglamento de la Comisión</w:t>
      </w:r>
      <w:r w:rsidR="007F4B79">
        <w:rPr>
          <w:rFonts w:ascii="Cambria" w:hAnsi="Cambria"/>
          <w:sz w:val="16"/>
          <w:szCs w:val="16"/>
          <w:lang w:val="es-ES"/>
        </w:rPr>
        <w:t>.</w:t>
      </w:r>
    </w:p>
  </w:footnote>
  <w:footnote w:id="3">
    <w:p w:rsidR="007E13F2" w:rsidRPr="00F54369" w:rsidRDefault="007E13F2" w:rsidP="003B5F04">
      <w:pPr>
        <w:pStyle w:val="FootnoteText"/>
        <w:spacing w:after="120"/>
        <w:ind w:firstLine="720"/>
        <w:jc w:val="both"/>
        <w:rPr>
          <w:rFonts w:ascii="Cambria" w:hAnsi="Cambria"/>
          <w:sz w:val="16"/>
          <w:szCs w:val="16"/>
          <w:lang w:val="es-ES"/>
        </w:rPr>
      </w:pPr>
      <w:r w:rsidRPr="00F54369">
        <w:rPr>
          <w:rStyle w:val="FootnoteReference"/>
          <w:rFonts w:ascii="Cambria" w:eastAsia="Arial Unicode MS" w:hAnsi="Cambria"/>
          <w:sz w:val="16"/>
          <w:szCs w:val="16"/>
          <w:lang w:val="es-ES"/>
        </w:rPr>
        <w:footnoteRef/>
      </w:r>
      <w:r w:rsidRPr="00F54369">
        <w:rPr>
          <w:rFonts w:ascii="Cambria" w:hAnsi="Cambria"/>
          <w:sz w:val="16"/>
          <w:szCs w:val="16"/>
          <w:lang w:val="es-ES"/>
        </w:rPr>
        <w:t xml:space="preserve"> CIDH. Informe Nº 56/13, Petición 80-02, </w:t>
      </w:r>
      <w:r w:rsidRPr="00F54369">
        <w:rPr>
          <w:rFonts w:ascii="Cambria" w:hAnsi="Cambria"/>
          <w:i/>
          <w:sz w:val="16"/>
          <w:szCs w:val="16"/>
          <w:lang w:val="es-ES"/>
        </w:rPr>
        <w:t>Herminio Deras García y otros</w:t>
      </w:r>
      <w:r w:rsidRPr="00F54369">
        <w:rPr>
          <w:rFonts w:ascii="Cambria" w:hAnsi="Cambria"/>
          <w:sz w:val="16"/>
          <w:szCs w:val="16"/>
          <w:lang w:val="es-ES"/>
        </w:rPr>
        <w:t xml:space="preserve">, Informe Anual de la CIDH 2013, párr. 34;  Informe No. 38/13, Petición 65-04, </w:t>
      </w:r>
      <w:r w:rsidRPr="00F54369">
        <w:rPr>
          <w:rFonts w:ascii="Cambria" w:hAnsi="Cambria"/>
          <w:i/>
          <w:sz w:val="16"/>
          <w:szCs w:val="16"/>
          <w:lang w:val="es-ES"/>
        </w:rPr>
        <w:t>Jorge Adolfo Freytter Romero y otros</w:t>
      </w:r>
      <w:r w:rsidRPr="00F54369">
        <w:rPr>
          <w:rFonts w:ascii="Cambria" w:hAnsi="Cambria"/>
          <w:sz w:val="16"/>
          <w:szCs w:val="16"/>
          <w:lang w:val="es-ES"/>
        </w:rPr>
        <w:t xml:space="preserve">, Informe anual de la CIDH 2013, párr. 32.  </w:t>
      </w:r>
    </w:p>
  </w:footnote>
  <w:footnote w:id="4">
    <w:p w:rsidR="00AE3B4B" w:rsidRPr="00AE3B4B" w:rsidRDefault="00AE3B4B" w:rsidP="003B5F04">
      <w:pPr>
        <w:pStyle w:val="FootnoteText"/>
        <w:spacing w:after="120"/>
        <w:ind w:firstLine="720"/>
        <w:jc w:val="both"/>
        <w:rPr>
          <w:rFonts w:ascii="Cambria" w:hAnsi="Cambria"/>
          <w:sz w:val="16"/>
          <w:szCs w:val="16"/>
          <w:lang w:val="es-CO"/>
        </w:rPr>
      </w:pPr>
      <w:r w:rsidRPr="00AE3B4B">
        <w:rPr>
          <w:rStyle w:val="FootnoteReference"/>
          <w:rFonts w:ascii="Cambria" w:hAnsi="Cambria"/>
          <w:sz w:val="16"/>
          <w:szCs w:val="16"/>
        </w:rPr>
        <w:footnoteRef/>
      </w:r>
      <w:r w:rsidRPr="00AE3B4B">
        <w:rPr>
          <w:rFonts w:ascii="Cambria" w:hAnsi="Cambria"/>
          <w:sz w:val="16"/>
          <w:szCs w:val="16"/>
          <w:lang w:val="es-ES"/>
        </w:rPr>
        <w:t xml:space="preserve"> Ver, entre otros, CIDH, Informe No. 15/95, Caso No. 11.010, Hildegard María Feldman, Colombia, 13 de septiembre de 1995; CIDH, Informe N° 61/99, Caso 11.519, José Alexis Fuentes Guerrero y otros, Colombia, 13 de abril de 1999, párr. 51; CIDH, Informe N° 43/02, Petición 12.009, Leydi Dayán Sánchez, Colombia, 9 de octubre de 2002, párr. 22; y CIDH. Informe No. 74/07, Petición 1136/03, Admisibilidad, José Antonio Romero Cruz y otros. </w:t>
      </w:r>
      <w:r w:rsidRPr="00AE3B4B">
        <w:rPr>
          <w:rFonts w:ascii="Cambria" w:hAnsi="Cambria"/>
          <w:sz w:val="16"/>
          <w:szCs w:val="16"/>
          <w:lang w:val="es-CO"/>
        </w:rPr>
        <w:t xml:space="preserve">15 de octubre de 2007. párr. 34. </w:t>
      </w:r>
    </w:p>
  </w:footnote>
  <w:footnote w:id="5">
    <w:p w:rsidR="007F5FF0" w:rsidRPr="00AE3B4B" w:rsidRDefault="007F5FF0" w:rsidP="003B5F04">
      <w:pPr>
        <w:pStyle w:val="FootnoteText"/>
        <w:spacing w:after="120"/>
        <w:ind w:firstLine="720"/>
        <w:jc w:val="both"/>
        <w:rPr>
          <w:rFonts w:ascii="Cambria" w:hAnsi="Cambria"/>
          <w:sz w:val="16"/>
          <w:szCs w:val="16"/>
        </w:rPr>
      </w:pPr>
      <w:r w:rsidRPr="00AE3B4B">
        <w:rPr>
          <w:rStyle w:val="FootnoteReference"/>
          <w:rFonts w:ascii="Cambria" w:hAnsi="Cambria"/>
          <w:sz w:val="16"/>
          <w:szCs w:val="16"/>
        </w:rPr>
        <w:footnoteRef/>
      </w:r>
      <w:r w:rsidRPr="00AE3B4B">
        <w:rPr>
          <w:rFonts w:ascii="Cambria" w:hAnsi="Cambria"/>
          <w:sz w:val="16"/>
          <w:szCs w:val="16"/>
          <w:lang w:val="es-ES"/>
        </w:rPr>
        <w:t xml:space="preserve"> CIDH, Informe No. 74/07, Petición 1136-03, Admisibilidad, </w:t>
      </w:r>
      <w:r w:rsidRPr="00AE3B4B">
        <w:rPr>
          <w:rFonts w:ascii="Cambria" w:hAnsi="Cambria"/>
          <w:i/>
          <w:sz w:val="16"/>
          <w:szCs w:val="16"/>
          <w:lang w:val="es-ES"/>
        </w:rPr>
        <w:t>José Antonio Romero Cruz, Rolando Ordoñez Álvarez y Norberto Hernández</w:t>
      </w:r>
      <w:r w:rsidRPr="00AE3B4B">
        <w:rPr>
          <w:rFonts w:ascii="Cambria" w:hAnsi="Cambria"/>
          <w:sz w:val="16"/>
          <w:szCs w:val="16"/>
          <w:lang w:val="es-ES"/>
        </w:rPr>
        <w:t xml:space="preserve">, Colombia, 15 de octubre de 2007, párr. 34; CIDH, Informe No. 72/09, Petición 11.538, Admisibilidad, </w:t>
      </w:r>
      <w:r w:rsidRPr="00AE3B4B">
        <w:rPr>
          <w:rFonts w:ascii="Cambria" w:hAnsi="Cambria"/>
          <w:i/>
          <w:sz w:val="16"/>
          <w:szCs w:val="16"/>
          <w:lang w:val="es-ES"/>
        </w:rPr>
        <w:t>Herson Javier Caro (Javier Apache) y familia</w:t>
      </w:r>
      <w:r w:rsidRPr="00AE3B4B">
        <w:rPr>
          <w:rFonts w:ascii="Cambria" w:hAnsi="Cambria"/>
          <w:sz w:val="16"/>
          <w:szCs w:val="16"/>
          <w:lang w:val="es-ES"/>
        </w:rPr>
        <w:t xml:space="preserve">, Colombia, 5 de agosto de 2009, párr. </w:t>
      </w:r>
      <w:r w:rsidRPr="00AE3B4B">
        <w:rPr>
          <w:rFonts w:ascii="Cambria" w:hAnsi="Cambria"/>
          <w:sz w:val="16"/>
          <w:szCs w:val="16"/>
        </w:rPr>
        <w:t xml:space="preserve">28.  </w:t>
      </w:r>
    </w:p>
  </w:footnote>
  <w:footnote w:id="6">
    <w:p w:rsidR="00410AD9" w:rsidRPr="00AE3B4B" w:rsidRDefault="00410AD9" w:rsidP="003B5F04">
      <w:pPr>
        <w:pStyle w:val="FootnoteText"/>
        <w:spacing w:after="120"/>
        <w:ind w:firstLine="720"/>
        <w:jc w:val="both"/>
        <w:rPr>
          <w:rFonts w:ascii="Cambria" w:hAnsi="Cambria"/>
          <w:sz w:val="16"/>
          <w:szCs w:val="16"/>
          <w:lang w:val="es-ES"/>
        </w:rPr>
      </w:pPr>
      <w:r w:rsidRPr="00AE3B4B">
        <w:rPr>
          <w:rStyle w:val="FootnoteReference"/>
          <w:rFonts w:ascii="Cambria" w:hAnsi="Cambria"/>
          <w:sz w:val="16"/>
          <w:szCs w:val="16"/>
        </w:rPr>
        <w:footnoteRef/>
      </w:r>
      <w:r w:rsidRPr="00AE3B4B">
        <w:rPr>
          <w:rFonts w:ascii="Cambria" w:hAnsi="Cambria"/>
          <w:sz w:val="16"/>
          <w:szCs w:val="16"/>
          <w:lang w:val="es-ES"/>
        </w:rPr>
        <w:t xml:space="preserve"> CIDH, Informe No. 32/15, Caso 11.100. Admisibilidad. Familia Ayure Quintero. Colombia. 22 de julio de 2015, párr. 38.</w:t>
      </w:r>
    </w:p>
  </w:footnote>
  <w:footnote w:id="7">
    <w:p w:rsidR="007E13F2" w:rsidRPr="00F54369" w:rsidRDefault="007E13F2" w:rsidP="003B5F04">
      <w:pPr>
        <w:pStyle w:val="FootnoteText"/>
        <w:spacing w:after="120"/>
        <w:ind w:firstLine="720"/>
        <w:jc w:val="both"/>
        <w:rPr>
          <w:rFonts w:ascii="Cambria" w:hAnsi="Cambria"/>
          <w:sz w:val="16"/>
          <w:szCs w:val="16"/>
          <w:lang w:val="es-CO"/>
        </w:rPr>
      </w:pPr>
      <w:r w:rsidRPr="00F54369">
        <w:rPr>
          <w:rStyle w:val="FootnoteCharacters"/>
          <w:rFonts w:ascii="Cambria" w:hAnsi="Cambria"/>
          <w:sz w:val="16"/>
          <w:szCs w:val="16"/>
        </w:rPr>
        <w:footnoteRef/>
      </w:r>
      <w:r w:rsidRPr="00F54369">
        <w:rPr>
          <w:rFonts w:ascii="Cambria" w:hAnsi="Cambria"/>
          <w:sz w:val="16"/>
          <w:szCs w:val="16"/>
          <w:lang w:val="es-CO"/>
        </w:rPr>
        <w:t xml:space="preserve"> CIDH. Informe No. 21/04. Petición 12.190. Admisibilidad. </w:t>
      </w:r>
      <w:r w:rsidRPr="001805C2">
        <w:rPr>
          <w:rFonts w:ascii="Cambria" w:hAnsi="Cambria"/>
          <w:i/>
          <w:sz w:val="16"/>
          <w:szCs w:val="16"/>
          <w:lang w:val="es-CO"/>
        </w:rPr>
        <w:t>José Luís Tapia González y otros</w:t>
      </w:r>
      <w:r w:rsidRPr="00F54369">
        <w:rPr>
          <w:rFonts w:ascii="Cambria" w:hAnsi="Cambria"/>
          <w:sz w:val="16"/>
          <w:szCs w:val="16"/>
          <w:lang w:val="es-CO"/>
        </w:rPr>
        <w:t>. Chile. 24 de febrero de 2004. Párrs. 33 y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5C6E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7E13F2" w:rsidP="00A50FCF">
    <w:pPr>
      <w:pStyle w:val="Header"/>
      <w:tabs>
        <w:tab w:val="clear" w:pos="4320"/>
        <w:tab w:val="clear" w:pos="8640"/>
      </w:tabs>
      <w:jc w:val="center"/>
      <w:rPr>
        <w:sz w:val="22"/>
        <w:szCs w:val="22"/>
      </w:rPr>
    </w:pPr>
    <w:r w:rsidRPr="007E13F2">
      <w:rPr>
        <w:noProof/>
        <w:sz w:val="22"/>
        <w:szCs w:val="22"/>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55pt;height:8.15pt;visibility:visible">
          <v:imagedata r:id="rId1" o:title="cidh-peq"/>
        </v:shape>
      </w:pict>
    </w:r>
  </w:p>
  <w:p w:rsidR="00040C3A" w:rsidRPr="00EC7D62" w:rsidRDefault="005C6ED6" w:rsidP="00A50FCF">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17" w:rsidRDefault="003C1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835852"/>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8B2D08"/>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00020F"/>
    <w:multiLevelType w:val="hybridMultilevel"/>
    <w:tmpl w:val="4E72BA26"/>
    <w:lvl w:ilvl="0" w:tplc="4CE07C5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B6204A8"/>
    <w:multiLevelType w:val="hybridMultilevel"/>
    <w:tmpl w:val="C6789FDC"/>
    <w:lvl w:ilvl="0" w:tplc="D7A6A9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7A453D"/>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22682A"/>
    <w:multiLevelType w:val="hybridMultilevel"/>
    <w:tmpl w:val="DB606E82"/>
    <w:lvl w:ilvl="0" w:tplc="90245D30">
      <w:start w:val="1"/>
      <w:numFmt w:val="bullet"/>
      <w:lvlText w:val="-"/>
      <w:lvlJc w:val="left"/>
      <w:pPr>
        <w:ind w:left="1080" w:hanging="360"/>
      </w:pPr>
      <w:rPr>
        <w:rFonts w:ascii="Cambria" w:eastAsia="Times New Roman" w:hAnsi="Cambria"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8E7BBF"/>
    <w:multiLevelType w:val="hybridMultilevel"/>
    <w:tmpl w:val="9D509260"/>
    <w:lvl w:ilvl="0" w:tplc="E792557C">
      <w:start w:val="1"/>
      <w:numFmt w:val="decimal"/>
      <w:lvlText w:val="%1."/>
      <w:lvlJc w:val="left"/>
      <w:pPr>
        <w:tabs>
          <w:tab w:val="num" w:pos="1080"/>
        </w:tabs>
        <w:ind w:left="108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C9979FE"/>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390F68"/>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4"/>
  </w:num>
  <w:num w:numId="5">
    <w:abstractNumId w:val="49"/>
  </w:num>
  <w:num w:numId="6">
    <w:abstractNumId w:val="29"/>
  </w:num>
  <w:num w:numId="7">
    <w:abstractNumId w:val="6"/>
  </w:num>
  <w:num w:numId="8">
    <w:abstractNumId w:val="19"/>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20"/>
  </w:num>
  <w:num w:numId="26">
    <w:abstractNumId w:val="21"/>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2"/>
  </w:num>
  <w:num w:numId="41">
    <w:abstractNumId w:val="47"/>
  </w:num>
  <w:num w:numId="42">
    <w:abstractNumId w:val="50"/>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3"/>
  </w:num>
  <w:num w:numId="52">
    <w:abstractNumId w:val="43"/>
  </w:num>
  <w:num w:numId="53">
    <w:abstractNumId w:val="53"/>
  </w:num>
  <w:num w:numId="54">
    <w:abstractNumId w:val="46"/>
  </w:num>
  <w:num w:numId="55">
    <w:abstractNumId w:val="51"/>
  </w:num>
  <w:num w:numId="56">
    <w:abstractNumId w:val="17"/>
  </w:num>
  <w:num w:numId="57">
    <w:abstractNumId w:val="41"/>
  </w:num>
  <w:num w:numId="58">
    <w:abstractNumId w:val="48"/>
  </w:num>
  <w:num w:numId="59">
    <w:abstractNumId w:val="54"/>
  </w:num>
  <w:num w:numId="60">
    <w:abstractNumId w:val="22"/>
  </w:num>
  <w:num w:numId="61">
    <w:abstractNumId w:val="16"/>
  </w:num>
  <w:num w:numId="62">
    <w:abstractNumId w:val="18"/>
  </w:num>
  <w:num w:numId="63">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revisionView w:markup="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114DD"/>
    <w:rsid w:val="000117F6"/>
    <w:rsid w:val="0001788C"/>
    <w:rsid w:val="00025FAD"/>
    <w:rsid w:val="00031574"/>
    <w:rsid w:val="00035E3C"/>
    <w:rsid w:val="00036662"/>
    <w:rsid w:val="00040060"/>
    <w:rsid w:val="00040C3A"/>
    <w:rsid w:val="00053428"/>
    <w:rsid w:val="00060556"/>
    <w:rsid w:val="000674F3"/>
    <w:rsid w:val="000716C5"/>
    <w:rsid w:val="00072BEC"/>
    <w:rsid w:val="00075E23"/>
    <w:rsid w:val="00083A53"/>
    <w:rsid w:val="00084336"/>
    <w:rsid w:val="00084B8A"/>
    <w:rsid w:val="000904A7"/>
    <w:rsid w:val="0009344A"/>
    <w:rsid w:val="000A392E"/>
    <w:rsid w:val="000A4D29"/>
    <w:rsid w:val="000A575F"/>
    <w:rsid w:val="000A745A"/>
    <w:rsid w:val="000B5AC1"/>
    <w:rsid w:val="000C363F"/>
    <w:rsid w:val="000C535F"/>
    <w:rsid w:val="000C7370"/>
    <w:rsid w:val="000C7468"/>
    <w:rsid w:val="000D0FDB"/>
    <w:rsid w:val="000D10DB"/>
    <w:rsid w:val="000D24B5"/>
    <w:rsid w:val="000D2FFF"/>
    <w:rsid w:val="000E483C"/>
    <w:rsid w:val="000E5EB5"/>
    <w:rsid w:val="000E69E4"/>
    <w:rsid w:val="000F0C71"/>
    <w:rsid w:val="000F18D5"/>
    <w:rsid w:val="000F35ED"/>
    <w:rsid w:val="000F5894"/>
    <w:rsid w:val="0010704C"/>
    <w:rsid w:val="00107131"/>
    <w:rsid w:val="0010736F"/>
    <w:rsid w:val="00111AF5"/>
    <w:rsid w:val="00112ECD"/>
    <w:rsid w:val="001139C4"/>
    <w:rsid w:val="00113F73"/>
    <w:rsid w:val="00115D1E"/>
    <w:rsid w:val="00117181"/>
    <w:rsid w:val="00121CC2"/>
    <w:rsid w:val="0012465B"/>
    <w:rsid w:val="00133A53"/>
    <w:rsid w:val="00133EE5"/>
    <w:rsid w:val="00134637"/>
    <w:rsid w:val="00142FB0"/>
    <w:rsid w:val="00143853"/>
    <w:rsid w:val="001515C2"/>
    <w:rsid w:val="00154CD5"/>
    <w:rsid w:val="00154F4E"/>
    <w:rsid w:val="00156E14"/>
    <w:rsid w:val="00167A34"/>
    <w:rsid w:val="00167F56"/>
    <w:rsid w:val="00171026"/>
    <w:rsid w:val="001761A8"/>
    <w:rsid w:val="001805C2"/>
    <w:rsid w:val="00185E22"/>
    <w:rsid w:val="00194630"/>
    <w:rsid w:val="001A7870"/>
    <w:rsid w:val="001B4170"/>
    <w:rsid w:val="001C1B41"/>
    <w:rsid w:val="001D65EF"/>
    <w:rsid w:val="001D7D6D"/>
    <w:rsid w:val="001F5A00"/>
    <w:rsid w:val="00206A96"/>
    <w:rsid w:val="00211196"/>
    <w:rsid w:val="00222C56"/>
    <w:rsid w:val="002250A3"/>
    <w:rsid w:val="00235217"/>
    <w:rsid w:val="00245AC9"/>
    <w:rsid w:val="00246D1F"/>
    <w:rsid w:val="00247403"/>
    <w:rsid w:val="00247542"/>
    <w:rsid w:val="00250938"/>
    <w:rsid w:val="0025216D"/>
    <w:rsid w:val="0026510F"/>
    <w:rsid w:val="00266B61"/>
    <w:rsid w:val="0026712A"/>
    <w:rsid w:val="002704DB"/>
    <w:rsid w:val="00271532"/>
    <w:rsid w:val="002774B0"/>
    <w:rsid w:val="00277648"/>
    <w:rsid w:val="00283921"/>
    <w:rsid w:val="0028613B"/>
    <w:rsid w:val="00286EB8"/>
    <w:rsid w:val="00291DC9"/>
    <w:rsid w:val="002939E7"/>
    <w:rsid w:val="00297D0A"/>
    <w:rsid w:val="002A0AAE"/>
    <w:rsid w:val="002A56A9"/>
    <w:rsid w:val="002A5820"/>
    <w:rsid w:val="002B596F"/>
    <w:rsid w:val="002D2B26"/>
    <w:rsid w:val="002D49A8"/>
    <w:rsid w:val="002D7137"/>
    <w:rsid w:val="002D7EA2"/>
    <w:rsid w:val="002E187C"/>
    <w:rsid w:val="002E7AA4"/>
    <w:rsid w:val="002F0219"/>
    <w:rsid w:val="002F25E7"/>
    <w:rsid w:val="002F5CF1"/>
    <w:rsid w:val="00302733"/>
    <w:rsid w:val="00314078"/>
    <w:rsid w:val="0031535D"/>
    <w:rsid w:val="00316F20"/>
    <w:rsid w:val="003177FC"/>
    <w:rsid w:val="00327AD6"/>
    <w:rsid w:val="00330BD8"/>
    <w:rsid w:val="00331046"/>
    <w:rsid w:val="003310D1"/>
    <w:rsid w:val="0033169F"/>
    <w:rsid w:val="00331DE0"/>
    <w:rsid w:val="003329FC"/>
    <w:rsid w:val="0034615C"/>
    <w:rsid w:val="00346219"/>
    <w:rsid w:val="00346403"/>
    <w:rsid w:val="00346C95"/>
    <w:rsid w:val="0034764C"/>
    <w:rsid w:val="00347F4B"/>
    <w:rsid w:val="003504F7"/>
    <w:rsid w:val="00351AC5"/>
    <w:rsid w:val="00356185"/>
    <w:rsid w:val="00357949"/>
    <w:rsid w:val="00360380"/>
    <w:rsid w:val="003617B2"/>
    <w:rsid w:val="0037519E"/>
    <w:rsid w:val="00382323"/>
    <w:rsid w:val="00385514"/>
    <w:rsid w:val="003857FF"/>
    <w:rsid w:val="00386CF0"/>
    <w:rsid w:val="0039770E"/>
    <w:rsid w:val="003A5E7D"/>
    <w:rsid w:val="003B303D"/>
    <w:rsid w:val="003B3AA9"/>
    <w:rsid w:val="003B5F04"/>
    <w:rsid w:val="003C0B67"/>
    <w:rsid w:val="003C1517"/>
    <w:rsid w:val="003C24C5"/>
    <w:rsid w:val="003C459F"/>
    <w:rsid w:val="003C676B"/>
    <w:rsid w:val="003C67C1"/>
    <w:rsid w:val="003D3BC2"/>
    <w:rsid w:val="003E6CA1"/>
    <w:rsid w:val="003F6229"/>
    <w:rsid w:val="00410AD9"/>
    <w:rsid w:val="004165C2"/>
    <w:rsid w:val="0042708D"/>
    <w:rsid w:val="004335BE"/>
    <w:rsid w:val="00434140"/>
    <w:rsid w:val="004403D1"/>
    <w:rsid w:val="00441ECB"/>
    <w:rsid w:val="004431AC"/>
    <w:rsid w:val="0044325C"/>
    <w:rsid w:val="00444282"/>
    <w:rsid w:val="004577B5"/>
    <w:rsid w:val="00462292"/>
    <w:rsid w:val="00467B7E"/>
    <w:rsid w:val="0047392F"/>
    <w:rsid w:val="00477592"/>
    <w:rsid w:val="00480F3B"/>
    <w:rsid w:val="0048268A"/>
    <w:rsid w:val="00482FA6"/>
    <w:rsid w:val="004840F7"/>
    <w:rsid w:val="00484FAA"/>
    <w:rsid w:val="00486F1C"/>
    <w:rsid w:val="00487E0E"/>
    <w:rsid w:val="00491DC7"/>
    <w:rsid w:val="0049359D"/>
    <w:rsid w:val="0049409F"/>
    <w:rsid w:val="0049419D"/>
    <w:rsid w:val="004B1191"/>
    <w:rsid w:val="004B2E04"/>
    <w:rsid w:val="004B35A5"/>
    <w:rsid w:val="004B4BFB"/>
    <w:rsid w:val="004B6FBF"/>
    <w:rsid w:val="004B71B1"/>
    <w:rsid w:val="004C0AC0"/>
    <w:rsid w:val="004C19D6"/>
    <w:rsid w:val="004C1B06"/>
    <w:rsid w:val="004C20D2"/>
    <w:rsid w:val="004C4B62"/>
    <w:rsid w:val="004C53D2"/>
    <w:rsid w:val="004C54C9"/>
    <w:rsid w:val="004C66D2"/>
    <w:rsid w:val="004D0FB0"/>
    <w:rsid w:val="004D10BE"/>
    <w:rsid w:val="004D6025"/>
    <w:rsid w:val="004D7823"/>
    <w:rsid w:val="004E2649"/>
    <w:rsid w:val="004E3B71"/>
    <w:rsid w:val="004E526B"/>
    <w:rsid w:val="004F2C5D"/>
    <w:rsid w:val="00500C40"/>
    <w:rsid w:val="00501399"/>
    <w:rsid w:val="005034F7"/>
    <w:rsid w:val="0050633D"/>
    <w:rsid w:val="00507BC4"/>
    <w:rsid w:val="005128E4"/>
    <w:rsid w:val="005133DB"/>
    <w:rsid w:val="00513587"/>
    <w:rsid w:val="00513B5E"/>
    <w:rsid w:val="0051519B"/>
    <w:rsid w:val="005169BA"/>
    <w:rsid w:val="00516DD4"/>
    <w:rsid w:val="00524339"/>
    <w:rsid w:val="00525560"/>
    <w:rsid w:val="005258C8"/>
    <w:rsid w:val="0052590E"/>
    <w:rsid w:val="00527870"/>
    <w:rsid w:val="00535ADF"/>
    <w:rsid w:val="00537BF5"/>
    <w:rsid w:val="005431A4"/>
    <w:rsid w:val="0054498A"/>
    <w:rsid w:val="00544C49"/>
    <w:rsid w:val="005516A1"/>
    <w:rsid w:val="00554F7E"/>
    <w:rsid w:val="00555BB1"/>
    <w:rsid w:val="00562C25"/>
    <w:rsid w:val="00564377"/>
    <w:rsid w:val="0057402A"/>
    <w:rsid w:val="00576F13"/>
    <w:rsid w:val="00576FB7"/>
    <w:rsid w:val="005771D0"/>
    <w:rsid w:val="005822E9"/>
    <w:rsid w:val="00582FAF"/>
    <w:rsid w:val="0059191A"/>
    <w:rsid w:val="00591D6D"/>
    <w:rsid w:val="005921FF"/>
    <w:rsid w:val="0059222F"/>
    <w:rsid w:val="00597A03"/>
    <w:rsid w:val="005A6D0E"/>
    <w:rsid w:val="005B52B0"/>
    <w:rsid w:val="005B6806"/>
    <w:rsid w:val="005C0EF3"/>
    <w:rsid w:val="005C1B9B"/>
    <w:rsid w:val="005C2AF6"/>
    <w:rsid w:val="005C4225"/>
    <w:rsid w:val="005C6ED6"/>
    <w:rsid w:val="005D5779"/>
    <w:rsid w:val="005E4A27"/>
    <w:rsid w:val="005E692A"/>
    <w:rsid w:val="005F0DAD"/>
    <w:rsid w:val="005F0F33"/>
    <w:rsid w:val="005F1A5D"/>
    <w:rsid w:val="005F340E"/>
    <w:rsid w:val="005F408E"/>
    <w:rsid w:val="00600DEB"/>
    <w:rsid w:val="00602A4F"/>
    <w:rsid w:val="0060554E"/>
    <w:rsid w:val="00615F36"/>
    <w:rsid w:val="00625DEE"/>
    <w:rsid w:val="00627C9F"/>
    <w:rsid w:val="006311E9"/>
    <w:rsid w:val="00632354"/>
    <w:rsid w:val="00636177"/>
    <w:rsid w:val="0063712F"/>
    <w:rsid w:val="00642810"/>
    <w:rsid w:val="00652333"/>
    <w:rsid w:val="006534BD"/>
    <w:rsid w:val="00656E6B"/>
    <w:rsid w:val="0066009F"/>
    <w:rsid w:val="006619A4"/>
    <w:rsid w:val="006745C8"/>
    <w:rsid w:val="0068009E"/>
    <w:rsid w:val="0068249B"/>
    <w:rsid w:val="00692219"/>
    <w:rsid w:val="0069356D"/>
    <w:rsid w:val="00694279"/>
    <w:rsid w:val="006975A3"/>
    <w:rsid w:val="006A17D2"/>
    <w:rsid w:val="006A4DFC"/>
    <w:rsid w:val="006A5FE4"/>
    <w:rsid w:val="006A73E6"/>
    <w:rsid w:val="006B2D5C"/>
    <w:rsid w:val="006B42B3"/>
    <w:rsid w:val="006B55B2"/>
    <w:rsid w:val="006C3E3D"/>
    <w:rsid w:val="006C495B"/>
    <w:rsid w:val="006C4EB1"/>
    <w:rsid w:val="006C70DA"/>
    <w:rsid w:val="006E0166"/>
    <w:rsid w:val="006E2B7D"/>
    <w:rsid w:val="006E6C3E"/>
    <w:rsid w:val="006E7B34"/>
    <w:rsid w:val="006F300F"/>
    <w:rsid w:val="0070243B"/>
    <w:rsid w:val="0070697F"/>
    <w:rsid w:val="00711349"/>
    <w:rsid w:val="00716C99"/>
    <w:rsid w:val="0072199C"/>
    <w:rsid w:val="00722C9F"/>
    <w:rsid w:val="00724211"/>
    <w:rsid w:val="007253B8"/>
    <w:rsid w:val="0073311B"/>
    <w:rsid w:val="00733D4C"/>
    <w:rsid w:val="0073741F"/>
    <w:rsid w:val="007515AE"/>
    <w:rsid w:val="00751DBF"/>
    <w:rsid w:val="0076643F"/>
    <w:rsid w:val="00766D92"/>
    <w:rsid w:val="00767548"/>
    <w:rsid w:val="007743C7"/>
    <w:rsid w:val="0077602E"/>
    <w:rsid w:val="00777F63"/>
    <w:rsid w:val="00783921"/>
    <w:rsid w:val="00793521"/>
    <w:rsid w:val="007A5817"/>
    <w:rsid w:val="007B287D"/>
    <w:rsid w:val="007B60E9"/>
    <w:rsid w:val="007B6CC3"/>
    <w:rsid w:val="007B757E"/>
    <w:rsid w:val="007C3334"/>
    <w:rsid w:val="007C627D"/>
    <w:rsid w:val="007C7E6F"/>
    <w:rsid w:val="007D2B98"/>
    <w:rsid w:val="007D3690"/>
    <w:rsid w:val="007D48CA"/>
    <w:rsid w:val="007D5A61"/>
    <w:rsid w:val="007E13F2"/>
    <w:rsid w:val="007E21BC"/>
    <w:rsid w:val="007E6115"/>
    <w:rsid w:val="007F35A7"/>
    <w:rsid w:val="007F4B79"/>
    <w:rsid w:val="007F5FF0"/>
    <w:rsid w:val="00800EC9"/>
    <w:rsid w:val="0080171A"/>
    <w:rsid w:val="00802EC6"/>
    <w:rsid w:val="00803F1C"/>
    <w:rsid w:val="0080600E"/>
    <w:rsid w:val="00814480"/>
    <w:rsid w:val="0081689A"/>
    <w:rsid w:val="00817612"/>
    <w:rsid w:val="008228E6"/>
    <w:rsid w:val="008338A4"/>
    <w:rsid w:val="00837C45"/>
    <w:rsid w:val="00840327"/>
    <w:rsid w:val="00842410"/>
    <w:rsid w:val="0084307A"/>
    <w:rsid w:val="008436E7"/>
    <w:rsid w:val="0084398F"/>
    <w:rsid w:val="00844730"/>
    <w:rsid w:val="008457C2"/>
    <w:rsid w:val="00847C55"/>
    <w:rsid w:val="00853956"/>
    <w:rsid w:val="00857A82"/>
    <w:rsid w:val="00863F97"/>
    <w:rsid w:val="00873501"/>
    <w:rsid w:val="00873836"/>
    <w:rsid w:val="00883AFE"/>
    <w:rsid w:val="00885737"/>
    <w:rsid w:val="00890650"/>
    <w:rsid w:val="00891113"/>
    <w:rsid w:val="00896772"/>
    <w:rsid w:val="00897E12"/>
    <w:rsid w:val="008A6E78"/>
    <w:rsid w:val="008A7E0F"/>
    <w:rsid w:val="008B042E"/>
    <w:rsid w:val="008B12F5"/>
    <w:rsid w:val="008B5630"/>
    <w:rsid w:val="008B6A47"/>
    <w:rsid w:val="008B6E76"/>
    <w:rsid w:val="008C372C"/>
    <w:rsid w:val="008D00AA"/>
    <w:rsid w:val="008D73F3"/>
    <w:rsid w:val="008D768D"/>
    <w:rsid w:val="008D7A20"/>
    <w:rsid w:val="008E034D"/>
    <w:rsid w:val="008E3759"/>
    <w:rsid w:val="008E3905"/>
    <w:rsid w:val="008E4F29"/>
    <w:rsid w:val="008E550A"/>
    <w:rsid w:val="008E57AC"/>
    <w:rsid w:val="008F00B4"/>
    <w:rsid w:val="008F1912"/>
    <w:rsid w:val="008F6F0E"/>
    <w:rsid w:val="00901423"/>
    <w:rsid w:val="0090270B"/>
    <w:rsid w:val="009041DC"/>
    <w:rsid w:val="00904573"/>
    <w:rsid w:val="0091013B"/>
    <w:rsid w:val="00917B5A"/>
    <w:rsid w:val="00920A58"/>
    <w:rsid w:val="00920A8C"/>
    <w:rsid w:val="00926E35"/>
    <w:rsid w:val="00934A2C"/>
    <w:rsid w:val="009369F9"/>
    <w:rsid w:val="00943BF8"/>
    <w:rsid w:val="00944022"/>
    <w:rsid w:val="0095048C"/>
    <w:rsid w:val="009515D6"/>
    <w:rsid w:val="0095535A"/>
    <w:rsid w:val="009560EF"/>
    <w:rsid w:val="009563C0"/>
    <w:rsid w:val="00957BEC"/>
    <w:rsid w:val="00961AA8"/>
    <w:rsid w:val="00965764"/>
    <w:rsid w:val="0096706E"/>
    <w:rsid w:val="00975C4E"/>
    <w:rsid w:val="009819A7"/>
    <w:rsid w:val="00981FBA"/>
    <w:rsid w:val="00990936"/>
    <w:rsid w:val="0099247B"/>
    <w:rsid w:val="00993734"/>
    <w:rsid w:val="00997BC5"/>
    <w:rsid w:val="009A02DF"/>
    <w:rsid w:val="009A20D1"/>
    <w:rsid w:val="009A4F41"/>
    <w:rsid w:val="009A7A32"/>
    <w:rsid w:val="009B2915"/>
    <w:rsid w:val="009B2C5B"/>
    <w:rsid w:val="009B381B"/>
    <w:rsid w:val="009B4CB1"/>
    <w:rsid w:val="009B7C7F"/>
    <w:rsid w:val="009C06A8"/>
    <w:rsid w:val="009C2FA3"/>
    <w:rsid w:val="009D1753"/>
    <w:rsid w:val="009D2121"/>
    <w:rsid w:val="009D5204"/>
    <w:rsid w:val="009D7611"/>
    <w:rsid w:val="009E0B61"/>
    <w:rsid w:val="009E3FEA"/>
    <w:rsid w:val="009E53DE"/>
    <w:rsid w:val="009F238B"/>
    <w:rsid w:val="009F7F76"/>
    <w:rsid w:val="00A05876"/>
    <w:rsid w:val="00A12F98"/>
    <w:rsid w:val="00A13E1D"/>
    <w:rsid w:val="00A16173"/>
    <w:rsid w:val="00A328B3"/>
    <w:rsid w:val="00A34339"/>
    <w:rsid w:val="00A3496A"/>
    <w:rsid w:val="00A34E98"/>
    <w:rsid w:val="00A5055B"/>
    <w:rsid w:val="00A50FCF"/>
    <w:rsid w:val="00A528D1"/>
    <w:rsid w:val="00A56ADD"/>
    <w:rsid w:val="00A56CC0"/>
    <w:rsid w:val="00A57F0A"/>
    <w:rsid w:val="00A610CD"/>
    <w:rsid w:val="00A73FD4"/>
    <w:rsid w:val="00A76334"/>
    <w:rsid w:val="00A76E2D"/>
    <w:rsid w:val="00A82F0D"/>
    <w:rsid w:val="00A903E7"/>
    <w:rsid w:val="00A93B5B"/>
    <w:rsid w:val="00A9474D"/>
    <w:rsid w:val="00AA09A2"/>
    <w:rsid w:val="00AA5CE9"/>
    <w:rsid w:val="00AA7996"/>
    <w:rsid w:val="00AB1C44"/>
    <w:rsid w:val="00AB36C1"/>
    <w:rsid w:val="00AC19CB"/>
    <w:rsid w:val="00AC1D3D"/>
    <w:rsid w:val="00AD1628"/>
    <w:rsid w:val="00AD1EA2"/>
    <w:rsid w:val="00AD7AB8"/>
    <w:rsid w:val="00AE017D"/>
    <w:rsid w:val="00AE1321"/>
    <w:rsid w:val="00AE33A0"/>
    <w:rsid w:val="00AE3B4B"/>
    <w:rsid w:val="00AE5488"/>
    <w:rsid w:val="00AE54AF"/>
    <w:rsid w:val="00AE59A6"/>
    <w:rsid w:val="00AE6F91"/>
    <w:rsid w:val="00AE75E9"/>
    <w:rsid w:val="00AF5243"/>
    <w:rsid w:val="00AF5571"/>
    <w:rsid w:val="00AF5DA1"/>
    <w:rsid w:val="00B0465D"/>
    <w:rsid w:val="00B0581E"/>
    <w:rsid w:val="00B07332"/>
    <w:rsid w:val="00B07341"/>
    <w:rsid w:val="00B07E50"/>
    <w:rsid w:val="00B1559E"/>
    <w:rsid w:val="00B156B8"/>
    <w:rsid w:val="00B1777E"/>
    <w:rsid w:val="00B20798"/>
    <w:rsid w:val="00B24844"/>
    <w:rsid w:val="00B25A1A"/>
    <w:rsid w:val="00B3035C"/>
    <w:rsid w:val="00B30539"/>
    <w:rsid w:val="00B314DB"/>
    <w:rsid w:val="00B32D2F"/>
    <w:rsid w:val="00B361F2"/>
    <w:rsid w:val="00B3718B"/>
    <w:rsid w:val="00B4116D"/>
    <w:rsid w:val="00B4632A"/>
    <w:rsid w:val="00B51524"/>
    <w:rsid w:val="00B51C04"/>
    <w:rsid w:val="00B52BC1"/>
    <w:rsid w:val="00B530F1"/>
    <w:rsid w:val="00B70F5F"/>
    <w:rsid w:val="00B75AF4"/>
    <w:rsid w:val="00B80E6C"/>
    <w:rsid w:val="00B81E74"/>
    <w:rsid w:val="00B83C69"/>
    <w:rsid w:val="00BA276C"/>
    <w:rsid w:val="00BA7F41"/>
    <w:rsid w:val="00BB2303"/>
    <w:rsid w:val="00BB23F7"/>
    <w:rsid w:val="00BB306F"/>
    <w:rsid w:val="00BB70B8"/>
    <w:rsid w:val="00BB7450"/>
    <w:rsid w:val="00BC39BA"/>
    <w:rsid w:val="00BC574A"/>
    <w:rsid w:val="00BD1876"/>
    <w:rsid w:val="00BD4B89"/>
    <w:rsid w:val="00BD4BBA"/>
    <w:rsid w:val="00BF12AF"/>
    <w:rsid w:val="00BF25C1"/>
    <w:rsid w:val="00BF55FC"/>
    <w:rsid w:val="00BF6FD8"/>
    <w:rsid w:val="00C01EE6"/>
    <w:rsid w:val="00C03680"/>
    <w:rsid w:val="00C0495C"/>
    <w:rsid w:val="00C054DF"/>
    <w:rsid w:val="00C21762"/>
    <w:rsid w:val="00C23A16"/>
    <w:rsid w:val="00C24543"/>
    <w:rsid w:val="00C256A2"/>
    <w:rsid w:val="00C25FE2"/>
    <w:rsid w:val="00C27370"/>
    <w:rsid w:val="00C278FE"/>
    <w:rsid w:val="00C40ED1"/>
    <w:rsid w:val="00C47E3C"/>
    <w:rsid w:val="00C50976"/>
    <w:rsid w:val="00C51515"/>
    <w:rsid w:val="00C5660B"/>
    <w:rsid w:val="00C57747"/>
    <w:rsid w:val="00C605EF"/>
    <w:rsid w:val="00C62890"/>
    <w:rsid w:val="00C66B72"/>
    <w:rsid w:val="00C66E28"/>
    <w:rsid w:val="00C71C8E"/>
    <w:rsid w:val="00C72570"/>
    <w:rsid w:val="00C80159"/>
    <w:rsid w:val="00C860DE"/>
    <w:rsid w:val="00C860F0"/>
    <w:rsid w:val="00C91DE6"/>
    <w:rsid w:val="00C9567A"/>
    <w:rsid w:val="00C96B54"/>
    <w:rsid w:val="00CA1B33"/>
    <w:rsid w:val="00CA5D9C"/>
    <w:rsid w:val="00CA6E08"/>
    <w:rsid w:val="00CB064D"/>
    <w:rsid w:val="00CB212D"/>
    <w:rsid w:val="00CB247E"/>
    <w:rsid w:val="00CB2660"/>
    <w:rsid w:val="00CC5E90"/>
    <w:rsid w:val="00CC713D"/>
    <w:rsid w:val="00CC780A"/>
    <w:rsid w:val="00CD046C"/>
    <w:rsid w:val="00CE076C"/>
    <w:rsid w:val="00CE5199"/>
    <w:rsid w:val="00CE66D5"/>
    <w:rsid w:val="00CF0EF8"/>
    <w:rsid w:val="00CF24E4"/>
    <w:rsid w:val="00CF637A"/>
    <w:rsid w:val="00CF7269"/>
    <w:rsid w:val="00D059DE"/>
    <w:rsid w:val="00D07392"/>
    <w:rsid w:val="00D11A28"/>
    <w:rsid w:val="00D13FCE"/>
    <w:rsid w:val="00D23258"/>
    <w:rsid w:val="00D2552B"/>
    <w:rsid w:val="00D265F5"/>
    <w:rsid w:val="00D306D1"/>
    <w:rsid w:val="00D34786"/>
    <w:rsid w:val="00D3519C"/>
    <w:rsid w:val="00D37BFC"/>
    <w:rsid w:val="00D425A2"/>
    <w:rsid w:val="00D42F7D"/>
    <w:rsid w:val="00D4361D"/>
    <w:rsid w:val="00D46A4B"/>
    <w:rsid w:val="00D47A8E"/>
    <w:rsid w:val="00D507C5"/>
    <w:rsid w:val="00D511F9"/>
    <w:rsid w:val="00D52D14"/>
    <w:rsid w:val="00D60A58"/>
    <w:rsid w:val="00D63A92"/>
    <w:rsid w:val="00D712D3"/>
    <w:rsid w:val="00D71422"/>
    <w:rsid w:val="00D72CB9"/>
    <w:rsid w:val="00D72DC6"/>
    <w:rsid w:val="00D7558D"/>
    <w:rsid w:val="00D769AD"/>
    <w:rsid w:val="00D8069E"/>
    <w:rsid w:val="00D8190E"/>
    <w:rsid w:val="00D81D92"/>
    <w:rsid w:val="00D91F4A"/>
    <w:rsid w:val="00D9429C"/>
    <w:rsid w:val="00DA0E53"/>
    <w:rsid w:val="00DA25BB"/>
    <w:rsid w:val="00DA5E0E"/>
    <w:rsid w:val="00DA7B5F"/>
    <w:rsid w:val="00DB45FC"/>
    <w:rsid w:val="00DB5649"/>
    <w:rsid w:val="00DC11E7"/>
    <w:rsid w:val="00DC536E"/>
    <w:rsid w:val="00DC7023"/>
    <w:rsid w:val="00DC769A"/>
    <w:rsid w:val="00DD05A7"/>
    <w:rsid w:val="00DD3D86"/>
    <w:rsid w:val="00DD6249"/>
    <w:rsid w:val="00DE459A"/>
    <w:rsid w:val="00DE4B5F"/>
    <w:rsid w:val="00DE65B5"/>
    <w:rsid w:val="00DF1339"/>
    <w:rsid w:val="00DF1EC4"/>
    <w:rsid w:val="00E00D85"/>
    <w:rsid w:val="00E0340B"/>
    <w:rsid w:val="00E03830"/>
    <w:rsid w:val="00E04A90"/>
    <w:rsid w:val="00E07E57"/>
    <w:rsid w:val="00E14A1E"/>
    <w:rsid w:val="00E14ADA"/>
    <w:rsid w:val="00E20510"/>
    <w:rsid w:val="00E21179"/>
    <w:rsid w:val="00E219C7"/>
    <w:rsid w:val="00E2606D"/>
    <w:rsid w:val="00E309B7"/>
    <w:rsid w:val="00E3695C"/>
    <w:rsid w:val="00E43157"/>
    <w:rsid w:val="00E461CE"/>
    <w:rsid w:val="00E51036"/>
    <w:rsid w:val="00E51CD0"/>
    <w:rsid w:val="00E5378E"/>
    <w:rsid w:val="00E607EB"/>
    <w:rsid w:val="00E61799"/>
    <w:rsid w:val="00E64633"/>
    <w:rsid w:val="00E720CA"/>
    <w:rsid w:val="00E84EB5"/>
    <w:rsid w:val="00E85662"/>
    <w:rsid w:val="00E8789F"/>
    <w:rsid w:val="00E93FAC"/>
    <w:rsid w:val="00E97B71"/>
    <w:rsid w:val="00EA28B9"/>
    <w:rsid w:val="00EA3D34"/>
    <w:rsid w:val="00EB2507"/>
    <w:rsid w:val="00EB28F0"/>
    <w:rsid w:val="00EB3C8C"/>
    <w:rsid w:val="00EB454D"/>
    <w:rsid w:val="00EB553F"/>
    <w:rsid w:val="00EB5C3B"/>
    <w:rsid w:val="00EB615D"/>
    <w:rsid w:val="00EC1EC9"/>
    <w:rsid w:val="00EC24E8"/>
    <w:rsid w:val="00EC6473"/>
    <w:rsid w:val="00EC69D8"/>
    <w:rsid w:val="00ED0201"/>
    <w:rsid w:val="00ED152B"/>
    <w:rsid w:val="00ED350D"/>
    <w:rsid w:val="00ED76BE"/>
    <w:rsid w:val="00ED7D04"/>
    <w:rsid w:val="00EE0B52"/>
    <w:rsid w:val="00EE2B6F"/>
    <w:rsid w:val="00EE3230"/>
    <w:rsid w:val="00EE6D6D"/>
    <w:rsid w:val="00EF619B"/>
    <w:rsid w:val="00F00B55"/>
    <w:rsid w:val="00F02AD1"/>
    <w:rsid w:val="00F10B70"/>
    <w:rsid w:val="00F253CC"/>
    <w:rsid w:val="00F255BA"/>
    <w:rsid w:val="00F30FB7"/>
    <w:rsid w:val="00F37106"/>
    <w:rsid w:val="00F4294E"/>
    <w:rsid w:val="00F519CF"/>
    <w:rsid w:val="00F54369"/>
    <w:rsid w:val="00F55EF2"/>
    <w:rsid w:val="00F56BA5"/>
    <w:rsid w:val="00F579A4"/>
    <w:rsid w:val="00F60E22"/>
    <w:rsid w:val="00F6134F"/>
    <w:rsid w:val="00F64CD7"/>
    <w:rsid w:val="00F779BE"/>
    <w:rsid w:val="00F81395"/>
    <w:rsid w:val="00F81608"/>
    <w:rsid w:val="00F85A14"/>
    <w:rsid w:val="00F86D0D"/>
    <w:rsid w:val="00F917D1"/>
    <w:rsid w:val="00F93BC5"/>
    <w:rsid w:val="00F9653B"/>
    <w:rsid w:val="00FA09F0"/>
    <w:rsid w:val="00FA0FD6"/>
    <w:rsid w:val="00FA7FDE"/>
    <w:rsid w:val="00FB5545"/>
    <w:rsid w:val="00FB62CF"/>
    <w:rsid w:val="00FC1FAD"/>
    <w:rsid w:val="00FC693F"/>
    <w:rsid w:val="00FD0275"/>
    <w:rsid w:val="00FD054E"/>
    <w:rsid w:val="00FD3C3B"/>
    <w:rsid w:val="00FD71EE"/>
    <w:rsid w:val="00FE15FD"/>
    <w:rsid w:val="00FE6B45"/>
    <w:rsid w:val="00FE72BC"/>
    <w:rsid w:val="00FF2AD7"/>
    <w:rsid w:val="00FF55F3"/>
    <w:rsid w:val="00FF5851"/>
    <w:rsid w:val="00FF5EC7"/>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A Fu?notentext"/>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7E13F2"/>
    <w:rPr>
      <w:rFonts w:ascii="Univers" w:hAnsi="Univers"/>
      <w:sz w:val="20"/>
    </w:rPr>
  </w:style>
  <w:style w:type="character" w:customStyle="1" w:styleId="FootnoteCharacters">
    <w:name w:val="Footnote Characters"/>
    <w:rsid w:val="007E13F2"/>
    <w:rPr>
      <w:vertAlign w:val="superscript"/>
    </w:rPr>
  </w:style>
  <w:style w:type="character" w:styleId="CommentReference">
    <w:name w:val="annotation reference"/>
    <w:uiPriority w:val="99"/>
    <w:semiHidden/>
    <w:unhideWhenUsed/>
    <w:rsid w:val="008436E7"/>
    <w:rPr>
      <w:sz w:val="16"/>
      <w:szCs w:val="16"/>
    </w:rPr>
  </w:style>
  <w:style w:type="paragraph" w:styleId="CommentText">
    <w:name w:val="annotation text"/>
    <w:basedOn w:val="Normal"/>
    <w:link w:val="CommentTextChar"/>
    <w:uiPriority w:val="99"/>
    <w:semiHidden/>
    <w:unhideWhenUsed/>
    <w:rsid w:val="008436E7"/>
    <w:rPr>
      <w:sz w:val="20"/>
      <w:szCs w:val="20"/>
    </w:rPr>
  </w:style>
  <w:style w:type="character" w:customStyle="1" w:styleId="CommentTextChar">
    <w:name w:val="Comment Text Char"/>
    <w:link w:val="CommentText"/>
    <w:uiPriority w:val="99"/>
    <w:semiHidden/>
    <w:rsid w:val="008436E7"/>
    <w:rPr>
      <w:bdr w:val="nil"/>
      <w:lang w:val="en-US" w:eastAsia="en-US"/>
    </w:rPr>
  </w:style>
  <w:style w:type="paragraph" w:styleId="CommentSubject">
    <w:name w:val="annotation subject"/>
    <w:basedOn w:val="CommentText"/>
    <w:next w:val="CommentText"/>
    <w:link w:val="CommentSubjectChar"/>
    <w:uiPriority w:val="99"/>
    <w:semiHidden/>
    <w:unhideWhenUsed/>
    <w:rsid w:val="008436E7"/>
    <w:rPr>
      <w:b/>
      <w:bCs/>
    </w:rPr>
  </w:style>
  <w:style w:type="character" w:customStyle="1" w:styleId="CommentSubjectChar">
    <w:name w:val="Comment Subject Char"/>
    <w:link w:val="CommentSubject"/>
    <w:uiPriority w:val="99"/>
    <w:semiHidden/>
    <w:rsid w:val="008436E7"/>
    <w:rPr>
      <w:b/>
      <w:bCs/>
      <w:bdr w:val="nil"/>
      <w:lang w:val="en-US" w:eastAsia="en-US"/>
    </w:rPr>
  </w:style>
  <w:style w:type="paragraph" w:styleId="Revision">
    <w:name w:val="Revision"/>
    <w:hidden/>
    <w:uiPriority w:val="99"/>
    <w:semiHidden/>
    <w:rsid w:val="008436E7"/>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0799">
      <w:bodyDiv w:val="1"/>
      <w:marLeft w:val="0"/>
      <w:marRight w:val="0"/>
      <w:marTop w:val="0"/>
      <w:marBottom w:val="0"/>
      <w:divBdr>
        <w:top w:val="none" w:sz="0" w:space="0" w:color="auto"/>
        <w:left w:val="none" w:sz="0" w:space="0" w:color="auto"/>
        <w:bottom w:val="none" w:sz="0" w:space="0" w:color="auto"/>
        <w:right w:val="none" w:sz="0" w:space="0" w:color="auto"/>
      </w:divBdr>
    </w:div>
    <w:div w:id="6525658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4EEF-DD58-4B0D-8D21-0F35E2DB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4736</Words>
  <Characters>27001</Characters>
  <Application>Microsoft Office Word</Application>
  <DocSecurity>0</DocSecurity>
  <Lines>225</Lines>
  <Paragraphs>63</Paragraphs>
  <ScaleCrop>false</ScaleCrop>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14/16</dc:title>
  <dc:creator/>
  <cp:lastModifiedBy/>
  <cp:revision>1</cp:revision>
  <dcterms:created xsi:type="dcterms:W3CDTF">2016-09-26T13:34:00Z</dcterms:created>
  <dcterms:modified xsi:type="dcterms:W3CDTF">2016-09-26T13:34:00Z</dcterms:modified>
</cp:coreProperties>
</file>